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一、项目基本情况</w:t>
      </w:r>
    </w:p>
    <w:p>
      <w:pPr>
        <w:spacing w:line="360" w:lineRule="auto"/>
        <w:ind w:firstLine="480" w:firstLineChars="200"/>
        <w:rPr>
          <w:rFonts w:hint="eastAsia" w:ascii="宋体" w:hAnsi="宋体" w:eastAsia="宋体" w:cs="宋体"/>
          <w:sz w:val="24"/>
          <w:szCs w:val="24"/>
          <w:highlight w:val="none"/>
          <w:u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项目编号：</w:t>
      </w:r>
      <w:bookmarkStart w:id="12" w:name="_GoBack"/>
      <w:bookmarkEnd w:id="12"/>
      <w:r>
        <w:rPr>
          <w:rFonts w:hint="eastAsia" w:ascii="宋体" w:hAnsi="宋体" w:cs="宋体"/>
          <w:color w:val="auto"/>
          <w:sz w:val="24"/>
          <w:szCs w:val="24"/>
          <w:highlight w:val="none"/>
          <w:lang w:val="en-US" w:eastAsia="zh-CN"/>
        </w:rPr>
        <w:t>CDZB-2023-0102</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通榆县2023年农村公路养护工程施工</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采购方式</w:t>
      </w:r>
      <w:r>
        <w:rPr>
          <w:rFonts w:hint="eastAsia" w:ascii="宋体" w:hAnsi="宋体" w:eastAsia="宋体" w:cs="宋体"/>
          <w:sz w:val="24"/>
          <w:szCs w:val="24"/>
          <w:highlight w:val="none"/>
          <w:lang w:eastAsia="zh-CN"/>
        </w:rPr>
        <w:t>：公开招标；</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采购需求</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4.1招标范围：</w:t>
      </w:r>
      <w:r>
        <w:rPr>
          <w:rFonts w:hint="eastAsia" w:ascii="宋体" w:hAnsi="宋体" w:cs="宋体"/>
          <w:sz w:val="24"/>
          <w:szCs w:val="24"/>
          <w:highlight w:val="none"/>
          <w:lang w:val="en-US" w:eastAsia="zh-CN"/>
        </w:rPr>
        <w:t>工程量清单及图纸所含全部内容</w:t>
      </w:r>
      <w:r>
        <w:rPr>
          <w:rFonts w:hint="eastAsia" w:ascii="宋体" w:hAnsi="宋体" w:eastAsia="宋体" w:cs="宋体"/>
          <w:sz w:val="24"/>
          <w:szCs w:val="24"/>
          <w:highlight w:val="none"/>
          <w:lang w:val="en-US"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项目</w:t>
      </w:r>
      <w:r>
        <w:rPr>
          <w:rFonts w:hint="eastAsia" w:ascii="宋体" w:hAnsi="宋体" w:cs="宋体"/>
          <w:sz w:val="24"/>
          <w:szCs w:val="24"/>
          <w:highlight w:val="none"/>
          <w:lang w:val="en-US" w:eastAsia="zh-CN"/>
        </w:rPr>
        <w:t>建设</w:t>
      </w:r>
      <w:r>
        <w:rPr>
          <w:rFonts w:hint="eastAsia" w:ascii="宋体" w:hAnsi="宋体" w:eastAsia="宋体" w:cs="宋体"/>
          <w:sz w:val="24"/>
          <w:szCs w:val="24"/>
          <w:highlight w:val="none"/>
          <w:lang w:val="en-US" w:eastAsia="zh-CN"/>
        </w:rPr>
        <w:t>地点：通榆县；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4.3公路等级：四级；</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主要施工内容：公路养护施工，具体详见工程量清单及施工图图纸；</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项目概况：</w:t>
      </w:r>
      <w:r>
        <w:rPr>
          <w:rFonts w:hint="eastAsia" w:ascii="宋体" w:hAnsi="宋体" w:cs="宋体"/>
          <w:sz w:val="24"/>
          <w:szCs w:val="24"/>
          <w:lang w:val="en-US" w:eastAsia="zh-CN"/>
        </w:rPr>
        <w:t>本项目</w:t>
      </w:r>
      <w:r>
        <w:rPr>
          <w:rFonts w:hint="eastAsia" w:ascii="宋体" w:hAnsi="宋体" w:eastAsia="宋体" w:cs="宋体"/>
          <w:sz w:val="24"/>
          <w:szCs w:val="24"/>
          <w:lang w:val="en-US" w:eastAsia="zh-CN"/>
        </w:rPr>
        <w:t>共划分为</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个标段。具体内容如下（注：下表中所示内容只为参考）：</w:t>
      </w:r>
    </w:p>
    <w:tbl>
      <w:tblPr>
        <w:tblStyle w:val="7"/>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1006"/>
        <w:gridCol w:w="2444"/>
        <w:gridCol w:w="1008"/>
        <w:gridCol w:w="912"/>
        <w:gridCol w:w="1224"/>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blHeader/>
          <w:jc w:val="center"/>
        </w:trPr>
        <w:tc>
          <w:tcPr>
            <w:tcW w:w="535"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4"/>
                <w:szCs w:val="24"/>
                <w:highlight w:val="none"/>
                <w:u w:val="none"/>
                <w:lang w:val="en-US"/>
              </w:rPr>
            </w:pPr>
            <w:r>
              <w:rPr>
                <w:rFonts w:hint="eastAsia" w:ascii="宋体" w:hAnsi="宋体" w:eastAsia="宋体" w:cs="宋体"/>
                <w:b w:val="0"/>
                <w:bCs w:val="0"/>
                <w:i w:val="0"/>
                <w:color w:val="000000"/>
                <w:kern w:val="0"/>
                <w:sz w:val="24"/>
                <w:szCs w:val="24"/>
                <w:highlight w:val="none"/>
                <w:u w:val="none"/>
                <w:lang w:val="en-US" w:eastAsia="zh-CN" w:bidi="ar"/>
              </w:rPr>
              <w:t>标段号</w:t>
            </w:r>
          </w:p>
        </w:tc>
        <w:tc>
          <w:tcPr>
            <w:tcW w:w="563"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标段编号</w:t>
            </w:r>
          </w:p>
        </w:tc>
        <w:tc>
          <w:tcPr>
            <w:tcW w:w="1370"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4"/>
                <w:szCs w:val="24"/>
                <w:highlight w:val="none"/>
                <w:u w:val="none"/>
                <w:lang w:val="en-US" w:eastAsia="zh-CN"/>
              </w:rPr>
            </w:pPr>
            <w:r>
              <w:rPr>
                <w:rFonts w:hint="eastAsia" w:ascii="宋体" w:hAnsi="宋体" w:eastAsia="宋体" w:cs="宋体"/>
                <w:b w:val="0"/>
                <w:bCs w:val="0"/>
                <w:i w:val="0"/>
                <w:color w:val="000000"/>
                <w:sz w:val="24"/>
                <w:szCs w:val="24"/>
                <w:highlight w:val="none"/>
                <w:u w:val="none"/>
                <w:lang w:val="en-US" w:eastAsia="zh-CN"/>
              </w:rPr>
              <w:t>路线名称</w:t>
            </w:r>
          </w:p>
        </w:tc>
        <w:tc>
          <w:tcPr>
            <w:tcW w:w="565"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计划里程</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（公里）</w:t>
            </w:r>
          </w:p>
        </w:tc>
        <w:tc>
          <w:tcPr>
            <w:tcW w:w="511"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标段里程</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（公里）</w:t>
            </w:r>
          </w:p>
        </w:tc>
        <w:tc>
          <w:tcPr>
            <w:tcW w:w="686"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标段预算金额（万元）</w:t>
            </w:r>
          </w:p>
        </w:tc>
        <w:tc>
          <w:tcPr>
            <w:tcW w:w="767"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标段建设地点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35"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4"/>
                <w:szCs w:val="24"/>
                <w:highlight w:val="none"/>
                <w:u w:val="none"/>
              </w:rPr>
            </w:pPr>
            <w:r>
              <w:rPr>
                <w:rFonts w:hint="eastAsia" w:ascii="宋体" w:hAnsi="宋体" w:cs="宋体"/>
                <w:b w:val="0"/>
                <w:bCs w:val="0"/>
                <w:i w:val="0"/>
                <w:color w:val="000000"/>
                <w:kern w:val="0"/>
                <w:sz w:val="24"/>
                <w:szCs w:val="24"/>
                <w:highlight w:val="none"/>
                <w:u w:val="none"/>
                <w:lang w:val="en-US" w:eastAsia="zh-CN" w:bidi="ar"/>
              </w:rPr>
              <w:t>一标段</w:t>
            </w:r>
          </w:p>
        </w:tc>
        <w:tc>
          <w:tcPr>
            <w:tcW w:w="563"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-01</w:t>
            </w:r>
          </w:p>
        </w:tc>
        <w:tc>
          <w:tcPr>
            <w:tcW w:w="1370"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Y034新华-金山</w:t>
            </w:r>
          </w:p>
        </w:tc>
        <w:tc>
          <w:tcPr>
            <w:tcW w:w="565"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9.44</w:t>
            </w:r>
          </w:p>
        </w:tc>
        <w:tc>
          <w:tcPr>
            <w:tcW w:w="511"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9.44</w:t>
            </w:r>
          </w:p>
        </w:tc>
        <w:tc>
          <w:tcPr>
            <w:tcW w:w="686"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612.9908</w:t>
            </w:r>
          </w:p>
        </w:tc>
        <w:tc>
          <w:tcPr>
            <w:tcW w:w="767"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新华镇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二标段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-02</w:t>
            </w:r>
          </w:p>
        </w:tc>
        <w:tc>
          <w:tcPr>
            <w:tcW w:w="1370"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Y063育林-永发源</w:t>
            </w:r>
          </w:p>
        </w:tc>
        <w:tc>
          <w:tcPr>
            <w:tcW w:w="565"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4.369</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6.027</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276.3560</w:t>
            </w:r>
          </w:p>
        </w:tc>
        <w:tc>
          <w:tcPr>
            <w:tcW w:w="767"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新华镇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C745李家-四太线</w:t>
            </w:r>
          </w:p>
        </w:tc>
        <w:tc>
          <w:tcPr>
            <w:tcW w:w="565"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0.894</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C271育林-白阴温都</w:t>
            </w:r>
          </w:p>
        </w:tc>
        <w:tc>
          <w:tcPr>
            <w:tcW w:w="565" w:type="pc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0.764</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三标段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-03</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C064联通线-张红马</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4.662</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9.377</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513.1738</w:t>
            </w: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新发乡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C608吉利-包日嘎查</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4.715</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瞻榆镇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四标段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-04</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Y009通向线—林场</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5.14</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6.443 </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425.6156</w:t>
            </w:r>
          </w:p>
        </w:tc>
        <w:tc>
          <w:tcPr>
            <w:tcW w:w="767"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开通镇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C383通向线-后太平</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0.919</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C383通向线-后太平支线</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0.121</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一通线-太平庄西</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0.263</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五标段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-05</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C414三宝-九龙山</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3.290 </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6.917</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382.6890</w:t>
            </w:r>
          </w:p>
        </w:tc>
        <w:tc>
          <w:tcPr>
            <w:tcW w:w="767"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兴隆山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C800向团线-大兴屯</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3.627</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六标段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-06</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C464五通线-前哈</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8.001 </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10.299</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565.3231</w:t>
            </w: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开通镇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C272开发区-新发屯</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0.878</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开通镇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C747嫩双线-新发屯</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1.223</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边昭镇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C747嫩双线-新发屯支线</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0.197</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边昭镇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七标段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-07</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C712嫩双线—五羊线</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5.463</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10.122</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556.4796</w:t>
            </w:r>
          </w:p>
        </w:tc>
        <w:tc>
          <w:tcPr>
            <w:tcW w:w="767"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开通镇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Y014五通线—羊井村</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4.659</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八标段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-08</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Y004边昭-大围子(预防性养护）</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11.829 </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21.957</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1086.5345</w:t>
            </w: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边昭镇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color w:val="auto"/>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C529大通线-白音塔拉</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2.792</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包拉温都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C014什道花-光辉村</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6.111</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什花道乡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4"/>
                <w:szCs w:val="24"/>
                <w:highlight w:val="none"/>
                <w:u w:val="none"/>
                <w:lang w:val="en-US" w:eastAsia="zh-CN" w:bidi="ar"/>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C433什光线-后复兴</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1.225</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yellow"/>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什花道乡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535" w:type="pct"/>
            <w:vMerge w:val="restart"/>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cs="宋体"/>
                <w:b w:val="0"/>
                <w:bCs w:val="0"/>
                <w:i w:val="0"/>
                <w:color w:val="000000"/>
                <w:kern w:val="0"/>
                <w:sz w:val="24"/>
                <w:szCs w:val="24"/>
                <w:highlight w:val="none"/>
                <w:u w:val="none"/>
                <w:lang w:val="en-US" w:eastAsia="zh-CN" w:bidi="ar"/>
              </w:rPr>
              <w:t>九标段</w:t>
            </w:r>
          </w:p>
        </w:tc>
        <w:tc>
          <w:tcPr>
            <w:tcW w:w="563"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cs="宋体"/>
                <w:b w:val="0"/>
                <w:bCs w:val="0"/>
                <w:i w:val="0"/>
                <w:color w:val="auto"/>
                <w:kern w:val="0"/>
                <w:sz w:val="24"/>
                <w:szCs w:val="24"/>
                <w:highlight w:val="none"/>
                <w:u w:val="none"/>
                <w:lang w:val="en-US" w:eastAsia="zh-CN" w:bidi="ar"/>
              </w:rPr>
              <w:t>CDZB-2023-0102</w:t>
            </w:r>
            <w:r>
              <w:rPr>
                <w:rFonts w:hint="eastAsia" w:ascii="宋体" w:hAnsi="宋体" w:eastAsia="宋体" w:cs="宋体"/>
                <w:b w:val="0"/>
                <w:bCs w:val="0"/>
                <w:i w:val="0"/>
                <w:color w:val="auto"/>
                <w:kern w:val="0"/>
                <w:sz w:val="24"/>
                <w:szCs w:val="24"/>
                <w:highlight w:val="none"/>
                <w:u w:val="none"/>
                <w:lang w:val="en-US" w:eastAsia="zh-CN" w:bidi="ar"/>
              </w:rPr>
              <w:t>-09</w:t>
            </w: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C560科铁线-良种场</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5.589</w:t>
            </w:r>
          </w:p>
        </w:tc>
        <w:tc>
          <w:tcPr>
            <w:tcW w:w="511" w:type="pct"/>
            <w:vMerge w:val="restart"/>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11.384</w:t>
            </w:r>
          </w:p>
        </w:tc>
        <w:tc>
          <w:tcPr>
            <w:tcW w:w="686"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867.3809</w:t>
            </w: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乌兰花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535" w:type="pct"/>
            <w:vMerge w:val="continue"/>
            <w:noWrap/>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563"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sz w:val="24"/>
                <w:szCs w:val="24"/>
              </w:rPr>
            </w:pPr>
          </w:p>
        </w:tc>
        <w:tc>
          <w:tcPr>
            <w:tcW w:w="1370" w:type="pc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C160安通线-洪兴合</w:t>
            </w:r>
          </w:p>
        </w:tc>
        <w:tc>
          <w:tcPr>
            <w:tcW w:w="565"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5.795</w:t>
            </w:r>
          </w:p>
        </w:tc>
        <w:tc>
          <w:tcPr>
            <w:tcW w:w="511"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686" w:type="pct"/>
            <w:vMerge w:val="continue"/>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000000"/>
                <w:kern w:val="0"/>
                <w:sz w:val="24"/>
                <w:szCs w:val="24"/>
                <w:highlight w:val="none"/>
                <w:u w:val="none"/>
                <w:lang w:val="en-US" w:eastAsia="zh-CN" w:bidi="ar"/>
              </w:rPr>
            </w:pPr>
          </w:p>
        </w:tc>
        <w:tc>
          <w:tcPr>
            <w:tcW w:w="76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包拉温都</w:t>
            </w:r>
          </w:p>
        </w:tc>
      </w:tr>
    </w:tbl>
    <w:p>
      <w:pPr>
        <w:spacing w:line="360" w:lineRule="auto"/>
        <w:ind w:firstLine="480" w:firstLineChars="200"/>
        <w:rPr>
          <w:rFonts w:hint="eastAsia" w:ascii="宋体" w:hAnsi="宋体" w:eastAsia="宋体" w:cs="宋体"/>
          <w:color w:val="0070C0"/>
          <w:sz w:val="24"/>
          <w:szCs w:val="24"/>
          <w:highlight w:val="red"/>
          <w:lang w:eastAsia="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合同履行期限</w:t>
      </w:r>
      <w:r>
        <w:rPr>
          <w:rFonts w:hint="eastAsia" w:ascii="宋体" w:hAnsi="宋体" w:eastAsia="宋体" w:cs="宋体"/>
          <w:sz w:val="24"/>
          <w:szCs w:val="24"/>
          <w:highlight w:val="none"/>
          <w:lang w:eastAsia="zh-CN"/>
        </w:rPr>
        <w:t>：2023年4月至2023年10月</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本项目</w:t>
      </w:r>
      <w:r>
        <w:rPr>
          <w:rFonts w:hint="eastAsia" w:ascii="宋体" w:hAnsi="宋体" w:eastAsia="宋体" w:cs="宋体"/>
          <w:b w:val="0"/>
          <w:bCs w:val="0"/>
          <w:sz w:val="24"/>
          <w:szCs w:val="24"/>
          <w:lang w:val="en-US" w:eastAsia="zh-CN"/>
        </w:rPr>
        <w:t>不</w:t>
      </w:r>
      <w:r>
        <w:rPr>
          <w:rFonts w:hint="eastAsia" w:ascii="宋体" w:hAnsi="宋体" w:eastAsia="宋体" w:cs="宋体"/>
          <w:b w:val="0"/>
          <w:bCs w:val="0"/>
          <w:sz w:val="24"/>
          <w:szCs w:val="24"/>
        </w:rPr>
        <w:t>接</w:t>
      </w:r>
      <w:r>
        <w:rPr>
          <w:rFonts w:hint="eastAsia" w:ascii="宋体" w:hAnsi="宋体" w:eastAsia="宋体" w:cs="宋体"/>
          <w:sz w:val="24"/>
          <w:szCs w:val="24"/>
        </w:rPr>
        <w:t>受联合体</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二、申请人的资格要求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2.落实政府采购政策需满足的资格要求</w:t>
      </w:r>
      <w:r>
        <w:rPr>
          <w:rFonts w:hint="eastAsia" w:ascii="宋体" w:hAnsi="宋体" w:eastAsia="宋体" w:cs="宋体"/>
          <w:sz w:val="24"/>
          <w:szCs w:val="24"/>
          <w:lang w:eastAsia="zh-CN"/>
        </w:rPr>
        <w:t>：</w:t>
      </w:r>
      <w:r>
        <w:rPr>
          <w:rFonts w:hint="eastAsia" w:ascii="宋体" w:hAnsi="宋体" w:eastAsia="宋体" w:cs="宋体"/>
          <w:sz w:val="24"/>
          <w:szCs w:val="24"/>
          <w:highlight w:val="none"/>
          <w:lang w:val="en-US" w:eastAsia="zh-CN"/>
        </w:rPr>
        <w:t>无</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3.1</w:t>
      </w:r>
      <w:r>
        <w:rPr>
          <w:rFonts w:hint="eastAsia" w:ascii="宋体" w:hAnsi="宋体" w:eastAsia="宋体" w:cs="宋体"/>
          <w:sz w:val="24"/>
          <w:szCs w:val="24"/>
          <w:highlight w:val="none"/>
          <w:lang w:val="en-US" w:eastAsia="zh-CN"/>
        </w:rPr>
        <w:t>投标人须具备工商行政管理部门核发的企业法人营业执照并依法取得安全生产许可证（在有效期内）（注：公路养护工程施工资质企业无须提供安全生产许可证），具备相关行政主管部门颁发的公路工程施工总承包三级（含三级）以上资质或公路养护工程施工二类乙级（含乙级）以上资质。近五年（2018年1月1日至投标截止时间之间交工的项目）内完成过类似施工业绩至少一项，并在人员、设备、资金等方面具备相应的施工能力；</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投标人应进入交通运输部“全国公路建设市场信用信息管理系统（https://glxy.mot.gov.cn/）”中的公路工程施工资质企业名录，且投标人名称和资质与该名录中的相应企业名称和资质完全一致。</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3.2本次招标不接受联合体投标；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3.3与招标人存在利害关系可能影响招标公正性的单位，不得参加投标。单位负责人为同一人或者存在控股、管理关系的不同单位，不得参加同一标段投标，否则,相关投标均无效；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3.4在“信用中国”网站(http://www.creditchina.gov.cn/)中被列入失信被执行人名单的投标人，不得参加投标，否则，相关投标均无效；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3.5本次招标严禁转包、违法分包，严禁各类形式的资质挂靠；</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3.6拒绝列入政府取消投标资格记录期间的企业或个人投标；</w:t>
      </w:r>
    </w:p>
    <w:p>
      <w:pPr>
        <w:spacing w:line="360" w:lineRule="auto"/>
        <w:ind w:firstLine="480" w:firstLineChars="200"/>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7每个潜在投标人只可针对上述九个标段中的一个标段进行投标，不可兼投；</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本次施工招标采用资格后审方式的双信封形式技术评分最低标价法。</w:t>
      </w:r>
    </w:p>
    <w:p>
      <w:pPr>
        <w:pStyle w:val="4"/>
        <w:spacing w:before="0" w:after="0" w:line="240" w:lineRule="auto"/>
        <w:jc w:val="center"/>
        <w:rPr>
          <w:rFonts w:hint="eastAsia" w:ascii="宋体" w:hAnsi="宋体" w:eastAsia="宋体" w:cs="宋体"/>
          <w:highlight w:val="none"/>
        </w:rPr>
      </w:pPr>
      <w:bookmarkStart w:id="0" w:name="_Toc26557"/>
      <w:bookmarkStart w:id="1" w:name="_Toc509476423"/>
      <w:bookmarkStart w:id="2" w:name="_Toc287967393"/>
      <w:r>
        <w:rPr>
          <w:rFonts w:hint="eastAsia" w:ascii="宋体" w:hAnsi="宋体" w:eastAsia="宋体" w:cs="宋体"/>
          <w:highlight w:val="none"/>
        </w:rPr>
        <w:t>附录1资格审查条件（资质最低要求）</w:t>
      </w:r>
      <w:bookmarkEnd w:id="0"/>
      <w:bookmarkEnd w:id="1"/>
    </w:p>
    <w:p>
      <w:pPr>
        <w:pStyle w:val="11"/>
        <w:jc w:val="center"/>
        <w:outlineLvl w:val="9"/>
        <w:rPr>
          <w:rFonts w:hint="eastAsia" w:ascii="宋体" w:hAnsi="宋体" w:eastAsia="宋体" w:cs="宋体"/>
          <w:highlight w:val="none"/>
          <w:vertAlign w:val="superscript"/>
        </w:rPr>
      </w:pPr>
    </w:p>
    <w:tbl>
      <w:tblPr>
        <w:tblStyle w:val="7"/>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27" w:hRule="atLeast"/>
          <w:jc w:val="center"/>
        </w:trPr>
        <w:tc>
          <w:tcPr>
            <w:tcW w:w="8575" w:type="dxa"/>
            <w:noWrap w:val="0"/>
            <w:vAlign w:val="center"/>
          </w:tcPr>
          <w:p>
            <w:pPr>
              <w:ind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580" w:type="dxa"/>
            <w:gridSpan w:val="2"/>
            <w:noWrap w:val="0"/>
            <w:vAlign w:val="center"/>
          </w:tcPr>
          <w:p>
            <w:pPr>
              <w:autoSpaceDE w:val="0"/>
              <w:autoSpaceDN w:val="0"/>
              <w:adjustRightInd w:val="0"/>
              <w:spacing w:line="360" w:lineRule="auto"/>
              <w:jc w:val="left"/>
              <w:rPr>
                <w:rFonts w:hint="eastAsia" w:ascii="宋体" w:hAnsi="宋体" w:eastAsia="宋体" w:cs="宋体"/>
                <w:color w:val="000000"/>
                <w:spacing w:val="1"/>
                <w:kern w:val="0"/>
                <w:highlight w:val="none"/>
              </w:rPr>
            </w:pPr>
            <w:r>
              <w:rPr>
                <w:rFonts w:hint="eastAsia" w:ascii="宋体" w:hAnsi="宋体" w:eastAsia="宋体" w:cs="宋体"/>
                <w:color w:val="000000"/>
                <w:spacing w:val="1"/>
                <w:kern w:val="0"/>
                <w:highlight w:val="none"/>
                <w:lang w:val="en-US" w:eastAsia="zh-CN"/>
              </w:rPr>
              <w:t>投标人须具备工商行政管理部门核发的企业法人营业执照并依法取得安全生产许可证（在有效期内）（注：公路养护工程施工资质企业无须提供安全生产许可证），具备相关行政主管部门颁发的公路工程施工总承包三级（含三级）以上资质或公路养护工程施工二类乙级（含乙级）以上资质。</w:t>
            </w:r>
          </w:p>
        </w:tc>
      </w:tr>
    </w:tbl>
    <w:p>
      <w:pPr>
        <w:pStyle w:val="4"/>
        <w:spacing w:before="0" w:after="0" w:line="240" w:lineRule="auto"/>
        <w:jc w:val="center"/>
        <w:rPr>
          <w:rFonts w:hint="eastAsia" w:ascii="宋体" w:hAnsi="宋体" w:eastAsia="宋体" w:cs="宋体"/>
          <w:highlight w:val="none"/>
        </w:rPr>
      </w:pPr>
      <w:bookmarkStart w:id="3" w:name="_Toc22177"/>
      <w:r>
        <w:rPr>
          <w:rFonts w:hint="eastAsia" w:ascii="宋体" w:hAnsi="宋体" w:eastAsia="宋体" w:cs="宋体"/>
          <w:highlight w:val="none"/>
        </w:rPr>
        <w:t>附录2资格审查条件（财务最低要求）</w:t>
      </w:r>
      <w:bookmarkEnd w:id="2"/>
      <w:bookmarkEnd w:id="3"/>
    </w:p>
    <w:tbl>
      <w:tblPr>
        <w:tblStyle w:val="7"/>
        <w:tblW w:w="43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000" w:type="pct"/>
            <w:noWrap w:val="0"/>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000" w:type="pct"/>
            <w:noWrap w:val="0"/>
            <w:vAlign w:val="center"/>
          </w:tcPr>
          <w:p>
            <w:pPr>
              <w:autoSpaceDE w:val="0"/>
              <w:autoSpaceDN w:val="0"/>
              <w:adjustRightInd w:val="0"/>
              <w:spacing w:line="360" w:lineRule="auto"/>
              <w:ind w:firstLine="411" w:firstLineChars="196"/>
              <w:rPr>
                <w:rFonts w:hint="eastAsia" w:ascii="宋体" w:hAnsi="宋体" w:eastAsia="宋体" w:cs="宋体"/>
                <w:bCs/>
                <w:szCs w:val="21"/>
                <w:highlight w:val="none"/>
              </w:rPr>
            </w:pPr>
            <w:r>
              <w:rPr>
                <w:rFonts w:hint="eastAsia" w:ascii="宋体" w:hAnsi="宋体" w:eastAsia="宋体" w:cs="宋体"/>
                <w:szCs w:val="21"/>
                <w:highlight w:val="none"/>
              </w:rPr>
              <w:t>资金信用</w:t>
            </w:r>
            <w:r>
              <w:rPr>
                <w:rStyle w:val="9"/>
                <w:rFonts w:hint="eastAsia" w:ascii="宋体" w:hAnsi="宋体" w:eastAsia="宋体" w:cs="宋体"/>
                <w:szCs w:val="21"/>
                <w:highlight w:val="none"/>
              </w:rPr>
              <w:footnoteReference w:id="0"/>
            </w:r>
            <w:r>
              <w:rPr>
                <w:rFonts w:hint="eastAsia" w:ascii="宋体" w:hAnsi="宋体" w:eastAsia="宋体" w:cs="宋体"/>
                <w:szCs w:val="21"/>
                <w:highlight w:val="none"/>
              </w:rPr>
              <w:t>：</w:t>
            </w:r>
            <w:r>
              <w:rPr>
                <w:rFonts w:hint="eastAsia" w:ascii="宋体" w:hAnsi="宋体" w:eastAsia="宋体" w:cs="宋体"/>
                <w:bCs/>
                <w:szCs w:val="21"/>
                <w:highlight w:val="none"/>
              </w:rPr>
              <w:t>投标人的经审计的</w:t>
            </w:r>
            <w:r>
              <w:rPr>
                <w:rFonts w:hint="eastAsia" w:ascii="宋体" w:hAnsi="宋体" w:eastAsia="宋体" w:cs="宋体"/>
                <w:b/>
                <w:bCs/>
                <w:szCs w:val="21"/>
                <w:highlight w:val="none"/>
                <w:lang w:val="en-US" w:eastAsia="zh-CN"/>
              </w:rPr>
              <w:t>2021</w:t>
            </w:r>
            <w:r>
              <w:rPr>
                <w:rFonts w:hint="eastAsia" w:ascii="宋体" w:hAnsi="宋体" w:eastAsia="宋体" w:cs="宋体"/>
                <w:b/>
                <w:bCs/>
                <w:szCs w:val="21"/>
                <w:highlight w:val="none"/>
              </w:rPr>
              <w:t>年</w:t>
            </w:r>
            <w:r>
              <w:rPr>
                <w:rFonts w:hint="eastAsia" w:ascii="宋体" w:hAnsi="宋体" w:eastAsia="宋体" w:cs="宋体"/>
                <w:bCs/>
                <w:szCs w:val="21"/>
                <w:highlight w:val="none"/>
              </w:rPr>
              <w:t>财务会计报告中流动资金（流动资金=流动资产－流动负债）与为本项目开具的银行信贷证明之和必须达到</w:t>
            </w:r>
            <w:r>
              <w:rPr>
                <w:rFonts w:hint="eastAsia" w:ascii="宋体" w:hAnsi="宋体" w:eastAsia="宋体" w:cs="宋体"/>
                <w:b/>
                <w:bCs/>
                <w:szCs w:val="21"/>
                <w:highlight w:val="none"/>
                <w:u w:val="single"/>
                <w:lang w:val="en-US" w:eastAsia="zh-CN"/>
              </w:rPr>
              <w:t>50</w:t>
            </w:r>
            <w:r>
              <w:rPr>
                <w:rFonts w:hint="eastAsia" w:ascii="宋体" w:hAnsi="宋体" w:eastAsia="宋体" w:cs="宋体"/>
                <w:b/>
                <w:bCs/>
                <w:szCs w:val="21"/>
                <w:highlight w:val="none"/>
                <w:u w:val="single"/>
              </w:rPr>
              <w:t>万元</w:t>
            </w:r>
            <w:r>
              <w:rPr>
                <w:rFonts w:hint="eastAsia" w:ascii="宋体" w:hAnsi="宋体" w:eastAsia="宋体" w:cs="宋体"/>
                <w:bCs/>
                <w:szCs w:val="21"/>
                <w:highlight w:val="none"/>
              </w:rPr>
              <w:t>。</w:t>
            </w:r>
          </w:p>
          <w:p>
            <w:pPr>
              <w:adjustRightInd w:val="0"/>
              <w:snapToGrid w:val="0"/>
              <w:spacing w:line="360"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银行信贷证明必须在地（市）级或以上级别的信誉良好的国有或股份制商业银行支行开具。</w:t>
            </w:r>
          </w:p>
        </w:tc>
      </w:tr>
    </w:tbl>
    <w:p>
      <w:pPr>
        <w:autoSpaceDE w:val="0"/>
        <w:autoSpaceDN w:val="0"/>
        <w:adjustRightInd w:val="0"/>
        <w:rPr>
          <w:rFonts w:hint="eastAsia" w:ascii="宋体" w:hAnsi="宋体" w:eastAsia="宋体" w:cs="宋体"/>
          <w:b/>
          <w:sz w:val="18"/>
          <w:szCs w:val="18"/>
          <w:highlight w:val="none"/>
        </w:rPr>
      </w:pPr>
    </w:p>
    <w:p>
      <w:pPr>
        <w:pStyle w:val="4"/>
        <w:spacing w:before="0" w:after="0" w:line="240" w:lineRule="auto"/>
        <w:jc w:val="center"/>
        <w:rPr>
          <w:rFonts w:hint="eastAsia" w:ascii="宋体" w:hAnsi="宋体" w:eastAsia="宋体" w:cs="宋体"/>
          <w:highlight w:val="none"/>
        </w:rPr>
      </w:pPr>
      <w:bookmarkStart w:id="4" w:name="_Toc287967394"/>
      <w:bookmarkStart w:id="5" w:name="_Toc8105"/>
      <w:r>
        <w:rPr>
          <w:rFonts w:hint="eastAsia" w:ascii="宋体" w:hAnsi="宋体" w:eastAsia="宋体" w:cs="宋体"/>
          <w:highlight w:val="none"/>
        </w:rPr>
        <w:t>附录3资格审查条件（业绩最低要求）</w:t>
      </w:r>
      <w:bookmarkEnd w:id="4"/>
      <w:bookmarkEnd w:id="5"/>
    </w:p>
    <w:tbl>
      <w:tblPr>
        <w:tblStyle w:val="7"/>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7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 w:type="dxa"/>
          <w:trHeight w:val="528" w:hRule="atLeast"/>
          <w:jc w:val="center"/>
        </w:trPr>
        <w:tc>
          <w:tcPr>
            <w:tcW w:w="8574" w:type="dxa"/>
            <w:noWrap w:val="0"/>
            <w:vAlign w:val="center"/>
          </w:tcPr>
          <w:p>
            <w:pPr>
              <w:spacing w:line="300" w:lineRule="exact"/>
              <w:jc w:val="center"/>
              <w:rPr>
                <w:rFonts w:hint="eastAsia" w:ascii="宋体" w:hAnsi="宋体" w:eastAsia="宋体" w:cs="宋体"/>
                <w:szCs w:val="21"/>
                <w:highlight w:val="none"/>
              </w:rPr>
            </w:pPr>
            <w:bookmarkStart w:id="6" w:name="_Toc287967395"/>
            <w:r>
              <w:rPr>
                <w:rFonts w:hint="eastAsia" w:ascii="宋体" w:hAnsi="宋体" w:eastAsia="宋体" w:cs="宋体"/>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8579" w:type="dxa"/>
            <w:gridSpan w:val="2"/>
            <w:noWrap w:val="0"/>
            <w:vAlign w:val="center"/>
          </w:tcPr>
          <w:p>
            <w:pPr>
              <w:pStyle w:val="6"/>
              <w:spacing w:line="276" w:lineRule="auto"/>
              <w:ind w:left="13" w:leftChars="6" w:right="-115" w:firstLine="0" w:firstLineChars="0"/>
              <w:jc w:val="center"/>
              <w:rPr>
                <w:rFonts w:hint="eastAsia" w:ascii="宋体" w:hAnsi="宋体" w:eastAsia="宋体" w:cs="宋体"/>
                <w:b/>
                <w:spacing w:val="1"/>
                <w:kern w:val="0"/>
                <w:szCs w:val="21"/>
                <w:highlight w:val="none"/>
                <w:lang w:val="en-US" w:eastAsia="zh-CN"/>
              </w:rPr>
            </w:pPr>
            <w:r>
              <w:rPr>
                <w:rFonts w:hint="eastAsia" w:ascii="宋体" w:hAnsi="宋体" w:eastAsia="宋体" w:cs="宋体"/>
                <w:sz w:val="21"/>
                <w:szCs w:val="21"/>
                <w:highlight w:val="none"/>
                <w:lang w:val="en-US" w:eastAsia="zh-CN"/>
              </w:rPr>
              <w:t>/</w:t>
            </w:r>
          </w:p>
        </w:tc>
      </w:tr>
    </w:tbl>
    <w:p>
      <w:pPr>
        <w:autoSpaceDE w:val="0"/>
        <w:autoSpaceDN w:val="0"/>
        <w:adjustRightInd w:val="0"/>
        <w:jc w:val="center"/>
        <w:rPr>
          <w:rFonts w:hint="eastAsia" w:ascii="宋体" w:hAnsi="宋体" w:eastAsia="宋体" w:cs="宋体"/>
          <w:b/>
          <w:sz w:val="28"/>
          <w:szCs w:val="28"/>
          <w:highlight w:val="none"/>
          <w:lang w:val="zh-CN"/>
        </w:rPr>
      </w:pPr>
      <w:r>
        <w:rPr>
          <w:rFonts w:hint="eastAsia" w:ascii="宋体" w:hAnsi="宋体" w:eastAsia="宋体" w:cs="宋体"/>
          <w:highlight w:val="green"/>
        </w:rPr>
        <w:br w:type="page"/>
      </w:r>
      <w:bookmarkEnd w:id="6"/>
      <w:bookmarkStart w:id="7" w:name="_Toc436994106"/>
      <w:bookmarkStart w:id="8" w:name="_Toc29541654"/>
      <w:bookmarkStart w:id="9" w:name="_Toc287967396"/>
      <w:r>
        <w:rPr>
          <w:rFonts w:hint="eastAsia" w:ascii="宋体" w:hAnsi="宋体" w:eastAsia="宋体" w:cs="宋体"/>
          <w:b/>
          <w:sz w:val="28"/>
          <w:szCs w:val="28"/>
          <w:highlight w:val="none"/>
          <w:lang w:val="zh-CN"/>
        </w:rPr>
        <w:t>附录4   资格审查条件（信誉最低要求）</w:t>
      </w:r>
      <w:bookmarkEnd w:id="7"/>
      <w:r>
        <w:rPr>
          <w:rStyle w:val="9"/>
          <w:rFonts w:hint="eastAsia" w:ascii="宋体" w:hAnsi="宋体" w:eastAsia="宋体" w:cs="宋体"/>
          <w:b/>
          <w:sz w:val="28"/>
          <w:szCs w:val="28"/>
          <w:highlight w:val="none"/>
          <w:lang w:val="zh-CN"/>
        </w:rPr>
        <w:footnoteReference w:id="1"/>
      </w:r>
      <w:bookmarkEnd w:id="8"/>
    </w:p>
    <w:tbl>
      <w:tblPr>
        <w:tblStyle w:val="7"/>
        <w:tblW w:w="0" w:type="auto"/>
        <w:jc w:val="center"/>
        <w:tblLayout w:type="fixed"/>
        <w:tblCellMar>
          <w:top w:w="0" w:type="dxa"/>
          <w:left w:w="108" w:type="dxa"/>
          <w:bottom w:w="0" w:type="dxa"/>
          <w:right w:w="108" w:type="dxa"/>
        </w:tblCellMar>
      </w:tblPr>
      <w:tblGrid>
        <w:gridCol w:w="8168"/>
      </w:tblGrid>
      <w:tr>
        <w:tblPrEx>
          <w:tblCellMar>
            <w:top w:w="0" w:type="dxa"/>
            <w:left w:w="108" w:type="dxa"/>
            <w:bottom w:w="0" w:type="dxa"/>
            <w:right w:w="108" w:type="dxa"/>
          </w:tblCellMar>
        </w:tblPrEx>
        <w:trPr>
          <w:trHeight w:val="589" w:hRule="atLeast"/>
          <w:jc w:val="center"/>
        </w:trPr>
        <w:tc>
          <w:tcPr>
            <w:tcW w:w="8168" w:type="dxa"/>
            <w:tcBorders>
              <w:top w:val="single" w:color="000000" w:sz="4" w:space="0"/>
              <w:left w:val="single" w:color="auto" w:sz="4" w:space="0"/>
              <w:bottom w:val="single" w:color="000000" w:sz="4" w:space="0"/>
              <w:right w:val="single" w:color="000000" w:sz="4" w:space="0"/>
            </w:tcBorders>
            <w:noWrap w:val="0"/>
            <w:vAlign w:val="top"/>
          </w:tcPr>
          <w:p>
            <w:pPr>
              <w:tabs>
                <w:tab w:val="left" w:pos="1950"/>
              </w:tabs>
              <w:spacing w:line="360" w:lineRule="auto"/>
              <w:jc w:val="center"/>
              <w:rPr>
                <w:rFonts w:hint="eastAsia" w:ascii="宋体" w:hAnsi="宋体" w:eastAsia="宋体" w:cs="宋体"/>
                <w:kern w:val="1"/>
                <w:szCs w:val="21"/>
                <w:highlight w:val="none"/>
              </w:rPr>
            </w:pPr>
            <w:r>
              <w:rPr>
                <w:rFonts w:hint="eastAsia" w:ascii="宋体" w:hAnsi="宋体" w:eastAsia="宋体" w:cs="宋体"/>
                <w:kern w:val="1"/>
                <w:szCs w:val="21"/>
                <w:highlight w:val="none"/>
              </w:rPr>
              <w:t>信 誉 要 求</w:t>
            </w:r>
          </w:p>
        </w:tc>
      </w:tr>
      <w:tr>
        <w:tblPrEx>
          <w:tblCellMar>
            <w:top w:w="0" w:type="dxa"/>
            <w:left w:w="108" w:type="dxa"/>
            <w:bottom w:w="0" w:type="dxa"/>
            <w:right w:w="108" w:type="dxa"/>
          </w:tblCellMar>
        </w:tblPrEx>
        <w:trPr>
          <w:trHeight w:val="1161" w:hRule="atLeast"/>
          <w:jc w:val="center"/>
        </w:trPr>
        <w:tc>
          <w:tcPr>
            <w:tcW w:w="8168" w:type="dxa"/>
            <w:tcBorders>
              <w:top w:val="single" w:color="000000" w:sz="4" w:space="0"/>
              <w:left w:val="single" w:color="auto" w:sz="4" w:space="0"/>
              <w:bottom w:val="single" w:color="000000" w:sz="4" w:space="0"/>
              <w:right w:val="single" w:color="000000" w:sz="4" w:space="0"/>
            </w:tcBorders>
            <w:noWrap w:val="0"/>
            <w:vAlign w:val="center"/>
          </w:tcPr>
          <w:p>
            <w:pPr>
              <w:pStyle w:val="6"/>
              <w:spacing w:line="276" w:lineRule="auto"/>
              <w:ind w:left="13" w:leftChars="6" w:right="-115" w:firstLine="0" w:firstLineChars="0"/>
              <w:rPr>
                <w:rFonts w:hint="eastAsia" w:ascii="宋体" w:hAnsi="宋体" w:eastAsia="宋体" w:cs="宋体"/>
                <w:bCs/>
                <w:kern w:val="2"/>
                <w:sz w:val="21"/>
                <w:szCs w:val="21"/>
                <w:highlight w:val="none"/>
                <w:lang w:val="zh-CN" w:eastAsia="zh-CN" w:bidi="ar-SA"/>
              </w:rPr>
            </w:pPr>
            <w:r>
              <w:rPr>
                <w:rFonts w:hint="eastAsia" w:ascii="宋体" w:hAnsi="宋体" w:eastAsia="宋体" w:cs="宋体"/>
                <w:bCs/>
                <w:kern w:val="2"/>
                <w:sz w:val="21"/>
                <w:szCs w:val="21"/>
                <w:highlight w:val="none"/>
                <w:lang w:val="zh-CN" w:eastAsia="zh-CN" w:bidi="ar-SA"/>
              </w:rPr>
              <w:t>投标人不得存在以下规定的任何一种情形：</w:t>
            </w:r>
          </w:p>
          <w:p>
            <w:pPr>
              <w:pStyle w:val="6"/>
              <w:spacing w:line="276" w:lineRule="auto"/>
              <w:ind w:left="13" w:leftChars="6" w:right="-115" w:firstLine="0" w:firstLineChars="0"/>
              <w:rPr>
                <w:rFonts w:hint="eastAsia" w:ascii="宋体" w:hAnsi="宋体" w:eastAsia="宋体" w:cs="宋体"/>
                <w:bCs/>
                <w:kern w:val="2"/>
                <w:sz w:val="21"/>
                <w:szCs w:val="21"/>
                <w:highlight w:val="none"/>
                <w:lang w:val="zh-CN" w:eastAsia="zh-CN" w:bidi="ar-SA"/>
              </w:rPr>
            </w:pPr>
            <w:r>
              <w:rPr>
                <w:rFonts w:hint="eastAsia" w:ascii="宋体" w:hAnsi="宋体" w:eastAsia="宋体" w:cs="宋体"/>
                <w:bCs/>
                <w:kern w:val="2"/>
                <w:sz w:val="21"/>
                <w:szCs w:val="21"/>
                <w:highlight w:val="none"/>
                <w:lang w:val="zh-CN" w:eastAsia="zh-CN" w:bidi="ar-SA"/>
              </w:rPr>
              <w:t>（1）财务被接管或冻结；</w:t>
            </w:r>
          </w:p>
          <w:p>
            <w:pPr>
              <w:pStyle w:val="6"/>
              <w:spacing w:line="276" w:lineRule="auto"/>
              <w:ind w:left="13" w:leftChars="6" w:right="-115" w:firstLine="0" w:firstLineChars="0"/>
              <w:rPr>
                <w:rFonts w:hint="eastAsia" w:ascii="宋体" w:hAnsi="宋体" w:eastAsia="宋体" w:cs="宋体"/>
                <w:kern w:val="1"/>
                <w:szCs w:val="18"/>
                <w:highlight w:val="none"/>
              </w:rPr>
            </w:pPr>
            <w:r>
              <w:rPr>
                <w:rFonts w:hint="eastAsia" w:ascii="宋体" w:hAnsi="宋体" w:eastAsia="宋体" w:cs="宋体"/>
                <w:bCs/>
                <w:kern w:val="2"/>
                <w:sz w:val="21"/>
                <w:szCs w:val="21"/>
                <w:highlight w:val="none"/>
                <w:lang w:val="zh-CN" w:eastAsia="zh-CN" w:bidi="ar-SA"/>
              </w:rPr>
              <w:t>（</w:t>
            </w:r>
            <w:r>
              <w:rPr>
                <w:rFonts w:hint="eastAsia" w:ascii="宋体" w:hAnsi="宋体" w:eastAsia="宋体" w:cs="宋体"/>
                <w:bCs/>
                <w:kern w:val="2"/>
                <w:sz w:val="21"/>
                <w:szCs w:val="21"/>
                <w:highlight w:val="none"/>
                <w:lang w:val="en-US" w:eastAsia="zh-CN" w:bidi="ar-SA"/>
              </w:rPr>
              <w:t>2</w:t>
            </w:r>
            <w:r>
              <w:rPr>
                <w:rFonts w:hint="eastAsia" w:ascii="宋体" w:hAnsi="宋体" w:eastAsia="宋体" w:cs="宋体"/>
                <w:bCs/>
                <w:kern w:val="2"/>
                <w:sz w:val="21"/>
                <w:szCs w:val="21"/>
                <w:highlight w:val="none"/>
                <w:lang w:val="zh-CN" w:eastAsia="zh-CN" w:bidi="ar-SA"/>
              </w:rPr>
              <w:t>）经评标委员会认定会对承担本项目造成重大影响的正在诉讼的案件。</w:t>
            </w:r>
          </w:p>
        </w:tc>
      </w:tr>
    </w:tbl>
    <w:p>
      <w:pPr>
        <w:rPr>
          <w:rFonts w:hint="eastAsia" w:ascii="宋体" w:hAnsi="宋体" w:eastAsia="宋体" w:cs="宋体"/>
          <w:highlight w:val="green"/>
        </w:rPr>
      </w:pPr>
    </w:p>
    <w:p>
      <w:pPr>
        <w:rPr>
          <w:rFonts w:hint="eastAsia" w:ascii="宋体" w:hAnsi="宋体" w:eastAsia="宋体" w:cs="宋体"/>
          <w:highlight w:val="green"/>
          <w:lang w:val="zh-CN"/>
        </w:rPr>
      </w:pPr>
    </w:p>
    <w:p>
      <w:pPr>
        <w:rPr>
          <w:rFonts w:hint="eastAsia" w:ascii="宋体" w:hAnsi="宋体" w:eastAsia="宋体" w:cs="宋体"/>
          <w:highlight w:val="green"/>
          <w:lang w:val="zh-CN"/>
        </w:rPr>
      </w:pPr>
    </w:p>
    <w:p>
      <w:pPr>
        <w:rPr>
          <w:rFonts w:hint="eastAsia" w:ascii="宋体" w:hAnsi="宋体" w:eastAsia="宋体" w:cs="宋体"/>
          <w:highlight w:val="green"/>
          <w:lang w:val="zh-CN"/>
        </w:rPr>
      </w:pPr>
    </w:p>
    <w:p>
      <w:pPr>
        <w:rPr>
          <w:rFonts w:hint="eastAsia" w:ascii="宋体" w:hAnsi="宋体" w:eastAsia="宋体" w:cs="宋体"/>
          <w:highlight w:val="green"/>
          <w:lang w:val="zh-C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rPr>
          <w:rFonts w:hint="eastAsia" w:ascii="宋体" w:hAnsi="宋体" w:eastAsia="宋体" w:cs="宋体"/>
          <w:highlight w:val="green"/>
        </w:rPr>
      </w:pPr>
    </w:p>
    <w:p>
      <w:pPr>
        <w:bidi w:val="0"/>
        <w:jc w:val="center"/>
        <w:rPr>
          <w:rFonts w:hint="eastAsia" w:ascii="宋体" w:hAnsi="宋体" w:eastAsia="宋体" w:cs="宋体"/>
          <w:highlight w:val="none"/>
        </w:rPr>
      </w:pPr>
      <w:r>
        <w:rPr>
          <w:rFonts w:hint="eastAsia" w:ascii="宋体" w:hAnsi="宋体" w:eastAsia="宋体" w:cs="宋体"/>
          <w:highlight w:val="green"/>
        </w:rPr>
        <w:br w:type="page"/>
      </w:r>
      <w:r>
        <w:rPr>
          <w:rFonts w:hint="eastAsia" w:ascii="宋体" w:hAnsi="宋体" w:eastAsia="宋体" w:cs="宋体"/>
          <w:b/>
          <w:sz w:val="28"/>
          <w:szCs w:val="28"/>
          <w:highlight w:val="none"/>
          <w:lang w:val="zh-CN"/>
        </w:rPr>
        <w:t>附录5资格审查条件（项目经理和项目总工最低要求）</w:t>
      </w:r>
      <w:bookmarkEnd w:id="9"/>
    </w:p>
    <w:tbl>
      <w:tblPr>
        <w:tblStyle w:val="7"/>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65"/>
        <w:gridCol w:w="58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65" w:type="dxa"/>
            <w:noWrap w:val="0"/>
            <w:vAlign w:val="center"/>
          </w:tcPr>
          <w:p>
            <w:pPr>
              <w:autoSpaceDE w:val="0"/>
              <w:autoSpaceDN w:val="0"/>
              <w:adjustRightInd w:val="0"/>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人员</w:t>
            </w:r>
          </w:p>
        </w:tc>
        <w:tc>
          <w:tcPr>
            <w:tcW w:w="465" w:type="dxa"/>
            <w:noWrap w:val="0"/>
            <w:vAlign w:val="center"/>
          </w:tcPr>
          <w:p>
            <w:pPr>
              <w:autoSpaceDE w:val="0"/>
              <w:autoSpaceDN w:val="0"/>
              <w:adjustRightIn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数量</w:t>
            </w:r>
          </w:p>
        </w:tc>
        <w:tc>
          <w:tcPr>
            <w:tcW w:w="5841" w:type="dxa"/>
            <w:noWrap w:val="0"/>
            <w:vAlign w:val="center"/>
          </w:tcPr>
          <w:p>
            <w:pPr>
              <w:autoSpaceDE w:val="0"/>
              <w:autoSpaceDN w:val="0"/>
              <w:adjustRightIn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资格要求</w:t>
            </w:r>
          </w:p>
        </w:tc>
        <w:tc>
          <w:tcPr>
            <w:tcW w:w="1701" w:type="dxa"/>
            <w:noWrap w:val="0"/>
            <w:vAlign w:val="center"/>
          </w:tcPr>
          <w:p>
            <w:pPr>
              <w:autoSpaceDE w:val="0"/>
              <w:autoSpaceDN w:val="0"/>
              <w:adjustRightIn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765" w:type="dxa"/>
            <w:noWrap w:val="0"/>
            <w:vAlign w:val="center"/>
          </w:tcPr>
          <w:p>
            <w:pPr>
              <w:autoSpaceDE w:val="0"/>
              <w:autoSpaceDN w:val="0"/>
              <w:adjustRightInd w:val="0"/>
              <w:spacing w:line="400" w:lineRule="exact"/>
              <w:jc w:val="center"/>
              <w:rPr>
                <w:rFonts w:hint="eastAsia" w:ascii="宋体" w:hAnsi="宋体" w:eastAsia="宋体" w:cs="宋体"/>
                <w:b/>
                <w:kern w:val="2"/>
                <w:sz w:val="21"/>
                <w:szCs w:val="21"/>
                <w:highlight w:val="none"/>
                <w:lang w:val="en-US" w:eastAsia="zh-CN" w:bidi="ar-SA"/>
              </w:rPr>
            </w:pPr>
            <w:r>
              <w:rPr>
                <w:rFonts w:hint="eastAsia" w:ascii="宋体" w:hAnsi="宋体" w:eastAsia="宋体" w:cs="宋体"/>
                <w:szCs w:val="21"/>
                <w:highlight w:val="none"/>
              </w:rPr>
              <w:t>项目经理</w:t>
            </w:r>
          </w:p>
        </w:tc>
        <w:tc>
          <w:tcPr>
            <w:tcW w:w="465" w:type="dxa"/>
            <w:noWrap w:val="0"/>
            <w:vAlign w:val="center"/>
          </w:tcPr>
          <w:p>
            <w:pPr>
              <w:autoSpaceDE w:val="0"/>
              <w:autoSpaceDN w:val="0"/>
              <w:adjustRightInd w:val="0"/>
              <w:spacing w:line="400" w:lineRule="exact"/>
              <w:jc w:val="center"/>
              <w:rPr>
                <w:rFonts w:hint="eastAsia"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1</w:t>
            </w:r>
          </w:p>
        </w:tc>
        <w:tc>
          <w:tcPr>
            <w:tcW w:w="5841" w:type="dxa"/>
            <w:noWrap w:val="0"/>
            <w:vAlign w:val="center"/>
          </w:tcPr>
          <w:p>
            <w:pPr>
              <w:spacing w:line="276" w:lineRule="auto"/>
              <w:rPr>
                <w:rFonts w:hint="eastAsia" w:ascii="宋体" w:hAnsi="宋体" w:eastAsia="宋体" w:cs="宋体"/>
                <w:b/>
                <w:szCs w:val="21"/>
                <w:highlight w:val="none"/>
              </w:rPr>
            </w:pPr>
            <w:r>
              <w:rPr>
                <w:rFonts w:hint="eastAsia" w:ascii="宋体" w:hAnsi="宋体" w:eastAsia="宋体" w:cs="宋体"/>
                <w:b/>
                <w:szCs w:val="21"/>
                <w:highlight w:val="none"/>
              </w:rPr>
              <w:t>（1）投标人自有人员</w:t>
            </w:r>
            <w:r>
              <w:rPr>
                <w:rStyle w:val="9"/>
                <w:rFonts w:hint="eastAsia" w:ascii="宋体" w:hAnsi="宋体" w:eastAsia="宋体" w:cs="宋体"/>
                <w:bCs/>
                <w:highlight w:val="none"/>
              </w:rPr>
              <w:footnoteReference w:id="2"/>
            </w:r>
            <w:r>
              <w:rPr>
                <w:rFonts w:hint="eastAsia" w:ascii="宋体" w:hAnsi="宋体" w:eastAsia="宋体" w:cs="宋体"/>
                <w:szCs w:val="21"/>
                <w:highlight w:val="none"/>
              </w:rPr>
              <w:t>；</w:t>
            </w:r>
          </w:p>
          <w:p>
            <w:pPr>
              <w:spacing w:line="276" w:lineRule="auto"/>
              <w:rPr>
                <w:rFonts w:hint="eastAsia" w:ascii="宋体" w:hAnsi="宋体" w:eastAsia="宋体" w:cs="宋体"/>
                <w:bCs/>
                <w:highlight w:val="none"/>
              </w:rPr>
            </w:pPr>
            <w:r>
              <w:rPr>
                <w:rFonts w:hint="eastAsia" w:ascii="宋体" w:hAnsi="宋体" w:eastAsia="宋体" w:cs="宋体"/>
                <w:b/>
                <w:szCs w:val="21"/>
                <w:highlight w:val="none"/>
              </w:rPr>
              <w:t>（2）</w:t>
            </w:r>
            <w:r>
              <w:rPr>
                <w:rFonts w:hint="eastAsia" w:ascii="宋体" w:hAnsi="宋体" w:eastAsia="宋体" w:cs="宋体"/>
                <w:szCs w:val="21"/>
                <w:highlight w:val="none"/>
              </w:rPr>
              <w:t>具有</w:t>
            </w:r>
            <w:r>
              <w:rPr>
                <w:rFonts w:hint="eastAsia" w:ascii="宋体" w:hAnsi="宋体" w:eastAsia="宋体" w:cs="宋体"/>
                <w:bCs/>
                <w:highlight w:val="none"/>
              </w:rPr>
              <w:t>公路工程相关专业</w:t>
            </w:r>
            <w:r>
              <w:rPr>
                <w:rStyle w:val="9"/>
                <w:rFonts w:hint="eastAsia" w:ascii="宋体" w:hAnsi="宋体" w:eastAsia="宋体" w:cs="宋体"/>
                <w:bCs/>
                <w:highlight w:val="none"/>
              </w:rPr>
              <w:footnoteReference w:id="3"/>
            </w:r>
            <w:r>
              <w:rPr>
                <w:rFonts w:hint="eastAsia" w:ascii="宋体" w:hAnsi="宋体" w:eastAsia="宋体" w:cs="宋体"/>
                <w:b/>
                <w:bCs w:val="0"/>
                <w:highlight w:val="none"/>
                <w:lang w:eastAsia="zh-CN"/>
              </w:rPr>
              <w:t>中级</w:t>
            </w:r>
            <w:r>
              <w:rPr>
                <w:rFonts w:hint="eastAsia" w:ascii="宋体" w:hAnsi="宋体" w:eastAsia="宋体" w:cs="宋体"/>
                <w:b/>
                <w:bCs/>
                <w:highlight w:val="none"/>
                <w:lang w:eastAsia="zh-CN"/>
              </w:rPr>
              <w:t>工程师及以上</w:t>
            </w:r>
            <w:r>
              <w:rPr>
                <w:rFonts w:hint="eastAsia" w:ascii="宋体" w:hAnsi="宋体" w:eastAsia="宋体" w:cs="宋体"/>
                <w:b/>
                <w:bCs/>
                <w:highlight w:val="none"/>
              </w:rPr>
              <w:t>职称</w:t>
            </w:r>
            <w:r>
              <w:rPr>
                <w:rFonts w:hint="eastAsia" w:ascii="宋体" w:hAnsi="宋体" w:eastAsia="宋体" w:cs="宋体"/>
                <w:szCs w:val="21"/>
                <w:highlight w:val="none"/>
              </w:rPr>
              <w:t>；</w:t>
            </w:r>
          </w:p>
          <w:p>
            <w:pPr>
              <w:spacing w:line="276" w:lineRule="auto"/>
              <w:rPr>
                <w:rFonts w:hint="eastAsia" w:ascii="宋体" w:hAnsi="宋体" w:eastAsia="宋体" w:cs="宋体"/>
                <w:bCs/>
                <w:highlight w:val="none"/>
              </w:rPr>
            </w:pPr>
            <w:r>
              <w:rPr>
                <w:rFonts w:hint="eastAsia" w:ascii="宋体" w:hAnsi="宋体" w:eastAsia="宋体" w:cs="宋体"/>
                <w:b/>
                <w:szCs w:val="21"/>
                <w:highlight w:val="none"/>
              </w:rPr>
              <w:t>（3）</w:t>
            </w:r>
            <w:r>
              <w:rPr>
                <w:rFonts w:hint="eastAsia" w:ascii="宋体" w:hAnsi="宋体" w:eastAsia="宋体" w:cs="宋体"/>
                <w:szCs w:val="21"/>
                <w:highlight w:val="none"/>
              </w:rPr>
              <w:t>持有建设主管部门颁发的有效的“</w:t>
            </w:r>
            <w:r>
              <w:rPr>
                <w:rFonts w:hint="eastAsia" w:ascii="宋体" w:hAnsi="宋体" w:eastAsia="宋体" w:cs="宋体"/>
                <w:b/>
                <w:bCs/>
                <w:highlight w:val="none"/>
              </w:rPr>
              <w:t>公路工程</w:t>
            </w:r>
            <w:r>
              <w:rPr>
                <w:rFonts w:hint="eastAsia" w:ascii="宋体" w:hAnsi="宋体" w:eastAsia="宋体" w:cs="宋体"/>
                <w:szCs w:val="21"/>
                <w:highlight w:val="none"/>
              </w:rPr>
              <w:t>”专业</w:t>
            </w:r>
            <w:r>
              <w:rPr>
                <w:rFonts w:hint="eastAsia" w:ascii="宋体" w:hAnsi="宋体" w:eastAsia="宋体" w:cs="宋体"/>
                <w:b/>
                <w:szCs w:val="21"/>
                <w:highlight w:val="none"/>
              </w:rPr>
              <w:t>《</w:t>
            </w:r>
            <w:r>
              <w:rPr>
                <w:rFonts w:hint="eastAsia" w:ascii="宋体" w:hAnsi="宋体" w:eastAsia="宋体" w:cs="宋体"/>
                <w:b/>
                <w:szCs w:val="21"/>
                <w:highlight w:val="none"/>
                <w:lang w:eastAsia="zh-CN"/>
              </w:rPr>
              <w:t>贰</w:t>
            </w:r>
            <w:r>
              <w:rPr>
                <w:rFonts w:hint="eastAsia" w:ascii="宋体" w:hAnsi="宋体" w:eastAsia="宋体" w:cs="宋体"/>
                <w:b/>
                <w:szCs w:val="21"/>
                <w:highlight w:val="none"/>
              </w:rPr>
              <w:t>级建造师注册证书》或《</w:t>
            </w:r>
            <w:r>
              <w:rPr>
                <w:rFonts w:hint="eastAsia" w:ascii="宋体" w:hAnsi="宋体" w:eastAsia="宋体" w:cs="宋体"/>
                <w:b/>
                <w:szCs w:val="21"/>
                <w:highlight w:val="none"/>
                <w:lang w:eastAsia="zh-CN"/>
              </w:rPr>
              <w:t>贰</w:t>
            </w:r>
            <w:r>
              <w:rPr>
                <w:rFonts w:hint="eastAsia" w:ascii="宋体" w:hAnsi="宋体" w:eastAsia="宋体" w:cs="宋体"/>
                <w:b/>
                <w:szCs w:val="21"/>
                <w:highlight w:val="none"/>
              </w:rPr>
              <w:t>级建造师电子注册证书》</w:t>
            </w:r>
            <w:r>
              <w:rPr>
                <w:rFonts w:hint="eastAsia" w:ascii="宋体" w:hAnsi="宋体" w:eastAsia="宋体" w:cs="宋体"/>
                <w:bCs/>
                <w:szCs w:val="21"/>
                <w:highlight w:val="none"/>
              </w:rPr>
              <w:t>，且现注册单位为投标人；</w:t>
            </w:r>
          </w:p>
          <w:p>
            <w:pPr>
              <w:adjustRightInd w:val="0"/>
              <w:snapToGrid w:val="0"/>
              <w:spacing w:line="276" w:lineRule="auto"/>
              <w:rPr>
                <w:rFonts w:hint="eastAsia" w:ascii="宋体" w:hAnsi="宋体" w:eastAsia="宋体" w:cs="宋体"/>
                <w:bCs/>
                <w:highlight w:val="none"/>
                <w:lang w:eastAsia="zh-CN"/>
              </w:rPr>
            </w:pPr>
            <w:r>
              <w:rPr>
                <w:rFonts w:hint="eastAsia" w:ascii="宋体" w:hAnsi="宋体" w:eastAsia="宋体" w:cs="宋体"/>
                <w:b/>
                <w:szCs w:val="21"/>
                <w:highlight w:val="none"/>
              </w:rPr>
              <w:t>（4）</w:t>
            </w:r>
            <w:r>
              <w:rPr>
                <w:rFonts w:hint="eastAsia" w:ascii="宋体" w:hAnsi="宋体" w:eastAsia="宋体" w:cs="宋体"/>
                <w:szCs w:val="21"/>
                <w:highlight w:val="none"/>
              </w:rPr>
              <w:t>具有</w:t>
            </w:r>
            <w:r>
              <w:rPr>
                <w:rFonts w:hint="eastAsia" w:ascii="宋体" w:hAnsi="宋体" w:eastAsia="宋体" w:cs="宋体"/>
                <w:bCs/>
                <w:highlight w:val="none"/>
              </w:rPr>
              <w:t>相关部门颁发</w:t>
            </w:r>
            <w:r>
              <w:rPr>
                <w:rFonts w:hint="eastAsia" w:ascii="宋体" w:hAnsi="宋体" w:eastAsia="宋体" w:cs="宋体"/>
                <w:szCs w:val="21"/>
                <w:highlight w:val="none"/>
              </w:rPr>
              <w:t>的</w:t>
            </w:r>
            <w:r>
              <w:rPr>
                <w:rFonts w:hint="eastAsia" w:ascii="宋体" w:hAnsi="宋体" w:eastAsia="宋体" w:cs="宋体"/>
                <w:bCs/>
                <w:highlight w:val="none"/>
              </w:rPr>
              <w:t>有效的B类</w:t>
            </w:r>
            <w:r>
              <w:rPr>
                <w:rFonts w:hint="eastAsia" w:ascii="宋体" w:hAnsi="宋体" w:eastAsia="宋体" w:cs="宋体"/>
                <w:b/>
                <w:color w:val="000000"/>
                <w:sz w:val="20"/>
                <w:szCs w:val="20"/>
                <w:highlight w:val="none"/>
              </w:rPr>
              <w:t>《安全生产考核合格证书》</w:t>
            </w:r>
            <w:r>
              <w:rPr>
                <w:rFonts w:hint="eastAsia" w:ascii="宋体" w:hAnsi="宋体" w:eastAsia="宋体" w:cs="宋体"/>
                <w:b/>
                <w:color w:val="000000"/>
                <w:sz w:val="20"/>
                <w:szCs w:val="20"/>
                <w:highlight w:val="none"/>
                <w:lang w:eastAsia="zh-CN"/>
              </w:rPr>
              <w:t>或《电子证书》</w:t>
            </w:r>
            <w:r>
              <w:rPr>
                <w:rFonts w:hint="eastAsia" w:ascii="宋体" w:hAnsi="宋体" w:eastAsia="宋体" w:cs="宋体"/>
                <w:szCs w:val="21"/>
                <w:highlight w:val="none"/>
              </w:rPr>
              <w:t>；</w:t>
            </w:r>
          </w:p>
        </w:tc>
        <w:tc>
          <w:tcPr>
            <w:tcW w:w="1701" w:type="dxa"/>
            <w:vMerge w:val="restart"/>
            <w:noWrap w:val="0"/>
            <w:vAlign w:val="center"/>
          </w:tcPr>
          <w:p>
            <w:pPr>
              <w:spacing w:line="276" w:lineRule="auto"/>
              <w:jc w:val="center"/>
              <w:rPr>
                <w:rFonts w:hint="eastAsia" w:ascii="宋体" w:hAnsi="宋体" w:eastAsia="宋体" w:cs="宋体"/>
                <w:b/>
                <w:szCs w:val="21"/>
                <w:highlight w:val="none"/>
              </w:rPr>
            </w:pPr>
            <w:r>
              <w:rPr>
                <w:rFonts w:hint="eastAsia" w:ascii="宋体" w:hAnsi="宋体" w:eastAsia="宋体" w:cs="宋体"/>
                <w:szCs w:val="21"/>
                <w:highlight w:val="none"/>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65" w:type="dxa"/>
            <w:noWrap w:val="0"/>
            <w:vAlign w:val="center"/>
          </w:tcPr>
          <w:p>
            <w:pPr>
              <w:autoSpaceDE w:val="0"/>
              <w:autoSpaceDN w:val="0"/>
              <w:adjustRightInd w:val="0"/>
              <w:spacing w:line="400" w:lineRule="exact"/>
              <w:jc w:val="center"/>
              <w:rPr>
                <w:rFonts w:hint="eastAsia" w:ascii="宋体" w:hAnsi="宋体" w:eastAsia="宋体" w:cs="宋体"/>
                <w:b/>
                <w:kern w:val="2"/>
                <w:sz w:val="21"/>
                <w:szCs w:val="21"/>
                <w:highlight w:val="none"/>
                <w:lang w:val="en-US" w:eastAsia="zh-CN" w:bidi="ar-SA"/>
              </w:rPr>
            </w:pPr>
            <w:r>
              <w:rPr>
                <w:rFonts w:hint="eastAsia" w:ascii="宋体" w:hAnsi="宋体" w:eastAsia="宋体" w:cs="宋体"/>
                <w:szCs w:val="21"/>
                <w:highlight w:val="none"/>
              </w:rPr>
              <w:t>项目总工</w:t>
            </w:r>
          </w:p>
        </w:tc>
        <w:tc>
          <w:tcPr>
            <w:tcW w:w="465" w:type="dxa"/>
            <w:noWrap w:val="0"/>
            <w:vAlign w:val="center"/>
          </w:tcPr>
          <w:p>
            <w:pPr>
              <w:autoSpaceDE w:val="0"/>
              <w:autoSpaceDN w:val="0"/>
              <w:adjustRightInd w:val="0"/>
              <w:spacing w:line="400" w:lineRule="exact"/>
              <w:jc w:val="center"/>
              <w:rPr>
                <w:rFonts w:hint="eastAsia"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1</w:t>
            </w:r>
          </w:p>
        </w:tc>
        <w:tc>
          <w:tcPr>
            <w:tcW w:w="5841" w:type="dxa"/>
            <w:noWrap w:val="0"/>
            <w:vAlign w:val="center"/>
          </w:tcPr>
          <w:p>
            <w:pPr>
              <w:spacing w:line="276" w:lineRule="auto"/>
              <w:rPr>
                <w:rFonts w:hint="eastAsia" w:ascii="宋体" w:hAnsi="宋体" w:eastAsia="宋体" w:cs="宋体"/>
                <w:b/>
                <w:szCs w:val="21"/>
                <w:highlight w:val="none"/>
              </w:rPr>
            </w:pPr>
            <w:r>
              <w:rPr>
                <w:rFonts w:hint="eastAsia" w:ascii="宋体" w:hAnsi="宋体" w:eastAsia="宋体" w:cs="宋体"/>
                <w:b/>
                <w:szCs w:val="21"/>
                <w:highlight w:val="none"/>
              </w:rPr>
              <w:t>（1）投标人自有人员</w:t>
            </w:r>
            <w:r>
              <w:rPr>
                <w:rFonts w:hint="eastAsia" w:ascii="宋体" w:hAnsi="宋体" w:eastAsia="宋体" w:cs="宋体"/>
                <w:szCs w:val="21"/>
                <w:highlight w:val="none"/>
              </w:rPr>
              <w:t>；</w:t>
            </w:r>
          </w:p>
          <w:p>
            <w:pPr>
              <w:spacing w:line="276" w:lineRule="auto"/>
              <w:rPr>
                <w:rFonts w:hint="eastAsia" w:ascii="宋体" w:hAnsi="宋体" w:eastAsia="宋体" w:cs="宋体"/>
                <w:szCs w:val="21"/>
                <w:highlight w:val="none"/>
              </w:rPr>
            </w:pPr>
            <w:r>
              <w:rPr>
                <w:rFonts w:hint="eastAsia" w:ascii="宋体" w:hAnsi="宋体" w:eastAsia="宋体" w:cs="宋体"/>
                <w:b/>
                <w:szCs w:val="21"/>
                <w:highlight w:val="none"/>
              </w:rPr>
              <w:t>（2）</w:t>
            </w:r>
            <w:r>
              <w:rPr>
                <w:rFonts w:hint="eastAsia" w:ascii="宋体" w:hAnsi="宋体" w:eastAsia="宋体" w:cs="宋体"/>
                <w:szCs w:val="21"/>
                <w:highlight w:val="none"/>
              </w:rPr>
              <w:t>具有</w:t>
            </w:r>
            <w:r>
              <w:rPr>
                <w:rFonts w:hint="eastAsia" w:ascii="宋体" w:hAnsi="宋体" w:eastAsia="宋体" w:cs="宋体"/>
                <w:bCs/>
                <w:highlight w:val="none"/>
              </w:rPr>
              <w:t>公路工程相关专业</w:t>
            </w:r>
            <w:r>
              <w:rPr>
                <w:rFonts w:hint="eastAsia" w:ascii="宋体" w:hAnsi="宋体" w:eastAsia="宋体" w:cs="宋体"/>
                <w:b/>
                <w:bCs/>
                <w:highlight w:val="none"/>
                <w:lang w:eastAsia="zh-CN"/>
              </w:rPr>
              <w:t>中级工程师及以上</w:t>
            </w:r>
            <w:r>
              <w:rPr>
                <w:rFonts w:hint="eastAsia" w:ascii="宋体" w:hAnsi="宋体" w:eastAsia="宋体" w:cs="宋体"/>
                <w:b/>
                <w:bCs/>
                <w:highlight w:val="none"/>
              </w:rPr>
              <w:t>职称</w:t>
            </w:r>
            <w:r>
              <w:rPr>
                <w:rFonts w:hint="eastAsia" w:ascii="宋体" w:hAnsi="宋体" w:eastAsia="宋体" w:cs="宋体"/>
                <w:szCs w:val="21"/>
                <w:highlight w:val="none"/>
              </w:rPr>
              <w:t>；</w:t>
            </w:r>
          </w:p>
        </w:tc>
        <w:tc>
          <w:tcPr>
            <w:tcW w:w="1701" w:type="dxa"/>
            <w:vMerge w:val="continue"/>
            <w:noWrap w:val="0"/>
            <w:vAlign w:val="top"/>
          </w:tcPr>
          <w:p>
            <w:pPr>
              <w:rPr>
                <w:rFonts w:hint="eastAsia" w:ascii="宋体" w:hAnsi="宋体" w:eastAsia="宋体" w:cs="宋体"/>
                <w:b/>
                <w:szCs w:val="21"/>
                <w:highlight w:val="none"/>
              </w:rPr>
            </w:pPr>
          </w:p>
        </w:tc>
      </w:tr>
    </w:tbl>
    <w:p>
      <w:pPr>
        <w:autoSpaceDE w:val="0"/>
        <w:autoSpaceDN w:val="0"/>
        <w:adjustRightInd w:val="0"/>
        <w:spacing w:line="360" w:lineRule="auto"/>
        <w:jc w:val="left"/>
        <w:outlineLvl w:val="2"/>
        <w:rPr>
          <w:rFonts w:hint="eastAsia" w:ascii="宋体" w:hAnsi="宋体" w:eastAsia="宋体" w:cs="宋体"/>
          <w:szCs w:val="21"/>
          <w:highlight w:val="none"/>
          <w:lang w:eastAsia="zh-CN"/>
        </w:rPr>
      </w:pPr>
    </w:p>
    <w:p>
      <w:pPr>
        <w:autoSpaceDE w:val="0"/>
        <w:autoSpaceDN w:val="0"/>
        <w:adjustRightInd w:val="0"/>
        <w:spacing w:line="360" w:lineRule="auto"/>
        <w:jc w:val="left"/>
        <w:outlineLvl w:val="2"/>
        <w:rPr>
          <w:rFonts w:hint="eastAsia" w:ascii="宋体" w:hAnsi="宋体" w:eastAsia="宋体" w:cs="宋体"/>
          <w:szCs w:val="21"/>
          <w:highlight w:val="none"/>
          <w:lang w:eastAsia="zh-CN"/>
        </w:rPr>
      </w:pPr>
    </w:p>
    <w:p>
      <w:pPr>
        <w:autoSpaceDE w:val="0"/>
        <w:autoSpaceDN w:val="0"/>
        <w:adjustRightInd w:val="0"/>
        <w:spacing w:line="360" w:lineRule="auto"/>
        <w:jc w:val="left"/>
        <w:outlineLvl w:val="2"/>
        <w:rPr>
          <w:rFonts w:hint="eastAsia" w:ascii="宋体" w:hAnsi="宋体" w:eastAsia="宋体" w:cs="宋体"/>
          <w:szCs w:val="21"/>
          <w:highlight w:val="none"/>
          <w:lang w:eastAsia="zh-CN"/>
        </w:rPr>
      </w:pPr>
    </w:p>
    <w:p>
      <w:pPr>
        <w:pStyle w:val="2"/>
        <w:rPr>
          <w:rFonts w:hint="eastAsia"/>
          <w:lang w:val="en-US" w:eastAsia="zh-CN"/>
        </w:rPr>
      </w:pPr>
      <w:r>
        <w:rPr>
          <w:rFonts w:hint="eastAsia" w:ascii="宋体" w:hAnsi="宋体" w:eastAsia="宋体" w:cs="宋体"/>
          <w:szCs w:val="21"/>
          <w:highlight w:val="none"/>
        </w:rPr>
        <w:br w:type="page"/>
      </w:r>
    </w:p>
    <w:p>
      <w:pPr>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三、评标办法</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本次评标采用双信封技术评分最低标价法。评标委员会对通过投标文件第一个信封（商务及技术文件）评审，综合评分前三名的</w:t>
      </w:r>
      <w:r>
        <w:rPr>
          <w:rFonts w:hint="eastAsia" w:ascii="宋体" w:hAnsi="宋体" w:eastAsia="宋体" w:cs="宋体"/>
          <w:sz w:val="24"/>
          <w:szCs w:val="24"/>
          <w:lang w:val="zh-CN" w:eastAsia="zh-CN"/>
        </w:rPr>
        <w:t>投标文件</w:t>
      </w:r>
      <w:r>
        <w:rPr>
          <w:rFonts w:hint="eastAsia" w:ascii="宋体" w:hAnsi="宋体" w:eastAsia="宋体" w:cs="宋体"/>
          <w:sz w:val="24"/>
          <w:szCs w:val="24"/>
          <w:lang w:val="en-US" w:eastAsia="zh-CN"/>
        </w:rPr>
        <w:t>第二个信封（报价文件）进行开标，按评标价由低到高的顺序推荐三名中标候选人，</w:t>
      </w:r>
      <w:r>
        <w:rPr>
          <w:rFonts w:hint="eastAsia" w:ascii="宋体" w:hAnsi="宋体" w:eastAsia="宋体" w:cs="宋体"/>
          <w:sz w:val="24"/>
          <w:szCs w:val="24"/>
          <w:lang w:val="zh-CN" w:eastAsia="zh-CN"/>
        </w:rPr>
        <w:t>但投标报价低于其成本的除外。</w:t>
      </w:r>
      <w:r>
        <w:rPr>
          <w:rFonts w:hint="eastAsia" w:ascii="宋体" w:hAnsi="宋体" w:eastAsia="宋体" w:cs="宋体"/>
          <w:sz w:val="24"/>
          <w:szCs w:val="24"/>
          <w:lang w:val="en-US" w:eastAsia="zh-CN"/>
        </w:rPr>
        <w:t>本项目设置投标控制价上限，高于投标控制价上限作否决处理。如评标委员会认为投标报价低于成本的，评标委员会将否决其投标。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招标评标程序简介如下：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（1）招标人按照第二章“投标人须知”第5.2.1项的规定对投标文件第一个信封（商务及技术文件）进行开标。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（2）评标委员会首先对投标文件第一个信封（商务及技术文件）进行评审、评分，确定通过投标文件第一个信封（商务及技术文件）评审的投标人名单及排序。</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如同一标段出现多名投标人的第一信封（商务及技术文件）综合得分相等时，则按照以下所列顺位在前的优先：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a.主要人员得分较高者；</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b.施工组织设计得分较高者；</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c.履约信誉得分较高者；</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若第一信封评审时以上各项评分因素得分都相等，则通过评委会投票表决，推荐票数多的投标人排序在先。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（3）招标人按照第二章“投标人须知”第5.2.3项的规定对通过第一信封评审且综合评分前三名的投标人其第二个信封（报价文件）进行开标。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（4）评标委员会对开标的投标文件第二个信封（报价文件）进行评审，并按评标价由低到高的顺序推荐三名中标候选人。</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检查是否有围标、串标情况，如有相关投标文件将被否决。</w:t>
      </w:r>
    </w:p>
    <w:p>
      <w:pPr>
        <w:pStyle w:val="4"/>
        <w:keepNext w:val="0"/>
        <w:keepLines w:val="0"/>
        <w:spacing w:before="0" w:after="0" w:line="415" w:lineRule="auto"/>
        <w:jc w:val="left"/>
        <w:rPr>
          <w:rFonts w:hint="eastAsia" w:ascii="宋体" w:hAnsi="宋体" w:eastAsia="宋体" w:cs="宋体"/>
          <w:b w:val="0"/>
          <w:bCs w:val="0"/>
          <w:sz w:val="28"/>
          <w:szCs w:val="28"/>
        </w:rPr>
      </w:pPr>
      <w:bookmarkStart w:id="10" w:name="_Toc441605621"/>
      <w:bookmarkStart w:id="11" w:name="_Toc9178"/>
      <w:r>
        <w:rPr>
          <w:rFonts w:hint="eastAsia" w:ascii="宋体" w:hAnsi="宋体" w:eastAsia="宋体" w:cs="宋体"/>
          <w:b/>
          <w:bCs/>
          <w:sz w:val="32"/>
          <w:szCs w:val="32"/>
        </w:rPr>
        <w:t>评标办法前附表</w:t>
      </w:r>
      <w:bookmarkEnd w:id="10"/>
      <w:bookmarkEnd w:id="1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条款号</w:t>
            </w:r>
          </w:p>
        </w:tc>
        <w:tc>
          <w:tcPr>
            <w:tcW w:w="7159"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1</w:t>
            </w:r>
          </w:p>
        </w:tc>
        <w:tc>
          <w:tcPr>
            <w:tcW w:w="139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评标办法</w:t>
            </w:r>
          </w:p>
        </w:tc>
        <w:tc>
          <w:tcPr>
            <w:tcW w:w="7159"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本款修改为：</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bCs/>
                <w:sz w:val="21"/>
                <w:szCs w:val="21"/>
                <w:lang w:val="zh-CN"/>
              </w:rPr>
            </w:pPr>
            <w:r>
              <w:rPr>
                <w:rFonts w:hint="eastAsia" w:ascii="宋体" w:hAnsi="宋体" w:eastAsia="宋体" w:cs="宋体"/>
                <w:sz w:val="21"/>
                <w:szCs w:val="21"/>
              </w:rPr>
              <w:t>本次评标采用</w:t>
            </w:r>
            <w:r>
              <w:rPr>
                <w:rFonts w:hint="eastAsia" w:ascii="宋体" w:hAnsi="宋体" w:eastAsia="宋体" w:cs="宋体"/>
                <w:b/>
                <w:sz w:val="21"/>
                <w:szCs w:val="21"/>
              </w:rPr>
              <w:t>双信封技术评分最低标价法</w:t>
            </w:r>
            <w:r>
              <w:rPr>
                <w:rFonts w:hint="eastAsia" w:ascii="宋体" w:hAnsi="宋体" w:eastAsia="宋体" w:cs="宋体"/>
                <w:sz w:val="21"/>
                <w:szCs w:val="21"/>
              </w:rPr>
              <w:t>。评标委员会对通过投标文件第一个信封（商务及技术文件）评审，综合评分前三名的</w:t>
            </w:r>
            <w:r>
              <w:rPr>
                <w:rFonts w:hint="eastAsia" w:ascii="宋体" w:hAnsi="宋体" w:eastAsia="宋体" w:cs="宋体"/>
                <w:kern w:val="0"/>
                <w:sz w:val="21"/>
                <w:szCs w:val="21"/>
                <w:lang w:val="zh-CN"/>
              </w:rPr>
              <w:t>投标文件</w:t>
            </w:r>
            <w:r>
              <w:rPr>
                <w:rFonts w:hint="eastAsia" w:ascii="宋体" w:hAnsi="宋体" w:eastAsia="宋体" w:cs="宋体"/>
                <w:sz w:val="21"/>
                <w:szCs w:val="21"/>
              </w:rPr>
              <w:t>第二个信封（报价文件）进行开标，按评标价由低到高的顺序</w:t>
            </w:r>
            <w:r>
              <w:rPr>
                <w:rFonts w:hint="eastAsia" w:ascii="宋体" w:hAnsi="宋体" w:eastAsia="宋体" w:cs="宋体"/>
                <w:b/>
                <w:sz w:val="21"/>
                <w:szCs w:val="21"/>
              </w:rPr>
              <w:t>推荐</w:t>
            </w:r>
            <w:r>
              <w:rPr>
                <w:rFonts w:hint="eastAsia" w:ascii="宋体" w:hAnsi="宋体" w:eastAsia="宋体" w:cs="宋体"/>
                <w:b/>
                <w:sz w:val="21"/>
                <w:szCs w:val="21"/>
                <w:lang w:eastAsia="zh-CN"/>
              </w:rPr>
              <w:t>三</w:t>
            </w:r>
            <w:r>
              <w:rPr>
                <w:rFonts w:hint="eastAsia" w:ascii="宋体" w:hAnsi="宋体" w:eastAsia="宋体" w:cs="宋体"/>
                <w:b/>
                <w:sz w:val="21"/>
                <w:szCs w:val="21"/>
              </w:rPr>
              <w:t>名中标候选人</w:t>
            </w:r>
            <w:r>
              <w:rPr>
                <w:rFonts w:hint="eastAsia" w:ascii="宋体" w:hAnsi="宋体" w:eastAsia="宋体" w:cs="宋体"/>
                <w:sz w:val="21"/>
                <w:szCs w:val="21"/>
              </w:rPr>
              <w:t>，</w:t>
            </w:r>
            <w:r>
              <w:rPr>
                <w:rFonts w:hint="eastAsia" w:ascii="宋体" w:hAnsi="宋体" w:eastAsia="宋体" w:cs="宋体"/>
                <w:bCs/>
                <w:sz w:val="21"/>
                <w:szCs w:val="21"/>
                <w:lang w:val="zh-CN"/>
              </w:rPr>
              <w:t>但投标报价低于其成本的除外。</w:t>
            </w:r>
            <w:r>
              <w:rPr>
                <w:rFonts w:hint="eastAsia" w:ascii="宋体" w:hAnsi="宋体" w:eastAsia="宋体" w:cs="宋体"/>
                <w:sz w:val="21"/>
                <w:szCs w:val="21"/>
              </w:rPr>
              <w:t>本项目设置投标控制价上限，高于投标控制价上限作</w:t>
            </w:r>
            <w:r>
              <w:rPr>
                <w:rFonts w:hint="eastAsia" w:ascii="宋体" w:hAnsi="宋体" w:eastAsia="宋体" w:cs="宋体"/>
                <w:sz w:val="21"/>
                <w:szCs w:val="21"/>
                <w:lang w:eastAsia="zh-CN"/>
              </w:rPr>
              <w:t>否决处理</w:t>
            </w:r>
            <w:r>
              <w:rPr>
                <w:rFonts w:hint="eastAsia" w:ascii="宋体" w:hAnsi="宋体" w:eastAsia="宋体" w:cs="宋体"/>
                <w:sz w:val="21"/>
                <w:szCs w:val="21"/>
              </w:rPr>
              <w:t>。如评标委员会认为投标报价低于成本的，评标委员会将否决其投标。</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招标评标程序简介如下：</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（1）招标人按照第二章“投标人须知”</w:t>
            </w:r>
            <w:r>
              <w:rPr>
                <w:rFonts w:hint="eastAsia" w:ascii="宋体" w:hAnsi="宋体" w:eastAsia="宋体" w:cs="宋体"/>
                <w:b/>
                <w:sz w:val="21"/>
                <w:szCs w:val="21"/>
              </w:rPr>
              <w:t>第5.2.1项</w:t>
            </w:r>
            <w:r>
              <w:rPr>
                <w:rFonts w:hint="eastAsia" w:ascii="宋体" w:hAnsi="宋体" w:eastAsia="宋体" w:cs="宋体"/>
                <w:sz w:val="21"/>
                <w:szCs w:val="21"/>
              </w:rPr>
              <w:t>的规定对投标文件第一个信封（商务及技术文件）进行开标。</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（2）评标委员会首先对投标文件第一个信封（商务及技术文件）进行评审、评分，确定通过投标文件第一个信封（商务及技术文件）评审的投标人名单及排序。</w:t>
            </w:r>
          </w:p>
          <w:p>
            <w:pPr>
              <w:keepNext w:val="0"/>
              <w:keepLines w:val="0"/>
              <w:pageBreakBefore w:val="0"/>
              <w:widowControl w:val="0"/>
              <w:kinsoku/>
              <w:wordWrap/>
              <w:overflowPunct/>
              <w:topLinePunct w:val="0"/>
              <w:bidi w:val="0"/>
              <w:adjustRightInd w:val="0"/>
              <w:snapToGrid w:val="0"/>
              <w:spacing w:before="46" w:beforeLines="15" w:after="46" w:afterLines="15" w:line="36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如同一标段出现多名投标人的第一信封（商务及技术文件）综合得分相等时，则按照以下所列顺位在前的优先：</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a.主要人员得分较高者；</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b.施工组织设计得分较高者；</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c.履约信誉得分较高者；</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若第一信封评审时以上各项评分因素得分都相等，则通过评委会投票表决，推荐票数多的投标人排序在先。</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（3）招标人按照第二章“投标人须知”</w:t>
            </w:r>
            <w:r>
              <w:rPr>
                <w:rFonts w:hint="eastAsia" w:ascii="宋体" w:hAnsi="宋体" w:eastAsia="宋体" w:cs="宋体"/>
                <w:b/>
                <w:sz w:val="21"/>
                <w:szCs w:val="21"/>
              </w:rPr>
              <w:t>第5.2.3项</w:t>
            </w:r>
            <w:r>
              <w:rPr>
                <w:rFonts w:hint="eastAsia" w:ascii="宋体" w:hAnsi="宋体" w:eastAsia="宋体" w:cs="宋体"/>
                <w:sz w:val="21"/>
                <w:szCs w:val="21"/>
              </w:rPr>
              <w:t>的规定对通过第一信封评审且综合评分前三名的投标人其第二个信封（报价文件）进行开标。</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（4）评标委员会对开标的投标文件第二个信封（报价文件）进行评审，并按评标价由低到高的顺序推荐</w:t>
            </w:r>
            <w:r>
              <w:rPr>
                <w:rFonts w:hint="eastAsia" w:ascii="宋体" w:hAnsi="宋体" w:eastAsia="宋体" w:cs="宋体"/>
                <w:sz w:val="21"/>
                <w:szCs w:val="21"/>
                <w:lang w:eastAsia="zh-CN"/>
              </w:rPr>
              <w:t>三</w:t>
            </w:r>
            <w:r>
              <w:rPr>
                <w:rFonts w:hint="eastAsia" w:ascii="宋体" w:hAnsi="宋体" w:eastAsia="宋体" w:cs="宋体"/>
                <w:sz w:val="21"/>
                <w:szCs w:val="21"/>
              </w:rPr>
              <w:t>名中标候选人。</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检查是否有围标、串标情况，如有相关投标文件将被否决。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3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2.1.1</w:t>
            </w:r>
          </w:p>
        </w:tc>
        <w:tc>
          <w:tcPr>
            <w:tcW w:w="139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sz w:val="21"/>
                <w:szCs w:val="21"/>
              </w:rPr>
              <w:t>第一个信封</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形式评审</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与响应性</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评审标准</w:t>
            </w:r>
          </w:p>
        </w:tc>
        <w:tc>
          <w:tcPr>
            <w:tcW w:w="7159" w:type="dxa"/>
            <w:noWrap w:val="0"/>
            <w:vAlign w:val="center"/>
          </w:tcPr>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第一个信封（商务及技术文件）</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(1)投标文件按照招标文件规定的格式、内容填写，字迹清晰可辨：</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a.投标函按招标文件规定填报了项目名称、标段号、补遗书编号（如有）、工期、工程质量要求及安全目标；</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b.投标函附录的所有数据均符合招标文件规定；</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c.投标文件组成齐全完整，内容均按规定填写。</w:t>
            </w:r>
          </w:p>
          <w:p>
            <w:pPr>
              <w:keepNext w:val="0"/>
              <w:keepLines w:val="0"/>
              <w:pageBreakBefore w:val="0"/>
              <w:widowControl w:val="0"/>
              <w:kinsoku/>
              <w:wordWrap/>
              <w:overflowPunct/>
              <w:topLinePunct w:val="0"/>
              <w:autoSpaceDE w:val="0"/>
              <w:autoSpaceDN w:val="0"/>
              <w:bidi w:val="0"/>
              <w:adjustRightInd w:val="0"/>
              <w:spacing w:line="360" w:lineRule="exact"/>
              <w:ind w:firstLine="315" w:firstLineChars="15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(2)投标文件上法定代表人或其授权代理人的签字、投标人的单位章盖章齐全，符合招标文件规定。</w:t>
            </w:r>
          </w:p>
          <w:p>
            <w:pPr>
              <w:keepNext w:val="0"/>
              <w:keepLines w:val="0"/>
              <w:pageBreakBefore w:val="0"/>
              <w:widowControl w:val="0"/>
              <w:kinsoku/>
              <w:wordWrap/>
              <w:overflowPunct/>
              <w:topLinePunct w:val="0"/>
              <w:bidi w:val="0"/>
              <w:adjustRightInd w:val="0"/>
              <w:snapToGrid w:val="0"/>
              <w:spacing w:before="31" w:beforeLines="10" w:after="31" w:afterLines="10" w:line="360" w:lineRule="exact"/>
              <w:ind w:firstLine="420" w:firstLineChars="200"/>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(3)</w:t>
            </w:r>
            <w:r>
              <w:rPr>
                <w:rFonts w:hint="eastAsia" w:ascii="宋体" w:hAnsi="宋体" w:eastAsia="宋体" w:cs="宋体"/>
                <w:sz w:val="21"/>
                <w:szCs w:val="21"/>
              </w:rPr>
              <w:t>投标人按照招标文件规定提供了投标保证金：</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a.投标保证金金额符合招标文件规定的金额，且投标保证金有效期不少于投标有效期；</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b.若投标保证金采用现金或支票形式提交，投标人应在递交投标文件截止时间之前，将投标保证金由投标人的基本账户转入招标人指定账户；</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c．若投标保证金采用银行保函形式提交，银行保函的格式、开具保函的银行均满足招标文件要求，且在递交投标文件截止时间之前向招标人提交了银行保函原件。</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bCs/>
                <w:sz w:val="21"/>
                <w:szCs w:val="21"/>
                <w:lang w:val="zh-CN"/>
              </w:rPr>
              <w:t>(4)</w:t>
            </w:r>
            <w:r>
              <w:rPr>
                <w:rFonts w:hint="eastAsia" w:ascii="宋体" w:hAnsi="宋体" w:eastAsia="宋体" w:cs="宋体"/>
                <w:sz w:val="21"/>
                <w:szCs w:val="21"/>
              </w:rPr>
              <w:t>投标人法定代表人授权委托代理人签署投标文件的，需提交授权委托书，且授权人和被授权人均在授权委托书上签名，未使用印章、签名章或其他电子制版签名代替。</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bCs/>
                <w:sz w:val="21"/>
                <w:szCs w:val="21"/>
                <w:lang w:val="zh-CN"/>
              </w:rPr>
              <w:t>(5)</w:t>
            </w:r>
            <w:r>
              <w:rPr>
                <w:rFonts w:hint="eastAsia" w:ascii="宋体" w:hAnsi="宋体" w:eastAsia="宋体" w:cs="宋体"/>
                <w:sz w:val="21"/>
                <w:szCs w:val="21"/>
              </w:rPr>
              <w:t>投标人法定代表人亲自签署投标文件的，提供了法定代表人身份证明，且法定代表人在法定代表人身份证明上签名，未使用印章、签名章或其他电子制版签名代替。</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(6)投标人未以联合体形式投标。</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(7)投标人未有分包计划。</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(8)同一投标人未提交两个以上不同的投标文件，但招标文件要求提交备选投标的除外。</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(9)投标文件中未出现有关投标报价的内容。</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(10)投标文件载明的招标项目完成期限未超过招标文件规定的时限。</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(11)投标文件</w:t>
            </w:r>
            <w:r>
              <w:rPr>
                <w:rFonts w:hint="eastAsia" w:ascii="宋体" w:hAnsi="宋体" w:eastAsia="宋体" w:cs="宋体"/>
                <w:kern w:val="0"/>
                <w:sz w:val="21"/>
                <w:szCs w:val="21"/>
              </w:rPr>
              <w:t>对</w:t>
            </w:r>
            <w:r>
              <w:rPr>
                <w:rFonts w:hint="eastAsia" w:ascii="宋体" w:hAnsi="宋体" w:eastAsia="宋体" w:cs="宋体"/>
                <w:bCs/>
                <w:sz w:val="21"/>
                <w:szCs w:val="21"/>
                <w:lang w:val="zh-CN"/>
              </w:rPr>
              <w:t>招标文件的实质性要求和条件作出响应。</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(12)权利义务符合招标文件规定：</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a.投标人应接受招标文件规定的风险划分原则，未提出新的风险划分办法；</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b.投标人未增加发包人的责任范围、或减少投标人的义务；</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c.投标人未提出不同的工程验收、计量、支付办法；</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d.投标人对合同纠纷、事故处理办法未提出异议；</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e.投标人在投标活动中无欺诈行为；</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f.投标人未对合同条款有重要保留。</w:t>
            </w:r>
          </w:p>
          <w:p>
            <w:pPr>
              <w:keepNext w:val="0"/>
              <w:keepLines w:val="0"/>
              <w:pageBreakBefore w:val="0"/>
              <w:widowControl w:val="0"/>
              <w:kinsoku/>
              <w:wordWrap/>
              <w:overflowPunct/>
              <w:topLinePunct w:val="0"/>
              <w:autoSpaceDE w:val="0"/>
              <w:autoSpaceDN w:val="0"/>
              <w:bidi w:val="0"/>
              <w:adjustRightInd w:val="0"/>
              <w:spacing w:line="360" w:lineRule="exact"/>
              <w:ind w:firstLine="360"/>
              <w:jc w:val="left"/>
              <w:textAlignment w:val="auto"/>
              <w:rPr>
                <w:rFonts w:hint="eastAsia" w:ascii="宋体" w:hAnsi="宋体" w:eastAsia="宋体" w:cs="宋体"/>
                <w:sz w:val="21"/>
                <w:szCs w:val="21"/>
              </w:rPr>
            </w:pPr>
            <w:r>
              <w:rPr>
                <w:rFonts w:hint="eastAsia" w:ascii="宋体" w:hAnsi="宋体" w:eastAsia="宋体" w:cs="宋体"/>
                <w:bCs/>
                <w:sz w:val="21"/>
                <w:szCs w:val="21"/>
                <w:lang w:val="zh-CN"/>
              </w:rPr>
              <w:t>(13)投标文件正、副本份数符合招标文件第二章“投标人须知”第3.7.4项规定。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bCs/>
                <w:sz w:val="21"/>
                <w:szCs w:val="21"/>
                <w:lang w:val="zh-CN"/>
              </w:rPr>
              <w:t>2.1.3</w:t>
            </w:r>
          </w:p>
        </w:tc>
        <w:tc>
          <w:tcPr>
            <w:tcW w:w="139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sz w:val="21"/>
                <w:szCs w:val="21"/>
              </w:rPr>
              <w:t>第二个信封</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形式评审</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与响应性</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评审标准</w:t>
            </w:r>
          </w:p>
        </w:tc>
        <w:tc>
          <w:tcPr>
            <w:tcW w:w="7159" w:type="dxa"/>
            <w:noWrap w:val="0"/>
            <w:vAlign w:val="center"/>
          </w:tcPr>
          <w:p>
            <w:pPr>
              <w:keepNext w:val="0"/>
              <w:keepLines w:val="0"/>
              <w:pageBreakBefore w:val="0"/>
              <w:widowControl w:val="0"/>
              <w:kinsoku/>
              <w:wordWrap/>
              <w:overflowPunct/>
              <w:topLinePunct w:val="0"/>
              <w:bidi w:val="0"/>
              <w:adjustRightInd w:val="0"/>
              <w:snapToGrid w:val="0"/>
              <w:spacing w:before="62" w:beforeLines="20" w:after="62" w:afterLines="20" w:line="360" w:lineRule="exact"/>
              <w:textAlignment w:val="auto"/>
              <w:rPr>
                <w:rFonts w:hint="eastAsia" w:ascii="宋体" w:hAnsi="宋体" w:eastAsia="宋体" w:cs="宋体"/>
                <w:sz w:val="21"/>
                <w:szCs w:val="21"/>
              </w:rPr>
            </w:pPr>
            <w:r>
              <w:rPr>
                <w:rFonts w:hint="eastAsia" w:ascii="宋体" w:hAnsi="宋体" w:eastAsia="宋体" w:cs="宋体"/>
                <w:sz w:val="21"/>
                <w:szCs w:val="21"/>
              </w:rPr>
              <w:t>第二个信封（报价文件）</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(1)投标文件按照招标文件规定的格式、内容填写、字迹清晰可辨：</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a．投标函按招标文件规定填报了</w:t>
            </w:r>
            <w:r>
              <w:rPr>
                <w:rFonts w:hint="eastAsia" w:ascii="宋体" w:hAnsi="宋体" w:eastAsia="宋体" w:cs="宋体"/>
                <w:sz w:val="21"/>
                <w:szCs w:val="21"/>
                <w:lang w:eastAsia="zh-CN"/>
              </w:rPr>
              <w:t>标段名称</w:t>
            </w:r>
            <w:r>
              <w:rPr>
                <w:rFonts w:hint="eastAsia" w:ascii="宋体" w:hAnsi="宋体" w:eastAsia="宋体" w:cs="宋体"/>
                <w:sz w:val="21"/>
                <w:szCs w:val="21"/>
              </w:rPr>
              <w:t>、补遗书编号（如有)、投标价（包括大写金额和小写金额)；</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b．已标价工程量清单说明文字与招标文件规定一致，未进行实质性修改和删减；</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c．投标文件组成齐全完整，内容均按规定填写。</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(2)投标文件上法定代表人或其委托代理人的签字、投标人的单位章盖章齐全，符合招标文件规定。</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(3)投标报价中的报价未超过招标文件设定的最高投标限价。</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(4)投标报价中报价的大写金额能够确定具体数值。</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(5)同一投标人未提交两个以上不同的投标报价，但招标文件要求提交备选投标的除外。</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(6)投标人若填写工程量固化清单，填写完毕的工程量固化清单未对工程量固化清单电子文件中的数据、格式和运算定义进行修改；工程量固化清单中的投标报价和投标函大写金额报价一致。</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(7)投标文件正、副本份数符合招标文件第二章“投标人须知”第3.7.4项规定。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2.1.2</w:t>
            </w:r>
          </w:p>
        </w:tc>
        <w:tc>
          <w:tcPr>
            <w:tcW w:w="1394" w:type="dxa"/>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sz w:val="21"/>
                <w:szCs w:val="21"/>
              </w:rPr>
              <w:t>第一个信封</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资格</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bCs/>
                <w:sz w:val="21"/>
                <w:szCs w:val="21"/>
                <w:lang w:val="zh-CN"/>
              </w:rPr>
              <w:t>评审标准</w:t>
            </w:r>
          </w:p>
        </w:tc>
        <w:tc>
          <w:tcPr>
            <w:tcW w:w="715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(1)投标人具备有效的营业执照、</w:t>
            </w:r>
            <w:r>
              <w:rPr>
                <w:rFonts w:hint="eastAsia" w:ascii="宋体" w:hAnsi="宋体" w:eastAsia="宋体" w:cs="宋体"/>
                <w:kern w:val="0"/>
                <w:sz w:val="21"/>
                <w:szCs w:val="21"/>
                <w:lang w:val="zh-CN"/>
              </w:rPr>
              <w:t>施工资质证书</w:t>
            </w:r>
            <w:r>
              <w:rPr>
                <w:rFonts w:hint="eastAsia" w:ascii="宋体" w:hAnsi="宋体" w:eastAsia="宋体" w:cs="宋体"/>
                <w:sz w:val="21"/>
                <w:szCs w:val="21"/>
                <w:lang w:val="zh-CN"/>
              </w:rPr>
              <w:t>、</w:t>
            </w:r>
            <w:r>
              <w:rPr>
                <w:rFonts w:hint="eastAsia" w:ascii="宋体" w:hAnsi="宋体" w:eastAsia="宋体" w:cs="宋体"/>
                <w:kern w:val="0"/>
                <w:sz w:val="21"/>
                <w:szCs w:val="21"/>
                <w:lang w:val="zh-CN"/>
              </w:rPr>
              <w:t>安全生产许可证</w:t>
            </w:r>
            <w:r>
              <w:rPr>
                <w:rFonts w:hint="eastAsia" w:ascii="宋体" w:hAnsi="宋体" w:eastAsia="宋体" w:cs="宋体"/>
                <w:color w:val="000000"/>
                <w:spacing w:val="1"/>
                <w:kern w:val="0"/>
                <w:highlight w:val="none"/>
                <w:lang w:val="en-US" w:eastAsia="zh-CN"/>
              </w:rPr>
              <w:t>（注：公路养护工程施工资质企业无须提供安全生产许可证）</w:t>
            </w:r>
            <w:r>
              <w:rPr>
                <w:rFonts w:hint="eastAsia" w:ascii="宋体" w:hAnsi="宋体" w:eastAsia="宋体" w:cs="宋体"/>
                <w:sz w:val="21"/>
                <w:szCs w:val="21"/>
                <w:lang w:val="zh-CN"/>
              </w:rPr>
              <w:t>、</w:t>
            </w:r>
            <w:r>
              <w:rPr>
                <w:rFonts w:hint="eastAsia" w:ascii="宋体" w:hAnsi="宋体" w:eastAsia="宋体" w:cs="宋体"/>
                <w:sz w:val="21"/>
                <w:szCs w:val="21"/>
              </w:rPr>
              <w:t>基本账户开户许可证和投标人在《国家企业信用信息公示系统》中相关出资信息的网页截图。</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(2)投标人的财务状况符合招标文件规定。</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(3)投标人的类似项目业绩符合招标文件规定。</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(4)投标人的信誉符合招标文件规定。</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(5)投标人的项目经理和项目总工资格在岗情况符合招标文件规定，且提供了满足招标文件要求的证明材料（相关人员的建造师注册证书或建造师电子证书等在评审时进行</w:t>
            </w:r>
            <w:r>
              <w:rPr>
                <w:rFonts w:hint="eastAsia" w:ascii="宋体" w:hAnsi="宋体" w:eastAsia="宋体" w:cs="宋体"/>
                <w:b/>
                <w:sz w:val="21"/>
                <w:szCs w:val="21"/>
              </w:rPr>
              <w:t>网上核查</w:t>
            </w:r>
            <w:r>
              <w:rPr>
                <w:rFonts w:hint="eastAsia" w:ascii="宋体" w:hAnsi="宋体" w:eastAsia="宋体" w:cs="宋体"/>
                <w:sz w:val="21"/>
                <w:szCs w:val="21"/>
              </w:rPr>
              <w:t>，核查结果相符）。</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(6)投标人不存在第二章“投标人须知”第1.4.3项或1.4.4项规定的任何一种情形。</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(7)投标人符合第二章“投标人须知”第1.4.5项规定；</w:t>
            </w:r>
            <w:r>
              <w:rPr>
                <w:position w:val="10"/>
                <w:sz w:val="11"/>
              </w:rPr>
              <w:t>①</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(8)投标人未以联合体形式参与投标。</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pPr>
        <w:rPr>
          <w:rFonts w:hint="eastAsia" w:ascii="宋体" w:hAnsi="宋体" w:eastAsia="宋体" w:cs="宋体"/>
        </w:rPr>
      </w:pPr>
      <w:r>
        <w:rPr>
          <w:position w:val="10"/>
          <w:sz w:val="11"/>
        </w:rPr>
        <w:t>①</w:t>
      </w:r>
      <w:r>
        <w:rPr>
          <w:sz w:val="18"/>
        </w:rPr>
        <w:t>本款规定仅适用于根据《关于发布公路工程从业企业资质名录的通知》（厅公路字〔</w:t>
      </w:r>
      <w:r>
        <w:rPr>
          <w:rFonts w:ascii="Times New Roman" w:hAnsi="Times New Roman" w:eastAsia="Times New Roman"/>
          <w:sz w:val="18"/>
        </w:rPr>
        <w:t>2011</w:t>
      </w:r>
      <w:r>
        <w:rPr>
          <w:sz w:val="18"/>
        </w:rPr>
        <w:t>〕</w:t>
      </w:r>
      <w:r>
        <w:rPr>
          <w:rFonts w:ascii="Times New Roman" w:hAnsi="Times New Roman" w:eastAsia="Times New Roman"/>
          <w:sz w:val="18"/>
        </w:rPr>
        <w:t xml:space="preserve">114 </w:t>
      </w:r>
      <w:r>
        <w:rPr>
          <w:sz w:val="18"/>
        </w:rPr>
        <w:t>号）要求， 招标人应通过名录对投标人资质条件进行审核的公路施工企业。</w:t>
      </w:r>
      <w:r>
        <w:rPr>
          <w:rFonts w:hint="eastAsia" w:ascii="宋体" w:hAnsi="宋体" w:eastAsia="宋体" w:cs="宋体"/>
        </w:rPr>
        <w:br w:type="page"/>
      </w:r>
    </w:p>
    <w:tbl>
      <w:tblPr>
        <w:tblStyle w:val="7"/>
        <w:tblW w:w="0" w:type="auto"/>
        <w:tblInd w:w="0" w:type="dxa"/>
        <w:tblLayout w:type="fixed"/>
        <w:tblCellMar>
          <w:top w:w="0" w:type="dxa"/>
          <w:left w:w="108" w:type="dxa"/>
          <w:bottom w:w="0" w:type="dxa"/>
          <w:right w:w="108" w:type="dxa"/>
        </w:tblCellMar>
      </w:tblPr>
      <w:tblGrid>
        <w:gridCol w:w="2376"/>
        <w:gridCol w:w="1619"/>
        <w:gridCol w:w="5492"/>
      </w:tblGrid>
      <w:tr>
        <w:tblPrEx>
          <w:tblCellMar>
            <w:top w:w="0" w:type="dxa"/>
            <w:left w:w="108" w:type="dxa"/>
            <w:bottom w:w="0" w:type="dxa"/>
            <w:right w:w="108" w:type="dxa"/>
          </w:tblCellMar>
        </w:tblPrEx>
        <w:trPr>
          <w:tblHeader/>
        </w:trPr>
        <w:tc>
          <w:tcPr>
            <w:tcW w:w="2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条款号</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2.2.1</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before="46" w:beforeLines="15" w:after="46" w:afterLines="15"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分值构成</w:t>
            </w:r>
          </w:p>
          <w:p>
            <w:pPr>
              <w:keepNext w:val="0"/>
              <w:keepLines w:val="0"/>
              <w:pageBreakBefore w:val="0"/>
              <w:widowControl w:val="0"/>
              <w:kinsoku/>
              <w:wordWrap/>
              <w:overflowPunct/>
              <w:topLinePunct w:val="0"/>
              <w:bidi w:val="0"/>
              <w:adjustRightInd w:val="0"/>
              <w:snapToGrid w:val="0"/>
              <w:spacing w:before="46" w:beforeLines="15" w:after="46" w:afterLines="15"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before="62" w:beforeLines="20" w:after="62" w:afterLines="20" w:line="360" w:lineRule="exact"/>
              <w:textAlignment w:val="auto"/>
              <w:rPr>
                <w:rFonts w:hint="eastAsia" w:ascii="宋体" w:hAnsi="宋体" w:eastAsia="宋体" w:cs="宋体"/>
                <w:sz w:val="21"/>
                <w:szCs w:val="21"/>
              </w:rPr>
            </w:pPr>
            <w:r>
              <w:rPr>
                <w:rFonts w:hint="eastAsia" w:ascii="宋体" w:hAnsi="宋体" w:eastAsia="宋体" w:cs="宋体"/>
                <w:sz w:val="21"/>
                <w:szCs w:val="21"/>
              </w:rPr>
              <w:t>施工组织设计：</w:t>
            </w:r>
            <w:r>
              <w:rPr>
                <w:rFonts w:hint="eastAsia" w:ascii="宋体" w:hAnsi="宋体" w:eastAsia="宋体" w:cs="宋体"/>
                <w:sz w:val="21"/>
                <w:szCs w:val="21"/>
                <w:lang w:val="en-US" w:eastAsia="zh-CN"/>
              </w:rPr>
              <w:t>40</w:t>
            </w:r>
            <w:r>
              <w:rPr>
                <w:rFonts w:hint="eastAsia" w:ascii="宋体" w:hAnsi="宋体" w:eastAsia="宋体" w:cs="宋体"/>
                <w:sz w:val="21"/>
                <w:szCs w:val="21"/>
              </w:rPr>
              <w:t>分</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textAlignment w:val="auto"/>
              <w:rPr>
                <w:rFonts w:hint="eastAsia" w:ascii="宋体" w:hAnsi="宋体" w:eastAsia="宋体" w:cs="宋体"/>
                <w:sz w:val="21"/>
                <w:szCs w:val="21"/>
              </w:rPr>
            </w:pPr>
            <w:r>
              <w:rPr>
                <w:rFonts w:hint="eastAsia" w:ascii="宋体" w:hAnsi="宋体" w:eastAsia="宋体" w:cs="宋体"/>
                <w:sz w:val="21"/>
                <w:szCs w:val="21"/>
              </w:rPr>
              <w:t>主要人员：</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textAlignment w:val="auto"/>
              <w:rPr>
                <w:rFonts w:hint="eastAsia" w:ascii="宋体" w:hAnsi="宋体" w:eastAsia="宋体" w:cs="宋体"/>
                <w:sz w:val="21"/>
                <w:szCs w:val="21"/>
              </w:rPr>
            </w:pPr>
            <w:r>
              <w:rPr>
                <w:rFonts w:hint="eastAsia" w:ascii="宋体" w:hAnsi="宋体" w:eastAsia="宋体" w:cs="宋体"/>
                <w:sz w:val="21"/>
                <w:szCs w:val="21"/>
              </w:rPr>
              <w:t>其他因素：</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p>
            <w:pPr>
              <w:keepNext w:val="0"/>
              <w:keepLines w:val="0"/>
              <w:pageBreakBefore w:val="0"/>
              <w:widowControl w:val="0"/>
              <w:kinsoku/>
              <w:wordWrap/>
              <w:overflowPunct/>
              <w:topLinePunct w:val="0"/>
              <w:bidi w:val="0"/>
              <w:adjustRightInd w:val="0"/>
              <w:snapToGrid w:val="0"/>
              <w:spacing w:before="62" w:beforeLines="20" w:after="62" w:afterLines="20" w:line="360" w:lineRule="exact"/>
              <w:textAlignment w:val="auto"/>
              <w:rPr>
                <w:rFonts w:hint="eastAsia" w:ascii="宋体" w:hAnsi="宋体" w:eastAsia="宋体" w:cs="宋体"/>
                <w:sz w:val="21"/>
                <w:szCs w:val="21"/>
              </w:rPr>
            </w:pPr>
            <w:r>
              <w:rPr>
                <w:rFonts w:hint="eastAsia" w:ascii="宋体" w:hAnsi="宋体" w:eastAsia="宋体" w:cs="宋体"/>
                <w:spacing w:val="157"/>
                <w:kern w:val="0"/>
                <w:sz w:val="21"/>
                <w:szCs w:val="21"/>
              </w:rPr>
              <w:t>评标</w:t>
            </w:r>
            <w:r>
              <w:rPr>
                <w:rFonts w:hint="eastAsia" w:ascii="宋体" w:hAnsi="宋体" w:eastAsia="宋体" w:cs="宋体"/>
                <w:spacing w:val="1"/>
                <w:kern w:val="0"/>
                <w:sz w:val="21"/>
                <w:szCs w:val="21"/>
              </w:rPr>
              <w:t>价</w:t>
            </w:r>
            <w:r>
              <w:rPr>
                <w:rFonts w:hint="eastAsia" w:ascii="宋体" w:hAnsi="宋体" w:eastAsia="宋体" w:cs="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2.2.3</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hAnsi="宋体" w:eastAsia="宋体" w:cs="宋体"/>
                <w:bCs/>
                <w:sz w:val="21"/>
                <w:szCs w:val="21"/>
                <w:lang w:val="zh-CN"/>
              </w:rPr>
            </w:pPr>
            <w:r>
              <w:rPr>
                <w:rFonts w:hint="eastAsia" w:ascii="宋体" w:hAnsi="宋体" w:eastAsia="宋体" w:cs="宋体"/>
                <w:b w:val="0"/>
                <w:bCs/>
                <w:sz w:val="21"/>
                <w:szCs w:val="21"/>
              </w:rPr>
              <w:t>评标价计算公式：评标价=修正后的投标报价-暂估价-暂列金额（不含计日工总额）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3.2.4</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hint="eastAsia" w:ascii="宋体" w:hAnsi="宋体" w:eastAsia="宋体" w:cs="宋体"/>
                <w:bCs/>
                <w:sz w:val="21"/>
                <w:szCs w:val="21"/>
                <w:lang w:val="zh-CN"/>
              </w:rPr>
            </w:pPr>
            <w:r>
              <w:rPr>
                <w:rFonts w:hint="eastAsia" w:ascii="宋体" w:hAnsi="宋体" w:eastAsia="宋体" w:cs="宋体"/>
                <w:bCs/>
                <w:sz w:val="21"/>
                <w:szCs w:val="21"/>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按照投标人的商务和技术得分由高到低排序，选择前</w:t>
            </w:r>
            <w:r>
              <w:rPr>
                <w:rFonts w:hint="eastAsia" w:ascii="宋体" w:hAnsi="宋体" w:eastAsia="宋体" w:cs="宋体"/>
                <w:b/>
                <w:sz w:val="21"/>
                <w:szCs w:val="21"/>
                <w:u w:val="single"/>
              </w:rPr>
              <w:t>3</w:t>
            </w:r>
            <w:r>
              <w:rPr>
                <w:rFonts w:hint="eastAsia" w:ascii="宋体" w:hAnsi="宋体" w:eastAsia="宋体" w:cs="宋体"/>
                <w:sz w:val="21"/>
                <w:szCs w:val="21"/>
              </w:rPr>
              <w:t>名通过详细评审。</w:t>
            </w:r>
          </w:p>
        </w:tc>
      </w:tr>
    </w:tbl>
    <w:p>
      <w:pPr>
        <w:pStyle w:val="4"/>
        <w:keepNext w:val="0"/>
        <w:keepLines w:val="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tbl>
      <w:tblPr>
        <w:tblStyle w:val="7"/>
        <w:tblW w:w="97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评分因素与权重分值</w:t>
            </w:r>
            <w:r>
              <w:rPr>
                <w:rStyle w:val="9"/>
                <w:rFonts w:hint="eastAsia" w:ascii="宋体" w:hAnsi="宋体" w:eastAsia="宋体" w:cs="宋体"/>
                <w:sz w:val="21"/>
                <w:szCs w:val="21"/>
              </w:rPr>
              <w:footnoteReference w:id="4"/>
            </w:r>
          </w:p>
        </w:tc>
        <w:tc>
          <w:tcPr>
            <w:tcW w:w="3165" w:type="dxa"/>
            <w:vMerge w:val="restart"/>
            <w:tcBorders>
              <w:top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条款号</w:t>
            </w:r>
          </w:p>
        </w:tc>
        <w:tc>
          <w:tcPr>
            <w:tcW w:w="968"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评分</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c>
          <w:tcPr>
            <w:tcW w:w="1125"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评分因素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权重分值</w:t>
            </w:r>
          </w:p>
        </w:tc>
        <w:tc>
          <w:tcPr>
            <w:tcW w:w="2328"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各评分因素细分项</w:t>
            </w:r>
          </w:p>
        </w:tc>
        <w:tc>
          <w:tcPr>
            <w:tcW w:w="1211" w:type="dxa"/>
            <w:gridSpan w:val="2"/>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分值</w:t>
            </w:r>
          </w:p>
        </w:tc>
        <w:tc>
          <w:tcPr>
            <w:tcW w:w="3165" w:type="dxa"/>
            <w:vMerge w:val="continue"/>
            <w:tcBorders>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2.2.2（1）</w:t>
            </w:r>
          </w:p>
        </w:tc>
        <w:tc>
          <w:tcPr>
            <w:tcW w:w="968" w:type="dxa"/>
            <w:vMerge w:val="restart"/>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施工组织设计</w:t>
            </w:r>
          </w:p>
        </w:tc>
        <w:tc>
          <w:tcPr>
            <w:tcW w:w="1125" w:type="dxa"/>
            <w:vMerge w:val="restart"/>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40分</w:t>
            </w: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总体施工组织布置及规划</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总体方案切实可行，对本项目具有针对性。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总体方案较满足要求。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top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tcBorders>
              <w:top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主要工程项目的施工方案、方法与技术措施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内容较完整；方案与措施满足施工要求。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工期保证体系及保证措施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工期保证体系和保证措施具有操作性、先进、合理。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工程质量管理体系及保证措施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工程质量管理体系和保证措施具有操作性、先进、合理。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安全生产管理体系及保证措施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安全生产管理体系和保证措施具有操作性、先进、合理。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环境保护、水土保持保证体系及保证措施。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环境保护、水土保持保证体系和保证措施具有操作性、先进、合理。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文明施工、文物保护保证体系及保证措施。</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文明施工、文物保护保证体系和保证措施具有操作性、先进、合理。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项目风险预测与防范，事故应急预案。</w:t>
            </w:r>
          </w:p>
        </w:tc>
        <w:tc>
          <w:tcPr>
            <w:tcW w:w="495" w:type="dxa"/>
            <w:vMerge w:val="restart"/>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3165" w:type="dxa"/>
            <w:tcBorders>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项目风险预测与防范具体，预案具有操作性、先进、合理。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事故应急预案满足施工要求。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事故应急预案基本满足施工要求。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2.2.2（2）</w:t>
            </w:r>
          </w:p>
        </w:tc>
        <w:tc>
          <w:tcPr>
            <w:tcW w:w="968" w:type="dxa"/>
            <w:vMerge w:val="restart"/>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主要人员</w:t>
            </w:r>
          </w:p>
        </w:tc>
        <w:tc>
          <w:tcPr>
            <w:tcW w:w="1125" w:type="dxa"/>
            <w:vMerge w:val="restart"/>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30分</w:t>
            </w:r>
          </w:p>
        </w:tc>
        <w:tc>
          <w:tcPr>
            <w:tcW w:w="2328" w:type="dxa"/>
            <w:vMerge w:val="restart"/>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项目经理任职资格与业绩</w:t>
            </w:r>
          </w:p>
        </w:tc>
        <w:tc>
          <w:tcPr>
            <w:tcW w:w="495"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716" w:type="dxa"/>
            <w:tcBorders>
              <w:top w:val="single" w:color="auto" w:sz="4" w:space="0"/>
              <w:lef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9～15</w:t>
            </w:r>
          </w:p>
        </w:tc>
        <w:tc>
          <w:tcPr>
            <w:tcW w:w="3165" w:type="dxa"/>
            <w:tcBorders>
              <w:top w:val="single" w:color="auto" w:sz="4"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在满足最低要求的基础上，</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每增加一项</w:t>
            </w:r>
            <w:r>
              <w:rPr>
                <w:rFonts w:hint="eastAsia" w:ascii="宋体" w:hAnsi="宋体" w:eastAsia="宋体" w:cs="宋体"/>
                <w:b/>
                <w:sz w:val="21"/>
                <w:szCs w:val="21"/>
                <w:highlight w:val="none"/>
              </w:rPr>
              <w:t>类似工程</w:t>
            </w:r>
            <w:r>
              <w:rPr>
                <w:rFonts w:hint="eastAsia" w:ascii="宋体" w:hAnsi="宋体" w:eastAsia="宋体" w:cs="宋体"/>
                <w:sz w:val="21"/>
                <w:szCs w:val="21"/>
                <w:highlight w:val="none"/>
              </w:rPr>
              <w:t>施工管理业绩加</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top w:val="single" w:color="auto" w:sz="4"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716" w:type="dxa"/>
            <w:tcBorders>
              <w:left w:val="single" w:color="auto" w:sz="4"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165" w:type="dxa"/>
            <w:tcBorders>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restart"/>
            <w:tcBorders>
              <w:top w:val="single" w:color="auto" w:sz="6"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项目总工任职资格与业绩</w:t>
            </w:r>
          </w:p>
        </w:tc>
        <w:tc>
          <w:tcPr>
            <w:tcW w:w="495" w:type="dxa"/>
            <w:vMerge w:val="restart"/>
            <w:tcBorders>
              <w:top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716" w:type="dxa"/>
            <w:tcBorders>
              <w:top w:val="single" w:color="auto" w:sz="6" w:space="0"/>
              <w:left w:val="single" w:color="auto" w:sz="4"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9～15</w:t>
            </w:r>
          </w:p>
        </w:tc>
        <w:tc>
          <w:tcPr>
            <w:tcW w:w="3165"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在满足最低要求的基础上，</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每增加一项</w:t>
            </w:r>
            <w:r>
              <w:rPr>
                <w:rFonts w:hint="eastAsia" w:ascii="宋体" w:hAnsi="宋体" w:eastAsia="宋体" w:cs="宋体"/>
                <w:b/>
                <w:sz w:val="21"/>
                <w:szCs w:val="21"/>
                <w:highlight w:val="none"/>
              </w:rPr>
              <w:t>类似工程</w:t>
            </w:r>
            <w:r>
              <w:rPr>
                <w:rFonts w:hint="eastAsia" w:ascii="宋体" w:hAnsi="宋体" w:eastAsia="宋体" w:cs="宋体"/>
                <w:sz w:val="21"/>
                <w:szCs w:val="21"/>
                <w:highlight w:val="none"/>
              </w:rPr>
              <w:t>施工管理业绩加</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8" w:hRule="atLeast"/>
          <w:jc w:val="center"/>
        </w:trPr>
        <w:tc>
          <w:tcPr>
            <w:tcW w:w="879" w:type="dxa"/>
            <w:vMerge w:val="continue"/>
            <w:tcBorders>
              <w:left w:val="single" w:color="auto" w:sz="6"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tcBorders>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top w:val="single" w:color="auto" w:sz="6"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top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6" w:space="0"/>
              <w:left w:val="single" w:color="auto" w:sz="4"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165"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52" w:hRule="atLeast"/>
          <w:jc w:val="center"/>
        </w:trPr>
        <w:tc>
          <w:tcPr>
            <w:tcW w:w="879" w:type="dxa"/>
            <w:vMerge w:val="restart"/>
            <w:tcBorders>
              <w:top w:val="single" w:color="auto" w:sz="4" w:space="0"/>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2.2.2（3）</w:t>
            </w:r>
          </w:p>
        </w:tc>
        <w:tc>
          <w:tcPr>
            <w:tcW w:w="968" w:type="dxa"/>
            <w:vMerge w:val="restart"/>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其他因素</w:t>
            </w:r>
          </w:p>
        </w:tc>
        <w:tc>
          <w:tcPr>
            <w:tcW w:w="1125" w:type="dxa"/>
            <w:vMerge w:val="restart"/>
            <w:tcBorders>
              <w:top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15分</w:t>
            </w:r>
          </w:p>
          <w:p>
            <w:pPr>
              <w:keepNext w:val="0"/>
              <w:keepLines w:val="0"/>
              <w:pageBreakBefore w:val="0"/>
              <w:kinsoku/>
              <w:wordWrap/>
              <w:overflowPunct/>
              <w:topLinePunct w:val="0"/>
              <w:bidi w:val="0"/>
              <w:spacing w:line="360" w:lineRule="exact"/>
              <w:textAlignment w:val="auto"/>
              <w:rPr>
                <w:rFonts w:hint="eastAsia" w:ascii="宋体" w:hAnsi="宋体" w:eastAsia="宋体" w:cs="宋体"/>
                <w:sz w:val="21"/>
                <w:szCs w:val="21"/>
              </w:rPr>
            </w:pPr>
          </w:p>
        </w:tc>
        <w:tc>
          <w:tcPr>
            <w:tcW w:w="2328" w:type="dxa"/>
            <w:vMerge w:val="restart"/>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技术能力</w:t>
            </w:r>
          </w:p>
        </w:tc>
        <w:tc>
          <w:tcPr>
            <w:tcW w:w="495"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9～15</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在满足最低要求的基础上</w:t>
            </w:r>
            <w:r>
              <w:rPr>
                <w:rFonts w:hint="eastAsia" w:ascii="宋体" w:hAnsi="宋体" w:eastAsia="宋体" w:cs="宋体"/>
                <w:b w:val="0"/>
                <w:bCs/>
                <w:sz w:val="21"/>
                <w:szCs w:val="21"/>
                <w:highlight w:val="none"/>
              </w:rPr>
              <w:t>，</w:t>
            </w:r>
          </w:p>
          <w:p>
            <w:pPr>
              <w:keepNext w:val="0"/>
              <w:keepLines w:val="0"/>
              <w:pageBreakBefore w:val="0"/>
              <w:kinsoku/>
              <w:wordWrap/>
              <w:overflowPunct/>
              <w:topLinePunct w:val="0"/>
              <w:bidi w:val="0"/>
              <w:adjustRightInd w:val="0"/>
              <w:snapToGrid w:val="0"/>
              <w:spacing w:line="360" w:lineRule="exact"/>
              <w:jc w:val="left"/>
              <w:textAlignment w:val="auto"/>
              <w:rPr>
                <w:rFonts w:hint="default" w:ascii="宋体" w:hAnsi="宋体" w:eastAsia="宋体" w:cs="宋体"/>
                <w:b/>
                <w:sz w:val="21"/>
                <w:szCs w:val="21"/>
                <w:highlight w:val="none"/>
                <w:lang w:val="en-US" w:eastAsia="zh-CN"/>
              </w:rPr>
            </w:pPr>
            <w:r>
              <w:rPr>
                <w:rFonts w:hint="eastAsia" w:ascii="宋体" w:hAnsi="宋体" w:eastAsia="宋体" w:cs="宋体"/>
                <w:bCs/>
                <w:sz w:val="21"/>
                <w:szCs w:val="21"/>
                <w:highlight w:val="none"/>
                <w:lang w:eastAsia="zh-CN"/>
              </w:rPr>
              <w:t>每</w:t>
            </w:r>
            <w:r>
              <w:rPr>
                <w:rFonts w:hint="eastAsia" w:ascii="宋体" w:hAnsi="宋体" w:eastAsia="宋体" w:cs="宋体"/>
                <w:bCs/>
                <w:sz w:val="21"/>
                <w:szCs w:val="21"/>
                <w:highlight w:val="none"/>
              </w:rPr>
              <w:t>增加</w:t>
            </w:r>
            <w:r>
              <w:rPr>
                <w:rFonts w:hint="eastAsia" w:ascii="宋体" w:hAnsi="宋体" w:eastAsia="宋体" w:cs="宋体"/>
                <w:bCs/>
                <w:sz w:val="21"/>
                <w:szCs w:val="21"/>
                <w:highlight w:val="none"/>
                <w:lang w:eastAsia="zh-CN"/>
              </w:rPr>
              <w:t>一项类似施工业绩</w:t>
            </w:r>
            <w:r>
              <w:rPr>
                <w:rFonts w:hint="eastAsia" w:ascii="宋体" w:hAnsi="宋体" w:eastAsia="宋体" w:cs="宋体"/>
                <w:bCs/>
                <w:sz w:val="21"/>
                <w:szCs w:val="21"/>
                <w:highlight w:val="none"/>
              </w:rPr>
              <w:t>加</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分，最多加6</w:t>
            </w:r>
            <w:r>
              <w:rPr>
                <w:rFonts w:hint="eastAsia" w:ascii="宋体" w:hAnsi="宋体" w:eastAsia="宋体" w:cs="宋体"/>
                <w:b w:val="0"/>
                <w:bCs/>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1"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1125" w:type="dxa"/>
            <w:vMerge w:val="continue"/>
            <w:tcBorders>
              <w:top w:val="single" w:color="auto" w:sz="6"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4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满足业绩最低资格审查条件要求。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1125" w:type="dxa"/>
            <w:vMerge w:val="restart"/>
            <w:tcBorders>
              <w:top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15分</w:t>
            </w:r>
          </w:p>
        </w:tc>
        <w:tc>
          <w:tcPr>
            <w:tcW w:w="2328"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投标人的信誉评价等级</w:t>
            </w:r>
            <w:r>
              <w:rPr>
                <w:rStyle w:val="9"/>
                <w:rFonts w:hint="eastAsia" w:ascii="宋体" w:hAnsi="宋体" w:eastAsia="宋体" w:cs="宋体"/>
                <w:sz w:val="21"/>
                <w:szCs w:val="21"/>
              </w:rPr>
              <w:footnoteReference w:id="5"/>
            </w:r>
          </w:p>
        </w:tc>
        <w:tc>
          <w:tcPr>
            <w:tcW w:w="4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71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3165" w:type="dxa"/>
            <w:tcBorders>
              <w:top w:val="single" w:color="auto" w:sz="4" w:space="0"/>
              <w:left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p>
        </w:tc>
        <w:tc>
          <w:tcPr>
            <w:tcW w:w="4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3165" w:type="dxa"/>
            <w:tcBorders>
              <w:top w:val="single" w:color="auto" w:sz="4" w:space="0"/>
              <w:left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信誉等级A得</w:t>
            </w:r>
            <w:r>
              <w:rPr>
                <w:rFonts w:hint="eastAsia" w:ascii="宋体" w:hAnsi="宋体" w:eastAsia="宋体" w:cs="宋体"/>
                <w:sz w:val="21"/>
                <w:szCs w:val="21"/>
                <w:lang w:val="en-US" w:eastAsia="zh-CN"/>
              </w:rPr>
              <w:t>14</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p>
        </w:tc>
        <w:tc>
          <w:tcPr>
            <w:tcW w:w="4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w:t>
            </w:r>
          </w:p>
        </w:tc>
        <w:tc>
          <w:tcPr>
            <w:tcW w:w="3165" w:type="dxa"/>
            <w:tcBorders>
              <w:top w:val="single" w:color="auto" w:sz="4" w:space="0"/>
              <w:left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信誉等级B得</w:t>
            </w:r>
            <w:r>
              <w:rPr>
                <w:rFonts w:hint="eastAsia" w:ascii="宋体" w:hAnsi="宋体" w:eastAsia="宋体" w:cs="宋体"/>
                <w:sz w:val="21"/>
                <w:szCs w:val="21"/>
                <w:lang w:val="en-US" w:eastAsia="zh-CN"/>
              </w:rPr>
              <w:t>12</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112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p>
        </w:tc>
        <w:tc>
          <w:tcPr>
            <w:tcW w:w="4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信誉等级C得</w:t>
            </w:r>
            <w:r>
              <w:rPr>
                <w:rFonts w:hint="eastAsia" w:ascii="宋体" w:hAnsi="宋体" w:eastAsia="宋体" w:cs="宋体"/>
                <w:sz w:val="21"/>
                <w:szCs w:val="21"/>
                <w:lang w:val="en-US" w:eastAsia="zh-CN"/>
              </w:rPr>
              <w:t>9</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bottom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968" w:type="dxa"/>
            <w:vMerge w:val="continue"/>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1125" w:type="dxa"/>
            <w:vMerge w:val="continue"/>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2328"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sz w:val="21"/>
                <w:szCs w:val="21"/>
              </w:rPr>
            </w:pPr>
          </w:p>
        </w:tc>
        <w:tc>
          <w:tcPr>
            <w:tcW w:w="4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0</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bidi w:val="0"/>
              <w:snapToGrid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2.2.4（4）</w:t>
            </w:r>
          </w:p>
        </w:tc>
        <w:tc>
          <w:tcPr>
            <w:tcW w:w="968" w:type="dxa"/>
            <w:tcBorders>
              <w:top w:val="single" w:color="auto" w:sz="4" w:space="0"/>
              <w:bottom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r>
              <w:rPr>
                <w:rFonts w:hint="eastAsia" w:ascii="宋体" w:hAnsi="宋体" w:eastAsia="宋体" w:cs="宋体"/>
                <w:sz w:val="21"/>
                <w:szCs w:val="21"/>
              </w:rPr>
              <w:t>评标价</w:t>
            </w:r>
          </w:p>
        </w:tc>
        <w:tc>
          <w:tcPr>
            <w:tcW w:w="1125" w:type="dxa"/>
            <w:tcBorders>
              <w:top w:val="single" w:color="auto" w:sz="4" w:space="0"/>
              <w:bottom w:val="single" w:color="auto" w:sz="6" w:space="0"/>
            </w:tcBorders>
            <w:noWrap w:val="0"/>
            <w:vAlign w:val="center"/>
          </w:tcPr>
          <w:p>
            <w:pPr>
              <w:keepNext w:val="0"/>
              <w:keepLines w:val="0"/>
              <w:pageBreakBefore w:val="0"/>
              <w:kinsoku/>
              <w:wordWrap/>
              <w:overflowPunct/>
              <w:topLinePunct w:val="0"/>
              <w:bidi w:val="0"/>
              <w:snapToGrid w:val="0"/>
              <w:spacing w:line="360" w:lineRule="exact"/>
              <w:ind w:left="113" w:right="113"/>
              <w:jc w:val="center"/>
              <w:textAlignment w:val="auto"/>
              <w:rPr>
                <w:rFonts w:hint="eastAsia" w:ascii="宋体" w:hAnsi="宋体" w:eastAsia="宋体" w:cs="宋体"/>
                <w:sz w:val="21"/>
                <w:szCs w:val="21"/>
              </w:rPr>
            </w:pPr>
            <w:r>
              <w:rPr>
                <w:rFonts w:hint="eastAsia" w:ascii="宋体" w:hAnsi="宋体" w:eastAsia="宋体" w:cs="宋体"/>
                <w:sz w:val="21"/>
                <w:szCs w:val="21"/>
              </w:rPr>
              <w:t>0分</w:t>
            </w:r>
          </w:p>
        </w:tc>
        <w:tc>
          <w:tcPr>
            <w:tcW w:w="2328" w:type="dxa"/>
            <w:tcBorders>
              <w:top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ind w:left="113" w:right="113"/>
              <w:textAlignment w:val="auto"/>
              <w:rPr>
                <w:rFonts w:hint="eastAsia" w:ascii="宋体" w:hAnsi="宋体" w:eastAsia="宋体" w:cs="宋体"/>
                <w:sz w:val="21"/>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360" w:lineRule="exact"/>
              <w:ind w:left="113" w:right="113"/>
              <w:jc w:val="center"/>
              <w:textAlignment w:val="auto"/>
              <w:rPr>
                <w:rFonts w:hint="eastAsia" w:ascii="宋体" w:hAnsi="宋体" w:eastAsia="宋体" w:cs="宋体"/>
                <w:sz w:val="21"/>
                <w:szCs w:val="21"/>
              </w:rPr>
            </w:pPr>
          </w:p>
        </w:tc>
        <w:tc>
          <w:tcPr>
            <w:tcW w:w="316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sz w:val="21"/>
                <w:szCs w:val="21"/>
              </w:rPr>
            </w:pPr>
          </w:p>
        </w:tc>
      </w:tr>
    </w:tbl>
    <w:p>
      <w:pPr>
        <w:spacing w:line="360" w:lineRule="auto"/>
        <w:rPr>
          <w:rFonts w:hint="eastAsia" w:ascii="宋体" w:hAnsi="宋体" w:cs="宋体"/>
          <w:b/>
          <w:bCs/>
          <w:sz w:val="24"/>
          <w:szCs w:val="24"/>
          <w:lang w:val="en-US" w:eastAsia="zh-CN"/>
        </w:rPr>
      </w:pPr>
    </w:p>
    <w:p>
      <w:pPr>
        <w:spacing w:line="360" w:lineRule="auto"/>
        <w:rPr>
          <w:rFonts w:hint="eastAsia" w:ascii="宋体" w:hAnsi="宋体" w:eastAsia="宋体" w:cs="宋体"/>
          <w:sz w:val="24"/>
          <w:szCs w:val="24"/>
          <w:highlight w:val="none"/>
        </w:rPr>
      </w:pPr>
      <w:r>
        <w:rPr>
          <w:rFonts w:hint="eastAsia" w:ascii="宋体" w:hAnsi="宋体" w:cs="宋体"/>
          <w:b/>
          <w:bCs/>
          <w:sz w:val="24"/>
          <w:szCs w:val="24"/>
          <w:lang w:val="en-US" w:eastAsia="zh-CN"/>
        </w:rPr>
        <w:t>四、</w:t>
      </w:r>
      <w:r>
        <w:rPr>
          <w:rFonts w:hint="eastAsia" w:ascii="宋体" w:hAnsi="宋体" w:eastAsia="宋体" w:cs="宋体"/>
          <w:b/>
          <w:bCs/>
          <w:sz w:val="24"/>
          <w:szCs w:val="24"/>
          <w:highlight w:val="none"/>
          <w:lang w:eastAsia="zh-CN"/>
        </w:rPr>
        <w:t>凡</w:t>
      </w:r>
      <w:r>
        <w:rPr>
          <w:rFonts w:hint="eastAsia" w:ascii="宋体" w:hAnsi="宋体" w:eastAsia="宋体" w:cs="宋体"/>
          <w:b/>
          <w:bCs/>
          <w:sz w:val="24"/>
          <w:szCs w:val="24"/>
          <w:highlight w:val="none"/>
        </w:rPr>
        <w:t>对本次</w:t>
      </w:r>
      <w:r>
        <w:rPr>
          <w:rFonts w:hint="eastAsia" w:ascii="宋体" w:hAnsi="宋体" w:cs="宋体"/>
          <w:b/>
          <w:bCs/>
          <w:sz w:val="24"/>
          <w:szCs w:val="24"/>
          <w:highlight w:val="none"/>
          <w:lang w:eastAsia="zh-CN"/>
        </w:rPr>
        <w:t>招标</w:t>
      </w:r>
      <w:r>
        <w:rPr>
          <w:rFonts w:hint="eastAsia" w:ascii="宋体" w:hAnsi="宋体" w:eastAsia="宋体" w:cs="宋体"/>
          <w:b/>
          <w:bCs/>
          <w:sz w:val="24"/>
          <w:szCs w:val="24"/>
          <w:highlight w:val="none"/>
        </w:rPr>
        <w:t>提出询问，请按以下方式联系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采购人信息</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    称：通榆县公路项目建设工作领导小组办公室</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    址：通榆县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 系 人：</w:t>
      </w:r>
      <w:r>
        <w:rPr>
          <w:rFonts w:hint="eastAsia" w:ascii="宋体" w:hAnsi="宋体" w:cs="宋体"/>
          <w:sz w:val="24"/>
          <w:szCs w:val="24"/>
          <w:highlight w:val="none"/>
          <w:lang w:val="en-US" w:eastAsia="zh-CN"/>
        </w:rPr>
        <w:t>杨捍祺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w:t>
      </w:r>
      <w:r>
        <w:rPr>
          <w:rFonts w:hint="eastAsia" w:ascii="宋体" w:hAnsi="宋体" w:cs="宋体"/>
          <w:sz w:val="24"/>
          <w:szCs w:val="24"/>
          <w:highlight w:val="none"/>
          <w:lang w:val="en-US" w:eastAsia="zh-CN"/>
        </w:rPr>
        <w:t>方式</w:t>
      </w:r>
      <w:r>
        <w:rPr>
          <w:rFonts w:hint="eastAsia" w:ascii="宋体" w:hAnsi="宋体" w:eastAsia="宋体" w:cs="宋体"/>
          <w:sz w:val="24"/>
          <w:szCs w:val="24"/>
          <w:highlight w:val="none"/>
          <w:lang w:val="en-US" w:eastAsia="zh-CN"/>
        </w:rPr>
        <w:t>：13204361148</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rPr>
        <w:t>代理机构信息</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名</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吉林省超达招标有限公司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址：</w:t>
      </w:r>
      <w:r>
        <w:rPr>
          <w:rFonts w:hint="eastAsia" w:ascii="宋体" w:hAnsi="宋体" w:eastAsia="宋体" w:cs="宋体"/>
          <w:sz w:val="24"/>
          <w:szCs w:val="24"/>
          <w:highlight w:val="none"/>
          <w:lang w:val="zh-CN" w:eastAsia="zh-CN"/>
        </w:rPr>
        <w:t>长春市绿园区锦西路</w:t>
      </w:r>
      <w:r>
        <w:rPr>
          <w:rFonts w:hint="eastAsia" w:ascii="宋体" w:hAnsi="宋体" w:eastAsia="宋体" w:cs="宋体"/>
          <w:sz w:val="24"/>
          <w:szCs w:val="24"/>
          <w:highlight w:val="none"/>
          <w:lang w:val="en-US" w:eastAsia="zh-CN"/>
        </w:rPr>
        <w:t>321</w:t>
      </w:r>
      <w:r>
        <w:rPr>
          <w:rFonts w:hint="eastAsia" w:ascii="宋体" w:hAnsi="宋体" w:eastAsia="宋体" w:cs="宋体"/>
          <w:sz w:val="24"/>
          <w:szCs w:val="24"/>
          <w:highlight w:val="none"/>
          <w:lang w:val="zh-CN" w:eastAsia="zh-CN"/>
        </w:rPr>
        <w:t>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系</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人：</w:t>
      </w:r>
      <w:r>
        <w:rPr>
          <w:rFonts w:hint="eastAsia" w:ascii="宋体" w:hAnsi="宋体" w:cs="宋体"/>
          <w:sz w:val="24"/>
          <w:szCs w:val="24"/>
          <w:highlight w:val="none"/>
          <w:lang w:val="en-US" w:eastAsia="zh-CN"/>
        </w:rPr>
        <w:t>尚孟伟</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联系方式</w:t>
      </w:r>
      <w:r>
        <w:rPr>
          <w:rFonts w:hint="eastAsia" w:ascii="宋体" w:hAnsi="宋体" w:eastAsia="宋体" w:cs="宋体"/>
          <w:sz w:val="24"/>
          <w:szCs w:val="24"/>
          <w:highlight w:val="none"/>
        </w:rPr>
        <w:t>：</w:t>
      </w:r>
      <w:r>
        <w:rPr>
          <w:rFonts w:hint="eastAsia" w:ascii="宋体" w:hAnsi="宋体" w:eastAsia="宋体" w:cs="宋体"/>
          <w:b w:val="0"/>
          <w:bCs/>
          <w:color w:val="auto"/>
          <w:kern w:val="0"/>
          <w:sz w:val="24"/>
          <w:szCs w:val="24"/>
          <w:lang w:eastAsia="zh-CN"/>
        </w:rPr>
        <w:t>0431-85917789、</w:t>
      </w:r>
      <w:r>
        <w:rPr>
          <w:rFonts w:hint="eastAsia" w:ascii="宋体" w:hAnsi="宋体" w:cs="宋体"/>
          <w:b w:val="0"/>
          <w:bCs/>
          <w:color w:val="auto"/>
          <w:kern w:val="0"/>
          <w:sz w:val="24"/>
          <w:szCs w:val="24"/>
          <w:lang w:val="en-US" w:eastAsia="zh-CN"/>
        </w:rPr>
        <w:t>18104314143</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项目联系方式</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项目联系人：</w:t>
      </w:r>
      <w:r>
        <w:rPr>
          <w:rFonts w:hint="eastAsia" w:ascii="宋体" w:hAnsi="宋体" w:eastAsia="宋体" w:cs="宋体"/>
          <w:sz w:val="24"/>
          <w:szCs w:val="24"/>
          <w:highlight w:val="none"/>
          <w:lang w:val="en-US" w:eastAsia="zh-CN"/>
        </w:rPr>
        <w:t>尚孟伟</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w:t>
      </w:r>
      <w:r>
        <w:rPr>
          <w:rFonts w:hint="eastAsia" w:ascii="宋体" w:hAnsi="宋体" w:eastAsia="宋体" w:cs="宋体"/>
          <w:sz w:val="24"/>
          <w:szCs w:val="24"/>
          <w:highlight w:val="none"/>
          <w:lang w:val="en-US" w:eastAsia="zh-CN"/>
        </w:rPr>
        <w:tab/>
      </w:r>
      <w:r>
        <w:rPr>
          <w:rFonts w:hint="eastAsia" w:ascii="宋体" w:hAnsi="宋体" w:eastAsia="宋体" w:cs="宋体"/>
          <w:sz w:val="24"/>
          <w:szCs w:val="24"/>
          <w:highlight w:val="none"/>
          <w:lang w:val="en-US" w:eastAsia="zh-CN"/>
        </w:rPr>
        <w:t xml:space="preserve">    话：0431-85917789、18104314143</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监督部门：通榆县政府采购管理工作办公室、通榆县交通运输局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5"/>
        <w:rPr>
          <w:rFonts w:hint="eastAsia"/>
        </w:rPr>
      </w:pPr>
      <w:r>
        <w:rPr>
          <w:rStyle w:val="9"/>
        </w:rPr>
        <w:footnoteRef/>
      </w:r>
      <w:r>
        <w:rPr>
          <w:rFonts w:hint="eastAsia" w:ascii="黑体" w:hAnsi="黑体" w:eastAsia="黑体"/>
        </w:rPr>
        <w:t>投标人经审计的</w:t>
      </w:r>
      <w:r>
        <w:rPr>
          <w:rFonts w:hint="eastAsia" w:ascii="黑体" w:hAnsi="黑体" w:eastAsia="黑体"/>
          <w:b/>
        </w:rPr>
        <w:t>20</w:t>
      </w:r>
      <w:r>
        <w:rPr>
          <w:rFonts w:hint="eastAsia" w:ascii="黑体" w:hAnsi="黑体" w:eastAsia="黑体"/>
          <w:b/>
          <w:lang w:val="en-US" w:eastAsia="zh-CN"/>
        </w:rPr>
        <w:t>21</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5"/>
        <w:rPr>
          <w:rFonts w:hint="eastAsia"/>
        </w:rPr>
      </w:pPr>
      <w:r>
        <w:rPr>
          <w:rStyle w:val="9"/>
        </w:rPr>
        <w:footnoteRef/>
      </w:r>
      <w:r>
        <w:t xml:space="preserve"> 具体信誉要求由招标人在满足国家相关法律法规前提下，根据招标项目具体特点和实际情况确定，但不得与 “投标人须知”第 1.4.4 项规定的内容重复</w:t>
      </w:r>
      <w:r>
        <w:rPr>
          <w:rFonts w:hint="eastAsia"/>
        </w:rPr>
        <w:t>。</w:t>
      </w:r>
    </w:p>
  </w:footnote>
  <w:footnote w:id="2">
    <w:p>
      <w:pPr>
        <w:pStyle w:val="5"/>
        <w:ind w:left="90" w:hanging="90"/>
      </w:pPr>
      <w:r>
        <w:rPr>
          <w:rStyle w:val="9"/>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b/>
          <w:bCs/>
          <w:szCs w:val="21"/>
          <w:lang w:val="zh-CN"/>
        </w:rPr>
        <w:t>参保截止日期应在申请截止时间前3个月内</w:t>
      </w:r>
      <w:r>
        <w:rPr>
          <w:rFonts w:hint="eastAsia"/>
          <w:szCs w:val="21"/>
          <w:lang w:val="zh-CN"/>
        </w:rPr>
        <w:t>。</w:t>
      </w:r>
    </w:p>
  </w:footnote>
  <w:footnote w:id="3">
    <w:p>
      <w:pPr>
        <w:pStyle w:val="5"/>
        <w:ind w:left="90" w:hanging="90"/>
        <w:rPr>
          <w:rFonts w:hint="eastAsia" w:cs="宋体"/>
          <w:lang w:val="zh-CN"/>
        </w:rPr>
      </w:pPr>
      <w:r>
        <w:rPr>
          <w:rStyle w:val="9"/>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4">
    <w:p>
      <w:pPr>
        <w:pStyle w:val="10"/>
        <w:shd w:val="clear" w:color="auto" w:fill="auto"/>
        <w:spacing w:before="0" w:line="319" w:lineRule="exact"/>
        <w:ind w:left="300"/>
        <w:jc w:val="both"/>
        <w:rPr>
          <w:highlight w:val="cyan"/>
        </w:rPr>
      </w:pPr>
      <w:r>
        <w:rPr>
          <w:rStyle w:val="9"/>
        </w:rPr>
        <w:footnoteRef/>
      </w:r>
      <w:r>
        <w:rPr>
          <w:rFonts w:hint="eastAsia"/>
        </w:rPr>
        <w:t>招</w:t>
      </w:r>
      <w:r>
        <w:t>标人应根据项目具体情况确定各评分因素及评分因素权重分值，并对各评分因素进行细分（如有）、确定各评分因素细分项的分值，各评分因素权重分值合计应为100分。各评分因素（评标价和履约信誉评分项除外）得分一般不得低于其权重分值的60%，且各评分因素得分应以评标委员会各成员的打分平均值确定，评标委员会成员总数为七人以上时，该平均值以去掉一个最高分和一个最低分后计算。评标委员会成员对某一项评分因素的评分低于权重分值60%的，应在评标报告中作出说明。</w:t>
      </w:r>
    </w:p>
    <w:p>
      <w:pPr>
        <w:pStyle w:val="5"/>
        <w:jc w:val="both"/>
        <w:rPr>
          <w:rFonts w:ascii="宋体" w:hAnsi="宋体"/>
          <w:lang w:eastAsia="zh-TW"/>
        </w:rPr>
      </w:pPr>
    </w:p>
  </w:footnote>
  <w:footnote w:id="5">
    <w:p>
      <w:pPr>
        <w:pStyle w:val="5"/>
        <w:rPr>
          <w:rFonts w:hint="eastAsia" w:eastAsia="宋体"/>
          <w:lang w:eastAsia="zh-CN"/>
        </w:rPr>
      </w:pPr>
      <w:r>
        <w:rPr>
          <w:rStyle w:val="9"/>
        </w:rPr>
        <w:footnoteRef/>
      </w:r>
      <w:r>
        <w:rPr>
          <w:rFonts w:hint="eastAsia" w:ascii="宋体" w:hAnsi="宋体"/>
          <w:lang w:val="en-US" w:eastAsia="zh-CN"/>
        </w:rPr>
        <w:t>a、</w:t>
      </w:r>
      <w:r>
        <w:rPr>
          <w:rFonts w:hint="eastAsia"/>
        </w:rPr>
        <w:t>投标人信用评价等级：指投标人吉林省信用评价等级或投标人全国信用评价等级。</w:t>
      </w:r>
    </w:p>
    <w:p>
      <w:pPr>
        <w:pStyle w:val="5"/>
        <w:rPr>
          <w:rFonts w:hint="eastAsia"/>
        </w:rPr>
      </w:pPr>
      <w:r>
        <w:rPr>
          <w:rFonts w:hint="eastAsia"/>
        </w:rPr>
        <w:t>b、本次评标按照以下（1）～（4）的顺序认定并评分：</w:t>
      </w:r>
    </w:p>
    <w:p>
      <w:pPr>
        <w:pStyle w:val="5"/>
        <w:rPr>
          <w:rFonts w:hint="eastAsia"/>
        </w:rPr>
      </w:pPr>
      <w:r>
        <w:rPr>
          <w:rFonts w:hint="eastAsia"/>
        </w:rPr>
        <w:t>（1）吉林省交通运输厅发布的《关于发布2020年度公路建设市场吉林省省级综合评价结果的通告》（2021年第4号）》中的信用评价等级；</w:t>
      </w:r>
    </w:p>
    <w:p>
      <w:pPr>
        <w:pStyle w:val="5"/>
        <w:rPr>
          <w:rFonts w:hint="eastAsia"/>
        </w:rPr>
      </w:pPr>
      <w:r>
        <w:rPr>
          <w:rFonts w:hint="eastAsia"/>
        </w:rPr>
        <w:t>（2）交通运输部“全国公路建设市场信用信息管理系统”“全国公路从业单位信用评价结果”中投标人的全国综合评价2020年度企业信用等级（如投标截止日期前发布）；</w:t>
      </w:r>
    </w:p>
    <w:p>
      <w:pPr>
        <w:pStyle w:val="5"/>
        <w:rPr>
          <w:rFonts w:hint="eastAsia"/>
        </w:rPr>
      </w:pPr>
      <w:r>
        <w:rPr>
          <w:rFonts w:hint="eastAsia"/>
        </w:rPr>
        <w:t>（3）交通运输部“全国公路建设市场信用信息管理系统”“全国公路从业单位信用评价结果”中投标人的全国综合评价2019年度企业信用等级；</w:t>
      </w:r>
    </w:p>
    <w:p>
      <w:pPr>
        <w:pStyle w:val="5"/>
      </w:pPr>
      <w:r>
        <w:rPr>
          <w:rFonts w:hint="eastAsia"/>
        </w:rPr>
        <w:t>（4）无上述信用评价且未列入交通运输部“全国公路建设市场信用信息管理系统”“不良行为记录”的，按A级对待，否则按D级对待。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2JiMmQ0MWM4NTA1MTc4M2I5MDg4NDliYmQ0NjcifQ=="/>
  </w:docVars>
  <w:rsids>
    <w:rsidRoot w:val="53BF4D89"/>
    <w:rsid w:val="01634108"/>
    <w:rsid w:val="53BF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3"/>
    <w:basedOn w:val="1"/>
    <w:next w:val="1"/>
    <w:qFormat/>
    <w:uiPriority w:val="9"/>
    <w:pPr>
      <w:keepNext/>
      <w:keepLines/>
      <w:spacing w:before="260" w:after="260" w:line="416" w:lineRule="auto"/>
      <w:outlineLvl w:val="2"/>
    </w:pPr>
    <w:rPr>
      <w:b/>
      <w:bCs/>
      <w:kern w:val="0"/>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line="360" w:lineRule="exact"/>
      <w:ind w:firstLine="420" w:firstLineChars="100"/>
    </w:pPr>
    <w:rPr>
      <w:sz w:val="24"/>
    </w:rPr>
  </w:style>
  <w:style w:type="paragraph" w:styleId="3">
    <w:name w:val="Body Text"/>
    <w:basedOn w:val="1"/>
    <w:next w:val="1"/>
    <w:qFormat/>
    <w:uiPriority w:val="1"/>
    <w:rPr>
      <w:sz w:val="28"/>
      <w:szCs w:val="24"/>
    </w:rPr>
  </w:style>
  <w:style w:type="paragraph" w:styleId="5">
    <w:name w:val="footnote text"/>
    <w:basedOn w:val="1"/>
    <w:unhideWhenUsed/>
    <w:qFormat/>
    <w:uiPriority w:val="99"/>
    <w:pPr>
      <w:snapToGrid w:val="0"/>
      <w:jc w:val="left"/>
    </w:pPr>
    <w:rPr>
      <w:kern w:val="0"/>
      <w:sz w:val="18"/>
      <w:szCs w:val="18"/>
    </w:rPr>
  </w:style>
  <w:style w:type="paragraph" w:styleId="6">
    <w:name w:val="Body Text Indent 3"/>
    <w:basedOn w:val="1"/>
    <w:qFormat/>
    <w:uiPriority w:val="99"/>
    <w:pPr>
      <w:spacing w:line="420" w:lineRule="exact"/>
      <w:ind w:firstLine="420" w:firstLineChars="200"/>
    </w:pPr>
    <w:rPr>
      <w:szCs w:val="24"/>
    </w:rPr>
  </w:style>
  <w:style w:type="character" w:styleId="9">
    <w:name w:val="footnote reference"/>
    <w:qFormat/>
    <w:uiPriority w:val="0"/>
    <w:rPr>
      <w:vertAlign w:val="superscript"/>
    </w:rPr>
  </w:style>
  <w:style w:type="paragraph" w:customStyle="1" w:styleId="10">
    <w:name w:val="正文文本 (14)"/>
    <w:basedOn w:val="1"/>
    <w:uiPriority w:val="0"/>
    <w:pPr>
      <w:shd w:val="clear" w:color="auto" w:fill="FFFFFF"/>
      <w:spacing w:before="300" w:line="300" w:lineRule="exact"/>
      <w:jc w:val="distribute"/>
    </w:pPr>
    <w:rPr>
      <w:rFonts w:ascii="宋体" w:hAnsi="宋体"/>
      <w:kern w:val="0"/>
      <w:sz w:val="18"/>
      <w:szCs w:val="18"/>
    </w:rPr>
  </w:style>
  <w:style w:type="paragraph" w:customStyle="1" w:styleId="11">
    <w:name w:val="样式3"/>
    <w:basedOn w:val="1"/>
    <w:qFormat/>
    <w:uiPriority w:val="0"/>
    <w:pPr>
      <w:keepNext/>
      <w:keepLines/>
      <w:spacing w:line="400" w:lineRule="exact"/>
      <w:outlineLvl w:val="0"/>
    </w:pPr>
    <w:rPr>
      <w:rFonts w:ascii="Times New Roman" w:hAnsi="Times New Roman"/>
      <w:b/>
      <w:bCs/>
      <w:kern w:val="44"/>
      <w:sz w:val="28"/>
      <w:szCs w:val="44"/>
    </w:rPr>
  </w:style>
  <w:style w:type="paragraph" w:customStyle="1" w:styleId="12">
    <w:name w:val="正文文本 (2)"/>
    <w:basedOn w:val="1"/>
    <w:qFormat/>
    <w:uiPriority w:val="0"/>
    <w:pPr>
      <w:shd w:val="clear" w:color="auto" w:fill="FFFFFF"/>
      <w:spacing w:before="300" w:line="439" w:lineRule="exact"/>
      <w:jc w:val="distribute"/>
    </w:pPr>
    <w:rPr>
      <w:rFonts w:ascii="宋体" w:hAnsi="宋体"/>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6008</Words>
  <Characters>6780</Characters>
  <Lines>0</Lines>
  <Paragraphs>0</Paragraphs>
  <TotalTime>1</TotalTime>
  <ScaleCrop>false</ScaleCrop>
  <LinksUpToDate>false</LinksUpToDate>
  <CharactersWithSpaces>6817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2023-01-12T08:21:00Z</dcterms:created>
  <dc:creator>热爱工作666</dc:creator>
  <cp:lastModifiedBy>热爱工作666</cp:lastModifiedBy>
  <dcterms:modified xsi:type="dcterms:W3CDTF">2023-01-13T02:06:25Z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DB6A42BD95894B7382F437C093618551</vt:lpwstr>
  </property>
</Properties>
</file>