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第13批道路运输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车辆动态监控社会化服务企业名单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30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646"/>
        <w:gridCol w:w="2485"/>
        <w:gridCol w:w="2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b w:val="0"/>
                <w:bCs/>
                <w:sz w:val="28"/>
                <w:szCs w:val="28"/>
              </w:rPr>
              <w:t>企业名称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仿宋" w:eastAsia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b w:val="0"/>
                <w:bCs/>
                <w:sz w:val="28"/>
                <w:szCs w:val="28"/>
              </w:rPr>
              <w:t>监控平台名称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仿宋" w:eastAsia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b w:val="0"/>
                <w:bCs/>
                <w:sz w:val="28"/>
                <w:szCs w:val="28"/>
                <w:lang w:eastAsia="zh-CN"/>
              </w:rPr>
              <w:t>平台编号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3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北京睦合达信息技术股份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睦合达车队管理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系统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52103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2019-02-11T06:28:29Z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