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F" w:rsidRDefault="0049367F" w:rsidP="0049367F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附件：</w:t>
      </w:r>
    </w:p>
    <w:p w:rsidR="0049367F" w:rsidRDefault="0049367F" w:rsidP="0049367F">
      <w:pPr>
        <w:rPr>
          <w:rFonts w:ascii="黑体" w:eastAsia="黑体" w:hAnsi="黑体" w:cs="宋体"/>
          <w:sz w:val="32"/>
          <w:szCs w:val="32"/>
        </w:rPr>
      </w:pPr>
    </w:p>
    <w:p w:rsidR="0049367F" w:rsidRDefault="0049367F" w:rsidP="0049367F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吉林省加快推进汽车客运站</w:t>
      </w:r>
    </w:p>
    <w:p w:rsidR="0049367F" w:rsidRDefault="0049367F" w:rsidP="0049367F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转型升级实施意见</w:t>
      </w:r>
    </w:p>
    <w:p w:rsidR="0049367F" w:rsidRDefault="0049367F" w:rsidP="0049367F">
      <w:pPr>
        <w:spacing w:line="50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16146">
        <w:rPr>
          <w:rFonts w:ascii="仿宋_GB2312" w:eastAsia="仿宋_GB2312" w:hAnsi="仿宋_GB2312" w:cs="仿宋_GB2312" w:hint="eastAsia"/>
          <w:sz w:val="32"/>
          <w:szCs w:val="32"/>
        </w:rPr>
        <w:t>为加快推进汽车客运站转型升级,进一步提高客运站的服务能力，按照《交通运输部关于深化改革加快推进道路客运转型升级的指导意见》（交运发〔2016〕240号）精神，结合我省实际，制定本意见。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616146"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16146">
        <w:rPr>
          <w:rFonts w:ascii="仿宋_GB2312" w:eastAsia="仿宋_GB2312" w:hAnsi="仿宋_GB2312" w:cs="仿宋_GB2312" w:hint="eastAsia"/>
          <w:sz w:val="32"/>
          <w:szCs w:val="32"/>
        </w:rPr>
        <w:t>以</w:t>
      </w:r>
      <w:hyperlink r:id="rId7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习近平</w:t>
        </w:r>
      </w:hyperlink>
      <w:hyperlink r:id="rId8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新时代中国特色社会主义思想</w:t>
        </w:r>
      </w:hyperlink>
      <w:r w:rsidRPr="00616146">
        <w:rPr>
          <w:rFonts w:ascii="仿宋_GB2312" w:eastAsia="仿宋_GB2312" w:hAnsi="仿宋_GB2312" w:cs="仿宋_GB2312" w:hint="eastAsia"/>
          <w:sz w:val="32"/>
          <w:szCs w:val="32"/>
        </w:rPr>
        <w:t>为指导，全面贯彻党的</w:t>
      </w:r>
      <w:hyperlink r:id="rId9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十九大</w:t>
        </w:r>
      </w:hyperlink>
      <w:r w:rsidRPr="00616146">
        <w:rPr>
          <w:rFonts w:ascii="仿宋_GB2312" w:eastAsia="仿宋_GB2312" w:hAnsi="仿宋_GB2312" w:cs="仿宋_GB2312" w:hint="eastAsia"/>
          <w:sz w:val="32"/>
          <w:szCs w:val="32"/>
        </w:rPr>
        <w:t>和十九届二中、</w:t>
      </w:r>
      <w:hyperlink r:id="rId10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三中全会精神</w:t>
        </w:r>
      </w:hyperlink>
      <w:r w:rsidRPr="00616146">
        <w:rPr>
          <w:rFonts w:ascii="仿宋_GB2312" w:eastAsia="仿宋_GB2312" w:hAnsi="仿宋_GB2312" w:cs="仿宋_GB2312" w:hint="eastAsia"/>
          <w:sz w:val="32"/>
          <w:szCs w:val="32"/>
        </w:rPr>
        <w:t>，牢固树立和贯彻落实</w:t>
      </w:r>
      <w:hyperlink r:id="rId11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新发展理念</w:t>
        </w:r>
      </w:hyperlink>
      <w:r w:rsidRPr="00616146">
        <w:rPr>
          <w:rFonts w:ascii="仿宋_GB2312" w:eastAsia="仿宋_GB2312" w:hAnsi="仿宋_GB2312" w:cs="仿宋_GB2312" w:hint="eastAsia"/>
          <w:sz w:val="32"/>
          <w:szCs w:val="32"/>
        </w:rPr>
        <w:t>，以</w:t>
      </w:r>
      <w:hyperlink r:id="rId12" w:tgtFrame="_blank" w:history="1">
        <w:r w:rsidRPr="00616146">
          <w:rPr>
            <w:rFonts w:ascii="仿宋_GB2312" w:eastAsia="仿宋_GB2312" w:hAnsi="仿宋_GB2312" w:cs="仿宋_GB2312" w:hint="eastAsia"/>
            <w:sz w:val="32"/>
            <w:szCs w:val="32"/>
          </w:rPr>
          <w:t>供给侧结构性改革</w:t>
        </w:r>
      </w:hyperlink>
      <w:r w:rsidRPr="00616146">
        <w:rPr>
          <w:rFonts w:ascii="仿宋_GB2312" w:eastAsia="仿宋_GB2312" w:hAnsi="仿宋_GB2312" w:cs="仿宋_GB2312" w:hint="eastAsia"/>
          <w:sz w:val="32"/>
          <w:szCs w:val="32"/>
        </w:rPr>
        <w:t>为主线，不断提升发展质量、服务效能，坚持标本兼治、改革引领、创新驱动，加快建设服务质量高、安全管理强、经济效益好的道路客运站服务体系，促进道路客运行业健康发展。</w:t>
      </w:r>
    </w:p>
    <w:p w:rsidR="0049367F" w:rsidRPr="00616146" w:rsidRDefault="0049367F" w:rsidP="0049367F">
      <w:pPr>
        <w:widowControl/>
        <w:adjustRightInd w:val="0"/>
        <w:snapToGrid w:val="0"/>
        <w:spacing w:line="540" w:lineRule="exact"/>
        <w:ind w:firstLineChars="200" w:firstLine="640"/>
        <w:outlineLvl w:val="0"/>
        <w:rPr>
          <w:rFonts w:ascii="黑体" w:eastAsia="黑体" w:hAnsi="黑体" w:cs="黑体"/>
          <w:sz w:val="32"/>
          <w:szCs w:val="32"/>
        </w:rPr>
      </w:pPr>
      <w:r w:rsidRPr="00616146">
        <w:rPr>
          <w:rFonts w:ascii="黑体" w:eastAsia="黑体" w:hAnsi="黑体" w:cs="黑体" w:hint="eastAsia"/>
          <w:sz w:val="32"/>
          <w:szCs w:val="32"/>
        </w:rPr>
        <w:t>二、重点任务</w:t>
      </w:r>
    </w:p>
    <w:p w:rsidR="0049367F" w:rsidRPr="00FD61EC" w:rsidRDefault="0049367F" w:rsidP="0049367F">
      <w:pPr>
        <w:widowControl/>
        <w:adjustRightInd w:val="0"/>
        <w:snapToGrid w:val="0"/>
        <w:spacing w:line="540" w:lineRule="exact"/>
        <w:ind w:firstLineChars="200" w:firstLine="643"/>
        <w:outlineLvl w:val="0"/>
        <w:rPr>
          <w:rFonts w:ascii="楷体_GB2312" w:eastAsia="楷体_GB2312" w:hAnsi="楷体" w:cs="楷体_GB2312"/>
          <w:b/>
          <w:sz w:val="32"/>
          <w:szCs w:val="32"/>
        </w:rPr>
      </w:pPr>
      <w:r w:rsidRPr="00FD61EC">
        <w:rPr>
          <w:rFonts w:ascii="楷体_GB2312" w:eastAsia="楷体_GB2312" w:hAnsi="楷体" w:cs="楷体_GB2312" w:hint="eastAsia"/>
          <w:b/>
          <w:sz w:val="32"/>
          <w:szCs w:val="32"/>
        </w:rPr>
        <w:t>（一）加大扶持力度，确保汽车客运站基本运营</w:t>
      </w:r>
    </w:p>
    <w:p w:rsidR="0049367F" w:rsidRPr="00616146" w:rsidRDefault="0049367F" w:rsidP="0049367F">
      <w:pPr>
        <w:widowControl/>
        <w:adjustRightInd w:val="0"/>
        <w:snapToGrid w:val="0"/>
        <w:spacing w:line="540" w:lineRule="exact"/>
        <w:ind w:firstLineChars="200" w:firstLine="640"/>
        <w:outlineLvl w:val="0"/>
        <w:rPr>
          <w:rFonts w:ascii="仿宋_GB2312" w:eastAsia="仿宋_GB2312" w:hAnsi="仿宋_GB2312"/>
          <w:color w:val="000000"/>
          <w:sz w:val="32"/>
          <w:szCs w:val="32"/>
        </w:rPr>
      </w:pPr>
      <w:r w:rsidRPr="00616146"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_GB2312" w:hint="eastAsia"/>
          <w:color w:val="000000"/>
          <w:sz w:val="32"/>
          <w:szCs w:val="32"/>
        </w:rPr>
        <w:t>汽车客运站作为重要的交通运输枢纽不仅为承运人提供组织客流、售票、检票、发车等业务和为旅客提供候车、退票、送票、行包变更、行包装卸、行包保管、小件物品寄存、代办客票等站务经营服务，而且还承担对进站运营车辆进行安全例检和对省际、市际客运班线旅客购票、验票实名身份进行查验工作的社会职能，是具有社会公益性的经营单位。各地交通运输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主管</w:t>
      </w:r>
      <w:r w:rsidRPr="00616146">
        <w:rPr>
          <w:rFonts w:ascii="仿宋_GB2312" w:eastAsia="仿宋_GB2312" w:hAnsi="仿宋_GB2312" w:hint="eastAsia"/>
          <w:color w:val="000000"/>
          <w:sz w:val="32"/>
          <w:szCs w:val="32"/>
        </w:rPr>
        <w:t>部门要积极争取当地人民政府和有关</w:t>
      </w:r>
      <w:r w:rsidRPr="00616146"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部门支持，推动出台土地、财税等方面的扶持政策，逐步建立汽车客运场站公益性资金保障机制，对公益性服务给予运营补贴，确保维持客运站的基本运营。</w:t>
      </w:r>
    </w:p>
    <w:p w:rsidR="0049367F" w:rsidRPr="00FD61EC" w:rsidRDefault="0049367F" w:rsidP="0049367F">
      <w:pPr>
        <w:widowControl/>
        <w:adjustRightInd w:val="0"/>
        <w:snapToGrid w:val="0"/>
        <w:spacing w:line="540" w:lineRule="exact"/>
        <w:ind w:firstLineChars="200" w:firstLine="643"/>
        <w:outlineLvl w:val="0"/>
        <w:rPr>
          <w:rFonts w:ascii="楷体_GB2312" w:eastAsia="楷体_GB2312" w:hAnsi="楷体" w:cs="楷体_GB2312"/>
          <w:sz w:val="32"/>
          <w:szCs w:val="32"/>
        </w:rPr>
      </w:pPr>
      <w:r w:rsidRPr="00FD61EC">
        <w:rPr>
          <w:rFonts w:ascii="楷体_GB2312" w:eastAsia="楷体_GB2312" w:hAnsi="楷体" w:cs="楷体_GB2312" w:hint="eastAsia"/>
          <w:b/>
          <w:sz w:val="32"/>
          <w:szCs w:val="32"/>
        </w:rPr>
        <w:t>（二）优化整合资源，合理规划汽车客运站布局</w:t>
      </w:r>
    </w:p>
    <w:p w:rsidR="0049367F" w:rsidRPr="00616146" w:rsidRDefault="0049367F" w:rsidP="0049367F">
      <w:pPr>
        <w:spacing w:line="54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推进汽车客运站经营结构调整。鼓励骨干客运站经营者采取收购、置换、重组、入股等方式与其他客运站或道路客运企业进行整合资源，</w:t>
      </w:r>
      <w:r w:rsidRPr="00616146">
        <w:rPr>
          <w:rFonts w:ascii="仿宋_GB2312" w:eastAsia="仿宋_GB2312" w:hAnsi="仿宋" w:hint="eastAsia"/>
          <w:sz w:val="32"/>
          <w:szCs w:val="32"/>
        </w:rPr>
        <w:t>统一经营，深度融合发展，逐步形成多个汽车客运站与客运企业整合成一个集约化、规模化的经营实体。鼓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励采取多样化的融资模式，吸引社会资本参与汽车客运站运营服务。</w:t>
      </w:r>
    </w:p>
    <w:p w:rsidR="0049367F" w:rsidRPr="00616146" w:rsidRDefault="0049367F" w:rsidP="0049367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完善汽车客运站网络布局。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加快综合客运枢纽布局建设，重点支持以铁路客运站、机场为依托，集铁路客运、公路客运、轨道交通、城市公共交通等为一体的综合客运枢纽场站项目建设。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鼓励“一站带多点”的经营模式，可在大型市场、产业园区、学校聚集区、旅游风景区、高速公路服务区等客源密集区域建设适宜的道路客运停靠站。停靠站的设立按照《吉林省道路运输条例》、《道路旅客运输及客运站管理规定》（交通运输部令2016年第82号）、《汽车客运站级别划分和建设要求》（JT200－2004）和吉林省交通运输厅、吉林省物价局</w:t>
      </w:r>
      <w:r w:rsidRPr="00616146">
        <w:rPr>
          <w:rFonts w:ascii="仿宋_GB2312" w:eastAsia="仿宋_GB2312" w:hAnsi="仿宋" w:hint="eastAsia"/>
          <w:sz w:val="32"/>
          <w:szCs w:val="32"/>
        </w:rPr>
        <w:t>《关于调整客运站经营服务性收费有关政策的通知》（吉交联发〔2017〕44号）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相关要求执行，对停靠站建设可给予相应投资补助</w:t>
      </w:r>
      <w:r w:rsidRPr="00EF2EA5">
        <w:rPr>
          <w:rFonts w:ascii="仿宋_GB2312" w:eastAsia="仿宋_GB2312" w:hAnsi="仿宋" w:hint="eastAsia"/>
          <w:color w:val="000000"/>
          <w:sz w:val="32"/>
          <w:szCs w:val="32"/>
        </w:rPr>
        <w:t>。新增设的分站、停靠站，经当地交通和价格主管部门进行等级评定后，可按照相应标准进行收费。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提高汽车客运站智能化管理水平。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积极推行道路客运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电子客票、非现金支付和人脸识别等新技术，并逐步与铁路、民航、水运等售票系统对接，探索推进联程联运和一票制服务。鼓励汽车客运站采取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安检智能化、报班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检票自助化等服务模式，</w:t>
      </w:r>
      <w:r>
        <w:rPr>
          <w:rFonts w:ascii="仿宋_GB2312" w:eastAsia="仿宋_GB2312" w:hAnsi="仿宋" w:cs="仿宋_GB2312" w:hint="eastAsia"/>
          <w:sz w:val="32"/>
          <w:szCs w:val="32"/>
        </w:rPr>
        <w:t>提高服务水平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9367F" w:rsidRPr="00FD61EC" w:rsidRDefault="0049367F" w:rsidP="0049367F">
      <w:pPr>
        <w:widowControl/>
        <w:adjustRightInd w:val="0"/>
        <w:snapToGrid w:val="0"/>
        <w:spacing w:line="540" w:lineRule="exact"/>
        <w:ind w:firstLineChars="200" w:firstLine="643"/>
        <w:outlineLvl w:val="0"/>
        <w:rPr>
          <w:rFonts w:ascii="楷体_GB2312" w:eastAsia="楷体_GB2312" w:hAnsi="楷体" w:cs="楷体_GB2312"/>
          <w:b/>
          <w:sz w:val="32"/>
          <w:szCs w:val="32"/>
        </w:rPr>
      </w:pPr>
      <w:r w:rsidRPr="00FD61EC">
        <w:rPr>
          <w:rFonts w:ascii="楷体_GB2312" w:eastAsia="楷体_GB2312" w:hAnsi="楷体" w:cs="楷体_GB2312" w:hint="eastAsia"/>
          <w:b/>
          <w:sz w:val="32"/>
          <w:szCs w:val="32"/>
        </w:rPr>
        <w:t>（三）优化服务模式，提升汽车客运站服务品质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鼓励汽车客运站扩展服务功能。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在保持客运站基本服务功能和源头安全监管责任不变的前提下，鼓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励汽车客运站按照《城市旅游集散中心等级划分与评定》（GB/T31381-2015）标准，</w:t>
      </w:r>
      <w:r>
        <w:rPr>
          <w:rFonts w:ascii="仿宋_GB2312" w:eastAsia="仿宋_GB2312" w:hAnsi="仿宋" w:cs="仿宋_GB2312" w:hint="eastAsia"/>
          <w:sz w:val="32"/>
          <w:szCs w:val="32"/>
        </w:rPr>
        <w:t>对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现有客运站改建、扩建，建设旅游集散中心；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鼓励汽车客运站经营者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成立旅行社、旅游运输企业，开发销售旅游产品，为游客提供直达旅游景区的旅游包车、“景区直通车”、定制客运等服务；鼓励汽车客运站</w:t>
      </w:r>
      <w:r>
        <w:rPr>
          <w:rFonts w:ascii="仿宋_GB2312" w:eastAsia="仿宋_GB2312" w:hAnsi="仿宋" w:cs="仿宋_GB2312" w:hint="eastAsia"/>
          <w:sz w:val="32"/>
          <w:szCs w:val="32"/>
        </w:rPr>
        <w:t>积极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与民航机场衔接，建设城市航站楼，为旅客提供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航班信息咨询、办理购票、行李托运、换</w:t>
      </w:r>
      <w:hyperlink r:id="rId13" w:tgtFrame="https://baike.sogou.com/_blank" w:history="1">
        <w:r w:rsidRPr="00616146">
          <w:rPr>
            <w:rFonts w:ascii="仿宋_GB2312" w:eastAsia="仿宋_GB2312" w:hAnsi="仿宋" w:hint="eastAsia"/>
            <w:color w:val="000000"/>
            <w:sz w:val="32"/>
            <w:szCs w:val="32"/>
          </w:rPr>
          <w:t>登机牌</w:t>
        </w:r>
      </w:hyperlink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等服务，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建设地空虚拟航线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鼓励汽车客运站</w:t>
      </w:r>
      <w:r>
        <w:rPr>
          <w:rFonts w:ascii="仿宋_GB2312" w:eastAsia="仿宋_GB2312" w:hAnsi="仿宋" w:cs="仿宋_GB2312" w:hint="eastAsia"/>
          <w:sz w:val="32"/>
          <w:szCs w:val="32"/>
        </w:rPr>
        <w:t>紧密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与铁路、城市公共交通、轨道交通的衔接，设立绿色通道，打造综合换乘点</w:t>
      </w:r>
      <w:r>
        <w:rPr>
          <w:rFonts w:ascii="仿宋_GB2312" w:eastAsia="仿宋_GB2312" w:hAnsi="仿宋" w:cs="仿宋_GB2312" w:hint="eastAsia"/>
          <w:sz w:val="32"/>
          <w:szCs w:val="32"/>
        </w:rPr>
        <w:t>，方便旅客出行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加快推进汽车客运站小件快运网络建设。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要</w:t>
      </w:r>
      <w:r w:rsidRPr="00616146">
        <w:rPr>
          <w:rFonts w:ascii="仿宋_GB2312" w:eastAsia="仿宋_GB2312" w:hAnsi="仿宋" w:cs="仿宋_GB2312" w:hint="eastAsia"/>
          <w:bCs/>
          <w:sz w:val="32"/>
          <w:szCs w:val="32"/>
        </w:rPr>
        <w:t>进一步完善小件物流网络建设，坚持“一站带多点”发展思路，以省内客运站为节点组建快运网络，多点辐射，全面开花。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要加快推动乡镇客运站向综合运输服务站转型，拓展完善农村物流网络节点体系，为农村物流发展创造有利条件。</w:t>
      </w:r>
      <w:r w:rsidRPr="00616146">
        <w:rPr>
          <w:rFonts w:ascii="仿宋_GB2312" w:eastAsia="仿宋_GB2312" w:hAnsi="仿宋" w:cs="仿宋_GB2312" w:hint="eastAsia"/>
          <w:bCs/>
          <w:sz w:val="32"/>
          <w:szCs w:val="32"/>
        </w:rPr>
        <w:t>要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积极开展小件</w:t>
      </w:r>
      <w:r>
        <w:rPr>
          <w:rFonts w:ascii="仿宋_GB2312" w:eastAsia="仿宋_GB2312" w:hAnsi="仿宋" w:cs="仿宋_GB2312" w:hint="eastAsia"/>
          <w:sz w:val="32"/>
          <w:szCs w:val="32"/>
        </w:rPr>
        <w:t>货物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的上门取送、二次包装、加固、代收货款等业务，并要主动加强与现有的物流、快递企业对接合作，取长补短，不断提升小件运输服务能力。同时要加快网络平台的建设，开发相应的手机APP软件</w:t>
      </w:r>
      <w:r w:rsidRPr="00D5722D">
        <w:rPr>
          <w:rFonts w:ascii="仿宋_GB2312" w:eastAsia="仿宋_GB2312" w:hAnsi="仿宋" w:cs="仿宋_GB2312" w:hint="eastAsia"/>
          <w:sz w:val="32"/>
          <w:szCs w:val="32"/>
        </w:rPr>
        <w:t>或网络服务平台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，满足客户下订单、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lastRenderedPageBreak/>
        <w:t>缴运费、跟踪查询等</w:t>
      </w:r>
      <w:r>
        <w:rPr>
          <w:rFonts w:ascii="仿宋_GB2312" w:eastAsia="仿宋_GB2312" w:hAnsi="仿宋" w:cs="仿宋_GB2312" w:hint="eastAsia"/>
          <w:sz w:val="32"/>
          <w:szCs w:val="32"/>
        </w:rPr>
        <w:t>服务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需求。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7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.</w:t>
      </w:r>
      <w:r w:rsidRPr="00616146">
        <w:rPr>
          <w:rFonts w:ascii="仿宋_GB2312" w:eastAsia="仿宋_GB2312" w:hAnsi="仿宋" w:hint="eastAsia"/>
          <w:bCs/>
          <w:color w:val="000000"/>
          <w:sz w:val="32"/>
          <w:szCs w:val="32"/>
        </w:rPr>
        <w:t>鼓励汽车客运站建设综合商业体。</w:t>
      </w:r>
      <w:r w:rsidRPr="00616146">
        <w:rPr>
          <w:rFonts w:ascii="仿宋_GB2312" w:eastAsia="仿宋_GB2312" w:hAnsi="仿宋" w:hint="eastAsia"/>
          <w:color w:val="000000"/>
          <w:sz w:val="32"/>
          <w:szCs w:val="32"/>
        </w:rPr>
        <w:t>在保持客运站基本服务功能和确保安全前提下，</w:t>
      </w:r>
      <w:r>
        <w:rPr>
          <w:rFonts w:ascii="仿宋_GB2312" w:eastAsia="仿宋_GB2312" w:hAnsi="仿宋" w:cs="仿宋_GB2312" w:hint="eastAsia"/>
          <w:sz w:val="32"/>
          <w:szCs w:val="32"/>
        </w:rPr>
        <w:t>支持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客运站通过自营或招商引资等方式成立商贸综合体，充分利用场地、房屋等资源，开展快餐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616146">
        <w:rPr>
          <w:rFonts w:ascii="仿宋_GB2312" w:eastAsia="仿宋_GB2312" w:hAnsi="仿宋" w:cs="仿宋_GB2312" w:hint="eastAsia"/>
          <w:sz w:val="32"/>
          <w:szCs w:val="32"/>
        </w:rPr>
        <w:t>超市、网络信息、住宿酒店、公共停车场、中转换乘、汽车检测、维修、清洗、美容、汽车租赁等业务，为旅客提供商品售卖、</w:t>
      </w:r>
      <w:r w:rsidRPr="00616146">
        <w:rPr>
          <w:rFonts w:ascii="仿宋_GB2312" w:eastAsia="仿宋_GB2312" w:hAnsi="仿宋_GB2312" w:cs="仿宋_GB2312" w:hint="eastAsia"/>
          <w:sz w:val="32"/>
          <w:szCs w:val="32"/>
        </w:rPr>
        <w:t>餐饮、旅游服务、票务代理、小件快运等延伸服务。</w:t>
      </w:r>
    </w:p>
    <w:p w:rsidR="0049367F" w:rsidRPr="00FD61EC" w:rsidRDefault="0049367F" w:rsidP="0049367F">
      <w:pPr>
        <w:widowControl/>
        <w:adjustRightInd w:val="0"/>
        <w:snapToGrid w:val="0"/>
        <w:spacing w:line="540" w:lineRule="exact"/>
        <w:ind w:firstLineChars="200" w:firstLine="643"/>
        <w:outlineLvl w:val="0"/>
        <w:rPr>
          <w:rFonts w:ascii="楷体_GB2312" w:eastAsia="楷体_GB2312" w:hAnsi="楷体" w:cs="楷体_GB2312"/>
          <w:sz w:val="32"/>
          <w:szCs w:val="32"/>
        </w:rPr>
      </w:pPr>
      <w:r w:rsidRPr="00FD61EC">
        <w:rPr>
          <w:rFonts w:ascii="楷体_GB2312" w:eastAsia="楷体_GB2312" w:hAnsi="楷体" w:cs="楷体_GB2312" w:hint="eastAsia"/>
          <w:b/>
          <w:sz w:val="32"/>
          <w:szCs w:val="32"/>
        </w:rPr>
        <w:t>（四）优化收费标准，规范汽车客运站服务收费行为</w:t>
      </w:r>
    </w:p>
    <w:p w:rsidR="0049367F" w:rsidRPr="00616146" w:rsidRDefault="0049367F" w:rsidP="0049367F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16146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616146">
        <w:rPr>
          <w:rFonts w:ascii="仿宋_GB2312" w:eastAsia="仿宋_GB2312" w:hAnsi="宋体" w:cs="宋体" w:hint="eastAsia"/>
          <w:kern w:val="0"/>
          <w:sz w:val="32"/>
          <w:szCs w:val="32"/>
        </w:rPr>
        <w:t>积极协调省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价格主管部门</w:t>
      </w:r>
      <w:r w:rsidRPr="00616146">
        <w:rPr>
          <w:rFonts w:ascii="仿宋_GB2312" w:eastAsia="仿宋_GB2312" w:hAnsi="宋体" w:cs="宋体" w:hint="eastAsia"/>
          <w:kern w:val="0"/>
          <w:sz w:val="32"/>
          <w:szCs w:val="32"/>
        </w:rPr>
        <w:t>，修订和完善《吉林省汽车运价及客运站收费实施细则》，探索实行政府指导价与市场调节价相结合的价格管理模式，调整客运代理费、车辆例行检查费、退票费、站务费等政府指导价格的收费标准，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616146">
        <w:rPr>
          <w:rFonts w:ascii="仿宋_GB2312" w:eastAsia="仿宋_GB2312" w:hAnsi="宋体" w:cs="宋体" w:hint="eastAsia"/>
          <w:kern w:val="0"/>
          <w:sz w:val="32"/>
          <w:szCs w:val="32"/>
        </w:rPr>
        <w:t>放开汽车客运站内竞争性领域的价格。客运站要严格落实明码标价制度，在醒目位置公示服务项目、内容、标准、监督举报电话，并自觉接受价格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主管</w:t>
      </w:r>
      <w:r w:rsidRPr="00616146">
        <w:rPr>
          <w:rFonts w:ascii="仿宋_GB2312" w:eastAsia="仿宋_GB2312" w:hAnsi="宋体" w:cs="宋体" w:hint="eastAsia"/>
          <w:kern w:val="0"/>
          <w:sz w:val="32"/>
          <w:szCs w:val="32"/>
        </w:rPr>
        <w:t>部门的监督检查。</w:t>
      </w:r>
    </w:p>
    <w:p w:rsidR="0049367F" w:rsidRPr="00616146" w:rsidRDefault="0049367F" w:rsidP="0049367F">
      <w:pPr>
        <w:spacing w:line="540" w:lineRule="exact"/>
        <w:ind w:firstLineChars="200" w:firstLine="64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616146">
        <w:rPr>
          <w:rFonts w:ascii="黑体" w:eastAsia="黑体" w:hAnsi="黑体" w:cs="黑体" w:hint="eastAsia"/>
          <w:color w:val="000000"/>
          <w:sz w:val="32"/>
          <w:szCs w:val="32"/>
        </w:rPr>
        <w:t>三、保障措施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提高思想认识，加强组织领导。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各级交通运输主管部门要充分认识汽车客运站转型发展的重要意义，将思想和行动统一到全面深化改革的决策和部署上来，将客运站转型过程中的新情况、新问题积极向当地人民政府汇报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，取得支持，予以妥善解决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。要严格落实好改革的主体责任，加强组织协调，明确责任分工，积极帮助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和指导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客运站协调当地人民政府和相关管理部门落实相关政策措施。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开展工作调研，确保稳步推进。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各级交通运输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主管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部门要组织相关人员深入一线开展工作调研，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既要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确保改革措施落到实处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，又要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做到依法严厉打击各种违法行为。同时，要畅通诉求渠道，及时回应社会关切，确保改革推进过程中行业稳定。</w:t>
      </w:r>
    </w:p>
    <w:p w:rsidR="0049367F" w:rsidRPr="00616146" w:rsidRDefault="0049367F" w:rsidP="0049367F">
      <w:pPr>
        <w:spacing w:line="54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B07052">
        <w:rPr>
          <w:rFonts w:ascii="仿宋_GB2312" w:eastAsia="仿宋_GB2312" w:hAnsi="宋体" w:cs="宋体" w:hint="eastAsia"/>
          <w:kern w:val="0"/>
          <w:sz w:val="32"/>
          <w:szCs w:val="32"/>
        </w:rPr>
        <w:t>加大宣传力度，强化舆论引导。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各级交通运输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主管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部门要加大客运站转型发展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必要性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的宣传力度，广泛利用各种媒体宣传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客运站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改革的措施，政策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解读，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</w:t>
      </w:r>
      <w:r w:rsidRPr="0061614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做好舆情引导工作。</w:t>
      </w:r>
    </w:p>
    <w:p w:rsidR="00214F47" w:rsidRPr="0049367F" w:rsidRDefault="00214F47">
      <w:bookmarkStart w:id="0" w:name="_GoBack"/>
      <w:bookmarkEnd w:id="0"/>
    </w:p>
    <w:sectPr w:rsidR="00214F47" w:rsidRPr="0049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8F" w:rsidRDefault="0063298F" w:rsidP="0049367F">
      <w:r>
        <w:separator/>
      </w:r>
    </w:p>
  </w:endnote>
  <w:endnote w:type="continuationSeparator" w:id="0">
    <w:p w:rsidR="0063298F" w:rsidRDefault="0063298F" w:rsidP="0049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8F" w:rsidRDefault="0063298F" w:rsidP="0049367F">
      <w:r>
        <w:separator/>
      </w:r>
    </w:p>
  </w:footnote>
  <w:footnote w:type="continuationSeparator" w:id="0">
    <w:p w:rsidR="0063298F" w:rsidRDefault="0063298F" w:rsidP="0049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8"/>
    <w:rsid w:val="00214F47"/>
    <w:rsid w:val="0049367F"/>
    <w:rsid w:val="005A44F8"/>
    <w:rsid w:val="006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6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166151221&amp;ss_c=ssc.citiao.link" TargetMode="External"/><Relationship Id="rId13" Type="http://schemas.openxmlformats.org/officeDocument/2006/relationships/hyperlink" Target="https://baike.sogou.com/lemma/ShowInnerLink.htm?lemmaId=2170747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50854&amp;ss_c=ssc.citiao.link" TargetMode="External"/><Relationship Id="rId12" Type="http://schemas.openxmlformats.org/officeDocument/2006/relationships/hyperlink" Target="https://baike.sogou.com/lemma/ShowInnerLink.htm?lemmaId=128611956&amp;ss_c=ssc.citiao.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ike.sogou.com/lemma/ShowInnerLink.htm?lemmaId=158403961&amp;ss_c=ssc.citiao.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ike.sogou.com/lemma/ShowInnerLink.htm?lemmaId=73017267&amp;ss_c=ssc.citiao.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gou.com/lemma/ShowInnerLink.htm?lemmaId=83154640&amp;ss_c=ssc.citiao.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2504ysy</dc:creator>
  <cp:keywords/>
  <dc:description/>
  <cp:lastModifiedBy>2504ysy</cp:lastModifiedBy>
  <cp:revision>2</cp:revision>
  <dcterms:created xsi:type="dcterms:W3CDTF">2019-12-27T03:07:00Z</dcterms:created>
  <dcterms:modified xsi:type="dcterms:W3CDTF">2019-12-27T03:07:00Z</dcterms:modified>
</cp:coreProperties>
</file>