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323232"/>
          <w:kern w:val="0"/>
          <w:sz w:val="32"/>
          <w:szCs w:val="32"/>
          <w:lang w:val="en-US" w:eastAsia="zh-CN"/>
        </w:rPr>
      </w:pPr>
      <w:r>
        <w:rPr>
          <w:rFonts w:hint="eastAsia" w:ascii="黑体" w:hAnsi="黑体" w:eastAsia="黑体" w:cs="黑体"/>
          <w:color w:val="323232"/>
          <w:kern w:val="0"/>
          <w:sz w:val="32"/>
          <w:szCs w:val="32"/>
          <w:lang w:eastAsia="zh-CN"/>
        </w:rPr>
        <w:t>附件</w:t>
      </w:r>
      <w:r>
        <w:rPr>
          <w:rFonts w:hint="eastAsia" w:ascii="黑体" w:hAnsi="黑体" w:eastAsia="黑体" w:cs="黑体"/>
          <w:color w:val="323232"/>
          <w:kern w:val="0"/>
          <w:sz w:val="32"/>
          <w:szCs w:val="32"/>
          <w:lang w:val="en-US" w:eastAsia="zh-CN"/>
        </w:rPr>
        <w:t>2</w:t>
      </w:r>
    </w:p>
    <w:p>
      <w:pPr>
        <w:spacing w:line="600" w:lineRule="exact"/>
        <w:jc w:val="left"/>
        <w:rPr>
          <w:rFonts w:hint="eastAsia" w:ascii="黑体" w:hAnsi="黑体" w:eastAsia="黑体" w:cs="黑体"/>
          <w:color w:val="323232"/>
          <w:kern w:val="0"/>
          <w:sz w:val="32"/>
          <w:szCs w:val="32"/>
          <w:lang w:val="en-US" w:eastAsia="zh-CN"/>
        </w:rPr>
      </w:pPr>
    </w:p>
    <w:p>
      <w:pPr>
        <w:spacing w:line="600" w:lineRule="exact"/>
        <w:jc w:val="center"/>
        <w:rPr>
          <w:rFonts w:hint="eastAsia" w:ascii="方正小标宋简体" w:hAnsi="方正小标宋简体" w:eastAsia="方正小标宋简体" w:cs="方正小标宋简体"/>
          <w:color w:val="323232"/>
          <w:kern w:val="0"/>
          <w:sz w:val="44"/>
          <w:szCs w:val="44"/>
        </w:rPr>
      </w:pPr>
      <w:r>
        <w:rPr>
          <w:rFonts w:hint="eastAsia" w:ascii="方正小标宋简体" w:hAnsi="方正小标宋简体" w:eastAsia="方正小标宋简体" w:cs="方正小标宋简体"/>
          <w:color w:val="323232"/>
          <w:kern w:val="0"/>
          <w:sz w:val="44"/>
          <w:szCs w:val="44"/>
        </w:rPr>
        <w:t>收费标准计算原则和车（轴）型认定方式</w:t>
      </w:r>
    </w:p>
    <w:p>
      <w:pPr>
        <w:spacing w:line="600" w:lineRule="exact"/>
        <w:jc w:val="center"/>
        <w:rPr>
          <w:rFonts w:hint="eastAsia" w:ascii="方正小标宋简体" w:hAnsi="方正小标宋简体" w:eastAsia="方正小标宋简体" w:cs="方正小标宋简体"/>
          <w:color w:val="323232"/>
          <w:kern w:val="0"/>
          <w:sz w:val="44"/>
          <w:szCs w:val="44"/>
        </w:rPr>
      </w:pPr>
    </w:p>
    <w:p>
      <w:pPr>
        <w:spacing w:line="600" w:lineRule="exact"/>
        <w:ind w:firstLine="640" w:firstLineChars="200"/>
        <w:rPr>
          <w:rFonts w:hint="eastAsia" w:ascii="仿宋_GB2312" w:hAnsi="仿宋_GB2312" w:eastAsia="仿宋_GB2312" w:cs="仿宋_GB2312"/>
          <w:kern w:val="36"/>
          <w:sz w:val="32"/>
          <w:szCs w:val="32"/>
        </w:rPr>
      </w:pPr>
      <w:r>
        <w:rPr>
          <w:rFonts w:hint="eastAsia" w:ascii="仿宋_GB2312" w:hAnsi="仿宋_GB2312" w:eastAsia="仿宋_GB2312" w:cs="仿宋_GB2312"/>
          <w:color w:val="323232"/>
          <w:kern w:val="0"/>
          <w:sz w:val="32"/>
          <w:szCs w:val="32"/>
        </w:rPr>
        <w:t>一、</w:t>
      </w:r>
      <w:r>
        <w:rPr>
          <w:rFonts w:hint="eastAsia" w:ascii="仿宋_GB2312" w:hAnsi="仿宋_GB2312" w:eastAsia="仿宋_GB2312" w:cs="仿宋_GB2312"/>
          <w:color w:val="181818"/>
          <w:kern w:val="0"/>
          <w:sz w:val="32"/>
          <w:szCs w:val="32"/>
        </w:rPr>
        <w:t>高速公路车辆通行费按车型和实际行驶里程以及对应的费率标准计收，ETC车辆通行费计算精确到分，分以下四舍五入；MTC收</w:t>
      </w:r>
      <w:r>
        <w:rPr>
          <w:rFonts w:hint="eastAsia" w:ascii="仿宋_GB2312" w:hAnsi="仿宋_GB2312" w:eastAsia="仿宋_GB2312" w:cs="仿宋_GB2312"/>
          <w:kern w:val="36"/>
          <w:sz w:val="32"/>
          <w:szCs w:val="32"/>
        </w:rPr>
        <w:t>费计算精确到元，元以下四舍五入。</w:t>
      </w:r>
    </w:p>
    <w:p>
      <w:pPr>
        <w:spacing w:line="600" w:lineRule="exact"/>
        <w:ind w:firstLine="640" w:firstLineChars="200"/>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二、对经批准</w:t>
      </w:r>
      <w:r>
        <w:rPr>
          <w:rFonts w:hint="eastAsia" w:ascii="仿宋_GB2312" w:hAnsi="仿宋_GB2312" w:eastAsia="仿宋_GB2312" w:cs="仿宋_GB2312"/>
          <w:kern w:val="36"/>
          <w:sz w:val="32"/>
          <w:szCs w:val="32"/>
          <w:lang w:eastAsia="zh-CN"/>
        </w:rPr>
        <w:t>通行高速公路</w:t>
      </w:r>
      <w:r>
        <w:rPr>
          <w:rFonts w:hint="eastAsia" w:ascii="仿宋_GB2312" w:hAnsi="仿宋_GB2312" w:eastAsia="仿宋_GB2312" w:cs="仿宋_GB2312"/>
          <w:kern w:val="36"/>
          <w:sz w:val="32"/>
          <w:szCs w:val="32"/>
        </w:rPr>
        <w:t>的大件运输车辆，总质量未超过该轴型超限认定</w:t>
      </w:r>
      <w:bookmarkStart w:id="0" w:name="_GoBack"/>
      <w:bookmarkEnd w:id="0"/>
      <w:r>
        <w:rPr>
          <w:rFonts w:hint="eastAsia" w:ascii="仿宋_GB2312" w:hAnsi="仿宋_GB2312" w:eastAsia="仿宋_GB2312" w:cs="仿宋_GB2312"/>
          <w:kern w:val="36"/>
          <w:sz w:val="32"/>
          <w:szCs w:val="32"/>
        </w:rPr>
        <w:t>标准的，按车型收费标准计算。对</w:t>
      </w:r>
      <w:r>
        <w:rPr>
          <w:rFonts w:hint="eastAsia" w:ascii="仿宋_GB2312" w:hAnsi="仿宋_GB2312" w:eastAsia="仿宋_GB2312" w:cs="仿宋_GB2312"/>
          <w:kern w:val="36"/>
          <w:sz w:val="32"/>
          <w:szCs w:val="32"/>
          <w:lang w:eastAsia="zh-CN"/>
        </w:rPr>
        <w:t>经批准通行高速公路的</w:t>
      </w:r>
      <w:r>
        <w:rPr>
          <w:rFonts w:hint="eastAsia" w:ascii="仿宋_GB2312" w:hAnsi="仿宋_GB2312" w:eastAsia="仿宋_GB2312" w:cs="仿宋_GB2312"/>
          <w:kern w:val="36"/>
          <w:sz w:val="32"/>
          <w:szCs w:val="32"/>
          <w:lang w:val="en-US" w:eastAsia="zh-CN"/>
        </w:rPr>
        <w:t>6轴以上大件运输车辆设定收费系数</w:t>
      </w:r>
      <w:r>
        <w:rPr>
          <w:rFonts w:hint="eastAsia" w:ascii="仿宋_GB2312" w:hAnsi="仿宋_GB2312" w:eastAsia="仿宋_GB2312" w:cs="仿宋_GB2312"/>
          <w:kern w:val="36"/>
          <w:sz w:val="32"/>
          <w:szCs w:val="32"/>
        </w:rPr>
        <w:t>，以6轴货车收费系数（4.67）为基础，按每增加一轴增加0.8倍收费系数计费，</w:t>
      </w:r>
      <w:r>
        <w:rPr>
          <w:rFonts w:hint="eastAsia" w:ascii="仿宋_GB2312" w:hAnsi="仿宋_GB2312" w:eastAsia="仿宋_GB2312" w:cs="仿宋_GB2312"/>
          <w:kern w:val="36"/>
          <w:sz w:val="32"/>
          <w:szCs w:val="32"/>
          <w:lang w:eastAsia="zh-CN"/>
        </w:rPr>
        <w:t>例</w:t>
      </w:r>
      <w:r>
        <w:rPr>
          <w:rFonts w:hint="eastAsia" w:ascii="仿宋_GB2312" w:hAnsi="仿宋_GB2312" w:eastAsia="仿宋_GB2312" w:cs="仿宋_GB2312"/>
          <w:kern w:val="36"/>
          <w:sz w:val="32"/>
          <w:szCs w:val="32"/>
        </w:rPr>
        <w:t>如7轴大件运输车辆收费系数为4.67+0.8，对应收费标准为2.46元/车公里，以此类推。</w:t>
      </w:r>
    </w:p>
    <w:p>
      <w:pPr>
        <w:spacing w:line="600" w:lineRule="exact"/>
        <w:ind w:firstLine="640" w:firstLineChars="200"/>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三、对满足轴荷及质量限值的专项作业车，执行普通货车收费标准。存在超限超载情况的专项作业车，取得大件运输许可证的按大件运输车辆收费标准。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36"/>
          <w:sz w:val="32"/>
          <w:szCs w:val="32"/>
        </w:rPr>
        <w:t>四、货车列车按牵引车和挂</w:t>
      </w:r>
      <w:r>
        <w:rPr>
          <w:rFonts w:hint="eastAsia" w:ascii="仿宋_GB2312" w:hAnsi="仿宋_GB2312" w:eastAsia="仿宋_GB2312" w:cs="仿宋_GB2312"/>
          <w:color w:val="181818"/>
          <w:kern w:val="0"/>
          <w:sz w:val="32"/>
          <w:szCs w:val="32"/>
        </w:rPr>
        <w:t>车的合计轴数，确定车型（轴）及收费标准。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F3"/>
    <w:rsid w:val="00561C6D"/>
    <w:rsid w:val="00713D9D"/>
    <w:rsid w:val="0086194D"/>
    <w:rsid w:val="00965875"/>
    <w:rsid w:val="009A1B69"/>
    <w:rsid w:val="00A36EC4"/>
    <w:rsid w:val="00AE0222"/>
    <w:rsid w:val="00B1323B"/>
    <w:rsid w:val="00C87BF3"/>
    <w:rsid w:val="00CD1B82"/>
    <w:rsid w:val="00D4528D"/>
    <w:rsid w:val="0FD44CF3"/>
    <w:rsid w:val="3B903A45"/>
    <w:rsid w:val="46E2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309</Characters>
  <Lines>2</Lines>
  <Paragraphs>1</Paragraphs>
  <TotalTime>15</TotalTime>
  <ScaleCrop>false</ScaleCrop>
  <LinksUpToDate>false</LinksUpToDate>
  <CharactersWithSpaces>362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2019-12-20T03:00:00Z</dcterms:created>
  <dc:creator>1103WangJH</dc:creator>
  <cp:lastModifiedBy>Jingjing</cp:lastModifiedBy>
  <cp:lastPrinted>2019-12-24T02:07:00Z</cp:lastPrinted>
  <dcterms:modified xsi:type="dcterms:W3CDTF">2020-01-06T07:22:02Z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