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left"/>
        <w:rPr>
          <w:rFonts w:cs="宋体" w:asciiTheme="minorEastAsia" w:hAnsiTheme="minorEastAsia" w:eastAsiaTheme="minorEastAsia"/>
          <w:color w:val="272727"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附件</w:t>
      </w:r>
      <w:r>
        <w:rPr>
          <w:rFonts w:hint="eastAsia" w:cs="宋体" w:asciiTheme="minorEastAsia" w:hAnsiTheme="minorEastAsia" w:eastAsiaTheme="minorEastAsia"/>
          <w:color w:val="272727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adjustRightInd w:val="0"/>
        <w:snapToGrid w:val="0"/>
        <w:spacing w:afterLines="50"/>
        <w:jc w:val="center"/>
        <w:rPr>
          <w:rFonts w:cs="宋体" w:asciiTheme="minorEastAsia" w:hAnsiTheme="minorEastAsia" w:eastAsiaTheme="minorEastAsia"/>
          <w:color w:val="272727"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32"/>
          <w:szCs w:val="32"/>
        </w:rPr>
        <w:t>2020年度吉林省公路水运工程试验检测机构信用评价结果</w:t>
      </w:r>
    </w:p>
    <w:tbl>
      <w:tblPr>
        <w:tblStyle w:val="5"/>
        <w:tblpPr w:leftFromText="181" w:rightFromText="181" w:vertAnchor="text" w:horzAnchor="margin" w:tblpY="1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5529"/>
        <w:gridCol w:w="2268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序号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试验检测机构名称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等级类型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272727"/>
                <w:spacing w:val="-1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pacing w:val="-10"/>
                <w:kern w:val="0"/>
                <w:szCs w:val="21"/>
              </w:rPr>
              <w:t>信用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272727"/>
                <w:spacing w:val="-1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pacing w:val="-10"/>
                <w:kern w:val="0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1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白城长营集团祥通试验检测有限公司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2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白城市天衡公路工程试验检测有限公司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3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白山市公路工程试验检测中心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4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长春建业工程试验检测有限责任公司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5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长春市国科检测有限公司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6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长春市路维交通工程试验检测有限公司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7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长春同固路桥检测有限公司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8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公主岭市公路工程试验室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9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吉林达通公路工程试验检测有限责任公司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10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吉林宏威公路试验检测有限公司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11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吉林省道桥工程建设集团通化公路试验检测有限公司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12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吉林省高等级公路工程有限责任公司长春检测中心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13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吉林省公路工程监理有限责任公司试验检测站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14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吉林省宏诚路桥建设有限公司试验检测中心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15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吉林省宏运公路工程试验检测有限公司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16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吉林省计维工程检测有限公司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17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吉林省建设集团公路检测有限公司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18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吉林省交通建设集团试验检测有限公司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19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吉林省康桥交通建设监理有限公司试验检测中心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20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吉林省顺通工程试验检测有限公司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21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吉林省松江路桥建筑试验检测有限公司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22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吉林省信毅工程试验检测有限公司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23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吉林省亿盛工程质量检测有限责任公司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24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吉林省云路交通科技股份公司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序号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试验检测机构名称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等级类型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272727"/>
                <w:spacing w:val="-1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pacing w:val="-10"/>
                <w:kern w:val="0"/>
                <w:szCs w:val="21"/>
              </w:rPr>
              <w:t>信用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272727"/>
                <w:spacing w:val="-1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spacing w:val="-10"/>
                <w:kern w:val="0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25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吉林省中盛路桥试验检测有限公司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26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吉林沃泰工程试验检测有限公司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27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吉林育才公路工程试验检测站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28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辽源市枫源公路工程试验检测有限公司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29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四平市盛博公路工程质量检测有限公司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30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松原市公路工程试验检测有限公司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31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通化信通公路试验检测有限公司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32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延边方圆公路质量检测有限公司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33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延边正方公路质量检测有限公司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34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中铁津桥工程检测有限公司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35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抚松县顺通公路工程实验检测有限责任公司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36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白山市曙光建筑工程检测有限公司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37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吉林省弘顺公路工程试验检测有限公司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38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吉林省弘信检测有限公司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39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吉林省兴宇路桥试验检测站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cs="宋体" w:asciiTheme="minorEastAsia" w:hAnsiTheme="minorEastAsia" w:eastAsiaTheme="minorEastAsia"/>
                <w:color w:val="272727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272727"/>
                <w:kern w:val="0"/>
                <w:szCs w:val="21"/>
              </w:rPr>
              <w:t>40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吉林奕恒工程检测有限公司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公路工程-综合丙级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A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520" w:lineRule="atLeast"/>
        <w:jc w:val="left"/>
        <w:rPr>
          <w:rFonts w:asciiTheme="minorEastAsia" w:hAnsiTheme="minorEastAsia" w:eastAsiaTheme="minorEastAsia"/>
          <w:kern w:val="0"/>
        </w:rPr>
      </w:pPr>
    </w:p>
    <w:sectPr>
      <w:headerReference r:id="rId3" w:type="default"/>
      <w:pgSz w:w="11906" w:h="16838"/>
      <w:pgMar w:top="1440" w:right="1418" w:bottom="1712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18"/>
    <w:rsid w:val="0006536E"/>
    <w:rsid w:val="00072F5C"/>
    <w:rsid w:val="00095FD6"/>
    <w:rsid w:val="000B3E2B"/>
    <w:rsid w:val="000F07E6"/>
    <w:rsid w:val="000F50B2"/>
    <w:rsid w:val="00127517"/>
    <w:rsid w:val="001313E0"/>
    <w:rsid w:val="00132664"/>
    <w:rsid w:val="00144062"/>
    <w:rsid w:val="0015573F"/>
    <w:rsid w:val="001643FC"/>
    <w:rsid w:val="00224A81"/>
    <w:rsid w:val="00255327"/>
    <w:rsid w:val="00297910"/>
    <w:rsid w:val="002A4DB9"/>
    <w:rsid w:val="002C2EF5"/>
    <w:rsid w:val="002E783F"/>
    <w:rsid w:val="002F1D95"/>
    <w:rsid w:val="00310C27"/>
    <w:rsid w:val="0032429E"/>
    <w:rsid w:val="0033343C"/>
    <w:rsid w:val="003742C2"/>
    <w:rsid w:val="003D1775"/>
    <w:rsid w:val="0041719A"/>
    <w:rsid w:val="00425D93"/>
    <w:rsid w:val="00444598"/>
    <w:rsid w:val="00467818"/>
    <w:rsid w:val="004A0E02"/>
    <w:rsid w:val="004B1717"/>
    <w:rsid w:val="004B5D20"/>
    <w:rsid w:val="004C22B9"/>
    <w:rsid w:val="005067B4"/>
    <w:rsid w:val="00533BE0"/>
    <w:rsid w:val="00533C91"/>
    <w:rsid w:val="00533EF2"/>
    <w:rsid w:val="00534B5A"/>
    <w:rsid w:val="005603D7"/>
    <w:rsid w:val="00561D7A"/>
    <w:rsid w:val="00581339"/>
    <w:rsid w:val="005D633D"/>
    <w:rsid w:val="005E6E85"/>
    <w:rsid w:val="006B073A"/>
    <w:rsid w:val="006E5B0A"/>
    <w:rsid w:val="006F2C27"/>
    <w:rsid w:val="00714C86"/>
    <w:rsid w:val="00750DB0"/>
    <w:rsid w:val="007571DB"/>
    <w:rsid w:val="00767A02"/>
    <w:rsid w:val="00781101"/>
    <w:rsid w:val="007D1102"/>
    <w:rsid w:val="007F3B6D"/>
    <w:rsid w:val="008230E8"/>
    <w:rsid w:val="0088650F"/>
    <w:rsid w:val="008904DF"/>
    <w:rsid w:val="0093426D"/>
    <w:rsid w:val="009B4C48"/>
    <w:rsid w:val="009C101B"/>
    <w:rsid w:val="00A12D20"/>
    <w:rsid w:val="00A4037A"/>
    <w:rsid w:val="00A5534D"/>
    <w:rsid w:val="00AA1791"/>
    <w:rsid w:val="00AC3ADB"/>
    <w:rsid w:val="00AD133E"/>
    <w:rsid w:val="00AD2C5D"/>
    <w:rsid w:val="00B50F33"/>
    <w:rsid w:val="00B5173C"/>
    <w:rsid w:val="00B638AB"/>
    <w:rsid w:val="00B662A9"/>
    <w:rsid w:val="00B97008"/>
    <w:rsid w:val="00BC31FA"/>
    <w:rsid w:val="00BD3D0E"/>
    <w:rsid w:val="00BD663F"/>
    <w:rsid w:val="00BF0C45"/>
    <w:rsid w:val="00BF36D2"/>
    <w:rsid w:val="00C13301"/>
    <w:rsid w:val="00C37138"/>
    <w:rsid w:val="00C40CFB"/>
    <w:rsid w:val="00C41029"/>
    <w:rsid w:val="00C734C3"/>
    <w:rsid w:val="00CA5C66"/>
    <w:rsid w:val="00CB1597"/>
    <w:rsid w:val="00CB4561"/>
    <w:rsid w:val="00CC43CA"/>
    <w:rsid w:val="00CF4DC9"/>
    <w:rsid w:val="00D3791E"/>
    <w:rsid w:val="00D4674E"/>
    <w:rsid w:val="00D670E0"/>
    <w:rsid w:val="00D90DB4"/>
    <w:rsid w:val="00DE57EF"/>
    <w:rsid w:val="00DF08D7"/>
    <w:rsid w:val="00DF3AC9"/>
    <w:rsid w:val="00E57457"/>
    <w:rsid w:val="00EA3906"/>
    <w:rsid w:val="00EB745B"/>
    <w:rsid w:val="00F03433"/>
    <w:rsid w:val="00F5762F"/>
    <w:rsid w:val="00F64033"/>
    <w:rsid w:val="00F6525B"/>
    <w:rsid w:val="00F80522"/>
    <w:rsid w:val="00F82A3B"/>
    <w:rsid w:val="00F860F0"/>
    <w:rsid w:val="00F87D75"/>
    <w:rsid w:val="00FB390A"/>
    <w:rsid w:val="00FB7F8C"/>
    <w:rsid w:val="00FF231A"/>
    <w:rsid w:val="221448BE"/>
    <w:rsid w:val="6DF113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uiPriority w:val="0"/>
    <w:rPr>
      <w:color w:val="0000FF"/>
      <w:u w:val="single"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middle0"/>
    <w:basedOn w:val="1"/>
    <w:uiPriority w:val="0"/>
    <w:pPr>
      <w:widowControl/>
      <w:pBdr>
        <w:top w:val="single" w:color="D9D9D9" w:sz="6" w:space="0"/>
        <w:left w:val="single" w:color="D9D9D9" w:sz="6" w:space="0"/>
        <w:right w:val="single" w:color="D9D9D9" w:sz="6" w:space="0"/>
      </w:pBdr>
      <w:spacing w:before="100" w:beforeAutospacing="1" w:after="100" w:afterAutospacing="1"/>
      <w:ind w:left="105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wznr0"/>
    <w:basedOn w:val="1"/>
    <w:qFormat/>
    <w:uiPriority w:val="0"/>
    <w:pPr>
      <w:widowControl/>
      <w:spacing w:before="375"/>
      <w:ind w:left="450" w:right="450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dx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contentleft1"/>
    <w:basedOn w:val="1"/>
    <w:qFormat/>
    <w:uiPriority w:val="0"/>
    <w:pPr>
      <w:widowControl/>
      <w:pBdr>
        <w:top w:val="single" w:color="D9D9D9" w:sz="6" w:space="0"/>
        <w:left w:val="single" w:color="D9D9D9" w:sz="6" w:space="0"/>
        <w:bottom w:val="single" w:color="D9D9D9" w:sz="6" w:space="0"/>
        <w:right w:val="single" w:color="D9D9D9" w:sz="6" w:space="0"/>
      </w:pBdr>
      <w:shd w:val="clear" w:color="auto" w:fill="FFEDE3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contentwszx"/>
    <w:basedOn w:val="1"/>
    <w:uiPriority w:val="0"/>
    <w:pPr>
      <w:widowControl/>
      <w:pBdr>
        <w:top w:val="single" w:color="D9D9D9" w:sz="6" w:space="0"/>
        <w:left w:val="single" w:color="D9D9D9" w:sz="6" w:space="0"/>
        <w:right w:val="single" w:color="D9D9D9" w:sz="6" w:space="0"/>
      </w:pBdr>
      <w:shd w:val="clear" w:color="auto" w:fill="FFEDE3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tsimg"/>
    <w:basedOn w:val="1"/>
    <w:qFormat/>
    <w:uiPriority w:val="0"/>
    <w:pPr>
      <w:widowControl/>
      <w:ind w:left="-90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bar"/>
    <w:basedOn w:val="1"/>
    <w:qFormat/>
    <w:uiPriority w:val="0"/>
    <w:pPr>
      <w:widowControl/>
      <w:pBdr>
        <w:top w:val="single" w:color="FFEDE3" w:sz="6" w:space="0"/>
        <w:left w:val="single" w:color="FFEDE3" w:sz="6" w:space="0"/>
        <w:bottom w:val="single" w:color="FFEDE3" w:sz="6" w:space="0"/>
        <w:right w:val="single" w:color="FFEDE3" w:sz="6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contentleft2"/>
    <w:basedOn w:val="1"/>
    <w:uiPriority w:val="0"/>
    <w:pPr>
      <w:widowControl/>
      <w:pBdr>
        <w:top w:val="single" w:color="D9D9D9" w:sz="6" w:space="0"/>
        <w:left w:val="single" w:color="D9D9D9" w:sz="6" w:space="0"/>
        <w:bottom w:val="single" w:color="D9D9D9" w:sz="6" w:space="0"/>
        <w:right w:val="single" w:color="D9D9D9" w:sz="6" w:space="0"/>
      </w:pBdr>
      <w:shd w:val="clear" w:color="auto" w:fill="FFEDE3"/>
      <w:spacing w:before="75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contentleft3"/>
    <w:basedOn w:val="1"/>
    <w:uiPriority w:val="0"/>
    <w:pPr>
      <w:widowControl/>
      <w:pBdr>
        <w:top w:val="single" w:color="D9D9D9" w:sz="6" w:space="0"/>
        <w:left w:val="single" w:color="D9D9D9" w:sz="6" w:space="0"/>
        <w:right w:val="single" w:color="D9D9D9" w:sz="6" w:space="0"/>
      </w:pBdr>
      <w:shd w:val="clear" w:color="auto" w:fill="FFEDE3"/>
      <w:spacing w:before="75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contentleft4"/>
    <w:basedOn w:val="1"/>
    <w:uiPriority w:val="0"/>
    <w:pPr>
      <w:widowControl/>
      <w:pBdr>
        <w:top w:val="single" w:color="D9D9D9" w:sz="6" w:space="0"/>
        <w:left w:val="single" w:color="D9D9D9" w:sz="6" w:space="0"/>
        <w:right w:val="single" w:color="D9D9D9" w:sz="6" w:space="0"/>
      </w:pBdr>
      <w:shd w:val="clear" w:color="auto" w:fill="FFEDE3"/>
      <w:spacing w:before="75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middle1"/>
    <w:basedOn w:val="1"/>
    <w:uiPriority w:val="0"/>
    <w:pPr>
      <w:widowControl/>
      <w:pBdr>
        <w:top w:val="single" w:color="D9D9D9" w:sz="6" w:space="0"/>
        <w:left w:val="single" w:color="D9D9D9" w:sz="6" w:space="0"/>
        <w:bottom w:val="single" w:color="D9D9D9" w:sz="6" w:space="0"/>
        <w:right w:val="single" w:color="D9D9D9" w:sz="6" w:space="0"/>
      </w:pBdr>
      <w:spacing w:before="100" w:beforeAutospacing="1" w:after="100" w:afterAutospacing="1"/>
      <w:ind w:left="105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contentcx"/>
    <w:basedOn w:val="1"/>
    <w:uiPriority w:val="0"/>
    <w:pPr>
      <w:widowControl/>
      <w:pBdr>
        <w:top w:val="single" w:color="D9D9D9" w:sz="6" w:space="0"/>
        <w:left w:val="single" w:color="D9D9D9" w:sz="6" w:space="0"/>
        <w:bottom w:val="single" w:color="D9D9D9" w:sz="6" w:space="0"/>
        <w:right w:val="single" w:color="D9D9D9" w:sz="6" w:space="0"/>
      </w:pBdr>
      <w:spacing w:before="100" w:beforeAutospacing="1" w:after="100" w:afterAutospacing="1"/>
      <w:ind w:left="105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contentdt"/>
    <w:basedOn w:val="1"/>
    <w:uiPriority w:val="0"/>
    <w:pPr>
      <w:widowControl/>
      <w:pBdr>
        <w:top w:val="single" w:color="D9D9D9" w:sz="6" w:space="0"/>
        <w:left w:val="single" w:color="D9D9D9" w:sz="6" w:space="0"/>
        <w:bottom w:val="single" w:color="D9D9D9" w:sz="6" w:space="0"/>
        <w:right w:val="single" w:color="D9D9D9" w:sz="6" w:space="0"/>
      </w:pBdr>
      <w:spacing w:before="100" w:beforeAutospacing="1" w:after="100" w:afterAutospacing="1"/>
      <w:ind w:left="105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dtsy"/>
    <w:basedOn w:val="1"/>
    <w:uiPriority w:val="0"/>
    <w:pPr>
      <w:widowControl/>
      <w:shd w:val="clear" w:color="auto" w:fill="FFD6BE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3">
    <w:name w:val="dtlm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4">
    <w:name w:val="dtzl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middlebar"/>
    <w:basedOn w:val="1"/>
    <w:uiPriority w:val="0"/>
    <w:pPr>
      <w:widowControl/>
      <w:pBdr>
        <w:top w:val="single" w:color="FFFFFF" w:sz="6" w:space="0"/>
        <w:left w:val="single" w:color="FFFFFF" w:sz="6" w:space="0"/>
        <w:bottom w:val="single" w:color="FFFFFF" w:sz="6" w:space="0"/>
        <w:right w:val="single" w:color="FFFFFF" w:sz="6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tzxx"/>
    <w:basedOn w:val="1"/>
    <w:uiPriority w:val="0"/>
    <w:pPr>
      <w:widowControl/>
      <w:spacing w:before="600"/>
      <w:ind w:left="300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middletab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lab"/>
    <w:basedOn w:val="1"/>
    <w:uiPriority w:val="0"/>
    <w:pPr>
      <w:widowControl/>
      <w:pBdr>
        <w:top w:val="single" w:color="D9E2EA" w:sz="6" w:space="0"/>
        <w:bottom w:val="single" w:color="FFFFFF" w:sz="6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">
    <w:name w:val="wznr"/>
    <w:basedOn w:val="1"/>
    <w:uiPriority w:val="0"/>
    <w:pPr>
      <w:widowControl/>
      <w:spacing w:before="375" w:after="100" w:afterAutospacing="1"/>
      <w:ind w:left="450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xim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tpxwdiv"/>
    <w:basedOn w:val="1"/>
    <w:uiPriority w:val="0"/>
    <w:pPr>
      <w:widowControl/>
      <w:spacing w:before="600"/>
      <w:ind w:left="480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tpxwpic"/>
    <w:basedOn w:val="1"/>
    <w:uiPriority w:val="0"/>
    <w:pPr>
      <w:widowControl/>
      <w:spacing w:after="15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tpxwtitle"/>
    <w:basedOn w:val="1"/>
    <w:uiPriority w:val="0"/>
    <w:pPr>
      <w:widowControl/>
      <w:jc w:val="center"/>
    </w:pPr>
    <w:rPr>
      <w:rFonts w:ascii="宋体" w:hAnsi="宋体" w:cs="宋体"/>
      <w:kern w:val="0"/>
      <w:szCs w:val="21"/>
    </w:rPr>
  </w:style>
  <w:style w:type="paragraph" w:customStyle="1" w:styleId="34">
    <w:name w:val="tpxwtitle1"/>
    <w:basedOn w:val="1"/>
    <w:uiPriority w:val="0"/>
    <w:pPr>
      <w:widowControl/>
      <w:jc w:val="left"/>
    </w:pPr>
    <w:rPr>
      <w:rFonts w:ascii="宋体" w:hAnsi="宋体" w:cs="宋体"/>
      <w:kern w:val="0"/>
      <w:szCs w:val="21"/>
    </w:rPr>
  </w:style>
  <w:style w:type="paragraph" w:customStyle="1" w:styleId="35">
    <w:name w:val="fenye"/>
    <w:basedOn w:val="1"/>
    <w:uiPriority w:val="0"/>
    <w:pPr>
      <w:widowControl/>
      <w:spacing w:before="100" w:beforeAutospacing="1" w:after="100" w:afterAutospacing="1"/>
      <w:ind w:right="390"/>
      <w:jc w:val="left"/>
    </w:pPr>
    <w:rPr>
      <w:rFonts w:ascii="宋体" w:hAnsi="宋体" w:cs="宋体"/>
      <w:color w:val="B50D00"/>
      <w:kern w:val="0"/>
      <w:sz w:val="18"/>
      <w:szCs w:val="18"/>
    </w:rPr>
  </w:style>
  <w:style w:type="paragraph" w:customStyle="1" w:styleId="36">
    <w:name w:val="列表1"/>
    <w:basedOn w:val="1"/>
    <w:uiPriority w:val="0"/>
    <w:pPr>
      <w:widowControl/>
      <w:spacing w:before="75" w:after="100" w:afterAutospacing="1"/>
      <w:ind w:left="1200"/>
      <w:jc w:val="left"/>
    </w:pPr>
    <w:rPr>
      <w:rFonts w:ascii="宋体" w:hAnsi="宋体" w:cs="宋体"/>
      <w:color w:val="262626"/>
      <w:kern w:val="0"/>
      <w:sz w:val="24"/>
    </w:rPr>
  </w:style>
  <w:style w:type="paragraph" w:customStyle="1" w:styleId="37">
    <w:name w:val="san"/>
    <w:basedOn w:val="1"/>
    <w:uiPriority w:val="0"/>
    <w:pPr>
      <w:widowControl/>
      <w:spacing w:before="300"/>
      <w:ind w:left="255"/>
      <w:jc w:val="left"/>
    </w:pPr>
    <w:rPr>
      <w:rFonts w:ascii="宋体" w:hAnsi="宋体" w:cs="宋体"/>
      <w:kern w:val="0"/>
      <w:sz w:val="24"/>
    </w:rPr>
  </w:style>
  <w:style w:type="paragraph" w:customStyle="1" w:styleId="38">
    <w:name w:val="cx"/>
    <w:basedOn w:val="1"/>
    <w:uiPriority w:val="0"/>
    <w:pPr>
      <w:widowControl/>
      <w:spacing w:before="240"/>
      <w:ind w:left="75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616FAC-7EA1-4342-A556-DF938E2CBF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271</Words>
  <Characters>1545</Characters>
  <Lines>12</Lines>
  <Paragraphs>3</Paragraphs>
  <TotalTime>1</TotalTime>
  <ScaleCrop>false</ScaleCrop>
  <LinksUpToDate>false</LinksUpToDate>
  <CharactersWithSpaces>1813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2021-04-19T06:36:00Z</dcterms:created>
  <dc:creator>Sky123.Org</dc:creator>
  <cp:lastModifiedBy>丁聪</cp:lastModifiedBy>
  <cp:lastPrinted>2021-04-19T05:54:00Z</cp:lastPrinted>
  <dcterms:modified xsi:type="dcterms:W3CDTF">2021-04-19T06:42:04Z</dcterms:modified>
  <dc:title>2013年度辽宁省公路水运工程试验检测机构信用评价情况公示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30816907DFEA40978723D4BADCF0B75E</vt:lpwstr>
  </property>
</Properties>
</file>