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公文小标宋" w:hAnsi="方正公文小标宋" w:eastAsia="方正公文小标宋" w:cs="方正公文小标宋"/>
          <w:b/>
          <w:bCs/>
          <w:color w:val="000000"/>
          <w:sz w:val="44"/>
          <w:szCs w:val="44"/>
          <w:highlight w:val="none"/>
          <w:u w:val="none"/>
          <w:lang w:val="en-US" w:eastAsia="zh-CN"/>
        </w:rPr>
      </w:pPr>
      <w:r>
        <w:rPr>
          <w:rFonts w:hint="eastAsia" w:ascii="方正公文小标宋" w:hAnsi="方正公文小标宋" w:eastAsia="方正公文小标宋" w:cs="方正公文小标宋"/>
          <w:b/>
          <w:bCs/>
          <w:color w:val="000000"/>
          <w:sz w:val="44"/>
          <w:szCs w:val="44"/>
          <w:highlight w:val="none"/>
          <w:u w:val="none"/>
          <w:lang w:val="en-US" w:eastAsia="zh-CN"/>
        </w:rPr>
        <w:t>吉林省交通运输行业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公文小标宋" w:hAnsi="方正公文小标宋" w:eastAsia="方正公文小标宋" w:cs="方正公文小标宋"/>
          <w:b/>
          <w:bCs/>
          <w:color w:val="000000"/>
          <w:sz w:val="44"/>
          <w:szCs w:val="44"/>
          <w:highlight w:val="none"/>
          <w:u w:val="none"/>
          <w:lang w:eastAsia="zh-CN"/>
        </w:rPr>
      </w:pPr>
      <w:r>
        <w:rPr>
          <w:rFonts w:hint="eastAsia" w:ascii="方正公文小标宋" w:hAnsi="方正公文小标宋" w:eastAsia="方正公文小标宋" w:cs="方正公文小标宋"/>
          <w:b/>
          <w:bCs/>
          <w:color w:val="000000"/>
          <w:sz w:val="44"/>
          <w:szCs w:val="44"/>
          <w:highlight w:val="none"/>
          <w:u w:val="none"/>
          <w:lang w:val="en-US" w:eastAsia="zh-CN"/>
        </w:rPr>
        <w:t>突发事件综合</w:t>
      </w:r>
      <w:r>
        <w:rPr>
          <w:rFonts w:hint="eastAsia" w:ascii="方正公文小标宋" w:hAnsi="方正公文小标宋" w:eastAsia="方正公文小标宋" w:cs="方正公文小标宋"/>
          <w:b/>
          <w:bCs/>
          <w:color w:val="000000"/>
          <w:sz w:val="44"/>
          <w:szCs w:val="44"/>
          <w:highlight w:val="none"/>
          <w:u w:val="none"/>
          <w:lang w:eastAsia="zh-CN"/>
        </w:rPr>
        <w:t>应急预案</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color w:val="000000"/>
          <w:sz w:val="32"/>
          <w:szCs w:val="32"/>
          <w:highlight w:val="none"/>
          <w:u w:val="none"/>
        </w:rPr>
        <w:instrText xml:space="preserve">TOC \o "1-3" \h \u </w:instrText>
      </w:r>
      <w:r>
        <w:rPr>
          <w:rFonts w:hint="eastAsia" w:ascii="仿宋" w:hAnsi="仿宋" w:eastAsia="仿宋" w:cs="仿宋"/>
          <w:color w:val="000000"/>
          <w:sz w:val="32"/>
          <w:szCs w:val="32"/>
          <w:highlight w:val="none"/>
          <w:u w:val="none"/>
        </w:rPr>
        <w:fldChar w:fldCharType="separate"/>
      </w: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_Toc1622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rPr>
        <w:t>1</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u w:val="none"/>
        </w:rPr>
        <w:t>总则</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_Toc30928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rPr>
        <w:t>1.</w:t>
      </w:r>
      <w:r>
        <w:rPr>
          <w:rFonts w:hint="eastAsia" w:ascii="仿宋" w:hAnsi="仿宋" w:eastAsia="仿宋" w:cs="仿宋"/>
          <w:sz w:val="32"/>
          <w:szCs w:val="32"/>
          <w:highlight w:val="none"/>
          <w:u w:val="none"/>
          <w:lang w:val="en-US" w:eastAsia="zh-CN"/>
        </w:rPr>
        <w:t>1</w:t>
      </w:r>
      <w:r>
        <w:rPr>
          <w:rFonts w:hint="eastAsia" w:ascii="仿宋" w:hAnsi="仿宋" w:eastAsia="仿宋" w:cs="仿宋"/>
          <w:sz w:val="32"/>
          <w:szCs w:val="32"/>
          <w:highlight w:val="none"/>
          <w:u w:val="none"/>
        </w:rPr>
        <w:t xml:space="preserve"> </w:t>
      </w:r>
      <w:r>
        <w:rPr>
          <w:rFonts w:hint="eastAsia" w:ascii="仿宋" w:hAnsi="仿宋" w:eastAsia="仿宋" w:cs="仿宋"/>
          <w:sz w:val="32"/>
          <w:szCs w:val="32"/>
          <w:highlight w:val="none"/>
          <w:u w:val="none"/>
          <w:lang w:val="en-US" w:eastAsia="zh-CN"/>
        </w:rPr>
        <w:t xml:space="preserve"> 适用范围</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_Toc29410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1.2  工作原则</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_Toc29532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1.3  事件分级</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_Toc15430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1.4  应急预案体系</w:t>
      </w:r>
      <w:r>
        <w:rPr>
          <w:rFonts w:hint="eastAsia" w:ascii="仿宋" w:hAnsi="仿宋" w:eastAsia="仿宋" w:cs="仿宋"/>
          <w:color w:val="000000"/>
          <w:sz w:val="32"/>
          <w:szCs w:val="32"/>
          <w:highlight w:val="none"/>
          <w:u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_Toc32563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rPr>
        <w:t>2</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u w:val="none"/>
        </w:rPr>
        <w:t>组织体系与职责</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fldChar w:fldCharType="begin"/>
      </w:r>
      <w:r>
        <w:rPr>
          <w:rFonts w:hint="eastAsia" w:ascii="仿宋" w:hAnsi="仿宋" w:eastAsia="仿宋" w:cs="仿宋"/>
          <w:sz w:val="32"/>
          <w:szCs w:val="32"/>
          <w:highlight w:val="none"/>
          <w:u w:val="none"/>
          <w:lang w:val="en-US" w:eastAsia="zh-CN"/>
        </w:rPr>
        <w:instrText xml:space="preserve"> HYPERLINK \l _Toc10078 </w:instrText>
      </w:r>
      <w:r>
        <w:rPr>
          <w:rFonts w:hint="eastAsia" w:ascii="仿宋" w:hAnsi="仿宋" w:eastAsia="仿宋" w:cs="仿宋"/>
          <w:sz w:val="32"/>
          <w:szCs w:val="32"/>
          <w:highlight w:val="none"/>
          <w:u w:val="none"/>
          <w:lang w:val="en-US" w:eastAsia="zh-CN"/>
        </w:rPr>
        <w:fldChar w:fldCharType="separate"/>
      </w:r>
      <w:r>
        <w:rPr>
          <w:rFonts w:hint="eastAsia" w:ascii="仿宋" w:hAnsi="仿宋" w:eastAsia="仿宋" w:cs="仿宋"/>
          <w:sz w:val="32"/>
          <w:szCs w:val="32"/>
          <w:highlight w:val="none"/>
          <w:u w:val="none"/>
          <w:lang w:val="en-US" w:eastAsia="zh-CN"/>
        </w:rPr>
        <w:t>2.1  领导机构</w:t>
      </w:r>
      <w:r>
        <w:rPr>
          <w:rFonts w:hint="eastAsia" w:ascii="仿宋" w:hAnsi="仿宋" w:eastAsia="仿宋" w:cs="仿宋"/>
          <w:sz w:val="32"/>
          <w:szCs w:val="32"/>
          <w:highlight w:val="none"/>
          <w:u w:val="none"/>
          <w:lang w:val="en-US"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fldChar w:fldCharType="begin"/>
      </w:r>
      <w:r>
        <w:rPr>
          <w:rFonts w:hint="eastAsia" w:ascii="仿宋" w:hAnsi="仿宋" w:eastAsia="仿宋" w:cs="仿宋"/>
          <w:sz w:val="32"/>
          <w:szCs w:val="32"/>
          <w:highlight w:val="none"/>
          <w:u w:val="none"/>
          <w:lang w:val="en-US" w:eastAsia="zh-CN"/>
        </w:rPr>
        <w:instrText xml:space="preserve"> HYPERLINK \l _Toc15924 </w:instrText>
      </w:r>
      <w:r>
        <w:rPr>
          <w:rFonts w:hint="eastAsia" w:ascii="仿宋" w:hAnsi="仿宋" w:eastAsia="仿宋" w:cs="仿宋"/>
          <w:sz w:val="32"/>
          <w:szCs w:val="32"/>
          <w:highlight w:val="none"/>
          <w:u w:val="none"/>
          <w:lang w:val="en-US" w:eastAsia="zh-CN"/>
        </w:rPr>
        <w:fldChar w:fldCharType="separate"/>
      </w:r>
      <w:r>
        <w:rPr>
          <w:rFonts w:hint="eastAsia" w:ascii="仿宋" w:hAnsi="仿宋" w:eastAsia="仿宋" w:cs="仿宋"/>
          <w:sz w:val="32"/>
          <w:szCs w:val="32"/>
          <w:highlight w:val="none"/>
          <w:u w:val="none"/>
          <w:lang w:val="en-US" w:eastAsia="zh-CN"/>
        </w:rPr>
        <w:t>2.2  专项</w:t>
      </w:r>
      <w:r>
        <w:rPr>
          <w:rFonts w:hint="eastAsia" w:ascii="仿宋" w:hAnsi="仿宋" w:eastAsia="仿宋" w:cs="仿宋"/>
          <w:sz w:val="32"/>
          <w:szCs w:val="32"/>
          <w:highlight w:val="none"/>
          <w:u w:val="none"/>
          <w:lang w:val="en-US" w:eastAsia="zh-CN"/>
        </w:rPr>
        <w:fldChar w:fldCharType="end"/>
      </w:r>
      <w:r>
        <w:rPr>
          <w:rFonts w:hint="eastAsia" w:ascii="仿宋" w:hAnsi="仿宋" w:eastAsia="仿宋" w:cs="仿宋"/>
          <w:sz w:val="32"/>
          <w:szCs w:val="32"/>
          <w:highlight w:val="none"/>
          <w:u w:val="none"/>
          <w:lang w:val="en-US" w:eastAsia="zh-CN"/>
        </w:rPr>
        <w:t>指挥机构</w:t>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fldChar w:fldCharType="begin"/>
      </w:r>
      <w:r>
        <w:rPr>
          <w:rFonts w:hint="eastAsia" w:ascii="仿宋" w:hAnsi="仿宋" w:eastAsia="仿宋" w:cs="仿宋"/>
          <w:sz w:val="32"/>
          <w:szCs w:val="32"/>
          <w:highlight w:val="none"/>
          <w:u w:val="none"/>
          <w:lang w:val="en-US" w:eastAsia="zh-CN"/>
        </w:rPr>
        <w:instrText xml:space="preserve"> HYPERLINK \l _Toc25885 </w:instrText>
      </w:r>
      <w:r>
        <w:rPr>
          <w:rFonts w:hint="eastAsia" w:ascii="仿宋" w:hAnsi="仿宋" w:eastAsia="仿宋" w:cs="仿宋"/>
          <w:sz w:val="32"/>
          <w:szCs w:val="32"/>
          <w:highlight w:val="none"/>
          <w:u w:val="none"/>
          <w:lang w:val="en-US" w:eastAsia="zh-CN"/>
        </w:rPr>
        <w:fldChar w:fldCharType="separate"/>
      </w:r>
      <w:r>
        <w:rPr>
          <w:rFonts w:hint="eastAsia" w:ascii="仿宋" w:hAnsi="仿宋" w:eastAsia="仿宋" w:cs="仿宋"/>
          <w:sz w:val="32"/>
          <w:szCs w:val="32"/>
          <w:highlight w:val="none"/>
          <w:u w:val="none"/>
          <w:lang w:val="en-US" w:eastAsia="zh-CN"/>
        </w:rPr>
        <w:t>2.3  厅</w:t>
      </w:r>
      <w:r>
        <w:rPr>
          <w:rFonts w:hint="eastAsia" w:ascii="仿宋" w:hAnsi="仿宋" w:eastAsia="仿宋" w:cs="仿宋"/>
          <w:sz w:val="32"/>
          <w:szCs w:val="32"/>
          <w:highlight w:val="none"/>
          <w:u w:val="none"/>
          <w:lang w:val="en-US" w:eastAsia="zh-CN"/>
        </w:rPr>
        <w:fldChar w:fldCharType="end"/>
      </w:r>
      <w:r>
        <w:rPr>
          <w:rFonts w:hint="eastAsia" w:ascii="仿宋" w:hAnsi="仿宋" w:eastAsia="仿宋" w:cs="仿宋"/>
          <w:sz w:val="32"/>
          <w:szCs w:val="32"/>
          <w:highlight w:val="none"/>
          <w:u w:val="none"/>
          <w:lang w:val="en-US" w:eastAsia="zh-CN"/>
        </w:rPr>
        <w:t>应急管理办公室</w:t>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fldChar w:fldCharType="begin"/>
      </w:r>
      <w:r>
        <w:rPr>
          <w:rFonts w:hint="eastAsia" w:ascii="仿宋" w:hAnsi="仿宋" w:eastAsia="仿宋" w:cs="仿宋"/>
          <w:sz w:val="32"/>
          <w:szCs w:val="32"/>
          <w:highlight w:val="none"/>
          <w:u w:val="none"/>
          <w:lang w:val="en-US" w:eastAsia="zh-CN"/>
        </w:rPr>
        <w:instrText xml:space="preserve"> HYPERLINK \l _Toc3213 </w:instrText>
      </w:r>
      <w:r>
        <w:rPr>
          <w:rFonts w:hint="eastAsia" w:ascii="仿宋" w:hAnsi="仿宋" w:eastAsia="仿宋" w:cs="仿宋"/>
          <w:sz w:val="32"/>
          <w:szCs w:val="32"/>
          <w:highlight w:val="none"/>
          <w:u w:val="none"/>
          <w:lang w:val="en-US" w:eastAsia="zh-CN"/>
        </w:rPr>
        <w:fldChar w:fldCharType="separate"/>
      </w:r>
      <w:r>
        <w:rPr>
          <w:rFonts w:hint="eastAsia" w:ascii="仿宋" w:hAnsi="仿宋" w:eastAsia="仿宋" w:cs="仿宋"/>
          <w:sz w:val="32"/>
          <w:szCs w:val="32"/>
          <w:highlight w:val="none"/>
          <w:u w:val="none"/>
          <w:lang w:val="en-US" w:eastAsia="zh-CN"/>
        </w:rPr>
        <w:t>2.4  专家</w:t>
      </w:r>
      <w:r>
        <w:rPr>
          <w:rFonts w:hint="eastAsia" w:ascii="仿宋" w:hAnsi="仿宋" w:eastAsia="仿宋" w:cs="仿宋"/>
          <w:sz w:val="32"/>
          <w:szCs w:val="32"/>
          <w:highlight w:val="none"/>
          <w:u w:val="none"/>
          <w:lang w:val="en-US" w:eastAsia="zh-CN"/>
        </w:rPr>
        <w:fldChar w:fldCharType="end"/>
      </w:r>
      <w:r>
        <w:rPr>
          <w:rFonts w:hint="eastAsia" w:ascii="仿宋" w:hAnsi="仿宋" w:eastAsia="仿宋" w:cs="仿宋"/>
          <w:sz w:val="32"/>
          <w:szCs w:val="32"/>
          <w:highlight w:val="none"/>
          <w:u w:val="none"/>
          <w:lang w:val="en-US" w:eastAsia="zh-CN"/>
        </w:rPr>
        <w:t>组</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_Toc8979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rPr>
        <w:t>3</w:t>
      </w:r>
      <w:r>
        <w:rPr>
          <w:rFonts w:hint="eastAsia" w:ascii="仿宋" w:hAnsi="仿宋" w:eastAsia="仿宋" w:cs="仿宋"/>
          <w:sz w:val="32"/>
          <w:szCs w:val="32"/>
          <w:highlight w:val="none"/>
          <w:u w:val="none"/>
          <w:lang w:val="en-US" w:eastAsia="zh-CN"/>
        </w:rPr>
        <w:t xml:space="preserve">  风险防控与监测</w:t>
      </w:r>
      <w:r>
        <w:rPr>
          <w:rFonts w:hint="eastAsia" w:ascii="仿宋" w:hAnsi="仿宋" w:eastAsia="仿宋" w:cs="仿宋"/>
          <w:sz w:val="32"/>
          <w:szCs w:val="32"/>
          <w:highlight w:val="none"/>
          <w:u w:val="none"/>
        </w:rPr>
        <w:t>预警</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3.1  风险防控</w:t>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_Toc21695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3.2  监测</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_Toc30097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3.3  预警</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_Toc10639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3.4  预警调整与终止</w:t>
      </w:r>
      <w:r>
        <w:rPr>
          <w:rFonts w:hint="eastAsia" w:ascii="仿宋" w:hAnsi="仿宋" w:eastAsia="仿宋" w:cs="仿宋"/>
          <w:color w:val="000000"/>
          <w:sz w:val="32"/>
          <w:szCs w:val="32"/>
          <w:highlight w:val="none"/>
          <w:u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_Toc9588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 xml:space="preserve">4  </w:t>
      </w:r>
      <w:r>
        <w:rPr>
          <w:rFonts w:hint="eastAsia" w:ascii="仿宋" w:hAnsi="仿宋" w:eastAsia="仿宋" w:cs="仿宋"/>
          <w:sz w:val="32"/>
          <w:szCs w:val="32"/>
          <w:highlight w:val="none"/>
          <w:u w:val="none"/>
        </w:rPr>
        <w:t>应急响应</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_Toc25772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4.1  信息报告</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_Toc10245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4.2  先期处置</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_Toc23954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4.3  响应分级</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_Toc23242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4.4  响应程序</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_Toc19362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4.5  指挥协调</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_Toc24115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4.6  处置措施</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_Toc9993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4.7  信息发布与舆论引导</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fldChar w:fldCharType="begin"/>
      </w:r>
      <w:r>
        <w:rPr>
          <w:rFonts w:hint="eastAsia" w:ascii="仿宋" w:hAnsi="仿宋" w:eastAsia="仿宋" w:cs="仿宋"/>
          <w:sz w:val="32"/>
          <w:szCs w:val="32"/>
          <w:u w:val="none"/>
          <w:lang w:val="en-US" w:eastAsia="zh-CN"/>
        </w:rPr>
        <w:instrText xml:space="preserve"> HYPERLINK \l _Toc5105 </w:instrText>
      </w:r>
      <w:r>
        <w:rPr>
          <w:rFonts w:hint="eastAsia" w:ascii="仿宋" w:hAnsi="仿宋" w:eastAsia="仿宋" w:cs="仿宋"/>
          <w:sz w:val="32"/>
          <w:szCs w:val="32"/>
          <w:u w:val="none"/>
          <w:lang w:val="en-US" w:eastAsia="zh-CN"/>
        </w:rPr>
        <w:fldChar w:fldCharType="separate"/>
      </w:r>
      <w:r>
        <w:rPr>
          <w:rFonts w:hint="eastAsia" w:ascii="仿宋" w:hAnsi="仿宋" w:eastAsia="仿宋" w:cs="仿宋"/>
          <w:sz w:val="32"/>
          <w:szCs w:val="32"/>
          <w:u w:val="none"/>
          <w:lang w:val="en-US" w:eastAsia="zh-CN"/>
        </w:rPr>
        <w:t>4.8  应急</w:t>
      </w:r>
      <w:r>
        <w:rPr>
          <w:rFonts w:hint="eastAsia" w:ascii="仿宋" w:hAnsi="仿宋" w:eastAsia="仿宋" w:cs="仿宋"/>
          <w:sz w:val="32"/>
          <w:szCs w:val="32"/>
          <w:u w:val="none"/>
          <w:lang w:val="en-US" w:eastAsia="zh-CN"/>
        </w:rPr>
        <w:fldChar w:fldCharType="end"/>
      </w:r>
      <w:r>
        <w:rPr>
          <w:rFonts w:hint="eastAsia" w:ascii="仿宋" w:hAnsi="仿宋" w:eastAsia="仿宋" w:cs="仿宋"/>
          <w:sz w:val="32"/>
          <w:szCs w:val="32"/>
          <w:u w:val="none"/>
          <w:lang w:val="en-US" w:eastAsia="zh-CN"/>
        </w:rPr>
        <w:t>结束</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_Toc25967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rPr>
        <w:t>5</w:t>
      </w:r>
      <w:r>
        <w:rPr>
          <w:rFonts w:hint="eastAsia" w:ascii="仿宋" w:hAnsi="仿宋" w:eastAsia="仿宋" w:cs="仿宋"/>
          <w:sz w:val="32"/>
          <w:szCs w:val="32"/>
          <w:highlight w:val="none"/>
          <w:u w:val="none"/>
          <w:lang w:val="en-US" w:eastAsia="zh-CN"/>
        </w:rPr>
        <w:t xml:space="preserve">  </w:t>
      </w:r>
      <w:r>
        <w:rPr>
          <w:rFonts w:hint="eastAsia" w:ascii="仿宋" w:hAnsi="仿宋" w:eastAsia="仿宋" w:cs="仿宋"/>
          <w:sz w:val="32"/>
          <w:szCs w:val="32"/>
          <w:highlight w:val="none"/>
          <w:u w:val="none"/>
        </w:rPr>
        <w:t>后期处置</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lang w:val="en-US" w:eastAsia="zh-CN"/>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_Toc7429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 xml:space="preserve">5.1  </w:t>
      </w:r>
      <w:r>
        <w:rPr>
          <w:rFonts w:hint="eastAsia" w:ascii="仿宋" w:hAnsi="仿宋" w:eastAsia="仿宋" w:cs="仿宋"/>
          <w:color w:val="000000"/>
          <w:sz w:val="32"/>
          <w:szCs w:val="32"/>
          <w:highlight w:val="none"/>
          <w:u w:val="none"/>
          <w:lang w:val="en-US" w:eastAsia="zh-CN"/>
        </w:rPr>
        <w:t>补偿</w:t>
      </w:r>
      <w:r>
        <w:rPr>
          <w:rFonts w:hint="eastAsia" w:ascii="仿宋" w:hAnsi="仿宋" w:eastAsia="仿宋" w:cs="仿宋"/>
          <w:color w:val="000000"/>
          <w:sz w:val="32"/>
          <w:szCs w:val="32"/>
          <w:highlight w:val="none"/>
          <w:u w:val="none"/>
        </w:rPr>
        <w:fldChar w:fldCharType="end"/>
      </w:r>
      <w:r>
        <w:rPr>
          <w:rFonts w:hint="eastAsia" w:ascii="仿宋" w:hAnsi="仿宋" w:eastAsia="仿宋" w:cs="仿宋"/>
          <w:color w:val="000000"/>
          <w:sz w:val="32"/>
          <w:szCs w:val="32"/>
          <w:highlight w:val="none"/>
          <w:u w:val="none"/>
          <w:lang w:val="en-US" w:eastAsia="zh-CN"/>
        </w:rPr>
        <w:t>与抚恤</w:t>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_Toc2760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5.2  恢复与重建</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_Toc6665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5.3  评估</w:t>
      </w:r>
      <w:r>
        <w:rPr>
          <w:rFonts w:hint="eastAsia" w:ascii="仿宋" w:hAnsi="仿宋" w:eastAsia="仿宋" w:cs="仿宋"/>
          <w:color w:val="000000"/>
          <w:sz w:val="32"/>
          <w:szCs w:val="32"/>
          <w:highlight w:val="none"/>
          <w:u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_Toc10745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rPr>
        <w:t>6</w:t>
      </w:r>
      <w:r>
        <w:rPr>
          <w:rFonts w:hint="eastAsia" w:ascii="仿宋" w:hAnsi="仿宋" w:eastAsia="仿宋" w:cs="仿宋"/>
          <w:sz w:val="32"/>
          <w:szCs w:val="32"/>
          <w:highlight w:val="none"/>
          <w:u w:val="none"/>
          <w:lang w:val="en-US" w:eastAsia="zh-CN"/>
        </w:rPr>
        <w:t xml:space="preserve">  支持与保障</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_Toc24266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6.1  应急队伍</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_Toc5399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6.2  应急物资</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_Toc31709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6.3  应急通信与信息</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_Toc21176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6.4  技术支撑</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_Toc26554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6.5  资金保障</w:t>
      </w:r>
      <w:r>
        <w:rPr>
          <w:rFonts w:hint="eastAsia" w:ascii="仿宋" w:hAnsi="仿宋" w:eastAsia="仿宋" w:cs="仿宋"/>
          <w:color w:val="000000"/>
          <w:sz w:val="32"/>
          <w:szCs w:val="32"/>
          <w:highlight w:val="none"/>
          <w:u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_Toc11673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7  预案</w:t>
      </w:r>
      <w:r>
        <w:rPr>
          <w:rFonts w:hint="eastAsia" w:ascii="仿宋" w:hAnsi="仿宋" w:eastAsia="仿宋" w:cs="仿宋"/>
          <w:sz w:val="32"/>
          <w:szCs w:val="32"/>
          <w:highlight w:val="none"/>
          <w:u w:val="none"/>
        </w:rPr>
        <w:t>管理</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_Toc17985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7.1  预案编制</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_Toc11822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7.2  预案备案与衔接</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_Toc20143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7.3  预案演练</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_Toc23173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7.4  预案评估与修订</w:t>
      </w:r>
      <w:r>
        <w:rPr>
          <w:rFonts w:hint="eastAsia" w:ascii="仿宋" w:hAnsi="仿宋" w:eastAsia="仿宋" w:cs="仿宋"/>
          <w:color w:val="000000"/>
          <w:sz w:val="32"/>
          <w:szCs w:val="32"/>
          <w:highlight w:val="none"/>
          <w:u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_Toc19561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 xml:space="preserve">8  </w:t>
      </w:r>
      <w:r>
        <w:rPr>
          <w:rFonts w:hint="eastAsia" w:ascii="仿宋" w:hAnsi="仿宋" w:eastAsia="仿宋" w:cs="仿宋"/>
          <w:sz w:val="32"/>
          <w:szCs w:val="32"/>
          <w:highlight w:val="none"/>
          <w:u w:val="none"/>
        </w:rPr>
        <w:t>附则</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_Toc24121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8.1  宣传与培训</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_Toc15168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8.2  责任与奖惩</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_Toc20981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8.3  实施与监管</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_Toc5354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8.4  预案解释部门</w:t>
      </w:r>
      <w:r>
        <w:rPr>
          <w:rFonts w:hint="eastAsia" w:ascii="仿宋" w:hAnsi="仿宋" w:eastAsia="仿宋" w:cs="仿宋"/>
          <w:color w:val="000000"/>
          <w:sz w:val="32"/>
          <w:szCs w:val="32"/>
          <w:highlight w:val="none"/>
          <w:u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_Toc17791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8.5  预案实施时间</w:t>
      </w:r>
      <w:r>
        <w:rPr>
          <w:rFonts w:hint="eastAsia" w:ascii="仿宋" w:hAnsi="仿宋" w:eastAsia="仿宋" w:cs="仿宋"/>
          <w:color w:val="000000"/>
          <w:sz w:val="32"/>
          <w:szCs w:val="32"/>
          <w:highlight w:val="none"/>
          <w:u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_Toc23379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highlight w:val="none"/>
          <w:u w:val="none"/>
          <w:lang w:val="en-US" w:eastAsia="zh-CN"/>
        </w:rPr>
        <w:t xml:space="preserve">9  </w:t>
      </w:r>
      <w:r>
        <w:rPr>
          <w:rFonts w:hint="eastAsia" w:ascii="仿宋" w:hAnsi="仿宋" w:eastAsia="仿宋" w:cs="仿宋"/>
          <w:sz w:val="32"/>
          <w:szCs w:val="32"/>
          <w:highlight w:val="none"/>
          <w:u w:val="none"/>
        </w:rPr>
        <w:t>附件</w:t>
      </w:r>
      <w:r>
        <w:rPr>
          <w:rFonts w:hint="eastAsia" w:ascii="仿宋" w:hAnsi="仿宋" w:eastAsia="仿宋" w:cs="仿宋"/>
          <w:color w:val="000000"/>
          <w:sz w:val="32"/>
          <w:szCs w:val="32"/>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highlight w:val="none"/>
          <w:u w:val="none"/>
        </w:rPr>
      </w:pPr>
      <w:r>
        <w:rPr>
          <w:rFonts w:hint="eastAsia" w:ascii="仿宋" w:hAnsi="仿宋" w:eastAsia="仿宋" w:cs="仿宋"/>
          <w:color w:val="000000"/>
          <w:sz w:val="32"/>
          <w:szCs w:val="32"/>
          <w:highlight w:val="none"/>
          <w:u w:val="none"/>
        </w:rPr>
        <w:fldChar w:fldCharType="begin"/>
      </w:r>
      <w:r>
        <w:rPr>
          <w:rFonts w:hint="eastAsia" w:ascii="仿宋" w:hAnsi="仿宋" w:eastAsia="仿宋" w:cs="仿宋"/>
          <w:sz w:val="32"/>
          <w:szCs w:val="32"/>
          <w:highlight w:val="none"/>
          <w:u w:val="none"/>
        </w:rPr>
        <w:instrText xml:space="preserve"> HYPERLINK \l _Toc20072 </w:instrText>
      </w:r>
      <w:r>
        <w:rPr>
          <w:rFonts w:hint="eastAsia" w:ascii="仿宋" w:hAnsi="仿宋" w:eastAsia="仿宋" w:cs="仿宋"/>
          <w:sz w:val="32"/>
          <w:szCs w:val="32"/>
          <w:highlight w:val="none"/>
          <w:u w:val="none"/>
        </w:rPr>
        <w:fldChar w:fldCharType="separate"/>
      </w:r>
      <w:r>
        <w:rPr>
          <w:rFonts w:hint="eastAsia" w:ascii="仿宋" w:hAnsi="仿宋" w:eastAsia="仿宋" w:cs="仿宋"/>
          <w:sz w:val="32"/>
          <w:szCs w:val="32"/>
          <w:u w:val="none"/>
          <w:lang w:val="en-US" w:eastAsia="zh-CN"/>
        </w:rPr>
        <w:t>9.1  突发事件专项应急预案</w:t>
      </w:r>
      <w:r>
        <w:rPr>
          <w:rFonts w:hint="eastAsia" w:ascii="仿宋" w:hAnsi="仿宋" w:eastAsia="仿宋" w:cs="仿宋"/>
          <w:color w:val="000000"/>
          <w:sz w:val="32"/>
          <w:szCs w:val="32"/>
          <w:highlight w:val="none"/>
          <w:u w:val="none"/>
        </w:rPr>
        <w:fldChar w:fldCharType="end"/>
      </w:r>
      <w:r>
        <w:rPr>
          <w:rFonts w:hint="eastAsia" w:ascii="仿宋" w:hAnsi="仿宋" w:eastAsia="仿宋" w:cs="仿宋"/>
          <w:color w:val="000000"/>
          <w:sz w:val="32"/>
          <w:szCs w:val="32"/>
          <w:highlight w:val="none"/>
          <w:u w:val="none"/>
        </w:rPr>
        <w:fldChar w:fldCharType="end"/>
      </w:r>
      <w:bookmarkStart w:id="0" w:name="_Toc1622"/>
      <w:bookmarkStart w:id="1" w:name="_Toc17101"/>
      <w:r>
        <w:rPr>
          <w:rFonts w:hint="eastAsia" w:ascii="黑体" w:hAnsi="黑体" w:eastAsia="黑体" w:cs="黑体"/>
          <w:color w:val="000000"/>
          <w:sz w:val="32"/>
          <w:szCs w:val="32"/>
          <w:highlight w:val="none"/>
          <w:u w:val="none"/>
        </w:rPr>
        <w:br w:type="page"/>
      </w:r>
      <w:r>
        <w:rPr>
          <w:rFonts w:hint="eastAsia" w:ascii="黑体" w:hAnsi="黑体" w:eastAsia="黑体" w:cs="黑体"/>
          <w:color w:val="000000"/>
          <w:sz w:val="32"/>
          <w:szCs w:val="32"/>
          <w:highlight w:val="none"/>
          <w:u w:val="none"/>
          <w:lang w:val="en-US" w:eastAsia="zh-CN"/>
        </w:rPr>
        <w:t xml:space="preserve">    </w:t>
      </w:r>
      <w:r>
        <w:rPr>
          <w:rFonts w:hint="eastAsia" w:ascii="黑体" w:hAnsi="黑体" w:eastAsia="黑体" w:cs="黑体"/>
          <w:b/>
          <w:bCs/>
          <w:color w:val="000000"/>
          <w:sz w:val="32"/>
          <w:szCs w:val="32"/>
          <w:highlight w:val="none"/>
          <w:u w:val="none"/>
        </w:rPr>
        <w:t>1</w:t>
      </w:r>
      <w:r>
        <w:rPr>
          <w:rFonts w:hint="eastAsia" w:ascii="黑体" w:hAnsi="黑体" w:eastAsia="黑体" w:cs="黑体"/>
          <w:b/>
          <w:bCs/>
          <w:color w:val="000000"/>
          <w:sz w:val="32"/>
          <w:szCs w:val="32"/>
          <w:highlight w:val="none"/>
          <w:u w:val="none"/>
          <w:lang w:val="en-US" w:eastAsia="zh-CN"/>
        </w:rPr>
        <w:t xml:space="preserve">  </w:t>
      </w:r>
      <w:r>
        <w:rPr>
          <w:rFonts w:hint="eastAsia" w:ascii="黑体" w:hAnsi="黑体" w:eastAsia="黑体" w:cs="黑体"/>
          <w:b/>
          <w:bCs/>
          <w:color w:val="000000"/>
          <w:sz w:val="32"/>
          <w:szCs w:val="32"/>
          <w:highlight w:val="none"/>
          <w:u w:val="none"/>
        </w:rPr>
        <w:t>总则</w:t>
      </w:r>
      <w:bookmarkEnd w:id="0"/>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为</w:t>
      </w:r>
      <w:r>
        <w:rPr>
          <w:rFonts w:hint="eastAsia" w:ascii="仿宋" w:hAnsi="仿宋" w:eastAsia="仿宋" w:cs="仿宋"/>
          <w:sz w:val="32"/>
          <w:szCs w:val="32"/>
          <w:u w:val="none"/>
          <w:lang w:val="en-US" w:eastAsia="zh-CN"/>
        </w:rPr>
        <w:t>深入贯彻落实习近平总书记关于应急管理的重要指示精神，进一步完善全省交通运输行业应急预案体系，规范交通运输突发事件应对处置工作，</w:t>
      </w:r>
      <w:r>
        <w:rPr>
          <w:rFonts w:hint="eastAsia" w:ascii="仿宋" w:hAnsi="仿宋" w:eastAsia="仿宋" w:cs="仿宋"/>
          <w:sz w:val="32"/>
          <w:szCs w:val="32"/>
          <w:u w:val="none"/>
        </w:rPr>
        <w:t>依据《中华人民共和国突发事件应对法》等有关法律、法规和</w:t>
      </w:r>
      <w:r>
        <w:rPr>
          <w:rFonts w:hint="eastAsia" w:ascii="仿宋" w:hAnsi="仿宋" w:eastAsia="仿宋" w:cs="仿宋"/>
          <w:sz w:val="32"/>
          <w:szCs w:val="32"/>
          <w:u w:val="none"/>
          <w:lang w:val="en-US" w:eastAsia="zh-CN"/>
        </w:rPr>
        <w:t>交通运输部</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交通运输综合应急预案</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吉林省</w:t>
      </w:r>
      <w:r>
        <w:rPr>
          <w:rFonts w:hint="eastAsia" w:ascii="仿宋" w:hAnsi="仿宋" w:eastAsia="仿宋" w:cs="仿宋"/>
          <w:sz w:val="32"/>
          <w:szCs w:val="32"/>
          <w:u w:val="none"/>
        </w:rPr>
        <w:t>突发事件</w:t>
      </w:r>
      <w:r>
        <w:rPr>
          <w:rFonts w:hint="eastAsia" w:ascii="仿宋" w:hAnsi="仿宋" w:eastAsia="仿宋" w:cs="仿宋"/>
          <w:sz w:val="32"/>
          <w:szCs w:val="32"/>
          <w:u w:val="none"/>
          <w:lang w:val="en-US" w:eastAsia="zh-CN"/>
        </w:rPr>
        <w:t>总体</w:t>
      </w:r>
      <w:r>
        <w:rPr>
          <w:rFonts w:hint="eastAsia" w:ascii="仿宋" w:hAnsi="仿宋" w:eastAsia="仿宋" w:cs="仿宋"/>
          <w:sz w:val="32"/>
          <w:szCs w:val="32"/>
          <w:u w:val="none"/>
          <w:lang w:eastAsia="zh-CN"/>
        </w:rPr>
        <w:t>应急预案</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制定本预案。</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color w:val="000000"/>
          <w:sz w:val="32"/>
          <w:szCs w:val="32"/>
          <w:highlight w:val="none"/>
          <w:u w:val="none"/>
          <w:lang w:val="en-US"/>
        </w:rPr>
      </w:pPr>
      <w:bookmarkStart w:id="2" w:name="_Toc428175181"/>
      <w:bookmarkStart w:id="3" w:name="_Toc30928"/>
      <w:bookmarkStart w:id="4" w:name="_Toc25318"/>
      <w:r>
        <w:rPr>
          <w:rFonts w:hint="eastAsia" w:ascii="楷体" w:hAnsi="楷体" w:eastAsia="楷体" w:cs="楷体"/>
          <w:color w:val="000000"/>
          <w:sz w:val="32"/>
          <w:szCs w:val="32"/>
          <w:highlight w:val="none"/>
          <w:u w:val="none"/>
        </w:rPr>
        <w:t>1.</w:t>
      </w:r>
      <w:r>
        <w:rPr>
          <w:rFonts w:hint="eastAsia" w:ascii="楷体" w:hAnsi="楷体" w:eastAsia="楷体" w:cs="楷体"/>
          <w:color w:val="000000"/>
          <w:sz w:val="32"/>
          <w:szCs w:val="32"/>
          <w:highlight w:val="none"/>
          <w:u w:val="none"/>
          <w:lang w:val="en-US" w:eastAsia="zh-CN"/>
        </w:rPr>
        <w:t>1</w:t>
      </w:r>
      <w:r>
        <w:rPr>
          <w:rFonts w:hint="eastAsia" w:ascii="楷体" w:hAnsi="楷体" w:eastAsia="楷体" w:cs="楷体"/>
          <w:color w:val="000000"/>
          <w:sz w:val="32"/>
          <w:szCs w:val="32"/>
          <w:highlight w:val="none"/>
          <w:u w:val="none"/>
        </w:rPr>
        <w:t xml:space="preserve"> </w:t>
      </w:r>
      <w:r>
        <w:rPr>
          <w:rFonts w:hint="eastAsia" w:ascii="楷体" w:hAnsi="楷体" w:eastAsia="楷体" w:cs="楷体"/>
          <w:color w:val="000000"/>
          <w:sz w:val="32"/>
          <w:szCs w:val="32"/>
          <w:highlight w:val="none"/>
          <w:u w:val="none"/>
          <w:lang w:val="en-US" w:eastAsia="zh-CN"/>
        </w:rPr>
        <w:t xml:space="preserve"> </w:t>
      </w:r>
      <w:bookmarkEnd w:id="2"/>
      <w:r>
        <w:rPr>
          <w:rFonts w:hint="eastAsia" w:ascii="楷体" w:hAnsi="楷体" w:eastAsia="楷体" w:cs="楷体"/>
          <w:color w:val="000000"/>
          <w:sz w:val="32"/>
          <w:szCs w:val="32"/>
          <w:highlight w:val="none"/>
          <w:u w:val="none"/>
          <w:lang w:val="en-US" w:eastAsia="zh-CN"/>
        </w:rPr>
        <w:t>适用范围</w:t>
      </w:r>
      <w:bookmarkEnd w:id="3"/>
      <w:bookmarkEnd w:id="4"/>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本预案适用于吉林省交通运输行业参与处置的突发事件,以及需由吉林省交通运输行业提供公路、水路等综合运输应急保障的事件。</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color w:val="000000"/>
          <w:sz w:val="32"/>
          <w:szCs w:val="32"/>
          <w:highlight w:val="none"/>
          <w:u w:val="none"/>
          <w:lang w:val="en-US" w:eastAsia="zh-CN"/>
        </w:rPr>
      </w:pPr>
      <w:bookmarkStart w:id="5" w:name="_Toc29410"/>
      <w:bookmarkStart w:id="6" w:name="_Toc4559"/>
      <w:r>
        <w:rPr>
          <w:rFonts w:hint="eastAsia" w:ascii="楷体" w:hAnsi="楷体" w:eastAsia="楷体" w:cs="楷体"/>
          <w:color w:val="000000"/>
          <w:sz w:val="32"/>
          <w:szCs w:val="32"/>
          <w:highlight w:val="none"/>
          <w:u w:val="none"/>
          <w:lang w:val="en-US" w:eastAsia="zh-CN"/>
        </w:rPr>
        <w:t>1.2  工作原则</w:t>
      </w:r>
      <w:bookmarkEnd w:id="5"/>
      <w:bookmarkEnd w:id="6"/>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坚持人民至上、生命至上。坚持以人民为中心，把保障人民群众生命财产安全作为应急工作的首要任务，最大限度地减少突发事件造成的影响。切实加强应急救援人员的安全防护，及时开展应急救援工作，尽可能减轻人员伤亡和财产损失。</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坚持分级负责、属地为主。在吉林省交通运输厅（以下简称省交通运输厅）统筹指导下，各级交通运输主管部门在属地党委、政府的领导下负责本级交通运输行业突发事件的应对工作，实行分级响应、分级负责、属地管理、上下联动的应急领导原则。</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坚持快速反应、协同应对。强化与政府各部门的应急联动，建立健全应急处置协同联动机制。厘清职责边界，形成职责明确、规范有序、功能齐全、快速反应、运转高效的应急管理机制。</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坚持依法规范、科学支撑。依据有关法律法规，推进突发事件应对工作规范化、制度化。充分利用现代化的技术手段，做好预测、预警工作，充分发挥专家队伍和专业人员的作用，提高应对突发事件的科学决策和指挥能力。</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color w:val="000000"/>
          <w:sz w:val="32"/>
          <w:szCs w:val="32"/>
          <w:highlight w:val="none"/>
          <w:u w:val="none"/>
          <w:lang w:val="en-US" w:eastAsia="zh-CN"/>
        </w:rPr>
      </w:pPr>
      <w:bookmarkStart w:id="7" w:name="_Toc29532"/>
      <w:bookmarkStart w:id="8" w:name="_Toc19493"/>
      <w:r>
        <w:rPr>
          <w:rFonts w:hint="eastAsia" w:ascii="楷体" w:hAnsi="楷体" w:eastAsia="楷体" w:cs="楷体"/>
          <w:color w:val="000000"/>
          <w:sz w:val="32"/>
          <w:szCs w:val="32"/>
          <w:highlight w:val="none"/>
          <w:u w:val="none"/>
          <w:lang w:val="en-US" w:eastAsia="zh-CN"/>
        </w:rPr>
        <w:t>1.3  事件分级</w:t>
      </w:r>
      <w:bookmarkEnd w:id="7"/>
      <w:bookmarkEnd w:id="8"/>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吉林省交通运输行业突发事件按照其性质、严重程度、可控性和影响范围等因素，一般分为四级：特别重大突发事件、重大突发事件、较大突发事件和一般突发事件。</w:t>
      </w:r>
    </w:p>
    <w:p>
      <w:pPr>
        <w:pStyle w:val="2"/>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u w:val="none"/>
          <w:lang w:val="en-US" w:eastAsia="zh-CN"/>
        </w:rPr>
      </w:pPr>
      <w:r>
        <w:rPr>
          <w:rFonts w:hint="eastAsia" w:ascii="仿宋" w:hAnsi="仿宋" w:eastAsia="仿宋" w:cs="仿宋"/>
          <w:sz w:val="32"/>
          <w:szCs w:val="32"/>
          <w:u w:val="none"/>
          <w:lang w:val="en-US" w:eastAsia="zh-CN"/>
        </w:rPr>
        <w:t>吉林省交通运输行业各类突发事件具体分级标准在专项应急预案中予以明确。</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color w:val="000000"/>
          <w:sz w:val="32"/>
          <w:szCs w:val="32"/>
          <w:highlight w:val="none"/>
          <w:u w:val="none"/>
          <w:lang w:val="en-US" w:eastAsia="zh-CN"/>
        </w:rPr>
      </w:pPr>
      <w:bookmarkStart w:id="9" w:name="_Toc15430"/>
      <w:bookmarkStart w:id="10" w:name="_Toc10724"/>
      <w:r>
        <w:rPr>
          <w:rFonts w:hint="eastAsia" w:ascii="楷体" w:hAnsi="楷体" w:eastAsia="楷体" w:cs="楷体"/>
          <w:color w:val="000000"/>
          <w:sz w:val="32"/>
          <w:szCs w:val="32"/>
          <w:highlight w:val="none"/>
          <w:u w:val="none"/>
          <w:lang w:val="en-US" w:eastAsia="zh-CN"/>
        </w:rPr>
        <w:t>1.4  应急预案体系</w:t>
      </w:r>
      <w:bookmarkEnd w:id="9"/>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吉林省交通运输行业突发事件综合应急预案是全省交通运输系统应对交通运输行业突发事件的指导性文件，是省交通运输厅应对各类突发事件的总体制度安排。</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吉林省交通运输行业突发事件专项应急预案是全省交通运输系统为应对涉及面广、情况复杂的某一类型突发事件，或者针对交通运输应急保障而预先制定的工作方案。</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吉林省交通运输行业应急预案体系由本预案与省交通运输厅负责的省级专项应急预案、省交通运输行业各专项应急预案、市（州）交通运输主管部门应急预案、县（市、区）交通运输主管部门应急预案、</w:t>
      </w:r>
      <w:r>
        <w:rPr>
          <w:rFonts w:hint="eastAsia" w:ascii="仿宋" w:hAnsi="仿宋" w:eastAsia="仿宋" w:cs="仿宋"/>
          <w:color w:val="auto"/>
          <w:sz w:val="32"/>
          <w:szCs w:val="32"/>
          <w:u w:val="none"/>
          <w:lang w:val="en-US" w:eastAsia="zh-CN"/>
        </w:rPr>
        <w:t>交通运输企业应急预案</w:t>
      </w:r>
      <w:r>
        <w:rPr>
          <w:rFonts w:hint="eastAsia" w:ascii="仿宋" w:hAnsi="仿宋" w:eastAsia="仿宋" w:cs="仿宋"/>
          <w:color w:val="000000"/>
          <w:sz w:val="32"/>
          <w:szCs w:val="32"/>
          <w:u w:val="none"/>
          <w:lang w:val="en-US" w:eastAsia="zh-CN"/>
        </w:rPr>
        <w:t>共同构成。</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val="en-US" w:eastAsia="zh-CN"/>
        </w:rPr>
        <w:t>吉林省交通运输行业突发事件专项应急预案详见附件9.1。</w:t>
      </w:r>
    </w:p>
    <w:p>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黑体" w:hAnsi="黑体" w:eastAsia="黑体" w:cs="黑体"/>
          <w:color w:val="000000"/>
          <w:sz w:val="32"/>
          <w:szCs w:val="32"/>
          <w:highlight w:val="none"/>
          <w:u w:val="none"/>
          <w:lang w:val="en-US" w:eastAsia="zh-CN"/>
        </w:rPr>
      </w:pPr>
      <w:bookmarkStart w:id="11" w:name="_Toc32563"/>
      <w:bookmarkStart w:id="12" w:name="_Toc1171"/>
      <w:r>
        <w:rPr>
          <w:rFonts w:hint="eastAsia" w:ascii="黑体" w:hAnsi="黑体" w:eastAsia="黑体" w:cs="黑体"/>
          <w:color w:val="000000"/>
          <w:sz w:val="32"/>
          <w:szCs w:val="32"/>
          <w:highlight w:val="none"/>
          <w:u w:val="none"/>
        </w:rPr>
        <w:t>2</w:t>
      </w:r>
      <w:r>
        <w:rPr>
          <w:rFonts w:hint="eastAsia" w:ascii="黑体" w:hAnsi="黑体" w:eastAsia="黑体" w:cs="黑体"/>
          <w:color w:val="000000"/>
          <w:sz w:val="32"/>
          <w:szCs w:val="32"/>
          <w:highlight w:val="none"/>
          <w:u w:val="none"/>
          <w:lang w:val="en-US" w:eastAsia="zh-CN"/>
        </w:rPr>
        <w:t xml:space="preserve">  </w:t>
      </w:r>
      <w:r>
        <w:rPr>
          <w:rFonts w:hint="eastAsia" w:ascii="黑体" w:hAnsi="黑体" w:eastAsia="黑体" w:cs="黑体"/>
          <w:color w:val="000000"/>
          <w:sz w:val="32"/>
          <w:szCs w:val="32"/>
          <w:highlight w:val="none"/>
          <w:u w:val="none"/>
        </w:rPr>
        <w:t>组织体系与职责</w:t>
      </w:r>
      <w:bookmarkEnd w:id="11"/>
      <w:bookmarkEnd w:id="12"/>
      <w:bookmarkStart w:id="13" w:name="_Toc87972541"/>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color w:val="000000"/>
          <w:sz w:val="32"/>
          <w:szCs w:val="32"/>
          <w:highlight w:val="none"/>
          <w:u w:val="none"/>
          <w:lang w:val="en-US" w:eastAsia="zh"/>
        </w:rPr>
      </w:pPr>
      <w:r>
        <w:rPr>
          <w:rFonts w:hint="eastAsia" w:ascii="楷体" w:hAnsi="楷体" w:eastAsia="楷体" w:cs="楷体"/>
          <w:color w:val="000000"/>
          <w:sz w:val="32"/>
          <w:szCs w:val="32"/>
          <w:highlight w:val="none"/>
          <w:u w:val="none"/>
          <w:lang w:val="en-US" w:eastAsia="zh"/>
        </w:rPr>
        <w:t>2.1</w:t>
      </w:r>
      <w:r>
        <w:rPr>
          <w:rFonts w:hint="eastAsia" w:ascii="楷体" w:hAnsi="楷体" w:eastAsia="楷体" w:cs="楷体"/>
          <w:color w:val="000000"/>
          <w:sz w:val="32"/>
          <w:szCs w:val="32"/>
          <w:highlight w:val="none"/>
          <w:u w:val="none"/>
          <w:lang w:val="en-US" w:eastAsia="zh-CN"/>
        </w:rPr>
        <w:t xml:space="preserve">  </w:t>
      </w:r>
      <w:r>
        <w:rPr>
          <w:rFonts w:hint="eastAsia" w:ascii="楷体" w:hAnsi="楷体" w:eastAsia="楷体" w:cs="楷体"/>
          <w:color w:val="000000"/>
          <w:sz w:val="32"/>
          <w:szCs w:val="32"/>
          <w:highlight w:val="none"/>
          <w:u w:val="none"/>
          <w:lang w:val="en-US" w:eastAsia="zh"/>
        </w:rPr>
        <w:t>领导机构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
        </w:rPr>
      </w:pPr>
      <w:r>
        <w:rPr>
          <w:rFonts w:hint="eastAsia" w:ascii="仿宋" w:hAnsi="仿宋" w:eastAsia="仿宋" w:cs="仿宋"/>
          <w:sz w:val="32"/>
          <w:szCs w:val="32"/>
          <w:u w:val="none"/>
          <w:lang w:val="en-US" w:eastAsia="zh"/>
        </w:rPr>
        <w:t>在省委、省政府的领导下，省交通运输厅是全省交通运输行业突发事件应对工作的行业领导和业务指导机关，</w:t>
      </w:r>
      <w:r>
        <w:rPr>
          <w:rFonts w:hint="eastAsia" w:ascii="仿宋" w:hAnsi="仿宋" w:eastAsia="仿宋" w:cs="仿宋"/>
          <w:color w:val="000000"/>
          <w:sz w:val="32"/>
          <w:szCs w:val="32"/>
          <w:u w:val="none"/>
          <w:lang w:val="en-US" w:eastAsia="zh"/>
        </w:rPr>
        <w:t>统筹制定全省交通运输行业</w:t>
      </w:r>
      <w:r>
        <w:rPr>
          <w:rFonts w:hint="eastAsia" w:ascii="仿宋" w:hAnsi="仿宋" w:eastAsia="仿宋" w:cs="仿宋"/>
          <w:color w:val="000000"/>
          <w:sz w:val="32"/>
          <w:szCs w:val="32"/>
          <w:u w:val="none"/>
          <w:lang w:val="en-US" w:eastAsia="zh-CN"/>
        </w:rPr>
        <w:t>应对突发事件的工作规划、应急预案及相关措施</w:t>
      </w:r>
      <w:r>
        <w:rPr>
          <w:rFonts w:hint="eastAsia" w:ascii="仿宋" w:hAnsi="仿宋" w:eastAsia="仿宋" w:cs="仿宋"/>
          <w:color w:val="000000"/>
          <w:sz w:val="32"/>
          <w:szCs w:val="32"/>
          <w:u w:val="none"/>
          <w:lang w:val="en-US" w:eastAsia="zh"/>
        </w:rPr>
        <w:t>，</w:t>
      </w:r>
      <w:r>
        <w:rPr>
          <w:rFonts w:hint="eastAsia" w:ascii="仿宋" w:hAnsi="仿宋" w:eastAsia="仿宋" w:cs="仿宋"/>
          <w:sz w:val="32"/>
          <w:szCs w:val="32"/>
          <w:u w:val="none"/>
          <w:lang w:val="en-US" w:eastAsia="zh"/>
        </w:rPr>
        <w:t>研究解决全省交通运输行业的风险防控、监测预警、处置救援、资源保障、恢复重建等重大问题，领导指挥协调特别重大、重大交通运输行业突发事件防范应对工作，指导其他各级交通运输行业突发事件应对工作。</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color w:val="000000"/>
          <w:sz w:val="32"/>
          <w:szCs w:val="32"/>
          <w:highlight w:val="none"/>
          <w:u w:val="none"/>
          <w:lang w:val="en-US" w:eastAsia="zh"/>
        </w:rPr>
      </w:pPr>
      <w:r>
        <w:rPr>
          <w:rFonts w:hint="eastAsia" w:ascii="楷体" w:hAnsi="楷体" w:eastAsia="楷体" w:cs="楷体"/>
          <w:color w:val="000000"/>
          <w:sz w:val="32"/>
          <w:szCs w:val="32"/>
          <w:highlight w:val="none"/>
          <w:u w:val="none"/>
          <w:lang w:val="en-US" w:eastAsia="zh"/>
        </w:rPr>
        <w:t>2.2</w:t>
      </w:r>
      <w:r>
        <w:rPr>
          <w:rFonts w:hint="eastAsia" w:ascii="楷体" w:hAnsi="楷体" w:eastAsia="楷体" w:cs="楷体"/>
          <w:color w:val="000000"/>
          <w:sz w:val="32"/>
          <w:szCs w:val="32"/>
          <w:highlight w:val="none"/>
          <w:u w:val="none"/>
          <w:lang w:val="en-US" w:eastAsia="zh-CN"/>
        </w:rPr>
        <w:t xml:space="preserve">  </w:t>
      </w:r>
      <w:r>
        <w:rPr>
          <w:rFonts w:hint="eastAsia" w:ascii="楷体" w:hAnsi="楷体" w:eastAsia="楷体" w:cs="楷体"/>
          <w:color w:val="000000"/>
          <w:sz w:val="32"/>
          <w:szCs w:val="32"/>
          <w:highlight w:val="none"/>
          <w:u w:val="none"/>
          <w:lang w:val="en-US" w:eastAsia="zh"/>
        </w:rPr>
        <w:t>专项指挥机构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
        </w:rPr>
      </w:pPr>
      <w:r>
        <w:rPr>
          <w:rFonts w:hint="eastAsia" w:ascii="仿宋" w:hAnsi="仿宋" w:eastAsia="仿宋" w:cs="仿宋"/>
          <w:sz w:val="32"/>
          <w:szCs w:val="32"/>
          <w:u w:val="none"/>
          <w:lang w:val="en-US" w:eastAsia="zh"/>
        </w:rPr>
        <w:t>各类交通运输行业突发事件指挥协调和组织应对工</w:t>
      </w:r>
      <w:r>
        <w:rPr>
          <w:rFonts w:hint="eastAsia" w:ascii="仿宋" w:hAnsi="仿宋" w:eastAsia="仿宋" w:cs="仿宋"/>
          <w:sz w:val="32"/>
          <w:szCs w:val="32"/>
          <w:u w:val="none"/>
          <w:lang w:val="en-US" w:eastAsia="zh-CN"/>
        </w:rPr>
        <w:t>作</w:t>
      </w:r>
      <w:r>
        <w:rPr>
          <w:rFonts w:hint="eastAsia" w:ascii="仿宋" w:hAnsi="仿宋" w:eastAsia="仿宋" w:cs="仿宋"/>
          <w:sz w:val="32"/>
          <w:szCs w:val="32"/>
          <w:u w:val="none"/>
          <w:lang w:val="en-US" w:eastAsia="zh"/>
        </w:rPr>
        <w:t>由相应</w:t>
      </w:r>
      <w:r>
        <w:rPr>
          <w:rFonts w:hint="eastAsia" w:ascii="仿宋" w:hAnsi="仿宋" w:eastAsia="仿宋" w:cs="仿宋"/>
          <w:sz w:val="32"/>
          <w:szCs w:val="32"/>
          <w:u w:val="none"/>
          <w:lang w:val="en-US" w:eastAsia="zh-CN"/>
        </w:rPr>
        <w:t>专项指挥机构</w:t>
      </w:r>
      <w:r>
        <w:rPr>
          <w:rFonts w:hint="eastAsia" w:ascii="仿宋" w:hAnsi="仿宋" w:eastAsia="仿宋" w:cs="仿宋"/>
          <w:sz w:val="32"/>
          <w:szCs w:val="32"/>
          <w:u w:val="none"/>
          <w:lang w:val="en-US" w:eastAsia="zh"/>
        </w:rPr>
        <w:t>负责，</w:t>
      </w:r>
      <w:r>
        <w:rPr>
          <w:rFonts w:hint="eastAsia" w:ascii="仿宋" w:hAnsi="仿宋" w:eastAsia="仿宋" w:cs="仿宋"/>
          <w:sz w:val="32"/>
          <w:szCs w:val="32"/>
          <w:u w:val="none"/>
          <w:lang w:val="en-US" w:eastAsia="zh-CN"/>
        </w:rPr>
        <w:t>专项指挥机构</w:t>
      </w:r>
      <w:r>
        <w:rPr>
          <w:rFonts w:hint="eastAsia" w:ascii="仿宋" w:hAnsi="仿宋" w:eastAsia="仿宋" w:cs="仿宋"/>
          <w:sz w:val="32"/>
          <w:szCs w:val="32"/>
          <w:u w:val="none"/>
          <w:lang w:val="en-US" w:eastAsia="zh"/>
        </w:rPr>
        <w:t>构成在相应专项应急预案中予以明确。</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color w:val="000000"/>
          <w:sz w:val="32"/>
          <w:szCs w:val="32"/>
          <w:highlight w:val="none"/>
          <w:u w:val="none"/>
          <w:lang w:val="en-US" w:eastAsia="zh-CN"/>
        </w:rPr>
      </w:pPr>
      <w:r>
        <w:rPr>
          <w:rFonts w:hint="eastAsia" w:ascii="楷体" w:hAnsi="楷体" w:eastAsia="楷体" w:cs="楷体"/>
          <w:color w:val="000000"/>
          <w:sz w:val="32"/>
          <w:szCs w:val="32"/>
          <w:highlight w:val="none"/>
          <w:u w:val="none"/>
          <w:lang w:val="en-US" w:eastAsia="zh"/>
        </w:rPr>
        <w:t xml:space="preserve">2.3 </w:t>
      </w:r>
      <w:r>
        <w:rPr>
          <w:rFonts w:hint="eastAsia" w:ascii="楷体" w:hAnsi="楷体" w:eastAsia="楷体" w:cs="楷体"/>
          <w:color w:val="000000"/>
          <w:sz w:val="32"/>
          <w:szCs w:val="32"/>
          <w:highlight w:val="none"/>
          <w:u w:val="none"/>
          <w:lang w:val="en-US" w:eastAsia="zh-CN"/>
        </w:rPr>
        <w:t xml:space="preserve"> </w:t>
      </w:r>
      <w:r>
        <w:rPr>
          <w:rFonts w:hint="eastAsia" w:ascii="楷体" w:hAnsi="楷体" w:eastAsia="楷体" w:cs="楷体"/>
          <w:color w:val="000000"/>
          <w:sz w:val="32"/>
          <w:szCs w:val="32"/>
          <w:highlight w:val="none"/>
          <w:u w:val="none"/>
          <w:lang w:val="en-US" w:eastAsia="zh"/>
        </w:rPr>
        <w:t>厅应急</w:t>
      </w:r>
      <w:r>
        <w:rPr>
          <w:rFonts w:hint="eastAsia" w:ascii="楷体" w:hAnsi="楷体" w:eastAsia="楷体" w:cs="楷体"/>
          <w:color w:val="000000"/>
          <w:sz w:val="32"/>
          <w:szCs w:val="32"/>
          <w:highlight w:val="none"/>
          <w:u w:val="none"/>
          <w:lang w:val="en-US" w:eastAsia="zh-CN"/>
        </w:rPr>
        <w:t>管理办公室</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省交通运输厅应急管理办公室（以下简称厅应急办）设在厅安全监督处，由厅安全监督处负责人担任主任。负责统筹、协调、指导全省交通运输行业突发事件应对的风险防控、监测预警、应急准备等工作。</w:t>
      </w:r>
    </w:p>
    <w:bookmarkEnd w:id="13"/>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4" w:name="_Toc87972543"/>
      <w:bookmarkStart w:id="15" w:name="_Toc17959"/>
      <w:bookmarkStart w:id="16" w:name="_Toc18840"/>
      <w:r>
        <w:rPr>
          <w:rFonts w:hint="eastAsia" w:ascii="楷体" w:hAnsi="楷体" w:eastAsia="楷体" w:cs="楷体"/>
          <w:sz w:val="32"/>
          <w:szCs w:val="32"/>
          <w:u w:val="none"/>
          <w:lang w:val="en-US" w:eastAsia="zh-CN"/>
        </w:rPr>
        <w:t>2.4  专家组</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专项指挥机构在突发事件发生后根据需要抽调有关专家组成专家组，为突发事件应急处置、调查评估等工作提供决策咨询等技术支持。</w:t>
      </w:r>
    </w:p>
    <w:p>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黑体" w:hAnsi="黑体" w:eastAsia="黑体" w:cs="黑体"/>
          <w:color w:val="000000"/>
          <w:sz w:val="32"/>
          <w:szCs w:val="32"/>
          <w:highlight w:val="none"/>
          <w:u w:val="none"/>
          <w:lang w:val="en-US" w:eastAsia="zh-CN"/>
        </w:rPr>
      </w:pPr>
      <w:bookmarkStart w:id="17" w:name="_Toc477459713"/>
      <w:bookmarkEnd w:id="17"/>
      <w:bookmarkStart w:id="18" w:name="_Toc8979"/>
      <w:bookmarkStart w:id="19" w:name="_Toc29208"/>
      <w:r>
        <w:rPr>
          <w:rFonts w:hint="eastAsia" w:ascii="黑体" w:hAnsi="黑体" w:eastAsia="黑体" w:cs="黑体"/>
          <w:color w:val="000000"/>
          <w:sz w:val="32"/>
          <w:szCs w:val="32"/>
          <w:highlight w:val="none"/>
          <w:u w:val="none"/>
        </w:rPr>
        <w:t>3</w:t>
      </w:r>
      <w:r>
        <w:rPr>
          <w:rFonts w:hint="eastAsia" w:ascii="黑体" w:hAnsi="黑体" w:eastAsia="黑体" w:cs="黑体"/>
          <w:color w:val="000000"/>
          <w:sz w:val="32"/>
          <w:szCs w:val="32"/>
          <w:highlight w:val="none"/>
          <w:u w:val="none"/>
          <w:lang w:val="en-US" w:eastAsia="zh-CN"/>
        </w:rPr>
        <w:t xml:space="preserve">  </w:t>
      </w:r>
      <w:bookmarkEnd w:id="18"/>
      <w:bookmarkEnd w:id="19"/>
      <w:r>
        <w:rPr>
          <w:rFonts w:hint="eastAsia" w:ascii="黑体" w:hAnsi="黑体" w:eastAsia="黑体" w:cs="黑体"/>
          <w:color w:val="000000"/>
          <w:sz w:val="32"/>
          <w:szCs w:val="32"/>
          <w:highlight w:val="none"/>
          <w:u w:val="none"/>
          <w:lang w:val="en-US" w:eastAsia="zh-CN"/>
        </w:rPr>
        <w:t>风险防控与监测预警</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3.1  风险防控</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楷体" w:hAnsi="楷体" w:eastAsia="楷体" w:cs="楷体"/>
          <w:color w:val="000000"/>
          <w:sz w:val="32"/>
          <w:szCs w:val="32"/>
          <w:u w:val="none"/>
          <w:lang w:val="en-US" w:eastAsia="zh-CN"/>
        </w:rPr>
      </w:pPr>
      <w:r>
        <w:rPr>
          <w:rFonts w:hint="eastAsia" w:ascii="仿宋" w:hAnsi="仿宋" w:eastAsia="仿宋" w:cs="仿宋"/>
          <w:color w:val="000000"/>
          <w:sz w:val="32"/>
          <w:szCs w:val="32"/>
          <w:u w:val="none"/>
          <w:lang w:val="en-US" w:eastAsia="zh-CN"/>
        </w:rPr>
        <w:t>按照关口前移、重心下沉、源头管控的原则，各级交通运输主管部门</w:t>
      </w:r>
      <w:r>
        <w:rPr>
          <w:rFonts w:hint="default" w:ascii="仿宋" w:hAnsi="仿宋" w:eastAsia="仿宋" w:cs="仿宋"/>
          <w:color w:val="000000"/>
          <w:sz w:val="32"/>
          <w:szCs w:val="32"/>
          <w:u w:val="none"/>
          <w:lang w:val="en" w:eastAsia="zh-CN"/>
        </w:rPr>
        <w:t>(</w:t>
      </w:r>
      <w:r>
        <w:rPr>
          <w:rFonts w:hint="eastAsia" w:ascii="仿宋" w:hAnsi="仿宋" w:eastAsia="仿宋" w:cs="仿宋"/>
          <w:color w:val="000000"/>
          <w:sz w:val="32"/>
          <w:szCs w:val="32"/>
          <w:u w:val="none"/>
          <w:lang w:val="en" w:eastAsia="zh-CN"/>
        </w:rPr>
        <w:t>单位）</w:t>
      </w:r>
      <w:r>
        <w:rPr>
          <w:rFonts w:hint="eastAsia" w:ascii="仿宋" w:hAnsi="仿宋" w:eastAsia="仿宋" w:cs="仿宋"/>
          <w:color w:val="000000"/>
          <w:sz w:val="32"/>
          <w:szCs w:val="32"/>
          <w:u w:val="none"/>
          <w:lang w:val="en-US" w:eastAsia="zh-CN"/>
        </w:rPr>
        <w:t>应建立健全突发事件风险辨识、分析、会商、研判、防控等制度，建立风险信息互通共享机制，推动形成完整的风险管理数据库，从源头上防范化解重大风险。对重大关键基础设施、重大风险隐患等要按照“谁经营、谁负责，谁主管、谁负责”的原则，进行风险辨识与评估，落实风险防控责任和防控措施。各级交通运输主管部门要依法对行业（领域）内各类风险点、危险源、危险区域进行调查，分级分类建立台账，定期进行检查，责令有关单位采取防范化解措施。</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20" w:name="_Toc6964"/>
      <w:bookmarkStart w:id="21" w:name="_Toc87972545"/>
      <w:bookmarkStart w:id="22" w:name="_Toc21695"/>
      <w:r>
        <w:rPr>
          <w:rFonts w:hint="eastAsia" w:ascii="楷体" w:hAnsi="楷体" w:eastAsia="楷体" w:cs="楷体"/>
          <w:sz w:val="32"/>
          <w:szCs w:val="32"/>
          <w:u w:val="none"/>
          <w:lang w:val="en-US" w:eastAsia="zh-CN"/>
        </w:rPr>
        <w:t>3.2  监测</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本着早预防、早发现、早报告、早处置的原则，省交通运输厅应加强预警信息收集、监测、整理、评估工作。涉及交通运输突发事件的预警及相关信息包括：</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（1）交通损毁、中断、阻塞信息和重要客运枢纽旅客滞留信息；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（2）气象监测、预警信息；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（3）地震、地质等灾害监测、预警信息；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（4）公共卫生突发事件信息；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（5）社会安全突发事件信息；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（6）其他需要提供交通运输应急保障的相关信息。</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上述信息的主要来源为：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（1）公众信息相关部门（应急、气象、水利、自然资源、卫生健康、公安等）；</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（2）交通运输行业相关部门和单位</w:t>
      </w:r>
      <w:r>
        <w:rPr>
          <w:rFonts w:hint="eastAsia" w:ascii="仿宋_GB2312" w:hAnsi="仿宋_GB2312" w:eastAsia="仿宋_GB2312" w:cs="仿宋_GB2312"/>
          <w:color w:val="auto"/>
          <w:sz w:val="32"/>
          <w:szCs w:val="32"/>
          <w:u w:val="none"/>
          <w:lang w:val="en-US" w:eastAsia="zh-CN"/>
        </w:rPr>
        <w:t>（交通运输部、各级交通运输主管部门及所属机构、交通运输企业等）</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（3）其他有关机构和公众（新闻媒体、互联网等）。</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23" w:name="_Toc710"/>
      <w:bookmarkStart w:id="24" w:name="_Toc30097"/>
      <w:bookmarkStart w:id="25" w:name="_Toc87972546"/>
      <w:r>
        <w:rPr>
          <w:rFonts w:hint="eastAsia" w:ascii="楷体" w:hAnsi="楷体" w:eastAsia="楷体" w:cs="楷体"/>
          <w:sz w:val="32"/>
          <w:szCs w:val="32"/>
          <w:u w:val="none"/>
          <w:lang w:val="en-US" w:eastAsia="zh-CN"/>
        </w:rPr>
        <w:t>3.3  预警</w:t>
      </w:r>
      <w:bookmarkEnd w:id="23"/>
      <w:bookmarkEnd w:id="24"/>
      <w:bookmarkEnd w:id="25"/>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lang w:val="en-US" w:eastAsia="zh-CN"/>
        </w:rPr>
      </w:pPr>
      <w:bookmarkStart w:id="26" w:name="_Toc24845"/>
      <w:bookmarkStart w:id="27" w:name="_Toc9810"/>
      <w:r>
        <w:rPr>
          <w:rFonts w:hint="eastAsia" w:ascii="仿宋" w:hAnsi="仿宋" w:eastAsia="仿宋" w:cs="仿宋"/>
          <w:color w:val="000000"/>
          <w:highlight w:val="none"/>
          <w:u w:val="none"/>
        </w:rPr>
        <w:t>3.</w:t>
      </w:r>
      <w:r>
        <w:rPr>
          <w:rFonts w:hint="eastAsia" w:ascii="仿宋" w:hAnsi="仿宋" w:eastAsia="仿宋" w:cs="仿宋"/>
          <w:color w:val="000000"/>
          <w:highlight w:val="none"/>
          <w:u w:val="none"/>
          <w:lang w:val="en-US" w:eastAsia="zh-CN"/>
        </w:rPr>
        <w:t>3</w:t>
      </w:r>
      <w:r>
        <w:rPr>
          <w:rFonts w:hint="eastAsia" w:ascii="仿宋" w:hAnsi="仿宋" w:eastAsia="仿宋" w:cs="仿宋"/>
          <w:color w:val="000000"/>
          <w:highlight w:val="none"/>
          <w:u w:val="none"/>
        </w:rPr>
        <w:t xml:space="preserve">.1 </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u w:val="none"/>
        </w:rPr>
        <w:t>预警信息</w:t>
      </w:r>
      <w:bookmarkEnd w:id="26"/>
      <w:bookmarkEnd w:id="27"/>
      <w:r>
        <w:rPr>
          <w:rFonts w:hint="eastAsia" w:ascii="仿宋" w:hAnsi="仿宋" w:eastAsia="仿宋" w:cs="仿宋"/>
          <w:color w:val="000000"/>
          <w:highlight w:val="none"/>
          <w:u w:val="none"/>
          <w:lang w:val="en-US" w:eastAsia="zh-CN"/>
        </w:rPr>
        <w:t>分级</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确定预警级别：按照紧急程度、发展态势和可能造成的危害程度，预警级别由高到低可分为一级、二级、三级和四级，分别用红色、橙色、黄色和蓝色标示。对可以预警的突发事件，预警级别对照国家和省有关部门制订的具体划分标准执行，具体分级标准在各专项应急预案中予以明确，对难以确定预警级别的突发事件，要根据情况及时向有关方面通报提醒或警示信息，必要时向社会公众发布安全警示。</w:t>
      </w:r>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rPr>
      </w:pPr>
      <w:bookmarkStart w:id="28" w:name="_Toc9847"/>
      <w:bookmarkStart w:id="29" w:name="_Toc25619"/>
      <w:r>
        <w:rPr>
          <w:rFonts w:hint="eastAsia" w:ascii="仿宋" w:hAnsi="仿宋" w:eastAsia="仿宋" w:cs="仿宋"/>
          <w:color w:val="000000"/>
          <w:highlight w:val="none"/>
          <w:u w:val="none"/>
        </w:rPr>
        <w:t>3.</w:t>
      </w:r>
      <w:r>
        <w:rPr>
          <w:rFonts w:hint="eastAsia" w:ascii="仿宋" w:hAnsi="仿宋" w:eastAsia="仿宋" w:cs="仿宋"/>
          <w:color w:val="000000"/>
          <w:highlight w:val="none"/>
          <w:u w:val="none"/>
          <w:lang w:val="en-US" w:eastAsia="zh-CN"/>
        </w:rPr>
        <w:t>3</w:t>
      </w:r>
      <w:r>
        <w:rPr>
          <w:rFonts w:hint="eastAsia" w:ascii="仿宋" w:hAnsi="仿宋" w:eastAsia="仿宋" w:cs="仿宋"/>
          <w:color w:val="000000"/>
          <w:highlight w:val="none"/>
          <w:u w:val="none"/>
        </w:rPr>
        <w:t xml:space="preserve">.2 </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u w:val="none"/>
        </w:rPr>
        <w:t>预警行动</w:t>
      </w:r>
      <w:bookmarkEnd w:id="28"/>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（1）发布蓝色、黄色预警后，厅应急办应会同厅机关相关处室立即做出响应，经厅领导批准后组织协调厅机关相关处室、厅直相关单位指导市（州）交通运输主管部门采取下列一项或多项措施：</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①要求厅机关相关处室及厅直相关单位、市（州）交通运输主管部门加强监测频次，及时收集、报告有关信息，加强预报和预警工作。</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②根据突发事件种类和预警等级，组织相关单位人员、专家及时对突发事件预测信息进行分析评估，根据突发事件发生可能性的大小、影响范围组织应对措施。</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③完善值班值守的组织，为突发事件的处置提供保障。</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发布橙色、红色预警后，厅应急办应会同厅机关相关处室在采取蓝色、黄色预警措施的基础上，还应当针对即将发生的突发事件特点和可能造成的危害，组织协调厅机关相关处室、厅直相关单位指导市（州）交通运输主管部门采取下列一项或多项措施：</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①组织应急队伍和负有特定职责的人员进入待命状态，做好参加应急处置和救援工作的准备，视情预置有关队伍、装备、物资等应急资源。</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②调集应急处置所需物资、装备、工具等，确保其处于良好状态，随时投入正常使用。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③转移、疏散或者撤离易受突发事件危害的人员，转移重要财产。</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④关闭或者限制使用易受突发事件危害的路段、航道及场所。</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⑤法律、法规、规章规定的其他必要的防范性、保护性措施。</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30" w:name="_Toc10639"/>
      <w:bookmarkStart w:id="31" w:name="_Toc19477"/>
      <w:r>
        <w:rPr>
          <w:rFonts w:hint="eastAsia" w:ascii="楷体" w:hAnsi="楷体" w:eastAsia="楷体" w:cs="楷体"/>
          <w:sz w:val="32"/>
          <w:szCs w:val="32"/>
          <w:u w:val="none"/>
          <w:lang w:val="en-US" w:eastAsia="zh-CN"/>
        </w:rPr>
        <w:t>3.4  预警调整与终止</w:t>
      </w:r>
      <w:bookmarkEnd w:id="30"/>
      <w:bookmarkEnd w:id="31"/>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_GB2312" w:eastAsia="仿宋_GB2312"/>
          <w:color w:val="000000"/>
          <w:sz w:val="28"/>
          <w:szCs w:val="28"/>
          <w:highlight w:val="none"/>
          <w:u w:val="none"/>
        </w:rPr>
      </w:pPr>
      <w:r>
        <w:rPr>
          <w:rFonts w:hint="eastAsia" w:ascii="仿宋" w:hAnsi="仿宋" w:eastAsia="仿宋" w:cs="仿宋"/>
          <w:sz w:val="32"/>
          <w:szCs w:val="32"/>
          <w:u w:val="none"/>
          <w:lang w:val="en-US" w:eastAsia="zh-CN"/>
        </w:rPr>
        <w:t>厅应急办、厅机关相关处室在接到公共信息相关部门或突发事件发生地有关部门发出的预警终止信息，或者根据预警监测追踪信息，确认涉及的交通运输突发事件已不满足预警启动标准的，厅应急办会同厅机关相关处室向厅领导提出预警终止或降级建议，由厅领导决定预警终止或降级。</w:t>
      </w:r>
    </w:p>
    <w:p>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黑体" w:hAnsi="黑体" w:eastAsia="黑体" w:cs="黑体"/>
          <w:color w:val="000000"/>
          <w:sz w:val="32"/>
          <w:szCs w:val="32"/>
          <w:highlight w:val="none"/>
          <w:u w:val="none"/>
        </w:rPr>
      </w:pPr>
      <w:bookmarkStart w:id="32" w:name="_Toc8434"/>
      <w:bookmarkStart w:id="33" w:name="_Toc9588"/>
      <w:r>
        <w:rPr>
          <w:rFonts w:hint="eastAsia" w:ascii="黑体" w:hAnsi="黑体" w:eastAsia="黑体" w:cs="黑体"/>
          <w:color w:val="000000"/>
          <w:sz w:val="32"/>
          <w:szCs w:val="32"/>
          <w:highlight w:val="none"/>
          <w:u w:val="none"/>
          <w:lang w:val="en-US" w:eastAsia="zh-CN"/>
        </w:rPr>
        <w:t xml:space="preserve">4  </w:t>
      </w:r>
      <w:r>
        <w:rPr>
          <w:rFonts w:hint="eastAsia" w:ascii="黑体" w:hAnsi="黑体" w:eastAsia="黑体" w:cs="黑体"/>
          <w:color w:val="000000"/>
          <w:sz w:val="32"/>
          <w:szCs w:val="32"/>
          <w:highlight w:val="none"/>
          <w:u w:val="none"/>
        </w:rPr>
        <w:t>应急响应</w:t>
      </w:r>
      <w:bookmarkEnd w:id="32"/>
      <w:bookmarkEnd w:id="33"/>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34" w:name="_Toc25772"/>
      <w:bookmarkStart w:id="35" w:name="_Toc27043"/>
      <w:r>
        <w:rPr>
          <w:rFonts w:hint="eastAsia" w:ascii="楷体" w:hAnsi="楷体" w:eastAsia="楷体" w:cs="楷体"/>
          <w:sz w:val="32"/>
          <w:szCs w:val="32"/>
          <w:u w:val="none"/>
          <w:lang w:val="en-US" w:eastAsia="zh-CN"/>
        </w:rPr>
        <w:t>4.1  信息报告</w:t>
      </w:r>
      <w:bookmarkEnd w:id="34"/>
      <w:bookmarkEnd w:id="35"/>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lang w:val="en-US" w:eastAsia="zh-CN"/>
        </w:rPr>
      </w:pPr>
      <w:bookmarkStart w:id="36" w:name="_Toc1792"/>
      <w:bookmarkStart w:id="37" w:name="_Toc12263"/>
      <w:r>
        <w:rPr>
          <w:rFonts w:hint="eastAsia" w:ascii="仿宋" w:hAnsi="仿宋" w:eastAsia="仿宋" w:cs="仿宋"/>
          <w:color w:val="000000"/>
          <w:highlight w:val="none"/>
          <w:u w:val="none"/>
          <w:lang w:val="en-US" w:eastAsia="zh-CN"/>
        </w:rPr>
        <w:t>4.1.1  报告形式</w:t>
      </w:r>
      <w:bookmarkEnd w:id="36"/>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b w:val="0"/>
          <w:color w:val="000000"/>
          <w:kern w:val="2"/>
          <w:sz w:val="32"/>
          <w:szCs w:val="32"/>
          <w:u w:val="none"/>
          <w:lang w:val="zh-CN" w:eastAsia="zh-CN" w:bidi="ar-SA"/>
        </w:rPr>
      </w:pPr>
      <w:r>
        <w:rPr>
          <w:rFonts w:hint="eastAsia" w:ascii="仿宋" w:hAnsi="仿宋" w:eastAsia="仿宋" w:cs="仿宋"/>
          <w:b w:val="0"/>
          <w:color w:val="000000"/>
          <w:kern w:val="2"/>
          <w:sz w:val="32"/>
          <w:szCs w:val="32"/>
          <w:u w:val="none"/>
          <w:lang w:val="en-US" w:eastAsia="zh-CN" w:bidi="ar-SA"/>
        </w:rPr>
        <w:t>交通运输突发事件发生后，各级交通运输主管部门应按照“接报即报、边报边核、及时续报”的工作要求，采取逐级上报的方式进行信息报告，</w:t>
      </w:r>
      <w:r>
        <w:rPr>
          <w:rFonts w:hint="eastAsia" w:ascii="仿宋" w:hAnsi="仿宋" w:eastAsia="仿宋" w:cs="仿宋"/>
          <w:b w:val="0"/>
          <w:color w:val="000000"/>
          <w:kern w:val="2"/>
          <w:sz w:val="32"/>
          <w:szCs w:val="32"/>
          <w:u w:val="none"/>
          <w:lang w:val="zh-CN" w:eastAsia="zh-CN" w:bidi="ar-SA"/>
        </w:rPr>
        <w:t>紧急情况下可越级上报。</w:t>
      </w:r>
      <w:r>
        <w:rPr>
          <w:rFonts w:hint="eastAsia" w:ascii="仿宋" w:hAnsi="仿宋" w:eastAsia="仿宋" w:cs="仿宋"/>
          <w:b w:val="0"/>
          <w:color w:val="000000"/>
          <w:kern w:val="2"/>
          <w:sz w:val="32"/>
          <w:szCs w:val="32"/>
          <w:u w:val="none"/>
          <w:lang w:val="en-US" w:eastAsia="zh-CN" w:bidi="ar-SA"/>
        </w:rPr>
        <w:t>接报需要上报的突发事件信息后</w:t>
      </w:r>
      <w:r>
        <w:rPr>
          <w:rFonts w:hint="eastAsia" w:ascii="仿宋" w:hAnsi="仿宋" w:eastAsia="仿宋" w:cs="仿宋"/>
          <w:b w:val="0"/>
          <w:color w:val="000000"/>
          <w:kern w:val="2"/>
          <w:sz w:val="32"/>
          <w:szCs w:val="32"/>
          <w:u w:val="none"/>
          <w:lang w:val="zh-CN" w:eastAsia="zh-CN" w:bidi="ar-SA"/>
        </w:rPr>
        <w:t>，各单位在接报后30分钟内通过电话报告上级单位和部门，并在1小时内以书面形式报告。对于需要持续跟踪处置的突发事件，要及时续报最新进展及衍生情况，突发事件处置结束后要第一时间进行终报。</w:t>
      </w:r>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lang w:val="en-US" w:eastAsia="zh-CN"/>
        </w:rPr>
      </w:pPr>
      <w:bookmarkStart w:id="38" w:name="_Toc22914"/>
      <w:bookmarkStart w:id="39" w:name="_Toc22012"/>
      <w:r>
        <w:rPr>
          <w:rFonts w:hint="eastAsia" w:ascii="仿宋" w:hAnsi="仿宋" w:eastAsia="仿宋" w:cs="仿宋"/>
          <w:color w:val="000000"/>
          <w:highlight w:val="none"/>
          <w:u w:val="none"/>
          <w:lang w:val="en-US" w:eastAsia="zh-CN"/>
        </w:rPr>
        <w:t>4.1.2  报告内容</w:t>
      </w:r>
      <w:bookmarkEnd w:id="38"/>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zh-CN" w:eastAsia="zh-CN"/>
        </w:rPr>
        <w:t>报送信息的内容要简明准确、要素完整、重点突出，应包括以下要素：</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（1）事发单位的名称、负责人、联系电话和地址；</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（2）事件发生的时间、地点；</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（3）事件造成的危害程度、影响范围、伤亡人数、直接经济损失；</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（4）事件的简要经过，已采取的措施；</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（5）其他需上报的有关事项。</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40" w:name="_Toc8098"/>
      <w:bookmarkStart w:id="41" w:name="_Toc10245"/>
      <w:r>
        <w:rPr>
          <w:rFonts w:hint="eastAsia" w:ascii="楷体" w:hAnsi="楷体" w:eastAsia="楷体" w:cs="楷体"/>
          <w:sz w:val="32"/>
          <w:szCs w:val="32"/>
          <w:u w:val="none"/>
          <w:lang w:val="en-US" w:eastAsia="zh-CN"/>
        </w:rPr>
        <w:t>4.2  先期处置</w:t>
      </w:r>
      <w:bookmarkEnd w:id="40"/>
      <w:bookmarkEnd w:id="41"/>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（1）事发单位要立即组织本单位应急队伍或工作人员营救遇险人员，疏散、撤离、安置受威胁人员;</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（2）事发单位要采取措施控制危险源，标明危险区域，封锁危险场所，并采取其他防止危害扩大的必要措施;</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（3）事发单位要迅速控制可疑的传染源，积极救治或配合救治病人，组织有关人员加强个人防护;</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（4）事发单位要向所在地县（市、区）级政府及交通运输主管部门报告。</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42" w:name="_Toc16144"/>
      <w:bookmarkStart w:id="43" w:name="_Toc23954"/>
      <w:bookmarkStart w:id="44" w:name="_Toc26419"/>
      <w:r>
        <w:rPr>
          <w:rFonts w:hint="eastAsia" w:ascii="楷体" w:hAnsi="楷体" w:eastAsia="楷体" w:cs="楷体"/>
          <w:sz w:val="32"/>
          <w:szCs w:val="32"/>
          <w:u w:val="none"/>
          <w:lang w:val="en-US" w:eastAsia="zh-CN"/>
        </w:rPr>
        <w:t>4.3  响应分级</w:t>
      </w:r>
      <w:bookmarkEnd w:id="42"/>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吉林省交通运输行业应急响应按照突发事件的性质、造成的损失、危害程度、可控性以及影响范围等因素，一般由高到低可分为四个响应级别，即一级、二级、三级、四级。</w:t>
      </w:r>
    </w:p>
    <w:p>
      <w:pPr>
        <w:pStyle w:val="2"/>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吉林省交通运输行业</w:t>
      </w:r>
      <w:r>
        <w:rPr>
          <w:rFonts w:hint="default" w:ascii="仿宋" w:hAnsi="仿宋" w:eastAsia="仿宋" w:cs="仿宋"/>
          <w:kern w:val="2"/>
          <w:sz w:val="32"/>
          <w:szCs w:val="32"/>
          <w:highlight w:val="none"/>
          <w:u w:val="none"/>
          <w:lang w:val="en-US" w:eastAsia="zh-CN" w:bidi="ar-SA"/>
        </w:rPr>
        <w:t>各类突发事件应急响应的具体分级标准，</w:t>
      </w:r>
      <w:r>
        <w:rPr>
          <w:rFonts w:hint="eastAsia" w:ascii="仿宋" w:hAnsi="仿宋" w:eastAsia="仿宋" w:cs="仿宋"/>
          <w:kern w:val="2"/>
          <w:sz w:val="32"/>
          <w:szCs w:val="32"/>
          <w:highlight w:val="none"/>
          <w:u w:val="none"/>
          <w:lang w:val="en-US" w:eastAsia="zh-CN" w:bidi="ar-SA"/>
        </w:rPr>
        <w:t>按照</w:t>
      </w:r>
      <w:r>
        <w:rPr>
          <w:rFonts w:hint="default" w:ascii="仿宋" w:hAnsi="仿宋" w:eastAsia="仿宋" w:cs="仿宋"/>
          <w:kern w:val="2"/>
          <w:sz w:val="32"/>
          <w:szCs w:val="32"/>
          <w:highlight w:val="none"/>
          <w:u w:val="none"/>
          <w:lang w:val="en-US" w:eastAsia="zh-CN" w:bidi="ar-SA"/>
        </w:rPr>
        <w:t>相关</w:t>
      </w:r>
      <w:r>
        <w:rPr>
          <w:rFonts w:hint="eastAsia" w:ascii="仿宋" w:hAnsi="仿宋" w:eastAsia="仿宋" w:cs="仿宋"/>
          <w:kern w:val="2"/>
          <w:sz w:val="32"/>
          <w:szCs w:val="32"/>
          <w:highlight w:val="none"/>
          <w:u w:val="none"/>
          <w:lang w:val="en-US" w:eastAsia="zh-CN" w:bidi="ar-SA"/>
        </w:rPr>
        <w:t>专项</w:t>
      </w:r>
      <w:r>
        <w:rPr>
          <w:rFonts w:hint="default" w:ascii="仿宋" w:hAnsi="仿宋" w:eastAsia="仿宋" w:cs="仿宋"/>
          <w:kern w:val="2"/>
          <w:sz w:val="32"/>
          <w:szCs w:val="32"/>
          <w:highlight w:val="none"/>
          <w:u w:val="none"/>
          <w:lang w:val="en-US" w:eastAsia="zh-CN" w:bidi="ar-SA"/>
        </w:rPr>
        <w:t>应急预案规定执行。</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45" w:name="_Toc23242"/>
      <w:bookmarkStart w:id="46" w:name="_Toc2865"/>
      <w:r>
        <w:rPr>
          <w:rFonts w:hint="eastAsia" w:ascii="楷体" w:hAnsi="楷体" w:eastAsia="楷体" w:cs="楷体"/>
          <w:sz w:val="32"/>
          <w:szCs w:val="32"/>
          <w:u w:val="none"/>
          <w:lang w:val="en-US" w:eastAsia="zh-CN"/>
        </w:rPr>
        <w:t>4.4  响应程序</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bookmarkStart w:id="47" w:name="_Toc87972551"/>
      <w:r>
        <w:rPr>
          <w:rFonts w:hint="eastAsia" w:ascii="仿宋" w:hAnsi="仿宋" w:eastAsia="仿宋" w:cs="仿宋"/>
          <w:sz w:val="32"/>
          <w:szCs w:val="32"/>
          <w:highlight w:val="none"/>
          <w:u w:val="none"/>
          <w:lang w:val="en-US" w:eastAsia="zh-CN"/>
        </w:rPr>
        <w:t>（1）厅应急办会同厅机关相关处室按照省政府或交通运输部部署，或根据事发地市（州）交通运输主管部门的请求或接报、接警的突发事件信息，及时核实相关情况，进行分析研判，第一时间向厅分管领导报告有关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（2）厅应急办会同厅机关相关处室根据事件影响范围和处置难易程度，向厅领导提出启动应急响应建议。</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3）拟启动一级、二级应急响应的，经厅应急办会同厅机关相关处室核准，报厅分管领导批准后，由厅长宣布启动，同步成立专项指挥机构，专项指挥机构按照职责开展应急工作；厅应急办将启动一级、二级应急响应有关信息按规定报省政府和交通运输部，抄送应急协作部门，并及时向突发事件相关地区的政府部门通报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4）拟启动三级、四级应急响应的，经厅应急办会同厅机关相关处室核准后，由厅分管领导宣布启动，同步成立专项指挥机构，专项指挥机构按照职责开展应急工作；专项指挥机构根据上级指令，或根据市（州）、</w:t>
      </w:r>
      <w:r>
        <w:rPr>
          <w:rFonts w:hint="eastAsia" w:ascii="仿宋" w:hAnsi="仿宋" w:eastAsia="仿宋" w:cs="仿宋"/>
          <w:sz w:val="32"/>
          <w:szCs w:val="32"/>
          <w:u w:val="none"/>
          <w:lang w:val="en-US" w:eastAsia="zh-CN"/>
        </w:rPr>
        <w:t>县（市、区）</w:t>
      </w:r>
      <w:r>
        <w:rPr>
          <w:rFonts w:hint="eastAsia" w:ascii="仿宋" w:hAnsi="仿宋" w:eastAsia="仿宋" w:cs="仿宋"/>
          <w:sz w:val="32"/>
          <w:szCs w:val="32"/>
          <w:highlight w:val="none"/>
          <w:u w:val="none"/>
          <w:lang w:val="en-US" w:eastAsia="zh-CN"/>
        </w:rPr>
        <w:t>交通运输主管部门或厅直相关单位请求，开展应急指导、支持工作；厅应急办将启动三级、四级应急响应有关信息按规定报省政府和交通运输部，抄送应急协作部门，并及时向突发事件相关地区的政府部门通报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（5）应急响应启动后，发现事态扩大并符合上一级别应急响应条件的，按照前款规定及时启动上一级别应急响应。</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（6）应急响应启动时，视情及时向社会公布。</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48" w:name="_Toc19362"/>
      <w:bookmarkStart w:id="49" w:name="_Toc26099"/>
      <w:r>
        <w:rPr>
          <w:rFonts w:hint="eastAsia" w:ascii="楷体" w:hAnsi="楷体" w:eastAsia="楷体" w:cs="楷体"/>
          <w:sz w:val="32"/>
          <w:szCs w:val="32"/>
          <w:u w:val="none"/>
          <w:lang w:val="en-US" w:eastAsia="zh-CN"/>
        </w:rPr>
        <w:t>4.5  指挥协调</w:t>
      </w:r>
      <w:bookmarkEnd w:id="47"/>
      <w:bookmarkEnd w:id="48"/>
      <w:bookmarkEnd w:id="49"/>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lang w:val="zh-CN" w:eastAsia="zh-CN"/>
        </w:rPr>
      </w:pPr>
      <w:bookmarkStart w:id="50" w:name="_Toc12190"/>
      <w:bookmarkStart w:id="51" w:name="_Toc10171"/>
      <w:r>
        <w:rPr>
          <w:rFonts w:hint="eastAsia" w:ascii="仿宋" w:hAnsi="仿宋" w:eastAsia="仿宋" w:cs="仿宋"/>
          <w:color w:val="000000"/>
          <w:highlight w:val="none"/>
          <w:u w:val="none"/>
          <w:lang w:val="en-US" w:eastAsia="zh-CN"/>
        </w:rPr>
        <w:t>4.5.1  组织指挥</w:t>
      </w:r>
      <w:bookmarkEnd w:id="50"/>
      <w:bookmarkEnd w:id="51"/>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上级交通运输部门指导下级交通运输部门开展突发事件应对工作，上级交通运输突发事件应急组织指挥机构设立后，下级交通运输突发事件组织指挥机构按照上级组织指挥机构的要求做好应急处置与救援工作。</w:t>
      </w:r>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lang w:val="en-US" w:eastAsia="zh-CN"/>
        </w:rPr>
      </w:pPr>
      <w:bookmarkStart w:id="52" w:name="_Toc4586"/>
      <w:bookmarkStart w:id="53" w:name="_Toc11338"/>
      <w:r>
        <w:rPr>
          <w:rFonts w:hint="eastAsia" w:ascii="仿宋" w:hAnsi="仿宋" w:eastAsia="仿宋" w:cs="仿宋"/>
          <w:color w:val="000000"/>
          <w:highlight w:val="none"/>
          <w:u w:val="none"/>
          <w:lang w:val="en-US" w:eastAsia="zh-CN"/>
        </w:rPr>
        <w:t>4.5.2  现场协调</w:t>
      </w:r>
      <w:bookmarkEnd w:id="52"/>
      <w:bookmarkEnd w:id="53"/>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zh-CN" w:eastAsia="zh-CN"/>
        </w:rPr>
      </w:pPr>
      <w:r>
        <w:rPr>
          <w:rFonts w:hint="eastAsia" w:ascii="仿宋" w:hAnsi="仿宋" w:eastAsia="仿宋" w:cs="仿宋"/>
          <w:sz w:val="32"/>
          <w:szCs w:val="32"/>
          <w:u w:val="none"/>
          <w:lang w:val="en-US" w:eastAsia="zh-CN"/>
        </w:rPr>
        <w:t>专项指挥机构</w:t>
      </w:r>
      <w:r>
        <w:rPr>
          <w:rFonts w:hint="eastAsia" w:ascii="仿宋" w:hAnsi="仿宋" w:eastAsia="仿宋" w:cs="仿宋"/>
          <w:sz w:val="32"/>
          <w:szCs w:val="32"/>
          <w:u w:val="none"/>
          <w:lang w:val="zh-CN" w:eastAsia="zh-CN"/>
        </w:rPr>
        <w:t>要充分听取专家</w:t>
      </w:r>
      <w:r>
        <w:rPr>
          <w:rFonts w:hint="eastAsia" w:ascii="仿宋" w:hAnsi="仿宋" w:eastAsia="仿宋" w:cs="仿宋"/>
          <w:sz w:val="32"/>
          <w:szCs w:val="32"/>
          <w:u w:val="none"/>
          <w:lang w:val="en-US" w:eastAsia="zh-CN"/>
        </w:rPr>
        <w:t>组</w:t>
      </w:r>
      <w:r>
        <w:rPr>
          <w:rFonts w:hint="eastAsia" w:ascii="仿宋" w:hAnsi="仿宋" w:eastAsia="仿宋" w:cs="仿宋"/>
          <w:sz w:val="32"/>
          <w:szCs w:val="32"/>
          <w:u w:val="none"/>
          <w:lang w:val="zh-CN" w:eastAsia="zh-CN"/>
        </w:rPr>
        <w:t>意见，指导市（州）、</w:t>
      </w:r>
      <w:r>
        <w:rPr>
          <w:rFonts w:hint="eastAsia" w:ascii="仿宋" w:hAnsi="仿宋" w:eastAsia="仿宋" w:cs="仿宋"/>
          <w:sz w:val="32"/>
          <w:szCs w:val="32"/>
          <w:u w:val="none"/>
          <w:lang w:val="en-US" w:eastAsia="zh-CN"/>
        </w:rPr>
        <w:t>县（市、区）</w:t>
      </w:r>
      <w:r>
        <w:rPr>
          <w:rFonts w:hint="eastAsia" w:ascii="仿宋" w:hAnsi="仿宋" w:eastAsia="仿宋" w:cs="仿宋"/>
          <w:sz w:val="32"/>
          <w:szCs w:val="32"/>
          <w:u w:val="none"/>
          <w:lang w:val="zh-CN" w:eastAsia="zh-CN"/>
        </w:rPr>
        <w:t>交通运输主管部门开展应急处置工作；协调相关应急力量接受</w:t>
      </w:r>
      <w:r>
        <w:rPr>
          <w:rFonts w:hint="eastAsia" w:ascii="仿宋" w:hAnsi="仿宋" w:eastAsia="仿宋" w:cs="仿宋"/>
          <w:sz w:val="32"/>
          <w:szCs w:val="32"/>
          <w:u w:val="none"/>
          <w:lang w:val="en-US" w:eastAsia="zh-CN"/>
        </w:rPr>
        <w:t>专项指挥机构</w:t>
      </w:r>
      <w:r>
        <w:rPr>
          <w:rFonts w:hint="eastAsia" w:ascii="仿宋" w:hAnsi="仿宋" w:eastAsia="仿宋" w:cs="仿宋"/>
          <w:sz w:val="32"/>
          <w:szCs w:val="32"/>
          <w:u w:val="none"/>
          <w:lang w:val="zh-CN" w:eastAsia="zh-CN"/>
        </w:rPr>
        <w:t>的统一指挥调度，严格遵守现场管理、信息发布等工作要求；及时报告</w:t>
      </w:r>
      <w:r>
        <w:rPr>
          <w:rFonts w:hint="eastAsia" w:ascii="仿宋" w:hAnsi="仿宋" w:eastAsia="仿宋" w:cs="仿宋"/>
          <w:sz w:val="32"/>
          <w:szCs w:val="32"/>
          <w:u w:val="none"/>
          <w:lang w:val="en-US" w:eastAsia="zh-CN"/>
        </w:rPr>
        <w:t>应急</w:t>
      </w:r>
      <w:r>
        <w:rPr>
          <w:rFonts w:hint="eastAsia" w:ascii="仿宋" w:hAnsi="仿宋" w:eastAsia="仿宋" w:cs="仿宋"/>
          <w:sz w:val="32"/>
          <w:szCs w:val="32"/>
          <w:u w:val="none"/>
          <w:lang w:val="zh-CN" w:eastAsia="zh-CN"/>
        </w:rPr>
        <w:t>处置情况。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zh-CN" w:eastAsia="zh-CN"/>
        </w:rPr>
        <w:t>当上级</w:t>
      </w:r>
      <w:r>
        <w:rPr>
          <w:rFonts w:hint="eastAsia" w:ascii="仿宋" w:hAnsi="仿宋" w:eastAsia="仿宋" w:cs="仿宋"/>
          <w:sz w:val="32"/>
          <w:szCs w:val="32"/>
          <w:u w:val="none"/>
          <w:lang w:val="en-US" w:eastAsia="zh-CN"/>
        </w:rPr>
        <w:t>指挥机构</w:t>
      </w:r>
      <w:r>
        <w:rPr>
          <w:rFonts w:hint="eastAsia" w:ascii="仿宋" w:hAnsi="仿宋" w:eastAsia="仿宋" w:cs="仿宋"/>
          <w:sz w:val="32"/>
          <w:szCs w:val="32"/>
          <w:u w:val="none"/>
          <w:lang w:val="zh-CN" w:eastAsia="zh-CN"/>
        </w:rPr>
        <w:t>在现场时，</w:t>
      </w:r>
      <w:r>
        <w:rPr>
          <w:rFonts w:hint="eastAsia" w:ascii="仿宋" w:hAnsi="仿宋" w:eastAsia="仿宋" w:cs="仿宋"/>
          <w:sz w:val="32"/>
          <w:szCs w:val="32"/>
          <w:u w:val="none"/>
          <w:lang w:val="en-US" w:eastAsia="zh-CN"/>
        </w:rPr>
        <w:t>专项指挥机构</w:t>
      </w:r>
      <w:r>
        <w:rPr>
          <w:rFonts w:hint="eastAsia" w:ascii="仿宋" w:hAnsi="仿宋" w:eastAsia="仿宋" w:cs="仿宋"/>
          <w:sz w:val="32"/>
          <w:szCs w:val="32"/>
          <w:u w:val="none"/>
          <w:lang w:val="zh-CN" w:eastAsia="zh-CN"/>
        </w:rPr>
        <w:t>要与其对接，接受业务指导，并做好相应保障。</w:t>
      </w:r>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lang w:val="en-US" w:eastAsia="zh-CN"/>
        </w:rPr>
      </w:pPr>
      <w:bookmarkStart w:id="54" w:name="_Toc6102"/>
      <w:bookmarkStart w:id="55" w:name="_Toc5047"/>
      <w:r>
        <w:rPr>
          <w:rFonts w:hint="eastAsia" w:ascii="仿宋" w:hAnsi="仿宋" w:eastAsia="仿宋" w:cs="仿宋"/>
          <w:color w:val="000000"/>
          <w:highlight w:val="none"/>
          <w:u w:val="none"/>
          <w:lang w:val="en-US" w:eastAsia="zh-CN"/>
        </w:rPr>
        <w:t>4.5.3  现场协同联动</w:t>
      </w:r>
      <w:bookmarkEnd w:id="54"/>
      <w:bookmarkEnd w:id="55"/>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专项指挥机构应与事发地其他参与应急救援的机构做好协调工作，按照规定的指挥关系和指挥权限指挥。当交通运输行业社会组织参与突发事件应急处置与救援时，应纳入专项指挥机构统一管理、统一调动、统一行动。</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highlight w:val="none"/>
          <w:u w:val="none"/>
          <w:lang w:val="en-US" w:eastAsia="zh-CN"/>
        </w:rPr>
      </w:pPr>
      <w:bookmarkStart w:id="56" w:name="_Toc8303"/>
      <w:bookmarkStart w:id="57" w:name="_Toc24115"/>
      <w:bookmarkStart w:id="58" w:name="_Toc87972552"/>
      <w:r>
        <w:rPr>
          <w:rFonts w:hint="eastAsia" w:ascii="楷体" w:hAnsi="楷体" w:eastAsia="楷体" w:cs="楷体"/>
          <w:sz w:val="32"/>
          <w:szCs w:val="32"/>
          <w:highlight w:val="none"/>
          <w:u w:val="none"/>
          <w:lang w:val="en-US" w:eastAsia="zh-CN"/>
        </w:rPr>
        <w:t>4.6  处置措施</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根据突发事件类型、事件可控性、影响范围及周边环境的敏感性，</w:t>
      </w:r>
      <w:r>
        <w:rPr>
          <w:rFonts w:hint="eastAsia" w:ascii="仿宋" w:hAnsi="仿宋" w:eastAsia="仿宋" w:cs="仿宋"/>
          <w:color w:val="000000"/>
          <w:sz w:val="32"/>
          <w:szCs w:val="32"/>
          <w:u w:val="none"/>
          <w:lang w:val="zh-CN" w:eastAsia="zh-CN"/>
        </w:rPr>
        <w:t>专项指挥机构应</w:t>
      </w:r>
      <w:r>
        <w:rPr>
          <w:rFonts w:hint="eastAsia" w:ascii="仿宋" w:hAnsi="仿宋" w:eastAsia="仿宋" w:cs="仿宋"/>
          <w:color w:val="000000"/>
          <w:sz w:val="32"/>
          <w:szCs w:val="32"/>
          <w:u w:val="none"/>
          <w:lang w:val="en-US" w:eastAsia="zh-CN"/>
        </w:rPr>
        <w:t>指导</w:t>
      </w:r>
      <w:r>
        <w:rPr>
          <w:rFonts w:hint="eastAsia" w:ascii="仿宋" w:hAnsi="仿宋" w:eastAsia="仿宋" w:cs="仿宋"/>
          <w:color w:val="000000"/>
          <w:sz w:val="32"/>
          <w:szCs w:val="32"/>
          <w:u w:val="none"/>
          <w:lang w:val="zh-CN" w:eastAsia="zh-CN"/>
        </w:rPr>
        <w:t>有关事发地交通运输主管部门采取下列一项或者多项应急措施</w:t>
      </w:r>
      <w:r>
        <w:rPr>
          <w:rFonts w:hint="eastAsia" w:ascii="仿宋" w:hAnsi="仿宋"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（1）维护现场秩序，迅速划定现场工作区和交通管制区，并设置警示标志。</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（2）进行现场调查、专家咨询，根据突发事件性质、波及范围、受影响人员分布、应急人力与物力等情况，组织制定科学的现场应急处置方案，并根据事件发展趋势，对方案进行调整优化。</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楷体" w:hAnsi="楷体" w:eastAsia="楷体" w:cs="楷体"/>
          <w:color w:val="000000"/>
          <w:sz w:val="32"/>
          <w:szCs w:val="32"/>
          <w:u w:val="none"/>
          <w:lang w:val="en-US" w:eastAsia="zh-CN"/>
        </w:rPr>
      </w:pPr>
      <w:r>
        <w:rPr>
          <w:rFonts w:hint="eastAsia" w:ascii="仿宋" w:hAnsi="仿宋" w:eastAsia="仿宋" w:cs="仿宋"/>
          <w:color w:val="000000"/>
          <w:sz w:val="32"/>
          <w:szCs w:val="32"/>
          <w:u w:val="none"/>
          <w:lang w:val="en-US" w:eastAsia="zh-CN"/>
        </w:rPr>
        <w:t>（3）指挥协调对受损交通设施加固、抢修、保通，提供绕行线路图，确保交通运输畅通；组织开展应急救援工作，确定事件疏散区域，及时疏散受影响群众，以各种媒介为载体告知单位和个人应采取的安全防护措施。</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sz w:val="32"/>
          <w:szCs w:val="32"/>
          <w:u w:val="none"/>
          <w:lang w:val="en-US" w:eastAsia="zh-CN"/>
        </w:rPr>
      </w:pPr>
      <w:bookmarkStart w:id="59" w:name="_Toc87972553"/>
      <w:bookmarkStart w:id="60" w:name="_Toc9993"/>
      <w:bookmarkStart w:id="61" w:name="_Toc2650"/>
      <w:r>
        <w:rPr>
          <w:rFonts w:hint="eastAsia" w:ascii="楷体" w:hAnsi="楷体" w:eastAsia="楷体" w:cs="楷体"/>
          <w:sz w:val="32"/>
          <w:szCs w:val="32"/>
          <w:u w:val="none"/>
          <w:lang w:val="en-US" w:eastAsia="zh-CN"/>
        </w:rPr>
        <w:t>4.7  信息</w:t>
      </w:r>
      <w:bookmarkEnd w:id="59"/>
      <w:r>
        <w:rPr>
          <w:rFonts w:hint="eastAsia" w:ascii="楷体" w:hAnsi="楷体" w:eastAsia="楷体" w:cs="楷体"/>
          <w:sz w:val="32"/>
          <w:szCs w:val="32"/>
          <w:u w:val="none"/>
          <w:lang w:val="en-US" w:eastAsia="zh-CN"/>
        </w:rPr>
        <w:t>发布与舆论引导</w:t>
      </w:r>
      <w:bookmarkEnd w:id="60"/>
      <w:bookmarkEnd w:id="61"/>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zh-CN" w:eastAsia="zh-CN"/>
        </w:rPr>
      </w:pPr>
      <w:r>
        <w:rPr>
          <w:rFonts w:hint="eastAsia" w:ascii="仿宋" w:hAnsi="仿宋" w:eastAsia="仿宋" w:cs="仿宋"/>
          <w:sz w:val="32"/>
          <w:szCs w:val="32"/>
          <w:u w:val="none"/>
          <w:lang w:val="zh-CN" w:eastAsia="zh-CN"/>
        </w:rPr>
        <w:t>突发事件信息发布工作</w:t>
      </w:r>
      <w:r>
        <w:rPr>
          <w:rFonts w:hint="eastAsia" w:ascii="仿宋" w:hAnsi="仿宋" w:eastAsia="仿宋" w:cs="仿宋"/>
          <w:sz w:val="32"/>
          <w:szCs w:val="32"/>
          <w:u w:val="none"/>
          <w:lang w:val="en-US" w:eastAsia="zh-CN"/>
        </w:rPr>
        <w:t>按照《吉林省交通运输厅新闻发言人制度（试行）》要求</w:t>
      </w:r>
      <w:r>
        <w:rPr>
          <w:rFonts w:hint="eastAsia" w:ascii="仿宋" w:hAnsi="仿宋" w:eastAsia="仿宋" w:cs="仿宋"/>
          <w:sz w:val="32"/>
          <w:szCs w:val="32"/>
          <w:u w:val="none"/>
          <w:lang w:val="zh-CN" w:eastAsia="zh-CN"/>
        </w:rPr>
        <w:t>统一发布，未经</w:t>
      </w:r>
      <w:r>
        <w:rPr>
          <w:rFonts w:hint="eastAsia" w:ascii="仿宋" w:hAnsi="仿宋" w:eastAsia="仿宋" w:cs="仿宋"/>
          <w:sz w:val="32"/>
          <w:szCs w:val="32"/>
          <w:u w:val="none"/>
          <w:lang w:val="en-US" w:eastAsia="zh-CN"/>
        </w:rPr>
        <w:t>省交通运输厅</w:t>
      </w:r>
      <w:r>
        <w:rPr>
          <w:rFonts w:hint="eastAsia" w:ascii="仿宋" w:hAnsi="仿宋" w:eastAsia="仿宋" w:cs="仿宋"/>
          <w:sz w:val="32"/>
          <w:szCs w:val="32"/>
          <w:u w:val="none"/>
          <w:lang w:val="zh-CN" w:eastAsia="zh-CN"/>
        </w:rPr>
        <w:t>批准，参与处置工作的单位和个人不得擅自对外发布事件信息。任何单位和个人不得编造、传播有关突发事件事态发展或应急处置的虚假信息。</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sz w:val="32"/>
          <w:szCs w:val="32"/>
          <w:u w:val="none"/>
          <w:lang w:val="en-US" w:eastAsia="zh-CN"/>
        </w:rPr>
      </w:pPr>
      <w:bookmarkStart w:id="62" w:name="_Toc87972554"/>
      <w:bookmarkStart w:id="63" w:name="_Toc5105"/>
      <w:bookmarkStart w:id="64" w:name="_Toc2320"/>
      <w:r>
        <w:rPr>
          <w:rFonts w:hint="eastAsia" w:ascii="楷体" w:hAnsi="楷体" w:eastAsia="楷体" w:cs="楷体"/>
          <w:sz w:val="32"/>
          <w:szCs w:val="32"/>
          <w:u w:val="none"/>
          <w:lang w:val="en-US" w:eastAsia="zh-CN"/>
        </w:rPr>
        <w:t xml:space="preserve">4.8  </w:t>
      </w:r>
      <w:bookmarkEnd w:id="62"/>
      <w:bookmarkEnd w:id="63"/>
      <w:bookmarkEnd w:id="64"/>
      <w:r>
        <w:rPr>
          <w:rFonts w:hint="eastAsia" w:ascii="楷体" w:hAnsi="楷体" w:eastAsia="楷体" w:cs="楷体"/>
          <w:sz w:val="32"/>
          <w:szCs w:val="32"/>
          <w:u w:val="none"/>
          <w:lang w:val="en-US" w:eastAsia="zh-CN"/>
        </w:rPr>
        <w:t>应急结束</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zh-CN" w:eastAsia="zh-CN"/>
        </w:rPr>
      </w:pPr>
      <w:r>
        <w:rPr>
          <w:rFonts w:hint="eastAsia" w:ascii="仿宋" w:hAnsi="仿宋" w:eastAsia="仿宋" w:cs="仿宋"/>
          <w:sz w:val="32"/>
          <w:szCs w:val="32"/>
          <w:u w:val="none"/>
          <w:lang w:val="zh-CN" w:eastAsia="zh-CN"/>
        </w:rPr>
        <w:t>在救援中发现可能威胁救援人员生命安全或者可能造成次生灾害时，专项指挥机构</w:t>
      </w:r>
      <w:r>
        <w:rPr>
          <w:rFonts w:hint="eastAsia" w:ascii="仿宋" w:hAnsi="仿宋" w:eastAsia="仿宋" w:cs="仿宋"/>
          <w:sz w:val="32"/>
          <w:szCs w:val="32"/>
          <w:u w:val="none"/>
          <w:lang w:val="en-US" w:eastAsia="zh-CN"/>
        </w:rPr>
        <w:t>应</w:t>
      </w:r>
      <w:r>
        <w:rPr>
          <w:rFonts w:hint="eastAsia" w:ascii="仿宋" w:hAnsi="仿宋" w:eastAsia="仿宋" w:cs="仿宋"/>
          <w:sz w:val="32"/>
          <w:szCs w:val="32"/>
          <w:u w:val="none"/>
          <w:lang w:val="zh-CN" w:eastAsia="zh-CN"/>
        </w:rPr>
        <w:t>暂停救援并采取措施消除隐患，在风险化解后继续组织救援。</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color w:val="000000"/>
          <w:highlight w:val="none"/>
          <w:u w:val="none"/>
        </w:rPr>
      </w:pPr>
      <w:r>
        <w:rPr>
          <w:rFonts w:hint="eastAsia" w:ascii="仿宋" w:hAnsi="仿宋" w:eastAsia="仿宋" w:cs="仿宋"/>
          <w:sz w:val="32"/>
          <w:szCs w:val="32"/>
          <w:u w:val="none"/>
          <w:lang w:val="zh-CN" w:eastAsia="zh-CN"/>
        </w:rPr>
        <w:t>在确认突发事件得到有效控制、危害已经消除后（或者暂停救援但不具备恢复救援条件后），</w:t>
      </w:r>
      <w:r>
        <w:rPr>
          <w:rFonts w:hint="eastAsia" w:ascii="仿宋" w:hAnsi="仿宋" w:eastAsia="仿宋" w:cs="仿宋"/>
          <w:sz w:val="32"/>
          <w:szCs w:val="32"/>
          <w:u w:val="none"/>
          <w:lang w:val="en-US" w:eastAsia="zh-CN"/>
        </w:rPr>
        <w:t>由厅应急办会同厅机关相关处室向厅领导提出应急响应结束建议，经厅领导同意后结束应急响应。</w:t>
      </w:r>
    </w:p>
    <w:p>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黑体" w:hAnsi="黑体" w:eastAsia="黑体" w:cs="黑体"/>
          <w:color w:val="000000"/>
          <w:sz w:val="32"/>
          <w:szCs w:val="32"/>
          <w:highlight w:val="none"/>
          <w:u w:val="none"/>
        </w:rPr>
      </w:pPr>
      <w:bookmarkStart w:id="65" w:name="_Toc257820099"/>
      <w:bookmarkEnd w:id="65"/>
      <w:bookmarkStart w:id="66" w:name="_Toc477459721"/>
      <w:bookmarkEnd w:id="66"/>
      <w:bookmarkStart w:id="67" w:name="_Toc257820091"/>
      <w:bookmarkEnd w:id="67"/>
      <w:bookmarkStart w:id="68" w:name="_Toc25967"/>
      <w:bookmarkStart w:id="69" w:name="_Toc20862"/>
      <w:r>
        <w:rPr>
          <w:rFonts w:hint="eastAsia" w:ascii="黑体" w:hAnsi="黑体" w:eastAsia="黑体" w:cs="黑体"/>
          <w:color w:val="000000"/>
          <w:sz w:val="32"/>
          <w:szCs w:val="32"/>
          <w:highlight w:val="none"/>
          <w:u w:val="none"/>
        </w:rPr>
        <w:t>5</w:t>
      </w:r>
      <w:r>
        <w:rPr>
          <w:rFonts w:hint="eastAsia" w:ascii="黑体" w:hAnsi="黑体" w:eastAsia="黑体" w:cs="黑体"/>
          <w:color w:val="000000"/>
          <w:sz w:val="32"/>
          <w:szCs w:val="32"/>
          <w:highlight w:val="none"/>
          <w:u w:val="none"/>
          <w:lang w:val="en-US" w:eastAsia="zh-CN"/>
        </w:rPr>
        <w:t xml:space="preserve">  </w:t>
      </w:r>
      <w:r>
        <w:rPr>
          <w:rFonts w:hint="eastAsia" w:ascii="黑体" w:hAnsi="黑体" w:eastAsia="黑体" w:cs="黑体"/>
          <w:color w:val="000000"/>
          <w:sz w:val="32"/>
          <w:szCs w:val="32"/>
          <w:highlight w:val="none"/>
          <w:u w:val="none"/>
        </w:rPr>
        <w:t>后期处置</w:t>
      </w:r>
      <w:bookmarkEnd w:id="68"/>
      <w:bookmarkEnd w:id="69"/>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color w:val="000000"/>
          <w:sz w:val="32"/>
          <w:szCs w:val="32"/>
          <w:u w:val="none"/>
          <w:lang w:val="en-US" w:eastAsia="zh-CN"/>
        </w:rPr>
      </w:pPr>
      <w:bookmarkStart w:id="70" w:name="_Toc223854794"/>
      <w:bookmarkEnd w:id="70"/>
      <w:bookmarkStart w:id="71" w:name="_Toc257820100"/>
      <w:bookmarkEnd w:id="71"/>
      <w:bookmarkStart w:id="72" w:name="_Toc477459725"/>
      <w:bookmarkEnd w:id="72"/>
      <w:bookmarkStart w:id="73" w:name="_Toc7429"/>
      <w:bookmarkStart w:id="74" w:name="_Toc31926"/>
      <w:r>
        <w:rPr>
          <w:rFonts w:hint="eastAsia" w:ascii="楷体" w:hAnsi="楷体" w:eastAsia="楷体" w:cs="楷体"/>
          <w:color w:val="000000"/>
          <w:sz w:val="32"/>
          <w:szCs w:val="32"/>
          <w:u w:val="none"/>
          <w:lang w:val="en-US" w:eastAsia="zh-CN"/>
        </w:rPr>
        <w:t xml:space="preserve">5.1  </w:t>
      </w:r>
      <w:bookmarkEnd w:id="73"/>
      <w:bookmarkEnd w:id="74"/>
      <w:r>
        <w:rPr>
          <w:rFonts w:hint="eastAsia" w:ascii="楷体" w:hAnsi="楷体" w:eastAsia="楷体" w:cs="楷体"/>
          <w:color w:val="000000"/>
          <w:sz w:val="32"/>
          <w:szCs w:val="32"/>
          <w:u w:val="none"/>
          <w:lang w:val="en-US" w:eastAsia="zh-CN"/>
        </w:rPr>
        <w:t>补偿与抚恤</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交通运输突发事件应急工作结束后，按照“谁使用、谁负责，谁征用、谁补偿”的原则对应急处置期间紧急调集、征用有关单位、企业、个人的物资和劳务进行合理评估，给予补偿。对因参与应急处置工作致病、致残、死亡的人员，按照国家有关规定，给予相应的补助和抚恤。</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75" w:name="_Toc257820102"/>
      <w:bookmarkEnd w:id="75"/>
      <w:bookmarkStart w:id="76" w:name="_Toc257820101"/>
      <w:bookmarkEnd w:id="76"/>
      <w:bookmarkStart w:id="77" w:name="_Toc257820103"/>
      <w:bookmarkEnd w:id="77"/>
      <w:bookmarkStart w:id="78" w:name="_Toc14682"/>
      <w:bookmarkStart w:id="79" w:name="_Toc2760"/>
      <w:r>
        <w:rPr>
          <w:rFonts w:hint="eastAsia" w:ascii="楷体" w:hAnsi="楷体" w:eastAsia="楷体" w:cs="楷体"/>
          <w:sz w:val="32"/>
          <w:szCs w:val="32"/>
          <w:u w:val="none"/>
          <w:lang w:val="en-US" w:eastAsia="zh-CN"/>
        </w:rPr>
        <w:t>5.2  恢复与重建</w:t>
      </w:r>
      <w:bookmarkEnd w:id="78"/>
      <w:bookmarkEnd w:id="79"/>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因突发事件严重受损的交通基础设施，恢复重建工作</w:t>
      </w:r>
      <w:r>
        <w:rPr>
          <w:rFonts w:hint="eastAsia" w:ascii="仿宋_GB2312" w:hAnsi="仿宋_GB2312" w:eastAsia="仿宋_GB2312" w:cs="仿宋_GB2312"/>
          <w:i w:val="0"/>
          <w:iCs w:val="0"/>
          <w:color w:val="auto"/>
          <w:sz w:val="32"/>
          <w:szCs w:val="32"/>
          <w:u w:val="none"/>
          <w:lang w:val="en-US" w:eastAsia="zh-CN"/>
        </w:rPr>
        <w:t>由交通运输主管部门、公路经营管理单位负责。</w:t>
      </w:r>
      <w:r>
        <w:rPr>
          <w:rFonts w:hint="eastAsia" w:ascii="仿宋" w:hAnsi="仿宋" w:eastAsia="仿宋" w:cs="仿宋"/>
          <w:i w:val="0"/>
          <w:iCs w:val="0"/>
          <w:color w:val="000000"/>
          <w:sz w:val="32"/>
          <w:szCs w:val="32"/>
          <w:u w:val="none"/>
          <w:lang w:val="en-US" w:eastAsia="zh-CN"/>
        </w:rPr>
        <w:t>需要省交通运输厅支持的，由事发地交通运输主管部门提出请求，省交通运输厅机关相关处室对恢复与重建方案提出建议和意见，经批准后组织实施。</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80" w:name="_Toc10331"/>
      <w:bookmarkStart w:id="81" w:name="_Toc6665"/>
      <w:r>
        <w:rPr>
          <w:rFonts w:hint="eastAsia" w:ascii="楷体" w:hAnsi="楷体" w:eastAsia="楷体" w:cs="楷体"/>
          <w:sz w:val="32"/>
          <w:szCs w:val="32"/>
          <w:u w:val="none"/>
          <w:lang w:val="en-US" w:eastAsia="zh-CN"/>
        </w:rPr>
        <w:t>5.3  评估</w:t>
      </w:r>
      <w:bookmarkEnd w:id="80"/>
      <w:bookmarkEnd w:id="81"/>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u w:val="none"/>
          <w:lang w:val="en-US" w:eastAsia="zh-CN"/>
        </w:rPr>
      </w:pPr>
      <w:r>
        <w:rPr>
          <w:rFonts w:hint="eastAsia" w:ascii="仿宋" w:hAnsi="仿宋" w:eastAsia="仿宋" w:cs="仿宋"/>
          <w:sz w:val="32"/>
          <w:szCs w:val="32"/>
          <w:u w:val="none"/>
          <w:lang w:val="en-US" w:eastAsia="zh-CN"/>
        </w:rPr>
        <w:t>厅应急办会同厅机关相关处室对突发事件的处置情况进行评估，评估内容主要包括事件概况、现场调查处置概况、病人救治情况、所采取措施的效果评估、应急处置过程中取得的经验和存在的问题及改进建议。</w:t>
      </w:r>
      <w:bookmarkStart w:id="82" w:name="_Toc477459727"/>
      <w:bookmarkEnd w:id="82"/>
      <w:bookmarkStart w:id="83" w:name="_Toc257820106"/>
      <w:bookmarkEnd w:id="83"/>
      <w:bookmarkStart w:id="84" w:name="_Toc223854796"/>
      <w:bookmarkEnd w:id="84"/>
      <w:bookmarkStart w:id="85" w:name="_Toc257820107"/>
      <w:bookmarkEnd w:id="85"/>
      <w:bookmarkStart w:id="86" w:name="_Toc257820105"/>
      <w:bookmarkEnd w:id="86"/>
    </w:p>
    <w:p>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default" w:ascii="黑体" w:hAnsi="黑体" w:eastAsia="黑体" w:cs="黑体"/>
          <w:color w:val="000000"/>
          <w:sz w:val="32"/>
          <w:szCs w:val="32"/>
          <w:highlight w:val="none"/>
          <w:u w:val="none"/>
          <w:lang w:val="en-US"/>
        </w:rPr>
      </w:pPr>
      <w:bookmarkStart w:id="87" w:name="_Toc257820108"/>
      <w:bookmarkEnd w:id="87"/>
      <w:bookmarkStart w:id="88" w:name="_Toc257820109"/>
      <w:bookmarkEnd w:id="88"/>
      <w:bookmarkStart w:id="89" w:name="_Toc477459729"/>
      <w:bookmarkEnd w:id="89"/>
      <w:bookmarkStart w:id="90" w:name="_Toc502670873"/>
      <w:bookmarkEnd w:id="90"/>
      <w:bookmarkStart w:id="91" w:name="_Toc257820123"/>
      <w:bookmarkEnd w:id="91"/>
      <w:bookmarkStart w:id="92" w:name="_Toc257820104"/>
      <w:bookmarkEnd w:id="92"/>
      <w:bookmarkStart w:id="93" w:name="_Toc477459728"/>
      <w:bookmarkEnd w:id="93"/>
      <w:bookmarkStart w:id="94" w:name="_Toc223854795"/>
      <w:bookmarkEnd w:id="94"/>
      <w:bookmarkStart w:id="95" w:name="_Toc477459726"/>
      <w:bookmarkEnd w:id="95"/>
      <w:bookmarkStart w:id="96" w:name="_Toc501027815"/>
      <w:bookmarkEnd w:id="96"/>
      <w:bookmarkStart w:id="97" w:name="_Toc10745"/>
      <w:bookmarkStart w:id="98" w:name="_Toc21185"/>
      <w:r>
        <w:rPr>
          <w:rFonts w:hint="eastAsia" w:ascii="黑体" w:hAnsi="黑体" w:eastAsia="黑体" w:cs="黑体"/>
          <w:color w:val="000000"/>
          <w:sz w:val="32"/>
          <w:szCs w:val="32"/>
          <w:highlight w:val="none"/>
          <w:u w:val="none"/>
        </w:rPr>
        <w:t>6</w:t>
      </w:r>
      <w:r>
        <w:rPr>
          <w:rFonts w:hint="eastAsia" w:ascii="黑体" w:hAnsi="黑体" w:eastAsia="黑体" w:cs="黑体"/>
          <w:color w:val="000000"/>
          <w:sz w:val="32"/>
          <w:szCs w:val="32"/>
          <w:highlight w:val="none"/>
          <w:u w:val="none"/>
          <w:lang w:val="en-US" w:eastAsia="zh-CN"/>
        </w:rPr>
        <w:t xml:space="preserve">  支持与保障</w:t>
      </w:r>
      <w:bookmarkEnd w:id="97"/>
      <w:bookmarkEnd w:id="98"/>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99" w:name="_Toc217937006"/>
      <w:bookmarkEnd w:id="99"/>
      <w:bookmarkStart w:id="100" w:name="_Toc257820110"/>
      <w:bookmarkEnd w:id="100"/>
      <w:bookmarkStart w:id="101" w:name="_Toc477459730"/>
      <w:bookmarkEnd w:id="101"/>
      <w:bookmarkStart w:id="102" w:name="_Toc193440936"/>
      <w:bookmarkEnd w:id="102"/>
      <w:bookmarkStart w:id="103" w:name="_Toc193855927"/>
      <w:bookmarkEnd w:id="103"/>
      <w:bookmarkStart w:id="104" w:name="_Toc24266"/>
      <w:bookmarkStart w:id="105" w:name="_Toc11148"/>
      <w:r>
        <w:rPr>
          <w:rFonts w:hint="eastAsia" w:ascii="楷体" w:hAnsi="楷体" w:eastAsia="楷体" w:cs="楷体"/>
          <w:sz w:val="32"/>
          <w:szCs w:val="32"/>
          <w:u w:val="none"/>
          <w:lang w:val="en-US" w:eastAsia="zh-CN"/>
        </w:rPr>
        <w:t>6.1  应急队伍</w:t>
      </w:r>
      <w:bookmarkEnd w:id="104"/>
      <w:bookmarkEnd w:id="105"/>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省交通运输厅指导各级交通运输主管部门建立健全专（兼）职应急救援队伍，完善专（兼）职应急救援队伍的管理机制，并加强对专（兼）职应急救援人员的专业技能教育培训</w:t>
      </w:r>
      <w:bookmarkStart w:id="106" w:name="_Toc257820111"/>
      <w:bookmarkEnd w:id="106"/>
      <w:r>
        <w:rPr>
          <w:rFonts w:hint="eastAsia" w:ascii="仿宋" w:hAnsi="仿宋" w:eastAsia="仿宋" w:cs="仿宋"/>
          <w:sz w:val="32"/>
          <w:szCs w:val="32"/>
          <w:u w:val="none"/>
          <w:lang w:val="en-US" w:eastAsia="zh-CN"/>
        </w:rPr>
        <w:t>，积极构建专业化、区域化的应急救援力量，形成一支职责明确、保障有力、设备齐全、人员专业的交通运输应急救援队伍。</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07" w:name="_Toc257820115"/>
      <w:bookmarkEnd w:id="107"/>
      <w:bookmarkStart w:id="108" w:name="_Toc193440940"/>
      <w:bookmarkEnd w:id="108"/>
      <w:bookmarkStart w:id="109" w:name="_Toc477459731"/>
      <w:bookmarkEnd w:id="109"/>
      <w:bookmarkStart w:id="110" w:name="_Toc257820114"/>
      <w:bookmarkEnd w:id="110"/>
      <w:bookmarkStart w:id="111" w:name="_Toc217937011"/>
      <w:bookmarkEnd w:id="111"/>
      <w:bookmarkStart w:id="112" w:name="_Toc193855932"/>
      <w:bookmarkEnd w:id="112"/>
      <w:bookmarkStart w:id="113" w:name="_Toc217937009"/>
      <w:bookmarkEnd w:id="113"/>
      <w:bookmarkStart w:id="114" w:name="_Toc193440941"/>
      <w:bookmarkEnd w:id="114"/>
      <w:bookmarkStart w:id="115" w:name="_6.1.4地级以上交通运输局（委）联动协调"/>
      <w:bookmarkEnd w:id="115"/>
      <w:bookmarkStart w:id="116" w:name="_Toc193855930"/>
      <w:bookmarkEnd w:id="116"/>
      <w:bookmarkStart w:id="117" w:name="_Toc257820113"/>
      <w:bookmarkEnd w:id="117"/>
      <w:bookmarkStart w:id="118" w:name="_Toc5399"/>
      <w:bookmarkStart w:id="119" w:name="_Toc21420"/>
      <w:r>
        <w:rPr>
          <w:rFonts w:hint="eastAsia" w:ascii="楷体" w:hAnsi="楷体" w:eastAsia="楷体" w:cs="楷体"/>
          <w:sz w:val="32"/>
          <w:szCs w:val="32"/>
          <w:u w:val="none"/>
          <w:lang w:val="en-US" w:eastAsia="zh-CN"/>
        </w:rPr>
        <w:t>6.2  应急物资</w:t>
      </w:r>
      <w:bookmarkEnd w:id="118"/>
      <w:bookmarkEnd w:id="119"/>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省交通运输厅依托吉林省公路交通应急保障中心，以“系统观念、平急结合、覆盖广泛、集约高效”为原则，建立国家区域性和省级公路交通应急装备物资储备库。全省交通运输行业有关单位要建立应急物资装备信息数据库，明确物资装备的类型、数量、性能和存放位置，建立相应的维护、保养和调用制度，确保事发时能够应急使用。</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20" w:name="_Toc193440943"/>
      <w:bookmarkEnd w:id="120"/>
      <w:bookmarkStart w:id="121" w:name="_Toc217937013"/>
      <w:bookmarkEnd w:id="121"/>
      <w:bookmarkStart w:id="122" w:name="_Toc217937016"/>
      <w:bookmarkEnd w:id="122"/>
      <w:bookmarkStart w:id="123" w:name="_Toc257820118"/>
      <w:bookmarkEnd w:id="123"/>
      <w:bookmarkStart w:id="124" w:name="_Toc193855937"/>
      <w:bookmarkEnd w:id="124"/>
      <w:bookmarkStart w:id="125" w:name="_Toc477459732"/>
      <w:bookmarkEnd w:id="125"/>
      <w:bookmarkStart w:id="126" w:name="_Toc193440944"/>
      <w:bookmarkEnd w:id="126"/>
      <w:bookmarkStart w:id="127" w:name="_Toc193855934"/>
      <w:bookmarkEnd w:id="127"/>
      <w:bookmarkStart w:id="128" w:name="_Toc193440942"/>
      <w:bookmarkEnd w:id="128"/>
      <w:bookmarkStart w:id="129" w:name="_Toc257820119"/>
      <w:bookmarkEnd w:id="129"/>
      <w:bookmarkStart w:id="130" w:name="_Toc193855933"/>
      <w:bookmarkEnd w:id="130"/>
      <w:bookmarkStart w:id="131" w:name="_Toc217937012"/>
      <w:bookmarkEnd w:id="131"/>
      <w:bookmarkStart w:id="132" w:name="_Toc193855935"/>
      <w:bookmarkEnd w:id="132"/>
      <w:bookmarkStart w:id="133" w:name="_Toc257820116"/>
      <w:bookmarkEnd w:id="133"/>
      <w:bookmarkStart w:id="134" w:name="_Toc257820117"/>
      <w:bookmarkEnd w:id="134"/>
      <w:bookmarkStart w:id="135" w:name="_Toc217937014"/>
      <w:bookmarkEnd w:id="135"/>
      <w:bookmarkStart w:id="136" w:name="_Toc193440946"/>
      <w:bookmarkEnd w:id="136"/>
      <w:bookmarkStart w:id="137" w:name="_Toc31709"/>
      <w:bookmarkStart w:id="138" w:name="_Toc25401"/>
      <w:r>
        <w:rPr>
          <w:rFonts w:hint="eastAsia" w:ascii="楷体" w:hAnsi="楷体" w:eastAsia="楷体" w:cs="楷体"/>
          <w:sz w:val="32"/>
          <w:szCs w:val="32"/>
          <w:u w:val="none"/>
          <w:lang w:val="en-US" w:eastAsia="zh-CN"/>
        </w:rPr>
        <w:t>6.3  应急通信与信息</w:t>
      </w:r>
      <w:bookmarkEnd w:id="137"/>
      <w:bookmarkEnd w:id="138"/>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省交通运输厅要充分整合现有交通运输平台信息资源，建立和完善“统一管理、多网联动、快速响应、处理有效”的交通运输应急平台体系。</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39" w:name="_Toc477459733"/>
      <w:bookmarkEnd w:id="139"/>
      <w:bookmarkStart w:id="140" w:name="_Toc32379"/>
      <w:bookmarkStart w:id="141" w:name="_Toc21176"/>
      <w:r>
        <w:rPr>
          <w:rFonts w:hint="eastAsia" w:ascii="楷体" w:hAnsi="楷体" w:eastAsia="楷体" w:cs="楷体"/>
          <w:sz w:val="32"/>
          <w:szCs w:val="32"/>
          <w:u w:val="none"/>
          <w:lang w:val="en-US" w:eastAsia="zh-CN"/>
        </w:rPr>
        <w:t>6.4  技术支撑</w:t>
      </w:r>
      <w:bookmarkEnd w:id="140"/>
      <w:bookmarkEnd w:id="141"/>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rPr>
      </w:pPr>
      <w:bookmarkStart w:id="142" w:name="_Toc217937022"/>
      <w:bookmarkEnd w:id="142"/>
      <w:bookmarkStart w:id="143" w:name="_Toc193855943"/>
      <w:bookmarkEnd w:id="143"/>
      <w:bookmarkStart w:id="144" w:name="_Toc257820121"/>
      <w:bookmarkEnd w:id="144"/>
      <w:bookmarkStart w:id="145" w:name="_Toc29716"/>
      <w:bookmarkStart w:id="146" w:name="_Toc27109"/>
      <w:r>
        <w:rPr>
          <w:rFonts w:hint="eastAsia" w:ascii="仿宋" w:hAnsi="仿宋" w:eastAsia="仿宋" w:cs="仿宋"/>
          <w:color w:val="000000"/>
          <w:highlight w:val="none"/>
          <w:u w:val="none"/>
        </w:rPr>
        <w:t>6.4.1</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u w:val="none"/>
        </w:rPr>
        <w:t>科技支撑</w:t>
      </w:r>
      <w:bookmarkEnd w:id="145"/>
      <w:bookmarkEnd w:id="146"/>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省交通运输厅应依托科研机构，加强交通运输行业的应急技术支撑体系研究，建立应急管理技术的开发体系和储备机制；借鉴国际、国内先进经验，重点加强公路、桥梁、隧道等安全防范与应急处置研究、应急抢险技术装备的应用工作。</w:t>
      </w:r>
    </w:p>
    <w:p>
      <w:pPr>
        <w:pStyle w:val="7"/>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仿宋" w:hAnsi="仿宋" w:eastAsia="仿宋" w:cs="仿宋"/>
          <w:color w:val="000000"/>
          <w:highlight w:val="none"/>
          <w:u w:val="none"/>
        </w:rPr>
      </w:pPr>
      <w:bookmarkStart w:id="147" w:name="_Toc193855944"/>
      <w:bookmarkEnd w:id="147"/>
      <w:bookmarkStart w:id="148" w:name="_Toc217937023"/>
      <w:bookmarkEnd w:id="148"/>
      <w:bookmarkStart w:id="149" w:name="_Toc2019"/>
      <w:bookmarkStart w:id="150" w:name="_Toc24385"/>
      <w:r>
        <w:rPr>
          <w:rFonts w:hint="eastAsia" w:ascii="仿宋" w:hAnsi="仿宋" w:eastAsia="仿宋" w:cs="仿宋"/>
          <w:color w:val="000000"/>
          <w:highlight w:val="none"/>
          <w:u w:val="none"/>
        </w:rPr>
        <w:t>6.4.2</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u w:val="none"/>
        </w:rPr>
        <w:t>应急数据库</w:t>
      </w:r>
      <w:bookmarkEnd w:id="149"/>
      <w:bookmarkEnd w:id="150"/>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省交通运输厅应建立应急咨询专家、知识储备、应急预案、应急物资等应急资源数据库。</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51" w:name="_Toc19152"/>
      <w:bookmarkStart w:id="152" w:name="_Toc26554"/>
      <w:r>
        <w:rPr>
          <w:rFonts w:hint="eastAsia" w:ascii="楷体" w:hAnsi="楷体" w:eastAsia="楷体" w:cs="楷体"/>
          <w:sz w:val="32"/>
          <w:szCs w:val="32"/>
          <w:u w:val="none"/>
          <w:lang w:val="en-US" w:eastAsia="zh-CN"/>
        </w:rPr>
        <w:t>6.5  资金保障</w:t>
      </w:r>
      <w:bookmarkEnd w:id="151"/>
      <w:bookmarkEnd w:id="152"/>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突发事件应急管理工作所需的资金主要包括：应急人员培训、应急演练、应急装备购置、应急补偿等费用。各级交通运输主管部门、交通运输企业每年要安排应急管理工作专项经费，用于购置、完善、更新应急装备设施和应急处置工作，确保应急管理工作的高效开展。</w:t>
      </w:r>
    </w:p>
    <w:p>
      <w:pPr>
        <w:pStyle w:val="5"/>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黑体" w:hAnsi="黑体" w:eastAsia="黑体" w:cs="黑体"/>
          <w:color w:val="000000"/>
          <w:sz w:val="32"/>
          <w:szCs w:val="32"/>
          <w:highlight w:val="none"/>
          <w:u w:val="none"/>
        </w:rPr>
      </w:pPr>
      <w:bookmarkStart w:id="153" w:name="_Toc3564"/>
      <w:bookmarkStart w:id="154" w:name="_Toc11673"/>
      <w:r>
        <w:rPr>
          <w:rFonts w:hint="eastAsia" w:ascii="黑体" w:hAnsi="黑体" w:eastAsia="黑体" w:cs="黑体"/>
          <w:color w:val="000000"/>
          <w:sz w:val="32"/>
          <w:szCs w:val="32"/>
          <w:highlight w:val="none"/>
          <w:u w:val="none"/>
          <w:lang w:val="en-US" w:eastAsia="zh-CN"/>
        </w:rPr>
        <w:t>7  预案</w:t>
      </w:r>
      <w:r>
        <w:rPr>
          <w:rFonts w:hint="eastAsia" w:ascii="黑体" w:hAnsi="黑体" w:eastAsia="黑体" w:cs="黑体"/>
          <w:color w:val="000000"/>
          <w:sz w:val="32"/>
          <w:szCs w:val="32"/>
          <w:highlight w:val="none"/>
          <w:u w:val="none"/>
        </w:rPr>
        <w:t>管理</w:t>
      </w:r>
      <w:bookmarkEnd w:id="153"/>
      <w:bookmarkEnd w:id="154"/>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应急预案管理遵循统筹推进、分类指导、分级负责、动态管理的原则，主要包括应急预案的编制、发布、备案、衔接、演练、评估、修订等工作。</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仿宋" w:hAnsi="仿宋" w:eastAsia="仿宋" w:cs="仿宋"/>
          <w:color w:val="000000"/>
          <w:sz w:val="32"/>
          <w:szCs w:val="32"/>
          <w:u w:val="none"/>
          <w:lang w:val="en-US" w:eastAsia="zh-CN"/>
        </w:rPr>
      </w:pPr>
      <w:bookmarkStart w:id="155" w:name="_Toc17985"/>
      <w:bookmarkStart w:id="156" w:name="_Toc14639"/>
      <w:r>
        <w:rPr>
          <w:rFonts w:hint="eastAsia" w:ascii="楷体" w:hAnsi="楷体" w:eastAsia="楷体" w:cs="楷体"/>
          <w:color w:val="000000"/>
          <w:sz w:val="32"/>
          <w:szCs w:val="32"/>
          <w:u w:val="none"/>
          <w:lang w:val="en-US" w:eastAsia="zh-CN"/>
        </w:rPr>
        <w:t>7.1  预案编制</w:t>
      </w:r>
      <w:bookmarkEnd w:id="155"/>
      <w:bookmarkEnd w:id="156"/>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各级交通运输主管部门应根据本行政区内交通运输突发事件历史情况和重大风险，以及上级预案和本级政府专项预案涉及交通运输的要求，分别制定本部门牵头编制的本级政府专项预案、本部门预案（可包括操作手册、工作方案等支撑性文件）的制修订计划。</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编制修订应急预案应当在突发事件风险评估、应急资源调查和案例分析的基础上进行，以确保应急预案的科学性、针对性、可操作性。鼓励在预案印发前以情景构建的方式模拟突发事件场景开展演练，检验应急预案各项措施有效性。</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应急预案编制过程中应广泛听取有关部门、单位和专家意见。涉及其他单位职责的，应书面征求相关单位意见，必要时向社会公开征求意见。</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sz w:val="32"/>
          <w:szCs w:val="32"/>
          <w:u w:val="none"/>
          <w:lang w:val="en-US" w:eastAsia="zh-CN"/>
        </w:rPr>
      </w:pPr>
      <w:bookmarkStart w:id="157" w:name="_Toc11822"/>
      <w:bookmarkStart w:id="158" w:name="_Toc2005"/>
      <w:r>
        <w:rPr>
          <w:rFonts w:hint="eastAsia" w:ascii="楷体" w:hAnsi="楷体" w:eastAsia="楷体" w:cs="楷体"/>
          <w:sz w:val="32"/>
          <w:szCs w:val="32"/>
          <w:u w:val="none"/>
          <w:lang w:val="en-US" w:eastAsia="zh-CN"/>
        </w:rPr>
        <w:t>7.2  预案备案与衔接</w:t>
      </w:r>
      <w:bookmarkEnd w:id="157"/>
      <w:bookmarkEnd w:id="158"/>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各级交通运输主管部门编制部门应急预案时，应及时与本级应急管理部门沟通，按程序送请本级应急管理部门协调衔接后，经主要负责人批准印发实施，报本级政府备案，抄送本级应急管理部门和上一级交通运输主管部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交通运输行业企事业单位应急预案要经基层组织或本单位主要负责人签发，并按照有关法律、法规要求向有关部门备案。</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59" w:name="_Toc20143"/>
      <w:bookmarkStart w:id="160" w:name="_Toc24582"/>
      <w:r>
        <w:rPr>
          <w:rFonts w:hint="eastAsia" w:ascii="楷体" w:hAnsi="楷体" w:eastAsia="楷体" w:cs="楷体"/>
          <w:sz w:val="32"/>
          <w:szCs w:val="32"/>
          <w:u w:val="none"/>
          <w:lang w:val="en-US" w:eastAsia="zh-CN"/>
        </w:rPr>
        <w:t>7.3  预案演练</w:t>
      </w:r>
      <w:bookmarkEnd w:id="159"/>
      <w:bookmarkEnd w:id="160"/>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各级应急预案编制单位应当建立应急演练制度，根据实际情况采取实战演练、桌面演练等方式，组织开展广泛参与、处置联动性强、形式多样、节约高效的应急演练。省级专项应急预案、部门应急预案每3年至少进行一次应急演练。法律、法规和国家另有规定的，从其规定。如预案发生重大调整，需及时按照新的预案开展演练。厅应急办负责预案演练的监督、检查、指导。</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专项应急预案责任部门要主动组织演练，相关部门和单位要积极配合参与。</w:t>
      </w:r>
    </w:p>
    <w:p>
      <w:pPr>
        <w:pStyle w:val="6"/>
        <w:pageBreakBefore w:val="0"/>
        <w:widowControl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61" w:name="_Toc23173"/>
      <w:bookmarkStart w:id="162" w:name="_Toc10935"/>
      <w:r>
        <w:rPr>
          <w:rFonts w:hint="eastAsia" w:ascii="楷体" w:hAnsi="楷体" w:eastAsia="楷体" w:cs="楷体"/>
          <w:sz w:val="32"/>
          <w:szCs w:val="32"/>
          <w:u w:val="none"/>
          <w:lang w:val="en-US" w:eastAsia="zh-CN"/>
        </w:rPr>
        <w:t>7.4  预案评估与修订</w:t>
      </w:r>
      <w:bookmarkEnd w:id="161"/>
      <w:bookmarkEnd w:id="162"/>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应急预案编制单位应当建立定期评估制度，分析评价预案内容的科学性、针对性和可操作性，实现应急预案的动态优化和科学规范管理。</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有下列情形之一的，应当及时修订应急预案:</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（3）面临的风险发生重大变化的；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（4）应急队伍、物资、装备等重要应急资源发生重大变化的；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（5）预案中的其他重要信息发生变化的；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各级交通运输主管部门、企事业单位、社会团体、公民等，可以向预案编制单位提出修订建议。</w:t>
      </w:r>
    </w:p>
    <w:p>
      <w:pPr>
        <w:pStyle w:val="5"/>
        <w:pageBreakBefore w:val="0"/>
        <w:kinsoku/>
        <w:wordWrap/>
        <w:overflowPunct/>
        <w:topLinePunct w:val="0"/>
        <w:autoSpaceDE/>
        <w:autoSpaceDN/>
        <w:bidi w:val="0"/>
        <w:adjustRightInd/>
        <w:snapToGrid/>
        <w:spacing w:before="0" w:beforeLines="0" w:beforeAutospacing="0" w:after="0" w:afterLines="0" w:afterAutospacing="0" w:line="579" w:lineRule="exact"/>
        <w:ind w:leftChars="0" w:firstLine="643" w:firstLineChars="200"/>
        <w:textAlignment w:val="auto"/>
        <w:rPr>
          <w:rFonts w:hint="eastAsia" w:ascii="黑体" w:hAnsi="黑体" w:eastAsia="黑体" w:cs="黑体"/>
          <w:color w:val="000000"/>
          <w:sz w:val="32"/>
          <w:szCs w:val="32"/>
          <w:highlight w:val="none"/>
          <w:u w:val="none"/>
        </w:rPr>
      </w:pPr>
      <w:bookmarkStart w:id="163" w:name="_Toc19561"/>
      <w:bookmarkStart w:id="164" w:name="_Toc12744"/>
      <w:r>
        <w:rPr>
          <w:rFonts w:hint="eastAsia" w:ascii="黑体" w:hAnsi="黑体" w:eastAsia="黑体" w:cs="黑体"/>
          <w:color w:val="000000"/>
          <w:sz w:val="32"/>
          <w:szCs w:val="32"/>
          <w:highlight w:val="none"/>
          <w:u w:val="none"/>
          <w:lang w:val="en-US" w:eastAsia="zh-CN"/>
        </w:rPr>
        <w:t xml:space="preserve">8  </w:t>
      </w:r>
      <w:r>
        <w:rPr>
          <w:rFonts w:hint="eastAsia" w:ascii="黑体" w:hAnsi="黑体" w:eastAsia="黑体" w:cs="黑体"/>
          <w:color w:val="000000"/>
          <w:sz w:val="32"/>
          <w:szCs w:val="32"/>
          <w:highlight w:val="none"/>
          <w:u w:val="none"/>
        </w:rPr>
        <w:t>附则</w:t>
      </w:r>
      <w:bookmarkEnd w:id="163"/>
      <w:bookmarkEnd w:id="164"/>
    </w:p>
    <w:p>
      <w:pPr>
        <w:pStyle w:val="6"/>
        <w:pageBreakBefore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sz w:val="32"/>
          <w:szCs w:val="32"/>
          <w:highlight w:val="none"/>
          <w:u w:val="none"/>
          <w:lang w:val="en-US" w:eastAsia="zh-CN"/>
        </w:rPr>
      </w:pPr>
      <w:bookmarkStart w:id="165" w:name="_Toc24121"/>
      <w:bookmarkStart w:id="166" w:name="_Toc1109"/>
      <w:r>
        <w:rPr>
          <w:rFonts w:hint="eastAsia" w:ascii="楷体" w:hAnsi="楷体" w:eastAsia="楷体" w:cs="楷体"/>
          <w:sz w:val="32"/>
          <w:szCs w:val="32"/>
          <w:highlight w:val="none"/>
          <w:u w:val="none"/>
          <w:lang w:val="en-US" w:eastAsia="zh-CN"/>
        </w:rPr>
        <w:t>8.1  宣传与培训</w:t>
      </w:r>
      <w:bookmarkEnd w:id="165"/>
      <w:bookmarkEnd w:id="166"/>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加强公益宣传，普及安全知识，培育安全文化。各级交通运输主管部门通过交通运输工具、场站设施、图书、报刊、音像制品等载体进行广泛宣传应急法律、法规和预防、避险、自救、互救、减灾等常识，增强公众的忧患意识、社会责任意识、公共安全和风险防范意识，提高全社会的避险能力和自救互救能力。</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各级交通运输主管部门要建立健全突发事件应急管理培训制度，针对本地区特点定期开展突发事件应急预案的宣传和教育培训工作。利用媒体开展突发事件预防与应急、自救与互救知识的公益宣传。企事业单位应当定期开展应急管理法律法规、安全管理制度、应急预案、安全操作规程以及应急知识等方面的教育与培训。</w:t>
      </w:r>
    </w:p>
    <w:p>
      <w:pPr>
        <w:pStyle w:val="6"/>
        <w:pageBreakBefore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67" w:name="_Toc15168"/>
      <w:bookmarkStart w:id="168" w:name="_Toc15840"/>
      <w:r>
        <w:rPr>
          <w:rFonts w:hint="eastAsia" w:ascii="楷体" w:hAnsi="楷体" w:eastAsia="楷体" w:cs="楷体"/>
          <w:sz w:val="32"/>
          <w:szCs w:val="32"/>
          <w:u w:val="none"/>
          <w:lang w:val="en-US" w:eastAsia="zh-CN"/>
        </w:rPr>
        <w:t>8.2  责任与奖惩</w:t>
      </w:r>
      <w:bookmarkEnd w:id="167"/>
      <w:bookmarkEnd w:id="168"/>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应急响应终止后，各级交通运输主管部门应对在应急过程中做出贡献的先进集体和个人进行通报表扬。</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根据有关规定，各级交通运输管理部门应建立健全应急管理工作领导负责制和责任追究制，将突发事件应对工作纳入各级交通运输主管部门绩效考核。</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对迟报、谎报、瞒报和漏报突发事件重要情况，应急处置不力，或者应急管理工作中有其他失职、渎职行为的，依照有关规定给予处分；构成犯罪的，依法追究刑事责任。</w:t>
      </w:r>
    </w:p>
    <w:p>
      <w:pPr>
        <w:pStyle w:val="6"/>
        <w:pageBreakBefore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eastAsia" w:ascii="楷体" w:hAnsi="楷体" w:eastAsia="楷体" w:cs="楷体"/>
          <w:sz w:val="32"/>
          <w:szCs w:val="32"/>
          <w:u w:val="none"/>
          <w:lang w:val="en-US" w:eastAsia="zh-CN"/>
        </w:rPr>
      </w:pPr>
      <w:bookmarkStart w:id="169" w:name="_Toc1113"/>
      <w:bookmarkStart w:id="170" w:name="_Toc20981"/>
      <w:r>
        <w:rPr>
          <w:rFonts w:hint="eastAsia" w:ascii="楷体" w:hAnsi="楷体" w:eastAsia="楷体" w:cs="楷体"/>
          <w:sz w:val="32"/>
          <w:szCs w:val="32"/>
          <w:u w:val="none"/>
          <w:lang w:val="en-US" w:eastAsia="zh-CN"/>
        </w:rPr>
        <w:t>8.3  实施与监管</w:t>
      </w:r>
      <w:bookmarkEnd w:id="169"/>
      <w:bookmarkEnd w:id="170"/>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预案涉及的厅直相关单位、各级交通运输主管部门、交通运输企业等，要按照本预案的规定履行职责，制定、完善相应的应急预案及其支撑文件。厅应急办要加强本预案实施的跟踪分析、督促检查、综合协调，并根据需要及时组织评估，提出修订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sz w:val="32"/>
          <w:szCs w:val="32"/>
          <w:u w:val="none"/>
          <w:lang w:val="en-US" w:eastAsia="zh-CN"/>
        </w:rPr>
      </w:pPr>
      <w:bookmarkStart w:id="171" w:name="_Toc5354"/>
      <w:bookmarkStart w:id="172" w:name="_Toc912"/>
      <w:r>
        <w:rPr>
          <w:rFonts w:hint="eastAsia" w:ascii="楷体" w:hAnsi="楷体" w:eastAsia="楷体" w:cs="楷体"/>
          <w:sz w:val="32"/>
          <w:szCs w:val="32"/>
          <w:u w:val="none"/>
          <w:lang w:val="en-US" w:eastAsia="zh-CN"/>
        </w:rPr>
        <w:t>8.4  预案解释部门</w:t>
      </w:r>
      <w:bookmarkEnd w:id="171"/>
      <w:bookmarkEnd w:id="172"/>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本预案由吉林省交通运输厅负责解释。</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Chars="0" w:firstLine="643" w:firstLineChars="200"/>
        <w:textAlignment w:val="auto"/>
        <w:rPr>
          <w:rFonts w:hint="default" w:ascii="楷体" w:hAnsi="楷体" w:eastAsia="楷体" w:cs="楷体"/>
          <w:sz w:val="32"/>
          <w:szCs w:val="32"/>
          <w:u w:val="none"/>
          <w:lang w:val="en-US" w:eastAsia="zh-CN"/>
        </w:rPr>
      </w:pPr>
      <w:bookmarkStart w:id="173" w:name="_Toc428175215"/>
      <w:bookmarkStart w:id="174" w:name="_Toc17791"/>
      <w:bookmarkStart w:id="175" w:name="_Toc18999"/>
      <w:r>
        <w:rPr>
          <w:rFonts w:hint="eastAsia" w:ascii="楷体" w:hAnsi="楷体" w:eastAsia="楷体" w:cs="楷体"/>
          <w:sz w:val="32"/>
          <w:szCs w:val="32"/>
          <w:u w:val="none"/>
          <w:lang w:val="en-US" w:eastAsia="zh-CN"/>
        </w:rPr>
        <w:t>8.5  预案</w:t>
      </w:r>
      <w:bookmarkEnd w:id="173"/>
      <w:r>
        <w:rPr>
          <w:rFonts w:hint="eastAsia" w:ascii="楷体" w:hAnsi="楷体" w:eastAsia="楷体" w:cs="楷体"/>
          <w:sz w:val="32"/>
          <w:szCs w:val="32"/>
          <w:u w:val="none"/>
          <w:lang w:val="en-US" w:eastAsia="zh-CN"/>
        </w:rPr>
        <w:t>实施时间</w:t>
      </w:r>
      <w:bookmarkEnd w:id="174"/>
      <w:bookmarkEnd w:id="175"/>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auto"/>
        <w:rPr>
          <w:rFonts w:hint="eastAsia" w:ascii="仿宋" w:hAnsi="仿宋" w:eastAsia="仿宋" w:cs="仿宋"/>
          <w:color w:val="000000"/>
          <w:kern w:val="0"/>
          <w:sz w:val="28"/>
          <w:szCs w:val="28"/>
          <w:highlight w:val="none"/>
          <w:u w:val="none"/>
          <w:shd w:val="clear" w:color="auto" w:fill="FFFFFF"/>
          <w:lang w:val="en-US" w:eastAsia="zh-CN" w:bidi="ar"/>
        </w:rPr>
      </w:pPr>
      <w:r>
        <w:rPr>
          <w:rFonts w:hint="eastAsia" w:ascii="仿宋" w:hAnsi="仿宋" w:eastAsia="仿宋" w:cs="仿宋"/>
          <w:kern w:val="2"/>
          <w:sz w:val="32"/>
          <w:szCs w:val="32"/>
          <w:u w:val="none"/>
          <w:lang w:val="en-US" w:eastAsia="zh-CN" w:bidi="ar-SA"/>
        </w:rPr>
        <w:t>本预案自印发之日起施行。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sz w:val="32"/>
          <w:szCs w:val="32"/>
          <w:highlight w:val="none"/>
          <w:u w:val="none"/>
        </w:rPr>
      </w:pPr>
      <w:bookmarkStart w:id="176" w:name="_Toc87972572"/>
      <w:bookmarkStart w:id="177" w:name="_Toc23379"/>
      <w:bookmarkStart w:id="178" w:name="_Toc13518"/>
      <w:r>
        <w:rPr>
          <w:rFonts w:hint="eastAsia" w:ascii="黑体" w:hAnsi="黑体" w:eastAsia="黑体" w:cs="黑体"/>
          <w:color w:val="000000"/>
          <w:sz w:val="32"/>
          <w:szCs w:val="32"/>
          <w:highlight w:val="none"/>
          <w:u w:val="none"/>
          <w:lang w:val="en-US" w:eastAsia="zh-CN"/>
        </w:rPr>
        <w:t xml:space="preserve">9  </w:t>
      </w:r>
      <w:r>
        <w:rPr>
          <w:rFonts w:hint="eastAsia" w:ascii="黑体" w:hAnsi="黑体" w:eastAsia="黑体" w:cs="黑体"/>
          <w:color w:val="000000"/>
          <w:sz w:val="32"/>
          <w:szCs w:val="32"/>
          <w:highlight w:val="none"/>
          <w:u w:val="none"/>
        </w:rPr>
        <w:t>附件</w:t>
      </w:r>
      <w:bookmarkEnd w:id="176"/>
      <w:bookmarkEnd w:id="177"/>
      <w:bookmarkEnd w:id="178"/>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楷体_GBK" w:hAnsi="方正楷体_GBK" w:eastAsia="方正楷体_GBK" w:cs="方正楷体_GBK"/>
          <w:b/>
          <w:bCs/>
          <w:sz w:val="32"/>
          <w:szCs w:val="32"/>
          <w:lang w:val="en-US" w:eastAsia="zh-CN"/>
        </w:rPr>
      </w:pPr>
      <w:bookmarkStart w:id="179" w:name="_Toc87972573"/>
      <w:bookmarkStart w:id="180" w:name="_Toc20072"/>
      <w:bookmarkStart w:id="181" w:name="_Toc12549"/>
      <w:r>
        <w:rPr>
          <w:rFonts w:hint="eastAsia" w:ascii="方正楷体_GBK" w:hAnsi="方正楷体_GBK" w:eastAsia="方正楷体_GBK" w:cs="方正楷体_GBK"/>
          <w:b/>
          <w:bCs/>
          <w:sz w:val="32"/>
          <w:szCs w:val="32"/>
          <w:lang w:val="en-US" w:eastAsia="zh-CN"/>
        </w:rPr>
        <w:t>9.1  突发事件专项应急预案</w:t>
      </w:r>
      <w:bookmarkEnd w:id="179"/>
      <w:bookmarkEnd w:id="180"/>
      <w:bookmarkEnd w:id="181"/>
    </w:p>
    <w:tbl>
      <w:tblPr>
        <w:tblStyle w:val="10"/>
        <w:tblW w:w="511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37"/>
        <w:gridCol w:w="3245"/>
        <w:gridCol w:w="2734"/>
        <w:gridCol w:w="18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3" w:hRule="atLeast"/>
          <w:tblHeader/>
          <w:jc w:val="center"/>
        </w:trPr>
        <w:tc>
          <w:tcPr>
            <w:tcW w:w="374" w:type="pct"/>
            <w:tcBorders>
              <w:top w:val="outset" w:color="auto" w:sz="6" w:space="0"/>
              <w:left w:val="outset" w:color="auto" w:sz="6" w:space="0"/>
              <w:bottom w:val="outset" w:color="auto" w:sz="6" w:space="0"/>
              <w:right w:val="outset" w:color="auto" w:sz="6" w:space="0"/>
            </w:tcBorders>
            <w:shd w:val="clear" w:color="auto" w:fill="D8D8D8"/>
            <w:noWrap w:val="0"/>
            <w:tcMar>
              <w:top w:w="0" w:type="dxa"/>
              <w:left w:w="0" w:type="dxa"/>
              <w:bottom w:w="0" w:type="dxa"/>
              <w:right w:w="0" w:type="dxa"/>
            </w:tcMar>
            <w:vAlign w:val="center"/>
          </w:tcPr>
          <w:p>
            <w:pPr>
              <w:widowControl/>
              <w:spacing w:line="400" w:lineRule="exact"/>
              <w:jc w:val="center"/>
              <w:rPr>
                <w:rFonts w:hint="default" w:ascii="仿宋" w:hAnsi="仿宋" w:eastAsia="仿宋" w:cs="宋体"/>
                <w:b/>
                <w:bCs/>
                <w:color w:val="000000"/>
                <w:kern w:val="0"/>
                <w:sz w:val="28"/>
                <w:szCs w:val="28"/>
                <w:highlight w:val="none"/>
                <w:u w:val="none"/>
                <w:lang w:val="en-US" w:eastAsia="zh-CN"/>
              </w:rPr>
            </w:pPr>
            <w:r>
              <w:rPr>
                <w:rFonts w:hint="eastAsia" w:ascii="仿宋" w:hAnsi="仿宋" w:eastAsia="仿宋" w:cs="宋体"/>
                <w:b/>
                <w:bCs/>
                <w:color w:val="000000"/>
                <w:kern w:val="0"/>
                <w:sz w:val="28"/>
                <w:szCs w:val="28"/>
                <w:highlight w:val="none"/>
                <w:u w:val="none"/>
                <w:lang w:val="en-US" w:eastAsia="zh-CN"/>
              </w:rPr>
              <w:t>序号</w:t>
            </w:r>
          </w:p>
        </w:tc>
        <w:tc>
          <w:tcPr>
            <w:tcW w:w="1905" w:type="pct"/>
            <w:tcBorders>
              <w:top w:val="outset" w:color="auto" w:sz="6" w:space="0"/>
              <w:left w:val="outset" w:color="auto" w:sz="6" w:space="0"/>
              <w:bottom w:val="outset" w:color="auto" w:sz="6" w:space="0"/>
              <w:right w:val="outset" w:color="auto" w:sz="6" w:space="0"/>
            </w:tcBorders>
            <w:shd w:val="clear" w:color="auto" w:fill="D8D8D8"/>
            <w:noWrap w:val="0"/>
            <w:tcMar>
              <w:top w:w="0" w:type="dxa"/>
              <w:left w:w="0" w:type="dxa"/>
              <w:bottom w:w="0" w:type="dxa"/>
              <w:right w:w="0" w:type="dxa"/>
            </w:tcMar>
            <w:vAlign w:val="center"/>
          </w:tcPr>
          <w:p>
            <w:pPr>
              <w:widowControl/>
              <w:spacing w:line="400" w:lineRule="exact"/>
              <w:jc w:val="center"/>
              <w:rPr>
                <w:rFonts w:hint="default" w:ascii="仿宋" w:hAnsi="仿宋" w:eastAsia="仿宋" w:cs="宋体"/>
                <w:b/>
                <w:bCs/>
                <w:color w:val="000000"/>
                <w:kern w:val="0"/>
                <w:sz w:val="28"/>
                <w:szCs w:val="28"/>
                <w:highlight w:val="none"/>
                <w:u w:val="none"/>
                <w:lang w:val="en-US" w:eastAsia="zh-CN" w:bidi="ar-SA"/>
              </w:rPr>
            </w:pPr>
            <w:r>
              <w:rPr>
                <w:rFonts w:hint="eastAsia" w:ascii="仿宋" w:hAnsi="仿宋" w:eastAsia="仿宋" w:cs="宋体"/>
                <w:b/>
                <w:bCs/>
                <w:color w:val="000000"/>
                <w:kern w:val="0"/>
                <w:sz w:val="28"/>
                <w:szCs w:val="28"/>
                <w:highlight w:val="none"/>
                <w:u w:val="none"/>
                <w:lang w:val="en-US" w:eastAsia="zh-CN"/>
              </w:rPr>
              <w:t>预案名称</w:t>
            </w:r>
          </w:p>
        </w:tc>
        <w:tc>
          <w:tcPr>
            <w:tcW w:w="1605" w:type="pct"/>
            <w:tcBorders>
              <w:top w:val="outset" w:color="auto" w:sz="6" w:space="0"/>
              <w:left w:val="outset" w:color="auto" w:sz="6" w:space="0"/>
              <w:bottom w:val="outset" w:color="auto" w:sz="6" w:space="0"/>
              <w:right w:val="single" w:color="auto" w:sz="4" w:space="0"/>
            </w:tcBorders>
            <w:shd w:val="clear" w:color="auto" w:fill="D8D8D8"/>
            <w:noWrap w:val="0"/>
            <w:tcMar>
              <w:top w:w="0" w:type="dxa"/>
              <w:left w:w="0" w:type="dxa"/>
              <w:bottom w:w="0" w:type="dxa"/>
              <w:right w:w="0" w:type="dxa"/>
            </w:tcMar>
            <w:vAlign w:val="center"/>
          </w:tcPr>
          <w:p>
            <w:pPr>
              <w:widowControl/>
              <w:spacing w:line="400" w:lineRule="exact"/>
              <w:jc w:val="center"/>
              <w:rPr>
                <w:rFonts w:hint="default" w:ascii="仿宋" w:hAnsi="仿宋" w:eastAsia="仿宋" w:cs="宋体"/>
                <w:b/>
                <w:bCs/>
                <w:color w:val="000000"/>
                <w:kern w:val="0"/>
                <w:sz w:val="28"/>
                <w:szCs w:val="28"/>
                <w:highlight w:val="none"/>
                <w:u w:val="none"/>
                <w:lang w:val="en-US" w:eastAsia="zh-CN"/>
              </w:rPr>
            </w:pPr>
            <w:r>
              <w:rPr>
                <w:rFonts w:hint="eastAsia" w:ascii="仿宋" w:hAnsi="仿宋" w:eastAsia="仿宋" w:cs="宋体"/>
                <w:b/>
                <w:bCs/>
                <w:color w:val="000000"/>
                <w:kern w:val="0"/>
                <w:sz w:val="28"/>
                <w:szCs w:val="28"/>
                <w:highlight w:val="none"/>
                <w:u w:val="none"/>
                <w:lang w:val="en-US" w:eastAsia="zh-CN"/>
              </w:rPr>
              <w:t>责任部门</w:t>
            </w:r>
          </w:p>
        </w:tc>
        <w:tc>
          <w:tcPr>
            <w:tcW w:w="1115" w:type="pct"/>
            <w:tcBorders>
              <w:top w:val="outset" w:color="auto" w:sz="6" w:space="0"/>
              <w:left w:val="single" w:color="auto" w:sz="4" w:space="0"/>
              <w:bottom w:val="outset" w:color="auto" w:sz="6" w:space="0"/>
              <w:right w:val="outset" w:color="auto" w:sz="6" w:space="0"/>
            </w:tcBorders>
            <w:shd w:val="clear" w:color="auto" w:fill="D8D8D8"/>
            <w:noWrap w:val="0"/>
            <w:tcMar>
              <w:top w:w="0" w:type="dxa"/>
              <w:left w:w="0" w:type="dxa"/>
              <w:bottom w:w="0" w:type="dxa"/>
              <w:right w:w="0" w:type="dxa"/>
            </w:tcMar>
            <w:vAlign w:val="center"/>
          </w:tcPr>
          <w:p>
            <w:pPr>
              <w:widowControl/>
              <w:spacing w:line="400" w:lineRule="exact"/>
              <w:jc w:val="center"/>
              <w:rPr>
                <w:rFonts w:hint="eastAsia" w:ascii="仿宋" w:hAnsi="仿宋" w:eastAsia="仿宋" w:cs="宋体"/>
                <w:b/>
                <w:bCs/>
                <w:color w:val="000000"/>
                <w:kern w:val="0"/>
                <w:sz w:val="28"/>
                <w:szCs w:val="28"/>
                <w:highlight w:val="none"/>
                <w:u w:val="none"/>
                <w:lang w:val="en-US" w:eastAsia="zh-CN"/>
              </w:rPr>
            </w:pPr>
            <w:r>
              <w:rPr>
                <w:rFonts w:hint="eastAsia" w:ascii="仿宋" w:hAnsi="仿宋" w:eastAsia="仿宋" w:cs="宋体"/>
                <w:b/>
                <w:bCs/>
                <w:color w:val="000000"/>
                <w:kern w:val="0"/>
                <w:sz w:val="28"/>
                <w:szCs w:val="28"/>
                <w:highlight w:val="none"/>
                <w:u w:val="none"/>
                <w:lang w:val="en-US" w:eastAsia="zh-CN"/>
              </w:rPr>
              <w:t>承办部门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374"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numPr>
                <w:ilvl w:val="0"/>
                <w:numId w:val="0"/>
              </w:numPr>
              <w:spacing w:line="400" w:lineRule="exact"/>
              <w:ind w:left="0" w:leftChars="0" w:firstLine="0" w:firstLineChars="0"/>
              <w:jc w:val="center"/>
              <w:rPr>
                <w:rFonts w:hint="default" w:ascii="仿宋" w:hAnsi="仿宋" w:eastAsia="仿宋" w:cs="宋体"/>
                <w:color w:val="000000"/>
                <w:kern w:val="0"/>
                <w:sz w:val="28"/>
                <w:szCs w:val="28"/>
                <w:highlight w:val="none"/>
                <w:u w:val="none"/>
                <w:lang w:val="en-US" w:eastAsia="zh-CN" w:bidi="ar-SA"/>
              </w:rPr>
            </w:pPr>
            <w:r>
              <w:rPr>
                <w:rFonts w:hint="eastAsia" w:ascii="仿宋" w:hAnsi="仿宋" w:eastAsia="仿宋" w:cs="宋体"/>
                <w:color w:val="000000"/>
                <w:kern w:val="0"/>
                <w:sz w:val="28"/>
                <w:szCs w:val="28"/>
                <w:highlight w:val="none"/>
                <w:u w:val="none"/>
                <w:lang w:val="en-US" w:eastAsia="zh-CN" w:bidi="ar-SA"/>
              </w:rPr>
              <w:t>1</w:t>
            </w:r>
          </w:p>
        </w:tc>
        <w:tc>
          <w:tcPr>
            <w:tcW w:w="1905"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kern w:val="2"/>
                <w:sz w:val="28"/>
                <w:szCs w:val="28"/>
                <w:highlight w:val="none"/>
                <w:u w:val="none"/>
                <w:shd w:val="clear" w:color="auto" w:fill="FFFFFF"/>
                <w:lang w:val="en-US" w:eastAsia="zh-CN" w:bidi="ar-SA"/>
              </w:rPr>
              <w:t>吉林省高速公路</w:t>
            </w:r>
          </w:p>
          <w:p>
            <w:pPr>
              <w:widowControl/>
              <w:spacing w:line="400" w:lineRule="exact"/>
              <w:jc w:val="center"/>
              <w:rPr>
                <w:rFonts w:hint="default"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kern w:val="2"/>
                <w:sz w:val="28"/>
                <w:szCs w:val="28"/>
                <w:highlight w:val="none"/>
                <w:u w:val="none"/>
                <w:shd w:val="clear" w:color="auto" w:fill="FFFFFF"/>
                <w:lang w:val="en-US" w:eastAsia="zh-CN" w:bidi="ar-SA"/>
              </w:rPr>
              <w:t>突发事件应急预案</w:t>
            </w:r>
          </w:p>
        </w:tc>
        <w:tc>
          <w:tcPr>
            <w:tcW w:w="1605" w:type="pct"/>
            <w:tcBorders>
              <w:top w:val="outset" w:color="auto" w:sz="6" w:space="0"/>
              <w:left w:val="outset" w:color="auto" w:sz="6" w:space="0"/>
              <w:bottom w:val="outset" w:color="auto" w:sz="6" w:space="0"/>
              <w:right w:val="single" w:color="auto" w:sz="4" w:space="0"/>
            </w:tcBorders>
            <w:noWrap w:val="0"/>
            <w:tcMar>
              <w:top w:w="0" w:type="dxa"/>
              <w:left w:w="0" w:type="dxa"/>
              <w:bottom w:w="0" w:type="dxa"/>
              <w:right w:w="0" w:type="dxa"/>
            </w:tcMar>
            <w:vAlign w:val="center"/>
          </w:tcPr>
          <w:p>
            <w:pPr>
              <w:widowControl/>
              <w:spacing w:line="400" w:lineRule="exact"/>
              <w:jc w:val="both"/>
              <w:rPr>
                <w:rFonts w:hint="default" w:ascii="仿宋" w:hAnsi="仿宋" w:eastAsia="仿宋" w:cs="仿宋"/>
                <w:color w:val="000000"/>
                <w:sz w:val="28"/>
                <w:szCs w:val="28"/>
                <w:highlight w:val="none"/>
                <w:u w:val="none"/>
                <w:shd w:val="clear" w:color="auto" w:fill="FFFFFF"/>
                <w:lang w:val="en-US" w:eastAsia="zh-CN"/>
              </w:rPr>
            </w:pPr>
            <w:r>
              <w:rPr>
                <w:rFonts w:hint="eastAsia" w:ascii="仿宋" w:hAnsi="仿宋" w:eastAsia="仿宋" w:cs="仿宋"/>
                <w:color w:val="000000"/>
                <w:sz w:val="28"/>
                <w:szCs w:val="28"/>
                <w:highlight w:val="none"/>
                <w:u w:val="none"/>
                <w:shd w:val="clear" w:color="auto" w:fill="FFFFFF"/>
                <w:lang w:val="en-US" w:eastAsia="zh-CN"/>
              </w:rPr>
              <w:t>厅安监处、厅公路处、省执法局、吉高集团</w:t>
            </w:r>
          </w:p>
        </w:tc>
        <w:tc>
          <w:tcPr>
            <w:tcW w:w="1115" w:type="pct"/>
            <w:tcBorders>
              <w:top w:val="outset" w:color="auto" w:sz="6" w:space="0"/>
              <w:left w:val="single" w:color="auto" w:sz="4"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lang w:val="en-US" w:eastAsia="zh-CN"/>
              </w:rPr>
            </w:pPr>
            <w:r>
              <w:rPr>
                <w:rFonts w:hint="eastAsia" w:ascii="仿宋" w:hAnsi="仿宋" w:eastAsia="仿宋" w:cs="仿宋"/>
                <w:color w:val="000000"/>
                <w:sz w:val="28"/>
                <w:szCs w:val="28"/>
                <w:highlight w:val="none"/>
                <w:u w:val="none"/>
                <w:shd w:val="clear" w:color="auto" w:fill="FFFFFF"/>
                <w:lang w:val="en-US" w:eastAsia="zh-CN"/>
              </w:rPr>
              <w:t>吉高集团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374"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numPr>
                <w:ilvl w:val="0"/>
                <w:numId w:val="0"/>
              </w:numPr>
              <w:spacing w:line="400" w:lineRule="exact"/>
              <w:ind w:left="0" w:leftChars="0" w:firstLine="0" w:firstLineChars="0"/>
              <w:jc w:val="center"/>
              <w:rPr>
                <w:rFonts w:hint="default" w:ascii="仿宋" w:hAnsi="仿宋" w:eastAsia="仿宋" w:cs="宋体"/>
                <w:color w:val="000000"/>
                <w:kern w:val="0"/>
                <w:sz w:val="28"/>
                <w:szCs w:val="28"/>
                <w:highlight w:val="none"/>
                <w:u w:val="none"/>
                <w:lang w:val="en-US" w:eastAsia="zh-CN" w:bidi="ar-SA"/>
              </w:rPr>
            </w:pPr>
            <w:r>
              <w:rPr>
                <w:rFonts w:hint="eastAsia" w:ascii="仿宋" w:hAnsi="仿宋" w:eastAsia="仿宋" w:cs="宋体"/>
                <w:color w:val="000000"/>
                <w:kern w:val="0"/>
                <w:sz w:val="28"/>
                <w:szCs w:val="28"/>
                <w:highlight w:val="none"/>
                <w:u w:val="none"/>
                <w:lang w:val="en-US" w:eastAsia="zh-CN" w:bidi="ar-SA"/>
              </w:rPr>
              <w:t>2</w:t>
            </w:r>
          </w:p>
        </w:tc>
        <w:tc>
          <w:tcPr>
            <w:tcW w:w="1905"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rPr>
            </w:pPr>
            <w:r>
              <w:rPr>
                <w:rFonts w:hint="eastAsia" w:ascii="仿宋" w:hAnsi="仿宋" w:eastAsia="仿宋" w:cs="仿宋"/>
                <w:color w:val="000000"/>
                <w:sz w:val="28"/>
                <w:szCs w:val="28"/>
                <w:highlight w:val="none"/>
                <w:u w:val="none"/>
                <w:shd w:val="clear" w:color="auto" w:fill="FFFFFF"/>
              </w:rPr>
              <w:t>吉林省</w:t>
            </w:r>
            <w:r>
              <w:rPr>
                <w:rFonts w:hint="eastAsia" w:ascii="仿宋" w:hAnsi="仿宋" w:eastAsia="仿宋" w:cs="仿宋"/>
                <w:color w:val="000000"/>
                <w:sz w:val="28"/>
                <w:szCs w:val="28"/>
                <w:highlight w:val="none"/>
                <w:u w:val="none"/>
                <w:shd w:val="clear" w:color="auto" w:fill="FFFFFF"/>
                <w:lang w:val="en-US" w:eastAsia="zh-CN"/>
              </w:rPr>
              <w:t>普通干线</w:t>
            </w:r>
            <w:r>
              <w:rPr>
                <w:rFonts w:hint="eastAsia" w:ascii="仿宋" w:hAnsi="仿宋" w:eastAsia="仿宋" w:cs="仿宋"/>
                <w:color w:val="000000"/>
                <w:sz w:val="28"/>
                <w:szCs w:val="28"/>
                <w:highlight w:val="none"/>
                <w:u w:val="none"/>
                <w:shd w:val="clear" w:color="auto" w:fill="FFFFFF"/>
              </w:rPr>
              <w:t>公路</w:t>
            </w:r>
          </w:p>
          <w:p>
            <w:pPr>
              <w:widowControl/>
              <w:spacing w:line="400" w:lineRule="exact"/>
              <w:jc w:val="center"/>
              <w:rPr>
                <w:rFonts w:hint="eastAsia"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rPr>
              <w:t>突发事件应急预案</w:t>
            </w:r>
          </w:p>
        </w:tc>
        <w:tc>
          <w:tcPr>
            <w:tcW w:w="1605" w:type="pct"/>
            <w:tcBorders>
              <w:top w:val="outset" w:color="auto" w:sz="6" w:space="0"/>
              <w:left w:val="outset" w:color="auto" w:sz="6" w:space="0"/>
              <w:bottom w:val="outset" w:color="auto" w:sz="6" w:space="0"/>
              <w:right w:val="single" w:color="auto" w:sz="4" w:space="0"/>
            </w:tcBorders>
            <w:noWrap w:val="0"/>
            <w:tcMar>
              <w:top w:w="0" w:type="dxa"/>
              <w:left w:w="0" w:type="dxa"/>
              <w:bottom w:w="0" w:type="dxa"/>
              <w:right w:w="0" w:type="dxa"/>
            </w:tcMar>
            <w:vAlign w:val="center"/>
          </w:tcPr>
          <w:p>
            <w:pPr>
              <w:widowControl/>
              <w:spacing w:line="400" w:lineRule="exact"/>
              <w:jc w:val="both"/>
              <w:rPr>
                <w:rFonts w:hint="default"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lang w:val="en-US" w:eastAsia="zh-CN"/>
              </w:rPr>
              <w:t>厅安监处、厅公路处、省公路局</w:t>
            </w:r>
          </w:p>
        </w:tc>
        <w:tc>
          <w:tcPr>
            <w:tcW w:w="1115" w:type="pct"/>
            <w:tcBorders>
              <w:top w:val="outset" w:color="auto" w:sz="6" w:space="0"/>
              <w:left w:val="single" w:color="auto" w:sz="4"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lang w:val="en-US" w:eastAsia="zh-CN"/>
              </w:rPr>
            </w:pPr>
            <w:r>
              <w:rPr>
                <w:rFonts w:hint="eastAsia" w:ascii="仿宋" w:hAnsi="仿宋" w:eastAsia="仿宋" w:cs="仿宋"/>
                <w:color w:val="000000"/>
                <w:sz w:val="28"/>
                <w:szCs w:val="28"/>
                <w:highlight w:val="none"/>
                <w:u w:val="none"/>
                <w:shd w:val="clear" w:color="auto" w:fill="FFFFFF"/>
                <w:lang w:val="en-US" w:eastAsia="zh-CN"/>
              </w:rPr>
              <w:t>省公路局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374"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numPr>
                <w:ilvl w:val="0"/>
                <w:numId w:val="0"/>
              </w:numPr>
              <w:spacing w:line="400" w:lineRule="exact"/>
              <w:ind w:left="0" w:leftChars="0" w:firstLine="0" w:firstLineChars="0"/>
              <w:jc w:val="center"/>
              <w:rPr>
                <w:rFonts w:hint="default" w:ascii="仿宋" w:hAnsi="仿宋" w:eastAsia="仿宋" w:cs="宋体"/>
                <w:color w:val="000000"/>
                <w:kern w:val="0"/>
                <w:sz w:val="28"/>
                <w:szCs w:val="28"/>
                <w:highlight w:val="none"/>
                <w:u w:val="none"/>
                <w:lang w:val="en-US" w:eastAsia="zh-CN" w:bidi="ar-SA"/>
              </w:rPr>
            </w:pPr>
            <w:r>
              <w:rPr>
                <w:rFonts w:hint="eastAsia" w:ascii="仿宋" w:hAnsi="仿宋" w:eastAsia="仿宋" w:cs="宋体"/>
                <w:color w:val="000000"/>
                <w:kern w:val="0"/>
                <w:sz w:val="28"/>
                <w:szCs w:val="28"/>
                <w:highlight w:val="none"/>
                <w:u w:val="none"/>
                <w:lang w:val="en-US" w:eastAsia="zh-CN" w:bidi="ar-SA"/>
              </w:rPr>
              <w:t>3</w:t>
            </w:r>
          </w:p>
        </w:tc>
        <w:tc>
          <w:tcPr>
            <w:tcW w:w="1905"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lang w:val="en-US" w:eastAsia="zh-CN"/>
              </w:rPr>
            </w:pPr>
            <w:r>
              <w:rPr>
                <w:rFonts w:hint="eastAsia" w:ascii="仿宋" w:hAnsi="仿宋" w:eastAsia="仿宋" w:cs="仿宋"/>
                <w:color w:val="000000"/>
                <w:sz w:val="28"/>
                <w:szCs w:val="28"/>
                <w:highlight w:val="none"/>
                <w:u w:val="none"/>
                <w:shd w:val="clear" w:color="auto" w:fill="FFFFFF"/>
                <w:lang w:val="en-US" w:eastAsia="zh-CN"/>
              </w:rPr>
              <w:t>吉林省水路交通</w:t>
            </w:r>
          </w:p>
          <w:p>
            <w:pPr>
              <w:widowControl/>
              <w:spacing w:line="400" w:lineRule="exact"/>
              <w:jc w:val="center"/>
              <w:rPr>
                <w:rFonts w:hint="eastAsia"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lang w:val="en-US" w:eastAsia="zh-CN"/>
              </w:rPr>
              <w:t>突发事件应急预案</w:t>
            </w:r>
          </w:p>
        </w:tc>
        <w:tc>
          <w:tcPr>
            <w:tcW w:w="1605" w:type="pct"/>
            <w:tcBorders>
              <w:top w:val="outset" w:color="auto" w:sz="6" w:space="0"/>
              <w:left w:val="outset" w:color="auto" w:sz="6" w:space="0"/>
              <w:bottom w:val="outset" w:color="auto" w:sz="6" w:space="0"/>
              <w:right w:val="single" w:color="auto" w:sz="4" w:space="0"/>
            </w:tcBorders>
            <w:noWrap w:val="0"/>
            <w:tcMar>
              <w:top w:w="0" w:type="dxa"/>
              <w:left w:w="0" w:type="dxa"/>
              <w:bottom w:w="0" w:type="dxa"/>
              <w:right w:w="0" w:type="dxa"/>
            </w:tcMar>
            <w:vAlign w:val="center"/>
          </w:tcPr>
          <w:p>
            <w:pPr>
              <w:widowControl/>
              <w:spacing w:line="400" w:lineRule="exact"/>
              <w:jc w:val="both"/>
              <w:rPr>
                <w:rFonts w:hint="default"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lang w:val="en-US" w:eastAsia="zh-CN"/>
              </w:rPr>
              <w:t>厅安监处、厅水运处、省海事局</w:t>
            </w:r>
          </w:p>
        </w:tc>
        <w:tc>
          <w:tcPr>
            <w:tcW w:w="1115" w:type="pct"/>
            <w:tcBorders>
              <w:top w:val="outset" w:color="auto" w:sz="6" w:space="0"/>
              <w:left w:val="single" w:color="auto" w:sz="4"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lang w:val="en-US" w:eastAsia="zh-CN"/>
              </w:rPr>
            </w:pPr>
            <w:r>
              <w:rPr>
                <w:rFonts w:hint="eastAsia" w:ascii="仿宋" w:hAnsi="仿宋" w:eastAsia="仿宋" w:cs="仿宋"/>
                <w:color w:val="000000"/>
                <w:sz w:val="28"/>
                <w:szCs w:val="28"/>
                <w:highlight w:val="none"/>
                <w:u w:val="none"/>
                <w:shd w:val="clear" w:color="auto" w:fill="FFFFFF"/>
                <w:lang w:val="en-US" w:eastAsia="zh-CN"/>
              </w:rPr>
              <w:t>省海事局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374"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numPr>
                <w:ilvl w:val="0"/>
                <w:numId w:val="0"/>
              </w:numPr>
              <w:spacing w:line="400" w:lineRule="exact"/>
              <w:ind w:left="0" w:leftChars="0" w:firstLine="0" w:firstLineChars="0"/>
              <w:jc w:val="center"/>
              <w:rPr>
                <w:rFonts w:hint="default" w:ascii="仿宋" w:hAnsi="仿宋" w:eastAsia="仿宋" w:cs="宋体"/>
                <w:color w:val="000000"/>
                <w:kern w:val="0"/>
                <w:sz w:val="28"/>
                <w:szCs w:val="28"/>
                <w:highlight w:val="none"/>
                <w:u w:val="none"/>
                <w:lang w:val="en-US" w:eastAsia="zh-CN" w:bidi="ar-SA"/>
              </w:rPr>
            </w:pPr>
            <w:r>
              <w:rPr>
                <w:rFonts w:hint="eastAsia" w:ascii="仿宋" w:hAnsi="仿宋" w:eastAsia="仿宋" w:cs="宋体"/>
                <w:color w:val="000000"/>
                <w:kern w:val="0"/>
                <w:sz w:val="28"/>
                <w:szCs w:val="28"/>
                <w:highlight w:val="none"/>
                <w:u w:val="none"/>
                <w:lang w:val="en-US" w:eastAsia="zh-CN" w:bidi="ar-SA"/>
              </w:rPr>
              <w:t>4</w:t>
            </w:r>
          </w:p>
        </w:tc>
        <w:tc>
          <w:tcPr>
            <w:tcW w:w="1905"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rPr>
            </w:pPr>
            <w:r>
              <w:rPr>
                <w:rFonts w:hint="eastAsia" w:ascii="仿宋" w:hAnsi="仿宋" w:eastAsia="仿宋" w:cs="仿宋"/>
                <w:color w:val="000000"/>
                <w:sz w:val="28"/>
                <w:szCs w:val="28"/>
                <w:highlight w:val="none"/>
                <w:u w:val="none"/>
                <w:shd w:val="clear" w:color="auto" w:fill="FFFFFF"/>
              </w:rPr>
              <w:t>吉林省道路运输</w:t>
            </w:r>
          </w:p>
          <w:p>
            <w:pPr>
              <w:widowControl/>
              <w:spacing w:line="400" w:lineRule="exact"/>
              <w:jc w:val="center"/>
              <w:rPr>
                <w:rFonts w:hint="eastAsia"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rPr>
              <w:t>突发事件应急</w:t>
            </w:r>
            <w:r>
              <w:rPr>
                <w:rFonts w:hint="eastAsia" w:ascii="仿宋" w:hAnsi="仿宋" w:eastAsia="仿宋" w:cs="仿宋"/>
                <w:color w:val="000000"/>
                <w:sz w:val="28"/>
                <w:szCs w:val="28"/>
                <w:highlight w:val="none"/>
                <w:u w:val="none"/>
                <w:shd w:val="clear" w:color="auto" w:fill="FFFFFF"/>
                <w:lang w:val="en-US" w:eastAsia="zh-CN"/>
              </w:rPr>
              <w:t>保障</w:t>
            </w:r>
            <w:r>
              <w:rPr>
                <w:rFonts w:hint="eastAsia" w:ascii="仿宋" w:hAnsi="仿宋" w:eastAsia="仿宋" w:cs="仿宋"/>
                <w:color w:val="000000"/>
                <w:sz w:val="28"/>
                <w:szCs w:val="28"/>
                <w:highlight w:val="none"/>
                <w:u w:val="none"/>
                <w:shd w:val="clear" w:color="auto" w:fill="FFFFFF"/>
              </w:rPr>
              <w:t>预案</w:t>
            </w:r>
          </w:p>
        </w:tc>
        <w:tc>
          <w:tcPr>
            <w:tcW w:w="1605" w:type="pct"/>
            <w:tcBorders>
              <w:top w:val="outset" w:color="auto" w:sz="6" w:space="0"/>
              <w:left w:val="outset" w:color="auto" w:sz="6" w:space="0"/>
              <w:bottom w:val="outset" w:color="auto" w:sz="6" w:space="0"/>
              <w:right w:val="single" w:color="auto" w:sz="4" w:space="0"/>
            </w:tcBorders>
            <w:noWrap w:val="0"/>
            <w:tcMar>
              <w:top w:w="0" w:type="dxa"/>
              <w:left w:w="0" w:type="dxa"/>
              <w:bottom w:w="0" w:type="dxa"/>
              <w:right w:w="0" w:type="dxa"/>
            </w:tcMar>
            <w:vAlign w:val="center"/>
          </w:tcPr>
          <w:p>
            <w:pPr>
              <w:widowControl/>
              <w:spacing w:line="400" w:lineRule="exact"/>
              <w:jc w:val="both"/>
              <w:rPr>
                <w:rFonts w:hint="default"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lang w:val="en-US" w:eastAsia="zh-CN"/>
              </w:rPr>
              <w:t>厅安监处、厅运输处、省运输局</w:t>
            </w:r>
          </w:p>
        </w:tc>
        <w:tc>
          <w:tcPr>
            <w:tcW w:w="1115" w:type="pct"/>
            <w:tcBorders>
              <w:top w:val="outset" w:color="auto" w:sz="6" w:space="0"/>
              <w:left w:val="single" w:color="auto" w:sz="4"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u w:val="none"/>
                <w:lang w:val="en-US" w:eastAsia="zh-CN"/>
              </w:rPr>
            </w:pPr>
            <w:r>
              <w:rPr>
                <w:rFonts w:hint="eastAsia" w:ascii="仿宋" w:hAnsi="仿宋" w:eastAsia="仿宋" w:cs="仿宋"/>
                <w:color w:val="000000"/>
                <w:sz w:val="28"/>
                <w:szCs w:val="28"/>
                <w:highlight w:val="none"/>
                <w:u w:val="none"/>
                <w:shd w:val="clear" w:color="auto" w:fill="FFFFFF"/>
                <w:lang w:val="en-US" w:eastAsia="zh-CN"/>
              </w:rPr>
              <w:t>省运输局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374"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numPr>
                <w:ilvl w:val="0"/>
                <w:numId w:val="0"/>
              </w:numPr>
              <w:spacing w:line="400" w:lineRule="exact"/>
              <w:ind w:left="0" w:leftChars="0" w:firstLine="0" w:firstLineChars="0"/>
              <w:jc w:val="center"/>
              <w:rPr>
                <w:rFonts w:hint="default" w:ascii="仿宋" w:hAnsi="仿宋" w:eastAsia="仿宋" w:cs="宋体"/>
                <w:color w:val="000000"/>
                <w:kern w:val="0"/>
                <w:sz w:val="28"/>
                <w:szCs w:val="28"/>
                <w:highlight w:val="none"/>
                <w:u w:val="none"/>
                <w:lang w:val="en-US" w:eastAsia="zh-CN" w:bidi="ar-SA"/>
              </w:rPr>
            </w:pPr>
            <w:r>
              <w:rPr>
                <w:rFonts w:hint="eastAsia" w:ascii="仿宋" w:hAnsi="仿宋" w:eastAsia="仿宋" w:cs="宋体"/>
                <w:color w:val="000000"/>
                <w:kern w:val="0"/>
                <w:sz w:val="28"/>
                <w:szCs w:val="28"/>
                <w:highlight w:val="none"/>
                <w:u w:val="none"/>
                <w:lang w:val="en-US" w:eastAsia="zh-CN" w:bidi="ar-SA"/>
              </w:rPr>
              <w:t>5</w:t>
            </w:r>
          </w:p>
        </w:tc>
        <w:tc>
          <w:tcPr>
            <w:tcW w:w="1905" w:type="pc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rPr>
            </w:pPr>
            <w:r>
              <w:rPr>
                <w:rFonts w:hint="eastAsia" w:ascii="仿宋" w:hAnsi="仿宋" w:eastAsia="仿宋" w:cs="仿宋"/>
                <w:color w:val="000000"/>
                <w:sz w:val="28"/>
                <w:szCs w:val="28"/>
                <w:highlight w:val="none"/>
                <w:u w:val="none"/>
                <w:shd w:val="clear" w:color="auto" w:fill="FFFFFF"/>
              </w:rPr>
              <w:t>吉林省公路水运工程</w:t>
            </w:r>
          </w:p>
          <w:p>
            <w:pPr>
              <w:widowControl/>
              <w:spacing w:line="400" w:lineRule="exact"/>
              <w:jc w:val="center"/>
              <w:rPr>
                <w:rFonts w:hint="eastAsia" w:ascii="仿宋" w:hAnsi="仿宋" w:eastAsia="仿宋" w:cs="仿宋"/>
                <w:color w:val="000000"/>
                <w:kern w:val="2"/>
                <w:sz w:val="28"/>
                <w:szCs w:val="28"/>
                <w:highlight w:val="none"/>
                <w:u w:val="none"/>
                <w:shd w:val="clear" w:color="auto" w:fill="FFFFFF"/>
                <w:lang w:val="en-US" w:eastAsia="zh-CN" w:bidi="ar-SA"/>
              </w:rPr>
            </w:pPr>
            <w:r>
              <w:rPr>
                <w:rFonts w:hint="eastAsia" w:ascii="仿宋" w:hAnsi="仿宋" w:eastAsia="仿宋" w:cs="仿宋"/>
                <w:color w:val="000000"/>
                <w:sz w:val="28"/>
                <w:szCs w:val="28"/>
                <w:highlight w:val="none"/>
                <w:u w:val="none"/>
                <w:shd w:val="clear" w:color="auto" w:fill="FFFFFF"/>
              </w:rPr>
              <w:t>生产安全事故应急预案</w:t>
            </w:r>
          </w:p>
        </w:tc>
        <w:tc>
          <w:tcPr>
            <w:tcW w:w="1605" w:type="pct"/>
            <w:tcBorders>
              <w:top w:val="outset" w:color="auto" w:sz="6" w:space="0"/>
              <w:left w:val="outset" w:color="auto" w:sz="6" w:space="0"/>
              <w:bottom w:val="outset" w:color="auto" w:sz="6" w:space="0"/>
              <w:right w:val="single" w:color="auto" w:sz="4" w:space="0"/>
            </w:tcBorders>
            <w:noWrap w:val="0"/>
            <w:tcMar>
              <w:top w:w="0" w:type="dxa"/>
              <w:left w:w="0" w:type="dxa"/>
              <w:bottom w:w="0" w:type="dxa"/>
              <w:right w:w="0" w:type="dxa"/>
            </w:tcMar>
            <w:vAlign w:val="center"/>
          </w:tcPr>
          <w:p>
            <w:pPr>
              <w:widowControl/>
              <w:spacing w:line="400" w:lineRule="exact"/>
              <w:jc w:val="both"/>
              <w:rPr>
                <w:rFonts w:hint="default" w:ascii="仿宋" w:hAnsi="仿宋" w:eastAsia="仿宋" w:cs="仿宋"/>
                <w:color w:val="000000"/>
                <w:kern w:val="2"/>
                <w:sz w:val="28"/>
                <w:szCs w:val="28"/>
                <w:highlight w:val="none"/>
                <w:u w:val="none"/>
                <w:shd w:val="clear" w:color="auto" w:fill="FFFFFF"/>
                <w:lang w:val="en-US" w:eastAsia="zh" w:bidi="ar-SA"/>
              </w:rPr>
            </w:pPr>
            <w:r>
              <w:rPr>
                <w:rFonts w:hint="eastAsia" w:ascii="仿宋" w:hAnsi="仿宋" w:eastAsia="仿宋" w:cs="仿宋"/>
                <w:color w:val="000000"/>
                <w:sz w:val="28"/>
                <w:szCs w:val="28"/>
                <w:highlight w:val="none"/>
                <w:u w:val="none"/>
                <w:shd w:val="clear" w:color="auto" w:fill="FFFFFF"/>
                <w:lang w:val="en-US" w:eastAsia="zh-CN"/>
              </w:rPr>
              <w:t>厅安监处、厅建设处、厅水运处、省执法局、省公路局、省航道局</w:t>
            </w:r>
          </w:p>
        </w:tc>
        <w:tc>
          <w:tcPr>
            <w:tcW w:w="1115" w:type="pct"/>
            <w:tcBorders>
              <w:top w:val="outset" w:color="auto" w:sz="6" w:space="0"/>
              <w:left w:val="single" w:color="auto" w:sz="4" w:space="0"/>
              <w:bottom w:val="outset" w:color="auto" w:sz="6" w:space="0"/>
              <w:right w:val="outset" w:color="auto" w:sz="6" w:space="0"/>
            </w:tcBorders>
            <w:noWrap w:val="0"/>
            <w:tcMar>
              <w:top w:w="0" w:type="dxa"/>
              <w:left w:w="0" w:type="dxa"/>
              <w:bottom w:w="0" w:type="dxa"/>
              <w:right w:w="0" w:type="dxa"/>
            </w:tcMar>
            <w:vAlign w:val="center"/>
          </w:tcPr>
          <w:p>
            <w:pPr>
              <w:widowControl/>
              <w:spacing w:line="400" w:lineRule="exact"/>
              <w:jc w:val="center"/>
              <w:rPr>
                <w:rFonts w:hint="eastAsia" w:ascii="仿宋" w:hAnsi="仿宋" w:eastAsia="仿宋" w:cs="仿宋"/>
                <w:color w:val="000000"/>
                <w:sz w:val="28"/>
                <w:szCs w:val="28"/>
                <w:highlight w:val="none"/>
                <w:u w:val="none"/>
                <w:shd w:val="clear" w:color="auto" w:fill="FFFFFF"/>
                <w:lang w:val="en-US" w:eastAsia="zh-CN"/>
              </w:rPr>
            </w:pPr>
            <w:r>
              <w:rPr>
                <w:rFonts w:hint="eastAsia" w:ascii="仿宋" w:hAnsi="仿宋" w:eastAsia="仿宋" w:cs="仿宋"/>
                <w:color w:val="000000"/>
                <w:sz w:val="28"/>
                <w:szCs w:val="28"/>
                <w:highlight w:val="none"/>
                <w:u w:val="none"/>
                <w:shd w:val="clear" w:color="auto" w:fill="FFFFFF"/>
                <w:lang w:val="en-US" w:eastAsia="zh-CN"/>
              </w:rPr>
              <w:t>厅安监处</w:t>
            </w:r>
          </w:p>
        </w:tc>
      </w:tr>
    </w:tbl>
    <w:p>
      <w:pPr>
        <w:rPr>
          <w:rFonts w:hint="default"/>
          <w:u w:val="none"/>
          <w:lang w:val="en-US" w:eastAsia="zh-CN"/>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p>
    <w:p>
      <w:pPr>
        <w:ind w:firstLine="640" w:firstLineChars="200"/>
        <w:jc w:val="center"/>
        <w:rPr>
          <w:rFonts w:hint="default" w:ascii="仿宋_GB2312" w:hAnsi="仿宋_GB2312" w:eastAsia="仿宋_GB2312" w:cs="仿宋_GB2312"/>
          <w:sz w:val="32"/>
          <w:szCs w:val="32"/>
          <w:lang w:val="en-US" w:eastAsia="zh-CN"/>
        </w:rPr>
      </w:pPr>
    </w:p>
    <w:tbl>
      <w:tblPr>
        <w:tblStyle w:val="10"/>
        <w:tblpPr w:leftFromText="180" w:rightFromText="180" w:vertAnchor="text" w:horzAnchor="page" w:tblpX="1856" w:tblpY="140"/>
        <w:tblW w:w="0" w:type="auto"/>
        <w:tblInd w:w="0" w:type="dxa"/>
        <w:tblBorders>
          <w:top w:val="none" w:color="auto" w:sz="0"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single" w:color="auto" w:sz="12" w:space="0"/>
            <w:right w:val="none" w:color="auto" w:sz="0" w:space="0"/>
            <w:insideH w:val="single" w:color="auto" w:sz="12" w:space="0"/>
            <w:insideV w:val="single" w:color="auto" w:sz="4" w:space="0"/>
          </w:tblBorders>
        </w:tblPrEx>
        <w:tc>
          <w:tcPr>
            <w:tcW w:w="8306" w:type="dxa"/>
            <w:tcBorders>
              <w:top w:val="single" w:color="auto" w:sz="12" w:space="0"/>
              <w:bottom w:val="single" w:color="auto" w:sz="8" w:space="0"/>
            </w:tcBorders>
            <w:noWrap w:val="0"/>
            <w:vAlign w:val="top"/>
          </w:tcPr>
          <w:p>
            <w:pPr>
              <w:tabs>
                <w:tab w:val="left" w:pos="7560"/>
              </w:tabs>
              <w:spacing w:line="500" w:lineRule="exact"/>
              <w:ind w:firstLine="280" w:firstLineChars="100"/>
              <w:rPr>
                <w:rFonts w:hint="default" w:ascii="仿宋_GB2312" w:eastAsia="仿宋_GB2312"/>
                <w:kern w:val="0"/>
                <w:sz w:val="28"/>
                <w:szCs w:val="28"/>
                <w:lang w:val="en"/>
              </w:rPr>
            </w:pPr>
            <w:r>
              <w:rPr>
                <w:rFonts w:hint="eastAsia" w:ascii="仿宋_GB2312" w:eastAsia="仿宋_GB2312"/>
                <w:kern w:val="0"/>
                <w:sz w:val="28"/>
                <w:szCs w:val="28"/>
              </w:rPr>
              <w:t>抄送：</w:t>
            </w:r>
            <w:r>
              <w:rPr>
                <w:rFonts w:hint="default" w:ascii="仿宋_GB2312" w:eastAsia="仿宋_GB2312"/>
                <w:kern w:val="0"/>
                <w:sz w:val="28"/>
                <w:szCs w:val="28"/>
                <w:lang w:val="en"/>
              </w:rPr>
              <w:t>吉林省应急管理厅</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8306" w:type="dxa"/>
            <w:tcBorders>
              <w:top w:val="single" w:color="auto" w:sz="8" w:space="0"/>
              <w:bottom w:val="single" w:color="auto" w:sz="12" w:space="0"/>
            </w:tcBorders>
            <w:noWrap w:val="0"/>
            <w:vAlign w:val="top"/>
          </w:tcPr>
          <w:p>
            <w:pPr>
              <w:tabs>
                <w:tab w:val="left" w:pos="7560"/>
              </w:tabs>
              <w:spacing w:line="500" w:lineRule="exact"/>
              <w:ind w:firstLine="280" w:firstLineChars="100"/>
              <w:rPr>
                <w:rFonts w:hint="eastAsia" w:ascii="仿宋_GB2312" w:eastAsia="仿宋_GB2312"/>
                <w:kern w:val="0"/>
                <w:sz w:val="28"/>
                <w:szCs w:val="28"/>
                <w:lang w:eastAsia="zh-CN"/>
              </w:rPr>
            </w:pPr>
            <w:r>
              <w:rPr>
                <w:rFonts w:hint="eastAsia" w:ascii="仿宋_GB2312" w:eastAsia="仿宋_GB2312"/>
                <w:kern w:val="0"/>
                <w:sz w:val="28"/>
                <w:szCs w:val="28"/>
              </w:rPr>
              <w:t xml:space="preserve">吉林省交通运输厅办公室　　　　　　 </w:t>
            </w:r>
            <w:r>
              <w:rPr>
                <w:rFonts w:hint="eastAsia" w:ascii="仿宋_GB2312" w:eastAsia="仿宋_GB2312"/>
                <w:kern w:val="0"/>
                <w:sz w:val="28"/>
                <w:szCs w:val="28"/>
                <w:lang w:val="en-US" w:eastAsia="zh-CN"/>
              </w:rPr>
              <w:t>2022</w:t>
            </w:r>
            <w:r>
              <w:rPr>
                <w:rFonts w:hint="eastAsia" w:ascii="仿宋_GB2312" w:eastAsia="仿宋_GB2312"/>
                <w:kern w:val="0"/>
                <w:sz w:val="28"/>
                <w:szCs w:val="28"/>
              </w:rPr>
              <w:t>年</w:t>
            </w:r>
            <w:r>
              <w:rPr>
                <w:rFonts w:hint="eastAsia" w:ascii="仿宋_GB2312" w:eastAsia="仿宋_GB2312"/>
                <w:kern w:val="0"/>
                <w:sz w:val="28"/>
                <w:szCs w:val="28"/>
                <w:lang w:val="en-US" w:eastAsia="zh-CN"/>
              </w:rPr>
              <w:t>10</w:t>
            </w:r>
            <w:r>
              <w:rPr>
                <w:rFonts w:hint="eastAsia" w:ascii="仿宋_GB2312" w:eastAsia="仿宋_GB2312"/>
                <w:kern w:val="0"/>
                <w:sz w:val="28"/>
                <w:szCs w:val="28"/>
              </w:rPr>
              <w:t>月</w:t>
            </w:r>
            <w:r>
              <w:rPr>
                <w:rFonts w:hint="eastAsia" w:ascii="仿宋_GB2312" w:eastAsia="仿宋_GB2312"/>
                <w:kern w:val="0"/>
                <w:sz w:val="28"/>
                <w:szCs w:val="28"/>
                <w:lang w:val="en-US" w:eastAsia="zh-CN"/>
              </w:rPr>
              <w:t>28</w:t>
            </w:r>
            <w:r>
              <w:rPr>
                <w:rFonts w:hint="eastAsia" w:ascii="仿宋_GB2312" w:eastAsia="仿宋_GB2312"/>
                <w:kern w:val="0"/>
                <w:sz w:val="28"/>
                <w:szCs w:val="28"/>
              </w:rPr>
              <w:t>日</w:t>
            </w:r>
            <w:r>
              <w:rPr>
                <w:rFonts w:hint="eastAsia" w:ascii="仿宋_GB2312" w:eastAsia="仿宋_GB2312"/>
                <w:kern w:val="0"/>
                <w:sz w:val="28"/>
                <w:szCs w:val="28"/>
                <w:lang w:eastAsia="zh-CN"/>
              </w:rPr>
              <w:t>印发</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8306" w:type="dxa"/>
            <w:tcBorders>
              <w:top w:val="single" w:color="auto" w:sz="12" w:space="0"/>
              <w:bottom w:val="nil"/>
            </w:tcBorders>
            <w:noWrap w:val="0"/>
            <w:vAlign w:val="top"/>
          </w:tcPr>
          <w:p>
            <w:pPr>
              <w:tabs>
                <w:tab w:val="left" w:pos="7560"/>
              </w:tabs>
              <w:spacing w:line="360" w:lineRule="exact"/>
              <w:ind w:right="800"/>
              <w:rPr>
                <w:rFonts w:ascii="仿宋_GB2312" w:hAnsi="宋体" w:eastAsia="仿宋_GB2312"/>
                <w:kern w:val="0"/>
                <w:sz w:val="20"/>
                <w:szCs w:val="21"/>
              </w:rPr>
            </w:pPr>
          </w:p>
        </w:tc>
      </w:tr>
    </w:tbl>
    <w:p>
      <w:pPr>
        <w:tabs>
          <w:tab w:val="left" w:pos="7560"/>
        </w:tabs>
        <w:spacing w:line="100" w:lineRule="exact"/>
        <w:ind w:firstLine="0" w:firstLineChars="0"/>
      </w:pPr>
      <w:bookmarkStart w:id="182" w:name="_GoBack"/>
      <w:bookmarkEnd w:id="182"/>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公文小标宋">
    <w:altName w:val="宋体"/>
    <w:panose1 w:val="02000500000000000000"/>
    <w:charset w:val="00"/>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NWNhNTEwNmY3ZmExM2I4MGU2OWZmODcwMmM1OWMifQ=="/>
  </w:docVars>
  <w:rsids>
    <w:rsidRoot w:val="3AC05536"/>
    <w:rsid w:val="3AC05536"/>
    <w:rsid w:val="73EF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ind w:leftChars="200"/>
      <w:outlineLvl w:val="0"/>
    </w:pPr>
    <w:rPr>
      <w:rFonts w:ascii="Calibri" w:hAnsi="Calibri" w:eastAsia="宋体" w:cs="Times New Roman"/>
      <w:b/>
      <w:kern w:val="44"/>
      <w:sz w:val="44"/>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ind w:leftChars="200"/>
      <w:outlineLvl w:val="2"/>
    </w:pPr>
    <w:rPr>
      <w:rFonts w:ascii="Calibri" w:hAnsi="Calibri" w:eastAsia="宋体" w:cs="Times New Roman"/>
      <w:b/>
      <w:sz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538" w:firstLineChars="192"/>
      <w:jc w:val="left"/>
    </w:pPr>
    <w:rPr>
      <w:rFonts w:ascii="楷体_GB2312" w:hAnsi="宋体" w:eastAsia="楷体_GB2312" w:cs="Times New Roman"/>
      <w:color w:val="000000"/>
      <w:sz w:val="28"/>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8">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8116</Words>
  <Characters>8312</Characters>
  <Lines>0</Lines>
  <Paragraphs>0</Paragraphs>
  <TotalTime>1</TotalTime>
  <ScaleCrop>false</ScaleCrop>
  <LinksUpToDate>false</LinksUpToDate>
  <CharactersWithSpaces>8530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2022-11-02T00:55:00Z</dcterms:created>
  <dc:creator>粉笔-刘奕姝</dc:creator>
  <cp:lastModifiedBy>粉笔-刘奕姝</cp:lastModifiedBy>
  <dcterms:modified xsi:type="dcterms:W3CDTF">2022-11-02T01:01:17Z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AA8C0EACF7014FFABBCDAAC5A6035ACB</vt:lpwstr>
  </property>
</Properties>
</file>