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25" w:afterLines="25"/>
        <w:jc w:val="center"/>
        <w:rPr>
          <w:rFonts w:ascii="黑体" w:hAnsi="黑体" w:eastAsia="黑体" w:cs="黑体"/>
          <w:b/>
          <w:bCs/>
          <w:sz w:val="28"/>
          <w:szCs w:val="28"/>
        </w:rPr>
      </w:pPr>
      <w:r>
        <w:rPr>
          <w:rFonts w:hint="eastAsia" w:ascii="黑体" w:hAnsi="黑体" w:eastAsia="黑体" w:cs="黑体"/>
          <w:b/>
          <w:bCs/>
          <w:sz w:val="28"/>
          <w:szCs w:val="28"/>
        </w:rPr>
        <w:t>集双高速集安至通化段、珲乌高速吉林至机场段（改扩建）、集双高速东丰至双辽段、京哈高速长春至拉林河段（改扩建）机电工程竣（交）工验收质量检测招标</w:t>
      </w:r>
    </w:p>
    <w:p>
      <w:pPr>
        <w:jc w:val="center"/>
        <w:rPr>
          <w:rFonts w:ascii="黑体" w:eastAsia="黑体" w:cs="黑体"/>
          <w:b/>
          <w:sz w:val="28"/>
          <w:szCs w:val="28"/>
        </w:rPr>
      </w:pPr>
      <w:r>
        <w:rPr>
          <w:rFonts w:hint="eastAsia" w:ascii="黑体" w:eastAsia="黑体" w:cs="黑体"/>
          <w:b/>
          <w:sz w:val="28"/>
          <w:szCs w:val="28"/>
        </w:rPr>
        <w:t>招标文件关键内容信息公开</w:t>
      </w:r>
    </w:p>
    <w:p>
      <w:pPr>
        <w:spacing w:line="276" w:lineRule="auto"/>
        <w:ind w:firstLine="420" w:firstLineChars="200"/>
        <w:rPr>
          <w:rFonts w:hAnsi="宋体"/>
          <w:kern w:val="0"/>
          <w:szCs w:val="18"/>
          <w:lang w:val="zh-CN"/>
        </w:rPr>
      </w:pPr>
      <w:r>
        <w:rPr>
          <w:rFonts w:hint="eastAsia" w:hAnsi="宋体"/>
          <w:kern w:val="0"/>
          <w:szCs w:val="18"/>
          <w:lang w:val="zh-CN"/>
        </w:rPr>
        <w:t>本招标项目集双高速集安至通化段己由国家发展和改革委员会以发改基础[2013]1981号文件《国家发展改革委关于吉林省集安至通化公路可行性研究报告的批复》）批准建设，施工图设计己由吉林省交通运输厅以《吉林省交通运输厅关于集安至通化高速公路机电工程及10KV外电工程施工图设计的批复》（吉交审批函[2018]882号文件）批准，招标人为吉林省高等级公路建设局，建设资金来自政府投资和银行贷款，出资比例为政府投资37%、银行贷款63%。珲乌高速吉林至机场段改扩建工程已由吉林省发展和改革委员会以吉发改审批（</w:t>
      </w:r>
      <w:r>
        <w:rPr>
          <w:rFonts w:hAnsi="宋体"/>
          <w:kern w:val="0"/>
          <w:szCs w:val="18"/>
          <w:lang w:val="zh-CN"/>
        </w:rPr>
        <w:t>2016</w:t>
      </w:r>
      <w:r>
        <w:rPr>
          <w:rFonts w:hint="eastAsia" w:hAnsi="宋体"/>
          <w:kern w:val="0"/>
          <w:szCs w:val="18"/>
          <w:lang w:val="zh-CN"/>
        </w:rPr>
        <w:t>）</w:t>
      </w:r>
      <w:r>
        <w:rPr>
          <w:rFonts w:hAnsi="宋体"/>
          <w:kern w:val="0"/>
          <w:szCs w:val="18"/>
          <w:lang w:val="zh-CN"/>
        </w:rPr>
        <w:t>364</w:t>
      </w:r>
      <w:r>
        <w:rPr>
          <w:rFonts w:hint="eastAsia" w:hAnsi="宋体"/>
          <w:kern w:val="0"/>
          <w:szCs w:val="18"/>
          <w:lang w:val="zh-CN"/>
        </w:rPr>
        <w:t>号文件《吉林省发展改革委关于珲春至乌兰浩特高速公路吉林至机场段改扩建工程可行性研究报告的批复》批准建设，施工图设计己由吉林省交通运输厅以《吉林省交通运输厅关于珲乌高速公路吉林至机场段改扩建工程两阶段施工图设计的批复》（吉交审批函[2017]5号文件）批准，招标人为吉林省高等级公路建设局，建设资金来自政府投资和吉林省专项债券，出资比例为政府投资23%、银行贷款77%。集双高速东丰至双辽段机电工程己由国家发展和改革委员会以《国家发展改革委关于东丰至双辽公路（吉林段）可行性研究报告的批复》（发改基础[2016]1760号文件）批准建设，施工图设计己由吉林省交通运输厅以《吉林省交通运输厅关于集安至双辽高速公路东丰至双辽段（吉林段）施工图设计的批复》（吉交审批函[2017]2号文件）批准，招标人为吉林省高等级公路建设局，建设资金来自政府投资和银行贷款，出资比例为政府投资25%、银行贷款75%。京哈高速公路长春至拉林河段改扩建工程</w:t>
      </w:r>
      <w:r>
        <w:rPr>
          <w:rFonts w:hAnsi="宋体"/>
          <w:kern w:val="0"/>
          <w:szCs w:val="18"/>
          <w:lang w:val="zh-CN"/>
        </w:rPr>
        <w:t>已由</w:t>
      </w:r>
      <w:r>
        <w:rPr>
          <w:rFonts w:hint="eastAsia" w:hAnsi="宋体"/>
          <w:kern w:val="0"/>
          <w:szCs w:val="18"/>
          <w:lang w:val="zh-CN"/>
        </w:rPr>
        <w:t>吉林省</w:t>
      </w:r>
      <w:r>
        <w:rPr>
          <w:rFonts w:hAnsi="宋体"/>
          <w:kern w:val="0"/>
          <w:szCs w:val="18"/>
          <w:lang w:val="zh-CN"/>
        </w:rPr>
        <w:t>发展和改革委员会以</w:t>
      </w:r>
      <w:r>
        <w:rPr>
          <w:rFonts w:hint="eastAsia" w:hAnsi="宋体"/>
          <w:kern w:val="0"/>
          <w:szCs w:val="18"/>
          <w:lang w:val="zh-CN"/>
        </w:rPr>
        <w:t>吉</w:t>
      </w:r>
      <w:r>
        <w:rPr>
          <w:rFonts w:hAnsi="宋体"/>
          <w:kern w:val="0"/>
          <w:szCs w:val="18"/>
          <w:lang w:val="zh-CN"/>
        </w:rPr>
        <w:t>发改</w:t>
      </w:r>
      <w:r>
        <w:rPr>
          <w:rFonts w:hint="eastAsia" w:hAnsi="宋体"/>
          <w:kern w:val="0"/>
          <w:szCs w:val="18"/>
          <w:lang w:val="zh-CN"/>
        </w:rPr>
        <w:t>审批（2016）340</w:t>
      </w:r>
      <w:r>
        <w:rPr>
          <w:rFonts w:hAnsi="宋体"/>
          <w:kern w:val="0"/>
          <w:szCs w:val="18"/>
          <w:lang w:val="zh-CN"/>
        </w:rPr>
        <w:t>号文件《</w:t>
      </w:r>
      <w:r>
        <w:rPr>
          <w:rFonts w:hint="eastAsia" w:hAnsi="宋体"/>
          <w:kern w:val="0"/>
          <w:szCs w:val="18"/>
          <w:lang w:val="zh-CN"/>
        </w:rPr>
        <w:t>吉林省发展改革委关于北京至哈尔滨高速公路长春至拉林河段改扩建工程可行性研究报告的批复</w:t>
      </w:r>
      <w:r>
        <w:rPr>
          <w:rFonts w:hAnsi="宋体"/>
          <w:kern w:val="0"/>
          <w:szCs w:val="18"/>
          <w:lang w:val="zh-CN"/>
        </w:rPr>
        <w:t>》批准建设，</w:t>
      </w:r>
      <w:r>
        <w:rPr>
          <w:rFonts w:hint="eastAsia" w:hAnsi="宋体"/>
          <w:kern w:val="0"/>
          <w:szCs w:val="18"/>
          <w:lang w:val="zh-CN"/>
        </w:rPr>
        <w:t>施工图设计己由吉林省交通运输厅以《吉林省交通运输厅关于京哈高速公路长春至拉林和段改扩建工程两阶段施工图设计的批复》（吉交审批函[2017]4号文件）批准，招标人</w:t>
      </w:r>
      <w:r>
        <w:rPr>
          <w:rFonts w:hAnsi="宋体"/>
          <w:kern w:val="0"/>
          <w:szCs w:val="18"/>
          <w:lang w:val="zh-CN"/>
        </w:rPr>
        <w:t>为吉林省高等级公路建设局</w:t>
      </w:r>
      <w:r>
        <w:rPr>
          <w:rFonts w:hint="eastAsia" w:hAnsi="宋体"/>
          <w:kern w:val="0"/>
          <w:szCs w:val="18"/>
          <w:lang w:val="zh-CN"/>
        </w:rPr>
        <w:t>建设资金来自政府投资和银行贷款及项目法人自筹，出资比例为政府投资24%、银行贷款68%、项目法人自筹8%。项目已具备招标条件，现对以上高速公路项目的竣（交）工验收质量检测进行公开招标。</w:t>
      </w:r>
    </w:p>
    <w:p>
      <w:pPr>
        <w:spacing w:line="276" w:lineRule="auto"/>
        <w:ind w:firstLine="420" w:firstLineChars="200"/>
        <w:rPr>
          <w:rFonts w:ascii="宋体" w:hAnsi="宋体"/>
          <w:szCs w:val="21"/>
        </w:rPr>
      </w:pPr>
    </w:p>
    <w:p>
      <w:pPr>
        <w:adjustRightInd w:val="0"/>
        <w:snapToGrid w:val="0"/>
        <w:spacing w:line="440" w:lineRule="exact"/>
        <w:rPr>
          <w:rFonts w:ascii="黑体" w:hAnsi="黑体" w:eastAsia="黑体" w:cs="黑体"/>
          <w:b/>
          <w:sz w:val="28"/>
          <w:szCs w:val="28"/>
        </w:rPr>
      </w:pPr>
      <w:r>
        <w:rPr>
          <w:rFonts w:hint="eastAsia" w:ascii="黑体" w:hAnsi="黑体" w:eastAsia="黑体" w:cs="黑体"/>
          <w:b/>
          <w:sz w:val="28"/>
          <w:szCs w:val="28"/>
        </w:rPr>
        <w:t>1.项目概况及招标范围</w:t>
      </w:r>
    </w:p>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1.1项目概况：</w:t>
      </w:r>
    </w:p>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集双高速集安至通化段：</w:t>
      </w:r>
      <w:r>
        <w:rPr>
          <w:rFonts w:ascii="宋体" w:hAnsi="宋体"/>
          <w:szCs w:val="21"/>
        </w:rPr>
        <w:t>主线全长</w:t>
      </w:r>
      <w:r>
        <w:rPr>
          <w:rFonts w:hint="eastAsia" w:ascii="宋体" w:hAnsi="宋体"/>
          <w:szCs w:val="21"/>
        </w:rPr>
        <w:t>82.213</w:t>
      </w:r>
      <w:r>
        <w:rPr>
          <w:rFonts w:ascii="宋体" w:hAnsi="宋体"/>
          <w:szCs w:val="21"/>
        </w:rPr>
        <w:t>公里，设计速度80公里/小时，整体式路基宽度24.5米，分离式路基宽度12.25米。全线设特大桥3638.2</w:t>
      </w:r>
      <w:bookmarkStart w:id="25" w:name="_GoBack"/>
      <w:bookmarkEnd w:id="25"/>
      <w:r>
        <w:rPr>
          <w:rFonts w:ascii="宋体" w:hAnsi="宋体"/>
          <w:szCs w:val="21"/>
        </w:rPr>
        <w:t>5米/2座，大桥7606.5米/27座，中桥666米/9座，隧道18636米/9座，互通立交6处，U型转弯1处，分离立交1处，通道26处，天桥3座。</w:t>
      </w:r>
    </w:p>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珲乌高速吉林至机场段（改扩建）：主线全长63.247公里，既有高速公路采用双向六车道标准，设计速度120公里/小时，路基宽度34.5米。其中：路基、桥涵按双向六车道一次建成，路面按双向四车道建成，中央分隔带预留两车道用地。本次对既有高速公路中央分隔带预留的两车道进行建设，建成六车道高速公路。全线设大桥332米/2座，中桥728米/12座，小桥282米/13座。</w:t>
      </w:r>
    </w:p>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集双高速东丰至双辽段：</w:t>
      </w:r>
      <w:r>
        <w:rPr>
          <w:rFonts w:ascii="宋体" w:hAnsi="宋体"/>
          <w:szCs w:val="21"/>
        </w:rPr>
        <w:t>主线全长</w:t>
      </w:r>
      <w:r>
        <w:rPr>
          <w:rFonts w:hint="eastAsia" w:ascii="宋体" w:hAnsi="宋体"/>
          <w:szCs w:val="21"/>
        </w:rPr>
        <w:t>184.970</w:t>
      </w:r>
      <w:r>
        <w:rPr>
          <w:rFonts w:ascii="宋体" w:hAnsi="宋体"/>
          <w:szCs w:val="21"/>
        </w:rPr>
        <w:t>公里，设计速度</w:t>
      </w:r>
      <w:r>
        <w:rPr>
          <w:rFonts w:hint="eastAsia" w:ascii="宋体" w:hAnsi="宋体"/>
          <w:szCs w:val="21"/>
        </w:rPr>
        <w:t>120</w:t>
      </w:r>
      <w:r>
        <w:rPr>
          <w:rFonts w:ascii="宋体" w:hAnsi="宋体"/>
          <w:szCs w:val="21"/>
        </w:rPr>
        <w:t>小时，整体式路基宽度</w:t>
      </w:r>
      <w:r>
        <w:rPr>
          <w:rFonts w:hint="eastAsia" w:ascii="宋体" w:hAnsi="宋体"/>
          <w:szCs w:val="21"/>
        </w:rPr>
        <w:t>27</w:t>
      </w:r>
      <w:r>
        <w:rPr>
          <w:rFonts w:ascii="宋体" w:hAnsi="宋体"/>
          <w:szCs w:val="21"/>
        </w:rPr>
        <w:t>米，分离式路基宽度1</w:t>
      </w:r>
      <w:r>
        <w:rPr>
          <w:rFonts w:hint="eastAsia" w:ascii="宋体" w:hAnsi="宋体"/>
          <w:szCs w:val="21"/>
        </w:rPr>
        <w:t>3</w:t>
      </w:r>
      <w:r>
        <w:rPr>
          <w:rFonts w:ascii="宋体" w:hAnsi="宋体"/>
          <w:szCs w:val="21"/>
        </w:rPr>
        <w:t>.25米。</w:t>
      </w:r>
      <w:r>
        <w:rPr>
          <w:rFonts w:hint="eastAsia" w:ascii="宋体" w:hAnsi="宋体"/>
          <w:szCs w:val="21"/>
        </w:rPr>
        <w:t>全线</w:t>
      </w:r>
      <w:r>
        <w:rPr>
          <w:rFonts w:ascii="宋体" w:hAnsi="宋体"/>
          <w:szCs w:val="21"/>
        </w:rPr>
        <w:t>设特大桥</w:t>
      </w:r>
      <w:r>
        <w:rPr>
          <w:rFonts w:hint="eastAsia" w:ascii="宋体" w:hAnsi="宋体"/>
          <w:szCs w:val="21"/>
        </w:rPr>
        <w:t>1027</w:t>
      </w:r>
      <w:r>
        <w:rPr>
          <w:rFonts w:ascii="宋体" w:hAnsi="宋体"/>
          <w:szCs w:val="21"/>
        </w:rPr>
        <w:t>米/</w:t>
      </w:r>
      <w:r>
        <w:rPr>
          <w:rFonts w:hint="eastAsia" w:ascii="宋体" w:hAnsi="宋体"/>
          <w:szCs w:val="21"/>
        </w:rPr>
        <w:t>1</w:t>
      </w:r>
      <w:r>
        <w:rPr>
          <w:rFonts w:ascii="宋体" w:hAnsi="宋体"/>
          <w:szCs w:val="21"/>
        </w:rPr>
        <w:t>座，大桥</w:t>
      </w:r>
      <w:r>
        <w:rPr>
          <w:rFonts w:hint="eastAsia" w:ascii="宋体" w:hAnsi="宋体"/>
          <w:szCs w:val="21"/>
        </w:rPr>
        <w:t>11418</w:t>
      </w:r>
      <w:r>
        <w:rPr>
          <w:rFonts w:ascii="宋体" w:hAnsi="宋体"/>
          <w:szCs w:val="21"/>
        </w:rPr>
        <w:t>米/</w:t>
      </w:r>
      <w:r>
        <w:rPr>
          <w:rFonts w:hint="eastAsia" w:ascii="宋体" w:hAnsi="宋体"/>
          <w:szCs w:val="21"/>
        </w:rPr>
        <w:t>39</w:t>
      </w:r>
      <w:r>
        <w:rPr>
          <w:rFonts w:ascii="宋体" w:hAnsi="宋体"/>
          <w:szCs w:val="21"/>
        </w:rPr>
        <w:t>座，中桥</w:t>
      </w:r>
      <w:r>
        <w:rPr>
          <w:rFonts w:hint="eastAsia" w:ascii="宋体" w:hAnsi="宋体"/>
          <w:szCs w:val="21"/>
        </w:rPr>
        <w:t>1303</w:t>
      </w:r>
      <w:r>
        <w:rPr>
          <w:rFonts w:ascii="宋体" w:hAnsi="宋体"/>
          <w:szCs w:val="21"/>
        </w:rPr>
        <w:t>米/</w:t>
      </w:r>
      <w:r>
        <w:rPr>
          <w:rFonts w:hint="eastAsia" w:ascii="宋体" w:hAnsi="宋体"/>
          <w:szCs w:val="21"/>
        </w:rPr>
        <w:t>1</w:t>
      </w:r>
      <w:r>
        <w:rPr>
          <w:rFonts w:ascii="宋体" w:hAnsi="宋体"/>
          <w:szCs w:val="21"/>
        </w:rPr>
        <w:t>9座，</w:t>
      </w:r>
      <w:r>
        <w:rPr>
          <w:rFonts w:hint="eastAsia" w:ascii="宋体" w:hAnsi="宋体"/>
          <w:szCs w:val="21"/>
        </w:rPr>
        <w:t>小桥241米/9座，</w:t>
      </w:r>
      <w:r>
        <w:rPr>
          <w:rFonts w:ascii="宋体" w:hAnsi="宋体"/>
          <w:szCs w:val="21"/>
        </w:rPr>
        <w:t>隧道</w:t>
      </w:r>
      <w:r>
        <w:rPr>
          <w:rFonts w:hint="eastAsia" w:ascii="宋体" w:hAnsi="宋体"/>
          <w:szCs w:val="21"/>
        </w:rPr>
        <w:t>1</w:t>
      </w:r>
      <w:r>
        <w:rPr>
          <w:rFonts w:ascii="宋体" w:hAnsi="宋体"/>
          <w:szCs w:val="21"/>
        </w:rPr>
        <w:t>座，互通立交</w:t>
      </w:r>
      <w:r>
        <w:rPr>
          <w:rFonts w:hint="eastAsia" w:ascii="宋体" w:hAnsi="宋体"/>
          <w:szCs w:val="21"/>
        </w:rPr>
        <w:t>1</w:t>
      </w:r>
      <w:r>
        <w:rPr>
          <w:rFonts w:ascii="宋体" w:hAnsi="宋体"/>
          <w:szCs w:val="21"/>
        </w:rPr>
        <w:t>6处，分离立交</w:t>
      </w:r>
      <w:r>
        <w:rPr>
          <w:rFonts w:hint="eastAsia" w:ascii="宋体" w:hAnsi="宋体"/>
          <w:szCs w:val="21"/>
        </w:rPr>
        <w:t>24</w:t>
      </w:r>
      <w:r>
        <w:rPr>
          <w:rFonts w:ascii="宋体" w:hAnsi="宋体"/>
          <w:szCs w:val="21"/>
        </w:rPr>
        <w:t>处，通道</w:t>
      </w:r>
      <w:r>
        <w:rPr>
          <w:rFonts w:hint="eastAsia" w:ascii="宋体" w:hAnsi="宋体"/>
          <w:szCs w:val="21"/>
        </w:rPr>
        <w:t>145</w:t>
      </w:r>
      <w:r>
        <w:rPr>
          <w:rFonts w:ascii="宋体" w:hAnsi="宋体"/>
          <w:szCs w:val="21"/>
        </w:rPr>
        <w:t>处，天桥</w:t>
      </w:r>
      <w:r>
        <w:rPr>
          <w:rFonts w:hint="eastAsia" w:ascii="宋体" w:hAnsi="宋体"/>
          <w:szCs w:val="21"/>
        </w:rPr>
        <w:t>58</w:t>
      </w:r>
      <w:r>
        <w:rPr>
          <w:rFonts w:ascii="宋体" w:hAnsi="宋体"/>
          <w:szCs w:val="21"/>
        </w:rPr>
        <w:t>座。</w:t>
      </w:r>
    </w:p>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京哈高速公路长春至拉林河段（改扩建）：主线全长143.634公里，既有高速公路采用双向四车道标准，设计速度为120（80）公里/小时, 路基宽度28（24.5）米，本次对既有高速公路进行开扩建，采用双向八车道标准，路基宽度为42米。全线设特大桥1598米/1座，大桥1293米/4座，中桥362米/6座。</w:t>
      </w:r>
    </w:p>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1.2标段划分与招标内容：本次招标共划分为1个标段，具体见下表。</w:t>
      </w:r>
    </w:p>
    <w:tbl>
      <w:tblPr>
        <w:tblStyle w:val="3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544"/>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17" w:type="dxa"/>
          </w:tcPr>
          <w:p>
            <w:pPr>
              <w:adjustRightInd w:val="0"/>
              <w:snapToGrid w:val="0"/>
              <w:spacing w:beforeLines="25" w:afterLines="25" w:line="276" w:lineRule="auto"/>
              <w:rPr>
                <w:rFonts w:ascii="宋体" w:hAnsi="宋体"/>
                <w:szCs w:val="21"/>
              </w:rPr>
            </w:pPr>
            <w:r>
              <w:rPr>
                <w:rFonts w:hint="eastAsia" w:ascii="宋体" w:hAnsi="宋体"/>
                <w:szCs w:val="21"/>
              </w:rPr>
              <w:t>标段</w:t>
            </w:r>
          </w:p>
        </w:tc>
        <w:tc>
          <w:tcPr>
            <w:tcW w:w="3544" w:type="dxa"/>
          </w:tcPr>
          <w:p>
            <w:pPr>
              <w:adjustRightInd w:val="0"/>
              <w:snapToGrid w:val="0"/>
              <w:spacing w:beforeLines="25" w:afterLines="25" w:line="276" w:lineRule="auto"/>
              <w:rPr>
                <w:rFonts w:ascii="宋体" w:hAnsi="宋体"/>
                <w:szCs w:val="21"/>
              </w:rPr>
            </w:pPr>
            <w:r>
              <w:rPr>
                <w:rFonts w:hint="eastAsia" w:ascii="宋体" w:hAnsi="宋体"/>
                <w:szCs w:val="21"/>
              </w:rPr>
              <w:t>项目名称</w:t>
            </w:r>
          </w:p>
        </w:tc>
        <w:tc>
          <w:tcPr>
            <w:tcW w:w="2693" w:type="dxa"/>
          </w:tcPr>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招标内容</w:t>
            </w:r>
          </w:p>
        </w:tc>
        <w:tc>
          <w:tcPr>
            <w:tcW w:w="2693" w:type="dxa"/>
          </w:tcPr>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预计完工、竣工日期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Merge w:val="restart"/>
            <w:vAlign w:val="center"/>
          </w:tcPr>
          <w:p>
            <w:pPr>
              <w:adjustRightInd w:val="0"/>
              <w:snapToGrid w:val="0"/>
              <w:spacing w:beforeLines="25" w:afterLines="25" w:line="276" w:lineRule="auto"/>
              <w:rPr>
                <w:rFonts w:ascii="宋体" w:hAnsi="宋体"/>
                <w:szCs w:val="21"/>
              </w:rPr>
            </w:pPr>
            <w:r>
              <w:rPr>
                <w:rFonts w:hint="eastAsia" w:ascii="宋体" w:hAnsi="宋体"/>
                <w:szCs w:val="21"/>
              </w:rPr>
              <w:t>JC01</w:t>
            </w:r>
          </w:p>
        </w:tc>
        <w:tc>
          <w:tcPr>
            <w:tcW w:w="3544" w:type="dxa"/>
            <w:vAlign w:val="center"/>
          </w:tcPr>
          <w:p>
            <w:pPr>
              <w:adjustRightInd w:val="0"/>
              <w:snapToGrid w:val="0"/>
              <w:spacing w:beforeLines="25" w:afterLines="25" w:line="276" w:lineRule="auto"/>
              <w:rPr>
                <w:rFonts w:ascii="宋体" w:hAnsi="宋体"/>
                <w:szCs w:val="21"/>
              </w:rPr>
            </w:pPr>
            <w:r>
              <w:rPr>
                <w:rFonts w:hint="eastAsia" w:ascii="宋体" w:hAnsi="宋体"/>
                <w:szCs w:val="21"/>
              </w:rPr>
              <w:t>集双高速集安至通化段</w:t>
            </w:r>
          </w:p>
        </w:tc>
        <w:tc>
          <w:tcPr>
            <w:tcW w:w="2693" w:type="dxa"/>
            <w:vMerge w:val="restart"/>
            <w:vAlign w:val="center"/>
          </w:tcPr>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机电工程的竣（交）工验收质量检测（集双高速集安至通化段包含通化连接线；集双高速东丰至双辽段不含辽宁段、包含K186+800至K226+300机电暂未实施部分）</w:t>
            </w:r>
          </w:p>
        </w:tc>
        <w:tc>
          <w:tcPr>
            <w:tcW w:w="2693" w:type="dxa"/>
          </w:tcPr>
          <w:p>
            <w:pPr>
              <w:adjustRightInd w:val="0"/>
              <w:snapToGrid w:val="0"/>
              <w:spacing w:beforeLines="25" w:afterLines="25" w:line="276" w:lineRule="auto"/>
              <w:rPr>
                <w:rFonts w:ascii="宋体" w:hAnsi="宋体"/>
                <w:szCs w:val="21"/>
              </w:rPr>
            </w:pPr>
            <w:r>
              <w:rPr>
                <w:rFonts w:hint="eastAsia" w:ascii="宋体" w:hAnsi="宋体"/>
                <w:szCs w:val="21"/>
              </w:rPr>
              <w:t>完工：2019年9月10日</w:t>
            </w:r>
          </w:p>
          <w:p>
            <w:pPr>
              <w:adjustRightInd w:val="0"/>
              <w:snapToGrid w:val="0"/>
              <w:spacing w:beforeLines="25" w:afterLines="25" w:line="276" w:lineRule="auto"/>
              <w:rPr>
                <w:rFonts w:ascii="宋体" w:hAnsi="宋体"/>
                <w:szCs w:val="21"/>
              </w:rPr>
            </w:pPr>
            <w:r>
              <w:rPr>
                <w:rFonts w:hint="eastAsia" w:ascii="宋体" w:hAnsi="宋体"/>
                <w:szCs w:val="21"/>
              </w:rPr>
              <w:t>竣工：交工证书签发两年后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Merge w:val="continue"/>
          </w:tcPr>
          <w:p>
            <w:pPr>
              <w:adjustRightInd w:val="0"/>
              <w:snapToGrid w:val="0"/>
              <w:spacing w:beforeLines="25" w:afterLines="25" w:line="276" w:lineRule="auto"/>
              <w:ind w:firstLine="420" w:firstLineChars="200"/>
              <w:rPr>
                <w:rFonts w:ascii="宋体" w:hAnsi="宋体"/>
                <w:szCs w:val="21"/>
              </w:rPr>
            </w:pPr>
          </w:p>
        </w:tc>
        <w:tc>
          <w:tcPr>
            <w:tcW w:w="3544" w:type="dxa"/>
            <w:vAlign w:val="center"/>
          </w:tcPr>
          <w:p>
            <w:pPr>
              <w:adjustRightInd w:val="0"/>
              <w:snapToGrid w:val="0"/>
              <w:spacing w:beforeLines="25" w:afterLines="25" w:line="276" w:lineRule="auto"/>
              <w:rPr>
                <w:rFonts w:ascii="宋体" w:hAnsi="宋体"/>
                <w:szCs w:val="21"/>
              </w:rPr>
            </w:pPr>
            <w:r>
              <w:rPr>
                <w:rFonts w:hint="eastAsia" w:ascii="宋体" w:hAnsi="宋体"/>
                <w:szCs w:val="21"/>
              </w:rPr>
              <w:t>珲乌高速吉林至机场段（改扩建）</w:t>
            </w:r>
          </w:p>
        </w:tc>
        <w:tc>
          <w:tcPr>
            <w:tcW w:w="2693" w:type="dxa"/>
            <w:vMerge w:val="continue"/>
          </w:tcPr>
          <w:p>
            <w:pPr>
              <w:adjustRightInd w:val="0"/>
              <w:snapToGrid w:val="0"/>
              <w:spacing w:beforeLines="25" w:afterLines="25" w:line="276" w:lineRule="auto"/>
              <w:ind w:firstLine="420" w:firstLineChars="200"/>
              <w:rPr>
                <w:rFonts w:ascii="宋体" w:hAnsi="宋体"/>
                <w:szCs w:val="21"/>
              </w:rPr>
            </w:pPr>
          </w:p>
        </w:tc>
        <w:tc>
          <w:tcPr>
            <w:tcW w:w="2693" w:type="dxa"/>
          </w:tcPr>
          <w:p>
            <w:pPr>
              <w:adjustRightInd w:val="0"/>
              <w:snapToGrid w:val="0"/>
              <w:spacing w:beforeLines="25" w:afterLines="25" w:line="276" w:lineRule="auto"/>
              <w:rPr>
                <w:rFonts w:ascii="宋体" w:hAnsi="宋体"/>
                <w:szCs w:val="21"/>
              </w:rPr>
            </w:pPr>
            <w:r>
              <w:rPr>
                <w:rFonts w:hint="eastAsia" w:ascii="宋体" w:hAnsi="宋体"/>
                <w:szCs w:val="21"/>
              </w:rPr>
              <w:t>完工：2019年9月10日</w:t>
            </w:r>
          </w:p>
          <w:p>
            <w:pPr>
              <w:adjustRightInd w:val="0"/>
              <w:snapToGrid w:val="0"/>
              <w:spacing w:beforeLines="25" w:afterLines="25" w:line="276" w:lineRule="auto"/>
              <w:rPr>
                <w:rFonts w:ascii="宋体" w:hAnsi="宋体"/>
                <w:szCs w:val="21"/>
              </w:rPr>
            </w:pPr>
            <w:r>
              <w:rPr>
                <w:rFonts w:hint="eastAsia" w:ascii="宋体" w:hAnsi="宋体"/>
                <w:szCs w:val="21"/>
              </w:rPr>
              <w:t>竣工：交工证书签发两年后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Merge w:val="continue"/>
          </w:tcPr>
          <w:p>
            <w:pPr>
              <w:adjustRightInd w:val="0"/>
              <w:snapToGrid w:val="0"/>
              <w:spacing w:beforeLines="25" w:afterLines="25" w:line="276" w:lineRule="auto"/>
              <w:ind w:firstLine="420" w:firstLineChars="200"/>
              <w:rPr>
                <w:rFonts w:ascii="宋体" w:hAnsi="宋体"/>
                <w:szCs w:val="21"/>
              </w:rPr>
            </w:pPr>
          </w:p>
        </w:tc>
        <w:tc>
          <w:tcPr>
            <w:tcW w:w="3544" w:type="dxa"/>
            <w:vAlign w:val="center"/>
          </w:tcPr>
          <w:p>
            <w:pPr>
              <w:adjustRightInd w:val="0"/>
              <w:snapToGrid w:val="0"/>
              <w:spacing w:beforeLines="25" w:afterLines="25" w:line="276" w:lineRule="auto"/>
              <w:rPr>
                <w:rFonts w:ascii="宋体" w:hAnsi="宋体"/>
                <w:szCs w:val="21"/>
              </w:rPr>
            </w:pPr>
            <w:r>
              <w:rPr>
                <w:rFonts w:hint="eastAsia" w:ascii="宋体" w:hAnsi="宋体"/>
                <w:szCs w:val="21"/>
              </w:rPr>
              <w:t>集双高速东丰至双辽段</w:t>
            </w:r>
          </w:p>
        </w:tc>
        <w:tc>
          <w:tcPr>
            <w:tcW w:w="2693" w:type="dxa"/>
            <w:vMerge w:val="continue"/>
          </w:tcPr>
          <w:p>
            <w:pPr>
              <w:adjustRightInd w:val="0"/>
              <w:snapToGrid w:val="0"/>
              <w:spacing w:beforeLines="25" w:afterLines="25" w:line="276" w:lineRule="auto"/>
              <w:ind w:firstLine="420" w:firstLineChars="200"/>
              <w:rPr>
                <w:rFonts w:ascii="宋体" w:hAnsi="宋体"/>
                <w:szCs w:val="21"/>
              </w:rPr>
            </w:pPr>
          </w:p>
        </w:tc>
        <w:tc>
          <w:tcPr>
            <w:tcW w:w="2693" w:type="dxa"/>
          </w:tcPr>
          <w:p>
            <w:pPr>
              <w:adjustRightInd w:val="0"/>
              <w:snapToGrid w:val="0"/>
              <w:spacing w:beforeLines="25" w:afterLines="25" w:line="276" w:lineRule="auto"/>
              <w:rPr>
                <w:rFonts w:ascii="宋体" w:hAnsi="宋体"/>
                <w:szCs w:val="21"/>
              </w:rPr>
            </w:pPr>
            <w:r>
              <w:rPr>
                <w:rFonts w:hint="eastAsia" w:ascii="宋体" w:hAnsi="宋体"/>
                <w:szCs w:val="21"/>
              </w:rPr>
              <w:t>完工：2020年9月10日</w:t>
            </w:r>
          </w:p>
          <w:p>
            <w:pPr>
              <w:adjustRightInd w:val="0"/>
              <w:snapToGrid w:val="0"/>
              <w:spacing w:beforeLines="25" w:afterLines="25" w:line="276" w:lineRule="auto"/>
              <w:rPr>
                <w:rFonts w:ascii="宋体" w:hAnsi="宋体"/>
                <w:szCs w:val="21"/>
              </w:rPr>
            </w:pPr>
            <w:r>
              <w:rPr>
                <w:rFonts w:hint="eastAsia" w:ascii="宋体" w:hAnsi="宋体"/>
                <w:szCs w:val="21"/>
              </w:rPr>
              <w:t>竣工：交工证书签发两年后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Merge w:val="continue"/>
          </w:tcPr>
          <w:p>
            <w:pPr>
              <w:adjustRightInd w:val="0"/>
              <w:snapToGrid w:val="0"/>
              <w:spacing w:beforeLines="25" w:afterLines="25" w:line="276" w:lineRule="auto"/>
              <w:ind w:firstLine="420" w:firstLineChars="200"/>
              <w:rPr>
                <w:rFonts w:ascii="宋体" w:hAnsi="宋体"/>
                <w:szCs w:val="21"/>
              </w:rPr>
            </w:pPr>
          </w:p>
        </w:tc>
        <w:tc>
          <w:tcPr>
            <w:tcW w:w="3544" w:type="dxa"/>
            <w:vAlign w:val="center"/>
          </w:tcPr>
          <w:p>
            <w:pPr>
              <w:adjustRightInd w:val="0"/>
              <w:snapToGrid w:val="0"/>
              <w:spacing w:beforeLines="25" w:afterLines="25" w:line="276" w:lineRule="auto"/>
              <w:rPr>
                <w:rFonts w:ascii="宋体" w:hAnsi="宋体"/>
                <w:szCs w:val="21"/>
              </w:rPr>
            </w:pPr>
            <w:r>
              <w:rPr>
                <w:rFonts w:hint="eastAsia" w:ascii="宋体" w:hAnsi="宋体"/>
                <w:szCs w:val="21"/>
              </w:rPr>
              <w:t>京哈高速公路长春至拉林河段（改扩建）</w:t>
            </w:r>
          </w:p>
        </w:tc>
        <w:tc>
          <w:tcPr>
            <w:tcW w:w="2693" w:type="dxa"/>
            <w:vMerge w:val="continue"/>
          </w:tcPr>
          <w:p>
            <w:pPr>
              <w:adjustRightInd w:val="0"/>
              <w:snapToGrid w:val="0"/>
              <w:spacing w:beforeLines="25" w:afterLines="25" w:line="276" w:lineRule="auto"/>
              <w:ind w:firstLine="420" w:firstLineChars="200"/>
              <w:rPr>
                <w:rFonts w:ascii="宋体" w:hAnsi="宋体"/>
                <w:szCs w:val="21"/>
              </w:rPr>
            </w:pPr>
          </w:p>
        </w:tc>
        <w:tc>
          <w:tcPr>
            <w:tcW w:w="2693" w:type="dxa"/>
          </w:tcPr>
          <w:p>
            <w:pPr>
              <w:adjustRightInd w:val="0"/>
              <w:snapToGrid w:val="0"/>
              <w:spacing w:beforeLines="25" w:afterLines="25" w:line="276" w:lineRule="auto"/>
              <w:rPr>
                <w:rFonts w:ascii="宋体" w:hAnsi="宋体"/>
                <w:szCs w:val="21"/>
              </w:rPr>
            </w:pPr>
            <w:r>
              <w:rPr>
                <w:rFonts w:hint="eastAsia" w:ascii="宋体" w:hAnsi="宋体"/>
                <w:szCs w:val="21"/>
              </w:rPr>
              <w:t>完工：2020年9月10日</w:t>
            </w:r>
          </w:p>
          <w:p>
            <w:pPr>
              <w:adjustRightInd w:val="0"/>
              <w:snapToGrid w:val="0"/>
              <w:spacing w:beforeLines="25" w:afterLines="25" w:line="276" w:lineRule="auto"/>
              <w:rPr>
                <w:rFonts w:ascii="宋体" w:hAnsi="宋体"/>
                <w:szCs w:val="21"/>
              </w:rPr>
            </w:pPr>
            <w:r>
              <w:rPr>
                <w:rFonts w:hint="eastAsia" w:ascii="宋体" w:hAnsi="宋体"/>
                <w:szCs w:val="21"/>
              </w:rPr>
              <w:t>竣工：交工证书签发两年后</w:t>
            </w:r>
          </w:p>
        </w:tc>
      </w:tr>
    </w:tbl>
    <w:p>
      <w:pPr>
        <w:adjustRightInd w:val="0"/>
        <w:snapToGrid w:val="0"/>
        <w:spacing w:beforeLines="25" w:afterLines="25" w:line="276" w:lineRule="auto"/>
        <w:ind w:firstLine="420" w:firstLineChars="200"/>
        <w:rPr>
          <w:rFonts w:hint="eastAsia" w:ascii="宋体" w:hAnsi="宋体"/>
          <w:szCs w:val="21"/>
        </w:rPr>
      </w:pPr>
      <w:r>
        <w:rPr>
          <w:rFonts w:hint="eastAsia" w:ascii="宋体" w:hAnsi="宋体"/>
          <w:szCs w:val="21"/>
        </w:rPr>
        <w:t>1.3计划检测服务</w:t>
      </w:r>
      <w:r>
        <w:rPr>
          <w:rFonts w:ascii="宋体" w:hAnsi="宋体"/>
          <w:szCs w:val="21"/>
        </w:rPr>
        <w:t>期</w:t>
      </w:r>
      <w:r>
        <w:rPr>
          <w:rFonts w:hint="eastAsia" w:ascii="宋体" w:hAnsi="宋体"/>
          <w:szCs w:val="21"/>
        </w:rPr>
        <w:t>： 各项目预计竣（交）工验收前2个月。</w:t>
      </w:r>
    </w:p>
    <w:p>
      <w:pPr>
        <w:adjustRightInd w:val="0"/>
        <w:snapToGrid w:val="0"/>
        <w:spacing w:beforeLines="25" w:afterLines="25" w:line="276" w:lineRule="auto"/>
        <w:ind w:firstLine="420" w:firstLineChars="200"/>
        <w:rPr>
          <w:rFonts w:ascii="宋体" w:hAnsi="宋体"/>
          <w:szCs w:val="21"/>
        </w:rPr>
      </w:pPr>
      <w:r>
        <w:rPr>
          <w:rFonts w:hint="eastAsia" w:ascii="宋体" w:hAnsi="宋体"/>
          <w:szCs w:val="21"/>
        </w:rPr>
        <w:t>最高投标限价，JC01标段：4870008元（其中：集双高速集安至通化段2504295元；珲乌高速吉林至机场段（改扩建）587639元；集双高速东丰至双辽段830736元；京哈高速公路长春至拉林河段（改扩建）947337元）</w:t>
      </w:r>
    </w:p>
    <w:p>
      <w:pPr>
        <w:spacing w:line="276" w:lineRule="auto"/>
        <w:jc w:val="left"/>
        <w:rPr>
          <w:rFonts w:ascii="黑体" w:hAnsi="黑体" w:eastAsia="黑体" w:cs="黑体"/>
          <w:b/>
          <w:sz w:val="28"/>
          <w:szCs w:val="28"/>
        </w:rPr>
      </w:pPr>
      <w:r>
        <w:rPr>
          <w:rFonts w:hint="eastAsia" w:ascii="黑体" w:hAnsi="黑体" w:eastAsia="黑体" w:cs="黑体"/>
          <w:b/>
          <w:sz w:val="28"/>
          <w:szCs w:val="28"/>
        </w:rPr>
        <w:t>2.资格审查条件</w:t>
      </w:r>
    </w:p>
    <w:p>
      <w:pPr>
        <w:pStyle w:val="5"/>
        <w:adjustRightInd w:val="0"/>
        <w:snapToGrid w:val="0"/>
        <w:spacing w:beforeLines="100" w:afterLines="50" w:line="240" w:lineRule="auto"/>
        <w:jc w:val="center"/>
        <w:rPr>
          <w:rFonts w:ascii="黑体" w:hAnsi="黑体"/>
          <w:b w:val="0"/>
        </w:rPr>
      </w:pPr>
      <w:bookmarkStart w:id="0" w:name="_Toc484950570"/>
      <w:bookmarkStart w:id="1" w:name="_Toc529952774"/>
      <w:bookmarkStart w:id="2" w:name="_Toc530123470"/>
      <w:bookmarkStart w:id="3" w:name="_Toc530123583"/>
      <w:bookmarkStart w:id="4" w:name="_Toc534787456"/>
      <w:bookmarkStart w:id="5" w:name="_Toc2255753"/>
      <w:bookmarkStart w:id="6" w:name="_Toc327432506"/>
      <w:r>
        <w:rPr>
          <w:rFonts w:hint="eastAsia" w:ascii="黑体" w:hAnsi="黑体"/>
          <w:b w:val="0"/>
        </w:rPr>
        <w:t>附录1</w:t>
      </w:r>
      <w:r>
        <w:rPr>
          <w:rFonts w:ascii="黑体" w:hAnsi="黑体"/>
          <w:b w:val="0"/>
        </w:rPr>
        <w:t xml:space="preserve">  </w:t>
      </w:r>
      <w:r>
        <w:rPr>
          <w:rFonts w:hint="eastAsia" w:ascii="黑体" w:hAnsi="黑体"/>
          <w:b w:val="0"/>
        </w:rPr>
        <w:t>资格审查条件（资质最低要求）</w:t>
      </w:r>
      <w:bookmarkEnd w:id="0"/>
      <w:bookmarkEnd w:id="1"/>
      <w:bookmarkEnd w:id="2"/>
      <w:bookmarkEnd w:id="3"/>
      <w:bookmarkEnd w:id="4"/>
      <w:bookmarkEnd w:id="5"/>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7" w:type="dxa"/>
            <w:vAlign w:val="center"/>
          </w:tcPr>
          <w:p>
            <w:pPr>
              <w:snapToGrid w:val="0"/>
              <w:spacing w:line="320" w:lineRule="exact"/>
              <w:jc w:val="center"/>
              <w:rPr>
                <w:rFonts w:ascii="宋体" w:hAnsi="宋体"/>
                <w:szCs w:val="21"/>
              </w:rPr>
            </w:pPr>
            <w:r>
              <w:rPr>
                <w:rFonts w:hint="eastAsia" w:ascii="宋体" w:hAnsi="宋体"/>
                <w:szCs w:val="21"/>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747" w:type="dxa"/>
            <w:vAlign w:val="center"/>
          </w:tcPr>
          <w:p>
            <w:pPr>
              <w:adjustRightInd w:val="0"/>
              <w:snapToGrid w:val="0"/>
              <w:spacing w:beforeLines="50" w:afterLines="50"/>
              <w:ind w:left="105" w:leftChars="50" w:firstLine="315" w:firstLineChars="150"/>
              <w:rPr>
                <w:rFonts w:ascii="宋体" w:hAnsi="宋体"/>
                <w:szCs w:val="21"/>
              </w:rPr>
            </w:pPr>
            <w:r>
              <w:rPr>
                <w:rFonts w:hint="eastAsia" w:ascii="宋体" w:hAnsi="宋体"/>
                <w:szCs w:val="21"/>
                <w:lang w:val="zh-CN"/>
              </w:rPr>
              <w:t>JC01标段：投标人应具备公路工程交通工程专项《公路水运工程试验检测机构等级证书》，同时具有省级及以上质量技术监督部门颁发的计量认证证书或检验检测机构资质认定证书（CMA）。</w:t>
            </w:r>
          </w:p>
        </w:tc>
      </w:tr>
    </w:tbl>
    <w:p>
      <w:pPr>
        <w:spacing w:line="320" w:lineRule="exact"/>
        <w:rPr>
          <w:rFonts w:ascii="宋体" w:hAnsi="宋体"/>
          <w:sz w:val="18"/>
        </w:rPr>
      </w:pPr>
    </w:p>
    <w:p>
      <w:pPr>
        <w:pStyle w:val="5"/>
        <w:adjustRightInd w:val="0"/>
        <w:snapToGrid w:val="0"/>
        <w:spacing w:beforeLines="100" w:afterLines="50" w:line="240" w:lineRule="auto"/>
        <w:jc w:val="center"/>
        <w:rPr>
          <w:rFonts w:ascii="黑体" w:hAnsi="黑体"/>
          <w:b w:val="0"/>
        </w:rPr>
      </w:pPr>
      <w:bookmarkStart w:id="7" w:name="_Toc484950572"/>
      <w:bookmarkStart w:id="8" w:name="_Toc529952776"/>
      <w:bookmarkStart w:id="9" w:name="_Toc530123472"/>
      <w:bookmarkStart w:id="10" w:name="_Toc530123585"/>
      <w:bookmarkStart w:id="11" w:name="_Toc534787458"/>
      <w:bookmarkStart w:id="12" w:name="_Toc2255755"/>
      <w:r>
        <w:rPr>
          <w:rFonts w:hint="eastAsia" w:ascii="黑体" w:hAnsi="黑体"/>
          <w:b w:val="0"/>
        </w:rPr>
        <w:t>附录2</w:t>
      </w:r>
      <w:r>
        <w:rPr>
          <w:rFonts w:ascii="黑体" w:hAnsi="黑体"/>
          <w:b w:val="0"/>
        </w:rPr>
        <w:t xml:space="preserve">  </w:t>
      </w:r>
      <w:r>
        <w:rPr>
          <w:rFonts w:hint="eastAsia" w:ascii="黑体" w:hAnsi="黑体"/>
          <w:b w:val="0"/>
        </w:rPr>
        <w:t>资格审查条件（业绩最低要求）</w:t>
      </w:r>
      <w:bookmarkEnd w:id="7"/>
      <w:bookmarkEnd w:id="8"/>
      <w:bookmarkEnd w:id="9"/>
      <w:bookmarkEnd w:id="10"/>
      <w:bookmarkEnd w:id="11"/>
      <w:bookmarkEnd w:id="12"/>
    </w:p>
    <w:p>
      <w:pPr>
        <w:spacing w:line="320" w:lineRule="exact"/>
        <w:rPr>
          <w:rFonts w:ascii="宋体" w:hAnsi="宋体"/>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7" w:type="dxa"/>
            <w:vAlign w:val="center"/>
          </w:tcPr>
          <w:p>
            <w:pPr>
              <w:snapToGrid w:val="0"/>
              <w:spacing w:line="320" w:lineRule="exact"/>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747" w:type="dxa"/>
            <w:vAlign w:val="center"/>
          </w:tcPr>
          <w:p>
            <w:pPr>
              <w:adjustRightInd w:val="0"/>
              <w:snapToGrid w:val="0"/>
              <w:spacing w:beforeLines="50" w:afterLines="50"/>
              <w:ind w:firstLine="420" w:firstLineChars="200"/>
              <w:rPr>
                <w:rFonts w:ascii="宋体" w:hAnsi="宋体"/>
                <w:szCs w:val="21"/>
              </w:rPr>
            </w:pPr>
            <w:r>
              <w:rPr>
                <w:rFonts w:hint="eastAsia" w:ascii="宋体" w:hAnsi="宋体"/>
                <w:szCs w:val="21"/>
                <w:lang w:val="zh-CN"/>
              </w:rPr>
              <w:t>JC01标段：2016年1月1日后（以签订合同协议书时间为准）完成过1项国内新建高速公路项目的机电工程的交工或竣工验收检测（改扩建工程、养护工程、国外工程不作为评审企业业绩</w:t>
            </w:r>
            <w:r>
              <w:rPr>
                <w:rFonts w:hint="eastAsia" w:ascii="楷体" w:hAnsi="楷体" w:eastAsia="楷体"/>
                <w:szCs w:val="21"/>
              </w:rPr>
              <w:t>）</w:t>
            </w:r>
            <w:r>
              <w:rPr>
                <w:rFonts w:hint="eastAsia" w:ascii="宋体" w:hAnsi="宋体"/>
                <w:szCs w:val="21"/>
                <w:lang w:val="zh-CN"/>
              </w:rPr>
              <w:t>。（同一个项目同时包含机电工程竣（交）工验收质量检测内容，按一项业绩认定）</w:t>
            </w:r>
          </w:p>
        </w:tc>
      </w:tr>
    </w:tbl>
    <w:p>
      <w:pPr>
        <w:adjustRightInd w:val="0"/>
        <w:snapToGrid w:val="0"/>
        <w:spacing w:line="320" w:lineRule="exact"/>
        <w:ind w:firstLine="600" w:firstLineChars="250"/>
        <w:rPr>
          <w:rFonts w:ascii="黑体" w:hAnsi="黑体" w:eastAsia="黑体"/>
          <w:sz w:val="24"/>
        </w:rPr>
      </w:pPr>
    </w:p>
    <w:p>
      <w:pPr>
        <w:pStyle w:val="5"/>
        <w:adjustRightInd w:val="0"/>
        <w:snapToGrid w:val="0"/>
        <w:spacing w:beforeLines="100" w:afterLines="50" w:line="240" w:lineRule="auto"/>
        <w:jc w:val="center"/>
        <w:rPr>
          <w:rFonts w:ascii="黑体" w:hAnsi="黑体"/>
          <w:b w:val="0"/>
        </w:rPr>
      </w:pPr>
      <w:bookmarkStart w:id="13" w:name="_Toc484950573"/>
      <w:bookmarkStart w:id="14" w:name="_Toc529952777"/>
      <w:bookmarkStart w:id="15" w:name="_Toc530123473"/>
      <w:bookmarkStart w:id="16" w:name="_Toc530123586"/>
      <w:bookmarkStart w:id="17" w:name="_Toc534787459"/>
      <w:bookmarkStart w:id="18" w:name="_Toc2255756"/>
      <w:r>
        <w:rPr>
          <w:rFonts w:hint="eastAsia" w:ascii="黑体" w:hAnsi="黑体"/>
          <w:b w:val="0"/>
        </w:rPr>
        <w:t>附录3</w:t>
      </w:r>
      <w:r>
        <w:rPr>
          <w:rFonts w:ascii="黑体" w:hAnsi="黑体"/>
          <w:b w:val="0"/>
        </w:rPr>
        <w:t xml:space="preserve">  </w:t>
      </w:r>
      <w:r>
        <w:rPr>
          <w:rFonts w:hint="eastAsia" w:ascii="黑体" w:hAnsi="黑体"/>
          <w:b w:val="0"/>
        </w:rPr>
        <w:t>资格审查条件（信誉最低要求）</w:t>
      </w:r>
      <w:bookmarkEnd w:id="13"/>
      <w:bookmarkEnd w:id="14"/>
      <w:bookmarkEnd w:id="15"/>
      <w:bookmarkEnd w:id="16"/>
      <w:bookmarkEnd w:id="17"/>
      <w:bookmarkEnd w:id="18"/>
    </w:p>
    <w:tbl>
      <w:tblPr>
        <w:tblStyle w:val="36"/>
        <w:tblW w:w="96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606" w:type="dxa"/>
            <w:vAlign w:val="center"/>
          </w:tcPr>
          <w:p>
            <w:pPr>
              <w:snapToGrid w:val="0"/>
              <w:spacing w:line="320" w:lineRule="exact"/>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9606" w:type="dxa"/>
            <w:vAlign w:val="center"/>
          </w:tcPr>
          <w:p>
            <w:pPr>
              <w:autoSpaceDE w:val="0"/>
              <w:autoSpaceDN w:val="0"/>
              <w:adjustRightInd w:val="0"/>
              <w:spacing w:line="360" w:lineRule="exact"/>
              <w:ind w:firstLine="315" w:firstLineChars="150"/>
              <w:rPr>
                <w:rFonts w:ascii="黑体" w:hAnsi="黑体" w:eastAsia="黑体" w:cs="仿宋"/>
                <w:bCs/>
                <w:szCs w:val="21"/>
              </w:rPr>
            </w:pPr>
            <w:r>
              <w:rPr>
                <w:rFonts w:hint="eastAsia" w:ascii="宋体" w:hAnsi="宋体"/>
                <w:kern w:val="0"/>
                <w:szCs w:val="21"/>
                <w:lang w:val="zh-CN"/>
              </w:rPr>
              <w:t>无</w:t>
            </w:r>
          </w:p>
        </w:tc>
      </w:tr>
      <w:bookmarkEnd w:id="6"/>
    </w:tbl>
    <w:p>
      <w:pPr>
        <w:pStyle w:val="5"/>
        <w:adjustRightInd w:val="0"/>
        <w:snapToGrid w:val="0"/>
        <w:spacing w:beforeLines="100" w:afterLines="50" w:line="240" w:lineRule="auto"/>
        <w:jc w:val="center"/>
        <w:rPr>
          <w:rFonts w:ascii="黑体" w:hAnsi="黑体"/>
          <w:b w:val="0"/>
        </w:rPr>
      </w:pPr>
      <w:r>
        <w:rPr>
          <w:rFonts w:hint="eastAsia" w:ascii="黑体" w:hAnsi="黑体"/>
          <w:b w:val="0"/>
        </w:rPr>
        <w:t>附录4  资格审查条件（主要人员最低要求）</w:t>
      </w:r>
    </w:p>
    <w:tbl>
      <w:tblPr>
        <w:tblStyle w:val="36"/>
        <w:tblW w:w="47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5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pct"/>
            <w:vAlign w:val="center"/>
          </w:tcPr>
          <w:p>
            <w:pPr>
              <w:spacing w:line="300" w:lineRule="exact"/>
              <w:jc w:val="center"/>
              <w:rPr>
                <w:rFonts w:ascii="宋体" w:hAnsi="宋体"/>
                <w:szCs w:val="21"/>
              </w:rPr>
            </w:pPr>
            <w:r>
              <w:rPr>
                <w:rFonts w:hint="eastAsia" w:ascii="宋体" w:hAnsi="宋体"/>
                <w:szCs w:val="21"/>
              </w:rPr>
              <w:t>人员</w:t>
            </w:r>
          </w:p>
        </w:tc>
        <w:tc>
          <w:tcPr>
            <w:tcW w:w="458" w:type="pct"/>
            <w:vAlign w:val="center"/>
          </w:tcPr>
          <w:p>
            <w:pPr>
              <w:spacing w:line="300" w:lineRule="exact"/>
              <w:jc w:val="center"/>
              <w:rPr>
                <w:rFonts w:ascii="宋体" w:hAnsi="宋体"/>
                <w:szCs w:val="21"/>
              </w:rPr>
            </w:pPr>
            <w:r>
              <w:rPr>
                <w:rFonts w:hint="eastAsia" w:ascii="宋体" w:hAnsi="宋体"/>
                <w:szCs w:val="21"/>
              </w:rPr>
              <w:t>数量</w:t>
            </w:r>
          </w:p>
        </w:tc>
        <w:tc>
          <w:tcPr>
            <w:tcW w:w="3810" w:type="pct"/>
            <w:vAlign w:val="center"/>
          </w:tcPr>
          <w:p>
            <w:pPr>
              <w:spacing w:line="300" w:lineRule="exact"/>
              <w:jc w:val="center"/>
              <w:rPr>
                <w:rFonts w:ascii="宋体" w:hAnsi="宋体"/>
                <w:szCs w:val="21"/>
              </w:rPr>
            </w:pPr>
            <w:r>
              <w:rPr>
                <w:rFonts w:hint="eastAsia" w:ascii="宋体" w:hAnsi="宋体"/>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32" w:type="pct"/>
            <w:vAlign w:val="center"/>
          </w:tcPr>
          <w:p>
            <w:pPr>
              <w:snapToGrid w:val="0"/>
              <w:jc w:val="center"/>
              <w:rPr>
                <w:rFonts w:ascii="宋体" w:hAnsi="宋体"/>
                <w:szCs w:val="21"/>
              </w:rPr>
            </w:pPr>
            <w:r>
              <w:rPr>
                <w:rFonts w:hint="eastAsia" w:ascii="宋体" w:hAnsi="宋体"/>
                <w:szCs w:val="21"/>
              </w:rPr>
              <w:t>项目</w:t>
            </w:r>
          </w:p>
          <w:p>
            <w:pPr>
              <w:snapToGrid w:val="0"/>
              <w:jc w:val="center"/>
              <w:rPr>
                <w:rFonts w:ascii="宋体" w:hAnsi="宋体"/>
                <w:szCs w:val="21"/>
              </w:rPr>
            </w:pPr>
            <w:r>
              <w:rPr>
                <w:rFonts w:hint="eastAsia" w:ascii="宋体" w:hAnsi="宋体"/>
                <w:szCs w:val="21"/>
              </w:rPr>
              <w:t>负责人</w:t>
            </w:r>
          </w:p>
        </w:tc>
        <w:tc>
          <w:tcPr>
            <w:tcW w:w="458" w:type="pct"/>
            <w:vAlign w:val="center"/>
          </w:tcPr>
          <w:p>
            <w:pPr>
              <w:snapToGrid w:val="0"/>
              <w:jc w:val="center"/>
              <w:rPr>
                <w:rFonts w:ascii="宋体" w:hAnsi="宋体"/>
                <w:szCs w:val="21"/>
              </w:rPr>
            </w:pPr>
            <w:r>
              <w:rPr>
                <w:rFonts w:hint="eastAsia" w:ascii="宋体" w:hAnsi="宋体"/>
                <w:szCs w:val="21"/>
              </w:rPr>
              <w:t>1</w:t>
            </w:r>
          </w:p>
        </w:tc>
        <w:tc>
          <w:tcPr>
            <w:tcW w:w="3810" w:type="pct"/>
            <w:vAlign w:val="center"/>
          </w:tcPr>
          <w:p>
            <w:pPr>
              <w:snapToGrid w:val="0"/>
              <w:rPr>
                <w:rFonts w:ascii="宋体" w:hAnsi="宋体"/>
              </w:rPr>
            </w:pPr>
            <w:r>
              <w:rPr>
                <w:rFonts w:hint="eastAsia" w:ascii="宋体" w:hAnsi="宋体"/>
              </w:rPr>
              <w:t>（1）投标人自有人员</w:t>
            </w:r>
          </w:p>
          <w:p>
            <w:pPr>
              <w:snapToGrid w:val="0"/>
              <w:rPr>
                <w:rFonts w:ascii="宋体" w:hAnsi="宋体"/>
              </w:rPr>
            </w:pPr>
            <w:r>
              <w:rPr>
                <w:rFonts w:hint="eastAsia" w:ascii="宋体" w:hAnsi="宋体"/>
              </w:rPr>
              <w:t>（2）中级技术职称</w:t>
            </w:r>
          </w:p>
          <w:p>
            <w:pPr>
              <w:snapToGrid w:val="0"/>
              <w:rPr>
                <w:rFonts w:ascii="宋体" w:hAnsi="宋体"/>
              </w:rPr>
            </w:pPr>
            <w:r>
              <w:rPr>
                <w:rFonts w:hint="eastAsia" w:ascii="宋体" w:hAnsi="宋体"/>
              </w:rPr>
              <w:t>（3）具有公路工程试验检测工程师资格证书或试验检测师资格证书</w:t>
            </w:r>
          </w:p>
          <w:p>
            <w:pPr>
              <w:snapToGrid w:val="0"/>
              <w:rPr>
                <w:rFonts w:ascii="宋体" w:hAnsi="宋体"/>
                <w:szCs w:val="21"/>
              </w:rPr>
            </w:pPr>
            <w:r>
              <w:rPr>
                <w:rFonts w:hint="eastAsia" w:ascii="宋体" w:hAnsi="宋体"/>
              </w:rPr>
              <w:t>（4）担任过1项国内新建高速公路交工或竣工验收检测的项目负责人（改扩建工程、养护工程、国外工程不作为评审企业业绩）（同一个项目同时包含工程竣（交）工验收质量检测内容，按一项业绩认定）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32" w:type="pct"/>
            <w:vAlign w:val="center"/>
          </w:tcPr>
          <w:p>
            <w:pPr>
              <w:snapToGrid w:val="0"/>
              <w:jc w:val="center"/>
              <w:rPr>
                <w:rFonts w:ascii="宋体" w:hAnsi="宋体"/>
                <w:szCs w:val="21"/>
              </w:rPr>
            </w:pPr>
            <w:r>
              <w:rPr>
                <w:rFonts w:hint="eastAsia" w:ascii="宋体" w:hAnsi="宋体"/>
                <w:szCs w:val="21"/>
              </w:rPr>
              <w:t>项目技术</w:t>
            </w:r>
          </w:p>
          <w:p>
            <w:pPr>
              <w:snapToGrid w:val="0"/>
              <w:jc w:val="center"/>
              <w:rPr>
                <w:rFonts w:ascii="宋体" w:hAnsi="宋体"/>
                <w:szCs w:val="21"/>
              </w:rPr>
            </w:pPr>
            <w:r>
              <w:rPr>
                <w:rFonts w:hint="eastAsia" w:ascii="宋体" w:hAnsi="宋体"/>
                <w:szCs w:val="21"/>
              </w:rPr>
              <w:t>负责人</w:t>
            </w:r>
          </w:p>
        </w:tc>
        <w:tc>
          <w:tcPr>
            <w:tcW w:w="458" w:type="pct"/>
            <w:vAlign w:val="center"/>
          </w:tcPr>
          <w:p>
            <w:pPr>
              <w:snapToGrid w:val="0"/>
              <w:jc w:val="center"/>
              <w:rPr>
                <w:rFonts w:ascii="宋体" w:hAnsi="宋体"/>
                <w:szCs w:val="21"/>
              </w:rPr>
            </w:pPr>
            <w:r>
              <w:rPr>
                <w:rFonts w:hint="eastAsia" w:ascii="宋体" w:hAnsi="宋体"/>
                <w:szCs w:val="21"/>
              </w:rPr>
              <w:t>1</w:t>
            </w:r>
          </w:p>
        </w:tc>
        <w:tc>
          <w:tcPr>
            <w:tcW w:w="3810" w:type="pct"/>
            <w:vAlign w:val="center"/>
          </w:tcPr>
          <w:p>
            <w:pPr>
              <w:snapToGrid w:val="0"/>
              <w:rPr>
                <w:rFonts w:ascii="宋体" w:hAnsi="宋体"/>
              </w:rPr>
            </w:pPr>
            <w:r>
              <w:rPr>
                <w:rFonts w:hint="eastAsia" w:ascii="宋体" w:hAnsi="宋体"/>
              </w:rPr>
              <w:t>（1）投标人自有人员</w:t>
            </w:r>
          </w:p>
          <w:p>
            <w:pPr>
              <w:snapToGrid w:val="0"/>
              <w:rPr>
                <w:rFonts w:ascii="宋体" w:hAnsi="宋体"/>
              </w:rPr>
            </w:pPr>
            <w:r>
              <w:rPr>
                <w:rFonts w:hint="eastAsia" w:ascii="宋体" w:hAnsi="宋体"/>
              </w:rPr>
              <w:t>（2）高级技术职称</w:t>
            </w:r>
          </w:p>
          <w:p>
            <w:pPr>
              <w:snapToGrid w:val="0"/>
              <w:rPr>
                <w:rFonts w:ascii="宋体" w:hAnsi="宋体"/>
              </w:rPr>
            </w:pPr>
            <w:r>
              <w:rPr>
                <w:rFonts w:hint="eastAsia" w:ascii="宋体" w:hAnsi="宋体"/>
              </w:rPr>
              <w:t>（3）具有公路工程试验检测工程师资格证书或试验检测师资格证书</w:t>
            </w:r>
          </w:p>
          <w:p>
            <w:pPr>
              <w:snapToGrid w:val="0"/>
              <w:rPr>
                <w:rFonts w:ascii="宋体" w:hAnsi="宋体"/>
              </w:rPr>
            </w:pPr>
            <w:r>
              <w:rPr>
                <w:rFonts w:hint="eastAsia" w:ascii="宋体" w:hAnsi="宋体"/>
              </w:rPr>
              <w:t>（4）担任过1项国内新建高速公路交工或竣工验收检测的项目技术负责人（改扩建工程、养护工程、国外工程不作为评审企业业绩）（（同一个项目同时包含工程竣（交）工验收质量检测内容，按一项业绩认定）</w:t>
            </w:r>
          </w:p>
        </w:tc>
      </w:tr>
    </w:tbl>
    <w:p>
      <w:pPr>
        <w:spacing w:line="420" w:lineRule="exact"/>
        <w:rPr>
          <w:rFonts w:ascii="宋体" w:hAnsi="宋体"/>
          <w:sz w:val="18"/>
          <w:szCs w:val="18"/>
          <w:lang w:val="zh-CN"/>
        </w:rPr>
      </w:pPr>
      <w:r>
        <w:rPr>
          <w:rFonts w:hint="eastAsia" w:ascii="宋体" w:hAnsi="宋体"/>
          <w:sz w:val="18"/>
          <w:szCs w:val="18"/>
        </w:rPr>
        <w:t>注：1.公路工程试验检测工程师资格证书或试验检测师资格证书评审时将在“公路水运工程试验检测管理信息系</w:t>
      </w:r>
      <w:r>
        <w:rPr>
          <w:rFonts w:hint="eastAsia" w:ascii="宋体" w:hAnsi="宋体"/>
          <w:sz w:val="18"/>
          <w:szCs w:val="18"/>
          <w:lang w:val="zh-CN"/>
        </w:rPr>
        <w:t>统”中查询，对查询不到或不一致的，不予认定。</w:t>
      </w:r>
    </w:p>
    <w:p>
      <w:pPr>
        <w:spacing w:line="420" w:lineRule="exact"/>
        <w:ind w:firstLine="315" w:firstLineChars="150"/>
        <w:jc w:val="left"/>
        <w:rPr>
          <w:rFonts w:ascii="宋体" w:hAnsi="宋体"/>
          <w:szCs w:val="21"/>
          <w:lang w:val="zh-CN"/>
        </w:rPr>
      </w:pPr>
    </w:p>
    <w:p>
      <w:pPr>
        <w:pStyle w:val="5"/>
        <w:adjustRightInd w:val="0"/>
        <w:snapToGrid w:val="0"/>
        <w:spacing w:beforeLines="100" w:afterLines="50" w:line="240" w:lineRule="auto"/>
        <w:jc w:val="center"/>
        <w:rPr>
          <w:rFonts w:ascii="黑体" w:hAnsi="黑体"/>
          <w:b w:val="0"/>
        </w:rPr>
      </w:pPr>
      <w:r>
        <w:rPr>
          <w:rFonts w:hint="eastAsia" w:ascii="黑体" w:hAnsi="黑体"/>
          <w:b w:val="0"/>
        </w:rPr>
        <w:t>附录5  资格审查条件（其他管理人员和技术人员最低要求）</w:t>
      </w:r>
    </w:p>
    <w:tbl>
      <w:tblPr>
        <w:tblStyle w:val="36"/>
        <w:tblW w:w="4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76"/>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pct"/>
            <w:vAlign w:val="center"/>
          </w:tcPr>
          <w:p>
            <w:pPr>
              <w:spacing w:line="300" w:lineRule="exact"/>
              <w:jc w:val="center"/>
              <w:rPr>
                <w:rFonts w:ascii="宋体" w:hAnsi="宋体"/>
                <w:szCs w:val="21"/>
              </w:rPr>
            </w:pPr>
            <w:r>
              <w:rPr>
                <w:rFonts w:hint="eastAsia" w:ascii="宋体" w:hAnsi="宋体"/>
                <w:szCs w:val="21"/>
              </w:rPr>
              <w:t>人员</w:t>
            </w:r>
          </w:p>
        </w:tc>
        <w:tc>
          <w:tcPr>
            <w:tcW w:w="673" w:type="pct"/>
            <w:vAlign w:val="center"/>
          </w:tcPr>
          <w:p>
            <w:pPr>
              <w:spacing w:line="300" w:lineRule="exact"/>
              <w:jc w:val="center"/>
              <w:rPr>
                <w:rFonts w:ascii="宋体" w:hAnsi="宋体"/>
                <w:szCs w:val="21"/>
              </w:rPr>
            </w:pPr>
            <w:r>
              <w:rPr>
                <w:rFonts w:hint="eastAsia" w:ascii="宋体" w:hAnsi="宋体"/>
                <w:szCs w:val="21"/>
              </w:rPr>
              <w:t>数量</w:t>
            </w:r>
          </w:p>
        </w:tc>
        <w:tc>
          <w:tcPr>
            <w:tcW w:w="3298" w:type="pct"/>
            <w:vAlign w:val="center"/>
          </w:tcPr>
          <w:p>
            <w:pPr>
              <w:spacing w:line="300" w:lineRule="exact"/>
              <w:jc w:val="center"/>
              <w:rPr>
                <w:rFonts w:ascii="宋体" w:hAnsi="宋体"/>
                <w:szCs w:val="21"/>
              </w:rPr>
            </w:pPr>
            <w:r>
              <w:rPr>
                <w:rFonts w:hint="eastAsia" w:ascii="宋体" w:hAnsi="宋体"/>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29" w:type="pct"/>
            <w:vAlign w:val="center"/>
          </w:tcPr>
          <w:p>
            <w:pPr>
              <w:snapToGrid w:val="0"/>
              <w:jc w:val="center"/>
              <w:rPr>
                <w:rFonts w:ascii="宋体" w:hAnsi="宋体"/>
                <w:szCs w:val="21"/>
              </w:rPr>
            </w:pPr>
            <w:r>
              <w:rPr>
                <w:rFonts w:hint="eastAsia" w:ascii="宋体" w:hAnsi="宋体"/>
              </w:rPr>
              <w:t>检测工程师</w:t>
            </w:r>
          </w:p>
        </w:tc>
        <w:tc>
          <w:tcPr>
            <w:tcW w:w="673" w:type="pct"/>
            <w:vAlign w:val="center"/>
          </w:tcPr>
          <w:p>
            <w:pPr>
              <w:snapToGrid w:val="0"/>
              <w:jc w:val="center"/>
              <w:rPr>
                <w:rFonts w:ascii="宋体" w:hAnsi="宋体"/>
                <w:szCs w:val="21"/>
              </w:rPr>
            </w:pPr>
            <w:r>
              <w:rPr>
                <w:rFonts w:hint="eastAsia" w:ascii="宋体" w:hAnsi="宋体"/>
                <w:szCs w:val="21"/>
              </w:rPr>
              <w:t>4</w:t>
            </w:r>
          </w:p>
        </w:tc>
        <w:tc>
          <w:tcPr>
            <w:tcW w:w="3298" w:type="pct"/>
            <w:vAlign w:val="center"/>
          </w:tcPr>
          <w:p>
            <w:pPr>
              <w:snapToGrid w:val="0"/>
              <w:rPr>
                <w:rFonts w:ascii="宋体" w:hAnsi="宋体"/>
                <w:szCs w:val="21"/>
              </w:rPr>
            </w:pPr>
            <w:r>
              <w:rPr>
                <w:rFonts w:hint="eastAsia" w:ascii="宋体" w:hAnsi="宋体"/>
              </w:rPr>
              <w:t>（1）具有公路工程试验检测工程师资格证书或试验检测师资格证书（交通工程或机电工程）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29" w:type="pct"/>
            <w:vAlign w:val="center"/>
          </w:tcPr>
          <w:p>
            <w:pPr>
              <w:snapToGrid w:val="0"/>
              <w:jc w:val="center"/>
              <w:rPr>
                <w:rFonts w:ascii="宋体" w:hAnsi="宋体"/>
                <w:szCs w:val="21"/>
              </w:rPr>
            </w:pPr>
            <w:r>
              <w:rPr>
                <w:rFonts w:hint="eastAsia" w:ascii="宋体" w:hAnsi="宋体"/>
                <w:szCs w:val="21"/>
              </w:rPr>
              <w:t>检测员</w:t>
            </w:r>
          </w:p>
        </w:tc>
        <w:tc>
          <w:tcPr>
            <w:tcW w:w="673" w:type="pct"/>
            <w:vAlign w:val="center"/>
          </w:tcPr>
          <w:p>
            <w:pPr>
              <w:snapToGrid w:val="0"/>
              <w:jc w:val="center"/>
              <w:rPr>
                <w:rFonts w:ascii="宋体" w:hAnsi="宋体"/>
                <w:szCs w:val="21"/>
              </w:rPr>
            </w:pPr>
            <w:r>
              <w:rPr>
                <w:rFonts w:hint="eastAsia" w:ascii="宋体" w:hAnsi="宋体"/>
                <w:szCs w:val="21"/>
              </w:rPr>
              <w:t>4</w:t>
            </w:r>
          </w:p>
        </w:tc>
        <w:tc>
          <w:tcPr>
            <w:tcW w:w="3298" w:type="pct"/>
            <w:vAlign w:val="center"/>
          </w:tcPr>
          <w:p>
            <w:pPr>
              <w:snapToGrid w:val="0"/>
              <w:rPr>
                <w:rFonts w:ascii="宋体" w:hAnsi="宋体"/>
              </w:rPr>
            </w:pPr>
            <w:r>
              <w:rPr>
                <w:rFonts w:hint="eastAsia" w:ascii="宋体" w:hAnsi="宋体"/>
              </w:rPr>
              <w:t>（1）具有公路工程试验检测员资格证书或助理试验检测师资格证书（交通工程或机电工程）</w:t>
            </w:r>
          </w:p>
        </w:tc>
      </w:tr>
    </w:tbl>
    <w:p>
      <w:pPr>
        <w:spacing w:line="360" w:lineRule="exact"/>
        <w:rPr>
          <w:rFonts w:ascii="宋体" w:hAnsi="宋体"/>
          <w:sz w:val="18"/>
          <w:szCs w:val="18"/>
        </w:rPr>
      </w:pPr>
      <w:r>
        <w:rPr>
          <w:rFonts w:hint="eastAsia" w:ascii="宋体" w:hAnsi="宋体"/>
          <w:sz w:val="18"/>
          <w:szCs w:val="18"/>
        </w:rPr>
        <w:t>注：1.本表所列人员在本项目中不得兼职。</w:t>
      </w:r>
    </w:p>
    <w:p>
      <w:pPr>
        <w:spacing w:line="360" w:lineRule="exact"/>
        <w:ind w:firstLine="360" w:firstLineChars="200"/>
        <w:rPr>
          <w:rFonts w:ascii="宋体" w:hAnsi="宋体"/>
          <w:sz w:val="18"/>
          <w:szCs w:val="18"/>
        </w:rPr>
      </w:pPr>
      <w:r>
        <w:rPr>
          <w:rFonts w:hint="eastAsia" w:ascii="宋体" w:hAnsi="宋体"/>
          <w:sz w:val="18"/>
          <w:szCs w:val="18"/>
        </w:rPr>
        <w:t>2.本表为投标人中标后需派驻的其他主要管理人员和技术人员，投标人在投标文件中填报。</w:t>
      </w:r>
    </w:p>
    <w:p>
      <w:pPr>
        <w:spacing w:line="360" w:lineRule="exact"/>
        <w:ind w:firstLine="360" w:firstLineChars="200"/>
        <w:rPr>
          <w:rFonts w:ascii="宋体" w:hAnsi="宋体"/>
          <w:sz w:val="18"/>
          <w:szCs w:val="18"/>
        </w:rPr>
      </w:pPr>
      <w:r>
        <w:rPr>
          <w:rFonts w:hint="eastAsia" w:ascii="宋体" w:hAnsi="宋体"/>
          <w:sz w:val="18"/>
          <w:szCs w:val="18"/>
        </w:rPr>
        <w:t>3.本表所列人员类别和数量为最低要求，委托人可根据检测需要，有权要求检测人无偿增加相应的专业技术人员。</w:t>
      </w:r>
    </w:p>
    <w:p>
      <w:pPr>
        <w:spacing w:line="360" w:lineRule="exact"/>
        <w:ind w:firstLine="360" w:firstLineChars="200"/>
        <w:rPr>
          <w:rFonts w:ascii="宋体" w:hAnsi="宋体"/>
          <w:sz w:val="18"/>
          <w:szCs w:val="18"/>
        </w:rPr>
      </w:pPr>
      <w:r>
        <w:rPr>
          <w:rFonts w:hint="eastAsia" w:ascii="宋体" w:hAnsi="宋体"/>
          <w:sz w:val="18"/>
          <w:szCs w:val="18"/>
        </w:rPr>
        <w:t>4.公路工程试验检测工程师资格证书或试验检测师资格证书及公路工程试验检测员资格证书或助理试验检测师资格证书评审时将在“公路水运工程试验检测管理信息系统”中查询，对查询不到或不一致的，不予认定。</w:t>
      </w: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360" w:lineRule="exact"/>
        <w:ind w:firstLine="360" w:firstLineChars="200"/>
        <w:rPr>
          <w:rFonts w:ascii="宋体" w:hAnsi="宋体"/>
          <w:sz w:val="18"/>
          <w:szCs w:val="18"/>
        </w:rPr>
      </w:pPr>
    </w:p>
    <w:p>
      <w:pPr>
        <w:spacing w:line="420" w:lineRule="exact"/>
        <w:ind w:firstLine="562" w:firstLineChars="200"/>
        <w:rPr>
          <w:rFonts w:ascii="黑体" w:hAnsi="黑体"/>
          <w:b/>
          <w:sz w:val="28"/>
          <w:szCs w:val="28"/>
        </w:rPr>
      </w:pPr>
      <w:r>
        <w:rPr>
          <w:rFonts w:hint="eastAsia" w:ascii="黑体" w:hAnsi="黑体"/>
          <w:b/>
          <w:sz w:val="28"/>
          <w:szCs w:val="28"/>
        </w:rPr>
        <w:t>附录6  资格审查条件（主要机械设备和试验检测设备最低要求）</w:t>
      </w:r>
    </w:p>
    <w:tbl>
      <w:tblPr>
        <w:tblStyle w:val="36"/>
        <w:tblW w:w="949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19"/>
        <w:gridCol w:w="1535"/>
        <w:gridCol w:w="3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4419" w:type="dxa"/>
            <w:vAlign w:val="center"/>
          </w:tcPr>
          <w:p>
            <w:pPr>
              <w:jc w:val="center"/>
              <w:rPr>
                <w:rFonts w:ascii="宋体" w:hAnsi="宋体"/>
                <w:sz w:val="24"/>
              </w:rPr>
            </w:pPr>
            <w:r>
              <w:rPr>
                <w:rFonts w:hint="eastAsia" w:ascii="宋体" w:hAnsi="宋体"/>
                <w:sz w:val="24"/>
              </w:rPr>
              <w:t>设备名称</w:t>
            </w:r>
          </w:p>
        </w:tc>
        <w:tc>
          <w:tcPr>
            <w:tcW w:w="1535" w:type="dxa"/>
            <w:vAlign w:val="center"/>
          </w:tcPr>
          <w:p>
            <w:pPr>
              <w:jc w:val="center"/>
              <w:rPr>
                <w:rFonts w:ascii="宋体" w:hAnsi="宋体"/>
                <w:sz w:val="24"/>
              </w:rPr>
            </w:pPr>
            <w:r>
              <w:rPr>
                <w:rFonts w:hint="eastAsia" w:ascii="宋体" w:hAnsi="宋体"/>
                <w:sz w:val="24"/>
              </w:rPr>
              <w:t>单位</w:t>
            </w:r>
          </w:p>
        </w:tc>
        <w:tc>
          <w:tcPr>
            <w:tcW w:w="3544" w:type="dxa"/>
            <w:vAlign w:val="center"/>
          </w:tcPr>
          <w:p>
            <w:pPr>
              <w:jc w:val="center"/>
              <w:rPr>
                <w:rFonts w:ascii="宋体" w:hAnsi="宋体"/>
                <w:sz w:val="24"/>
              </w:rPr>
            </w:pPr>
            <w:r>
              <w:rPr>
                <w:rFonts w:hint="eastAsia" w:ascii="宋体" w:hAnsi="宋体"/>
                <w:sz w:val="24"/>
              </w:rPr>
              <w:t>JC01标段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视频信号发生器</w:t>
            </w:r>
          </w:p>
        </w:tc>
        <w:tc>
          <w:tcPr>
            <w:tcW w:w="1535" w:type="dxa"/>
            <w:vAlign w:val="center"/>
          </w:tcPr>
          <w:p>
            <w:pPr>
              <w:jc w:val="center"/>
              <w:rPr>
                <w:rFonts w:ascii="宋体" w:hAnsi="宋体"/>
              </w:rPr>
            </w:pPr>
            <w:r>
              <w:rPr>
                <w:rFonts w:hint="eastAsia" w:ascii="宋体" w:hAnsi="宋体"/>
              </w:rPr>
              <w:t>台</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视频测量仪</w:t>
            </w:r>
          </w:p>
        </w:tc>
        <w:tc>
          <w:tcPr>
            <w:tcW w:w="1535" w:type="dxa"/>
            <w:vAlign w:val="center"/>
          </w:tcPr>
          <w:p>
            <w:pPr>
              <w:jc w:val="center"/>
              <w:rPr>
                <w:rFonts w:ascii="宋体" w:hAnsi="宋体"/>
              </w:rPr>
            </w:pPr>
            <w:r>
              <w:rPr>
                <w:rFonts w:hint="eastAsia" w:ascii="宋体" w:hAnsi="宋体"/>
              </w:rPr>
              <w:t>台</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数字式万用表</w:t>
            </w:r>
          </w:p>
        </w:tc>
        <w:tc>
          <w:tcPr>
            <w:tcW w:w="1535" w:type="dxa"/>
            <w:vAlign w:val="center"/>
          </w:tcPr>
          <w:p>
            <w:pPr>
              <w:jc w:val="center"/>
              <w:rPr>
                <w:rFonts w:ascii="宋体" w:hAnsi="宋体"/>
              </w:rPr>
            </w:pPr>
            <w:r>
              <w:rPr>
                <w:rFonts w:hint="eastAsia" w:ascii="宋体" w:hAnsi="宋体"/>
              </w:rPr>
              <w:t>台</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绝缘电阻测试仪</w:t>
            </w:r>
          </w:p>
        </w:tc>
        <w:tc>
          <w:tcPr>
            <w:tcW w:w="1535" w:type="dxa"/>
            <w:vAlign w:val="center"/>
          </w:tcPr>
          <w:p>
            <w:pPr>
              <w:jc w:val="center"/>
              <w:rPr>
                <w:rFonts w:ascii="宋体" w:hAnsi="宋体"/>
              </w:rPr>
            </w:pPr>
            <w:r>
              <w:rPr>
                <w:rFonts w:hint="eastAsia" w:ascii="宋体" w:hAnsi="宋体"/>
              </w:rPr>
              <w:t>台</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接地电阻测试仪</w:t>
            </w:r>
          </w:p>
        </w:tc>
        <w:tc>
          <w:tcPr>
            <w:tcW w:w="1535" w:type="dxa"/>
            <w:vAlign w:val="center"/>
          </w:tcPr>
          <w:p>
            <w:pPr>
              <w:jc w:val="center"/>
              <w:rPr>
                <w:rFonts w:ascii="宋体" w:hAnsi="宋体"/>
              </w:rPr>
            </w:pPr>
            <w:r>
              <w:rPr>
                <w:rFonts w:hint="eastAsia" w:ascii="宋体" w:hAnsi="宋体"/>
              </w:rPr>
              <w:t>台</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数字温湿度计</w:t>
            </w:r>
          </w:p>
        </w:tc>
        <w:tc>
          <w:tcPr>
            <w:tcW w:w="1535" w:type="dxa"/>
            <w:vAlign w:val="center"/>
          </w:tcPr>
          <w:p>
            <w:pPr>
              <w:jc w:val="center"/>
              <w:rPr>
                <w:rFonts w:ascii="宋体" w:hAnsi="宋体"/>
              </w:rPr>
            </w:pPr>
            <w:r>
              <w:rPr>
                <w:rFonts w:hint="eastAsia" w:ascii="宋体" w:hAnsi="宋体"/>
              </w:rPr>
              <w:t>个</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数据传输测试仪</w:t>
            </w:r>
          </w:p>
        </w:tc>
        <w:tc>
          <w:tcPr>
            <w:tcW w:w="1535" w:type="dxa"/>
            <w:vAlign w:val="center"/>
          </w:tcPr>
          <w:p>
            <w:pPr>
              <w:jc w:val="center"/>
              <w:rPr>
                <w:rFonts w:ascii="宋体" w:hAnsi="宋体"/>
              </w:rPr>
            </w:pPr>
            <w:r>
              <w:rPr>
                <w:rFonts w:hint="eastAsia" w:ascii="宋体" w:hAnsi="宋体"/>
              </w:rPr>
              <w:t>台</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光时域反射计</w:t>
            </w:r>
          </w:p>
        </w:tc>
        <w:tc>
          <w:tcPr>
            <w:tcW w:w="1535" w:type="dxa"/>
            <w:vAlign w:val="center"/>
          </w:tcPr>
          <w:p>
            <w:pPr>
              <w:jc w:val="center"/>
              <w:rPr>
                <w:rFonts w:ascii="宋体" w:hAnsi="宋体"/>
              </w:rPr>
            </w:pPr>
            <w:r>
              <w:rPr>
                <w:rFonts w:hint="eastAsia" w:ascii="宋体" w:hAnsi="宋体"/>
              </w:rPr>
              <w:t>个</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光功率计</w:t>
            </w:r>
          </w:p>
        </w:tc>
        <w:tc>
          <w:tcPr>
            <w:tcW w:w="1535" w:type="dxa"/>
            <w:vAlign w:val="center"/>
          </w:tcPr>
          <w:p>
            <w:pPr>
              <w:jc w:val="center"/>
              <w:rPr>
                <w:rFonts w:ascii="宋体" w:hAnsi="宋体"/>
              </w:rPr>
            </w:pPr>
            <w:r>
              <w:rPr>
                <w:rFonts w:hint="eastAsia" w:ascii="宋体" w:hAnsi="宋体"/>
              </w:rPr>
              <w:t>个</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网络测试仪</w:t>
            </w:r>
          </w:p>
        </w:tc>
        <w:tc>
          <w:tcPr>
            <w:tcW w:w="1535" w:type="dxa"/>
            <w:vAlign w:val="center"/>
          </w:tcPr>
          <w:p>
            <w:pPr>
              <w:jc w:val="center"/>
              <w:rPr>
                <w:rFonts w:ascii="宋体" w:hAnsi="宋体"/>
              </w:rPr>
            </w:pPr>
            <w:r>
              <w:rPr>
                <w:rFonts w:hint="eastAsia" w:ascii="宋体" w:hAnsi="宋体"/>
              </w:rPr>
              <w:t>台</w:t>
            </w:r>
          </w:p>
        </w:tc>
        <w:tc>
          <w:tcPr>
            <w:tcW w:w="3544" w:type="dxa"/>
            <w:vAlign w:val="center"/>
          </w:tcPr>
          <w:p>
            <w:pPr>
              <w:jc w:val="center"/>
            </w:pPr>
            <w:r>
              <w:rPr>
                <w:rFonts w:hint="eastAsia" w:ascii="宋体" w:hAnsi="宋体"/>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4419" w:type="dxa"/>
            <w:vAlign w:val="center"/>
          </w:tcPr>
          <w:p>
            <w:pPr>
              <w:widowControl/>
              <w:autoSpaceDE w:val="0"/>
              <w:autoSpaceDN w:val="0"/>
              <w:jc w:val="center"/>
              <w:textAlignment w:val="bottom"/>
              <w:rPr>
                <w:rFonts w:ascii="宋体" w:hAnsi="宋体"/>
              </w:rPr>
            </w:pPr>
            <w:r>
              <w:rPr>
                <w:rFonts w:hint="eastAsia" w:ascii="宋体" w:hAnsi="宋体"/>
              </w:rPr>
              <w:t>误码测试仪</w:t>
            </w:r>
          </w:p>
        </w:tc>
        <w:tc>
          <w:tcPr>
            <w:tcW w:w="1535" w:type="dxa"/>
            <w:vAlign w:val="center"/>
          </w:tcPr>
          <w:p>
            <w:pPr>
              <w:jc w:val="center"/>
              <w:rPr>
                <w:rFonts w:ascii="宋体" w:hAnsi="宋体"/>
              </w:rPr>
            </w:pPr>
            <w:r>
              <w:rPr>
                <w:rFonts w:hint="eastAsia" w:ascii="宋体" w:hAnsi="宋体"/>
              </w:rPr>
              <w:t>台</w:t>
            </w:r>
          </w:p>
        </w:tc>
        <w:tc>
          <w:tcPr>
            <w:tcW w:w="3544" w:type="dxa"/>
            <w:vAlign w:val="center"/>
          </w:tcPr>
          <w:p>
            <w:pPr>
              <w:jc w:val="center"/>
            </w:pPr>
            <w:r>
              <w:rPr>
                <w:rFonts w:hint="eastAsia" w:ascii="宋体" w:hAnsi="宋体"/>
                <w:sz w:val="24"/>
              </w:rPr>
              <w:t>4</w:t>
            </w:r>
          </w:p>
        </w:tc>
      </w:tr>
    </w:tbl>
    <w:p>
      <w:pPr>
        <w:spacing w:line="420" w:lineRule="exact"/>
        <w:rPr>
          <w:rFonts w:ascii="宋体" w:hAnsi="宋体"/>
          <w:sz w:val="18"/>
          <w:szCs w:val="18"/>
        </w:rPr>
      </w:pPr>
      <w:r>
        <w:rPr>
          <w:rFonts w:hint="eastAsia" w:ascii="宋体" w:hAnsi="宋体"/>
          <w:sz w:val="18"/>
          <w:szCs w:val="18"/>
        </w:rPr>
        <w:t>注：1. 本表为投标人中标后需投入的主要设备，投标人按照本表的最低要求在投标文件中填报投入本标段的主要设备。</w:t>
      </w:r>
    </w:p>
    <w:p>
      <w:pPr>
        <w:spacing w:line="420" w:lineRule="exact"/>
        <w:ind w:firstLine="360" w:firstLineChars="200"/>
        <w:rPr>
          <w:rFonts w:ascii="宋体" w:hAnsi="宋体"/>
          <w:sz w:val="18"/>
          <w:szCs w:val="18"/>
        </w:rPr>
      </w:pPr>
      <w:r>
        <w:rPr>
          <w:rFonts w:hint="eastAsia" w:ascii="宋体" w:hAnsi="宋体"/>
          <w:sz w:val="18"/>
          <w:szCs w:val="18"/>
        </w:rPr>
        <w:t>2.</w:t>
      </w:r>
      <w:r>
        <w:rPr>
          <w:rFonts w:hint="eastAsia" w:ascii="宋体" w:hAnsi="宋体" w:cs="宋体"/>
        </w:rPr>
        <w:t xml:space="preserve"> </w:t>
      </w:r>
      <w:r>
        <w:rPr>
          <w:rFonts w:hint="eastAsia" w:ascii="宋体" w:hAnsi="宋体"/>
          <w:sz w:val="18"/>
          <w:szCs w:val="18"/>
        </w:rPr>
        <w:t>本表所列设备类别和数量为最低要求，施工时，发包人可根据工程需要，有权要求承包人无偿增加相应的设备和数量。</w:t>
      </w:r>
    </w:p>
    <w:p>
      <w:pPr>
        <w:spacing w:line="420" w:lineRule="exact"/>
        <w:ind w:firstLine="562" w:firstLineChars="200"/>
        <w:rPr>
          <w:rFonts w:hint="eastAsia" w:ascii="黑体" w:hAnsi="黑体" w:eastAsia="黑体"/>
          <w:bCs/>
          <w:sz w:val="10"/>
          <w:szCs w:val="10"/>
        </w:rPr>
      </w:pPr>
      <w:r>
        <w:rPr>
          <w:rFonts w:ascii="黑体" w:hAnsi="黑体" w:eastAsia="黑体" w:cs="黑体"/>
          <w:b/>
          <w:bCs/>
          <w:sz w:val="28"/>
          <w:szCs w:val="28"/>
        </w:rPr>
        <w:br w:type="page"/>
      </w:r>
      <w:r>
        <w:rPr>
          <w:rFonts w:hint="eastAsia" w:ascii="黑体" w:hAnsi="黑体" w:eastAsia="黑体"/>
          <w:bCs/>
          <w:sz w:val="32"/>
          <w:szCs w:val="32"/>
        </w:rPr>
        <w:t>附件一：各项目施工承包人、监理人、中心试验室一览表</w:t>
      </w:r>
    </w:p>
    <w:p>
      <w:pPr>
        <w:spacing w:line="420" w:lineRule="exact"/>
        <w:ind w:firstLine="200" w:firstLineChars="200"/>
        <w:rPr>
          <w:rFonts w:hint="eastAsia" w:ascii="黑体" w:hAnsi="黑体" w:eastAsia="黑体"/>
          <w:bCs/>
          <w:sz w:val="10"/>
          <w:szCs w:val="10"/>
        </w:rPr>
      </w:pPr>
    </w:p>
    <w:tbl>
      <w:tblPr>
        <w:tblStyle w:val="36"/>
        <w:tblW w:w="9939" w:type="dxa"/>
        <w:tblInd w:w="92" w:type="dxa"/>
        <w:tblLayout w:type="autofit"/>
        <w:tblCellMar>
          <w:top w:w="0" w:type="dxa"/>
          <w:left w:w="108" w:type="dxa"/>
          <w:bottom w:w="0" w:type="dxa"/>
          <w:right w:w="108" w:type="dxa"/>
        </w:tblCellMar>
      </w:tblPr>
      <w:tblGrid>
        <w:gridCol w:w="867"/>
        <w:gridCol w:w="1134"/>
        <w:gridCol w:w="992"/>
        <w:gridCol w:w="5670"/>
        <w:gridCol w:w="1276"/>
      </w:tblGrid>
      <w:tr>
        <w:tblPrEx>
          <w:tblCellMar>
            <w:top w:w="0" w:type="dxa"/>
            <w:left w:w="108" w:type="dxa"/>
            <w:bottom w:w="0" w:type="dxa"/>
            <w:right w:w="108" w:type="dxa"/>
          </w:tblCellMar>
        </w:tblPrEx>
        <w:trPr>
          <w:trHeight w:val="495" w:hRule="atLeast"/>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建设</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标段</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内容</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承包人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所属工程指挥部</w:t>
            </w:r>
          </w:p>
        </w:tc>
      </w:tr>
      <w:tr>
        <w:tblPrEx>
          <w:tblCellMar>
            <w:top w:w="0" w:type="dxa"/>
            <w:left w:w="108" w:type="dxa"/>
            <w:bottom w:w="0" w:type="dxa"/>
            <w:right w:w="108" w:type="dxa"/>
          </w:tblCellMar>
        </w:tblPrEx>
        <w:trPr>
          <w:trHeight w:val="907" w:hRule="exact"/>
        </w:trPr>
        <w:tc>
          <w:tcPr>
            <w:tcW w:w="8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sz w:val="24"/>
                <w:lang w:val="zh-CN"/>
              </w:rPr>
              <w:t>集双高速集安至通化段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JTL12</w:t>
            </w:r>
          </w:p>
        </w:tc>
        <w:tc>
          <w:tcPr>
            <w:tcW w:w="992"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施工</w:t>
            </w: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安徽汉高信息科技有限公司</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（合同金额30175800元）</w:t>
            </w:r>
          </w:p>
        </w:tc>
        <w:tc>
          <w:tcPr>
            <w:tcW w:w="1276" w:type="dxa"/>
            <w:vMerge w:val="restart"/>
            <w:tcBorders>
              <w:top w:val="nil"/>
              <w:left w:val="nil"/>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集通</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指挥部</w:t>
            </w: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JTL13</w:t>
            </w:r>
          </w:p>
        </w:tc>
        <w:tc>
          <w:tcPr>
            <w:tcW w:w="992"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安徽皖通科技股份有限公司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（合同金额43314749元）</w:t>
            </w:r>
          </w:p>
        </w:tc>
        <w:tc>
          <w:tcPr>
            <w:tcW w:w="1276" w:type="dxa"/>
            <w:vMerge w:val="continue"/>
            <w:tcBorders>
              <w:left w:val="nil"/>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JTL14</w:t>
            </w:r>
          </w:p>
        </w:tc>
        <w:tc>
          <w:tcPr>
            <w:tcW w:w="992"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北京诚达交通科技有限公司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（合同金额44129141元）</w:t>
            </w:r>
          </w:p>
        </w:tc>
        <w:tc>
          <w:tcPr>
            <w:tcW w:w="1276" w:type="dxa"/>
            <w:vMerge w:val="continue"/>
            <w:tcBorders>
              <w:left w:val="nil"/>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JTL15</w:t>
            </w:r>
          </w:p>
        </w:tc>
        <w:tc>
          <w:tcPr>
            <w:tcW w:w="992"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中交机电工程局有限公司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（合同金额77485205元）</w:t>
            </w:r>
          </w:p>
        </w:tc>
        <w:tc>
          <w:tcPr>
            <w:tcW w:w="1276" w:type="dxa"/>
            <w:vMerge w:val="continue"/>
            <w:tcBorders>
              <w:left w:val="nil"/>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JTL16</w:t>
            </w:r>
          </w:p>
        </w:tc>
        <w:tc>
          <w:tcPr>
            <w:tcW w:w="992"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江苏智运科技发展有限公司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（合同金额38258416元）</w:t>
            </w:r>
          </w:p>
        </w:tc>
        <w:tc>
          <w:tcPr>
            <w:tcW w:w="1276" w:type="dxa"/>
            <w:vMerge w:val="continue"/>
            <w:tcBorders>
              <w:left w:val="nil"/>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JTL17</w:t>
            </w:r>
          </w:p>
        </w:tc>
        <w:tc>
          <w:tcPr>
            <w:tcW w:w="992"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中铁十二局集团电气化工程有限公司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（合同金额35872271元）</w:t>
            </w:r>
          </w:p>
        </w:tc>
        <w:tc>
          <w:tcPr>
            <w:tcW w:w="1276" w:type="dxa"/>
            <w:vMerge w:val="continue"/>
            <w:tcBorders>
              <w:left w:val="nil"/>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JTL18</w:t>
            </w:r>
          </w:p>
        </w:tc>
        <w:tc>
          <w:tcPr>
            <w:tcW w:w="992"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南京消防器材股份有限公司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（合同金额45194807元）</w:t>
            </w:r>
          </w:p>
        </w:tc>
        <w:tc>
          <w:tcPr>
            <w:tcW w:w="1276" w:type="dxa"/>
            <w:vMerge w:val="continue"/>
            <w:tcBorders>
              <w:left w:val="nil"/>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JTL19</w:t>
            </w:r>
          </w:p>
        </w:tc>
        <w:tc>
          <w:tcPr>
            <w:tcW w:w="99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重庆工业设备安装集团有限公司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（合同金额23152099元）</w:t>
            </w:r>
          </w:p>
        </w:tc>
        <w:tc>
          <w:tcPr>
            <w:tcW w:w="1276" w:type="dxa"/>
            <w:vMerge w:val="continue"/>
            <w:tcBorders>
              <w:left w:val="nil"/>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JTJ03</w:t>
            </w:r>
          </w:p>
        </w:tc>
        <w:tc>
          <w:tcPr>
            <w:tcW w:w="99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监理</w:t>
            </w: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吉林省公路工程监理有限责任公司</w:t>
            </w:r>
          </w:p>
        </w:tc>
        <w:tc>
          <w:tcPr>
            <w:tcW w:w="1276"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JTJ0</w:t>
            </w:r>
            <w:r>
              <w:rPr>
                <w:rFonts w:hint="eastAsia" w:ascii="宋体" w:hAnsi="宋体" w:cs="宋体"/>
                <w:color w:val="000000"/>
                <w:kern w:val="0"/>
                <w:sz w:val="22"/>
                <w:szCs w:val="22"/>
              </w:rPr>
              <w:t>4</w:t>
            </w:r>
          </w:p>
        </w:tc>
        <w:tc>
          <w:tcPr>
            <w:tcW w:w="99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吉林省金泉公路工程咨询监理有限责任公司（牵头人）</w:t>
            </w:r>
          </w:p>
          <w:p>
            <w:pPr>
              <w:widowControl/>
              <w:jc w:val="center"/>
              <w:rPr>
                <w:rFonts w:ascii="宋体" w:hAnsi="宋体" w:cs="宋体"/>
                <w:color w:val="000000"/>
                <w:kern w:val="0"/>
                <w:sz w:val="22"/>
                <w:szCs w:val="22"/>
              </w:rPr>
            </w:pPr>
            <w:r>
              <w:rPr>
                <w:rFonts w:ascii="宋体" w:hAnsi="宋体" w:cs="宋体"/>
                <w:color w:val="000000"/>
                <w:kern w:val="0"/>
                <w:sz w:val="22"/>
                <w:szCs w:val="22"/>
              </w:rPr>
              <w:t>江西交通咨询公司（联合体成员）</w:t>
            </w:r>
          </w:p>
        </w:tc>
        <w:tc>
          <w:tcPr>
            <w:tcW w:w="1276"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JTJ0</w:t>
            </w:r>
            <w:r>
              <w:rPr>
                <w:rFonts w:hint="eastAsia" w:ascii="宋体" w:hAnsi="宋体" w:cs="宋体"/>
                <w:color w:val="000000"/>
                <w:kern w:val="0"/>
                <w:sz w:val="22"/>
                <w:szCs w:val="22"/>
              </w:rPr>
              <w:t>5</w:t>
            </w:r>
          </w:p>
        </w:tc>
        <w:tc>
          <w:tcPr>
            <w:tcW w:w="99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吉林省公路工程监理事务所（牵头人）</w:t>
            </w:r>
          </w:p>
          <w:p>
            <w:pPr>
              <w:widowControl/>
              <w:jc w:val="center"/>
              <w:rPr>
                <w:rFonts w:ascii="宋体" w:hAnsi="宋体" w:cs="宋体"/>
                <w:color w:val="000000"/>
                <w:kern w:val="0"/>
                <w:sz w:val="22"/>
                <w:szCs w:val="22"/>
              </w:rPr>
            </w:pPr>
            <w:r>
              <w:rPr>
                <w:rFonts w:ascii="宋体" w:hAnsi="宋体" w:cs="宋体"/>
                <w:color w:val="000000"/>
                <w:kern w:val="0"/>
                <w:sz w:val="22"/>
                <w:szCs w:val="22"/>
              </w:rPr>
              <w:t>辽宁第一交通工程监理事务所（联合体成员）</w:t>
            </w:r>
          </w:p>
        </w:tc>
        <w:tc>
          <w:tcPr>
            <w:tcW w:w="1276"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JTJ0</w:t>
            </w:r>
            <w:r>
              <w:rPr>
                <w:rFonts w:hint="eastAsia" w:ascii="宋体" w:hAnsi="宋体" w:cs="宋体"/>
                <w:color w:val="000000"/>
                <w:kern w:val="0"/>
                <w:sz w:val="22"/>
                <w:szCs w:val="22"/>
              </w:rPr>
              <w:t>6</w:t>
            </w:r>
          </w:p>
        </w:tc>
        <w:tc>
          <w:tcPr>
            <w:tcW w:w="99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吉林省计维建设监理有限公司</w:t>
            </w:r>
          </w:p>
        </w:tc>
        <w:tc>
          <w:tcPr>
            <w:tcW w:w="1276"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JTJ0</w:t>
            </w:r>
            <w:r>
              <w:rPr>
                <w:rFonts w:hint="eastAsia" w:ascii="宋体" w:hAnsi="宋体" w:cs="宋体"/>
                <w:color w:val="000000"/>
                <w:kern w:val="0"/>
                <w:sz w:val="22"/>
                <w:szCs w:val="22"/>
              </w:rPr>
              <w:t>1</w:t>
            </w:r>
          </w:p>
        </w:tc>
        <w:tc>
          <w:tcPr>
            <w:tcW w:w="99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中心</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试验室</w:t>
            </w: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吉林省交通科学研究所</w:t>
            </w:r>
          </w:p>
        </w:tc>
        <w:tc>
          <w:tcPr>
            <w:tcW w:w="1276"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JTJ0</w:t>
            </w:r>
            <w:r>
              <w:rPr>
                <w:rFonts w:hint="eastAsia" w:ascii="宋体" w:hAnsi="宋体" w:cs="宋体"/>
                <w:color w:val="000000"/>
                <w:kern w:val="0"/>
                <w:sz w:val="22"/>
                <w:szCs w:val="22"/>
              </w:rPr>
              <w:t>2</w:t>
            </w:r>
          </w:p>
        </w:tc>
        <w:tc>
          <w:tcPr>
            <w:tcW w:w="99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吉林省交通规划设计院</w:t>
            </w:r>
          </w:p>
        </w:tc>
        <w:tc>
          <w:tcPr>
            <w:tcW w:w="1276" w:type="dxa"/>
            <w:vMerge w:val="continue"/>
            <w:tcBorders>
              <w:left w:val="nil"/>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sz w:val="24"/>
                <w:lang w:val="zh-CN"/>
              </w:rPr>
              <w:t>集双高速东丰至双辽段</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DSL28</w:t>
            </w:r>
          </w:p>
        </w:tc>
        <w:tc>
          <w:tcPr>
            <w:tcW w:w="992"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施工</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北京公科飞达交通工程发展有限公司</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（合同金额24528926元）</w:t>
            </w:r>
          </w:p>
        </w:tc>
        <w:tc>
          <w:tcPr>
            <w:tcW w:w="1276" w:type="dxa"/>
            <w:vMerge w:val="restart"/>
            <w:tcBorders>
              <w:top w:val="single" w:color="auto" w:sz="4" w:space="0"/>
              <w:left w:val="nil"/>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东平</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指挥部</w:t>
            </w: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DSL29</w:t>
            </w:r>
          </w:p>
        </w:tc>
        <w:tc>
          <w:tcPr>
            <w:tcW w:w="992"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山西四和交通工程有限责任公司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（合同金额30942572元）</w:t>
            </w:r>
          </w:p>
        </w:tc>
        <w:tc>
          <w:tcPr>
            <w:tcW w:w="1276" w:type="dxa"/>
            <w:vMerge w:val="continue"/>
            <w:tcBorders>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DSL30</w:t>
            </w:r>
          </w:p>
        </w:tc>
        <w:tc>
          <w:tcPr>
            <w:tcW w:w="992"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安徽皖通科技股份有限公司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（合同金额27978034元）</w:t>
            </w:r>
          </w:p>
        </w:tc>
        <w:tc>
          <w:tcPr>
            <w:tcW w:w="1276" w:type="dxa"/>
            <w:vMerge w:val="restart"/>
            <w:tcBorders>
              <w:top w:val="nil"/>
              <w:left w:val="nil"/>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平双</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指挥部</w:t>
            </w: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sz w:val="24"/>
                <w:lang w:val="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DSL31</w:t>
            </w:r>
          </w:p>
        </w:tc>
        <w:tc>
          <w:tcPr>
            <w:tcW w:w="99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云南云岭高速公路交通科技有限公司</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（合同金额28534840元）</w:t>
            </w:r>
          </w:p>
        </w:tc>
        <w:tc>
          <w:tcPr>
            <w:tcW w:w="1276" w:type="dxa"/>
            <w:vMerge w:val="continue"/>
            <w:tcBorders>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DSJ01</w:t>
            </w:r>
          </w:p>
        </w:tc>
        <w:tc>
          <w:tcPr>
            <w:tcW w:w="99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监理</w:t>
            </w: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吉林省公路工程监理事务所（牵头人）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辽宁第一交通工程监理事务所（联合体成员）</w:t>
            </w:r>
          </w:p>
        </w:tc>
        <w:tc>
          <w:tcPr>
            <w:tcW w:w="1276" w:type="dxa"/>
            <w:vMerge w:val="restart"/>
            <w:tcBorders>
              <w:top w:val="nil"/>
              <w:left w:val="nil"/>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东平</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指挥部</w:t>
            </w: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DSJ0</w:t>
            </w:r>
            <w:r>
              <w:rPr>
                <w:rFonts w:hint="eastAsia" w:ascii="宋体" w:hAnsi="宋体" w:cs="宋体"/>
                <w:color w:val="000000"/>
                <w:kern w:val="0"/>
                <w:sz w:val="22"/>
                <w:szCs w:val="22"/>
              </w:rPr>
              <w:t>2</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吉林省公路工程监理有限责任公司</w:t>
            </w:r>
          </w:p>
        </w:tc>
        <w:tc>
          <w:tcPr>
            <w:tcW w:w="1276" w:type="dxa"/>
            <w:vMerge w:val="continue"/>
            <w:tcBorders>
              <w:left w:val="nil"/>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DSJ0</w:t>
            </w:r>
            <w:r>
              <w:rPr>
                <w:rFonts w:hint="eastAsia" w:ascii="宋体" w:hAnsi="宋体" w:cs="宋体"/>
                <w:color w:val="000000"/>
                <w:kern w:val="0"/>
                <w:sz w:val="22"/>
                <w:szCs w:val="22"/>
              </w:rPr>
              <w:t>3</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吉林省计维建设监理有限公司</w:t>
            </w:r>
          </w:p>
        </w:tc>
        <w:tc>
          <w:tcPr>
            <w:tcW w:w="1276" w:type="dxa"/>
            <w:vMerge w:val="continue"/>
            <w:tcBorders>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DSJ0</w:t>
            </w:r>
            <w:r>
              <w:rPr>
                <w:rFonts w:hint="eastAsia" w:ascii="宋体" w:hAnsi="宋体" w:cs="宋体"/>
                <w:color w:val="000000"/>
                <w:kern w:val="0"/>
                <w:sz w:val="22"/>
                <w:szCs w:val="22"/>
              </w:rPr>
              <w:t>4</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吉林省公路工程监理有限责任公司</w:t>
            </w:r>
          </w:p>
        </w:tc>
        <w:tc>
          <w:tcPr>
            <w:tcW w:w="1276" w:type="dxa"/>
            <w:vMerge w:val="restart"/>
            <w:tcBorders>
              <w:top w:val="nil"/>
              <w:left w:val="nil"/>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平双</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指挥部</w:t>
            </w: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DSJ0</w:t>
            </w:r>
            <w:r>
              <w:rPr>
                <w:rFonts w:hint="eastAsia" w:ascii="宋体" w:hAnsi="宋体" w:cs="宋体"/>
                <w:color w:val="000000"/>
                <w:kern w:val="0"/>
                <w:sz w:val="22"/>
                <w:szCs w:val="22"/>
              </w:rPr>
              <w:t>5</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吉林省金泉公路工程咨询监理有限责任公司（牵头人）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北京兴通工程咨询有限公司（联合体成员）</w:t>
            </w:r>
          </w:p>
        </w:tc>
        <w:tc>
          <w:tcPr>
            <w:tcW w:w="1276" w:type="dxa"/>
            <w:vMerge w:val="continue"/>
            <w:tcBorders>
              <w:left w:val="nil"/>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DSJ0</w:t>
            </w:r>
            <w:r>
              <w:rPr>
                <w:rFonts w:hint="eastAsia" w:ascii="宋体" w:hAnsi="宋体" w:cs="宋体"/>
                <w:color w:val="000000"/>
                <w:kern w:val="0"/>
                <w:sz w:val="22"/>
                <w:szCs w:val="22"/>
              </w:rPr>
              <w:t>6</w:t>
            </w: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吉林省铭泽公路工程监理咨询有限公司（牵头人）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内蒙古交通建设监理咨询（集团）有限公司（联合体成员）</w:t>
            </w:r>
          </w:p>
        </w:tc>
        <w:tc>
          <w:tcPr>
            <w:tcW w:w="1276" w:type="dxa"/>
            <w:vMerge w:val="continue"/>
            <w:tcBorders>
              <w:left w:val="nil"/>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2"/>
                <w:szCs w:val="22"/>
              </w:rPr>
            </w:pPr>
            <w:r>
              <w:rPr>
                <w:rFonts w:ascii="宋体" w:hAnsi="宋体" w:cs="宋体"/>
                <w:color w:val="000000"/>
                <w:kern w:val="0"/>
                <w:sz w:val="22"/>
                <w:szCs w:val="22"/>
              </w:rPr>
              <w:t>DSJ0</w:t>
            </w:r>
            <w:r>
              <w:rPr>
                <w:rFonts w:hint="eastAsia" w:ascii="宋体" w:hAnsi="宋体" w:cs="宋体"/>
                <w:color w:val="000000"/>
                <w:kern w:val="0"/>
                <w:sz w:val="22"/>
                <w:szCs w:val="22"/>
              </w:rPr>
              <w:t>7</w:t>
            </w:r>
          </w:p>
        </w:tc>
        <w:tc>
          <w:tcPr>
            <w:tcW w:w="99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中心试验室</w:t>
            </w: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苏交科集团股份有限公司</w:t>
            </w:r>
          </w:p>
        </w:tc>
        <w:tc>
          <w:tcPr>
            <w:tcW w:w="1276" w:type="dxa"/>
            <w:vMerge w:val="restart"/>
            <w:tcBorders>
              <w:top w:val="nil"/>
              <w:left w:val="nil"/>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东平</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指挥部</w:t>
            </w: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2"/>
                <w:szCs w:val="22"/>
              </w:rPr>
            </w:pPr>
            <w:r>
              <w:rPr>
                <w:rFonts w:ascii="宋体" w:hAnsi="宋体" w:cs="宋体"/>
                <w:color w:val="000000"/>
                <w:kern w:val="0"/>
                <w:sz w:val="22"/>
                <w:szCs w:val="22"/>
              </w:rPr>
              <w:t>DSJ0</w:t>
            </w:r>
            <w:r>
              <w:rPr>
                <w:rFonts w:hint="eastAsia" w:ascii="宋体" w:hAnsi="宋体" w:cs="宋体"/>
                <w:color w:val="000000"/>
                <w:kern w:val="0"/>
                <w:sz w:val="22"/>
                <w:szCs w:val="22"/>
              </w:rPr>
              <w:t>8</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吉林省交通规划设计院</w:t>
            </w:r>
            <w:r>
              <w:rPr>
                <w:rFonts w:hint="eastAsia" w:ascii="宋体" w:hAnsi="宋体" w:cs="宋体"/>
                <w:color w:val="000000"/>
                <w:kern w:val="0"/>
                <w:sz w:val="22"/>
                <w:szCs w:val="22"/>
              </w:rPr>
              <w:t xml:space="preserve">   </w:t>
            </w:r>
          </w:p>
        </w:tc>
        <w:tc>
          <w:tcPr>
            <w:tcW w:w="1276"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2"/>
                <w:szCs w:val="22"/>
              </w:rPr>
            </w:pPr>
            <w:r>
              <w:rPr>
                <w:rFonts w:ascii="宋体" w:hAnsi="宋体" w:cs="宋体"/>
                <w:color w:val="000000"/>
                <w:kern w:val="0"/>
                <w:sz w:val="22"/>
                <w:szCs w:val="22"/>
              </w:rPr>
              <w:t>DSJ0</w:t>
            </w:r>
            <w:r>
              <w:rPr>
                <w:rFonts w:hint="eastAsia" w:ascii="宋体" w:hAnsi="宋体" w:cs="宋体"/>
                <w:color w:val="000000"/>
                <w:kern w:val="0"/>
                <w:sz w:val="22"/>
                <w:szCs w:val="22"/>
              </w:rPr>
              <w:t>9</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吉林省诚科工程检测有限公司</w:t>
            </w:r>
          </w:p>
        </w:tc>
        <w:tc>
          <w:tcPr>
            <w:tcW w:w="1276" w:type="dxa"/>
            <w:vMerge w:val="restart"/>
            <w:tcBorders>
              <w:top w:val="nil"/>
              <w:left w:val="nil"/>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平双</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指挥部</w:t>
            </w:r>
          </w:p>
        </w:tc>
      </w:tr>
      <w:tr>
        <w:tblPrEx>
          <w:tblCellMar>
            <w:top w:w="0" w:type="dxa"/>
            <w:left w:w="108" w:type="dxa"/>
            <w:bottom w:w="0" w:type="dxa"/>
            <w:right w:w="108" w:type="dxa"/>
          </w:tblCellMar>
        </w:tblPrEx>
        <w:trPr>
          <w:trHeight w:val="907" w:hRule="exact"/>
        </w:trPr>
        <w:tc>
          <w:tcPr>
            <w:tcW w:w="86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2"/>
                <w:szCs w:val="22"/>
              </w:rPr>
            </w:pPr>
            <w:r>
              <w:rPr>
                <w:rFonts w:ascii="宋体" w:hAnsi="宋体" w:cs="宋体"/>
                <w:color w:val="000000"/>
                <w:kern w:val="0"/>
                <w:sz w:val="22"/>
                <w:szCs w:val="22"/>
              </w:rPr>
              <w:t>DSJ</w:t>
            </w:r>
            <w:r>
              <w:rPr>
                <w:rFonts w:hint="eastAsia" w:ascii="宋体" w:hAnsi="宋体" w:cs="宋体"/>
                <w:color w:val="000000"/>
                <w:kern w:val="0"/>
                <w:sz w:val="22"/>
                <w:szCs w:val="22"/>
              </w:rPr>
              <w:t>10</w:t>
            </w: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吉林省交通科学研究所</w:t>
            </w:r>
          </w:p>
        </w:tc>
        <w:tc>
          <w:tcPr>
            <w:tcW w:w="1276" w:type="dxa"/>
            <w:vMerge w:val="continue"/>
            <w:tcBorders>
              <w:left w:val="nil"/>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916" w:hRule="exact"/>
        </w:trPr>
        <w:tc>
          <w:tcPr>
            <w:tcW w:w="8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sz w:val="24"/>
                <w:lang w:val="zh-CN"/>
              </w:rPr>
              <w:t>珲乌高速吉林至机场段（改扩建）</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CJ01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施工</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中铁十二局集团有限公司（牵头人）</w:t>
            </w:r>
          </w:p>
          <w:p>
            <w:pPr>
              <w:widowControl/>
              <w:jc w:val="center"/>
              <w:rPr>
                <w:rFonts w:ascii="宋体" w:hAnsi="宋体" w:cs="宋体"/>
                <w:color w:val="000000"/>
                <w:kern w:val="0"/>
                <w:sz w:val="22"/>
                <w:szCs w:val="22"/>
              </w:rPr>
            </w:pPr>
            <w:r>
              <w:rPr>
                <w:rFonts w:ascii="宋体" w:hAnsi="宋体" w:cs="宋体"/>
                <w:color w:val="000000"/>
                <w:kern w:val="0"/>
                <w:sz w:val="22"/>
                <w:szCs w:val="22"/>
              </w:rPr>
              <w:t>中铁十二局集团电气化工程有限公司（联合体成员） </w:t>
            </w:r>
          </w:p>
          <w:p>
            <w:pPr>
              <w:widowControl/>
              <w:jc w:val="center"/>
              <w:rPr>
                <w:rFonts w:hint="eastAsia" w:ascii="宋体" w:hAnsi="宋体" w:cs="宋体"/>
                <w:color w:val="000000"/>
                <w:kern w:val="0"/>
                <w:sz w:val="22"/>
                <w:szCs w:val="22"/>
              </w:rPr>
            </w:pPr>
            <w:r>
              <w:rPr>
                <w:rFonts w:ascii="宋体" w:hAnsi="宋体" w:cs="宋体"/>
                <w:color w:val="000000"/>
                <w:kern w:val="0"/>
                <w:sz w:val="22"/>
                <w:szCs w:val="22"/>
              </w:rPr>
              <w:t>浙江省衢州市交通建设集团有限公司（联合体成员）</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（机电工程合同金额79214578元）</w:t>
            </w:r>
          </w:p>
        </w:tc>
        <w:tc>
          <w:tcPr>
            <w:tcW w:w="1276" w:type="dxa"/>
            <w:vMerge w:val="restart"/>
            <w:tcBorders>
              <w:top w:val="single" w:color="auto" w:sz="4" w:space="0"/>
              <w:left w:val="nil"/>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长吉</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指挥部</w:t>
            </w:r>
          </w:p>
        </w:tc>
      </w:tr>
      <w:tr>
        <w:tblPrEx>
          <w:tblCellMar>
            <w:top w:w="0" w:type="dxa"/>
            <w:left w:w="108" w:type="dxa"/>
            <w:bottom w:w="0" w:type="dxa"/>
            <w:right w:w="108" w:type="dxa"/>
          </w:tblCellMar>
        </w:tblPrEx>
        <w:trPr>
          <w:trHeight w:val="1412" w:hRule="exact"/>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CJJ01</w:t>
            </w:r>
          </w:p>
        </w:tc>
        <w:tc>
          <w:tcPr>
            <w:tcW w:w="992"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监理</w:t>
            </w: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吉林市万丰公路工程监理有限责任公司（牵头人）</w:t>
            </w:r>
          </w:p>
          <w:p>
            <w:pPr>
              <w:widowControl/>
              <w:jc w:val="center"/>
              <w:rPr>
                <w:rFonts w:ascii="宋体" w:hAnsi="宋体" w:cs="宋体"/>
                <w:color w:val="000000"/>
                <w:kern w:val="0"/>
                <w:sz w:val="22"/>
                <w:szCs w:val="22"/>
              </w:rPr>
            </w:pPr>
            <w:r>
              <w:rPr>
                <w:rFonts w:ascii="宋体" w:hAnsi="宋体" w:cs="宋体"/>
                <w:color w:val="000000"/>
                <w:kern w:val="0"/>
                <w:sz w:val="22"/>
                <w:szCs w:val="22"/>
              </w:rPr>
              <w:t>吉林鑫茂建筑工程咨询有限公司（联合体成员）</w:t>
            </w:r>
          </w:p>
          <w:p>
            <w:pPr>
              <w:widowControl/>
              <w:jc w:val="center"/>
              <w:rPr>
                <w:rFonts w:ascii="宋体" w:hAnsi="宋体" w:cs="宋体"/>
                <w:color w:val="000000"/>
                <w:kern w:val="0"/>
                <w:sz w:val="22"/>
                <w:szCs w:val="22"/>
              </w:rPr>
            </w:pPr>
            <w:r>
              <w:rPr>
                <w:rFonts w:ascii="宋体" w:hAnsi="宋体" w:cs="宋体"/>
                <w:color w:val="000000"/>
                <w:kern w:val="0"/>
                <w:sz w:val="22"/>
                <w:szCs w:val="22"/>
              </w:rPr>
              <w:t>陕西公路交通科技开发咨询公司（联合体成员）</w:t>
            </w:r>
          </w:p>
        </w:tc>
        <w:tc>
          <w:tcPr>
            <w:tcW w:w="1276"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881" w:hRule="exact"/>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CJJ0</w:t>
            </w:r>
            <w:r>
              <w:rPr>
                <w:rFonts w:hint="eastAsia" w:ascii="宋体" w:hAnsi="宋体" w:cs="宋体"/>
                <w:color w:val="000000"/>
                <w:kern w:val="0"/>
                <w:sz w:val="22"/>
                <w:szCs w:val="22"/>
              </w:rPr>
              <w:t>2</w:t>
            </w:r>
          </w:p>
        </w:tc>
        <w:tc>
          <w:tcPr>
            <w:tcW w:w="992"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中心试验室</w:t>
            </w:r>
          </w:p>
        </w:tc>
        <w:tc>
          <w:tcPr>
            <w:tcW w:w="5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吉林省交通科学研究所</w:t>
            </w:r>
          </w:p>
        </w:tc>
        <w:tc>
          <w:tcPr>
            <w:tcW w:w="1276" w:type="dxa"/>
            <w:vMerge w:val="continue"/>
            <w:tcBorders>
              <w:left w:val="nil"/>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997" w:hRule="exact"/>
        </w:trPr>
        <w:tc>
          <w:tcPr>
            <w:tcW w:w="867" w:type="dxa"/>
            <w:vMerge w:val="restart"/>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sz w:val="24"/>
                <w:lang w:val="zh-CN"/>
              </w:rPr>
              <w:t>京哈高速公路长春至拉林河段（改扩建）</w:t>
            </w:r>
          </w:p>
        </w:tc>
        <w:tc>
          <w:tcPr>
            <w:tcW w:w="1134"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CL01</w:t>
            </w:r>
          </w:p>
        </w:tc>
        <w:tc>
          <w:tcPr>
            <w:tcW w:w="992" w:type="dxa"/>
            <w:tcBorders>
              <w:top w:val="single" w:color="auto" w:sz="4" w:space="0"/>
              <w:left w:val="single" w:color="auto" w:sz="6" w:space="0"/>
              <w:right w:val="single" w:color="auto" w:sz="6"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施工</w:t>
            </w:r>
          </w:p>
        </w:tc>
        <w:tc>
          <w:tcPr>
            <w:tcW w:w="5670"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22"/>
                <w:szCs w:val="22"/>
              </w:rPr>
            </w:pPr>
            <w:bookmarkStart w:id="19" w:name="OLE_LINK1"/>
            <w:r>
              <w:rPr>
                <w:rFonts w:ascii="宋体" w:hAnsi="宋体" w:cs="宋体"/>
                <w:color w:val="000000"/>
                <w:kern w:val="0"/>
                <w:sz w:val="22"/>
                <w:szCs w:val="22"/>
              </w:rPr>
              <w:t>中国交通建设股份有限公司（牵头人）</w:t>
            </w:r>
            <w:bookmarkEnd w:id="19"/>
          </w:p>
          <w:p>
            <w:pPr>
              <w:widowControl/>
              <w:jc w:val="center"/>
              <w:rPr>
                <w:rFonts w:ascii="宋体" w:hAnsi="宋体" w:cs="宋体"/>
                <w:color w:val="000000"/>
                <w:kern w:val="0"/>
                <w:sz w:val="22"/>
                <w:szCs w:val="22"/>
              </w:rPr>
            </w:pPr>
            <w:r>
              <w:rPr>
                <w:rFonts w:ascii="宋体" w:hAnsi="宋体" w:cs="宋体"/>
                <w:color w:val="000000"/>
                <w:kern w:val="0"/>
                <w:sz w:val="22"/>
                <w:szCs w:val="22"/>
              </w:rPr>
              <w:t>中交第二航务工程局有限公司（联合体成员）</w:t>
            </w:r>
          </w:p>
          <w:p>
            <w:pPr>
              <w:widowControl/>
              <w:jc w:val="center"/>
              <w:rPr>
                <w:rFonts w:ascii="宋体" w:hAnsi="宋体" w:cs="宋体"/>
                <w:color w:val="000000"/>
                <w:kern w:val="0"/>
                <w:sz w:val="22"/>
                <w:szCs w:val="22"/>
              </w:rPr>
            </w:pPr>
            <w:r>
              <w:rPr>
                <w:rFonts w:ascii="宋体" w:hAnsi="宋体" w:cs="宋体"/>
                <w:color w:val="000000"/>
                <w:kern w:val="0"/>
                <w:sz w:val="22"/>
                <w:szCs w:val="22"/>
              </w:rPr>
              <w:t>中交第四公路工程局有限公司（联合体成员）</w:t>
            </w:r>
          </w:p>
          <w:p>
            <w:pPr>
              <w:widowControl/>
              <w:jc w:val="center"/>
              <w:rPr>
                <w:rFonts w:hint="eastAsia" w:ascii="宋体" w:hAnsi="宋体" w:cs="宋体"/>
                <w:color w:val="000000"/>
                <w:kern w:val="0"/>
                <w:sz w:val="22"/>
                <w:szCs w:val="22"/>
              </w:rPr>
            </w:pPr>
            <w:r>
              <w:rPr>
                <w:rFonts w:ascii="宋体" w:hAnsi="宋体" w:cs="宋体"/>
                <w:color w:val="000000"/>
                <w:kern w:val="0"/>
                <w:sz w:val="22"/>
                <w:szCs w:val="22"/>
              </w:rPr>
              <w:t>中交路桥建设有限公司（联合体成员）</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（机电工程合同金额127702360元）</w:t>
            </w:r>
          </w:p>
        </w:tc>
        <w:tc>
          <w:tcPr>
            <w:tcW w:w="1276" w:type="dxa"/>
            <w:vMerge w:val="restart"/>
            <w:tcBorders>
              <w:top w:val="single" w:color="auto" w:sz="4" w:space="0"/>
              <w:left w:val="single" w:color="auto" w:sz="6"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长余</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指挥部</w:t>
            </w:r>
          </w:p>
        </w:tc>
      </w:tr>
      <w:tr>
        <w:tblPrEx>
          <w:tblCellMar>
            <w:top w:w="0" w:type="dxa"/>
            <w:left w:w="108" w:type="dxa"/>
            <w:bottom w:w="0" w:type="dxa"/>
            <w:right w:w="108" w:type="dxa"/>
          </w:tblCellMar>
        </w:tblPrEx>
        <w:trPr>
          <w:trHeight w:val="1417" w:hRule="exact"/>
        </w:trPr>
        <w:tc>
          <w:tcPr>
            <w:tcW w:w="86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CLJ01</w:t>
            </w:r>
          </w:p>
        </w:tc>
        <w:tc>
          <w:tcPr>
            <w:tcW w:w="992" w:type="dxa"/>
            <w:vMerge w:val="restart"/>
            <w:tcBorders>
              <w:top w:val="single" w:color="auto" w:sz="6" w:space="0"/>
              <w:left w:val="single" w:color="auto" w:sz="6" w:space="0"/>
              <w:right w:val="single" w:color="auto" w:sz="6"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监理</w:t>
            </w:r>
          </w:p>
        </w:tc>
        <w:tc>
          <w:tcPr>
            <w:tcW w:w="567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吉林省通达公路工程监理有限责任公司（牵头人）</w:t>
            </w:r>
          </w:p>
          <w:p>
            <w:pPr>
              <w:widowControl/>
              <w:jc w:val="center"/>
              <w:rPr>
                <w:rFonts w:ascii="宋体" w:hAnsi="宋体" w:cs="宋体"/>
                <w:color w:val="000000"/>
                <w:kern w:val="0"/>
                <w:sz w:val="22"/>
                <w:szCs w:val="22"/>
              </w:rPr>
            </w:pPr>
            <w:r>
              <w:rPr>
                <w:rFonts w:ascii="宋体" w:hAnsi="宋体" w:cs="宋体"/>
                <w:color w:val="000000"/>
                <w:kern w:val="0"/>
                <w:sz w:val="22"/>
                <w:szCs w:val="22"/>
              </w:rPr>
              <w:t>山西兴路交通工程监理技术咨询有限公司（联合体成员）</w:t>
            </w:r>
          </w:p>
          <w:p>
            <w:pPr>
              <w:widowControl/>
              <w:jc w:val="center"/>
              <w:rPr>
                <w:rFonts w:ascii="宋体" w:hAnsi="宋体" w:cs="宋体"/>
                <w:color w:val="000000"/>
                <w:kern w:val="0"/>
                <w:sz w:val="22"/>
                <w:szCs w:val="22"/>
              </w:rPr>
            </w:pPr>
            <w:r>
              <w:rPr>
                <w:rFonts w:ascii="宋体" w:hAnsi="宋体" w:cs="宋体"/>
                <w:color w:val="000000"/>
                <w:kern w:val="0"/>
                <w:sz w:val="22"/>
                <w:szCs w:val="22"/>
              </w:rPr>
              <w:t>吉林卓信建设监理有限公司（联合体成员） </w:t>
            </w:r>
          </w:p>
        </w:tc>
        <w:tc>
          <w:tcPr>
            <w:tcW w:w="1276" w:type="dxa"/>
            <w:vMerge w:val="continue"/>
            <w:tcBorders>
              <w:left w:val="single" w:color="auto" w:sz="6" w:space="0"/>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7" w:hRule="exact"/>
        </w:trPr>
        <w:tc>
          <w:tcPr>
            <w:tcW w:w="86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CLJ0</w:t>
            </w:r>
            <w:r>
              <w:rPr>
                <w:rFonts w:hint="eastAsia" w:ascii="宋体" w:hAnsi="宋体" w:cs="宋体"/>
                <w:color w:val="000000"/>
                <w:kern w:val="0"/>
                <w:sz w:val="22"/>
                <w:szCs w:val="22"/>
              </w:rPr>
              <w:t>2</w:t>
            </w:r>
          </w:p>
        </w:tc>
        <w:tc>
          <w:tcPr>
            <w:tcW w:w="992" w:type="dxa"/>
            <w:vMerge w:val="continue"/>
            <w:tcBorders>
              <w:left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567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辽宁驰通工程管理有限公司（牵头人）  </w:t>
            </w:r>
          </w:p>
          <w:p>
            <w:pPr>
              <w:widowControl/>
              <w:jc w:val="center"/>
              <w:rPr>
                <w:rFonts w:ascii="宋体" w:hAnsi="宋体" w:cs="宋体"/>
                <w:color w:val="000000"/>
                <w:kern w:val="0"/>
                <w:sz w:val="22"/>
                <w:szCs w:val="22"/>
              </w:rPr>
            </w:pPr>
            <w:r>
              <w:rPr>
                <w:rFonts w:ascii="宋体" w:hAnsi="宋体" w:cs="宋体"/>
                <w:color w:val="000000"/>
                <w:kern w:val="0"/>
                <w:sz w:val="22"/>
                <w:szCs w:val="22"/>
              </w:rPr>
              <w:t>江西通慧科技股份有限公司（联合体成员）</w:t>
            </w:r>
          </w:p>
        </w:tc>
        <w:tc>
          <w:tcPr>
            <w:tcW w:w="1276" w:type="dxa"/>
            <w:vMerge w:val="continue"/>
            <w:tcBorders>
              <w:left w:val="single" w:color="auto" w:sz="6" w:space="0"/>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7" w:hRule="exact"/>
        </w:trPr>
        <w:tc>
          <w:tcPr>
            <w:tcW w:w="86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CLJ0</w:t>
            </w:r>
            <w:r>
              <w:rPr>
                <w:rFonts w:hint="eastAsia" w:ascii="宋体" w:hAnsi="宋体" w:cs="宋体"/>
                <w:color w:val="000000"/>
                <w:kern w:val="0"/>
                <w:sz w:val="22"/>
                <w:szCs w:val="22"/>
              </w:rPr>
              <w:t>3</w:t>
            </w:r>
          </w:p>
        </w:tc>
        <w:tc>
          <w:tcPr>
            <w:tcW w:w="992" w:type="dxa"/>
            <w:vMerge w:val="continue"/>
            <w:tcBorders>
              <w:left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567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山东格瑞特监理咨询有限公司（牵头人）</w:t>
            </w:r>
          </w:p>
          <w:p>
            <w:pPr>
              <w:widowControl/>
              <w:jc w:val="center"/>
              <w:rPr>
                <w:rFonts w:ascii="宋体" w:hAnsi="宋体" w:cs="宋体"/>
                <w:color w:val="000000"/>
                <w:kern w:val="0"/>
                <w:sz w:val="22"/>
                <w:szCs w:val="22"/>
              </w:rPr>
            </w:pPr>
            <w:r>
              <w:rPr>
                <w:rFonts w:ascii="宋体" w:hAnsi="宋体" w:cs="宋体"/>
                <w:color w:val="000000"/>
                <w:kern w:val="0"/>
                <w:sz w:val="22"/>
                <w:szCs w:val="22"/>
              </w:rPr>
              <w:t>山西省交通建设工程监理有限责任公司（联合体成员）</w:t>
            </w:r>
          </w:p>
        </w:tc>
        <w:tc>
          <w:tcPr>
            <w:tcW w:w="1276" w:type="dxa"/>
            <w:vMerge w:val="continue"/>
            <w:tcBorders>
              <w:left w:val="single" w:color="auto" w:sz="6" w:space="0"/>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358" w:hRule="exact"/>
        </w:trPr>
        <w:tc>
          <w:tcPr>
            <w:tcW w:w="86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CLJ0</w:t>
            </w:r>
            <w:r>
              <w:rPr>
                <w:rFonts w:hint="eastAsia" w:ascii="宋体" w:hAnsi="宋体" w:cs="宋体"/>
                <w:color w:val="000000"/>
                <w:kern w:val="0"/>
                <w:sz w:val="22"/>
                <w:szCs w:val="22"/>
              </w:rPr>
              <w:t>4</w:t>
            </w:r>
          </w:p>
        </w:tc>
        <w:tc>
          <w:tcPr>
            <w:tcW w:w="992" w:type="dxa"/>
            <w:vMerge w:val="continue"/>
            <w:tcBorders>
              <w:left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567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长春市公路工程监理咨询有限公司（牵头人）</w:t>
            </w:r>
          </w:p>
          <w:p>
            <w:pPr>
              <w:widowControl/>
              <w:jc w:val="center"/>
              <w:rPr>
                <w:rFonts w:ascii="宋体" w:hAnsi="宋体" w:cs="宋体"/>
                <w:color w:val="000000"/>
                <w:kern w:val="0"/>
                <w:sz w:val="22"/>
                <w:szCs w:val="22"/>
              </w:rPr>
            </w:pPr>
            <w:r>
              <w:rPr>
                <w:rFonts w:ascii="宋体" w:hAnsi="宋体" w:cs="宋体"/>
                <w:color w:val="000000"/>
                <w:kern w:val="0"/>
                <w:sz w:val="22"/>
                <w:szCs w:val="22"/>
              </w:rPr>
              <w:t>长春建业集团股份有限公司（联合体成员） </w:t>
            </w: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ascii="宋体" w:hAnsi="宋体" w:cs="宋体"/>
                <w:color w:val="000000"/>
                <w:kern w:val="0"/>
                <w:sz w:val="22"/>
                <w:szCs w:val="22"/>
              </w:rPr>
              <w:t>黑龙江省公路工程监理咨询公司（联合体成员） </w:t>
            </w:r>
          </w:p>
        </w:tc>
        <w:tc>
          <w:tcPr>
            <w:tcW w:w="1276" w:type="dxa"/>
            <w:vMerge w:val="continue"/>
            <w:tcBorders>
              <w:left w:val="single" w:color="auto" w:sz="6" w:space="0"/>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7" w:hRule="exact"/>
        </w:trPr>
        <w:tc>
          <w:tcPr>
            <w:tcW w:w="86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CLJ0</w:t>
            </w:r>
            <w:r>
              <w:rPr>
                <w:rFonts w:hint="eastAsia" w:ascii="宋体" w:hAnsi="宋体" w:cs="宋体"/>
                <w:color w:val="000000"/>
                <w:kern w:val="0"/>
                <w:sz w:val="22"/>
                <w:szCs w:val="22"/>
              </w:rPr>
              <w:t>5</w:t>
            </w:r>
          </w:p>
        </w:tc>
        <w:tc>
          <w:tcPr>
            <w:tcW w:w="99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中心试验室</w:t>
            </w:r>
          </w:p>
        </w:tc>
        <w:tc>
          <w:tcPr>
            <w:tcW w:w="567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苏交科集团股份有限公司</w:t>
            </w:r>
          </w:p>
        </w:tc>
        <w:tc>
          <w:tcPr>
            <w:tcW w:w="1276" w:type="dxa"/>
            <w:vMerge w:val="continue"/>
            <w:tcBorders>
              <w:left w:val="single" w:color="auto" w:sz="6" w:space="0"/>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7" w:hRule="exact"/>
        </w:trPr>
        <w:tc>
          <w:tcPr>
            <w:tcW w:w="86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CLJ0</w:t>
            </w:r>
            <w:r>
              <w:rPr>
                <w:rFonts w:hint="eastAsia" w:ascii="宋体" w:hAnsi="宋体" w:cs="宋体"/>
                <w:color w:val="000000"/>
                <w:kern w:val="0"/>
                <w:sz w:val="22"/>
                <w:szCs w:val="22"/>
              </w:rPr>
              <w:t>6</w:t>
            </w: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567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辽宁省交通科学研究院有限责任公司</w:t>
            </w:r>
          </w:p>
        </w:tc>
        <w:tc>
          <w:tcPr>
            <w:tcW w:w="1276" w:type="dxa"/>
            <w:vMerge w:val="continue"/>
            <w:tcBorders>
              <w:left w:val="single" w:color="auto" w:sz="6" w:space="0"/>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7" w:hRule="exact"/>
        </w:trPr>
        <w:tc>
          <w:tcPr>
            <w:tcW w:w="86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CLJ0</w:t>
            </w:r>
            <w:r>
              <w:rPr>
                <w:rFonts w:hint="eastAsia" w:ascii="宋体" w:hAnsi="宋体" w:cs="宋体"/>
                <w:color w:val="000000"/>
                <w:kern w:val="0"/>
                <w:sz w:val="22"/>
                <w:szCs w:val="22"/>
              </w:rPr>
              <w:t>7</w:t>
            </w: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2"/>
                <w:szCs w:val="22"/>
              </w:rPr>
            </w:pPr>
          </w:p>
        </w:tc>
        <w:tc>
          <w:tcPr>
            <w:tcW w:w="5670"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吉林省诚科工程检测有限公司</w:t>
            </w:r>
          </w:p>
        </w:tc>
        <w:tc>
          <w:tcPr>
            <w:tcW w:w="1276" w:type="dxa"/>
            <w:vMerge w:val="continue"/>
            <w:tcBorders>
              <w:left w:val="single" w:color="auto" w:sz="6" w:space="0"/>
              <w:bottom w:val="single" w:color="auto" w:sz="6" w:space="0"/>
              <w:right w:val="single" w:color="auto" w:sz="4" w:space="0"/>
            </w:tcBorders>
          </w:tcPr>
          <w:p>
            <w:pPr>
              <w:widowControl/>
              <w:jc w:val="center"/>
              <w:rPr>
                <w:rFonts w:ascii="宋体" w:hAnsi="宋体" w:cs="宋体"/>
                <w:color w:val="000000"/>
                <w:kern w:val="0"/>
                <w:sz w:val="22"/>
                <w:szCs w:val="22"/>
              </w:rPr>
            </w:pPr>
          </w:p>
        </w:tc>
      </w:tr>
    </w:tbl>
    <w:p>
      <w:pPr>
        <w:spacing w:line="420" w:lineRule="exact"/>
        <w:ind w:firstLine="315" w:firstLineChars="150"/>
        <w:jc w:val="left"/>
        <w:rPr>
          <w:rFonts w:ascii="宋体" w:hAnsi="宋体"/>
          <w:szCs w:val="21"/>
          <w:lang w:val="zh-CN"/>
        </w:rPr>
        <w:sectPr>
          <w:footnotePr>
            <w:numFmt w:val="decimalEnclosedCircleChinese"/>
            <w:numRestart w:val="eachPage"/>
          </w:footnotePr>
          <w:pgSz w:w="11906" w:h="16838"/>
          <w:pgMar w:top="1134" w:right="1134" w:bottom="1134" w:left="1134" w:header="0" w:footer="567" w:gutter="0"/>
          <w:cols w:space="425" w:num="1"/>
          <w:docGrid w:type="lines" w:linePitch="312" w:charSpace="0"/>
        </w:sectPr>
      </w:pPr>
    </w:p>
    <w:p>
      <w:pPr>
        <w:spacing w:line="320" w:lineRule="exact"/>
        <w:jc w:val="left"/>
        <w:rPr>
          <w:rFonts w:ascii="黑体" w:hAnsi="黑体" w:eastAsia="黑体" w:cs="黑体"/>
          <w:b/>
          <w:bCs/>
          <w:sz w:val="28"/>
          <w:szCs w:val="28"/>
        </w:rPr>
      </w:pPr>
      <w:r>
        <w:rPr>
          <w:rFonts w:hint="eastAsia" w:ascii="黑体" w:hAnsi="黑体" w:eastAsia="黑体" w:cs="黑体"/>
          <w:b/>
          <w:bCs/>
          <w:sz w:val="28"/>
          <w:szCs w:val="28"/>
        </w:rPr>
        <w:t>3.评标办法</w:t>
      </w:r>
    </w:p>
    <w:p>
      <w:pPr>
        <w:pStyle w:val="2"/>
        <w:spacing w:line="320" w:lineRule="exact"/>
        <w:jc w:val="left"/>
        <w:rPr>
          <w:rFonts w:ascii="黑体" w:eastAsia="黑体"/>
          <w:b w:val="0"/>
          <w:sz w:val="24"/>
          <w:szCs w:val="24"/>
        </w:rPr>
      </w:pPr>
      <w:bookmarkStart w:id="20" w:name="_Toc234382663"/>
      <w:bookmarkStart w:id="21" w:name="_Toc7257088"/>
      <w:bookmarkStart w:id="22" w:name="_Toc9671894"/>
      <w:r>
        <w:rPr>
          <w:rFonts w:ascii="黑体" w:hAnsi="黑体" w:eastAsia="黑体"/>
          <w:b w:val="0"/>
          <w:bCs w:val="0"/>
          <w:sz w:val="24"/>
          <w:szCs w:val="24"/>
        </w:rPr>
        <w:t>评标办法前附表</w:t>
      </w:r>
      <w:r>
        <w:rPr>
          <w:rStyle w:val="45"/>
          <w:rFonts w:ascii="黑体" w:eastAsia="黑体"/>
          <w:b w:val="0"/>
          <w:sz w:val="24"/>
          <w:szCs w:val="24"/>
        </w:rPr>
        <w:footnoteReference w:id="0"/>
      </w:r>
      <w:bookmarkEnd w:id="20"/>
      <w:bookmarkEnd w:id="21"/>
      <w:bookmarkEnd w:id="22"/>
    </w:p>
    <w:tbl>
      <w:tblPr>
        <w:tblStyle w:val="36"/>
        <w:tblW w:w="973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49"/>
        <w:gridCol w:w="1275"/>
        <w:gridCol w:w="751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exact"/>
          <w:jc w:val="center"/>
        </w:trPr>
        <w:tc>
          <w:tcPr>
            <w:tcW w:w="2224" w:type="dxa"/>
            <w:gridSpan w:val="2"/>
            <w:vAlign w:val="center"/>
          </w:tcPr>
          <w:p>
            <w:pPr>
              <w:jc w:val="center"/>
              <w:rPr>
                <w:rFonts w:ascii="宋体" w:hAnsi="宋体"/>
                <w:b/>
                <w:szCs w:val="21"/>
              </w:rPr>
            </w:pPr>
            <w:r>
              <w:rPr>
                <w:rFonts w:ascii="宋体" w:hAnsi="宋体"/>
                <w:b/>
                <w:szCs w:val="21"/>
              </w:rPr>
              <w:t>条款号</w:t>
            </w:r>
          </w:p>
        </w:tc>
        <w:tc>
          <w:tcPr>
            <w:tcW w:w="7513" w:type="dxa"/>
            <w:vAlign w:val="center"/>
          </w:tcPr>
          <w:p>
            <w:pPr>
              <w:jc w:val="center"/>
              <w:rPr>
                <w:rFonts w:ascii="宋体" w:hAnsi="宋体"/>
                <w:b/>
                <w:szCs w:val="21"/>
              </w:rPr>
            </w:pPr>
            <w:r>
              <w:rPr>
                <w:rFonts w:ascii="宋体" w:hAnsi="宋体"/>
                <w:b/>
                <w:szCs w:val="21"/>
              </w:rPr>
              <w:t>评审因素</w:t>
            </w:r>
            <w:r>
              <w:rPr>
                <w:rFonts w:hint="eastAsia" w:ascii="宋体" w:hAnsi="宋体"/>
                <w:b/>
                <w:szCs w:val="21"/>
              </w:rPr>
              <w:t>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46" w:hRule="atLeast"/>
          <w:jc w:val="center"/>
        </w:trPr>
        <w:tc>
          <w:tcPr>
            <w:tcW w:w="949" w:type="dxa"/>
            <w:vAlign w:val="center"/>
          </w:tcPr>
          <w:p>
            <w:pPr>
              <w:jc w:val="center"/>
              <w:rPr>
                <w:rFonts w:ascii="宋体" w:hAnsi="宋体"/>
                <w:szCs w:val="21"/>
              </w:rPr>
            </w:pPr>
            <w:r>
              <w:rPr>
                <w:rFonts w:hint="eastAsia" w:ascii="宋体" w:hAnsi="宋体"/>
                <w:szCs w:val="21"/>
              </w:rPr>
              <w:t>1</w:t>
            </w:r>
          </w:p>
        </w:tc>
        <w:tc>
          <w:tcPr>
            <w:tcW w:w="1275" w:type="dxa"/>
            <w:vAlign w:val="center"/>
          </w:tcPr>
          <w:p>
            <w:pPr>
              <w:snapToGrid w:val="0"/>
              <w:ind w:left="113" w:right="113"/>
              <w:contextualSpacing/>
              <w:jc w:val="center"/>
              <w:rPr>
                <w:rFonts w:ascii="宋体" w:hAnsi="宋体"/>
                <w:szCs w:val="21"/>
              </w:rPr>
            </w:pPr>
            <w:r>
              <w:rPr>
                <w:rFonts w:hint="eastAsia" w:ascii="宋体" w:hAnsi="宋体"/>
                <w:szCs w:val="21"/>
              </w:rPr>
              <w:t>评标方法</w:t>
            </w:r>
          </w:p>
        </w:tc>
        <w:tc>
          <w:tcPr>
            <w:tcW w:w="7513" w:type="dxa"/>
            <w:vAlign w:val="center"/>
          </w:tcPr>
          <w:p>
            <w:pPr>
              <w:ind w:left="113" w:leftChars="54" w:right="113" w:firstLine="315" w:firstLineChars="150"/>
              <w:rPr>
                <w:rFonts w:ascii="宋体" w:hAnsi="宋体"/>
                <w:szCs w:val="21"/>
              </w:rPr>
            </w:pPr>
            <w:r>
              <w:rPr>
                <w:rFonts w:hint="eastAsia" w:ascii="宋体" w:hAnsi="宋体"/>
                <w:szCs w:val="21"/>
              </w:rPr>
              <w:t>综合评分相等时，评标委员会依次按照以下优先顺序推荐中标候选人：</w:t>
            </w:r>
          </w:p>
          <w:p>
            <w:pPr>
              <w:ind w:left="113" w:right="113" w:firstLine="210" w:firstLineChars="100"/>
              <w:rPr>
                <w:rFonts w:ascii="宋体" w:hAnsi="宋体"/>
                <w:szCs w:val="21"/>
              </w:rPr>
            </w:pPr>
            <w:r>
              <w:rPr>
                <w:rFonts w:hint="eastAsia" w:ascii="宋体" w:hAnsi="宋体"/>
                <w:szCs w:val="21"/>
              </w:rPr>
              <w:t>（1）评标价低的投标人优先；</w:t>
            </w:r>
          </w:p>
          <w:p>
            <w:pPr>
              <w:ind w:left="113" w:right="113" w:firstLine="210" w:firstLineChars="100"/>
              <w:rPr>
                <w:rFonts w:ascii="宋体" w:hAnsi="宋体"/>
                <w:szCs w:val="21"/>
              </w:rPr>
            </w:pPr>
            <w:r>
              <w:rPr>
                <w:rFonts w:hint="eastAsia" w:ascii="宋体" w:hAnsi="宋体"/>
                <w:szCs w:val="21"/>
              </w:rPr>
              <w:t>（2）履约信誉得分高的投标人优先；</w:t>
            </w:r>
          </w:p>
          <w:p>
            <w:pPr>
              <w:ind w:left="113" w:right="113" w:firstLine="210" w:firstLineChars="100"/>
              <w:rPr>
                <w:rFonts w:ascii="宋体" w:hAnsi="宋体"/>
                <w:szCs w:val="21"/>
              </w:rPr>
            </w:pPr>
            <w:r>
              <w:rPr>
                <w:rFonts w:hint="eastAsia" w:ascii="宋体" w:hAnsi="宋体"/>
                <w:szCs w:val="21"/>
              </w:rPr>
              <w:t>（3）注册资本金得分高的投标人优先。</w:t>
            </w:r>
          </w:p>
          <w:p>
            <w:pPr>
              <w:ind w:left="113" w:right="113" w:firstLine="210" w:firstLineChars="100"/>
              <w:rPr>
                <w:rFonts w:ascii="宋体" w:hAnsi="宋体"/>
                <w:szCs w:val="21"/>
              </w:rPr>
            </w:pPr>
            <w:r>
              <w:rPr>
                <w:rFonts w:hint="eastAsia" w:ascii="宋体" w:hAnsi="宋体"/>
                <w:szCs w:val="21"/>
              </w:rPr>
              <w:t>（4）企业业绩得分高的投标人优先。</w:t>
            </w:r>
          </w:p>
          <w:p>
            <w:pPr>
              <w:ind w:left="113" w:right="113" w:firstLine="210" w:firstLineChars="100"/>
              <w:rPr>
                <w:rFonts w:ascii="宋体" w:hAnsi="宋体"/>
                <w:szCs w:val="21"/>
              </w:rPr>
            </w:pPr>
            <w:r>
              <w:rPr>
                <w:rFonts w:hint="eastAsia" w:ascii="宋体" w:hAnsi="宋体"/>
                <w:szCs w:val="21"/>
              </w:rPr>
              <w:t>（5）主要人员得分高的投标人优先。</w:t>
            </w:r>
          </w:p>
          <w:p>
            <w:pPr>
              <w:ind w:left="113" w:right="113" w:firstLine="210" w:firstLineChars="100"/>
              <w:rPr>
                <w:rFonts w:ascii="宋体" w:hAnsi="宋体"/>
                <w:szCs w:val="21"/>
              </w:rPr>
            </w:pPr>
            <w:r>
              <w:rPr>
                <w:rFonts w:hint="eastAsia" w:ascii="宋体" w:hAnsi="宋体"/>
                <w:szCs w:val="21"/>
              </w:rPr>
              <w:t>（6）商务和技术得分较高的投标人优先；</w:t>
            </w:r>
          </w:p>
          <w:p>
            <w:pPr>
              <w:ind w:left="113" w:right="113" w:firstLine="210" w:firstLineChars="100"/>
              <w:rPr>
                <w:rFonts w:ascii="宋体" w:hAnsi="宋体"/>
                <w:szCs w:val="21"/>
              </w:rPr>
            </w:pPr>
            <w:r>
              <w:rPr>
                <w:rFonts w:hint="eastAsia" w:ascii="宋体" w:hAnsi="宋体"/>
                <w:szCs w:val="21"/>
              </w:rPr>
              <w:t>（7）由评标委员投票确认排序先后。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02" w:hRule="atLeast"/>
          <w:jc w:val="center"/>
        </w:trPr>
        <w:tc>
          <w:tcPr>
            <w:tcW w:w="949" w:type="dxa"/>
            <w:vAlign w:val="center"/>
          </w:tcPr>
          <w:p>
            <w:pPr>
              <w:jc w:val="center"/>
              <w:rPr>
                <w:rFonts w:ascii="宋体" w:hAnsi="宋体"/>
                <w:szCs w:val="21"/>
              </w:rPr>
            </w:pPr>
            <w:r>
              <w:rPr>
                <w:rFonts w:ascii="宋体" w:hAnsi="宋体"/>
                <w:szCs w:val="21"/>
              </w:rPr>
              <w:t>2.1.1</w:t>
            </w:r>
          </w:p>
          <w:p>
            <w:pPr>
              <w:jc w:val="center"/>
              <w:rPr>
                <w:rFonts w:ascii="宋体" w:hAnsi="宋体"/>
                <w:szCs w:val="21"/>
              </w:rPr>
            </w:pPr>
            <w:r>
              <w:rPr>
                <w:rFonts w:hint="eastAsia" w:ascii="宋体" w:hAnsi="宋体"/>
                <w:szCs w:val="21"/>
              </w:rPr>
              <w:t>2.1.3</w:t>
            </w:r>
          </w:p>
        </w:tc>
        <w:tc>
          <w:tcPr>
            <w:tcW w:w="1275" w:type="dxa"/>
            <w:vAlign w:val="center"/>
          </w:tcPr>
          <w:p>
            <w:pPr>
              <w:snapToGrid w:val="0"/>
              <w:ind w:left="113" w:right="113"/>
              <w:contextualSpacing/>
              <w:jc w:val="center"/>
              <w:rPr>
                <w:rFonts w:ascii="宋体" w:hAnsi="宋体"/>
                <w:szCs w:val="21"/>
              </w:rPr>
            </w:pPr>
            <w:r>
              <w:rPr>
                <w:rFonts w:hint="eastAsia" w:ascii="宋体" w:hAnsi="宋体"/>
                <w:szCs w:val="21"/>
              </w:rPr>
              <w:t>形式评审与响应性评审标准</w:t>
            </w:r>
          </w:p>
        </w:tc>
        <w:tc>
          <w:tcPr>
            <w:tcW w:w="7513" w:type="dxa"/>
            <w:vAlign w:val="center"/>
          </w:tcPr>
          <w:p>
            <w:pPr>
              <w:ind w:left="113" w:right="113" w:firstLine="211" w:firstLineChars="100"/>
              <w:rPr>
                <w:rFonts w:ascii="宋体" w:hAnsi="宋体"/>
                <w:b/>
                <w:szCs w:val="21"/>
              </w:rPr>
            </w:pPr>
            <w:r>
              <w:rPr>
                <w:rFonts w:hint="eastAsia" w:ascii="宋体" w:hAnsi="宋体"/>
                <w:b/>
                <w:szCs w:val="21"/>
              </w:rPr>
              <w:t>第一个信封（商务及技术文件）评审标准：</w:t>
            </w:r>
          </w:p>
          <w:p>
            <w:pPr>
              <w:ind w:left="113" w:right="113" w:firstLine="210" w:firstLineChars="100"/>
              <w:rPr>
                <w:rFonts w:ascii="宋体" w:hAnsi="宋体"/>
                <w:szCs w:val="21"/>
              </w:rPr>
            </w:pPr>
            <w:r>
              <w:rPr>
                <w:rFonts w:hint="eastAsia" w:ascii="宋体" w:hAnsi="宋体"/>
                <w:szCs w:val="21"/>
              </w:rPr>
              <w:t>（1）投标文件按照招标文件规定的格式、内容填写，字迹清晰可辨；</w:t>
            </w:r>
          </w:p>
          <w:p>
            <w:pPr>
              <w:ind w:left="113" w:right="113" w:firstLine="210" w:firstLineChars="100"/>
              <w:rPr>
                <w:rFonts w:ascii="宋体" w:hAnsi="宋体"/>
                <w:szCs w:val="21"/>
              </w:rPr>
            </w:pPr>
            <w:r>
              <w:rPr>
                <w:rFonts w:hint="eastAsia" w:ascii="宋体" w:hAnsi="宋体"/>
                <w:szCs w:val="21"/>
              </w:rPr>
              <w:t>a.投标函按招标文件规定填报了项目名称、标段号、补遗书编号（如有）、检测服务期、质量要求及安全目标；</w:t>
            </w:r>
          </w:p>
          <w:p>
            <w:pPr>
              <w:ind w:left="113" w:right="113" w:firstLine="210" w:firstLineChars="100"/>
              <w:rPr>
                <w:rFonts w:ascii="宋体" w:hAnsi="宋体"/>
                <w:szCs w:val="21"/>
              </w:rPr>
            </w:pPr>
            <w:r>
              <w:rPr>
                <w:rFonts w:hint="eastAsia" w:ascii="宋体" w:hAnsi="宋体"/>
                <w:szCs w:val="21"/>
              </w:rPr>
              <w:t>b.投标文件组成齐全完整，内容均按规定填写。</w:t>
            </w:r>
          </w:p>
          <w:p>
            <w:pPr>
              <w:ind w:left="113" w:right="113" w:firstLine="210" w:firstLineChars="100"/>
              <w:rPr>
                <w:rFonts w:ascii="宋体" w:hAnsi="宋体"/>
                <w:szCs w:val="21"/>
              </w:rPr>
            </w:pPr>
            <w:r>
              <w:rPr>
                <w:rFonts w:hint="eastAsia" w:ascii="宋体" w:hAnsi="宋体"/>
                <w:szCs w:val="21"/>
              </w:rPr>
              <w:t>（2）投标文件上法定代表人或其委托代理人的签字、投标人的单位章盖章齐全，符合招标文件规定。</w:t>
            </w:r>
          </w:p>
          <w:p>
            <w:pPr>
              <w:ind w:left="113" w:right="113" w:firstLine="210" w:firstLineChars="100"/>
              <w:rPr>
                <w:rFonts w:ascii="宋体" w:hAnsi="宋体"/>
                <w:szCs w:val="21"/>
              </w:rPr>
            </w:pPr>
            <w:r>
              <w:rPr>
                <w:rFonts w:hint="eastAsia" w:ascii="宋体" w:hAnsi="宋体"/>
                <w:szCs w:val="21"/>
              </w:rPr>
              <w:t>（3）投标人按照招标文件的规定提供了投标保证金：</w:t>
            </w:r>
          </w:p>
          <w:p>
            <w:pPr>
              <w:ind w:left="113" w:right="113" w:firstLine="210" w:firstLineChars="100"/>
              <w:rPr>
                <w:rFonts w:ascii="宋体" w:hAnsi="宋体"/>
                <w:szCs w:val="21"/>
              </w:rPr>
            </w:pPr>
            <w:r>
              <w:rPr>
                <w:rFonts w:hint="eastAsia" w:ascii="宋体" w:hAnsi="宋体"/>
                <w:szCs w:val="21"/>
              </w:rPr>
              <w:t>a.投标保证金金额符合招标文件规定的金额，且投标保证金有效期不少于投标有效期；</w:t>
            </w:r>
          </w:p>
          <w:p>
            <w:pPr>
              <w:ind w:left="113" w:right="113" w:firstLine="210" w:firstLineChars="100"/>
              <w:rPr>
                <w:rFonts w:ascii="宋体" w:hAnsi="宋体"/>
                <w:szCs w:val="21"/>
              </w:rPr>
            </w:pPr>
            <w:r>
              <w:rPr>
                <w:rFonts w:hint="eastAsia" w:ascii="宋体" w:hAnsi="宋体"/>
                <w:szCs w:val="21"/>
              </w:rPr>
              <w:t>b.若投标保证金采用现金或支票形式提交，投标人应在递交投标文件截止时间之前，将投标保证金由投标人的基本账户一次性转入并到达招标人指定账户；</w:t>
            </w:r>
          </w:p>
          <w:p>
            <w:pPr>
              <w:ind w:left="113" w:right="113" w:firstLine="210" w:firstLineChars="100"/>
              <w:rPr>
                <w:rFonts w:ascii="宋体" w:hAnsi="宋体"/>
                <w:szCs w:val="21"/>
              </w:rPr>
            </w:pPr>
            <w:r>
              <w:rPr>
                <w:rFonts w:hint="eastAsia" w:ascii="宋体" w:hAnsi="宋体"/>
                <w:szCs w:val="21"/>
              </w:rPr>
              <w:t>c.若投标保证金采用银行保函形式提交，银行保函的格式、开具保函的银行均满足招标文件要求，且在递交投标文件截止时间之前向招标人提交了银行保函原件。</w:t>
            </w:r>
          </w:p>
          <w:p>
            <w:pPr>
              <w:ind w:left="113" w:right="113" w:firstLine="210" w:firstLineChars="100"/>
              <w:rPr>
                <w:rFonts w:ascii="宋体" w:hAnsi="宋体"/>
                <w:szCs w:val="21"/>
              </w:rPr>
            </w:pPr>
            <w:r>
              <w:rPr>
                <w:rFonts w:hint="eastAsia" w:ascii="宋体" w:hAnsi="宋体"/>
                <w:szCs w:val="21"/>
              </w:rPr>
              <w:t>（4）投标人法定代表人授权委托代理人签署投标文件的，须提交授权委托书，且授权人和被授权人均在授权委托书上签名，未使用印章、签名章或其他电子制版签名代替。</w:t>
            </w:r>
          </w:p>
          <w:p>
            <w:pPr>
              <w:ind w:left="113" w:right="113" w:firstLine="210" w:firstLineChars="10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（5）投标人法定代表人亲自签署投标文件的，提供了法定代表人身份证明，且法定代表人在法定代表人身份证明上签名，未使用印章、签名章或其他电子制版签名代替。</w:t>
            </w:r>
          </w:p>
          <w:p>
            <w:pPr>
              <w:ind w:left="113" w:right="113" w:firstLine="210" w:firstLineChars="100"/>
              <w:rPr>
                <w:rFonts w:ascii="宋体" w:hAnsi="宋体"/>
                <w:szCs w:val="21"/>
              </w:rPr>
            </w:pPr>
            <w:r>
              <w:rPr>
                <w:rFonts w:hint="eastAsia" w:ascii="宋体" w:hAnsi="宋体"/>
                <w:szCs w:val="21"/>
              </w:rPr>
              <w:t>（6）投标人未以联合体形式投标。</w:t>
            </w:r>
          </w:p>
          <w:p>
            <w:pPr>
              <w:ind w:left="113" w:right="113" w:firstLine="210" w:firstLineChars="100"/>
              <w:rPr>
                <w:rFonts w:ascii="宋体" w:hAnsi="宋体"/>
                <w:szCs w:val="21"/>
              </w:rPr>
            </w:pPr>
            <w:r>
              <w:rPr>
                <w:rFonts w:hint="eastAsia" w:ascii="宋体" w:hAnsi="宋体"/>
                <w:szCs w:val="21"/>
              </w:rPr>
              <w:t>（7）同一投标人未提交两个以上不同的投标文件，但招标文件要求提交备选投标的除外。</w:t>
            </w:r>
          </w:p>
          <w:p>
            <w:pPr>
              <w:ind w:left="113" w:right="113" w:firstLine="210" w:firstLineChars="100"/>
              <w:rPr>
                <w:rFonts w:ascii="宋体" w:hAnsi="宋体"/>
                <w:szCs w:val="21"/>
              </w:rPr>
            </w:pPr>
            <w:r>
              <w:rPr>
                <w:rFonts w:hint="eastAsia" w:ascii="宋体" w:hAnsi="宋体"/>
                <w:szCs w:val="21"/>
              </w:rPr>
              <w:t>（8）投标文件中未出现有关投标报价的内容。</w:t>
            </w:r>
          </w:p>
          <w:p>
            <w:pPr>
              <w:ind w:left="113" w:right="113" w:firstLine="210" w:firstLineChars="100"/>
              <w:rPr>
                <w:rFonts w:ascii="宋体" w:hAnsi="宋体"/>
                <w:szCs w:val="21"/>
              </w:rPr>
            </w:pPr>
            <w:r>
              <w:rPr>
                <w:rFonts w:hint="eastAsia" w:ascii="宋体" w:hAnsi="宋体"/>
                <w:szCs w:val="21"/>
              </w:rPr>
              <w:t>（9）投标文件载明的招标项目完成期限未超过招标文件规定的时限。</w:t>
            </w:r>
          </w:p>
          <w:p>
            <w:pPr>
              <w:ind w:left="113" w:right="113" w:firstLine="210" w:firstLineChars="100"/>
              <w:rPr>
                <w:rFonts w:ascii="宋体" w:hAnsi="宋体"/>
                <w:szCs w:val="21"/>
              </w:rPr>
            </w:pPr>
            <w:r>
              <w:rPr>
                <w:rFonts w:hint="eastAsia" w:ascii="宋体" w:hAnsi="宋体"/>
                <w:szCs w:val="21"/>
              </w:rPr>
              <w:t>（10）投标文件对招标文件的实质性要求和条件作出响应。</w:t>
            </w:r>
          </w:p>
          <w:p>
            <w:pPr>
              <w:ind w:left="113" w:right="113" w:firstLine="210" w:firstLineChars="100"/>
              <w:rPr>
                <w:rFonts w:ascii="宋体" w:hAnsi="宋体"/>
                <w:szCs w:val="21"/>
              </w:rPr>
            </w:pPr>
            <w:r>
              <w:rPr>
                <w:rFonts w:hint="eastAsia" w:ascii="宋体" w:hAnsi="宋体"/>
                <w:szCs w:val="21"/>
              </w:rPr>
              <w:t>（11）权利义务符合招标文件规定：</w:t>
            </w:r>
          </w:p>
          <w:p>
            <w:pPr>
              <w:ind w:left="113" w:right="113" w:firstLine="210" w:firstLineChars="100"/>
              <w:rPr>
                <w:rFonts w:ascii="宋体" w:hAnsi="宋体"/>
                <w:szCs w:val="21"/>
              </w:rPr>
            </w:pPr>
            <w:r>
              <w:rPr>
                <w:rFonts w:hint="eastAsia" w:ascii="宋体" w:hAnsi="宋体"/>
                <w:szCs w:val="21"/>
              </w:rPr>
              <w:t>a.投标人应接受招标文件规定的风险划分原则，未提出新的风险划</w:t>
            </w:r>
          </w:p>
        </w:tc>
      </w:tr>
    </w:tbl>
    <w:p>
      <w:pPr>
        <w:jc w:val="right"/>
        <w:rPr>
          <w:rFonts w:ascii="宋体" w:hAnsi="宋体"/>
          <w:sz w:val="24"/>
        </w:rPr>
      </w:pPr>
    </w:p>
    <w:p>
      <w:pPr>
        <w:jc w:val="right"/>
        <w:rPr>
          <w:rFonts w:ascii="宋体" w:hAnsi="宋体"/>
          <w:sz w:val="24"/>
        </w:rPr>
      </w:pPr>
      <w:r>
        <w:rPr>
          <w:rFonts w:hint="eastAsia" w:ascii="宋体" w:hAnsi="宋体"/>
          <w:sz w:val="24"/>
        </w:rPr>
        <w:t>续上表</w:t>
      </w:r>
    </w:p>
    <w:tbl>
      <w:tblPr>
        <w:tblStyle w:val="36"/>
        <w:tblW w:w="969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93"/>
        <w:gridCol w:w="1187"/>
        <w:gridCol w:w="751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2180" w:type="dxa"/>
            <w:gridSpan w:val="2"/>
            <w:vAlign w:val="center"/>
          </w:tcPr>
          <w:p>
            <w:pPr>
              <w:jc w:val="center"/>
              <w:rPr>
                <w:rFonts w:ascii="宋体" w:hAnsi="宋体"/>
                <w:b/>
                <w:szCs w:val="21"/>
              </w:rPr>
            </w:pPr>
            <w:r>
              <w:rPr>
                <w:rFonts w:ascii="宋体" w:hAnsi="宋体"/>
                <w:b/>
                <w:szCs w:val="21"/>
              </w:rPr>
              <w:t>条款号</w:t>
            </w:r>
          </w:p>
        </w:tc>
        <w:tc>
          <w:tcPr>
            <w:tcW w:w="7513" w:type="dxa"/>
            <w:vAlign w:val="center"/>
          </w:tcPr>
          <w:p>
            <w:pPr>
              <w:jc w:val="center"/>
              <w:rPr>
                <w:rFonts w:ascii="宋体" w:hAnsi="宋体"/>
                <w:b/>
                <w:szCs w:val="21"/>
              </w:rPr>
            </w:pPr>
            <w:r>
              <w:rPr>
                <w:rFonts w:ascii="宋体" w:hAnsi="宋体"/>
                <w:b/>
                <w:szCs w:val="21"/>
              </w:rPr>
              <w:t>评审因素</w:t>
            </w:r>
            <w:r>
              <w:rPr>
                <w:rFonts w:hint="eastAsia" w:ascii="宋体" w:hAnsi="宋体"/>
                <w:b/>
                <w:szCs w:val="21"/>
              </w:rPr>
              <w:t>与</w:t>
            </w:r>
            <w:r>
              <w:rPr>
                <w:rFonts w:ascii="宋体" w:hAnsi="宋体"/>
                <w:b/>
                <w:szCs w:val="21"/>
              </w:rPr>
              <w:t>评审</w:t>
            </w:r>
            <w:r>
              <w:rPr>
                <w:rFonts w:hint="eastAsia" w:ascii="宋体" w:hAnsi="宋体"/>
                <w:b/>
                <w:szCs w:val="21"/>
              </w:rPr>
              <w:t>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6" w:hRule="atLeast"/>
          <w:jc w:val="center"/>
        </w:trPr>
        <w:tc>
          <w:tcPr>
            <w:tcW w:w="993" w:type="dxa"/>
            <w:vAlign w:val="center"/>
          </w:tcPr>
          <w:p>
            <w:pPr>
              <w:jc w:val="center"/>
              <w:rPr>
                <w:rFonts w:ascii="宋体" w:hAnsi="宋体"/>
                <w:szCs w:val="21"/>
              </w:rPr>
            </w:pPr>
            <w:r>
              <w:rPr>
                <w:rFonts w:ascii="宋体" w:hAnsi="宋体"/>
                <w:szCs w:val="21"/>
              </w:rPr>
              <w:t>2.1.1</w:t>
            </w:r>
          </w:p>
          <w:p>
            <w:pPr>
              <w:jc w:val="center"/>
              <w:rPr>
                <w:rFonts w:ascii="宋体" w:hAnsi="宋体"/>
                <w:szCs w:val="21"/>
              </w:rPr>
            </w:pPr>
            <w:r>
              <w:rPr>
                <w:rFonts w:hint="eastAsia" w:ascii="宋体" w:hAnsi="宋体"/>
                <w:szCs w:val="21"/>
              </w:rPr>
              <w:t>2.1.3</w:t>
            </w:r>
          </w:p>
        </w:tc>
        <w:tc>
          <w:tcPr>
            <w:tcW w:w="1187" w:type="dxa"/>
            <w:vAlign w:val="center"/>
          </w:tcPr>
          <w:p>
            <w:pPr>
              <w:snapToGrid w:val="0"/>
              <w:ind w:left="113" w:right="113"/>
              <w:contextualSpacing/>
              <w:jc w:val="center"/>
              <w:rPr>
                <w:rFonts w:ascii="宋体" w:hAnsi="宋体"/>
                <w:szCs w:val="21"/>
              </w:rPr>
            </w:pPr>
            <w:r>
              <w:rPr>
                <w:rFonts w:hint="eastAsia" w:ascii="宋体" w:hAnsi="宋体"/>
                <w:szCs w:val="21"/>
              </w:rPr>
              <w:t>形式评审与响应性评审标准</w:t>
            </w:r>
          </w:p>
        </w:tc>
        <w:tc>
          <w:tcPr>
            <w:tcW w:w="7513" w:type="dxa"/>
            <w:vAlign w:val="center"/>
          </w:tcPr>
          <w:p>
            <w:pPr>
              <w:ind w:left="113" w:right="113" w:firstLine="210" w:firstLineChars="100"/>
              <w:rPr>
                <w:rFonts w:ascii="宋体" w:hAnsi="宋体"/>
                <w:szCs w:val="21"/>
              </w:rPr>
            </w:pPr>
            <w:r>
              <w:rPr>
                <w:rFonts w:hint="eastAsia" w:ascii="宋体" w:hAnsi="宋体"/>
                <w:szCs w:val="21"/>
              </w:rPr>
              <w:t>分办法；</w:t>
            </w:r>
          </w:p>
          <w:p>
            <w:pPr>
              <w:ind w:left="113" w:right="113" w:firstLine="210" w:firstLineChars="100"/>
              <w:rPr>
                <w:rFonts w:ascii="宋体" w:hAnsi="宋体"/>
                <w:szCs w:val="21"/>
              </w:rPr>
            </w:pPr>
            <w:r>
              <w:rPr>
                <w:rFonts w:hint="eastAsia" w:ascii="宋体" w:hAnsi="宋体"/>
                <w:szCs w:val="21"/>
              </w:rPr>
              <w:t>b.投标人未增加委托人的责任范围，或减少投标人义务；</w:t>
            </w:r>
          </w:p>
          <w:p>
            <w:pPr>
              <w:ind w:left="113" w:right="113" w:firstLine="210" w:firstLineChars="100"/>
              <w:rPr>
                <w:rFonts w:ascii="宋体" w:hAnsi="宋体"/>
                <w:szCs w:val="21"/>
              </w:rPr>
            </w:pPr>
            <w:r>
              <w:rPr>
                <w:rFonts w:hint="eastAsia" w:ascii="宋体" w:hAnsi="宋体"/>
                <w:szCs w:val="21"/>
              </w:rPr>
              <w:t>c.投标人未提出不同的支付办法；</w:t>
            </w:r>
          </w:p>
          <w:p>
            <w:pPr>
              <w:ind w:left="113" w:right="113" w:firstLine="210" w:firstLineChars="100"/>
              <w:rPr>
                <w:rFonts w:ascii="宋体" w:hAnsi="宋体"/>
                <w:szCs w:val="21"/>
              </w:rPr>
            </w:pPr>
            <w:r>
              <w:rPr>
                <w:rFonts w:hint="eastAsia" w:ascii="宋体" w:hAnsi="宋体"/>
                <w:szCs w:val="21"/>
              </w:rPr>
              <w:t>d.投标人对合同纠纷、事故处理办法未提出异议；</w:t>
            </w:r>
          </w:p>
          <w:p>
            <w:pPr>
              <w:ind w:left="113" w:right="113" w:firstLine="210" w:firstLineChars="100"/>
              <w:rPr>
                <w:rFonts w:ascii="宋体" w:hAnsi="宋体"/>
                <w:szCs w:val="21"/>
              </w:rPr>
            </w:pPr>
            <w:r>
              <w:rPr>
                <w:rFonts w:hint="eastAsia" w:ascii="宋体" w:hAnsi="宋体"/>
                <w:szCs w:val="21"/>
              </w:rPr>
              <w:t>e.投标人在投标活动中无欺诈行为；</w:t>
            </w:r>
          </w:p>
          <w:p>
            <w:pPr>
              <w:ind w:left="113" w:right="113" w:firstLine="210" w:firstLineChars="100"/>
              <w:rPr>
                <w:rFonts w:ascii="宋体" w:hAnsi="宋体"/>
                <w:szCs w:val="21"/>
              </w:rPr>
            </w:pPr>
            <w:r>
              <w:rPr>
                <w:rFonts w:hint="eastAsia" w:ascii="宋体" w:hAnsi="宋体"/>
                <w:szCs w:val="21"/>
              </w:rPr>
              <w:t>f.投标人未对合同条款有重要保留。</w:t>
            </w:r>
          </w:p>
          <w:p>
            <w:pPr>
              <w:ind w:left="113" w:right="113" w:firstLine="210" w:firstLineChars="100"/>
              <w:rPr>
                <w:rFonts w:ascii="宋体" w:hAnsi="宋体"/>
                <w:b/>
                <w:szCs w:val="21"/>
              </w:rPr>
            </w:pPr>
            <w:r>
              <w:rPr>
                <w:rFonts w:hint="eastAsia" w:ascii="宋体" w:hAnsi="宋体"/>
                <w:szCs w:val="21"/>
              </w:rPr>
              <w:t>（12）投标文件正、副本份数符合招标文件第二章“投标人须知”第3.7.4项规定。</w:t>
            </w:r>
          </w:p>
          <w:p>
            <w:pPr>
              <w:ind w:left="113" w:right="113" w:firstLine="211" w:firstLineChars="100"/>
              <w:rPr>
                <w:rFonts w:ascii="宋体" w:hAnsi="宋体"/>
                <w:b/>
                <w:szCs w:val="21"/>
              </w:rPr>
            </w:pPr>
            <w:r>
              <w:rPr>
                <w:rFonts w:hint="eastAsia" w:ascii="宋体" w:hAnsi="宋体"/>
                <w:b/>
                <w:szCs w:val="21"/>
              </w:rPr>
              <w:t>第二个信封（报价文件）评审标准：</w:t>
            </w:r>
          </w:p>
          <w:p>
            <w:pPr>
              <w:ind w:left="113" w:right="113"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ind w:left="113" w:right="113" w:firstLine="210" w:firstLineChars="100"/>
              <w:rPr>
                <w:rFonts w:ascii="宋体" w:hAnsi="宋体"/>
                <w:szCs w:val="21"/>
              </w:rPr>
            </w:pPr>
            <w:r>
              <w:rPr>
                <w:rFonts w:hint="eastAsia" w:ascii="宋体" w:hAnsi="宋体"/>
                <w:szCs w:val="21"/>
              </w:rPr>
              <w:t>a.投标函按招标文件规定填报了项目名称、标段号、补遗书编号（如有）、投标价（包括大写金额和小写金额）；</w:t>
            </w:r>
          </w:p>
          <w:p>
            <w:pPr>
              <w:ind w:left="113" w:right="113" w:firstLine="210" w:firstLineChars="100"/>
              <w:rPr>
                <w:rFonts w:ascii="宋体" w:hAnsi="宋体"/>
                <w:szCs w:val="21"/>
              </w:rPr>
            </w:pPr>
            <w:r>
              <w:rPr>
                <w:rFonts w:hint="eastAsia" w:ascii="宋体" w:hAnsi="宋体"/>
                <w:szCs w:val="21"/>
              </w:rPr>
              <w:t>b.投标文件组成齐全完整，内容均按规定填写。</w:t>
            </w:r>
          </w:p>
          <w:p>
            <w:pPr>
              <w:ind w:left="113" w:right="113" w:firstLine="210" w:firstLineChars="100"/>
              <w:rPr>
                <w:rFonts w:ascii="宋体" w:hAnsi="宋体"/>
                <w:szCs w:val="21"/>
              </w:rPr>
            </w:pPr>
            <w:r>
              <w:rPr>
                <w:rFonts w:hint="eastAsia" w:ascii="宋体" w:hAnsi="宋体"/>
                <w:szCs w:val="21"/>
              </w:rPr>
              <w:t>（2）投标文件上法定代表人或其委托代理人的签字、投标人的单位章盖章齐全，符合招标文件规定。</w:t>
            </w:r>
          </w:p>
          <w:p>
            <w:pPr>
              <w:ind w:left="113" w:right="113" w:firstLine="210" w:firstLineChars="100"/>
              <w:rPr>
                <w:rFonts w:ascii="宋体" w:hAnsi="宋体"/>
                <w:szCs w:val="21"/>
              </w:rPr>
            </w:pPr>
            <w:r>
              <w:rPr>
                <w:rFonts w:hint="eastAsia" w:ascii="宋体" w:hAnsi="宋体"/>
                <w:szCs w:val="21"/>
              </w:rPr>
              <w:t>（3）投标报价未超过招标文件设定的最高投标限价，包括各项目设定的招标控制价上限和标段总招标控制价上限。</w:t>
            </w:r>
          </w:p>
          <w:p>
            <w:pPr>
              <w:ind w:left="113" w:right="113" w:firstLine="210" w:firstLineChars="100"/>
              <w:rPr>
                <w:rFonts w:ascii="宋体" w:hAnsi="宋体"/>
                <w:szCs w:val="21"/>
              </w:rPr>
            </w:pPr>
            <w:r>
              <w:rPr>
                <w:rFonts w:hint="eastAsia" w:ascii="宋体" w:hAnsi="宋体"/>
                <w:szCs w:val="21"/>
              </w:rPr>
              <w:t>（4）投标报价的大写金额能够确定具体数值。</w:t>
            </w:r>
          </w:p>
          <w:p>
            <w:pPr>
              <w:ind w:left="113" w:right="113" w:firstLine="210" w:firstLineChars="100"/>
              <w:rPr>
                <w:rFonts w:ascii="宋体" w:hAnsi="宋体"/>
                <w:szCs w:val="21"/>
              </w:rPr>
            </w:pPr>
            <w:r>
              <w:rPr>
                <w:rFonts w:hint="eastAsia" w:ascii="宋体" w:hAnsi="宋体"/>
                <w:szCs w:val="21"/>
              </w:rPr>
              <w:t>（5）同一投标人未提交两个以上不同的投标报价，但招标文件要求提交备选投标的除外。</w:t>
            </w:r>
          </w:p>
          <w:p>
            <w:pPr>
              <w:ind w:left="113" w:right="113" w:firstLine="210" w:firstLineChars="100"/>
              <w:rPr>
                <w:rFonts w:ascii="宋体" w:hAnsi="宋体"/>
                <w:szCs w:val="21"/>
              </w:rPr>
            </w:pPr>
            <w:r>
              <w:rPr>
                <w:rFonts w:hint="eastAsia" w:ascii="宋体" w:hAnsi="宋体"/>
                <w:szCs w:val="21"/>
              </w:rPr>
              <w:t>（6）投标文件正、副本份数符合招标文件第二章“投标人须知”第3.7.4项规定。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08" w:hRule="atLeast"/>
          <w:jc w:val="center"/>
        </w:trPr>
        <w:tc>
          <w:tcPr>
            <w:tcW w:w="993" w:type="dxa"/>
            <w:vAlign w:val="center"/>
          </w:tcPr>
          <w:p>
            <w:pPr>
              <w:jc w:val="center"/>
              <w:rPr>
                <w:rFonts w:ascii="宋体" w:hAnsi="宋体"/>
                <w:szCs w:val="21"/>
              </w:rPr>
            </w:pPr>
            <w:r>
              <w:rPr>
                <w:rFonts w:hint="eastAsia" w:ascii="宋体" w:hAnsi="宋体"/>
                <w:szCs w:val="21"/>
              </w:rPr>
              <w:t>2.1.2</w:t>
            </w:r>
          </w:p>
        </w:tc>
        <w:tc>
          <w:tcPr>
            <w:tcW w:w="1187" w:type="dxa"/>
            <w:vAlign w:val="center"/>
          </w:tcPr>
          <w:p>
            <w:pPr>
              <w:ind w:left="113" w:right="113"/>
              <w:jc w:val="center"/>
              <w:rPr>
                <w:rFonts w:ascii="宋体" w:hAnsi="宋体"/>
                <w:szCs w:val="21"/>
              </w:rPr>
            </w:pPr>
            <w:r>
              <w:rPr>
                <w:rFonts w:hint="eastAsia" w:ascii="宋体" w:hAnsi="宋体"/>
                <w:szCs w:val="21"/>
              </w:rPr>
              <w:t>第一个信封资格评审标准</w:t>
            </w:r>
          </w:p>
        </w:tc>
        <w:tc>
          <w:tcPr>
            <w:tcW w:w="7513" w:type="dxa"/>
            <w:vAlign w:val="center"/>
          </w:tcPr>
          <w:p>
            <w:pPr>
              <w:ind w:left="113" w:right="113" w:firstLine="210" w:firstLineChars="100"/>
              <w:rPr>
                <w:rFonts w:ascii="宋体" w:hAnsi="宋体"/>
                <w:szCs w:val="21"/>
              </w:rPr>
            </w:pPr>
            <w:r>
              <w:rPr>
                <w:rFonts w:hint="eastAsia" w:ascii="宋体" w:hAnsi="宋体"/>
                <w:szCs w:val="21"/>
              </w:rPr>
              <w:t>（1）投标人具备有效的营业执照、试验检测等级证书、</w:t>
            </w:r>
            <w:r>
              <w:rPr>
                <w:rFonts w:hint="eastAsia" w:ascii="宋体" w:hAnsi="宋体"/>
                <w:szCs w:val="21"/>
                <w:lang w:val="zh-CN"/>
              </w:rPr>
              <w:t>计量认证证书或检验检测机构资质认定证书（CMA）</w:t>
            </w:r>
            <w:r>
              <w:rPr>
                <w:rFonts w:hint="eastAsia" w:ascii="宋体" w:hAnsi="宋体"/>
                <w:szCs w:val="21"/>
              </w:rPr>
              <w:t>和基本账户开户许可证。</w:t>
            </w:r>
          </w:p>
          <w:p>
            <w:pPr>
              <w:ind w:left="113" w:right="113" w:firstLine="210" w:firstLineChars="100"/>
              <w:rPr>
                <w:rFonts w:ascii="宋体" w:hAnsi="宋体"/>
                <w:szCs w:val="21"/>
              </w:rPr>
            </w:pPr>
            <w:r>
              <w:rPr>
                <w:rFonts w:hint="eastAsia" w:ascii="宋体" w:hAnsi="宋体"/>
                <w:szCs w:val="21"/>
              </w:rPr>
              <w:t>（2）投标人的资质等级符合招标文件规定。</w:t>
            </w:r>
          </w:p>
          <w:p>
            <w:pPr>
              <w:ind w:left="113" w:right="113" w:firstLine="210" w:firstLineChars="100"/>
              <w:rPr>
                <w:rFonts w:ascii="宋体" w:hAnsi="宋体"/>
                <w:szCs w:val="21"/>
              </w:rPr>
            </w:pPr>
            <w:r>
              <w:rPr>
                <w:rFonts w:hint="eastAsia" w:ascii="宋体" w:hAnsi="宋体"/>
                <w:szCs w:val="21"/>
              </w:rPr>
              <w:t>（3）投标人的类似项目业绩符合招标文件规定。</w:t>
            </w:r>
          </w:p>
          <w:p>
            <w:pPr>
              <w:ind w:left="113" w:right="113" w:firstLine="210" w:firstLineChars="100"/>
              <w:rPr>
                <w:rFonts w:ascii="宋体" w:hAnsi="宋体"/>
                <w:szCs w:val="21"/>
              </w:rPr>
            </w:pPr>
            <w:r>
              <w:rPr>
                <w:rFonts w:hint="eastAsia" w:ascii="宋体" w:hAnsi="宋体"/>
                <w:szCs w:val="21"/>
              </w:rPr>
              <w:t>（4）投标人的信誉符合招标文件规定。</w:t>
            </w:r>
          </w:p>
          <w:p>
            <w:pPr>
              <w:ind w:left="113" w:right="113" w:firstLine="210" w:firstLineChars="100"/>
              <w:rPr>
                <w:rFonts w:ascii="宋体" w:hAnsi="宋体"/>
                <w:szCs w:val="21"/>
              </w:rPr>
            </w:pPr>
            <w:r>
              <w:rPr>
                <w:rFonts w:hint="eastAsia" w:ascii="宋体" w:hAnsi="宋体"/>
                <w:szCs w:val="21"/>
              </w:rPr>
              <w:t>（5）投标人的项目负责人和项目技术负责人资格符合招标文件规定。</w:t>
            </w:r>
          </w:p>
          <w:p>
            <w:pPr>
              <w:ind w:left="113" w:right="113" w:firstLine="210" w:firstLineChars="100"/>
              <w:rPr>
                <w:rFonts w:ascii="宋体" w:hAnsi="宋体"/>
                <w:szCs w:val="21"/>
              </w:rPr>
            </w:pPr>
            <w:r>
              <w:rPr>
                <w:rFonts w:hint="eastAsia" w:ascii="宋体" w:hAnsi="宋体"/>
                <w:szCs w:val="21"/>
              </w:rPr>
              <w:t>（6）投标人不存在第二章“投标人须知”第1.4.3项或第1.4.4项规定的任何一种情形。</w:t>
            </w:r>
          </w:p>
          <w:p>
            <w:pPr>
              <w:ind w:left="113" w:right="113" w:firstLine="210" w:firstLineChars="100"/>
              <w:rPr>
                <w:rFonts w:ascii="宋体" w:hAnsi="宋体"/>
                <w:szCs w:val="21"/>
              </w:rPr>
            </w:pPr>
          </w:p>
        </w:tc>
      </w:tr>
    </w:tbl>
    <w:p>
      <w:pPr>
        <w:ind w:firstLine="8400" w:firstLineChars="3500"/>
        <w:jc w:val="left"/>
        <w:rPr>
          <w:rFonts w:ascii="宋体" w:hAnsi="宋体"/>
          <w:sz w:val="24"/>
        </w:rPr>
        <w:sectPr>
          <w:footnotePr>
            <w:numFmt w:val="decimalEnclosedCircleChinese"/>
            <w:numRestart w:val="eachPage"/>
          </w:footnotePr>
          <w:pgSz w:w="11906" w:h="16838"/>
          <w:pgMar w:top="1134" w:right="1134" w:bottom="1134" w:left="1134" w:header="0" w:footer="567" w:gutter="0"/>
          <w:cols w:space="425" w:num="1"/>
          <w:docGrid w:type="lines" w:linePitch="312" w:charSpace="0"/>
        </w:sectPr>
      </w:pPr>
    </w:p>
    <w:p>
      <w:pPr>
        <w:jc w:val="right"/>
        <w:rPr>
          <w:rFonts w:ascii="宋体" w:hAnsi="宋体"/>
          <w:sz w:val="24"/>
        </w:rPr>
      </w:pPr>
      <w:r>
        <w:rPr>
          <w:rFonts w:hint="eastAsia" w:ascii="宋体" w:hAnsi="宋体"/>
          <w:sz w:val="24"/>
        </w:rPr>
        <w:t>续上表</w:t>
      </w:r>
    </w:p>
    <w:tbl>
      <w:tblPr>
        <w:tblStyle w:val="36"/>
        <w:tblW w:w="971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23"/>
        <w:gridCol w:w="2375"/>
        <w:gridCol w:w="641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923" w:type="dxa"/>
            <w:vAlign w:val="center"/>
          </w:tcPr>
          <w:p>
            <w:pPr>
              <w:ind w:right="113"/>
              <w:jc w:val="center"/>
              <w:rPr>
                <w:rFonts w:ascii="宋体" w:hAnsi="宋体"/>
                <w:b/>
                <w:szCs w:val="21"/>
              </w:rPr>
            </w:pPr>
            <w:r>
              <w:rPr>
                <w:rFonts w:hint="eastAsia" w:ascii="宋体" w:hAnsi="宋体"/>
                <w:b/>
                <w:szCs w:val="21"/>
              </w:rPr>
              <w:t>条款号</w:t>
            </w:r>
          </w:p>
        </w:tc>
        <w:tc>
          <w:tcPr>
            <w:tcW w:w="2375" w:type="dxa"/>
            <w:vAlign w:val="center"/>
          </w:tcPr>
          <w:p>
            <w:pPr>
              <w:ind w:right="113"/>
              <w:jc w:val="center"/>
              <w:rPr>
                <w:rFonts w:ascii="宋体" w:hAnsi="宋体"/>
                <w:b/>
                <w:szCs w:val="21"/>
              </w:rPr>
            </w:pPr>
            <w:r>
              <w:rPr>
                <w:rFonts w:hint="eastAsia" w:ascii="宋体" w:hAnsi="宋体"/>
                <w:b/>
                <w:szCs w:val="21"/>
              </w:rPr>
              <w:t>条款内容</w:t>
            </w:r>
          </w:p>
        </w:tc>
        <w:tc>
          <w:tcPr>
            <w:tcW w:w="6413" w:type="dxa"/>
            <w:vAlign w:val="center"/>
          </w:tcPr>
          <w:p>
            <w:pPr>
              <w:ind w:right="113"/>
              <w:jc w:val="center"/>
              <w:rPr>
                <w:rFonts w:ascii="宋体" w:hAnsi="宋体"/>
                <w:b/>
                <w:szCs w:val="21"/>
              </w:rPr>
            </w:pPr>
            <w:r>
              <w:rPr>
                <w:rFonts w:hint="eastAsia" w:ascii="宋体" w:hAnsi="宋体"/>
                <w:b/>
                <w:szCs w:val="21"/>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443" w:hRule="atLeast"/>
          <w:jc w:val="center"/>
        </w:trPr>
        <w:tc>
          <w:tcPr>
            <w:tcW w:w="923" w:type="dxa"/>
            <w:vAlign w:val="center"/>
          </w:tcPr>
          <w:p>
            <w:pPr>
              <w:ind w:right="113"/>
              <w:jc w:val="center"/>
              <w:rPr>
                <w:rFonts w:ascii="宋体" w:hAnsi="宋体"/>
                <w:szCs w:val="21"/>
              </w:rPr>
            </w:pPr>
            <w:r>
              <w:rPr>
                <w:rFonts w:hint="eastAsia" w:ascii="宋体" w:hAnsi="宋体"/>
                <w:szCs w:val="21"/>
              </w:rPr>
              <w:t>2.2.1</w:t>
            </w:r>
          </w:p>
        </w:tc>
        <w:tc>
          <w:tcPr>
            <w:tcW w:w="2375" w:type="dxa"/>
            <w:vAlign w:val="center"/>
          </w:tcPr>
          <w:p>
            <w:pPr>
              <w:ind w:right="113"/>
              <w:jc w:val="center"/>
              <w:rPr>
                <w:rFonts w:ascii="宋体" w:hAnsi="宋体"/>
                <w:szCs w:val="21"/>
              </w:rPr>
            </w:pPr>
            <w:r>
              <w:rPr>
                <w:rFonts w:hint="eastAsia" w:ascii="宋体" w:hAnsi="宋体"/>
                <w:szCs w:val="21"/>
              </w:rPr>
              <w:t>分值构成</w:t>
            </w:r>
          </w:p>
          <w:p>
            <w:pPr>
              <w:ind w:right="113"/>
              <w:jc w:val="center"/>
              <w:rPr>
                <w:rFonts w:ascii="宋体" w:hAnsi="宋体"/>
                <w:szCs w:val="21"/>
              </w:rPr>
            </w:pPr>
            <w:r>
              <w:rPr>
                <w:rFonts w:hint="eastAsia" w:ascii="宋体" w:hAnsi="宋体"/>
                <w:szCs w:val="21"/>
              </w:rPr>
              <w:t>（总分100分）</w:t>
            </w:r>
          </w:p>
        </w:tc>
        <w:tc>
          <w:tcPr>
            <w:tcW w:w="6413" w:type="dxa"/>
            <w:vAlign w:val="center"/>
          </w:tcPr>
          <w:p>
            <w:pPr>
              <w:ind w:left="113" w:leftChars="54" w:right="113" w:firstLine="420" w:firstLineChars="199"/>
              <w:rPr>
                <w:rFonts w:ascii="宋体" w:hAnsi="宋体"/>
                <w:b/>
                <w:szCs w:val="21"/>
              </w:rPr>
            </w:pPr>
            <w:r>
              <w:rPr>
                <w:rFonts w:hint="eastAsia" w:ascii="宋体" w:hAnsi="宋体"/>
                <w:b/>
                <w:szCs w:val="21"/>
              </w:rPr>
              <w:t>第一个信封（商务及技术文件）评分分值构成：</w:t>
            </w:r>
          </w:p>
          <w:p>
            <w:pPr>
              <w:ind w:left="113" w:leftChars="54" w:right="113" w:firstLine="420" w:firstLineChars="200"/>
              <w:rPr>
                <w:rFonts w:ascii="宋体" w:hAnsi="宋体"/>
                <w:szCs w:val="21"/>
              </w:rPr>
            </w:pPr>
            <w:r>
              <w:rPr>
                <w:rFonts w:hint="eastAsia" w:ascii="宋体" w:hAnsi="宋体"/>
                <w:szCs w:val="21"/>
              </w:rPr>
              <w:t>技术建议书：40分</w:t>
            </w:r>
          </w:p>
          <w:p>
            <w:pPr>
              <w:ind w:left="113" w:leftChars="54" w:right="113" w:firstLine="420" w:firstLineChars="200"/>
              <w:rPr>
                <w:rFonts w:ascii="宋体" w:hAnsi="宋体"/>
                <w:szCs w:val="21"/>
              </w:rPr>
            </w:pPr>
            <w:r>
              <w:rPr>
                <w:rFonts w:hint="eastAsia" w:ascii="宋体" w:hAnsi="宋体"/>
                <w:szCs w:val="21"/>
              </w:rPr>
              <w:t>主要人员：20分</w:t>
            </w:r>
          </w:p>
          <w:p>
            <w:pPr>
              <w:ind w:left="113" w:leftChars="54" w:right="113" w:firstLine="420" w:firstLineChars="200"/>
              <w:rPr>
                <w:rFonts w:ascii="宋体" w:hAnsi="宋体"/>
                <w:szCs w:val="21"/>
              </w:rPr>
            </w:pPr>
            <w:r>
              <w:rPr>
                <w:rFonts w:hint="eastAsia" w:ascii="宋体" w:hAnsi="宋体"/>
                <w:szCs w:val="21"/>
              </w:rPr>
              <w:t>业绩：20分</w:t>
            </w:r>
          </w:p>
          <w:p>
            <w:pPr>
              <w:ind w:left="113" w:leftChars="54" w:right="113" w:firstLine="420" w:firstLineChars="200"/>
              <w:rPr>
                <w:rFonts w:ascii="宋体" w:hAnsi="宋体"/>
                <w:szCs w:val="21"/>
              </w:rPr>
            </w:pPr>
            <w:r>
              <w:rPr>
                <w:rFonts w:hint="eastAsia" w:ascii="宋体" w:hAnsi="宋体"/>
                <w:szCs w:val="21"/>
              </w:rPr>
              <w:t>注册资本金：5分</w:t>
            </w:r>
          </w:p>
          <w:p>
            <w:pPr>
              <w:ind w:left="113" w:leftChars="54" w:right="113" w:firstLine="420" w:firstLineChars="200"/>
              <w:rPr>
                <w:rFonts w:ascii="宋体" w:hAnsi="宋体"/>
                <w:szCs w:val="21"/>
              </w:rPr>
            </w:pPr>
            <w:r>
              <w:rPr>
                <w:rFonts w:hint="eastAsia" w:ascii="宋体" w:hAnsi="宋体"/>
                <w:szCs w:val="21"/>
              </w:rPr>
              <w:t>履约信誉：5分</w:t>
            </w:r>
          </w:p>
          <w:p>
            <w:pPr>
              <w:ind w:left="113" w:leftChars="54" w:right="113" w:firstLine="420" w:firstLineChars="199"/>
              <w:rPr>
                <w:rFonts w:ascii="宋体" w:hAnsi="宋体"/>
                <w:b/>
                <w:szCs w:val="21"/>
              </w:rPr>
            </w:pPr>
            <w:r>
              <w:rPr>
                <w:rFonts w:hint="eastAsia" w:ascii="宋体" w:hAnsi="宋体"/>
                <w:b/>
                <w:szCs w:val="21"/>
              </w:rPr>
              <w:t>第二个信封（报价文件）评分分值构成：</w:t>
            </w:r>
          </w:p>
          <w:p>
            <w:pPr>
              <w:ind w:left="113" w:leftChars="54" w:right="113" w:firstLine="420" w:firstLineChars="200"/>
              <w:rPr>
                <w:rFonts w:ascii="宋体" w:hAnsi="宋体"/>
                <w:szCs w:val="21"/>
              </w:rPr>
            </w:pPr>
            <w:r>
              <w:rPr>
                <w:rFonts w:hint="eastAsia" w:ascii="宋体" w:hAnsi="宋体"/>
                <w:szCs w:val="21"/>
              </w:rPr>
              <w:t>评标价：10分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923" w:type="dxa"/>
            <w:vAlign w:val="center"/>
          </w:tcPr>
          <w:p>
            <w:pPr>
              <w:ind w:right="113"/>
              <w:jc w:val="center"/>
              <w:rPr>
                <w:rFonts w:ascii="宋体" w:hAnsi="宋体"/>
                <w:szCs w:val="21"/>
              </w:rPr>
            </w:pPr>
            <w:r>
              <w:rPr>
                <w:rFonts w:hint="eastAsia" w:ascii="宋体" w:hAnsi="宋体"/>
                <w:szCs w:val="21"/>
              </w:rPr>
              <w:t>2.2.2</w:t>
            </w:r>
          </w:p>
        </w:tc>
        <w:tc>
          <w:tcPr>
            <w:tcW w:w="2375" w:type="dxa"/>
            <w:vAlign w:val="center"/>
          </w:tcPr>
          <w:p>
            <w:pPr>
              <w:ind w:left="113" w:right="113"/>
              <w:jc w:val="center"/>
              <w:rPr>
                <w:rFonts w:ascii="宋体" w:hAnsi="宋体"/>
                <w:szCs w:val="21"/>
              </w:rPr>
            </w:pPr>
            <w:r>
              <w:rPr>
                <w:rFonts w:hint="eastAsia" w:ascii="宋体" w:hAnsi="宋体"/>
                <w:szCs w:val="21"/>
              </w:rPr>
              <w:t>评标基准价</w:t>
            </w:r>
          </w:p>
          <w:p>
            <w:pPr>
              <w:ind w:left="113" w:right="113"/>
              <w:jc w:val="center"/>
              <w:rPr>
                <w:rFonts w:ascii="宋体" w:hAnsi="宋体"/>
                <w:szCs w:val="21"/>
              </w:rPr>
            </w:pPr>
            <w:r>
              <w:rPr>
                <w:rFonts w:hint="eastAsia" w:ascii="宋体" w:hAnsi="宋体"/>
                <w:szCs w:val="21"/>
              </w:rPr>
              <w:t>计算方法</w:t>
            </w:r>
          </w:p>
        </w:tc>
        <w:tc>
          <w:tcPr>
            <w:tcW w:w="6413" w:type="dxa"/>
            <w:vAlign w:val="center"/>
          </w:tcPr>
          <w:p>
            <w:pPr>
              <w:ind w:left="113" w:leftChars="54" w:right="113" w:firstLine="420" w:firstLineChars="200"/>
              <w:rPr>
                <w:rFonts w:ascii="宋体" w:hAnsi="宋体"/>
                <w:szCs w:val="21"/>
              </w:rPr>
            </w:pPr>
            <w:r>
              <w:rPr>
                <w:rFonts w:hint="eastAsia" w:ascii="宋体" w:hAnsi="宋体"/>
                <w:szCs w:val="21"/>
              </w:rPr>
              <w:t>详见投标人须知前附表第5.2.3项。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923" w:type="dxa"/>
            <w:vAlign w:val="center"/>
          </w:tcPr>
          <w:p>
            <w:pPr>
              <w:ind w:right="113"/>
              <w:jc w:val="center"/>
              <w:rPr>
                <w:rFonts w:ascii="宋体" w:hAnsi="宋体"/>
                <w:szCs w:val="21"/>
              </w:rPr>
            </w:pPr>
            <w:r>
              <w:rPr>
                <w:rFonts w:hint="eastAsia" w:ascii="宋体" w:hAnsi="宋体"/>
                <w:szCs w:val="21"/>
              </w:rPr>
              <w:t>2.2.3</w:t>
            </w:r>
          </w:p>
        </w:tc>
        <w:tc>
          <w:tcPr>
            <w:tcW w:w="2375" w:type="dxa"/>
            <w:vAlign w:val="center"/>
          </w:tcPr>
          <w:p>
            <w:pPr>
              <w:ind w:left="113" w:right="113"/>
              <w:jc w:val="center"/>
              <w:rPr>
                <w:rFonts w:ascii="宋体" w:hAnsi="宋体"/>
                <w:szCs w:val="21"/>
              </w:rPr>
            </w:pPr>
            <w:r>
              <w:rPr>
                <w:rFonts w:hint="eastAsia" w:ascii="宋体" w:hAnsi="宋体"/>
                <w:szCs w:val="21"/>
              </w:rPr>
              <w:t>评标价的偏差率计算公式</w:t>
            </w:r>
          </w:p>
        </w:tc>
        <w:tc>
          <w:tcPr>
            <w:tcW w:w="6413" w:type="dxa"/>
            <w:vAlign w:val="center"/>
          </w:tcPr>
          <w:p>
            <w:pPr>
              <w:ind w:firstLine="525" w:firstLineChars="250"/>
              <w:jc w:val="left"/>
              <w:rPr>
                <w:rFonts w:ascii="宋体" w:hAnsi="宋体"/>
                <w:b/>
                <w:szCs w:val="21"/>
              </w:rPr>
            </w:pPr>
            <w:r>
              <w:rPr>
                <w:rFonts w:hint="eastAsia" w:ascii="宋体" w:hAnsi="宋体"/>
                <w:szCs w:val="21"/>
              </w:rPr>
              <w:t>详见投标人须知前附表第5.2.3项。</w:t>
            </w:r>
          </w:p>
        </w:tc>
      </w:tr>
    </w:tbl>
    <w:p>
      <w:pPr>
        <w:jc w:val="right"/>
        <w:rPr>
          <w:rFonts w:ascii="宋体" w:hAnsi="宋体"/>
          <w:sz w:val="24"/>
        </w:rPr>
      </w:pPr>
    </w:p>
    <w:tbl>
      <w:tblPr>
        <w:tblStyle w:val="36"/>
        <w:tblW w:w="97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
        <w:gridCol w:w="893"/>
        <w:gridCol w:w="1132"/>
        <w:gridCol w:w="1902"/>
        <w:gridCol w:w="850"/>
        <w:gridCol w:w="4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2939" w:type="pct"/>
            <w:gridSpan w:val="5"/>
            <w:vAlign w:val="center"/>
          </w:tcPr>
          <w:p>
            <w:pPr>
              <w:jc w:val="center"/>
              <w:rPr>
                <w:rFonts w:ascii="宋体" w:hAnsi="宋体"/>
                <w:b/>
                <w:szCs w:val="21"/>
              </w:rPr>
            </w:pPr>
            <w:r>
              <w:rPr>
                <w:rFonts w:hint="eastAsia" w:ascii="宋体" w:hAnsi="宋体"/>
                <w:b/>
                <w:szCs w:val="21"/>
              </w:rPr>
              <w:t>评分因素与权重分值</w:t>
            </w:r>
            <w:r>
              <w:rPr>
                <w:rStyle w:val="45"/>
                <w:rFonts w:ascii="宋体" w:hAnsi="宋体"/>
                <w:szCs w:val="21"/>
              </w:rPr>
              <w:footnoteReference w:id="1"/>
            </w:r>
          </w:p>
        </w:tc>
        <w:tc>
          <w:tcPr>
            <w:tcW w:w="2061" w:type="pct"/>
            <w:vMerge w:val="restart"/>
            <w:vAlign w:val="center"/>
          </w:tcPr>
          <w:p>
            <w:pPr>
              <w:jc w:val="center"/>
              <w:rPr>
                <w:rFonts w:ascii="宋体" w:hAnsi="宋体"/>
                <w:b/>
                <w:szCs w:val="21"/>
              </w:rPr>
            </w:pPr>
            <w:r>
              <w:rPr>
                <w:rFonts w:hint="eastAsia" w:ascii="宋体" w:hAnsi="宋体"/>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8" w:type="pct"/>
            <w:vAlign w:val="center"/>
          </w:tcPr>
          <w:p>
            <w:pPr>
              <w:jc w:val="center"/>
              <w:rPr>
                <w:rFonts w:ascii="宋体" w:hAnsi="宋体"/>
                <w:b/>
                <w:szCs w:val="21"/>
              </w:rPr>
            </w:pPr>
            <w:r>
              <w:rPr>
                <w:rFonts w:hint="eastAsia" w:ascii="宋体" w:hAnsi="宋体"/>
                <w:b/>
                <w:szCs w:val="21"/>
              </w:rPr>
              <w:t>条款号</w:t>
            </w:r>
          </w:p>
        </w:tc>
        <w:tc>
          <w:tcPr>
            <w:tcW w:w="460" w:type="pct"/>
            <w:vAlign w:val="center"/>
          </w:tcPr>
          <w:p>
            <w:pPr>
              <w:jc w:val="center"/>
              <w:rPr>
                <w:rFonts w:ascii="宋体" w:hAnsi="宋体"/>
                <w:b/>
                <w:szCs w:val="21"/>
              </w:rPr>
            </w:pPr>
            <w:r>
              <w:rPr>
                <w:rFonts w:hint="eastAsia" w:ascii="宋体" w:hAnsi="宋体"/>
                <w:b/>
                <w:szCs w:val="21"/>
              </w:rPr>
              <w:t>评分因素</w:t>
            </w:r>
          </w:p>
        </w:tc>
        <w:tc>
          <w:tcPr>
            <w:tcW w:w="583" w:type="pct"/>
            <w:vAlign w:val="center"/>
          </w:tcPr>
          <w:p>
            <w:pPr>
              <w:jc w:val="center"/>
              <w:rPr>
                <w:rFonts w:ascii="宋体" w:hAnsi="宋体"/>
                <w:b/>
                <w:szCs w:val="21"/>
              </w:rPr>
            </w:pPr>
            <w:r>
              <w:rPr>
                <w:rFonts w:hint="eastAsia" w:ascii="宋体" w:hAnsi="宋体"/>
                <w:b/>
                <w:szCs w:val="21"/>
              </w:rPr>
              <w:t>评分因素权重分值</w:t>
            </w:r>
          </w:p>
        </w:tc>
        <w:tc>
          <w:tcPr>
            <w:tcW w:w="980" w:type="pct"/>
            <w:vAlign w:val="center"/>
          </w:tcPr>
          <w:p>
            <w:pPr>
              <w:jc w:val="center"/>
              <w:rPr>
                <w:rFonts w:ascii="宋体" w:hAnsi="宋体"/>
                <w:b/>
                <w:szCs w:val="21"/>
              </w:rPr>
            </w:pPr>
            <w:r>
              <w:rPr>
                <w:rFonts w:hint="eastAsia" w:ascii="宋体" w:hAnsi="宋体"/>
                <w:b/>
                <w:szCs w:val="21"/>
              </w:rPr>
              <w:t>各评分因素细分项</w:t>
            </w:r>
          </w:p>
        </w:tc>
        <w:tc>
          <w:tcPr>
            <w:tcW w:w="438" w:type="pct"/>
            <w:vAlign w:val="center"/>
          </w:tcPr>
          <w:p>
            <w:pPr>
              <w:jc w:val="center"/>
              <w:rPr>
                <w:rFonts w:ascii="宋体" w:hAnsi="宋体"/>
                <w:b/>
                <w:szCs w:val="21"/>
              </w:rPr>
            </w:pPr>
            <w:r>
              <w:rPr>
                <w:rFonts w:hint="eastAsia" w:ascii="宋体" w:hAnsi="宋体"/>
                <w:b/>
                <w:szCs w:val="21"/>
              </w:rPr>
              <w:t>分值</w:t>
            </w:r>
          </w:p>
        </w:tc>
        <w:tc>
          <w:tcPr>
            <w:tcW w:w="2061" w:type="pct"/>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restart"/>
            <w:vAlign w:val="center"/>
          </w:tcPr>
          <w:p>
            <w:pPr>
              <w:jc w:val="center"/>
              <w:rPr>
                <w:rFonts w:ascii="宋体" w:hAnsi="宋体"/>
                <w:szCs w:val="21"/>
              </w:rPr>
            </w:pPr>
            <w:r>
              <w:rPr>
                <w:rFonts w:hint="eastAsia" w:ascii="宋体" w:hAnsi="宋体"/>
                <w:szCs w:val="21"/>
              </w:rPr>
              <w:t>2.2.4（1）</w:t>
            </w:r>
          </w:p>
          <w:p>
            <w:pPr>
              <w:jc w:val="center"/>
              <w:rPr>
                <w:rFonts w:ascii="宋体" w:hAnsi="宋体"/>
                <w:szCs w:val="21"/>
              </w:rPr>
            </w:pPr>
          </w:p>
          <w:p>
            <w:pPr>
              <w:jc w:val="center"/>
              <w:rPr>
                <w:rFonts w:ascii="宋体" w:hAnsi="宋体"/>
                <w:szCs w:val="21"/>
              </w:rPr>
            </w:pPr>
          </w:p>
        </w:tc>
        <w:tc>
          <w:tcPr>
            <w:tcW w:w="460" w:type="pct"/>
            <w:vMerge w:val="restart"/>
            <w:vAlign w:val="center"/>
          </w:tcPr>
          <w:p>
            <w:pPr>
              <w:jc w:val="center"/>
              <w:rPr>
                <w:rFonts w:ascii="宋体" w:hAnsi="宋体"/>
                <w:szCs w:val="21"/>
              </w:rPr>
            </w:pPr>
            <w:r>
              <w:rPr>
                <w:rFonts w:hint="eastAsia" w:ascii="宋体" w:hAnsi="宋体"/>
                <w:szCs w:val="21"/>
              </w:rPr>
              <w:t>技术建议书</w:t>
            </w:r>
          </w:p>
        </w:tc>
        <w:tc>
          <w:tcPr>
            <w:tcW w:w="583" w:type="pct"/>
            <w:vMerge w:val="restart"/>
            <w:vAlign w:val="center"/>
          </w:tcPr>
          <w:p>
            <w:pPr>
              <w:jc w:val="center"/>
              <w:rPr>
                <w:rFonts w:ascii="宋体" w:hAnsi="宋体"/>
                <w:szCs w:val="21"/>
              </w:rPr>
            </w:pPr>
            <w:r>
              <w:rPr>
                <w:rFonts w:hint="eastAsia" w:ascii="宋体" w:hAnsi="宋体"/>
                <w:szCs w:val="21"/>
              </w:rPr>
              <w:t>40分</w:t>
            </w:r>
          </w:p>
        </w:tc>
        <w:tc>
          <w:tcPr>
            <w:tcW w:w="980" w:type="pct"/>
            <w:vMerge w:val="restart"/>
            <w:vAlign w:val="center"/>
          </w:tcPr>
          <w:p>
            <w:pPr>
              <w:ind w:right="113"/>
              <w:rPr>
                <w:rFonts w:ascii="宋体" w:hAnsi="宋体"/>
                <w:szCs w:val="21"/>
              </w:rPr>
            </w:pPr>
            <w:r>
              <w:rPr>
                <w:rFonts w:hint="eastAsia" w:ascii="宋体" w:hAnsi="宋体"/>
                <w:szCs w:val="21"/>
              </w:rPr>
              <w:t>检测内容与方法</w:t>
            </w:r>
          </w:p>
        </w:tc>
        <w:tc>
          <w:tcPr>
            <w:tcW w:w="438" w:type="pct"/>
            <w:vMerge w:val="restart"/>
            <w:vAlign w:val="center"/>
          </w:tcPr>
          <w:p>
            <w:pPr>
              <w:jc w:val="center"/>
              <w:rPr>
                <w:rFonts w:ascii="宋体" w:hAnsi="宋体"/>
                <w:szCs w:val="21"/>
              </w:rPr>
            </w:pPr>
            <w:r>
              <w:rPr>
                <w:rFonts w:hint="eastAsia" w:ascii="宋体" w:hAnsi="宋体"/>
                <w:szCs w:val="21"/>
              </w:rPr>
              <w:t>15分</w:t>
            </w:r>
          </w:p>
        </w:tc>
        <w:tc>
          <w:tcPr>
            <w:tcW w:w="2061" w:type="pct"/>
            <w:vAlign w:val="center"/>
          </w:tcPr>
          <w:p>
            <w:pPr>
              <w:jc w:val="left"/>
              <w:rPr>
                <w:rFonts w:ascii="宋体" w:hAnsi="宋体"/>
                <w:szCs w:val="21"/>
              </w:rPr>
            </w:pPr>
            <w:r>
              <w:rPr>
                <w:rFonts w:hint="eastAsia" w:ascii="宋体" w:hAnsi="宋体"/>
                <w:kern w:val="0"/>
                <w:szCs w:val="21"/>
              </w:rPr>
              <w:t>满意  12～15分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continue"/>
            <w:vAlign w:val="center"/>
          </w:tcPr>
          <w:p>
            <w:pPr>
              <w:ind w:right="113"/>
              <w:rPr>
                <w:rFonts w:ascii="宋体" w:hAnsi="宋体"/>
                <w:szCs w:val="21"/>
              </w:rPr>
            </w:pPr>
          </w:p>
        </w:tc>
        <w:tc>
          <w:tcPr>
            <w:tcW w:w="438" w:type="pct"/>
            <w:vMerge w:val="continue"/>
            <w:vAlign w:val="center"/>
          </w:tcPr>
          <w:p>
            <w:pPr>
              <w:jc w:val="center"/>
              <w:rPr>
                <w:rFonts w:ascii="宋体" w:hAnsi="宋体"/>
                <w:szCs w:val="21"/>
              </w:rPr>
            </w:pPr>
          </w:p>
        </w:tc>
        <w:tc>
          <w:tcPr>
            <w:tcW w:w="2061" w:type="pct"/>
            <w:vAlign w:val="center"/>
          </w:tcPr>
          <w:p>
            <w:pPr>
              <w:jc w:val="left"/>
              <w:rPr>
                <w:rFonts w:ascii="宋体" w:hAnsi="宋体"/>
                <w:kern w:val="0"/>
                <w:szCs w:val="21"/>
              </w:rPr>
            </w:pPr>
            <w:r>
              <w:rPr>
                <w:rFonts w:hint="eastAsia" w:ascii="宋体" w:hAnsi="宋体"/>
                <w:kern w:val="0"/>
                <w:szCs w:val="21"/>
              </w:rPr>
              <w:t>较好  9～12分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continue"/>
            <w:vAlign w:val="center"/>
          </w:tcPr>
          <w:p>
            <w:pPr>
              <w:ind w:right="113"/>
              <w:rPr>
                <w:rFonts w:ascii="宋体" w:hAnsi="宋体"/>
                <w:szCs w:val="21"/>
              </w:rPr>
            </w:pPr>
          </w:p>
        </w:tc>
        <w:tc>
          <w:tcPr>
            <w:tcW w:w="438" w:type="pct"/>
            <w:vMerge w:val="continue"/>
            <w:vAlign w:val="center"/>
          </w:tcPr>
          <w:p>
            <w:pPr>
              <w:jc w:val="center"/>
              <w:rPr>
                <w:rFonts w:ascii="宋体" w:hAnsi="宋体"/>
                <w:szCs w:val="21"/>
              </w:rPr>
            </w:pPr>
          </w:p>
        </w:tc>
        <w:tc>
          <w:tcPr>
            <w:tcW w:w="2061" w:type="pct"/>
            <w:vAlign w:val="center"/>
          </w:tcPr>
          <w:p>
            <w:pPr>
              <w:jc w:val="left"/>
              <w:rPr>
                <w:rFonts w:ascii="宋体" w:hAnsi="宋体"/>
                <w:kern w:val="0"/>
                <w:szCs w:val="21"/>
              </w:rPr>
            </w:pPr>
            <w:r>
              <w:rPr>
                <w:rFonts w:hint="eastAsia" w:ascii="宋体" w:hAnsi="宋体"/>
                <w:kern w:val="0"/>
                <w:szCs w:val="21"/>
              </w:rPr>
              <w:t>一般   9分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restart"/>
            <w:vAlign w:val="center"/>
          </w:tcPr>
          <w:p>
            <w:pPr>
              <w:ind w:right="113"/>
              <w:rPr>
                <w:rFonts w:ascii="宋体" w:hAnsi="宋体"/>
                <w:szCs w:val="21"/>
              </w:rPr>
            </w:pPr>
            <w:r>
              <w:rPr>
                <w:rFonts w:hint="eastAsia" w:ascii="宋体" w:hAnsi="宋体"/>
                <w:szCs w:val="21"/>
              </w:rPr>
              <w:t>检测工作的重点与难点分析</w:t>
            </w:r>
          </w:p>
        </w:tc>
        <w:tc>
          <w:tcPr>
            <w:tcW w:w="438" w:type="pct"/>
            <w:vMerge w:val="restart"/>
            <w:vAlign w:val="center"/>
          </w:tcPr>
          <w:p>
            <w:pPr>
              <w:jc w:val="center"/>
              <w:rPr>
                <w:rFonts w:ascii="宋体" w:hAnsi="宋体"/>
                <w:szCs w:val="21"/>
              </w:rPr>
            </w:pPr>
            <w:r>
              <w:rPr>
                <w:rFonts w:hint="eastAsia" w:ascii="宋体" w:hAnsi="宋体"/>
                <w:szCs w:val="21"/>
              </w:rPr>
              <w:t>10分</w:t>
            </w:r>
          </w:p>
        </w:tc>
        <w:tc>
          <w:tcPr>
            <w:tcW w:w="2061" w:type="pct"/>
            <w:vAlign w:val="center"/>
          </w:tcPr>
          <w:p>
            <w:pPr>
              <w:jc w:val="left"/>
              <w:rPr>
                <w:rFonts w:ascii="宋体" w:hAnsi="宋体"/>
                <w:szCs w:val="21"/>
              </w:rPr>
            </w:pPr>
            <w:r>
              <w:rPr>
                <w:rFonts w:hint="eastAsia" w:ascii="宋体" w:hAnsi="宋体"/>
                <w:kern w:val="0"/>
                <w:szCs w:val="21"/>
              </w:rPr>
              <w:t>满意  8～10分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continue"/>
            <w:vAlign w:val="center"/>
          </w:tcPr>
          <w:p>
            <w:pPr>
              <w:ind w:right="113"/>
              <w:rPr>
                <w:rFonts w:ascii="宋体" w:hAnsi="宋体"/>
                <w:szCs w:val="21"/>
              </w:rPr>
            </w:pPr>
          </w:p>
        </w:tc>
        <w:tc>
          <w:tcPr>
            <w:tcW w:w="438" w:type="pct"/>
            <w:vMerge w:val="continue"/>
            <w:vAlign w:val="center"/>
          </w:tcPr>
          <w:p>
            <w:pPr>
              <w:jc w:val="center"/>
              <w:rPr>
                <w:rFonts w:ascii="宋体" w:hAnsi="宋体"/>
                <w:szCs w:val="21"/>
              </w:rPr>
            </w:pPr>
          </w:p>
        </w:tc>
        <w:tc>
          <w:tcPr>
            <w:tcW w:w="2061" w:type="pct"/>
            <w:vAlign w:val="center"/>
          </w:tcPr>
          <w:p>
            <w:pPr>
              <w:jc w:val="left"/>
              <w:rPr>
                <w:rFonts w:ascii="宋体" w:hAnsi="宋体"/>
                <w:kern w:val="0"/>
                <w:szCs w:val="21"/>
              </w:rPr>
            </w:pPr>
            <w:r>
              <w:rPr>
                <w:rFonts w:hint="eastAsia" w:ascii="宋体" w:hAnsi="宋体"/>
                <w:kern w:val="0"/>
                <w:szCs w:val="21"/>
              </w:rPr>
              <w:t>较好  6～8分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continue"/>
            <w:vAlign w:val="center"/>
          </w:tcPr>
          <w:p>
            <w:pPr>
              <w:ind w:right="113"/>
              <w:rPr>
                <w:rFonts w:ascii="宋体" w:hAnsi="宋体"/>
                <w:szCs w:val="21"/>
              </w:rPr>
            </w:pPr>
          </w:p>
        </w:tc>
        <w:tc>
          <w:tcPr>
            <w:tcW w:w="438" w:type="pct"/>
            <w:vMerge w:val="continue"/>
            <w:vAlign w:val="center"/>
          </w:tcPr>
          <w:p>
            <w:pPr>
              <w:jc w:val="center"/>
              <w:rPr>
                <w:rFonts w:ascii="宋体" w:hAnsi="宋体"/>
                <w:szCs w:val="21"/>
              </w:rPr>
            </w:pPr>
          </w:p>
        </w:tc>
        <w:tc>
          <w:tcPr>
            <w:tcW w:w="2061" w:type="pct"/>
            <w:vAlign w:val="center"/>
          </w:tcPr>
          <w:p>
            <w:pPr>
              <w:jc w:val="left"/>
              <w:rPr>
                <w:rFonts w:ascii="宋体" w:hAnsi="宋体"/>
                <w:kern w:val="0"/>
                <w:szCs w:val="21"/>
              </w:rPr>
            </w:pPr>
            <w:r>
              <w:rPr>
                <w:rFonts w:hint="eastAsia" w:ascii="宋体" w:hAnsi="宋体"/>
                <w:kern w:val="0"/>
                <w:szCs w:val="21"/>
              </w:rPr>
              <w:t>一般  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restart"/>
            <w:vAlign w:val="center"/>
          </w:tcPr>
          <w:p>
            <w:pPr>
              <w:ind w:right="113"/>
              <w:rPr>
                <w:rFonts w:ascii="宋体" w:hAnsi="宋体"/>
                <w:szCs w:val="21"/>
              </w:rPr>
            </w:pPr>
            <w:r>
              <w:rPr>
                <w:rFonts w:hint="eastAsia" w:ascii="宋体" w:hAnsi="宋体"/>
                <w:szCs w:val="21"/>
              </w:rPr>
              <w:t>保证检测工作质量和进度的措施</w:t>
            </w:r>
          </w:p>
        </w:tc>
        <w:tc>
          <w:tcPr>
            <w:tcW w:w="438" w:type="pct"/>
            <w:vMerge w:val="restart"/>
            <w:vAlign w:val="center"/>
          </w:tcPr>
          <w:p>
            <w:pPr>
              <w:jc w:val="center"/>
              <w:rPr>
                <w:rFonts w:ascii="宋体" w:hAnsi="宋体"/>
                <w:szCs w:val="21"/>
              </w:rPr>
            </w:pPr>
            <w:r>
              <w:rPr>
                <w:rFonts w:hint="eastAsia" w:ascii="宋体" w:hAnsi="宋体"/>
                <w:szCs w:val="21"/>
              </w:rPr>
              <w:t>10分</w:t>
            </w:r>
          </w:p>
        </w:tc>
        <w:tc>
          <w:tcPr>
            <w:tcW w:w="2061" w:type="pct"/>
            <w:vAlign w:val="center"/>
          </w:tcPr>
          <w:p>
            <w:pPr>
              <w:jc w:val="left"/>
              <w:rPr>
                <w:rFonts w:ascii="宋体" w:hAnsi="宋体"/>
                <w:szCs w:val="21"/>
              </w:rPr>
            </w:pPr>
            <w:r>
              <w:rPr>
                <w:rFonts w:hint="eastAsia" w:ascii="宋体" w:hAnsi="宋体"/>
                <w:kern w:val="0"/>
                <w:szCs w:val="21"/>
              </w:rPr>
              <w:t>满意  8～10分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continue"/>
            <w:vAlign w:val="center"/>
          </w:tcPr>
          <w:p>
            <w:pPr>
              <w:ind w:right="113"/>
              <w:rPr>
                <w:rFonts w:ascii="宋体" w:hAnsi="宋体"/>
                <w:szCs w:val="21"/>
              </w:rPr>
            </w:pPr>
          </w:p>
        </w:tc>
        <w:tc>
          <w:tcPr>
            <w:tcW w:w="438" w:type="pct"/>
            <w:vMerge w:val="continue"/>
            <w:vAlign w:val="center"/>
          </w:tcPr>
          <w:p>
            <w:pPr>
              <w:jc w:val="center"/>
              <w:rPr>
                <w:rFonts w:ascii="宋体" w:hAnsi="宋体"/>
                <w:szCs w:val="21"/>
              </w:rPr>
            </w:pPr>
          </w:p>
        </w:tc>
        <w:tc>
          <w:tcPr>
            <w:tcW w:w="2061" w:type="pct"/>
            <w:vAlign w:val="center"/>
          </w:tcPr>
          <w:p>
            <w:pPr>
              <w:jc w:val="left"/>
              <w:rPr>
                <w:rFonts w:ascii="宋体" w:hAnsi="宋体"/>
                <w:kern w:val="0"/>
                <w:szCs w:val="21"/>
              </w:rPr>
            </w:pPr>
            <w:r>
              <w:rPr>
                <w:rFonts w:hint="eastAsia" w:ascii="宋体" w:hAnsi="宋体"/>
                <w:kern w:val="0"/>
                <w:szCs w:val="21"/>
              </w:rPr>
              <w:t>较好  6～8分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continue"/>
            <w:vAlign w:val="center"/>
          </w:tcPr>
          <w:p>
            <w:pPr>
              <w:ind w:right="113"/>
              <w:rPr>
                <w:rFonts w:ascii="宋体" w:hAnsi="宋体"/>
                <w:szCs w:val="21"/>
              </w:rPr>
            </w:pPr>
          </w:p>
        </w:tc>
        <w:tc>
          <w:tcPr>
            <w:tcW w:w="438" w:type="pct"/>
            <w:vMerge w:val="continue"/>
            <w:vAlign w:val="center"/>
          </w:tcPr>
          <w:p>
            <w:pPr>
              <w:jc w:val="center"/>
              <w:rPr>
                <w:rFonts w:ascii="宋体" w:hAnsi="宋体"/>
                <w:szCs w:val="21"/>
              </w:rPr>
            </w:pPr>
          </w:p>
        </w:tc>
        <w:tc>
          <w:tcPr>
            <w:tcW w:w="2061" w:type="pct"/>
            <w:vAlign w:val="center"/>
          </w:tcPr>
          <w:p>
            <w:pPr>
              <w:jc w:val="left"/>
              <w:rPr>
                <w:rFonts w:ascii="宋体" w:hAnsi="宋体"/>
                <w:kern w:val="0"/>
                <w:szCs w:val="21"/>
              </w:rPr>
            </w:pPr>
            <w:r>
              <w:rPr>
                <w:rFonts w:hint="eastAsia" w:ascii="宋体" w:hAnsi="宋体"/>
                <w:kern w:val="0"/>
                <w:szCs w:val="21"/>
              </w:rPr>
              <w:t>一般  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restart"/>
            <w:vAlign w:val="center"/>
          </w:tcPr>
          <w:p>
            <w:pPr>
              <w:ind w:right="113"/>
              <w:rPr>
                <w:rFonts w:ascii="宋体" w:hAnsi="宋体"/>
                <w:szCs w:val="21"/>
              </w:rPr>
            </w:pPr>
            <w:r>
              <w:rPr>
                <w:rFonts w:hint="eastAsia" w:ascii="宋体" w:hAnsi="宋体"/>
                <w:szCs w:val="21"/>
              </w:rPr>
              <w:t>后续服务承诺</w:t>
            </w:r>
          </w:p>
        </w:tc>
        <w:tc>
          <w:tcPr>
            <w:tcW w:w="438" w:type="pct"/>
            <w:vMerge w:val="restart"/>
            <w:vAlign w:val="center"/>
          </w:tcPr>
          <w:p>
            <w:pPr>
              <w:jc w:val="center"/>
              <w:rPr>
                <w:rFonts w:ascii="宋体" w:hAnsi="宋体"/>
                <w:szCs w:val="21"/>
              </w:rPr>
            </w:pPr>
            <w:r>
              <w:rPr>
                <w:rFonts w:hint="eastAsia" w:ascii="宋体" w:hAnsi="宋体"/>
                <w:szCs w:val="21"/>
              </w:rPr>
              <w:t>5分</w:t>
            </w:r>
          </w:p>
        </w:tc>
        <w:tc>
          <w:tcPr>
            <w:tcW w:w="2061" w:type="pct"/>
            <w:vAlign w:val="center"/>
          </w:tcPr>
          <w:p>
            <w:pPr>
              <w:jc w:val="left"/>
              <w:rPr>
                <w:rFonts w:ascii="宋体" w:hAnsi="宋体"/>
                <w:szCs w:val="21"/>
              </w:rPr>
            </w:pPr>
            <w:r>
              <w:rPr>
                <w:rFonts w:hint="eastAsia" w:ascii="宋体" w:hAnsi="宋体"/>
                <w:kern w:val="0"/>
                <w:szCs w:val="21"/>
              </w:rPr>
              <w:t>满意  4～5分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continue"/>
            <w:vAlign w:val="center"/>
          </w:tcPr>
          <w:p>
            <w:pPr>
              <w:ind w:right="113"/>
              <w:rPr>
                <w:rFonts w:ascii="宋体" w:hAnsi="宋体"/>
                <w:szCs w:val="21"/>
              </w:rPr>
            </w:pPr>
          </w:p>
        </w:tc>
        <w:tc>
          <w:tcPr>
            <w:tcW w:w="438" w:type="pct"/>
            <w:vMerge w:val="continue"/>
            <w:vAlign w:val="center"/>
          </w:tcPr>
          <w:p>
            <w:pPr>
              <w:jc w:val="center"/>
              <w:rPr>
                <w:rFonts w:ascii="宋体" w:hAnsi="宋体"/>
                <w:szCs w:val="21"/>
              </w:rPr>
            </w:pPr>
          </w:p>
        </w:tc>
        <w:tc>
          <w:tcPr>
            <w:tcW w:w="2061" w:type="pct"/>
            <w:vAlign w:val="center"/>
          </w:tcPr>
          <w:p>
            <w:pPr>
              <w:jc w:val="left"/>
              <w:rPr>
                <w:rFonts w:ascii="宋体" w:hAnsi="宋体"/>
                <w:kern w:val="0"/>
                <w:szCs w:val="21"/>
              </w:rPr>
            </w:pPr>
            <w:r>
              <w:rPr>
                <w:rFonts w:hint="eastAsia" w:ascii="宋体" w:hAnsi="宋体"/>
                <w:kern w:val="0"/>
                <w:szCs w:val="21"/>
              </w:rPr>
              <w:t>较好  3～4分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478" w:type="pct"/>
            <w:vMerge w:val="continue"/>
            <w:vAlign w:val="center"/>
          </w:tcPr>
          <w:p>
            <w:pPr>
              <w:jc w:val="center"/>
              <w:rPr>
                <w:rFonts w:ascii="宋体" w:hAnsi="宋体"/>
                <w:szCs w:val="21"/>
              </w:rPr>
            </w:pPr>
          </w:p>
        </w:tc>
        <w:tc>
          <w:tcPr>
            <w:tcW w:w="460" w:type="pct"/>
            <w:vMerge w:val="continue"/>
            <w:vAlign w:val="center"/>
          </w:tcPr>
          <w:p>
            <w:pPr>
              <w:jc w:val="center"/>
              <w:rPr>
                <w:rFonts w:ascii="宋体" w:hAnsi="宋体"/>
                <w:szCs w:val="21"/>
              </w:rPr>
            </w:pPr>
          </w:p>
        </w:tc>
        <w:tc>
          <w:tcPr>
            <w:tcW w:w="583" w:type="pct"/>
            <w:vMerge w:val="continue"/>
            <w:vAlign w:val="center"/>
          </w:tcPr>
          <w:p>
            <w:pPr>
              <w:jc w:val="center"/>
              <w:rPr>
                <w:rFonts w:ascii="宋体" w:hAnsi="宋体"/>
                <w:szCs w:val="21"/>
              </w:rPr>
            </w:pPr>
          </w:p>
        </w:tc>
        <w:tc>
          <w:tcPr>
            <w:tcW w:w="980" w:type="pct"/>
            <w:vMerge w:val="continue"/>
            <w:vAlign w:val="center"/>
          </w:tcPr>
          <w:p>
            <w:pPr>
              <w:ind w:right="113"/>
              <w:rPr>
                <w:rFonts w:ascii="宋体" w:hAnsi="宋体"/>
                <w:szCs w:val="21"/>
              </w:rPr>
            </w:pPr>
          </w:p>
        </w:tc>
        <w:tc>
          <w:tcPr>
            <w:tcW w:w="438" w:type="pct"/>
            <w:vMerge w:val="continue"/>
            <w:vAlign w:val="center"/>
          </w:tcPr>
          <w:p>
            <w:pPr>
              <w:jc w:val="center"/>
              <w:rPr>
                <w:rFonts w:ascii="宋体" w:hAnsi="宋体"/>
                <w:szCs w:val="21"/>
              </w:rPr>
            </w:pPr>
          </w:p>
        </w:tc>
        <w:tc>
          <w:tcPr>
            <w:tcW w:w="2061" w:type="pct"/>
            <w:vAlign w:val="center"/>
          </w:tcPr>
          <w:p>
            <w:pPr>
              <w:jc w:val="left"/>
              <w:rPr>
                <w:rFonts w:ascii="宋体" w:hAnsi="宋体"/>
                <w:kern w:val="0"/>
                <w:szCs w:val="21"/>
              </w:rPr>
            </w:pPr>
            <w:r>
              <w:rPr>
                <w:rFonts w:hint="eastAsia" w:ascii="宋体" w:hAnsi="宋体"/>
                <w:kern w:val="0"/>
                <w:szCs w:val="21"/>
              </w:rPr>
              <w:t>一般   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7" w:hRule="exact"/>
          <w:jc w:val="center"/>
        </w:trPr>
        <w:tc>
          <w:tcPr>
            <w:tcW w:w="478" w:type="pct"/>
            <w:vAlign w:val="center"/>
          </w:tcPr>
          <w:p>
            <w:pPr>
              <w:jc w:val="center"/>
              <w:rPr>
                <w:rFonts w:ascii="宋体" w:hAnsi="宋体"/>
                <w:szCs w:val="21"/>
              </w:rPr>
            </w:pPr>
            <w:r>
              <w:rPr>
                <w:rFonts w:hint="eastAsia" w:ascii="宋体" w:hAnsi="宋体"/>
                <w:szCs w:val="21"/>
              </w:rPr>
              <w:t>2.2.4（2）</w:t>
            </w:r>
          </w:p>
        </w:tc>
        <w:tc>
          <w:tcPr>
            <w:tcW w:w="460" w:type="pct"/>
            <w:vAlign w:val="center"/>
          </w:tcPr>
          <w:p>
            <w:pPr>
              <w:jc w:val="center"/>
              <w:rPr>
                <w:rFonts w:ascii="宋体" w:hAnsi="宋体"/>
                <w:szCs w:val="21"/>
              </w:rPr>
            </w:pPr>
            <w:r>
              <w:rPr>
                <w:rFonts w:hint="eastAsia" w:ascii="宋体" w:hAnsi="宋体"/>
                <w:szCs w:val="21"/>
              </w:rPr>
              <w:t>主要人员</w:t>
            </w:r>
          </w:p>
        </w:tc>
        <w:tc>
          <w:tcPr>
            <w:tcW w:w="583" w:type="pct"/>
            <w:vAlign w:val="center"/>
          </w:tcPr>
          <w:p>
            <w:pPr>
              <w:jc w:val="center"/>
              <w:rPr>
                <w:rFonts w:ascii="宋体" w:hAnsi="宋体"/>
                <w:szCs w:val="21"/>
              </w:rPr>
            </w:pPr>
            <w:r>
              <w:rPr>
                <w:rFonts w:hint="eastAsia" w:ascii="宋体" w:hAnsi="宋体"/>
                <w:szCs w:val="21"/>
              </w:rPr>
              <w:t>20分</w:t>
            </w:r>
          </w:p>
        </w:tc>
        <w:tc>
          <w:tcPr>
            <w:tcW w:w="980" w:type="pct"/>
            <w:vAlign w:val="center"/>
          </w:tcPr>
          <w:p>
            <w:pPr>
              <w:ind w:right="113"/>
              <w:rPr>
                <w:rFonts w:ascii="宋体" w:hAnsi="宋体"/>
                <w:szCs w:val="21"/>
              </w:rPr>
            </w:pPr>
            <w:r>
              <w:rPr>
                <w:rFonts w:hint="eastAsia" w:ascii="宋体" w:hAnsi="宋体"/>
                <w:szCs w:val="21"/>
              </w:rPr>
              <w:t>项目负责人与项目技术负责人任职资格与业绩</w:t>
            </w:r>
          </w:p>
        </w:tc>
        <w:tc>
          <w:tcPr>
            <w:tcW w:w="438" w:type="pct"/>
            <w:vAlign w:val="center"/>
          </w:tcPr>
          <w:p>
            <w:pPr>
              <w:jc w:val="center"/>
              <w:rPr>
                <w:rFonts w:ascii="宋体" w:hAnsi="宋体"/>
                <w:szCs w:val="21"/>
              </w:rPr>
            </w:pPr>
            <w:r>
              <w:rPr>
                <w:rFonts w:hint="eastAsia" w:ascii="宋体" w:hAnsi="宋体"/>
                <w:szCs w:val="21"/>
              </w:rPr>
              <w:t>20分</w:t>
            </w:r>
          </w:p>
        </w:tc>
        <w:tc>
          <w:tcPr>
            <w:tcW w:w="2061" w:type="pct"/>
            <w:vAlign w:val="center"/>
          </w:tcPr>
          <w:p>
            <w:pPr>
              <w:jc w:val="left"/>
              <w:rPr>
                <w:rFonts w:ascii="宋体" w:hAnsi="宋体"/>
                <w:szCs w:val="21"/>
              </w:rPr>
            </w:pPr>
            <w:r>
              <w:rPr>
                <w:rFonts w:hint="eastAsia" w:ascii="宋体" w:hAnsi="宋体"/>
                <w:szCs w:val="21"/>
              </w:rPr>
              <w:t>满足资格审查条件（主要人员最低要求），得12分。</w:t>
            </w:r>
          </w:p>
          <w:p>
            <w:pPr>
              <w:jc w:val="left"/>
              <w:rPr>
                <w:rFonts w:ascii="宋体" w:hAnsi="宋体"/>
                <w:szCs w:val="21"/>
              </w:rPr>
            </w:pPr>
            <w:r>
              <w:rPr>
                <w:rFonts w:hint="eastAsia" w:ascii="宋体" w:hAnsi="宋体"/>
                <w:szCs w:val="21"/>
              </w:rPr>
              <w:t>项目负责人每增加1项个人有效业绩加4分，最多加4分。</w:t>
            </w:r>
          </w:p>
          <w:p>
            <w:pPr>
              <w:jc w:val="left"/>
              <w:rPr>
                <w:rFonts w:ascii="宋体" w:hAnsi="宋体"/>
                <w:szCs w:val="21"/>
              </w:rPr>
            </w:pPr>
            <w:r>
              <w:rPr>
                <w:rFonts w:hint="eastAsia" w:ascii="宋体" w:hAnsi="宋体"/>
                <w:szCs w:val="21"/>
              </w:rPr>
              <w:t>项目技术负责人每增加1项个人有效业绩加4分，最多加4分。</w:t>
            </w:r>
          </w:p>
          <w:p>
            <w:pPr>
              <w:jc w:val="left"/>
              <w:rPr>
                <w:rFonts w:ascii="宋体" w:hAnsi="宋体"/>
                <w:szCs w:val="21"/>
              </w:rPr>
            </w:pPr>
            <w:r>
              <w:rPr>
                <w:rFonts w:hint="eastAsia" w:ascii="宋体" w:hAnsi="宋体"/>
                <w:szCs w:val="21"/>
              </w:rPr>
              <w:t>注：个人有效业绩要求见“投标人须知”附录4资格审查条件（主要人员最低要求）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exact"/>
          <w:jc w:val="center"/>
        </w:trPr>
        <w:tc>
          <w:tcPr>
            <w:tcW w:w="478" w:type="pct"/>
            <w:vAlign w:val="center"/>
          </w:tcPr>
          <w:p>
            <w:pPr>
              <w:jc w:val="center"/>
              <w:rPr>
                <w:rFonts w:ascii="宋体" w:hAnsi="宋体"/>
                <w:szCs w:val="21"/>
              </w:rPr>
            </w:pPr>
            <w:r>
              <w:rPr>
                <w:rFonts w:hint="eastAsia" w:ascii="宋体" w:hAnsi="宋体"/>
                <w:szCs w:val="21"/>
              </w:rPr>
              <w:t>2.2.4（3）</w:t>
            </w:r>
          </w:p>
        </w:tc>
        <w:tc>
          <w:tcPr>
            <w:tcW w:w="460" w:type="pct"/>
            <w:vAlign w:val="center"/>
          </w:tcPr>
          <w:p>
            <w:pPr>
              <w:jc w:val="center"/>
              <w:rPr>
                <w:rFonts w:ascii="宋体" w:hAnsi="宋体"/>
                <w:szCs w:val="21"/>
              </w:rPr>
            </w:pPr>
            <w:r>
              <w:rPr>
                <w:rFonts w:hint="eastAsia" w:ascii="宋体" w:hAnsi="宋体"/>
                <w:szCs w:val="21"/>
              </w:rPr>
              <w:t>评标价</w:t>
            </w:r>
          </w:p>
        </w:tc>
        <w:tc>
          <w:tcPr>
            <w:tcW w:w="583" w:type="pct"/>
            <w:vAlign w:val="center"/>
          </w:tcPr>
          <w:p>
            <w:pPr>
              <w:jc w:val="center"/>
              <w:rPr>
                <w:rFonts w:ascii="宋体" w:hAnsi="宋体"/>
                <w:szCs w:val="21"/>
              </w:rPr>
            </w:pPr>
            <w:r>
              <w:rPr>
                <w:rFonts w:hint="eastAsia" w:ascii="宋体" w:hAnsi="宋体"/>
                <w:szCs w:val="21"/>
              </w:rPr>
              <w:t>10分</w:t>
            </w:r>
          </w:p>
        </w:tc>
        <w:tc>
          <w:tcPr>
            <w:tcW w:w="3479" w:type="pct"/>
            <w:gridSpan w:val="3"/>
            <w:vAlign w:val="center"/>
          </w:tcPr>
          <w:p>
            <w:pPr>
              <w:jc w:val="left"/>
              <w:rPr>
                <w:rFonts w:ascii="宋体" w:hAnsi="宋体"/>
                <w:szCs w:val="21"/>
              </w:rPr>
            </w:pPr>
            <w:r>
              <w:rPr>
                <w:rFonts w:hint="eastAsia" w:ascii="宋体" w:hAnsi="宋体"/>
                <w:szCs w:val="21"/>
              </w:rPr>
              <w:t>详见投标人须知前附表</w:t>
            </w:r>
          </w:p>
        </w:tc>
      </w:tr>
    </w:tbl>
    <w:p>
      <w:pPr>
        <w:jc w:val="right"/>
        <w:rPr>
          <w:rFonts w:ascii="宋体" w:hAnsi="宋体"/>
          <w:sz w:val="24"/>
        </w:rPr>
      </w:pPr>
    </w:p>
    <w:p>
      <w:pPr>
        <w:jc w:val="right"/>
        <w:rPr>
          <w:rFonts w:ascii="宋体" w:hAnsi="宋体"/>
          <w:sz w:val="24"/>
        </w:rPr>
      </w:pPr>
    </w:p>
    <w:p>
      <w:pPr>
        <w:jc w:val="right"/>
        <w:rPr>
          <w:rFonts w:ascii="宋体" w:hAnsi="宋体"/>
          <w:sz w:val="24"/>
        </w:rPr>
      </w:pPr>
      <w:r>
        <w:rPr>
          <w:rFonts w:hint="eastAsia" w:ascii="宋体" w:hAnsi="宋体"/>
          <w:sz w:val="24"/>
        </w:rPr>
        <w:t>续上表</w:t>
      </w:r>
    </w:p>
    <w:tbl>
      <w:tblPr>
        <w:tblStyle w:val="36"/>
        <w:tblW w:w="9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2"/>
        <w:gridCol w:w="852"/>
        <w:gridCol w:w="1277"/>
        <w:gridCol w:w="1555"/>
        <w:gridCol w:w="1527"/>
        <w:gridCol w:w="992"/>
        <w:gridCol w:w="28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564" w:type="pct"/>
            <w:gridSpan w:val="6"/>
            <w:vAlign w:val="center"/>
          </w:tcPr>
          <w:p>
            <w:pPr>
              <w:jc w:val="center"/>
              <w:rPr>
                <w:rFonts w:ascii="宋体" w:hAnsi="宋体"/>
                <w:b/>
                <w:szCs w:val="21"/>
              </w:rPr>
            </w:pPr>
            <w:r>
              <w:rPr>
                <w:rFonts w:hint="eastAsia" w:ascii="宋体" w:hAnsi="宋体"/>
                <w:b/>
                <w:szCs w:val="21"/>
              </w:rPr>
              <w:t>评分因素与权重分值</w:t>
            </w:r>
          </w:p>
        </w:tc>
        <w:tc>
          <w:tcPr>
            <w:tcW w:w="1436" w:type="pct"/>
            <w:vMerge w:val="restart"/>
            <w:vAlign w:val="center"/>
          </w:tcPr>
          <w:p>
            <w:pPr>
              <w:jc w:val="center"/>
              <w:rPr>
                <w:rFonts w:ascii="宋体" w:hAnsi="宋体"/>
                <w:b/>
                <w:szCs w:val="21"/>
              </w:rPr>
            </w:pPr>
            <w:r>
              <w:rPr>
                <w:rFonts w:hint="eastAsia" w:ascii="宋体" w:hAnsi="宋体"/>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1" w:type="pct"/>
            <w:vAlign w:val="center"/>
          </w:tcPr>
          <w:p>
            <w:pPr>
              <w:jc w:val="center"/>
              <w:rPr>
                <w:rFonts w:ascii="宋体" w:hAnsi="宋体"/>
                <w:b/>
                <w:szCs w:val="21"/>
              </w:rPr>
            </w:pPr>
            <w:r>
              <w:rPr>
                <w:rFonts w:hint="eastAsia" w:ascii="宋体" w:hAnsi="宋体"/>
                <w:b/>
                <w:szCs w:val="21"/>
              </w:rPr>
              <w:t>条款号</w:t>
            </w:r>
          </w:p>
        </w:tc>
        <w:tc>
          <w:tcPr>
            <w:tcW w:w="1065" w:type="pct"/>
            <w:gridSpan w:val="2"/>
            <w:vAlign w:val="center"/>
          </w:tcPr>
          <w:p>
            <w:pPr>
              <w:jc w:val="center"/>
              <w:rPr>
                <w:rFonts w:ascii="宋体" w:hAnsi="宋体"/>
                <w:b/>
                <w:szCs w:val="21"/>
              </w:rPr>
            </w:pPr>
            <w:r>
              <w:rPr>
                <w:rFonts w:hint="eastAsia" w:ascii="宋体" w:hAnsi="宋体"/>
                <w:b/>
                <w:szCs w:val="21"/>
              </w:rPr>
              <w:t>评分因素</w:t>
            </w:r>
          </w:p>
        </w:tc>
        <w:tc>
          <w:tcPr>
            <w:tcW w:w="778" w:type="pct"/>
            <w:vAlign w:val="center"/>
          </w:tcPr>
          <w:p>
            <w:pPr>
              <w:jc w:val="center"/>
              <w:rPr>
                <w:rFonts w:ascii="宋体" w:hAnsi="宋体"/>
                <w:b/>
                <w:szCs w:val="21"/>
              </w:rPr>
            </w:pPr>
            <w:r>
              <w:rPr>
                <w:rFonts w:hint="eastAsia" w:ascii="宋体" w:hAnsi="宋体"/>
                <w:b/>
                <w:szCs w:val="21"/>
              </w:rPr>
              <w:t>评分因素</w:t>
            </w:r>
          </w:p>
          <w:p>
            <w:pPr>
              <w:jc w:val="center"/>
              <w:rPr>
                <w:rFonts w:ascii="宋体" w:hAnsi="宋体"/>
                <w:b/>
                <w:szCs w:val="21"/>
              </w:rPr>
            </w:pPr>
            <w:r>
              <w:rPr>
                <w:rFonts w:hint="eastAsia" w:ascii="宋体" w:hAnsi="宋体"/>
                <w:b/>
                <w:szCs w:val="21"/>
              </w:rPr>
              <w:t>权重分值</w:t>
            </w:r>
          </w:p>
        </w:tc>
        <w:tc>
          <w:tcPr>
            <w:tcW w:w="764" w:type="pct"/>
            <w:vAlign w:val="center"/>
          </w:tcPr>
          <w:p>
            <w:pPr>
              <w:jc w:val="center"/>
              <w:rPr>
                <w:rFonts w:ascii="宋体" w:hAnsi="宋体"/>
                <w:b/>
                <w:szCs w:val="21"/>
              </w:rPr>
            </w:pPr>
            <w:r>
              <w:rPr>
                <w:rFonts w:hint="eastAsia" w:ascii="宋体" w:hAnsi="宋体"/>
                <w:b/>
                <w:szCs w:val="21"/>
              </w:rPr>
              <w:t>各评分因素细分项</w:t>
            </w:r>
          </w:p>
        </w:tc>
        <w:tc>
          <w:tcPr>
            <w:tcW w:w="496" w:type="pct"/>
            <w:vAlign w:val="center"/>
          </w:tcPr>
          <w:p>
            <w:pPr>
              <w:jc w:val="center"/>
              <w:rPr>
                <w:rFonts w:ascii="宋体" w:hAnsi="宋体"/>
                <w:b/>
                <w:szCs w:val="21"/>
              </w:rPr>
            </w:pPr>
            <w:r>
              <w:rPr>
                <w:rFonts w:hint="eastAsia" w:ascii="宋体" w:hAnsi="宋体"/>
                <w:b/>
                <w:szCs w:val="21"/>
              </w:rPr>
              <w:t>分值</w:t>
            </w:r>
          </w:p>
        </w:tc>
        <w:tc>
          <w:tcPr>
            <w:tcW w:w="1436" w:type="pct"/>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7" w:hRule="exact"/>
          <w:jc w:val="center"/>
        </w:trPr>
        <w:tc>
          <w:tcPr>
            <w:tcW w:w="461" w:type="pct"/>
            <w:vMerge w:val="restart"/>
            <w:vAlign w:val="center"/>
          </w:tcPr>
          <w:p>
            <w:pPr>
              <w:jc w:val="center"/>
              <w:rPr>
                <w:rFonts w:ascii="宋体" w:hAnsi="宋体"/>
                <w:szCs w:val="21"/>
              </w:rPr>
            </w:pPr>
            <w:r>
              <w:rPr>
                <w:rFonts w:hint="eastAsia" w:ascii="宋体" w:hAnsi="宋体"/>
                <w:szCs w:val="21"/>
              </w:rPr>
              <w:t>2.2.4（4）</w:t>
            </w:r>
          </w:p>
        </w:tc>
        <w:tc>
          <w:tcPr>
            <w:tcW w:w="426" w:type="pct"/>
            <w:vMerge w:val="restart"/>
            <w:vAlign w:val="center"/>
          </w:tcPr>
          <w:p>
            <w:pPr>
              <w:jc w:val="center"/>
              <w:rPr>
                <w:rFonts w:ascii="宋体" w:hAnsi="宋体"/>
                <w:szCs w:val="21"/>
              </w:rPr>
            </w:pPr>
            <w:r>
              <w:rPr>
                <w:rFonts w:hint="eastAsia" w:ascii="宋体" w:hAnsi="宋体"/>
                <w:szCs w:val="21"/>
              </w:rPr>
              <w:t>其他因素</w:t>
            </w:r>
          </w:p>
        </w:tc>
        <w:tc>
          <w:tcPr>
            <w:tcW w:w="639" w:type="pct"/>
            <w:vAlign w:val="center"/>
          </w:tcPr>
          <w:p>
            <w:pPr>
              <w:jc w:val="center"/>
              <w:rPr>
                <w:rFonts w:ascii="宋体" w:hAnsi="宋体"/>
                <w:szCs w:val="21"/>
              </w:rPr>
            </w:pPr>
            <w:r>
              <w:rPr>
                <w:rFonts w:hint="eastAsia" w:ascii="宋体" w:hAnsi="宋体"/>
                <w:szCs w:val="21"/>
              </w:rPr>
              <w:t>业绩</w:t>
            </w:r>
          </w:p>
        </w:tc>
        <w:tc>
          <w:tcPr>
            <w:tcW w:w="778" w:type="pct"/>
            <w:vAlign w:val="center"/>
          </w:tcPr>
          <w:p>
            <w:pPr>
              <w:jc w:val="center"/>
              <w:rPr>
                <w:rFonts w:ascii="宋体" w:hAnsi="宋体"/>
                <w:szCs w:val="21"/>
                <w:u w:val="single"/>
              </w:rPr>
            </w:pPr>
            <w:r>
              <w:rPr>
                <w:rFonts w:hint="eastAsia" w:ascii="宋体" w:hAnsi="宋体"/>
                <w:szCs w:val="21"/>
              </w:rPr>
              <w:t>20分</w:t>
            </w:r>
          </w:p>
        </w:tc>
        <w:tc>
          <w:tcPr>
            <w:tcW w:w="764" w:type="pct"/>
            <w:vAlign w:val="center"/>
          </w:tcPr>
          <w:p>
            <w:pPr>
              <w:ind w:right="113"/>
              <w:rPr>
                <w:rFonts w:ascii="宋体" w:hAnsi="宋体"/>
                <w:szCs w:val="21"/>
              </w:rPr>
            </w:pPr>
            <w:r>
              <w:rPr>
                <w:rFonts w:hint="eastAsia" w:ascii="宋体" w:hAnsi="宋体"/>
                <w:szCs w:val="21"/>
              </w:rPr>
              <w:t>企业业绩</w:t>
            </w:r>
          </w:p>
        </w:tc>
        <w:tc>
          <w:tcPr>
            <w:tcW w:w="496" w:type="pct"/>
            <w:vAlign w:val="center"/>
          </w:tcPr>
          <w:p>
            <w:pPr>
              <w:jc w:val="center"/>
              <w:rPr>
                <w:rFonts w:ascii="宋体" w:hAnsi="宋体"/>
                <w:szCs w:val="21"/>
              </w:rPr>
            </w:pPr>
            <w:r>
              <w:rPr>
                <w:rFonts w:hint="eastAsia" w:ascii="宋体" w:hAnsi="宋体"/>
                <w:szCs w:val="21"/>
              </w:rPr>
              <w:t>20分</w:t>
            </w:r>
          </w:p>
        </w:tc>
        <w:tc>
          <w:tcPr>
            <w:tcW w:w="1436" w:type="pct"/>
            <w:vAlign w:val="center"/>
          </w:tcPr>
          <w:p>
            <w:pPr>
              <w:jc w:val="left"/>
              <w:rPr>
                <w:rFonts w:ascii="宋体" w:hAnsi="宋体"/>
                <w:szCs w:val="21"/>
              </w:rPr>
            </w:pPr>
            <w:r>
              <w:rPr>
                <w:rFonts w:hint="eastAsia" w:ascii="宋体" w:hAnsi="宋体"/>
                <w:szCs w:val="21"/>
              </w:rPr>
              <w:t>满足资格审查条件（业绩最低要求），得12分；每增加1项有效业绩加4分，最多加8分。</w:t>
            </w:r>
          </w:p>
          <w:p>
            <w:pPr>
              <w:jc w:val="left"/>
              <w:rPr>
                <w:rFonts w:ascii="宋体" w:hAnsi="宋体"/>
                <w:szCs w:val="21"/>
              </w:rPr>
            </w:pPr>
            <w:r>
              <w:rPr>
                <w:rFonts w:hint="eastAsia" w:ascii="宋体" w:hAnsi="宋体"/>
                <w:szCs w:val="21"/>
              </w:rPr>
              <w:t>注：企业有效业绩要求见“投标人须知”附录2资格审查条件（业绩最低要求）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7" w:hRule="exact"/>
          <w:jc w:val="center"/>
        </w:trPr>
        <w:tc>
          <w:tcPr>
            <w:tcW w:w="461" w:type="pct"/>
            <w:vMerge w:val="continue"/>
            <w:vAlign w:val="center"/>
          </w:tcPr>
          <w:p>
            <w:pPr>
              <w:jc w:val="center"/>
              <w:rPr>
                <w:rFonts w:ascii="宋体" w:hAnsi="宋体"/>
                <w:szCs w:val="21"/>
              </w:rPr>
            </w:pPr>
          </w:p>
        </w:tc>
        <w:tc>
          <w:tcPr>
            <w:tcW w:w="426" w:type="pct"/>
            <w:vMerge w:val="continue"/>
            <w:vAlign w:val="center"/>
          </w:tcPr>
          <w:p>
            <w:pPr>
              <w:jc w:val="center"/>
              <w:rPr>
                <w:rFonts w:ascii="宋体" w:hAnsi="宋体"/>
                <w:szCs w:val="21"/>
              </w:rPr>
            </w:pPr>
          </w:p>
        </w:tc>
        <w:tc>
          <w:tcPr>
            <w:tcW w:w="639" w:type="pct"/>
            <w:vAlign w:val="center"/>
          </w:tcPr>
          <w:p>
            <w:pPr>
              <w:jc w:val="center"/>
              <w:rPr>
                <w:rFonts w:ascii="宋体" w:hAnsi="宋体"/>
                <w:szCs w:val="21"/>
              </w:rPr>
            </w:pPr>
            <w:r>
              <w:rPr>
                <w:rFonts w:hint="eastAsia" w:ascii="宋体" w:hAnsi="宋体"/>
                <w:szCs w:val="21"/>
              </w:rPr>
              <w:t>注册资本金</w:t>
            </w:r>
          </w:p>
        </w:tc>
        <w:tc>
          <w:tcPr>
            <w:tcW w:w="778" w:type="pct"/>
            <w:vAlign w:val="center"/>
          </w:tcPr>
          <w:p>
            <w:pPr>
              <w:jc w:val="center"/>
              <w:rPr>
                <w:rFonts w:ascii="宋体" w:hAnsi="宋体"/>
                <w:szCs w:val="21"/>
              </w:rPr>
            </w:pPr>
            <w:r>
              <w:rPr>
                <w:rFonts w:hint="eastAsia" w:ascii="宋体" w:hAnsi="宋体"/>
                <w:szCs w:val="21"/>
              </w:rPr>
              <w:t>5分</w:t>
            </w:r>
          </w:p>
        </w:tc>
        <w:tc>
          <w:tcPr>
            <w:tcW w:w="764" w:type="pct"/>
            <w:vAlign w:val="center"/>
          </w:tcPr>
          <w:p>
            <w:pPr>
              <w:ind w:right="113"/>
              <w:rPr>
                <w:rFonts w:ascii="宋体" w:hAnsi="宋体"/>
                <w:szCs w:val="21"/>
              </w:rPr>
            </w:pPr>
            <w:r>
              <w:rPr>
                <w:rFonts w:hint="eastAsia" w:ascii="宋体" w:hAnsi="宋体"/>
                <w:szCs w:val="21"/>
              </w:rPr>
              <w:t>营业执照中注册资本金</w:t>
            </w:r>
          </w:p>
        </w:tc>
        <w:tc>
          <w:tcPr>
            <w:tcW w:w="496" w:type="pct"/>
            <w:vAlign w:val="center"/>
          </w:tcPr>
          <w:p>
            <w:pPr>
              <w:jc w:val="center"/>
              <w:rPr>
                <w:rFonts w:ascii="宋体" w:hAnsi="宋体"/>
                <w:szCs w:val="21"/>
              </w:rPr>
            </w:pPr>
            <w:r>
              <w:rPr>
                <w:rFonts w:hint="eastAsia" w:ascii="宋体" w:hAnsi="宋体"/>
                <w:szCs w:val="21"/>
              </w:rPr>
              <w:t>5分</w:t>
            </w:r>
          </w:p>
        </w:tc>
        <w:tc>
          <w:tcPr>
            <w:tcW w:w="1436" w:type="pct"/>
            <w:vAlign w:val="center"/>
          </w:tcPr>
          <w:p>
            <w:pPr>
              <w:jc w:val="left"/>
              <w:rPr>
                <w:rFonts w:ascii="宋体" w:hAnsi="宋体"/>
                <w:szCs w:val="21"/>
              </w:rPr>
            </w:pPr>
            <w:r>
              <w:rPr>
                <w:rFonts w:hint="eastAsia" w:ascii="宋体" w:hAnsi="宋体"/>
                <w:szCs w:val="21"/>
              </w:rPr>
              <w:t>大于或等于1亿元，得5分；1亿元～0.1亿元，中间值按比例内插计算，四舍五入保留一位小数，得3～5分；小于或等于0.1亿元，得3分。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8" w:hRule="exact"/>
          <w:jc w:val="center"/>
        </w:trPr>
        <w:tc>
          <w:tcPr>
            <w:tcW w:w="461" w:type="pct"/>
            <w:vMerge w:val="continue"/>
            <w:vAlign w:val="center"/>
          </w:tcPr>
          <w:p>
            <w:pPr>
              <w:jc w:val="center"/>
              <w:rPr>
                <w:rFonts w:ascii="宋体" w:hAnsi="宋体"/>
                <w:szCs w:val="21"/>
              </w:rPr>
            </w:pPr>
          </w:p>
        </w:tc>
        <w:tc>
          <w:tcPr>
            <w:tcW w:w="426" w:type="pct"/>
            <w:vMerge w:val="continue"/>
            <w:vAlign w:val="center"/>
          </w:tcPr>
          <w:p>
            <w:pPr>
              <w:jc w:val="center"/>
              <w:rPr>
                <w:rFonts w:ascii="宋体" w:hAnsi="宋体"/>
                <w:szCs w:val="21"/>
              </w:rPr>
            </w:pPr>
          </w:p>
        </w:tc>
        <w:tc>
          <w:tcPr>
            <w:tcW w:w="639" w:type="pct"/>
            <w:vAlign w:val="center"/>
          </w:tcPr>
          <w:p>
            <w:pPr>
              <w:jc w:val="center"/>
              <w:rPr>
                <w:rFonts w:ascii="宋体" w:hAnsi="宋体"/>
                <w:szCs w:val="21"/>
              </w:rPr>
            </w:pPr>
            <w:r>
              <w:rPr>
                <w:rFonts w:hint="eastAsia" w:ascii="宋体" w:hAnsi="宋体"/>
                <w:szCs w:val="21"/>
              </w:rPr>
              <w:t>履约信誉</w:t>
            </w:r>
          </w:p>
        </w:tc>
        <w:tc>
          <w:tcPr>
            <w:tcW w:w="778" w:type="pct"/>
            <w:vAlign w:val="center"/>
          </w:tcPr>
          <w:p>
            <w:pPr>
              <w:jc w:val="center"/>
              <w:rPr>
                <w:rFonts w:ascii="宋体" w:hAnsi="宋体"/>
                <w:szCs w:val="21"/>
                <w:u w:val="single"/>
              </w:rPr>
            </w:pPr>
            <w:r>
              <w:rPr>
                <w:rFonts w:hint="eastAsia" w:ascii="宋体" w:hAnsi="宋体"/>
                <w:szCs w:val="21"/>
              </w:rPr>
              <w:t>5分</w:t>
            </w:r>
          </w:p>
        </w:tc>
        <w:tc>
          <w:tcPr>
            <w:tcW w:w="764" w:type="pct"/>
            <w:vAlign w:val="center"/>
          </w:tcPr>
          <w:p>
            <w:pPr>
              <w:ind w:right="113"/>
              <w:rPr>
                <w:rFonts w:ascii="宋体" w:hAnsi="宋体"/>
                <w:szCs w:val="21"/>
              </w:rPr>
            </w:pPr>
            <w:r>
              <w:rPr>
                <w:rFonts w:hint="eastAsia" w:ascii="宋体" w:hAnsi="宋体"/>
                <w:szCs w:val="21"/>
              </w:rPr>
              <w:t>信用评价</w:t>
            </w:r>
          </w:p>
        </w:tc>
        <w:tc>
          <w:tcPr>
            <w:tcW w:w="496" w:type="pct"/>
            <w:vAlign w:val="center"/>
          </w:tcPr>
          <w:p>
            <w:pPr>
              <w:jc w:val="center"/>
              <w:rPr>
                <w:rFonts w:ascii="宋体" w:hAnsi="宋体"/>
                <w:szCs w:val="21"/>
              </w:rPr>
            </w:pPr>
            <w:r>
              <w:rPr>
                <w:rFonts w:hint="eastAsia" w:ascii="宋体" w:hAnsi="宋体"/>
                <w:szCs w:val="21"/>
              </w:rPr>
              <w:t>5分</w:t>
            </w:r>
          </w:p>
        </w:tc>
        <w:tc>
          <w:tcPr>
            <w:tcW w:w="1436" w:type="pct"/>
            <w:vAlign w:val="center"/>
          </w:tcPr>
          <w:p>
            <w:pPr>
              <w:jc w:val="left"/>
              <w:rPr>
                <w:rFonts w:ascii="宋体" w:hAnsi="宋体"/>
                <w:szCs w:val="21"/>
              </w:rPr>
            </w:pPr>
            <w:r>
              <w:rPr>
                <w:rFonts w:hint="eastAsia" w:ascii="宋体" w:hAnsi="宋体"/>
                <w:szCs w:val="21"/>
              </w:rPr>
              <w:t>以投标人在“公路水运工程试验检测管理信息系统”</w:t>
            </w:r>
            <w:r>
              <w:fldChar w:fldCharType="begin"/>
            </w:r>
            <w:r>
              <w:instrText xml:space="preserve"> HYPERLINK "http://www.jtsyjc.net）中查询的2018" </w:instrText>
            </w:r>
            <w:r>
              <w:fldChar w:fldCharType="separate"/>
            </w:r>
            <w:r>
              <w:rPr>
                <w:rFonts w:hint="eastAsia"/>
                <w:szCs w:val="21"/>
              </w:rPr>
              <w:t>中查询的2018</w:t>
            </w:r>
            <w:r>
              <w:rPr>
                <w:rFonts w:hint="eastAsia"/>
                <w:szCs w:val="21"/>
              </w:rPr>
              <w:fldChar w:fldCharType="end"/>
            </w:r>
            <w:r>
              <w:rPr>
                <w:rFonts w:hint="eastAsia" w:ascii="宋体" w:hAnsi="宋体"/>
                <w:szCs w:val="21"/>
              </w:rPr>
              <w:t>年度信用评价为准，未列入此评价的，若无不良信用记录，按A级对待，若有不良信用记录的，按C级及以下等级对待。</w:t>
            </w:r>
          </w:p>
          <w:p>
            <w:pPr>
              <w:jc w:val="left"/>
              <w:rPr>
                <w:rFonts w:ascii="宋体" w:hAnsi="宋体"/>
                <w:szCs w:val="21"/>
              </w:rPr>
            </w:pPr>
            <w:r>
              <w:rPr>
                <w:rFonts w:hint="eastAsia" w:ascii="宋体" w:hAnsi="宋体"/>
                <w:szCs w:val="21"/>
              </w:rPr>
              <w:t>AA级           5分</w:t>
            </w:r>
          </w:p>
          <w:p>
            <w:pPr>
              <w:jc w:val="left"/>
              <w:rPr>
                <w:rFonts w:ascii="宋体" w:hAnsi="宋体"/>
                <w:szCs w:val="21"/>
              </w:rPr>
            </w:pPr>
            <w:r>
              <w:rPr>
                <w:rFonts w:hint="eastAsia" w:ascii="宋体" w:hAnsi="宋体"/>
                <w:szCs w:val="21"/>
              </w:rPr>
              <w:t>A级            4分</w:t>
            </w:r>
          </w:p>
          <w:p>
            <w:pPr>
              <w:jc w:val="left"/>
              <w:rPr>
                <w:rFonts w:ascii="宋体" w:hAnsi="宋体"/>
                <w:szCs w:val="21"/>
              </w:rPr>
            </w:pPr>
            <w:r>
              <w:rPr>
                <w:rFonts w:hint="eastAsia" w:ascii="宋体" w:hAnsi="宋体"/>
                <w:szCs w:val="21"/>
              </w:rPr>
              <w:t>B级            3分</w:t>
            </w:r>
          </w:p>
          <w:p>
            <w:pPr>
              <w:jc w:val="left"/>
              <w:rPr>
                <w:rFonts w:ascii="宋体" w:hAnsi="宋体"/>
                <w:szCs w:val="21"/>
              </w:rPr>
            </w:pPr>
            <w:r>
              <w:rPr>
                <w:rFonts w:hint="eastAsia" w:ascii="宋体" w:hAnsi="宋体"/>
                <w:szCs w:val="21"/>
              </w:rPr>
              <w:t>C级及以下      0分</w:t>
            </w:r>
          </w:p>
        </w:tc>
      </w:tr>
    </w:tbl>
    <w:p>
      <w:pPr>
        <w:rPr>
          <w:rFonts w:ascii="宋体" w:hAnsi="宋体"/>
          <w:sz w:val="24"/>
        </w:rPr>
        <w:sectPr>
          <w:footnotePr>
            <w:numFmt w:val="decimalEnclosedCircleChinese"/>
            <w:numRestart w:val="eachPage"/>
          </w:footnotePr>
          <w:pgSz w:w="11906" w:h="16838"/>
          <w:pgMar w:top="1134" w:right="1134" w:bottom="1134" w:left="1134" w:header="0" w:footer="567" w:gutter="0"/>
          <w:cols w:space="425" w:num="1"/>
          <w:docGrid w:type="lines" w:linePitch="312" w:charSpace="0"/>
        </w:sectPr>
      </w:pPr>
    </w:p>
    <w:p>
      <w:pPr>
        <w:pStyle w:val="5"/>
        <w:rPr>
          <w:rFonts w:eastAsia="宋体"/>
          <w:b w:val="0"/>
          <w:color w:val="000000"/>
          <w:sz w:val="21"/>
          <w:szCs w:val="21"/>
        </w:rPr>
      </w:pPr>
      <w:bookmarkStart w:id="23" w:name="_Toc184635093"/>
      <w:r>
        <w:rPr>
          <w:b w:val="0"/>
          <w:color w:val="000000"/>
          <w:sz w:val="21"/>
          <w:szCs w:val="21"/>
        </w:rPr>
        <w:t>1</w:t>
      </w:r>
      <w:r>
        <w:rPr>
          <w:rFonts w:hint="eastAsia"/>
          <w:b w:val="0"/>
          <w:color w:val="000000"/>
          <w:sz w:val="21"/>
          <w:szCs w:val="21"/>
        </w:rPr>
        <w:t>、评标方法</w:t>
      </w:r>
      <w:bookmarkEnd w:id="23"/>
    </w:p>
    <w:p>
      <w:pPr>
        <w:spacing w:line="400" w:lineRule="exact"/>
        <w:ind w:firstLine="420" w:firstLineChars="200"/>
        <w:rPr>
          <w:rFonts w:ascii="宋体" w:hAnsi="宋体"/>
          <w:szCs w:val="21"/>
        </w:rPr>
      </w:pPr>
      <w:r>
        <w:rPr>
          <w:rFonts w:hint="eastAsia" w:ascii="宋体" w:hAnsi="宋体"/>
          <w:szCs w:val="21"/>
        </w:rPr>
        <w:t>本次评标采用综合评估法。评标委员会对满足招标文件实质性要求的投标文件，按照本章第2.2 款规定的评分标准进行打分，并按得分由高到低顺序推荐中标候选人，但投标报价低于其成本的除外。综合评分相等时，评标委员会应按照评标办法前附表规定的优先次序推荐中标候选人或确定中标人。</w:t>
      </w:r>
    </w:p>
    <w:p>
      <w:pPr>
        <w:pStyle w:val="5"/>
        <w:rPr>
          <w:b w:val="0"/>
          <w:sz w:val="21"/>
          <w:szCs w:val="21"/>
        </w:rPr>
      </w:pPr>
      <w:bookmarkStart w:id="24" w:name="_Toc184635094"/>
      <w:r>
        <w:rPr>
          <w:b w:val="0"/>
          <w:sz w:val="21"/>
          <w:szCs w:val="21"/>
        </w:rPr>
        <w:t>2</w:t>
      </w:r>
      <w:r>
        <w:rPr>
          <w:rFonts w:hint="eastAsia"/>
          <w:b w:val="0"/>
          <w:sz w:val="21"/>
          <w:szCs w:val="21"/>
        </w:rPr>
        <w:t>、评审标准</w:t>
      </w:r>
      <w:bookmarkEnd w:id="24"/>
    </w:p>
    <w:p>
      <w:pPr>
        <w:pStyle w:val="5"/>
        <w:rPr>
          <w:b w:val="0"/>
          <w:sz w:val="21"/>
          <w:szCs w:val="21"/>
        </w:rPr>
      </w:pPr>
      <w:r>
        <w:rPr>
          <w:b w:val="0"/>
          <w:sz w:val="21"/>
          <w:szCs w:val="21"/>
        </w:rPr>
        <w:t xml:space="preserve">2.1 </w:t>
      </w:r>
      <w:r>
        <w:rPr>
          <w:rFonts w:hint="eastAsia"/>
          <w:b w:val="0"/>
          <w:sz w:val="21"/>
          <w:szCs w:val="21"/>
        </w:rPr>
        <w:t>初步评审标准</w:t>
      </w:r>
    </w:p>
    <w:p>
      <w:pPr>
        <w:spacing w:line="400" w:lineRule="exact"/>
        <w:ind w:firstLine="420" w:firstLineChars="200"/>
        <w:rPr>
          <w:rFonts w:ascii="宋体" w:hAnsi="宋体"/>
          <w:szCs w:val="21"/>
        </w:rPr>
      </w:pPr>
      <w:r>
        <w:rPr>
          <w:rFonts w:hint="eastAsia" w:ascii="宋体" w:hAnsi="宋体"/>
          <w:szCs w:val="21"/>
        </w:rPr>
        <w:t>2.1.1 形式评审标准：见评标办法前附表。</w:t>
      </w:r>
    </w:p>
    <w:p>
      <w:pPr>
        <w:spacing w:line="400" w:lineRule="exact"/>
        <w:ind w:firstLine="420" w:firstLineChars="200"/>
        <w:rPr>
          <w:rFonts w:ascii="宋体" w:hAnsi="宋体"/>
          <w:szCs w:val="21"/>
        </w:rPr>
      </w:pPr>
      <w:r>
        <w:rPr>
          <w:rFonts w:ascii="宋体" w:hAnsi="宋体"/>
          <w:szCs w:val="21"/>
        </w:rPr>
        <w:t>2.1.2 资格评审标准：见评标办法前附表。</w:t>
      </w:r>
    </w:p>
    <w:p>
      <w:pPr>
        <w:spacing w:line="400" w:lineRule="exact"/>
        <w:ind w:firstLine="420" w:firstLineChars="200"/>
        <w:rPr>
          <w:rFonts w:ascii="宋体" w:hAnsi="宋体"/>
          <w:szCs w:val="21"/>
        </w:rPr>
      </w:pPr>
      <w:r>
        <w:rPr>
          <w:rFonts w:hint="eastAsia" w:ascii="宋体" w:hAnsi="宋体"/>
          <w:szCs w:val="21"/>
        </w:rPr>
        <w:t>2.1.3 响应性评审标准：见评标办法前附表。</w:t>
      </w:r>
    </w:p>
    <w:p>
      <w:pPr>
        <w:pStyle w:val="5"/>
        <w:rPr>
          <w:b w:val="0"/>
          <w:sz w:val="21"/>
          <w:szCs w:val="21"/>
        </w:rPr>
      </w:pPr>
      <w:r>
        <w:rPr>
          <w:b w:val="0"/>
          <w:sz w:val="21"/>
          <w:szCs w:val="21"/>
        </w:rPr>
        <w:t xml:space="preserve">2.2 </w:t>
      </w:r>
      <w:r>
        <w:rPr>
          <w:rFonts w:hint="eastAsia"/>
          <w:b w:val="0"/>
          <w:sz w:val="21"/>
          <w:szCs w:val="21"/>
        </w:rPr>
        <w:t>分值构成与评分标准</w:t>
      </w:r>
    </w:p>
    <w:p>
      <w:pPr>
        <w:spacing w:line="400" w:lineRule="exact"/>
        <w:ind w:firstLine="420" w:firstLineChars="200"/>
        <w:rPr>
          <w:rFonts w:ascii="宋体" w:hAnsi="宋体"/>
          <w:szCs w:val="21"/>
        </w:rPr>
      </w:pPr>
      <w:r>
        <w:rPr>
          <w:rFonts w:hint="eastAsia" w:ascii="宋体" w:hAnsi="宋体"/>
          <w:szCs w:val="21"/>
        </w:rPr>
        <w:t>2.2.1 分值构成</w:t>
      </w:r>
    </w:p>
    <w:p>
      <w:pPr>
        <w:spacing w:line="400" w:lineRule="exact"/>
        <w:ind w:firstLine="420" w:firstLineChars="200"/>
        <w:rPr>
          <w:rFonts w:ascii="宋体" w:hAnsi="宋体"/>
          <w:szCs w:val="21"/>
        </w:rPr>
      </w:pPr>
      <w:r>
        <w:rPr>
          <w:rFonts w:hint="eastAsia" w:ascii="宋体" w:hAnsi="宋体"/>
          <w:szCs w:val="21"/>
        </w:rPr>
        <w:t>(l）技术建议书：见评标办法前附表；</w:t>
      </w:r>
    </w:p>
    <w:p>
      <w:pPr>
        <w:spacing w:line="400" w:lineRule="exact"/>
        <w:ind w:firstLine="420" w:firstLineChars="200"/>
        <w:rPr>
          <w:rFonts w:ascii="宋体" w:hAnsi="宋体"/>
          <w:szCs w:val="21"/>
        </w:rPr>
      </w:pPr>
      <w:r>
        <w:rPr>
          <w:rFonts w:hint="eastAsia" w:ascii="宋体" w:hAnsi="宋体"/>
          <w:szCs w:val="21"/>
        </w:rPr>
        <w:t>(2）主要人员：见评标办法前附表；</w:t>
      </w:r>
    </w:p>
    <w:p>
      <w:pPr>
        <w:spacing w:line="400" w:lineRule="exact"/>
        <w:ind w:firstLine="420" w:firstLineChars="200"/>
        <w:rPr>
          <w:rFonts w:ascii="宋体" w:hAnsi="宋体"/>
          <w:szCs w:val="21"/>
        </w:rPr>
      </w:pPr>
      <w:r>
        <w:rPr>
          <w:rFonts w:hint="eastAsia" w:ascii="宋体" w:hAnsi="宋体"/>
          <w:szCs w:val="21"/>
        </w:rPr>
        <w:t>(3）评标价：见评标办法前附表；</w:t>
      </w:r>
    </w:p>
    <w:p>
      <w:pPr>
        <w:spacing w:line="400" w:lineRule="exact"/>
        <w:ind w:firstLine="420" w:firstLineChars="200"/>
        <w:rPr>
          <w:rFonts w:ascii="宋体" w:hAnsi="宋体"/>
          <w:szCs w:val="21"/>
        </w:rPr>
      </w:pPr>
      <w:r>
        <w:rPr>
          <w:rFonts w:hint="eastAsia" w:ascii="宋体" w:hAnsi="宋体"/>
          <w:szCs w:val="21"/>
        </w:rPr>
        <w:t>(4）其他评分因素：见评标办法前附表。</w:t>
      </w:r>
    </w:p>
    <w:p>
      <w:pPr>
        <w:spacing w:line="400" w:lineRule="exact"/>
        <w:ind w:firstLine="420" w:firstLineChars="200"/>
        <w:rPr>
          <w:rFonts w:ascii="宋体" w:hAnsi="宋体"/>
          <w:szCs w:val="21"/>
        </w:rPr>
      </w:pPr>
      <w:r>
        <w:rPr>
          <w:rFonts w:hint="eastAsia" w:ascii="宋体" w:hAnsi="宋体"/>
          <w:szCs w:val="21"/>
        </w:rPr>
        <w:t>2.2.2 评标基准价计算</w:t>
      </w:r>
    </w:p>
    <w:p>
      <w:pPr>
        <w:spacing w:line="400" w:lineRule="exact"/>
        <w:ind w:firstLine="420" w:firstLineChars="200"/>
        <w:rPr>
          <w:rFonts w:ascii="宋体" w:hAnsi="宋体"/>
          <w:szCs w:val="21"/>
        </w:rPr>
      </w:pPr>
      <w:r>
        <w:rPr>
          <w:rFonts w:hint="eastAsia" w:ascii="宋体" w:hAnsi="宋体"/>
          <w:szCs w:val="21"/>
        </w:rPr>
        <w:t>评标基准价计算方法：见评标办法前附表。</w:t>
      </w:r>
    </w:p>
    <w:p>
      <w:pPr>
        <w:spacing w:line="400" w:lineRule="exact"/>
        <w:ind w:firstLine="420" w:firstLineChars="200"/>
        <w:rPr>
          <w:rFonts w:ascii="宋体" w:hAnsi="宋体"/>
          <w:szCs w:val="21"/>
        </w:rPr>
      </w:pPr>
      <w:r>
        <w:rPr>
          <w:rFonts w:hint="eastAsia" w:ascii="宋体" w:hAnsi="宋体"/>
          <w:szCs w:val="21"/>
        </w:rPr>
        <w:t>2.2.3 评标价的偏差率计算</w:t>
      </w:r>
    </w:p>
    <w:p>
      <w:pPr>
        <w:spacing w:line="400" w:lineRule="exact"/>
        <w:ind w:firstLine="420" w:firstLineChars="200"/>
        <w:rPr>
          <w:rFonts w:ascii="宋体" w:hAnsi="宋体"/>
          <w:szCs w:val="21"/>
        </w:rPr>
      </w:pPr>
      <w:r>
        <w:rPr>
          <w:rFonts w:hint="eastAsia" w:ascii="宋体" w:hAnsi="宋体"/>
          <w:szCs w:val="21"/>
        </w:rPr>
        <w:t>评标价的偏差率计算公式：见评标办法前附表。</w:t>
      </w:r>
    </w:p>
    <w:p>
      <w:pPr>
        <w:spacing w:line="400" w:lineRule="exact"/>
        <w:ind w:firstLine="420" w:firstLineChars="200"/>
        <w:rPr>
          <w:rFonts w:ascii="宋体" w:hAnsi="宋体"/>
          <w:szCs w:val="21"/>
        </w:rPr>
      </w:pPr>
      <w:r>
        <w:rPr>
          <w:rFonts w:hint="eastAsia" w:ascii="宋体" w:hAnsi="宋体"/>
          <w:szCs w:val="21"/>
        </w:rPr>
        <w:t>2.2.4 评分标准</w:t>
      </w:r>
    </w:p>
    <w:p>
      <w:pPr>
        <w:spacing w:line="400" w:lineRule="exact"/>
        <w:ind w:firstLine="420" w:firstLineChars="200"/>
        <w:rPr>
          <w:rFonts w:ascii="宋体" w:hAnsi="宋体"/>
          <w:szCs w:val="21"/>
        </w:rPr>
      </w:pPr>
      <w:r>
        <w:rPr>
          <w:rFonts w:hint="eastAsia" w:ascii="宋体" w:hAnsi="宋体"/>
          <w:szCs w:val="21"/>
        </w:rPr>
        <w:t>(1）技术建议书评分标准：见评标办法前附表；</w:t>
      </w:r>
    </w:p>
    <w:p>
      <w:pPr>
        <w:spacing w:line="400" w:lineRule="exact"/>
        <w:ind w:firstLine="420" w:firstLineChars="200"/>
        <w:rPr>
          <w:rFonts w:ascii="宋体" w:hAnsi="宋体"/>
          <w:szCs w:val="21"/>
        </w:rPr>
      </w:pPr>
      <w:r>
        <w:rPr>
          <w:rFonts w:hint="eastAsia" w:ascii="宋体" w:hAnsi="宋体"/>
          <w:szCs w:val="21"/>
        </w:rPr>
        <w:t>(2）主要人员评分标准：见评标办法前附表；</w:t>
      </w:r>
    </w:p>
    <w:p>
      <w:pPr>
        <w:spacing w:line="400" w:lineRule="exact"/>
        <w:ind w:firstLine="420" w:firstLineChars="200"/>
        <w:rPr>
          <w:rFonts w:ascii="宋体" w:hAnsi="宋体"/>
          <w:szCs w:val="21"/>
        </w:rPr>
      </w:pPr>
      <w:r>
        <w:rPr>
          <w:rFonts w:hint="eastAsia" w:ascii="宋体" w:hAnsi="宋体"/>
          <w:szCs w:val="21"/>
        </w:rPr>
        <w:t>(3）评标价评分标准：见评标办法前附表；</w:t>
      </w:r>
    </w:p>
    <w:p>
      <w:pPr>
        <w:spacing w:line="400" w:lineRule="exact"/>
        <w:ind w:firstLine="420" w:firstLineChars="200"/>
        <w:rPr>
          <w:rFonts w:ascii="宋体" w:hAnsi="宋体"/>
          <w:szCs w:val="21"/>
        </w:rPr>
      </w:pPr>
      <w:r>
        <w:rPr>
          <w:rFonts w:hint="eastAsia" w:ascii="宋体" w:hAnsi="宋体"/>
          <w:szCs w:val="21"/>
        </w:rPr>
        <w:t>(4）其他因素评分标准：见评标办法前附表。</w:t>
      </w:r>
    </w:p>
    <w:p>
      <w:pPr>
        <w:pStyle w:val="5"/>
        <w:rPr>
          <w:b w:val="0"/>
          <w:sz w:val="21"/>
          <w:szCs w:val="21"/>
        </w:rPr>
      </w:pPr>
      <w:r>
        <w:rPr>
          <w:b w:val="0"/>
          <w:sz w:val="21"/>
          <w:szCs w:val="21"/>
        </w:rPr>
        <w:t>3. 评标程序</w:t>
      </w:r>
    </w:p>
    <w:p>
      <w:pPr>
        <w:pStyle w:val="5"/>
        <w:rPr>
          <w:b w:val="0"/>
          <w:sz w:val="21"/>
          <w:szCs w:val="21"/>
        </w:rPr>
      </w:pPr>
      <w:r>
        <w:rPr>
          <w:b w:val="0"/>
          <w:sz w:val="21"/>
          <w:szCs w:val="21"/>
        </w:rPr>
        <w:t xml:space="preserve">3.1 </w:t>
      </w:r>
      <w:r>
        <w:rPr>
          <w:rFonts w:hint="eastAsia"/>
          <w:b w:val="0"/>
          <w:sz w:val="21"/>
          <w:szCs w:val="21"/>
        </w:rPr>
        <w:t>第一个信封</w:t>
      </w:r>
      <w:r>
        <w:rPr>
          <w:b w:val="0"/>
          <w:sz w:val="21"/>
          <w:szCs w:val="21"/>
        </w:rPr>
        <w:t>初步评审</w:t>
      </w:r>
    </w:p>
    <w:p>
      <w:pPr>
        <w:spacing w:line="400" w:lineRule="exact"/>
        <w:ind w:firstLine="420" w:firstLineChars="200"/>
        <w:rPr>
          <w:rFonts w:ascii="宋体" w:hAnsi="宋体"/>
          <w:szCs w:val="21"/>
        </w:rPr>
      </w:pPr>
      <w:r>
        <w:rPr>
          <w:rFonts w:ascii="宋体" w:hAnsi="宋体"/>
          <w:szCs w:val="21"/>
        </w:rPr>
        <w:t>3.1.1 评标委员会可以要求投标人提交第二章“投标人须知”第3.5.1项至第3.5.</w:t>
      </w:r>
      <w:r>
        <w:rPr>
          <w:rFonts w:hint="eastAsia" w:ascii="宋体" w:hAnsi="宋体"/>
          <w:szCs w:val="21"/>
        </w:rPr>
        <w:t>5</w:t>
      </w:r>
      <w:r>
        <w:rPr>
          <w:rFonts w:ascii="宋体" w:hAnsi="宋体"/>
          <w:szCs w:val="21"/>
        </w:rPr>
        <w:t>项规定的有关证明和证件的原件，以便核验。评标委员会依据本章第2.1款规定的标准对投标文件</w:t>
      </w:r>
      <w:r>
        <w:rPr>
          <w:rFonts w:hint="eastAsia" w:ascii="宋体" w:hAnsi="宋体"/>
          <w:szCs w:val="21"/>
        </w:rPr>
        <w:t>第一个信封（商务及技术文件）</w:t>
      </w:r>
      <w:r>
        <w:rPr>
          <w:rFonts w:ascii="宋体" w:hAnsi="宋体"/>
          <w:szCs w:val="21"/>
        </w:rPr>
        <w:t>进行初步评审。有一项不符合评审标准的，</w:t>
      </w:r>
      <w:r>
        <w:rPr>
          <w:rFonts w:hint="eastAsia" w:ascii="宋体" w:hAnsi="宋体"/>
          <w:szCs w:val="21"/>
        </w:rPr>
        <w:t>评标委员会应否决其投标</w:t>
      </w:r>
      <w:r>
        <w:rPr>
          <w:rFonts w:ascii="宋体" w:hAnsi="宋体"/>
          <w:szCs w:val="21"/>
        </w:rPr>
        <w:t>。</w:t>
      </w:r>
    </w:p>
    <w:p>
      <w:pPr>
        <w:pStyle w:val="5"/>
        <w:rPr>
          <w:b w:val="0"/>
          <w:sz w:val="21"/>
          <w:szCs w:val="21"/>
        </w:rPr>
      </w:pPr>
      <w:r>
        <w:rPr>
          <w:b w:val="0"/>
          <w:sz w:val="21"/>
          <w:szCs w:val="21"/>
        </w:rPr>
        <w:t>3.</w:t>
      </w:r>
      <w:r>
        <w:rPr>
          <w:rFonts w:hint="eastAsia"/>
          <w:b w:val="0"/>
          <w:sz w:val="21"/>
          <w:szCs w:val="21"/>
        </w:rPr>
        <w:t>2</w:t>
      </w:r>
      <w:r>
        <w:rPr>
          <w:b w:val="0"/>
          <w:sz w:val="21"/>
          <w:szCs w:val="21"/>
        </w:rPr>
        <w:t xml:space="preserve"> </w:t>
      </w:r>
      <w:r>
        <w:rPr>
          <w:rFonts w:hint="eastAsia"/>
          <w:b w:val="0"/>
          <w:sz w:val="21"/>
          <w:szCs w:val="21"/>
        </w:rPr>
        <w:t>第一个信封详细评审</w:t>
      </w:r>
    </w:p>
    <w:p>
      <w:pPr>
        <w:spacing w:line="400" w:lineRule="exact"/>
        <w:ind w:firstLine="420" w:firstLineChars="200"/>
        <w:rPr>
          <w:rFonts w:ascii="宋体" w:hAnsi="宋体"/>
          <w:szCs w:val="21"/>
        </w:rPr>
      </w:pPr>
      <w:r>
        <w:rPr>
          <w:rFonts w:hint="eastAsia" w:ascii="宋体" w:hAnsi="宋体"/>
          <w:szCs w:val="21"/>
        </w:rPr>
        <w:t>3.2.1评标委员会按本章第2.2款规定的量化因素和分值进行打分，并计算出各投标人的商务和技术得分。</w:t>
      </w:r>
    </w:p>
    <w:p>
      <w:pPr>
        <w:spacing w:line="400" w:lineRule="exact"/>
        <w:ind w:firstLine="420" w:firstLineChars="200"/>
        <w:rPr>
          <w:rFonts w:ascii="宋体" w:hAnsi="宋体"/>
          <w:szCs w:val="21"/>
        </w:rPr>
      </w:pPr>
      <w:r>
        <w:rPr>
          <w:rFonts w:hint="eastAsia" w:ascii="宋体" w:hAnsi="宋体"/>
          <w:szCs w:val="21"/>
        </w:rPr>
        <w:t>（1）按本章第2.2.4项（1）目规定的评审因素和分值对技术建议书部分计算出得分A；</w:t>
      </w:r>
    </w:p>
    <w:p>
      <w:pPr>
        <w:spacing w:line="400" w:lineRule="exact"/>
        <w:ind w:firstLine="420" w:firstLineChars="200"/>
        <w:rPr>
          <w:rFonts w:ascii="宋体" w:hAnsi="宋体"/>
          <w:szCs w:val="21"/>
        </w:rPr>
      </w:pPr>
      <w:r>
        <w:rPr>
          <w:rFonts w:hint="eastAsia" w:ascii="宋体" w:hAnsi="宋体"/>
          <w:szCs w:val="21"/>
        </w:rPr>
        <w:t>（2）按本章第2.2.4项（2）目规定的评审因素和分值对主要人员部分计算出得分B；</w:t>
      </w:r>
    </w:p>
    <w:p>
      <w:pPr>
        <w:spacing w:line="400" w:lineRule="exact"/>
        <w:ind w:firstLine="420" w:firstLineChars="200"/>
        <w:rPr>
          <w:rFonts w:ascii="宋体" w:hAnsi="宋体"/>
          <w:szCs w:val="21"/>
        </w:rPr>
      </w:pPr>
      <w:r>
        <w:rPr>
          <w:rFonts w:hint="eastAsia" w:ascii="宋体" w:hAnsi="宋体"/>
          <w:szCs w:val="21"/>
        </w:rPr>
        <w:t>（3）按本章第2.2.4项（4）目规定的评审因素和分值对其他部分计算出得分D。</w:t>
      </w:r>
    </w:p>
    <w:p>
      <w:pPr>
        <w:spacing w:line="400" w:lineRule="exact"/>
        <w:ind w:firstLine="420" w:firstLineChars="200"/>
        <w:rPr>
          <w:rFonts w:ascii="宋体" w:hAnsi="宋体"/>
          <w:szCs w:val="21"/>
        </w:rPr>
      </w:pPr>
      <w:r>
        <w:rPr>
          <w:rFonts w:hint="eastAsia" w:ascii="宋体" w:hAnsi="宋体"/>
          <w:szCs w:val="21"/>
        </w:rPr>
        <w:t>3.2.2投标人的商务和技术得分分值计算保留小数点后两位，小数点后第三位“四舍五入”。</w:t>
      </w:r>
    </w:p>
    <w:p>
      <w:pPr>
        <w:spacing w:line="400" w:lineRule="exact"/>
        <w:ind w:firstLine="420" w:firstLineChars="200"/>
        <w:rPr>
          <w:rFonts w:ascii="宋体" w:hAnsi="宋体"/>
          <w:szCs w:val="21"/>
        </w:rPr>
      </w:pPr>
      <w:r>
        <w:rPr>
          <w:rFonts w:hint="eastAsia" w:ascii="宋体" w:hAnsi="宋体"/>
          <w:szCs w:val="21"/>
        </w:rPr>
        <w:t>3.2.3投标人的商务和技术得分=A+B+D。</w:t>
      </w:r>
    </w:p>
    <w:p>
      <w:pPr>
        <w:pStyle w:val="5"/>
        <w:rPr>
          <w:b w:val="0"/>
          <w:sz w:val="21"/>
          <w:szCs w:val="21"/>
        </w:rPr>
      </w:pPr>
      <w:r>
        <w:rPr>
          <w:b w:val="0"/>
          <w:sz w:val="21"/>
          <w:szCs w:val="21"/>
        </w:rPr>
        <w:t>3.</w:t>
      </w:r>
      <w:r>
        <w:rPr>
          <w:rFonts w:hint="eastAsia"/>
          <w:b w:val="0"/>
          <w:sz w:val="21"/>
          <w:szCs w:val="21"/>
        </w:rPr>
        <w:t>3</w:t>
      </w:r>
      <w:r>
        <w:rPr>
          <w:b w:val="0"/>
          <w:sz w:val="21"/>
          <w:szCs w:val="21"/>
        </w:rPr>
        <w:t xml:space="preserve"> </w:t>
      </w:r>
      <w:r>
        <w:rPr>
          <w:rFonts w:hint="eastAsia"/>
          <w:b w:val="0"/>
          <w:sz w:val="21"/>
          <w:szCs w:val="21"/>
        </w:rPr>
        <w:t>第二个信封开标</w:t>
      </w:r>
    </w:p>
    <w:p>
      <w:pPr>
        <w:spacing w:line="400" w:lineRule="exact"/>
        <w:ind w:firstLine="420" w:firstLineChars="200"/>
        <w:rPr>
          <w:rFonts w:ascii="宋体" w:hAnsi="宋体"/>
          <w:szCs w:val="21"/>
        </w:rPr>
      </w:pPr>
      <w:r>
        <w:rPr>
          <w:rFonts w:hint="eastAsia" w:ascii="宋体" w:hAnsi="宋体"/>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pStyle w:val="5"/>
        <w:rPr>
          <w:b w:val="0"/>
          <w:sz w:val="21"/>
          <w:szCs w:val="21"/>
        </w:rPr>
      </w:pPr>
      <w:r>
        <w:rPr>
          <w:b w:val="0"/>
          <w:sz w:val="21"/>
          <w:szCs w:val="21"/>
        </w:rPr>
        <w:t>3.</w:t>
      </w:r>
      <w:r>
        <w:rPr>
          <w:rFonts w:hint="eastAsia"/>
          <w:b w:val="0"/>
          <w:sz w:val="21"/>
          <w:szCs w:val="21"/>
        </w:rPr>
        <w:t>4</w:t>
      </w:r>
      <w:r>
        <w:rPr>
          <w:b w:val="0"/>
          <w:sz w:val="21"/>
          <w:szCs w:val="21"/>
        </w:rPr>
        <w:t xml:space="preserve"> </w:t>
      </w:r>
      <w:r>
        <w:rPr>
          <w:rFonts w:hint="eastAsia"/>
          <w:b w:val="0"/>
          <w:sz w:val="21"/>
          <w:szCs w:val="21"/>
        </w:rPr>
        <w:t>第二个信封</w:t>
      </w:r>
      <w:r>
        <w:rPr>
          <w:b w:val="0"/>
          <w:sz w:val="21"/>
          <w:szCs w:val="21"/>
        </w:rPr>
        <w:t>初步评审</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4</w:t>
      </w:r>
      <w:r>
        <w:rPr>
          <w:rFonts w:ascii="宋体" w:hAnsi="宋体"/>
          <w:szCs w:val="21"/>
        </w:rPr>
        <w:t>.1 评标委员会依据本章第2.1.1项、第2.1.3项规定的</w:t>
      </w:r>
      <w:r>
        <w:rPr>
          <w:rFonts w:hint="eastAsia" w:ascii="宋体" w:hAnsi="宋体"/>
          <w:szCs w:val="21"/>
        </w:rPr>
        <w:t>评审</w:t>
      </w:r>
      <w:r>
        <w:rPr>
          <w:rFonts w:ascii="宋体" w:hAnsi="宋体"/>
          <w:szCs w:val="21"/>
        </w:rPr>
        <w:t>标准对投标文件</w:t>
      </w:r>
      <w:r>
        <w:rPr>
          <w:rFonts w:hint="eastAsia" w:ascii="宋体" w:hAnsi="宋体"/>
          <w:szCs w:val="21"/>
        </w:rPr>
        <w:t>第二个信封（报价文件）</w:t>
      </w:r>
      <w:r>
        <w:rPr>
          <w:rFonts w:ascii="宋体" w:hAnsi="宋体"/>
          <w:szCs w:val="21"/>
        </w:rPr>
        <w:t>进行初步评审。有一项不符合评审标准的，</w:t>
      </w:r>
      <w:r>
        <w:rPr>
          <w:rFonts w:hint="eastAsia" w:ascii="宋体" w:hAnsi="宋体"/>
          <w:szCs w:val="21"/>
        </w:rPr>
        <w:t>评标委员会应否决其投标</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4</w:t>
      </w:r>
      <w:r>
        <w:rPr>
          <w:rFonts w:ascii="宋体" w:hAnsi="宋体"/>
          <w:szCs w:val="21"/>
        </w:rPr>
        <w:t>.</w:t>
      </w:r>
      <w:r>
        <w:rPr>
          <w:rFonts w:hint="eastAsia" w:ascii="宋体" w:hAnsi="宋体"/>
          <w:szCs w:val="21"/>
        </w:rPr>
        <w:t xml:space="preserve">2 </w:t>
      </w:r>
      <w:r>
        <w:rPr>
          <w:rFonts w:ascii="宋体" w:hAnsi="宋体"/>
          <w:szCs w:val="21"/>
        </w:rPr>
        <w:t>投标报价有算术错误的，评标委员会按以下原则对投标报价进行修正，修正的价格经投标人书面确认后具有约束力。投标人不接受修正价格的，</w:t>
      </w:r>
      <w:r>
        <w:rPr>
          <w:rFonts w:hint="eastAsia" w:ascii="宋体" w:hAnsi="宋体"/>
          <w:szCs w:val="21"/>
        </w:rPr>
        <w:t>评标委员会应否决其投标。</w:t>
      </w:r>
    </w:p>
    <w:p>
      <w:pPr>
        <w:spacing w:line="400" w:lineRule="exact"/>
        <w:ind w:firstLine="420" w:firstLineChars="200"/>
        <w:rPr>
          <w:rFonts w:ascii="宋体" w:hAnsi="宋体"/>
          <w:szCs w:val="21"/>
        </w:rPr>
      </w:pPr>
      <w:r>
        <w:rPr>
          <w:rFonts w:ascii="宋体" w:hAnsi="宋体"/>
          <w:szCs w:val="21"/>
        </w:rPr>
        <w:t>（1）投标文件中的大写金额与小写金额不一致的，以大写金额为准；</w:t>
      </w:r>
    </w:p>
    <w:p>
      <w:pPr>
        <w:spacing w:line="400" w:lineRule="exact"/>
        <w:ind w:firstLine="420" w:firstLineChars="200"/>
        <w:rPr>
          <w:rFonts w:ascii="宋体" w:hAnsi="宋体"/>
          <w:szCs w:val="21"/>
        </w:rPr>
      </w:pPr>
      <w:r>
        <w:rPr>
          <w:rFonts w:ascii="宋体" w:hAnsi="宋体"/>
          <w:szCs w:val="21"/>
        </w:rPr>
        <w:t>（2）总价金额与依据单价计算出的结果不一致的，以单价金额为准修正总价，但单价金额小数点有明显错误的除外</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（3）当单价与数量相乘不等于合价时，以单价计算为准，如果单价有明显的小数点位置差错，应以标出的合价为准，同时对单价予以修正；</w:t>
      </w:r>
    </w:p>
    <w:p>
      <w:pPr>
        <w:spacing w:line="400" w:lineRule="exact"/>
        <w:ind w:firstLine="420" w:firstLineChars="200"/>
        <w:rPr>
          <w:rFonts w:ascii="宋体" w:hAnsi="宋体"/>
          <w:szCs w:val="21"/>
        </w:rPr>
      </w:pPr>
      <w:r>
        <w:rPr>
          <w:rFonts w:hint="eastAsia" w:ascii="宋体" w:hAnsi="宋体"/>
          <w:szCs w:val="21"/>
        </w:rPr>
        <w:t>（4）当各子目的合价累计不等于总价时，应以各子目合价累计数为准，修正总价。</w:t>
      </w:r>
    </w:p>
    <w:p>
      <w:pPr>
        <w:spacing w:line="400" w:lineRule="exact"/>
        <w:ind w:firstLine="420" w:firstLineChars="200"/>
        <w:rPr>
          <w:rFonts w:ascii="宋体" w:hAnsi="宋体"/>
          <w:szCs w:val="21"/>
        </w:rPr>
      </w:pPr>
      <w:r>
        <w:rPr>
          <w:rFonts w:hint="eastAsia" w:ascii="宋体" w:hAnsi="宋体"/>
          <w:szCs w:val="21"/>
        </w:rPr>
        <w:t>3.4.3修正后的最终投标报价若超过最高投标限价（如有），评标委员会应否决其投标。</w:t>
      </w:r>
    </w:p>
    <w:p>
      <w:pPr>
        <w:spacing w:line="400" w:lineRule="exact"/>
        <w:ind w:firstLine="420" w:firstLineChars="200"/>
        <w:rPr>
          <w:rFonts w:ascii="宋体" w:hAnsi="宋体"/>
          <w:szCs w:val="21"/>
        </w:rPr>
      </w:pPr>
      <w:r>
        <w:rPr>
          <w:rFonts w:hint="eastAsia" w:ascii="宋体" w:hAnsi="宋体"/>
          <w:szCs w:val="21"/>
        </w:rPr>
        <w:t>3.4.4修正后的最终投标报价仅作为签订合同的一个依据，不参与评标价得分的计算。</w:t>
      </w:r>
    </w:p>
    <w:p>
      <w:pPr>
        <w:pStyle w:val="5"/>
        <w:rPr>
          <w:b w:val="0"/>
          <w:sz w:val="21"/>
          <w:szCs w:val="21"/>
        </w:rPr>
      </w:pPr>
      <w:r>
        <w:rPr>
          <w:b w:val="0"/>
          <w:sz w:val="21"/>
          <w:szCs w:val="21"/>
        </w:rPr>
        <w:t>3.</w:t>
      </w:r>
      <w:r>
        <w:rPr>
          <w:rFonts w:hint="eastAsia"/>
          <w:b w:val="0"/>
          <w:sz w:val="21"/>
          <w:szCs w:val="21"/>
        </w:rPr>
        <w:t>5</w:t>
      </w:r>
      <w:r>
        <w:rPr>
          <w:b w:val="0"/>
          <w:sz w:val="21"/>
          <w:szCs w:val="21"/>
        </w:rPr>
        <w:t xml:space="preserve">  </w:t>
      </w:r>
      <w:r>
        <w:rPr>
          <w:rFonts w:hint="eastAsia"/>
          <w:b w:val="0"/>
          <w:sz w:val="21"/>
          <w:szCs w:val="21"/>
        </w:rPr>
        <w:t>第二个信封</w:t>
      </w:r>
      <w:r>
        <w:rPr>
          <w:b w:val="0"/>
          <w:sz w:val="21"/>
          <w:szCs w:val="21"/>
        </w:rPr>
        <w:t>详细评审</w:t>
      </w:r>
    </w:p>
    <w:p>
      <w:pPr>
        <w:spacing w:line="400" w:lineRule="exact"/>
        <w:ind w:firstLine="420" w:firstLineChars="200"/>
        <w:rPr>
          <w:rFonts w:ascii="宋体" w:hAnsi="宋体"/>
          <w:szCs w:val="21"/>
        </w:rPr>
      </w:pPr>
      <w:r>
        <w:rPr>
          <w:rFonts w:hint="eastAsia" w:ascii="宋体" w:hAnsi="宋体"/>
          <w:szCs w:val="21"/>
        </w:rPr>
        <w:t>3.5.1 评标委员会按本章第2.2.4项（3）目规定的评审因素和分值对评标价计算出得分C。评标价得分分值计算保留小数点后两位，小数点后第三位“四舍五入”。</w:t>
      </w:r>
    </w:p>
    <w:p>
      <w:pPr>
        <w:spacing w:line="400" w:lineRule="exact"/>
        <w:ind w:firstLine="420" w:firstLineChars="200"/>
        <w:rPr>
          <w:rFonts w:ascii="宋体" w:hAnsi="宋体"/>
          <w:szCs w:val="21"/>
        </w:rPr>
      </w:pPr>
      <w:r>
        <w:rPr>
          <w:rFonts w:hint="eastAsia" w:ascii="宋体" w:hAnsi="宋体"/>
          <w:szCs w:val="21"/>
        </w:rPr>
        <w:t>3.5.2投标人综合得分=投标人的商务和技术得分+C。</w:t>
      </w:r>
    </w:p>
    <w:p>
      <w:pPr>
        <w:spacing w:line="400" w:lineRule="exact"/>
        <w:ind w:firstLine="420" w:firstLineChars="200"/>
        <w:rPr>
          <w:rFonts w:ascii="宋体" w:hAnsi="宋体"/>
          <w:szCs w:val="21"/>
        </w:rPr>
      </w:pPr>
      <w:r>
        <w:rPr>
          <w:rFonts w:hint="eastAsia" w:ascii="宋体" w:hAnsi="宋体"/>
          <w:szCs w:val="21"/>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5"/>
        <w:rPr>
          <w:b w:val="0"/>
          <w:sz w:val="21"/>
          <w:szCs w:val="21"/>
        </w:rPr>
      </w:pPr>
      <w:r>
        <w:rPr>
          <w:b w:val="0"/>
          <w:sz w:val="21"/>
          <w:szCs w:val="21"/>
        </w:rPr>
        <w:t>3.</w:t>
      </w:r>
      <w:r>
        <w:rPr>
          <w:rFonts w:hint="eastAsia"/>
          <w:b w:val="0"/>
          <w:sz w:val="21"/>
          <w:szCs w:val="21"/>
        </w:rPr>
        <w:t>6</w:t>
      </w:r>
      <w:r>
        <w:rPr>
          <w:b w:val="0"/>
          <w:sz w:val="21"/>
          <w:szCs w:val="21"/>
        </w:rPr>
        <w:t xml:space="preserve">  投标文件</w:t>
      </w:r>
      <w:r>
        <w:rPr>
          <w:rFonts w:hint="eastAsia"/>
          <w:b w:val="0"/>
          <w:sz w:val="21"/>
          <w:szCs w:val="21"/>
        </w:rPr>
        <w:t>相关信息的核查</w:t>
      </w:r>
    </w:p>
    <w:p>
      <w:pPr>
        <w:spacing w:line="400" w:lineRule="exact"/>
        <w:ind w:firstLine="420" w:firstLineChars="200"/>
        <w:rPr>
          <w:rFonts w:ascii="宋体" w:hAnsi="宋体"/>
          <w:szCs w:val="21"/>
        </w:rPr>
      </w:pPr>
      <w:r>
        <w:rPr>
          <w:rFonts w:hint="eastAsia" w:ascii="宋体" w:hAnsi="宋体"/>
          <w:szCs w:val="21"/>
        </w:rPr>
        <w:t>3.6.1在评标过程中，评标委员会应查询“公路水运工程试验检测管理信息系统”，对投标人的项目负责人和项目技术负责人试验检测证书、企业信用等级进行核实。若投标文件载明的信息与查询的信息不符，使得投标人的资格条件不符合招标文件规定的，评标委员会应否决其投标。</w:t>
      </w:r>
    </w:p>
    <w:p>
      <w:pPr>
        <w:spacing w:line="400" w:lineRule="exact"/>
        <w:ind w:firstLine="420" w:firstLineChars="200"/>
        <w:rPr>
          <w:rFonts w:ascii="宋体" w:hAnsi="宋体"/>
          <w:szCs w:val="21"/>
        </w:rPr>
      </w:pPr>
      <w:r>
        <w:rPr>
          <w:rFonts w:hint="eastAsia" w:ascii="宋体" w:hAnsi="宋体"/>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20" w:firstLineChars="200"/>
        <w:rPr>
          <w:rFonts w:ascii="宋体" w:hAnsi="宋体"/>
          <w:szCs w:val="21"/>
        </w:rPr>
      </w:pPr>
      <w:r>
        <w:rPr>
          <w:rFonts w:hint="eastAsia" w:ascii="宋体" w:hAnsi="宋体"/>
          <w:szCs w:val="21"/>
        </w:rPr>
        <w:t>（1）有下列情形之一的，属于投标人相互串通投标：</w:t>
      </w:r>
    </w:p>
    <w:p>
      <w:pPr>
        <w:spacing w:line="400" w:lineRule="exact"/>
        <w:ind w:firstLine="420" w:firstLineChars="200"/>
        <w:rPr>
          <w:rFonts w:ascii="宋体" w:hAnsi="宋体"/>
          <w:szCs w:val="21"/>
        </w:rPr>
      </w:pPr>
      <w:r>
        <w:rPr>
          <w:rFonts w:hint="eastAsia" w:ascii="宋体" w:hAnsi="宋体"/>
          <w:szCs w:val="21"/>
        </w:rPr>
        <w:t>a.投标人之间协商投标报价等投标文件的实质性内容；</w:t>
      </w:r>
    </w:p>
    <w:p>
      <w:pPr>
        <w:spacing w:line="400" w:lineRule="exact"/>
        <w:ind w:firstLine="420" w:firstLineChars="200"/>
        <w:rPr>
          <w:rFonts w:ascii="宋体" w:hAnsi="宋体"/>
          <w:szCs w:val="21"/>
        </w:rPr>
      </w:pPr>
      <w:r>
        <w:rPr>
          <w:rFonts w:hint="eastAsia" w:ascii="宋体" w:hAnsi="宋体"/>
          <w:szCs w:val="21"/>
        </w:rPr>
        <w:t>b.投标人之间约定中标人；</w:t>
      </w:r>
    </w:p>
    <w:p>
      <w:pPr>
        <w:spacing w:line="400" w:lineRule="exact"/>
        <w:ind w:firstLine="420" w:firstLineChars="200"/>
        <w:rPr>
          <w:rFonts w:ascii="宋体" w:hAnsi="宋体"/>
          <w:szCs w:val="21"/>
        </w:rPr>
      </w:pPr>
      <w:r>
        <w:rPr>
          <w:rFonts w:hint="eastAsia" w:ascii="宋体" w:hAnsi="宋体"/>
          <w:szCs w:val="21"/>
        </w:rPr>
        <w:t>c.投标人之间约定部分投标人放弃投标或中标；</w:t>
      </w:r>
    </w:p>
    <w:p>
      <w:pPr>
        <w:spacing w:line="400" w:lineRule="exact"/>
        <w:ind w:firstLine="420" w:firstLineChars="200"/>
        <w:rPr>
          <w:rFonts w:ascii="宋体" w:hAnsi="宋体"/>
          <w:szCs w:val="21"/>
        </w:rPr>
      </w:pPr>
      <w:r>
        <w:rPr>
          <w:rFonts w:hint="eastAsia" w:ascii="宋体" w:hAnsi="宋体"/>
          <w:szCs w:val="21"/>
        </w:rPr>
        <w:t>d.属于同一集团、协会、商会等组织成员的投标人按照该组织要求协同投标；</w:t>
      </w:r>
    </w:p>
    <w:p>
      <w:pPr>
        <w:spacing w:line="400" w:lineRule="exact"/>
        <w:ind w:firstLine="420" w:firstLineChars="200"/>
        <w:rPr>
          <w:rFonts w:ascii="宋体" w:hAnsi="宋体"/>
          <w:szCs w:val="21"/>
        </w:rPr>
      </w:pPr>
      <w:r>
        <w:rPr>
          <w:rFonts w:hint="eastAsia" w:ascii="宋体" w:hAnsi="宋体"/>
          <w:szCs w:val="21"/>
        </w:rPr>
        <w:t>e.投标人之间为谋取中标或者排斥特定投标人而采取的其他联合行动。</w:t>
      </w:r>
    </w:p>
    <w:p>
      <w:pPr>
        <w:spacing w:line="400" w:lineRule="exact"/>
        <w:ind w:firstLine="420" w:firstLineChars="200"/>
        <w:rPr>
          <w:rFonts w:ascii="宋体" w:hAnsi="宋体"/>
          <w:szCs w:val="21"/>
        </w:rPr>
      </w:pPr>
      <w:r>
        <w:rPr>
          <w:rFonts w:hint="eastAsia" w:ascii="宋体" w:hAnsi="宋体"/>
          <w:szCs w:val="21"/>
        </w:rPr>
        <w:t>（2）有下列情形之一的，视为投标人相互串通投标：</w:t>
      </w:r>
    </w:p>
    <w:p>
      <w:pPr>
        <w:spacing w:line="400" w:lineRule="exact"/>
        <w:ind w:firstLine="420" w:firstLineChars="200"/>
        <w:rPr>
          <w:rFonts w:ascii="宋体" w:hAnsi="宋体"/>
          <w:szCs w:val="21"/>
        </w:rPr>
      </w:pPr>
      <w:r>
        <w:rPr>
          <w:rFonts w:hint="eastAsia" w:ascii="宋体" w:hAnsi="宋体"/>
          <w:szCs w:val="21"/>
        </w:rPr>
        <w:t>a.不同投标人的投标文件由同一单位或者个人编制；</w:t>
      </w:r>
    </w:p>
    <w:p>
      <w:pPr>
        <w:spacing w:line="400" w:lineRule="exact"/>
        <w:ind w:firstLine="420" w:firstLineChars="200"/>
        <w:rPr>
          <w:rFonts w:ascii="宋体" w:hAnsi="宋体"/>
          <w:szCs w:val="21"/>
        </w:rPr>
      </w:pPr>
      <w:r>
        <w:rPr>
          <w:rFonts w:hint="eastAsia" w:ascii="宋体" w:hAnsi="宋体"/>
          <w:szCs w:val="21"/>
        </w:rPr>
        <w:t>b.不同投标人委托同一单位或个人办理投标事宜；</w:t>
      </w:r>
    </w:p>
    <w:p>
      <w:pPr>
        <w:spacing w:line="400" w:lineRule="exact"/>
        <w:ind w:firstLine="420" w:firstLineChars="200"/>
        <w:rPr>
          <w:rFonts w:ascii="宋体" w:hAnsi="宋体"/>
          <w:szCs w:val="21"/>
        </w:rPr>
      </w:pPr>
      <w:r>
        <w:rPr>
          <w:rFonts w:hint="eastAsia" w:ascii="宋体" w:hAnsi="宋体"/>
          <w:szCs w:val="21"/>
        </w:rPr>
        <w:t>c.不同投标人的投标文件载明的项目管理成员为同一人；</w:t>
      </w:r>
    </w:p>
    <w:p>
      <w:pPr>
        <w:spacing w:line="400" w:lineRule="exact"/>
        <w:ind w:firstLine="420" w:firstLineChars="200"/>
        <w:rPr>
          <w:rFonts w:ascii="宋体" w:hAnsi="宋体"/>
          <w:szCs w:val="21"/>
        </w:rPr>
      </w:pPr>
      <w:r>
        <w:rPr>
          <w:rFonts w:hint="eastAsia" w:ascii="宋体" w:hAnsi="宋体"/>
          <w:szCs w:val="21"/>
        </w:rPr>
        <w:t>d.不同投标人的投标文件异常一致或投标报价呈规律性差异；</w:t>
      </w:r>
    </w:p>
    <w:p>
      <w:pPr>
        <w:spacing w:line="400" w:lineRule="exact"/>
        <w:ind w:firstLine="420" w:firstLineChars="200"/>
        <w:rPr>
          <w:rFonts w:ascii="宋体" w:hAnsi="宋体"/>
          <w:szCs w:val="21"/>
        </w:rPr>
      </w:pPr>
      <w:r>
        <w:rPr>
          <w:rFonts w:hint="eastAsia" w:ascii="宋体" w:hAnsi="宋体"/>
          <w:szCs w:val="21"/>
        </w:rPr>
        <w:t>e.不同投标人的投标文件相互混装；</w:t>
      </w:r>
    </w:p>
    <w:p>
      <w:pPr>
        <w:spacing w:line="400" w:lineRule="exact"/>
        <w:ind w:firstLine="420" w:firstLineChars="200"/>
        <w:rPr>
          <w:rFonts w:ascii="宋体" w:hAnsi="宋体"/>
          <w:szCs w:val="21"/>
        </w:rPr>
      </w:pPr>
      <w:r>
        <w:rPr>
          <w:rFonts w:hint="eastAsia" w:ascii="宋体" w:hAnsi="宋体"/>
          <w:szCs w:val="21"/>
        </w:rPr>
        <w:t>f.不同投标人的投标保证金从同一单位或个人的账户转出。</w:t>
      </w:r>
    </w:p>
    <w:p>
      <w:pPr>
        <w:spacing w:line="400" w:lineRule="exact"/>
        <w:ind w:firstLine="420" w:firstLineChars="200"/>
        <w:rPr>
          <w:rFonts w:ascii="宋体" w:hAnsi="宋体"/>
          <w:szCs w:val="21"/>
        </w:rPr>
      </w:pPr>
      <w:r>
        <w:rPr>
          <w:rFonts w:hint="eastAsia" w:ascii="宋体" w:hAnsi="宋体"/>
          <w:szCs w:val="21"/>
        </w:rPr>
        <w:t>（3）有下列情形之一的，属于招标人与投标人串通投标：</w:t>
      </w:r>
    </w:p>
    <w:p>
      <w:pPr>
        <w:spacing w:line="400" w:lineRule="exact"/>
        <w:ind w:firstLine="420" w:firstLineChars="200"/>
        <w:rPr>
          <w:rFonts w:ascii="宋体" w:hAnsi="宋体"/>
          <w:szCs w:val="21"/>
        </w:rPr>
      </w:pPr>
      <w:r>
        <w:rPr>
          <w:rFonts w:hint="eastAsia" w:ascii="宋体" w:hAnsi="宋体"/>
          <w:szCs w:val="21"/>
        </w:rPr>
        <w:t>a.招标人在开标前开启投标文件并将有关信息泄露给其他投标人；</w:t>
      </w:r>
    </w:p>
    <w:p>
      <w:pPr>
        <w:spacing w:line="400" w:lineRule="exact"/>
        <w:ind w:firstLine="420" w:firstLineChars="200"/>
        <w:rPr>
          <w:rFonts w:ascii="宋体" w:hAnsi="宋体"/>
          <w:szCs w:val="21"/>
        </w:rPr>
      </w:pPr>
      <w:r>
        <w:rPr>
          <w:rFonts w:hint="eastAsia" w:ascii="宋体" w:hAnsi="宋体"/>
          <w:szCs w:val="21"/>
        </w:rPr>
        <w:t>b.招标人直接或间接向投标人泄露标底、评标委员会成员等信息；</w:t>
      </w:r>
    </w:p>
    <w:p>
      <w:pPr>
        <w:spacing w:line="400" w:lineRule="exact"/>
        <w:ind w:firstLine="420" w:firstLineChars="200"/>
        <w:rPr>
          <w:rFonts w:ascii="宋体" w:hAnsi="宋体"/>
          <w:szCs w:val="21"/>
        </w:rPr>
      </w:pPr>
      <w:r>
        <w:rPr>
          <w:rFonts w:hint="eastAsia" w:ascii="宋体" w:hAnsi="宋体"/>
          <w:szCs w:val="21"/>
        </w:rPr>
        <w:t>c.招标人明示或暗示投标人压低或抬高投标报价；</w:t>
      </w:r>
    </w:p>
    <w:p>
      <w:pPr>
        <w:spacing w:line="400" w:lineRule="exact"/>
        <w:ind w:firstLine="420" w:firstLineChars="200"/>
        <w:rPr>
          <w:rFonts w:ascii="宋体" w:hAnsi="宋体"/>
          <w:szCs w:val="21"/>
        </w:rPr>
      </w:pPr>
      <w:r>
        <w:rPr>
          <w:rFonts w:hint="eastAsia" w:ascii="宋体" w:hAnsi="宋体"/>
          <w:szCs w:val="21"/>
        </w:rPr>
        <w:t>d.招标人授意投标人撤换、修改投标文件；</w:t>
      </w:r>
    </w:p>
    <w:p>
      <w:pPr>
        <w:spacing w:line="400" w:lineRule="exact"/>
        <w:ind w:firstLine="420" w:firstLineChars="200"/>
        <w:rPr>
          <w:rFonts w:ascii="宋体" w:hAnsi="宋体"/>
          <w:szCs w:val="21"/>
        </w:rPr>
      </w:pPr>
      <w:r>
        <w:rPr>
          <w:rFonts w:hint="eastAsia" w:ascii="宋体" w:hAnsi="宋体"/>
          <w:szCs w:val="21"/>
        </w:rPr>
        <w:t>e.招标人明示或暗示投标人为特定投标人中标提供方便；</w:t>
      </w:r>
    </w:p>
    <w:p>
      <w:pPr>
        <w:spacing w:line="400" w:lineRule="exact"/>
        <w:ind w:firstLine="420" w:firstLineChars="200"/>
        <w:rPr>
          <w:rFonts w:ascii="宋体" w:hAnsi="宋体"/>
          <w:szCs w:val="21"/>
        </w:rPr>
      </w:pPr>
      <w:r>
        <w:rPr>
          <w:rFonts w:hint="eastAsia" w:ascii="宋体" w:hAnsi="宋体"/>
          <w:szCs w:val="21"/>
        </w:rPr>
        <w:t>f.招标人与投标人为谋求特定投标人中标而采取的其他串通行为。</w:t>
      </w:r>
    </w:p>
    <w:p>
      <w:pPr>
        <w:spacing w:line="400" w:lineRule="exact"/>
        <w:ind w:firstLine="420" w:firstLineChars="200"/>
        <w:rPr>
          <w:rFonts w:ascii="宋体" w:hAnsi="宋体"/>
          <w:szCs w:val="21"/>
        </w:rPr>
      </w:pPr>
      <w:r>
        <w:rPr>
          <w:rFonts w:hint="eastAsia" w:ascii="宋体" w:hAnsi="宋体"/>
          <w:szCs w:val="21"/>
        </w:rPr>
        <w:t>（4）投标人有下列情形之一的，属于弄虚作假的行为：</w:t>
      </w:r>
    </w:p>
    <w:p>
      <w:pPr>
        <w:spacing w:line="400" w:lineRule="exact"/>
        <w:ind w:firstLine="420" w:firstLineChars="200"/>
        <w:rPr>
          <w:rFonts w:ascii="宋体" w:hAnsi="宋体"/>
          <w:szCs w:val="21"/>
        </w:rPr>
      </w:pPr>
      <w:r>
        <w:rPr>
          <w:rFonts w:hint="eastAsia" w:ascii="宋体" w:hAnsi="宋体"/>
          <w:szCs w:val="21"/>
        </w:rPr>
        <w:t>a.使用通过受让或租借等方式获取的资格、资质证书投标；</w:t>
      </w:r>
    </w:p>
    <w:p>
      <w:pPr>
        <w:spacing w:line="400" w:lineRule="exact"/>
        <w:ind w:firstLine="420" w:firstLineChars="200"/>
        <w:rPr>
          <w:rFonts w:ascii="宋体" w:hAnsi="宋体"/>
          <w:szCs w:val="21"/>
        </w:rPr>
      </w:pPr>
      <w:r>
        <w:rPr>
          <w:rFonts w:hint="eastAsia" w:ascii="宋体" w:hAnsi="宋体"/>
          <w:szCs w:val="21"/>
        </w:rPr>
        <w:t>b.使用伪造、变造的许可证件；</w:t>
      </w:r>
    </w:p>
    <w:p>
      <w:pPr>
        <w:spacing w:line="400" w:lineRule="exact"/>
        <w:ind w:firstLine="420" w:firstLineChars="200"/>
        <w:rPr>
          <w:rFonts w:ascii="宋体" w:hAnsi="宋体"/>
          <w:szCs w:val="21"/>
        </w:rPr>
      </w:pPr>
      <w:r>
        <w:rPr>
          <w:rFonts w:hint="eastAsia" w:ascii="宋体" w:hAnsi="宋体"/>
          <w:szCs w:val="21"/>
        </w:rPr>
        <w:t>c.提供虚假的业绩；</w:t>
      </w:r>
    </w:p>
    <w:p>
      <w:pPr>
        <w:spacing w:line="400" w:lineRule="exact"/>
        <w:ind w:firstLine="420" w:firstLineChars="200"/>
        <w:rPr>
          <w:rFonts w:ascii="宋体" w:hAnsi="宋体"/>
          <w:szCs w:val="21"/>
        </w:rPr>
      </w:pPr>
      <w:r>
        <w:rPr>
          <w:rFonts w:hint="eastAsia" w:ascii="宋体" w:hAnsi="宋体"/>
          <w:szCs w:val="21"/>
        </w:rPr>
        <w:t>d.提供虚假的项目负责人或主要技术人员简历、劳动关系证明；</w:t>
      </w:r>
    </w:p>
    <w:p>
      <w:pPr>
        <w:spacing w:line="400" w:lineRule="exact"/>
        <w:ind w:firstLine="420" w:firstLineChars="200"/>
        <w:rPr>
          <w:rFonts w:ascii="宋体" w:hAnsi="宋体"/>
          <w:szCs w:val="21"/>
        </w:rPr>
      </w:pPr>
      <w:r>
        <w:rPr>
          <w:rFonts w:hint="eastAsia" w:ascii="宋体" w:hAnsi="宋体"/>
          <w:szCs w:val="21"/>
        </w:rPr>
        <w:t>e.提供虚假的信用状况；</w:t>
      </w:r>
    </w:p>
    <w:p>
      <w:pPr>
        <w:spacing w:line="400" w:lineRule="exact"/>
        <w:ind w:firstLine="420" w:firstLineChars="200"/>
        <w:rPr>
          <w:rFonts w:ascii="宋体" w:hAnsi="宋体"/>
          <w:szCs w:val="21"/>
        </w:rPr>
      </w:pPr>
      <w:r>
        <w:rPr>
          <w:rFonts w:hint="eastAsia" w:ascii="宋体" w:hAnsi="宋体"/>
          <w:szCs w:val="21"/>
        </w:rPr>
        <w:t>f.其他弄虚作假的行为。</w:t>
      </w:r>
    </w:p>
    <w:p>
      <w:pPr>
        <w:pStyle w:val="5"/>
        <w:rPr>
          <w:b w:val="0"/>
          <w:sz w:val="21"/>
          <w:szCs w:val="21"/>
        </w:rPr>
      </w:pPr>
      <w:r>
        <w:rPr>
          <w:b w:val="0"/>
          <w:sz w:val="21"/>
          <w:szCs w:val="21"/>
        </w:rPr>
        <w:t>3.</w:t>
      </w:r>
      <w:r>
        <w:rPr>
          <w:rFonts w:hint="eastAsia"/>
          <w:b w:val="0"/>
          <w:sz w:val="21"/>
          <w:szCs w:val="21"/>
        </w:rPr>
        <w:t>7</w:t>
      </w:r>
      <w:r>
        <w:rPr>
          <w:b w:val="0"/>
          <w:sz w:val="21"/>
          <w:szCs w:val="21"/>
        </w:rPr>
        <w:t xml:space="preserve">  投标文件的澄清和</w:t>
      </w:r>
      <w:r>
        <w:rPr>
          <w:rFonts w:hint="eastAsia"/>
          <w:b w:val="0"/>
          <w:sz w:val="21"/>
          <w:szCs w:val="21"/>
        </w:rPr>
        <w:t>说明</w:t>
      </w:r>
    </w:p>
    <w:p>
      <w:pPr>
        <w:spacing w:line="400" w:lineRule="exact"/>
        <w:ind w:firstLine="420" w:firstLineChars="200"/>
        <w:rPr>
          <w:rFonts w:ascii="宋体" w:hAnsi="宋体"/>
          <w:szCs w:val="21"/>
        </w:rPr>
      </w:pPr>
      <w:r>
        <w:rPr>
          <w:rFonts w:hint="eastAsia" w:ascii="宋体" w:hAnsi="宋体"/>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20" w:firstLineChars="200"/>
        <w:rPr>
          <w:rFonts w:ascii="宋体" w:hAnsi="宋体"/>
          <w:szCs w:val="21"/>
        </w:rPr>
      </w:pPr>
      <w:r>
        <w:rPr>
          <w:rFonts w:hint="eastAsia" w:ascii="宋体" w:hAnsi="宋体"/>
          <w:szCs w:val="21"/>
        </w:rPr>
        <w:t>3.7.2 澄清和说明不得超出投标文件的范围或改变投标文件的实质性内容（算术性错误的修正除外）。投标人的书面澄清、说明属于投标文件的组成部分。</w:t>
      </w:r>
    </w:p>
    <w:p>
      <w:pPr>
        <w:spacing w:line="400" w:lineRule="exact"/>
        <w:ind w:firstLine="420" w:firstLineChars="200"/>
        <w:rPr>
          <w:rFonts w:ascii="宋体" w:hAnsi="宋体"/>
          <w:szCs w:val="21"/>
        </w:rPr>
      </w:pPr>
      <w:r>
        <w:rPr>
          <w:rFonts w:hint="eastAsia" w:ascii="宋体" w:hAnsi="宋体"/>
          <w:szCs w:val="21"/>
        </w:rPr>
        <w:t>3.7.3 评标委员会不得暗示或诱导投标人作出澄清、说明，对投标人提交的澄清、说明有疑问的，可以要求投标人进一步澄清或说明，直至满足评标委员会的要求。</w:t>
      </w:r>
    </w:p>
    <w:p>
      <w:pPr>
        <w:spacing w:line="400" w:lineRule="exact"/>
        <w:ind w:firstLine="420" w:firstLineChars="200"/>
        <w:rPr>
          <w:rFonts w:ascii="宋体" w:hAnsi="宋体"/>
          <w:szCs w:val="21"/>
        </w:rPr>
      </w:pPr>
      <w:r>
        <w:rPr>
          <w:rFonts w:hint="eastAsia" w:ascii="宋体" w:hAnsi="宋体"/>
          <w:szCs w:val="21"/>
        </w:rPr>
        <w:t>3.7.4 凡超出招标文件规定的或给委托人带来未曾要求的利益的变化、偏差或其他因素在评标时不予考虑。</w:t>
      </w:r>
    </w:p>
    <w:p>
      <w:pPr>
        <w:pStyle w:val="5"/>
        <w:rPr>
          <w:b w:val="0"/>
          <w:sz w:val="21"/>
          <w:szCs w:val="21"/>
        </w:rPr>
      </w:pPr>
      <w:r>
        <w:rPr>
          <w:b w:val="0"/>
          <w:sz w:val="21"/>
          <w:szCs w:val="21"/>
        </w:rPr>
        <w:t>3.</w:t>
      </w:r>
      <w:r>
        <w:rPr>
          <w:rFonts w:hint="eastAsia"/>
          <w:b w:val="0"/>
          <w:sz w:val="21"/>
          <w:szCs w:val="21"/>
        </w:rPr>
        <w:t>8</w:t>
      </w:r>
      <w:r>
        <w:rPr>
          <w:b w:val="0"/>
          <w:sz w:val="21"/>
          <w:szCs w:val="21"/>
        </w:rPr>
        <w:t xml:space="preserve">  </w:t>
      </w:r>
      <w:r>
        <w:rPr>
          <w:rFonts w:hint="eastAsia"/>
          <w:b w:val="0"/>
          <w:sz w:val="21"/>
          <w:szCs w:val="21"/>
        </w:rPr>
        <w:t>不得否决投标的情形</w:t>
      </w:r>
    </w:p>
    <w:p>
      <w:pPr>
        <w:spacing w:line="400" w:lineRule="exact"/>
        <w:ind w:firstLine="420" w:firstLineChars="200"/>
        <w:rPr>
          <w:rFonts w:ascii="宋体" w:hAnsi="宋体"/>
          <w:szCs w:val="21"/>
        </w:rPr>
      </w:pPr>
      <w:r>
        <w:rPr>
          <w:rFonts w:hint="eastAsia" w:ascii="宋体" w:hAnsi="宋体"/>
          <w:szCs w:val="21"/>
        </w:rPr>
        <w:t>投标文件存在第二章“投标人须知”第1.12.3项所列情形的，均视为细微偏差，评标委员会不得否决投标人的投标，应按照第二章“投标人须知”第1.12.4项规定的原则处理。</w:t>
      </w:r>
    </w:p>
    <w:p>
      <w:pPr>
        <w:pStyle w:val="5"/>
        <w:rPr>
          <w:b w:val="0"/>
          <w:sz w:val="21"/>
          <w:szCs w:val="21"/>
        </w:rPr>
      </w:pPr>
      <w:r>
        <w:rPr>
          <w:b w:val="0"/>
          <w:sz w:val="21"/>
          <w:szCs w:val="21"/>
        </w:rPr>
        <w:t>3.</w:t>
      </w:r>
      <w:r>
        <w:rPr>
          <w:rFonts w:hint="eastAsia"/>
          <w:b w:val="0"/>
          <w:sz w:val="21"/>
          <w:szCs w:val="21"/>
        </w:rPr>
        <w:t>9</w:t>
      </w:r>
      <w:r>
        <w:rPr>
          <w:b w:val="0"/>
          <w:sz w:val="21"/>
          <w:szCs w:val="21"/>
        </w:rPr>
        <w:t xml:space="preserve">  评标结果</w:t>
      </w:r>
    </w:p>
    <w:p>
      <w:pPr>
        <w:spacing w:line="380" w:lineRule="exact"/>
        <w:ind w:firstLine="420" w:firstLineChars="200"/>
        <w:rPr>
          <w:rFonts w:ascii="宋体" w:hAnsi="宋体"/>
          <w:szCs w:val="21"/>
        </w:rPr>
      </w:pPr>
      <w:r>
        <w:rPr>
          <w:rFonts w:hint="eastAsia" w:ascii="宋体" w:hAnsi="宋体"/>
          <w:szCs w:val="21"/>
        </w:rPr>
        <w:t>3.9.1除第二章“投标人须知”前附表授权直接确定中标人外，评标委员会按照得分由高到低的顺序推荐中标候选人，并标明排序。</w:t>
      </w:r>
    </w:p>
    <w:p>
      <w:pPr>
        <w:pStyle w:val="110"/>
        <w:shd w:val="clear" w:color="auto" w:fill="auto"/>
        <w:spacing w:before="0" w:line="401" w:lineRule="exact"/>
        <w:ind w:firstLine="520"/>
        <w:jc w:val="both"/>
        <w:rPr>
          <w:rFonts w:ascii="Times New Roman" w:hAnsi="Times New Roman"/>
        </w:rPr>
      </w:pPr>
      <w:r>
        <w:rPr>
          <w:rFonts w:hint="eastAsia"/>
          <w:sz w:val="21"/>
          <w:szCs w:val="21"/>
        </w:rPr>
        <w:t>3.9.2 评标委员会完成评标后，应向招标人提交书面评标报告。</w:t>
      </w:r>
    </w:p>
    <w:p>
      <w:pPr>
        <w:pStyle w:val="105"/>
        <w:shd w:val="clear" w:color="auto" w:fill="auto"/>
        <w:spacing w:before="0" w:after="0"/>
        <w:ind w:firstLine="520"/>
        <w:jc w:val="both"/>
        <w:rPr>
          <w:rFonts w:ascii="宋体" w:hAnsi="宋体" w:eastAsia="宋体"/>
        </w:rPr>
      </w:pPr>
      <w:r>
        <w:rPr>
          <w:rFonts w:ascii="宋体" w:hAnsi="宋体" w:eastAsia="宋体"/>
        </w:rPr>
        <w:br w:type="page"/>
      </w:r>
    </w:p>
    <w:p>
      <w:pPr>
        <w:jc w:val="left"/>
        <w:rPr>
          <w:rFonts w:ascii="黑体" w:hAnsi="黑体" w:eastAsia="黑体" w:cs="黑体"/>
          <w:b/>
          <w:sz w:val="28"/>
          <w:szCs w:val="28"/>
        </w:rPr>
      </w:pPr>
      <w:r>
        <w:rPr>
          <w:rFonts w:hint="eastAsia" w:ascii="黑体" w:hAnsi="黑体" w:eastAsia="黑体" w:cs="黑体"/>
          <w:b/>
          <w:sz w:val="28"/>
          <w:szCs w:val="28"/>
        </w:rPr>
        <w:t>4.公开时间</w:t>
      </w:r>
    </w:p>
    <w:p>
      <w:pPr>
        <w:ind w:firstLine="420" w:firstLineChars="200"/>
        <w:jc w:val="left"/>
        <w:rPr>
          <w:rFonts w:ascii="宋体" w:hAnsi="宋体"/>
          <w:szCs w:val="21"/>
        </w:rPr>
      </w:pPr>
      <w:r>
        <w:rPr>
          <w:rFonts w:hint="eastAsia" w:ascii="宋体" w:hAnsi="宋体"/>
          <w:szCs w:val="21"/>
        </w:rPr>
        <w:t>本次招标，招标文件关键内容信息公开时间至2019年7月1日24时00分结束。</w:t>
      </w:r>
    </w:p>
    <w:p>
      <w:pPr>
        <w:jc w:val="left"/>
        <w:rPr>
          <w:rFonts w:ascii="黑体" w:hAnsi="黑体" w:eastAsia="黑体" w:cs="黑体"/>
          <w:b/>
          <w:sz w:val="28"/>
          <w:szCs w:val="28"/>
        </w:rPr>
      </w:pPr>
      <w:r>
        <w:rPr>
          <w:rFonts w:hint="eastAsia" w:ascii="黑体" w:hAnsi="黑体" w:eastAsia="黑体" w:cs="黑体"/>
          <w:b/>
          <w:sz w:val="28"/>
          <w:szCs w:val="28"/>
        </w:rPr>
        <w:t>5.招标人联系方式</w:t>
      </w:r>
    </w:p>
    <w:tbl>
      <w:tblPr>
        <w:tblStyle w:val="36"/>
        <w:tblW w:w="9242" w:type="dxa"/>
        <w:tblInd w:w="567" w:type="dxa"/>
        <w:tblLayout w:type="fixed"/>
        <w:tblCellMar>
          <w:top w:w="0" w:type="dxa"/>
          <w:left w:w="170" w:type="dxa"/>
          <w:bottom w:w="0" w:type="dxa"/>
          <w:right w:w="170" w:type="dxa"/>
        </w:tblCellMar>
      </w:tblPr>
      <w:tblGrid>
        <w:gridCol w:w="9242"/>
      </w:tblGrid>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招 标 人：</w:t>
            </w:r>
            <w:r>
              <w:rPr>
                <w:rFonts w:hint="eastAsia" w:hAnsi="宋体"/>
                <w:kern w:val="0"/>
                <w:szCs w:val="18"/>
                <w:lang w:val="zh-CN"/>
              </w:rPr>
              <w:t>吉林省高等级公路建设局</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地　　址：</w:t>
            </w:r>
            <w:r>
              <w:rPr>
                <w:rFonts w:hint="eastAsia" w:hAnsi="宋体"/>
                <w:kern w:val="0"/>
                <w:szCs w:val="18"/>
                <w:lang w:val="zh-CN"/>
              </w:rPr>
              <w:t>吉林省长春市经开区浦东路</w:t>
            </w:r>
            <w:r>
              <w:rPr>
                <w:kern w:val="0"/>
                <w:szCs w:val="18"/>
                <w:lang w:val="zh-CN"/>
              </w:rPr>
              <w:t>2077</w:t>
            </w:r>
            <w:r>
              <w:rPr>
                <w:rFonts w:hint="eastAsia" w:hAnsi="宋体"/>
                <w:kern w:val="0"/>
                <w:szCs w:val="18"/>
                <w:lang w:val="zh-CN"/>
              </w:rPr>
              <w:t>号</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邮政编码：</w:t>
            </w:r>
            <w:r>
              <w:rPr>
                <w:kern w:val="0"/>
                <w:szCs w:val="18"/>
                <w:lang w:val="zh-CN"/>
              </w:rPr>
              <w:t>130033</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联 系 人：</w:t>
            </w:r>
            <w:r>
              <w:rPr>
                <w:rFonts w:hint="eastAsia" w:hAnsi="宋体"/>
                <w:kern w:val="0"/>
                <w:szCs w:val="18"/>
                <w:lang w:val="zh-CN"/>
              </w:rPr>
              <w:t>曲肖龙</w:t>
            </w:r>
          </w:p>
        </w:tc>
      </w:tr>
      <w:tr>
        <w:tblPrEx>
          <w:tblCellMar>
            <w:top w:w="0" w:type="dxa"/>
            <w:left w:w="170" w:type="dxa"/>
            <w:bottom w:w="0" w:type="dxa"/>
            <w:right w:w="170" w:type="dxa"/>
          </w:tblCellMar>
        </w:tblPrEx>
        <w:trPr>
          <w:trHeight w:val="397" w:hRule="atLeast"/>
        </w:trPr>
        <w:tc>
          <w:tcPr>
            <w:tcW w:w="9242" w:type="dxa"/>
            <w:vAlign w:val="center"/>
          </w:tcPr>
          <w:p>
            <w:pPr>
              <w:widowControl/>
              <w:jc w:val="left"/>
              <w:rPr>
                <w:rFonts w:ascii="宋体" w:hAnsi="宋体" w:cs="宋体"/>
                <w:kern w:val="0"/>
                <w:szCs w:val="21"/>
              </w:rPr>
            </w:pPr>
            <w:r>
              <w:rPr>
                <w:rFonts w:hint="eastAsia" w:ascii="宋体" w:hAnsi="宋体" w:cs="宋体"/>
                <w:kern w:val="0"/>
                <w:szCs w:val="21"/>
              </w:rPr>
              <w:t>电    话：</w:t>
            </w:r>
            <w:r>
              <w:rPr>
                <w:kern w:val="0"/>
                <w:szCs w:val="18"/>
                <w:lang w:val="zh-CN"/>
              </w:rPr>
              <w:t>0431-89567943</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传　　真：</w:t>
            </w:r>
            <w:r>
              <w:rPr>
                <w:kern w:val="0"/>
                <w:szCs w:val="18"/>
                <w:lang w:val="zh-CN"/>
              </w:rPr>
              <w:t>0431-8956794</w:t>
            </w:r>
            <w:r>
              <w:rPr>
                <w:rFonts w:hint="eastAsia"/>
                <w:kern w:val="0"/>
                <w:szCs w:val="18"/>
                <w:lang w:val="zh-CN"/>
              </w:rPr>
              <w:t>4</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招标代理机构：</w:t>
            </w:r>
            <w:r>
              <w:rPr>
                <w:rFonts w:hint="eastAsia"/>
              </w:rPr>
              <w:t>长春建业集团股份有限公司</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地　　址：</w:t>
            </w:r>
            <w:r>
              <w:rPr>
                <w:rFonts w:hint="eastAsia"/>
              </w:rPr>
              <w:t>长春市南关区人民大街</w:t>
            </w:r>
            <w:r>
              <w:t>9399</w:t>
            </w:r>
            <w:r>
              <w:rPr>
                <w:rFonts w:hint="eastAsia"/>
              </w:rPr>
              <w:t>号</w:t>
            </w:r>
            <w:r>
              <w:t>（万豪国际商务中心7栋12楼）</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邮政编码：</w:t>
            </w:r>
            <w:r>
              <w:rPr>
                <w:kern w:val="0"/>
                <w:szCs w:val="18"/>
                <w:lang w:val="zh-CN"/>
              </w:rPr>
              <w:t>130022</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联 系 人：</w:t>
            </w:r>
            <w:r>
              <w:rPr>
                <w:rFonts w:hint="eastAsia" w:ascii="宋体" w:hAnsi="宋体"/>
              </w:rPr>
              <w:t>李研、布磊</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电　　话：</w:t>
            </w:r>
            <w:r>
              <w:rPr>
                <w:kern w:val="0"/>
                <w:szCs w:val="18"/>
                <w:lang w:val="zh-CN"/>
              </w:rPr>
              <w:t>0431-8180810</w:t>
            </w:r>
            <w:r>
              <w:rPr>
                <w:rFonts w:hint="eastAsia"/>
                <w:kern w:val="0"/>
                <w:szCs w:val="18"/>
                <w:lang w:val="zh-CN"/>
              </w:rPr>
              <w:t>8</w:t>
            </w:r>
          </w:p>
        </w:tc>
      </w:tr>
      <w:tr>
        <w:tblPrEx>
          <w:tblCellMar>
            <w:top w:w="0" w:type="dxa"/>
            <w:left w:w="170" w:type="dxa"/>
            <w:bottom w:w="0" w:type="dxa"/>
            <w:right w:w="170" w:type="dxa"/>
          </w:tblCellMar>
        </w:tblPrEx>
        <w:trPr>
          <w:trHeight w:val="397" w:hRule="atLeast"/>
        </w:trPr>
        <w:tc>
          <w:tcPr>
            <w:tcW w:w="9242" w:type="dxa"/>
            <w:vAlign w:val="center"/>
          </w:tcPr>
          <w:p>
            <w:pPr>
              <w:snapToGrid w:val="0"/>
              <w:rPr>
                <w:rFonts w:ascii="宋体" w:hAnsi="宋体"/>
              </w:rPr>
            </w:pPr>
            <w:r>
              <w:rPr>
                <w:rFonts w:ascii="宋体" w:hAnsi="宋体"/>
              </w:rPr>
              <w:t>传　　真：</w:t>
            </w:r>
            <w:r>
              <w:rPr>
                <w:kern w:val="0"/>
                <w:szCs w:val="18"/>
                <w:lang w:val="zh-CN"/>
              </w:rPr>
              <w:t>0431-8180810</w:t>
            </w:r>
            <w:r>
              <w:rPr>
                <w:rFonts w:hint="eastAsia"/>
                <w:kern w:val="0"/>
                <w:szCs w:val="18"/>
                <w:lang w:val="zh-CN"/>
              </w:rPr>
              <w:t>2</w:t>
            </w:r>
          </w:p>
        </w:tc>
      </w:tr>
    </w:tbl>
    <w:p>
      <w:pPr>
        <w:pStyle w:val="105"/>
        <w:shd w:val="clear" w:color="auto" w:fill="auto"/>
        <w:spacing w:before="0" w:after="0"/>
        <w:ind w:firstLine="520"/>
        <w:jc w:val="both"/>
        <w:rPr>
          <w:rFonts w:ascii="宋体" w:hAnsi="宋体" w:eastAsia="宋体"/>
        </w:rPr>
      </w:pPr>
    </w:p>
    <w:p>
      <w:pPr>
        <w:snapToGrid w:val="0"/>
        <w:spacing w:beforeLines="25" w:afterLines="25"/>
      </w:pPr>
    </w:p>
    <w:sectPr>
      <w:footnotePr>
        <w:numFmt w:val="decimalEnclosedCircleChinese"/>
        <w:numRestart w:val="eachPage"/>
      </w:footnotePr>
      <w:pgSz w:w="11906" w:h="16838"/>
      <w:pgMar w:top="1134" w:right="1134" w:bottom="1134" w:left="1134" w:header="680"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9"/>
      </w:pPr>
      <w:r>
        <w:rPr>
          <w:rStyle w:val="45"/>
        </w:rPr>
        <w:footnoteRef/>
      </w:r>
      <w:r>
        <w:t xml:space="preserve"> </w:t>
      </w:r>
      <w:r>
        <w:rPr>
          <w:rFonts w:hint="eastAsia"/>
        </w:rPr>
        <w:t>“评标办法前附表”用于明确评标的方法、因素、标准和程序。招标人应根据招标项目具体特点和实际需要，详细列明全部评审因素、标准，没有列明的因素和标准不得作为评标的依据。</w:t>
      </w:r>
    </w:p>
  </w:footnote>
  <w:footnote w:id="1">
    <w:p>
      <w:pPr>
        <w:pStyle w:val="29"/>
        <w:jc w:val="both"/>
      </w:pPr>
      <w:r>
        <w:rPr>
          <w:rStyle w:val="45"/>
        </w:rPr>
        <w:footnoteRef/>
      </w:r>
      <w:r>
        <w:rPr>
          <w:rFonts w:hint="eastAsia"/>
        </w:rPr>
        <w:t>各评分因素（评标价和履约信誉评分项除外）得分一般不得低于其权重分值的60%，且各评分因素得分应以评标委员会各成员的打分平均值确定，评标委员会成员总数为7人及以上时，该平均值以去掉一个最高分和一个最低分后计算。评标委员会成员对某一项评分因素的评分低于权重分值60%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1Y2IwMGUwOTFkODdiMzk0YjlkMmEyYTgwYWJjNzEifQ=="/>
  </w:docVars>
  <w:rsids>
    <w:rsidRoot w:val="002006B7"/>
    <w:rsid w:val="00005E68"/>
    <w:rsid w:val="000066DE"/>
    <w:rsid w:val="000074DE"/>
    <w:rsid w:val="00007639"/>
    <w:rsid w:val="000112EF"/>
    <w:rsid w:val="000249CE"/>
    <w:rsid w:val="00033A0A"/>
    <w:rsid w:val="00044EF6"/>
    <w:rsid w:val="00046C7D"/>
    <w:rsid w:val="00054D8F"/>
    <w:rsid w:val="000616B6"/>
    <w:rsid w:val="00064A1D"/>
    <w:rsid w:val="00066B7E"/>
    <w:rsid w:val="00076483"/>
    <w:rsid w:val="000816DD"/>
    <w:rsid w:val="00081D86"/>
    <w:rsid w:val="0008295E"/>
    <w:rsid w:val="00094AA8"/>
    <w:rsid w:val="000A3460"/>
    <w:rsid w:val="000A7EB6"/>
    <w:rsid w:val="000B496E"/>
    <w:rsid w:val="000D1086"/>
    <w:rsid w:val="000D1399"/>
    <w:rsid w:val="000D2191"/>
    <w:rsid w:val="000D334F"/>
    <w:rsid w:val="000F1628"/>
    <w:rsid w:val="000F1CE8"/>
    <w:rsid w:val="000F2BBB"/>
    <w:rsid w:val="001032A8"/>
    <w:rsid w:val="001254AA"/>
    <w:rsid w:val="00126646"/>
    <w:rsid w:val="00127119"/>
    <w:rsid w:val="00135E1E"/>
    <w:rsid w:val="0014108A"/>
    <w:rsid w:val="00147B0B"/>
    <w:rsid w:val="00152221"/>
    <w:rsid w:val="00154024"/>
    <w:rsid w:val="00157C54"/>
    <w:rsid w:val="0016724C"/>
    <w:rsid w:val="00172099"/>
    <w:rsid w:val="001859F3"/>
    <w:rsid w:val="001A15F4"/>
    <w:rsid w:val="001A4851"/>
    <w:rsid w:val="001C5833"/>
    <w:rsid w:val="001C7177"/>
    <w:rsid w:val="001D1DBE"/>
    <w:rsid w:val="001D2E30"/>
    <w:rsid w:val="001D7BB1"/>
    <w:rsid w:val="001F1BC4"/>
    <w:rsid w:val="001F6A33"/>
    <w:rsid w:val="00200420"/>
    <w:rsid w:val="002006B7"/>
    <w:rsid w:val="00201941"/>
    <w:rsid w:val="00206980"/>
    <w:rsid w:val="002211F1"/>
    <w:rsid w:val="00230334"/>
    <w:rsid w:val="00241AB5"/>
    <w:rsid w:val="00241EE1"/>
    <w:rsid w:val="002454D8"/>
    <w:rsid w:val="002466A8"/>
    <w:rsid w:val="002510E6"/>
    <w:rsid w:val="00260B05"/>
    <w:rsid w:val="00265E66"/>
    <w:rsid w:val="00280726"/>
    <w:rsid w:val="00282737"/>
    <w:rsid w:val="00283CA1"/>
    <w:rsid w:val="00285AC6"/>
    <w:rsid w:val="0028645C"/>
    <w:rsid w:val="002B0385"/>
    <w:rsid w:val="002B416C"/>
    <w:rsid w:val="002C43B8"/>
    <w:rsid w:val="002C654E"/>
    <w:rsid w:val="002D33CA"/>
    <w:rsid w:val="002E5D3F"/>
    <w:rsid w:val="002F3B05"/>
    <w:rsid w:val="002F3D74"/>
    <w:rsid w:val="002F67CD"/>
    <w:rsid w:val="002F7F9A"/>
    <w:rsid w:val="003063AA"/>
    <w:rsid w:val="00316DC1"/>
    <w:rsid w:val="00323897"/>
    <w:rsid w:val="00346A0C"/>
    <w:rsid w:val="00351669"/>
    <w:rsid w:val="00362C13"/>
    <w:rsid w:val="0036307F"/>
    <w:rsid w:val="003727C9"/>
    <w:rsid w:val="00380185"/>
    <w:rsid w:val="003A300F"/>
    <w:rsid w:val="003A3BEE"/>
    <w:rsid w:val="003A4FB9"/>
    <w:rsid w:val="003B2526"/>
    <w:rsid w:val="003B4D82"/>
    <w:rsid w:val="003C295E"/>
    <w:rsid w:val="003C2BD8"/>
    <w:rsid w:val="003C69CD"/>
    <w:rsid w:val="003D095D"/>
    <w:rsid w:val="003D2E64"/>
    <w:rsid w:val="003D39CB"/>
    <w:rsid w:val="003D430E"/>
    <w:rsid w:val="003D7B51"/>
    <w:rsid w:val="003E2548"/>
    <w:rsid w:val="003E48D4"/>
    <w:rsid w:val="003E505E"/>
    <w:rsid w:val="00400C91"/>
    <w:rsid w:val="0042191B"/>
    <w:rsid w:val="004307B2"/>
    <w:rsid w:val="0043096C"/>
    <w:rsid w:val="004315CD"/>
    <w:rsid w:val="0043617B"/>
    <w:rsid w:val="00444832"/>
    <w:rsid w:val="00445860"/>
    <w:rsid w:val="00451AD6"/>
    <w:rsid w:val="00452046"/>
    <w:rsid w:val="004560CE"/>
    <w:rsid w:val="00457D74"/>
    <w:rsid w:val="004669AC"/>
    <w:rsid w:val="00484DB5"/>
    <w:rsid w:val="0049793D"/>
    <w:rsid w:val="004B25C6"/>
    <w:rsid w:val="004B51D5"/>
    <w:rsid w:val="004C5B21"/>
    <w:rsid w:val="004C68A0"/>
    <w:rsid w:val="004C7F7B"/>
    <w:rsid w:val="004D15DD"/>
    <w:rsid w:val="004D3807"/>
    <w:rsid w:val="004E12CE"/>
    <w:rsid w:val="004E3F05"/>
    <w:rsid w:val="004F3B09"/>
    <w:rsid w:val="00502225"/>
    <w:rsid w:val="00506B9A"/>
    <w:rsid w:val="00514806"/>
    <w:rsid w:val="0051648A"/>
    <w:rsid w:val="00531634"/>
    <w:rsid w:val="00532CAE"/>
    <w:rsid w:val="00536404"/>
    <w:rsid w:val="0054418A"/>
    <w:rsid w:val="00553073"/>
    <w:rsid w:val="00557E73"/>
    <w:rsid w:val="00564DC9"/>
    <w:rsid w:val="0056643E"/>
    <w:rsid w:val="00572A7F"/>
    <w:rsid w:val="00573384"/>
    <w:rsid w:val="0057428D"/>
    <w:rsid w:val="0058359D"/>
    <w:rsid w:val="00583F07"/>
    <w:rsid w:val="00587458"/>
    <w:rsid w:val="00592817"/>
    <w:rsid w:val="0059621E"/>
    <w:rsid w:val="005962DF"/>
    <w:rsid w:val="005A21AA"/>
    <w:rsid w:val="005A38B8"/>
    <w:rsid w:val="005A3D49"/>
    <w:rsid w:val="005A4782"/>
    <w:rsid w:val="005B2DAB"/>
    <w:rsid w:val="005B2DF0"/>
    <w:rsid w:val="005B519E"/>
    <w:rsid w:val="005B78C3"/>
    <w:rsid w:val="005D614D"/>
    <w:rsid w:val="005E0546"/>
    <w:rsid w:val="005E6522"/>
    <w:rsid w:val="005F36AB"/>
    <w:rsid w:val="005F404A"/>
    <w:rsid w:val="00605A56"/>
    <w:rsid w:val="006164D6"/>
    <w:rsid w:val="006165E2"/>
    <w:rsid w:val="00622738"/>
    <w:rsid w:val="00625815"/>
    <w:rsid w:val="00626D2A"/>
    <w:rsid w:val="00627BD1"/>
    <w:rsid w:val="0063529C"/>
    <w:rsid w:val="00635BD0"/>
    <w:rsid w:val="00636F7F"/>
    <w:rsid w:val="00643624"/>
    <w:rsid w:val="00652555"/>
    <w:rsid w:val="0066445D"/>
    <w:rsid w:val="006667EC"/>
    <w:rsid w:val="006A4F94"/>
    <w:rsid w:val="006C7324"/>
    <w:rsid w:val="006D729A"/>
    <w:rsid w:val="006E29E6"/>
    <w:rsid w:val="006E535C"/>
    <w:rsid w:val="006F0158"/>
    <w:rsid w:val="00707060"/>
    <w:rsid w:val="007177F9"/>
    <w:rsid w:val="00734C4E"/>
    <w:rsid w:val="007425AA"/>
    <w:rsid w:val="00744539"/>
    <w:rsid w:val="00751725"/>
    <w:rsid w:val="0076031C"/>
    <w:rsid w:val="00765A8B"/>
    <w:rsid w:val="00765FB3"/>
    <w:rsid w:val="007727D1"/>
    <w:rsid w:val="007752EA"/>
    <w:rsid w:val="00786C35"/>
    <w:rsid w:val="00792590"/>
    <w:rsid w:val="007A080A"/>
    <w:rsid w:val="007A2819"/>
    <w:rsid w:val="007A4913"/>
    <w:rsid w:val="007B5B03"/>
    <w:rsid w:val="007C01B1"/>
    <w:rsid w:val="007C16BD"/>
    <w:rsid w:val="007C6894"/>
    <w:rsid w:val="007C7000"/>
    <w:rsid w:val="007D09EC"/>
    <w:rsid w:val="007F2589"/>
    <w:rsid w:val="007F258D"/>
    <w:rsid w:val="007F3A24"/>
    <w:rsid w:val="0080617B"/>
    <w:rsid w:val="0081481F"/>
    <w:rsid w:val="00816F43"/>
    <w:rsid w:val="00823B74"/>
    <w:rsid w:val="00827F03"/>
    <w:rsid w:val="0084166F"/>
    <w:rsid w:val="00855764"/>
    <w:rsid w:val="00857F43"/>
    <w:rsid w:val="00874F8A"/>
    <w:rsid w:val="008A13B5"/>
    <w:rsid w:val="008A52B5"/>
    <w:rsid w:val="008A5A48"/>
    <w:rsid w:val="008B052A"/>
    <w:rsid w:val="008B55E6"/>
    <w:rsid w:val="008C498D"/>
    <w:rsid w:val="008D65AB"/>
    <w:rsid w:val="008E1F64"/>
    <w:rsid w:val="008F4E48"/>
    <w:rsid w:val="00900AB8"/>
    <w:rsid w:val="00917B3E"/>
    <w:rsid w:val="009462B0"/>
    <w:rsid w:val="00950F99"/>
    <w:rsid w:val="00952A39"/>
    <w:rsid w:val="00956BDF"/>
    <w:rsid w:val="00963AF8"/>
    <w:rsid w:val="00970A2F"/>
    <w:rsid w:val="009763A5"/>
    <w:rsid w:val="0097748A"/>
    <w:rsid w:val="00992276"/>
    <w:rsid w:val="00995B88"/>
    <w:rsid w:val="009B12E0"/>
    <w:rsid w:val="009B3D8B"/>
    <w:rsid w:val="009B4A45"/>
    <w:rsid w:val="009C3BE9"/>
    <w:rsid w:val="009D33A1"/>
    <w:rsid w:val="009D626C"/>
    <w:rsid w:val="009E064E"/>
    <w:rsid w:val="009E38AA"/>
    <w:rsid w:val="009F5FB6"/>
    <w:rsid w:val="009F6D7E"/>
    <w:rsid w:val="00A02803"/>
    <w:rsid w:val="00A04EC6"/>
    <w:rsid w:val="00A25674"/>
    <w:rsid w:val="00A45795"/>
    <w:rsid w:val="00A47A44"/>
    <w:rsid w:val="00A53D4E"/>
    <w:rsid w:val="00A53E09"/>
    <w:rsid w:val="00A56378"/>
    <w:rsid w:val="00A72574"/>
    <w:rsid w:val="00A80BAF"/>
    <w:rsid w:val="00A840BF"/>
    <w:rsid w:val="00A87A0D"/>
    <w:rsid w:val="00A90A67"/>
    <w:rsid w:val="00A94171"/>
    <w:rsid w:val="00A945E3"/>
    <w:rsid w:val="00AA283A"/>
    <w:rsid w:val="00AA5261"/>
    <w:rsid w:val="00AB44CC"/>
    <w:rsid w:val="00AB6646"/>
    <w:rsid w:val="00AC16DA"/>
    <w:rsid w:val="00AC5D43"/>
    <w:rsid w:val="00AC675A"/>
    <w:rsid w:val="00AC7C74"/>
    <w:rsid w:val="00AD43C9"/>
    <w:rsid w:val="00AE4D3C"/>
    <w:rsid w:val="00AF0E8D"/>
    <w:rsid w:val="00AF0F5F"/>
    <w:rsid w:val="00B007E6"/>
    <w:rsid w:val="00B02AE4"/>
    <w:rsid w:val="00B02DF8"/>
    <w:rsid w:val="00B166B0"/>
    <w:rsid w:val="00B23625"/>
    <w:rsid w:val="00B4565D"/>
    <w:rsid w:val="00B47410"/>
    <w:rsid w:val="00B6445B"/>
    <w:rsid w:val="00B666F9"/>
    <w:rsid w:val="00B76AD1"/>
    <w:rsid w:val="00B84FFD"/>
    <w:rsid w:val="00B91387"/>
    <w:rsid w:val="00B913C9"/>
    <w:rsid w:val="00B91BBD"/>
    <w:rsid w:val="00BA0167"/>
    <w:rsid w:val="00BA1AB2"/>
    <w:rsid w:val="00BA508B"/>
    <w:rsid w:val="00BB59C8"/>
    <w:rsid w:val="00BB6907"/>
    <w:rsid w:val="00BC2470"/>
    <w:rsid w:val="00BC630F"/>
    <w:rsid w:val="00BD01A7"/>
    <w:rsid w:val="00BD1317"/>
    <w:rsid w:val="00BD56BF"/>
    <w:rsid w:val="00BE6C20"/>
    <w:rsid w:val="00BE6C3F"/>
    <w:rsid w:val="00BE6CC9"/>
    <w:rsid w:val="00BF6BEE"/>
    <w:rsid w:val="00C03CB6"/>
    <w:rsid w:val="00C07545"/>
    <w:rsid w:val="00C12A95"/>
    <w:rsid w:val="00C12ACE"/>
    <w:rsid w:val="00C14253"/>
    <w:rsid w:val="00C148DC"/>
    <w:rsid w:val="00C21D1D"/>
    <w:rsid w:val="00C2346A"/>
    <w:rsid w:val="00C24731"/>
    <w:rsid w:val="00C27A7D"/>
    <w:rsid w:val="00C31AEC"/>
    <w:rsid w:val="00C368B0"/>
    <w:rsid w:val="00C41829"/>
    <w:rsid w:val="00C42B03"/>
    <w:rsid w:val="00C60FA2"/>
    <w:rsid w:val="00C60FF4"/>
    <w:rsid w:val="00C61021"/>
    <w:rsid w:val="00C7355C"/>
    <w:rsid w:val="00C750FB"/>
    <w:rsid w:val="00C7682D"/>
    <w:rsid w:val="00C86306"/>
    <w:rsid w:val="00CA2CE4"/>
    <w:rsid w:val="00CA4455"/>
    <w:rsid w:val="00CB02E6"/>
    <w:rsid w:val="00CB2022"/>
    <w:rsid w:val="00CC18B0"/>
    <w:rsid w:val="00CC30FF"/>
    <w:rsid w:val="00CE0F28"/>
    <w:rsid w:val="00CE71C0"/>
    <w:rsid w:val="00D00722"/>
    <w:rsid w:val="00D0608E"/>
    <w:rsid w:val="00D20C2D"/>
    <w:rsid w:val="00D40681"/>
    <w:rsid w:val="00D43CB6"/>
    <w:rsid w:val="00D47B19"/>
    <w:rsid w:val="00D71E25"/>
    <w:rsid w:val="00D75D46"/>
    <w:rsid w:val="00D91DE5"/>
    <w:rsid w:val="00D9720B"/>
    <w:rsid w:val="00DA0EA9"/>
    <w:rsid w:val="00DA3636"/>
    <w:rsid w:val="00DA65F7"/>
    <w:rsid w:val="00DB6DFE"/>
    <w:rsid w:val="00DB7A45"/>
    <w:rsid w:val="00DC0980"/>
    <w:rsid w:val="00DC1106"/>
    <w:rsid w:val="00DC6BBF"/>
    <w:rsid w:val="00DD09AF"/>
    <w:rsid w:val="00DD69DE"/>
    <w:rsid w:val="00DE0DC8"/>
    <w:rsid w:val="00DE1D5B"/>
    <w:rsid w:val="00DE5A03"/>
    <w:rsid w:val="00DE7A64"/>
    <w:rsid w:val="00DF029C"/>
    <w:rsid w:val="00DF1C32"/>
    <w:rsid w:val="00E10BC3"/>
    <w:rsid w:val="00E16DB6"/>
    <w:rsid w:val="00E207BE"/>
    <w:rsid w:val="00E25133"/>
    <w:rsid w:val="00E423D1"/>
    <w:rsid w:val="00E44263"/>
    <w:rsid w:val="00E47A4B"/>
    <w:rsid w:val="00E5509A"/>
    <w:rsid w:val="00E6033D"/>
    <w:rsid w:val="00E61DE9"/>
    <w:rsid w:val="00E772E3"/>
    <w:rsid w:val="00E83BAE"/>
    <w:rsid w:val="00E8753B"/>
    <w:rsid w:val="00E90C65"/>
    <w:rsid w:val="00E964E4"/>
    <w:rsid w:val="00E979D1"/>
    <w:rsid w:val="00EB18D9"/>
    <w:rsid w:val="00EB2A18"/>
    <w:rsid w:val="00EB7EBC"/>
    <w:rsid w:val="00EC1795"/>
    <w:rsid w:val="00EC56A3"/>
    <w:rsid w:val="00ED16F9"/>
    <w:rsid w:val="00ED6066"/>
    <w:rsid w:val="00ED6980"/>
    <w:rsid w:val="00ED6EFD"/>
    <w:rsid w:val="00EE488A"/>
    <w:rsid w:val="00EF2597"/>
    <w:rsid w:val="00EF35CE"/>
    <w:rsid w:val="00EF4B07"/>
    <w:rsid w:val="00F112C7"/>
    <w:rsid w:val="00F138DA"/>
    <w:rsid w:val="00F330AA"/>
    <w:rsid w:val="00F40948"/>
    <w:rsid w:val="00F4254F"/>
    <w:rsid w:val="00F455AA"/>
    <w:rsid w:val="00F5190C"/>
    <w:rsid w:val="00F54900"/>
    <w:rsid w:val="00F575A2"/>
    <w:rsid w:val="00F734A8"/>
    <w:rsid w:val="00F759B0"/>
    <w:rsid w:val="00F91D68"/>
    <w:rsid w:val="00F92A36"/>
    <w:rsid w:val="00FA045D"/>
    <w:rsid w:val="00FA68E2"/>
    <w:rsid w:val="00FB027A"/>
    <w:rsid w:val="00FB38D6"/>
    <w:rsid w:val="00FB3F82"/>
    <w:rsid w:val="00FB4D00"/>
    <w:rsid w:val="00FB67A6"/>
    <w:rsid w:val="00FD40E5"/>
    <w:rsid w:val="00FD43D1"/>
    <w:rsid w:val="00FD523B"/>
    <w:rsid w:val="00FD5C4C"/>
    <w:rsid w:val="00FE62D8"/>
    <w:rsid w:val="00FE6C4E"/>
    <w:rsid w:val="00FF0E2F"/>
    <w:rsid w:val="02506C3A"/>
    <w:rsid w:val="032E56D3"/>
    <w:rsid w:val="04C57387"/>
    <w:rsid w:val="059162BC"/>
    <w:rsid w:val="0661019C"/>
    <w:rsid w:val="08715AF7"/>
    <w:rsid w:val="0A6353FA"/>
    <w:rsid w:val="14891C37"/>
    <w:rsid w:val="15235109"/>
    <w:rsid w:val="182D56D0"/>
    <w:rsid w:val="196173C6"/>
    <w:rsid w:val="22D95AE2"/>
    <w:rsid w:val="232A278B"/>
    <w:rsid w:val="23C94D7C"/>
    <w:rsid w:val="240B41A9"/>
    <w:rsid w:val="24307681"/>
    <w:rsid w:val="25C461C5"/>
    <w:rsid w:val="270C5FA2"/>
    <w:rsid w:val="2D127983"/>
    <w:rsid w:val="2DBE5615"/>
    <w:rsid w:val="2DCE7D54"/>
    <w:rsid w:val="2E1D1B85"/>
    <w:rsid w:val="2FE56F1D"/>
    <w:rsid w:val="332559BC"/>
    <w:rsid w:val="36706043"/>
    <w:rsid w:val="374C3BED"/>
    <w:rsid w:val="37741B0C"/>
    <w:rsid w:val="3B097210"/>
    <w:rsid w:val="3B475218"/>
    <w:rsid w:val="3B824A7E"/>
    <w:rsid w:val="3C012693"/>
    <w:rsid w:val="3C081AC9"/>
    <w:rsid w:val="3C597153"/>
    <w:rsid w:val="40571686"/>
    <w:rsid w:val="416354DF"/>
    <w:rsid w:val="43C1684A"/>
    <w:rsid w:val="474E1AAC"/>
    <w:rsid w:val="4B984199"/>
    <w:rsid w:val="4C140B4E"/>
    <w:rsid w:val="4D692D18"/>
    <w:rsid w:val="4DDC7F0E"/>
    <w:rsid w:val="4EF316F8"/>
    <w:rsid w:val="4FAD3061"/>
    <w:rsid w:val="529B25AE"/>
    <w:rsid w:val="53191B4C"/>
    <w:rsid w:val="534333D5"/>
    <w:rsid w:val="541319D2"/>
    <w:rsid w:val="547E5DE0"/>
    <w:rsid w:val="56C70888"/>
    <w:rsid w:val="57026FFE"/>
    <w:rsid w:val="57553351"/>
    <w:rsid w:val="5E6A60E9"/>
    <w:rsid w:val="5F48656E"/>
    <w:rsid w:val="61925676"/>
    <w:rsid w:val="638B15D0"/>
    <w:rsid w:val="63B0780E"/>
    <w:rsid w:val="67820D5A"/>
    <w:rsid w:val="690000A9"/>
    <w:rsid w:val="6A7B138A"/>
    <w:rsid w:val="6CC806B8"/>
    <w:rsid w:val="6CF924C4"/>
    <w:rsid w:val="6D804815"/>
    <w:rsid w:val="6E756B0B"/>
    <w:rsid w:val="6F0F3277"/>
    <w:rsid w:val="707B1B25"/>
    <w:rsid w:val="75B8319E"/>
    <w:rsid w:val="77DF5BD3"/>
    <w:rsid w:val="78B14F84"/>
    <w:rsid w:val="7AD57FD3"/>
    <w:rsid w:val="7D9C560E"/>
    <w:rsid w:val="7E127070"/>
    <w:rsid w:val="7F926BF7"/>
    <w:rsid w:val="7FB35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0"/>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2"/>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5"/>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56"/>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7"/>
    <w:qFormat/>
    <w:uiPriority w:val="0"/>
    <w:pPr>
      <w:keepNext/>
      <w:keepLines/>
      <w:spacing w:before="240" w:after="64" w:line="317" w:lineRule="auto"/>
      <w:outlineLvl w:val="8"/>
    </w:pPr>
    <w:rPr>
      <w:rFonts w:ascii="Cambria" w:hAnsi="Cambria"/>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6"/>
    <w:qFormat/>
    <w:uiPriority w:val="0"/>
    <w:pPr>
      <w:shd w:val="clear" w:color="auto" w:fill="000080"/>
    </w:pPr>
    <w:rPr>
      <w:kern w:val="0"/>
      <w:sz w:val="20"/>
      <w:shd w:val="clear" w:color="auto" w:fill="000080"/>
    </w:rPr>
  </w:style>
  <w:style w:type="paragraph" w:styleId="15">
    <w:name w:val="annotation text"/>
    <w:basedOn w:val="1"/>
    <w:link w:val="70"/>
    <w:qFormat/>
    <w:uiPriority w:val="0"/>
    <w:pPr>
      <w:jc w:val="left"/>
    </w:pPr>
    <w:rPr>
      <w:szCs w:val="22"/>
    </w:rPr>
  </w:style>
  <w:style w:type="paragraph" w:styleId="16">
    <w:name w:val="Body Text"/>
    <w:basedOn w:val="1"/>
    <w:link w:val="8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index 4"/>
    <w:basedOn w:val="1"/>
    <w:next w:val="1"/>
    <w:qFormat/>
    <w:uiPriority w:val="0"/>
    <w:pPr>
      <w:ind w:left="600" w:leftChars="600"/>
    </w:p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124"/>
    <w:qFormat/>
    <w:uiPriority w:val="0"/>
    <w:rPr>
      <w:rFonts w:ascii="宋体" w:hAnsi="Courier New"/>
      <w:color w:val="00000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58"/>
    <w:qFormat/>
    <w:uiPriority w:val="0"/>
    <w:pPr>
      <w:ind w:left="100" w:leftChars="2500"/>
    </w:pPr>
    <w:rPr>
      <w:rFonts w:ascii="宋体"/>
      <w:kern w:val="0"/>
      <w:sz w:val="28"/>
      <w:szCs w:val="20"/>
    </w:rPr>
  </w:style>
  <w:style w:type="paragraph" w:styleId="23">
    <w:name w:val="Balloon Text"/>
    <w:basedOn w:val="1"/>
    <w:link w:val="78"/>
    <w:qFormat/>
    <w:uiPriority w:val="0"/>
    <w:rPr>
      <w:rFonts w:ascii="宋体"/>
      <w:kern w:val="0"/>
      <w:sz w:val="18"/>
      <w:szCs w:val="18"/>
    </w:rPr>
  </w:style>
  <w:style w:type="paragraph" w:styleId="24">
    <w:name w:val="footer"/>
    <w:basedOn w:val="1"/>
    <w:link w:val="80"/>
    <w:qFormat/>
    <w:uiPriority w:val="0"/>
    <w:pPr>
      <w:tabs>
        <w:tab w:val="center" w:pos="4153"/>
        <w:tab w:val="right" w:pos="8306"/>
      </w:tabs>
      <w:snapToGrid w:val="0"/>
      <w:jc w:val="left"/>
    </w:pPr>
    <w:rPr>
      <w:sz w:val="18"/>
      <w:szCs w:val="18"/>
    </w:rPr>
  </w:style>
  <w:style w:type="paragraph" w:styleId="25">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Calibri" w:hAnsi="Calibri"/>
      <w:b/>
      <w:bCs/>
      <w:caps/>
      <w:sz w:val="20"/>
      <w:szCs w:val="20"/>
    </w:rPr>
  </w:style>
  <w:style w:type="paragraph" w:styleId="27">
    <w:name w:val="toc 4"/>
    <w:basedOn w:val="1"/>
    <w:next w:val="1"/>
    <w:qFormat/>
    <w:uiPriority w:val="39"/>
    <w:pPr>
      <w:ind w:left="630"/>
      <w:jc w:val="left"/>
    </w:pPr>
    <w:rPr>
      <w:rFonts w:ascii="Calibri" w:hAnsi="Calibri"/>
      <w:sz w:val="18"/>
      <w:szCs w:val="18"/>
    </w:rPr>
  </w:style>
  <w:style w:type="paragraph" w:styleId="28">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103"/>
    <w:qFormat/>
    <w:uiPriority w:val="0"/>
    <w:pPr>
      <w:snapToGrid w:val="0"/>
      <w:jc w:val="left"/>
    </w:pPr>
    <w:rPr>
      <w:sz w:val="18"/>
      <w:szCs w:val="18"/>
    </w:rPr>
  </w:style>
  <w:style w:type="paragraph" w:styleId="30">
    <w:name w:val="toc 6"/>
    <w:basedOn w:val="1"/>
    <w:next w:val="1"/>
    <w:qFormat/>
    <w:uiPriority w:val="39"/>
    <w:pPr>
      <w:ind w:left="1050"/>
      <w:jc w:val="left"/>
    </w:pPr>
    <w:rPr>
      <w:rFonts w:ascii="Calibri" w:hAnsi="Calibri"/>
      <w:sz w:val="18"/>
      <w:szCs w:val="18"/>
    </w:rPr>
  </w:style>
  <w:style w:type="paragraph" w:styleId="31">
    <w:name w:val="toc 2"/>
    <w:basedOn w:val="1"/>
    <w:next w:val="1"/>
    <w:qFormat/>
    <w:uiPriority w:val="39"/>
    <w:pPr>
      <w:ind w:left="210"/>
      <w:jc w:val="left"/>
    </w:pPr>
    <w:rPr>
      <w:rFonts w:ascii="Calibri" w:hAnsi="Calibri"/>
      <w:smallCaps/>
      <w:sz w:val="20"/>
      <w:szCs w:val="20"/>
    </w:rPr>
  </w:style>
  <w:style w:type="paragraph" w:styleId="32">
    <w:name w:val="toc 9"/>
    <w:basedOn w:val="1"/>
    <w:next w:val="1"/>
    <w:qFormat/>
    <w:uiPriority w:val="39"/>
    <w:pPr>
      <w:ind w:left="1680"/>
      <w:jc w:val="left"/>
    </w:pPr>
    <w:rPr>
      <w:rFonts w:ascii="Calibri" w:hAnsi="Calibri"/>
      <w:sz w:val="18"/>
      <w:szCs w:val="18"/>
    </w:rPr>
  </w:style>
  <w:style w:type="paragraph" w:styleId="3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4">
    <w:name w:val="Title"/>
    <w:basedOn w:val="1"/>
    <w:next w:val="1"/>
    <w:link w:val="65"/>
    <w:qFormat/>
    <w:uiPriority w:val="0"/>
    <w:pPr>
      <w:spacing w:before="240" w:after="60"/>
      <w:jc w:val="center"/>
      <w:outlineLvl w:val="0"/>
    </w:pPr>
    <w:rPr>
      <w:rFonts w:ascii="Cambria" w:hAnsi="Cambria"/>
      <w:b/>
      <w:bCs/>
      <w:sz w:val="32"/>
      <w:szCs w:val="32"/>
    </w:rPr>
  </w:style>
  <w:style w:type="paragraph" w:styleId="35">
    <w:name w:val="annotation subject"/>
    <w:basedOn w:val="15"/>
    <w:next w:val="15"/>
    <w:link w:val="61"/>
    <w:qFormat/>
    <w:uiPriority w:val="0"/>
    <w:rPr>
      <w:rFonts w:ascii="宋体"/>
      <w:b/>
      <w:bCs/>
      <w:kern w:val="0"/>
      <w:sz w:val="28"/>
      <w:szCs w:val="20"/>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rPr>
      <w:i/>
      <w:iCs/>
    </w:rPr>
  </w:style>
  <w:style w:type="character" w:styleId="43">
    <w:name w:val="Hyperlink"/>
    <w:qFormat/>
    <w:uiPriority w:val="99"/>
    <w:rPr>
      <w:rFonts w:cs="Times New Roman"/>
      <w:color w:val="0000FF"/>
      <w:u w:val="single"/>
    </w:rPr>
  </w:style>
  <w:style w:type="character" w:styleId="44">
    <w:name w:val="annotation reference"/>
    <w:qFormat/>
    <w:uiPriority w:val="0"/>
    <w:rPr>
      <w:rFonts w:cs="Times New Roman"/>
      <w:sz w:val="21"/>
      <w:szCs w:val="21"/>
    </w:rPr>
  </w:style>
  <w:style w:type="character" w:styleId="45">
    <w:name w:val="footnote reference"/>
    <w:qFormat/>
    <w:uiPriority w:val="0"/>
    <w:rPr>
      <w:vertAlign w:val="superscript"/>
    </w:rPr>
  </w:style>
  <w:style w:type="character" w:customStyle="1" w:styleId="46">
    <w:name w:val="标题 4 Char"/>
    <w:link w:val="5"/>
    <w:qFormat/>
    <w:uiPriority w:val="0"/>
    <w:rPr>
      <w:rFonts w:ascii="Arial" w:hAnsi="Arial" w:eastAsia="黑体"/>
      <w:b/>
      <w:bCs/>
      <w:kern w:val="2"/>
      <w:sz w:val="28"/>
      <w:szCs w:val="28"/>
    </w:rPr>
  </w:style>
  <w:style w:type="paragraph" w:customStyle="1" w:styleId="4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4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49">
    <w:name w:val="标题 3 Char"/>
    <w:link w:val="4"/>
    <w:qFormat/>
    <w:uiPriority w:val="0"/>
    <w:rPr>
      <w:b/>
      <w:bCs/>
      <w:kern w:val="2"/>
      <w:sz w:val="32"/>
      <w:szCs w:val="32"/>
    </w:rPr>
  </w:style>
  <w:style w:type="character" w:customStyle="1" w:styleId="50">
    <w:name w:val="标题 2 Char"/>
    <w:link w:val="3"/>
    <w:qFormat/>
    <w:uiPriority w:val="0"/>
    <w:rPr>
      <w:rFonts w:ascii="Cambria" w:hAnsi="Cambria" w:eastAsia="宋体" w:cs="Times New Roman"/>
      <w:b/>
      <w:bCs/>
      <w:kern w:val="2"/>
      <w:sz w:val="32"/>
      <w:szCs w:val="32"/>
    </w:rPr>
  </w:style>
  <w:style w:type="paragraph" w:styleId="51">
    <w:name w:val="List Paragraph"/>
    <w:basedOn w:val="1"/>
    <w:qFormat/>
    <w:uiPriority w:val="0"/>
    <w:pPr>
      <w:ind w:firstLine="420" w:firstLineChars="200"/>
    </w:pPr>
  </w:style>
  <w:style w:type="character" w:customStyle="1" w:styleId="52">
    <w:name w:val="标题 5 Char"/>
    <w:basedOn w:val="38"/>
    <w:link w:val="6"/>
    <w:qFormat/>
    <w:uiPriority w:val="0"/>
    <w:rPr>
      <w:b/>
      <w:bCs/>
      <w:kern w:val="2"/>
      <w:sz w:val="28"/>
      <w:szCs w:val="28"/>
    </w:rPr>
  </w:style>
  <w:style w:type="character" w:customStyle="1" w:styleId="53">
    <w:name w:val="标题 1 Char"/>
    <w:basedOn w:val="38"/>
    <w:link w:val="2"/>
    <w:qFormat/>
    <w:uiPriority w:val="0"/>
    <w:rPr>
      <w:rFonts w:ascii="Calibri" w:hAnsi="Calibri"/>
      <w:b/>
      <w:bCs/>
      <w:kern w:val="44"/>
      <w:sz w:val="44"/>
      <w:szCs w:val="44"/>
    </w:rPr>
  </w:style>
  <w:style w:type="character" w:customStyle="1" w:styleId="54">
    <w:name w:val="标题 6 Char"/>
    <w:basedOn w:val="38"/>
    <w:link w:val="7"/>
    <w:qFormat/>
    <w:uiPriority w:val="0"/>
    <w:rPr>
      <w:rFonts w:ascii="Cambria" w:hAnsi="Cambria"/>
      <w:b/>
      <w:bCs/>
      <w:kern w:val="2"/>
      <w:sz w:val="24"/>
      <w:szCs w:val="24"/>
    </w:rPr>
  </w:style>
  <w:style w:type="character" w:customStyle="1" w:styleId="55">
    <w:name w:val="标题 7 Char"/>
    <w:basedOn w:val="38"/>
    <w:link w:val="8"/>
    <w:qFormat/>
    <w:uiPriority w:val="0"/>
    <w:rPr>
      <w:rFonts w:ascii="Calibri" w:hAnsi="Calibri"/>
      <w:b/>
      <w:bCs/>
      <w:kern w:val="2"/>
      <w:sz w:val="24"/>
      <w:szCs w:val="24"/>
    </w:rPr>
  </w:style>
  <w:style w:type="character" w:customStyle="1" w:styleId="56">
    <w:name w:val="标题 8 Char"/>
    <w:basedOn w:val="38"/>
    <w:link w:val="9"/>
    <w:qFormat/>
    <w:uiPriority w:val="0"/>
    <w:rPr>
      <w:rFonts w:ascii="Cambria" w:hAnsi="Cambria"/>
      <w:kern w:val="2"/>
      <w:sz w:val="24"/>
      <w:szCs w:val="24"/>
    </w:rPr>
  </w:style>
  <w:style w:type="character" w:customStyle="1" w:styleId="57">
    <w:name w:val="标题 9 Char"/>
    <w:basedOn w:val="38"/>
    <w:link w:val="10"/>
    <w:qFormat/>
    <w:uiPriority w:val="0"/>
    <w:rPr>
      <w:rFonts w:ascii="Cambria" w:hAnsi="Cambria"/>
      <w:kern w:val="2"/>
      <w:sz w:val="21"/>
      <w:szCs w:val="21"/>
    </w:rPr>
  </w:style>
  <w:style w:type="character" w:customStyle="1" w:styleId="58">
    <w:name w:val="日期 Char"/>
    <w:link w:val="22"/>
    <w:qFormat/>
    <w:uiPriority w:val="0"/>
    <w:rPr>
      <w:rFonts w:ascii="宋体"/>
      <w:sz w:val="28"/>
    </w:rPr>
  </w:style>
  <w:style w:type="character" w:customStyle="1" w:styleId="59">
    <w:name w:val="标题4 Char Char"/>
    <w:link w:val="60"/>
    <w:qFormat/>
    <w:uiPriority w:val="0"/>
    <w:rPr>
      <w:rFonts w:ascii="Arial" w:hAnsi="Arial"/>
      <w:b/>
      <w:bCs/>
      <w:sz w:val="24"/>
      <w:szCs w:val="32"/>
    </w:rPr>
  </w:style>
  <w:style w:type="paragraph" w:customStyle="1" w:styleId="60">
    <w:name w:val="标题4"/>
    <w:basedOn w:val="3"/>
    <w:next w:val="17"/>
    <w:link w:val="59"/>
    <w:qFormat/>
    <w:uiPriority w:val="0"/>
    <w:pPr>
      <w:spacing w:line="413" w:lineRule="auto"/>
    </w:pPr>
    <w:rPr>
      <w:rFonts w:ascii="Arial" w:hAnsi="Arial"/>
      <w:kern w:val="0"/>
      <w:sz w:val="24"/>
    </w:rPr>
  </w:style>
  <w:style w:type="character" w:customStyle="1" w:styleId="61">
    <w:name w:val="批注主题 Char"/>
    <w:link w:val="35"/>
    <w:qFormat/>
    <w:uiPriority w:val="0"/>
    <w:rPr>
      <w:rFonts w:ascii="宋体"/>
      <w:b/>
      <w:bCs/>
      <w:sz w:val="28"/>
    </w:rPr>
  </w:style>
  <w:style w:type="character" w:customStyle="1" w:styleId="62">
    <w:name w:val="明显引用 Char"/>
    <w:link w:val="63"/>
    <w:qFormat/>
    <w:uiPriority w:val="0"/>
    <w:rPr>
      <w:b/>
      <w:bCs/>
      <w:i/>
      <w:iCs/>
      <w:color w:val="4F81BD"/>
      <w:kern w:val="2"/>
      <w:sz w:val="21"/>
      <w:szCs w:val="22"/>
    </w:rPr>
  </w:style>
  <w:style w:type="paragraph" w:styleId="63">
    <w:name w:val="Intense Quote"/>
    <w:basedOn w:val="1"/>
    <w:next w:val="1"/>
    <w:link w:val="62"/>
    <w:qFormat/>
    <w:uiPriority w:val="0"/>
    <w:pPr>
      <w:pBdr>
        <w:bottom w:val="single" w:color="4F81BD" w:sz="4" w:space="4"/>
      </w:pBdr>
      <w:spacing w:before="200" w:after="280"/>
      <w:ind w:left="936" w:right="936"/>
    </w:pPr>
    <w:rPr>
      <w:b/>
      <w:bCs/>
      <w:i/>
      <w:iCs/>
      <w:color w:val="4F81BD"/>
      <w:szCs w:val="22"/>
    </w:rPr>
  </w:style>
  <w:style w:type="character" w:customStyle="1" w:styleId="64">
    <w:name w:val="书籍标题1"/>
    <w:qFormat/>
    <w:uiPriority w:val="0"/>
    <w:rPr>
      <w:b/>
      <w:bCs/>
      <w:smallCaps/>
      <w:spacing w:val="5"/>
    </w:rPr>
  </w:style>
  <w:style w:type="character" w:customStyle="1" w:styleId="65">
    <w:name w:val="标题 Char"/>
    <w:link w:val="34"/>
    <w:qFormat/>
    <w:uiPriority w:val="0"/>
    <w:rPr>
      <w:rFonts w:ascii="Cambria" w:hAnsi="Cambria"/>
      <w:b/>
      <w:bCs/>
      <w:kern w:val="2"/>
      <w:sz w:val="32"/>
      <w:szCs w:val="32"/>
    </w:rPr>
  </w:style>
  <w:style w:type="character" w:customStyle="1" w:styleId="66">
    <w:name w:val="副标题 Char"/>
    <w:link w:val="28"/>
    <w:qFormat/>
    <w:uiPriority w:val="0"/>
    <w:rPr>
      <w:rFonts w:ascii="Cambria" w:hAnsi="Cambria"/>
      <w:b/>
      <w:bCs/>
      <w:kern w:val="28"/>
      <w:sz w:val="32"/>
      <w:szCs w:val="32"/>
    </w:rPr>
  </w:style>
  <w:style w:type="character" w:customStyle="1" w:styleId="67">
    <w:name w:val="明显强调1"/>
    <w:qFormat/>
    <w:uiPriority w:val="0"/>
    <w:rPr>
      <w:b/>
      <w:bCs/>
      <w:i/>
      <w:iCs/>
      <w:color w:val="4F81BD"/>
    </w:rPr>
  </w:style>
  <w:style w:type="character" w:customStyle="1" w:styleId="68">
    <w:name w:val="标题5 Char Char"/>
    <w:link w:val="69"/>
    <w:qFormat/>
    <w:uiPriority w:val="0"/>
    <w:rPr>
      <w:rFonts w:ascii="Arial" w:hAnsi="Arial"/>
      <w:b/>
      <w:bCs/>
      <w:sz w:val="24"/>
      <w:szCs w:val="32"/>
    </w:rPr>
  </w:style>
  <w:style w:type="paragraph" w:customStyle="1" w:styleId="69">
    <w:name w:val="标题5"/>
    <w:basedOn w:val="4"/>
    <w:link w:val="68"/>
    <w:qFormat/>
    <w:uiPriority w:val="0"/>
    <w:pPr>
      <w:spacing w:line="413" w:lineRule="auto"/>
    </w:pPr>
    <w:rPr>
      <w:rFonts w:ascii="Arial" w:hAnsi="Arial"/>
      <w:kern w:val="0"/>
      <w:sz w:val="24"/>
    </w:rPr>
  </w:style>
  <w:style w:type="character" w:customStyle="1" w:styleId="70">
    <w:name w:val="批注文字 Char"/>
    <w:link w:val="15"/>
    <w:qFormat/>
    <w:uiPriority w:val="0"/>
    <w:rPr>
      <w:kern w:val="2"/>
      <w:sz w:val="21"/>
      <w:szCs w:val="22"/>
    </w:rPr>
  </w:style>
  <w:style w:type="character" w:customStyle="1" w:styleId="71">
    <w:name w:val="textcontents"/>
    <w:qFormat/>
    <w:uiPriority w:val="0"/>
    <w:rPr>
      <w:rFonts w:cs="Times New Roman"/>
    </w:rPr>
  </w:style>
  <w:style w:type="character" w:customStyle="1" w:styleId="72">
    <w:name w:val="不明显强调1"/>
    <w:qFormat/>
    <w:uiPriority w:val="0"/>
    <w:rPr>
      <w:i/>
      <w:iCs/>
      <w:color w:val="808080"/>
    </w:rPr>
  </w:style>
  <w:style w:type="character" w:customStyle="1" w:styleId="73">
    <w:name w:val="不明显参考1"/>
    <w:qFormat/>
    <w:uiPriority w:val="0"/>
    <w:rPr>
      <w:smallCaps/>
      <w:color w:val="C0504D"/>
      <w:u w:val="single"/>
    </w:rPr>
  </w:style>
  <w:style w:type="character" w:customStyle="1" w:styleId="74">
    <w:name w:val="日期 Char1"/>
    <w:qFormat/>
    <w:uiPriority w:val="0"/>
    <w:rPr>
      <w:kern w:val="2"/>
      <w:sz w:val="21"/>
      <w:szCs w:val="22"/>
    </w:rPr>
  </w:style>
  <w:style w:type="character" w:customStyle="1" w:styleId="75">
    <w:name w:val="正文文本 Char1"/>
    <w:qFormat/>
    <w:uiPriority w:val="0"/>
    <w:rPr>
      <w:kern w:val="2"/>
      <w:sz w:val="21"/>
      <w:szCs w:val="22"/>
    </w:rPr>
  </w:style>
  <w:style w:type="character" w:customStyle="1" w:styleId="76">
    <w:name w:val="页眉 Char"/>
    <w:link w:val="25"/>
    <w:qFormat/>
    <w:uiPriority w:val="0"/>
    <w:rPr>
      <w:kern w:val="2"/>
      <w:sz w:val="18"/>
      <w:szCs w:val="18"/>
    </w:rPr>
  </w:style>
  <w:style w:type="character" w:customStyle="1" w:styleId="77">
    <w:name w:val="批注主题 Char1"/>
    <w:qFormat/>
    <w:uiPriority w:val="0"/>
    <w:rPr>
      <w:b/>
      <w:bCs/>
      <w:kern w:val="2"/>
      <w:sz w:val="21"/>
      <w:szCs w:val="22"/>
    </w:rPr>
  </w:style>
  <w:style w:type="character" w:customStyle="1" w:styleId="78">
    <w:name w:val="批注框文本 Char"/>
    <w:link w:val="23"/>
    <w:qFormat/>
    <w:uiPriority w:val="0"/>
    <w:rPr>
      <w:rFonts w:ascii="宋体"/>
      <w:sz w:val="18"/>
      <w:szCs w:val="18"/>
    </w:rPr>
  </w:style>
  <w:style w:type="character" w:customStyle="1" w:styleId="79">
    <w:name w:val="批注文字 Char Char"/>
    <w:qFormat/>
    <w:uiPriority w:val="0"/>
    <w:rPr>
      <w:rFonts w:ascii="宋体" w:hAnsi="Times New Roman" w:eastAsia="宋体" w:cs="Times New Roman"/>
      <w:sz w:val="28"/>
      <w:szCs w:val="20"/>
    </w:rPr>
  </w:style>
  <w:style w:type="character" w:customStyle="1" w:styleId="80">
    <w:name w:val="页脚 Char"/>
    <w:link w:val="24"/>
    <w:qFormat/>
    <w:uiPriority w:val="0"/>
    <w:rPr>
      <w:kern w:val="2"/>
      <w:sz w:val="18"/>
      <w:szCs w:val="18"/>
    </w:rPr>
  </w:style>
  <w:style w:type="character" w:customStyle="1" w:styleId="81">
    <w:name w:val="正文文本 Char"/>
    <w:link w:val="16"/>
    <w:qFormat/>
    <w:uiPriority w:val="0"/>
  </w:style>
  <w:style w:type="character" w:customStyle="1" w:styleId="82">
    <w:name w:val="明显参考1"/>
    <w:qFormat/>
    <w:uiPriority w:val="0"/>
    <w:rPr>
      <w:b/>
      <w:bCs/>
      <w:smallCaps/>
      <w:color w:val="C0504D"/>
      <w:spacing w:val="5"/>
      <w:u w:val="single"/>
    </w:rPr>
  </w:style>
  <w:style w:type="character" w:customStyle="1" w:styleId="83">
    <w:name w:val="批注框文本 Char1"/>
    <w:qFormat/>
    <w:uiPriority w:val="0"/>
    <w:rPr>
      <w:kern w:val="2"/>
      <w:sz w:val="18"/>
      <w:szCs w:val="18"/>
    </w:rPr>
  </w:style>
  <w:style w:type="character" w:customStyle="1" w:styleId="84">
    <w:name w:val="引用 Char"/>
    <w:link w:val="85"/>
    <w:qFormat/>
    <w:uiPriority w:val="0"/>
    <w:rPr>
      <w:i/>
      <w:iCs/>
      <w:color w:val="000000"/>
      <w:kern w:val="2"/>
      <w:sz w:val="21"/>
      <w:szCs w:val="22"/>
    </w:rPr>
  </w:style>
  <w:style w:type="paragraph" w:styleId="85">
    <w:name w:val="Quote"/>
    <w:basedOn w:val="1"/>
    <w:next w:val="1"/>
    <w:link w:val="84"/>
    <w:qFormat/>
    <w:uiPriority w:val="0"/>
    <w:rPr>
      <w:i/>
      <w:iCs/>
      <w:color w:val="000000"/>
      <w:szCs w:val="22"/>
    </w:rPr>
  </w:style>
  <w:style w:type="character" w:customStyle="1" w:styleId="86">
    <w:name w:val="文档结构图 Char"/>
    <w:link w:val="14"/>
    <w:qFormat/>
    <w:uiPriority w:val="0"/>
    <w:rPr>
      <w:szCs w:val="24"/>
      <w:shd w:val="clear" w:color="auto" w:fill="000080"/>
    </w:rPr>
  </w:style>
  <w:style w:type="character" w:customStyle="1" w:styleId="87">
    <w:name w:val="文档结构图 Char1"/>
    <w:qFormat/>
    <w:uiPriority w:val="0"/>
    <w:rPr>
      <w:rFonts w:ascii="宋体"/>
      <w:kern w:val="2"/>
      <w:sz w:val="18"/>
      <w:szCs w:val="18"/>
    </w:rPr>
  </w:style>
  <w:style w:type="character" w:customStyle="1" w:styleId="88">
    <w:name w:val="批注文字 Char1"/>
    <w:basedOn w:val="38"/>
    <w:qFormat/>
    <w:uiPriority w:val="0"/>
    <w:rPr>
      <w:kern w:val="2"/>
      <w:sz w:val="21"/>
      <w:szCs w:val="24"/>
    </w:rPr>
  </w:style>
  <w:style w:type="paragraph" w:styleId="8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副标题 Char1"/>
    <w:basedOn w:val="38"/>
    <w:qFormat/>
    <w:uiPriority w:val="0"/>
    <w:rPr>
      <w:rFonts w:ascii="Cambria" w:hAnsi="Cambria" w:cs="Times New Roman"/>
      <w:b/>
      <w:bCs/>
      <w:kern w:val="28"/>
      <w:sz w:val="32"/>
      <w:szCs w:val="32"/>
    </w:rPr>
  </w:style>
  <w:style w:type="character" w:customStyle="1" w:styleId="91">
    <w:name w:val="标题 Char1"/>
    <w:basedOn w:val="38"/>
    <w:qFormat/>
    <w:uiPriority w:val="0"/>
    <w:rPr>
      <w:rFonts w:ascii="Cambria" w:hAnsi="Cambria" w:cs="Times New Roman"/>
      <w:b/>
      <w:bCs/>
      <w:kern w:val="2"/>
      <w:sz w:val="32"/>
      <w:szCs w:val="32"/>
    </w:rPr>
  </w:style>
  <w:style w:type="character" w:customStyle="1" w:styleId="92">
    <w:name w:val="明显引用 Char1"/>
    <w:basedOn w:val="38"/>
    <w:qFormat/>
    <w:uiPriority w:val="30"/>
    <w:rPr>
      <w:b/>
      <w:bCs/>
      <w:i/>
      <w:iCs/>
      <w:color w:val="4F81BD"/>
      <w:kern w:val="2"/>
      <w:sz w:val="21"/>
      <w:szCs w:val="24"/>
    </w:rPr>
  </w:style>
  <w:style w:type="character" w:customStyle="1" w:styleId="93">
    <w:name w:val="文档结构图 Char2"/>
    <w:basedOn w:val="38"/>
    <w:qFormat/>
    <w:uiPriority w:val="0"/>
    <w:rPr>
      <w:rFonts w:ascii="宋体"/>
      <w:kern w:val="2"/>
      <w:sz w:val="18"/>
      <w:szCs w:val="18"/>
    </w:rPr>
  </w:style>
  <w:style w:type="character" w:customStyle="1" w:styleId="94">
    <w:name w:val="正文文本 Char2"/>
    <w:basedOn w:val="38"/>
    <w:qFormat/>
    <w:uiPriority w:val="0"/>
    <w:rPr>
      <w:kern w:val="2"/>
      <w:sz w:val="21"/>
      <w:szCs w:val="24"/>
    </w:rPr>
  </w:style>
  <w:style w:type="character" w:customStyle="1" w:styleId="95">
    <w:name w:val="引用 Char1"/>
    <w:basedOn w:val="38"/>
    <w:qFormat/>
    <w:uiPriority w:val="29"/>
    <w:rPr>
      <w:i/>
      <w:iCs/>
      <w:color w:val="000000"/>
      <w:kern w:val="2"/>
      <w:sz w:val="21"/>
      <w:szCs w:val="24"/>
    </w:rPr>
  </w:style>
  <w:style w:type="paragraph" w:customStyle="1" w:styleId="96">
    <w:name w:val="修订1"/>
    <w:qFormat/>
    <w:uiPriority w:val="0"/>
    <w:rPr>
      <w:rFonts w:ascii="Times New Roman" w:hAnsi="Times New Roman" w:eastAsia="宋体" w:cs="Times New Roman"/>
      <w:kern w:val="2"/>
      <w:sz w:val="21"/>
      <w:szCs w:val="24"/>
      <w:lang w:val="en-US" w:eastAsia="zh-CN" w:bidi="ar-SA"/>
    </w:rPr>
  </w:style>
  <w:style w:type="character" w:customStyle="1" w:styleId="97">
    <w:name w:val="批注主题 Char2"/>
    <w:basedOn w:val="88"/>
    <w:qFormat/>
    <w:uiPriority w:val="0"/>
    <w:rPr>
      <w:b/>
      <w:bCs/>
      <w:kern w:val="2"/>
      <w:sz w:val="21"/>
      <w:szCs w:val="24"/>
    </w:rPr>
  </w:style>
  <w:style w:type="paragraph" w:customStyle="1" w:styleId="9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99">
    <w:name w:val="日期 Char2"/>
    <w:basedOn w:val="38"/>
    <w:qFormat/>
    <w:uiPriority w:val="0"/>
    <w:rPr>
      <w:kern w:val="2"/>
      <w:sz w:val="21"/>
      <w:szCs w:val="24"/>
    </w:rPr>
  </w:style>
  <w:style w:type="character" w:customStyle="1" w:styleId="100">
    <w:name w:val="批注框文本 Char2"/>
    <w:basedOn w:val="38"/>
    <w:qFormat/>
    <w:uiPriority w:val="0"/>
    <w:rPr>
      <w:kern w:val="2"/>
      <w:sz w:val="18"/>
      <w:szCs w:val="18"/>
    </w:rPr>
  </w:style>
  <w:style w:type="paragraph" w:customStyle="1" w:styleId="10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2">
    <w:name w:val="TOC 标题1"/>
    <w:basedOn w:val="2"/>
    <w:next w:val="1"/>
    <w:qFormat/>
    <w:uiPriority w:val="39"/>
    <w:pPr>
      <w:outlineLvl w:val="9"/>
    </w:pPr>
  </w:style>
  <w:style w:type="character" w:customStyle="1" w:styleId="103">
    <w:name w:val="脚注文本 Char"/>
    <w:basedOn w:val="38"/>
    <w:link w:val="29"/>
    <w:qFormat/>
    <w:uiPriority w:val="0"/>
    <w:rPr>
      <w:kern w:val="2"/>
      <w:sz w:val="18"/>
      <w:szCs w:val="18"/>
    </w:rPr>
  </w:style>
  <w:style w:type="character" w:customStyle="1" w:styleId="104">
    <w:name w:val="MSG_EN_FONT_STYLE_NAME_TEMPLATE_ROLE_NUMBER MSG_EN_FONT_STYLE_NAME_BY_ROLE_TEXT 13_"/>
    <w:basedOn w:val="38"/>
    <w:link w:val="105"/>
    <w:qFormat/>
    <w:locked/>
    <w:uiPriority w:val="0"/>
    <w:rPr>
      <w:rFonts w:ascii="PMingLiU" w:hAnsi="PMingLiU" w:eastAsia="PMingLiU" w:cs="PMingLiU"/>
      <w:shd w:val="clear" w:color="auto" w:fill="FFFFFF"/>
    </w:rPr>
  </w:style>
  <w:style w:type="paragraph" w:customStyle="1" w:styleId="105">
    <w:name w:val="MSG_EN_FONT_STYLE_NAME_TEMPLATE_ROLE_NUMBER MSG_EN_FONT_STYLE_NAME_BY_ROLE_TEXT 131"/>
    <w:basedOn w:val="1"/>
    <w:link w:val="104"/>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character" w:customStyle="1" w:styleId="106">
    <w:name w:val="current"/>
    <w:basedOn w:val="38"/>
    <w:qFormat/>
    <w:uiPriority w:val="0"/>
    <w:rPr>
      <w:b/>
      <w:color w:val="FF6500"/>
      <w:bdr w:val="single" w:color="FF6500" w:sz="6" w:space="0"/>
      <w:shd w:val="clear" w:color="auto" w:fill="FFBE94"/>
    </w:rPr>
  </w:style>
  <w:style w:type="character" w:customStyle="1" w:styleId="107">
    <w:name w:val="disabled"/>
    <w:basedOn w:val="38"/>
    <w:qFormat/>
    <w:uiPriority w:val="0"/>
    <w:rPr>
      <w:color w:val="FFE3C6"/>
      <w:bdr w:val="single" w:color="FFE3C6" w:sz="6" w:space="0"/>
    </w:rPr>
  </w:style>
  <w:style w:type="paragraph" w:customStyle="1" w:styleId="108">
    <w:name w:val="修订2"/>
    <w:hidden/>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109">
    <w:name w:val="MSG_EN_FONT_STYLE_NAME_TEMPLATE_ROLE_NUMBER MSG_EN_FONT_STYLE_NAME_BY_ROLE_TEXT 13 + MSG_EN_FONT_STYLE_MODIFER_NAME Times New Roman15"/>
    <w:qFormat/>
    <w:uiPriority w:val="0"/>
    <w:rPr>
      <w:rFonts w:ascii="Times New Roman" w:hAnsi="Times New Roman" w:eastAsia="Times New Roman" w:cs="Times New Roman"/>
      <w:b/>
      <w:bCs/>
      <w:color w:val="000000"/>
      <w:spacing w:val="0"/>
      <w:w w:val="100"/>
      <w:position w:val="0"/>
      <w:sz w:val="15"/>
      <w:szCs w:val="15"/>
      <w:u w:val="none"/>
      <w:lang w:val="en-US" w:eastAsia="en-US" w:bidi="en-US"/>
    </w:rPr>
  </w:style>
  <w:style w:type="paragraph" w:customStyle="1" w:styleId="110">
    <w:name w:val="正文文本 (2)"/>
    <w:basedOn w:val="1"/>
    <w:link w:val="121"/>
    <w:qFormat/>
    <w:uiPriority w:val="0"/>
    <w:pPr>
      <w:shd w:val="clear" w:color="auto" w:fill="FFFFFF"/>
      <w:spacing w:before="300" w:line="439" w:lineRule="exact"/>
      <w:jc w:val="distribute"/>
    </w:pPr>
    <w:rPr>
      <w:rFonts w:ascii="宋体" w:hAnsi="宋体"/>
      <w:kern w:val="0"/>
      <w:sz w:val="22"/>
      <w:szCs w:val="22"/>
    </w:rPr>
  </w:style>
  <w:style w:type="character" w:customStyle="1" w:styleId="111">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paragraph" w:customStyle="1" w:styleId="112">
    <w:name w:val="正文文本 (7)"/>
    <w:basedOn w:val="1"/>
    <w:link w:val="149"/>
    <w:qFormat/>
    <w:uiPriority w:val="0"/>
    <w:pPr>
      <w:shd w:val="clear" w:color="auto" w:fill="FFFFFF"/>
      <w:spacing w:before="120" w:after="300" w:line="0" w:lineRule="atLeast"/>
      <w:jc w:val="center"/>
    </w:pPr>
    <w:rPr>
      <w:rFonts w:ascii="宋体" w:hAnsi="宋体"/>
      <w:spacing w:val="10"/>
      <w:kern w:val="0"/>
      <w:sz w:val="22"/>
      <w:szCs w:val="22"/>
    </w:rPr>
  </w:style>
  <w:style w:type="paragraph" w:customStyle="1" w:styleId="113">
    <w:name w:val="正文文本 (19)"/>
    <w:basedOn w:val="1"/>
    <w:link w:val="122"/>
    <w:qFormat/>
    <w:uiPriority w:val="0"/>
    <w:pPr>
      <w:shd w:val="clear" w:color="auto" w:fill="FFFFFF"/>
      <w:spacing w:line="559" w:lineRule="exact"/>
      <w:jc w:val="left"/>
    </w:pPr>
    <w:rPr>
      <w:rFonts w:ascii="宋体" w:hAnsi="宋体"/>
      <w:b/>
      <w:bCs/>
      <w:kern w:val="0"/>
      <w:sz w:val="23"/>
      <w:szCs w:val="23"/>
    </w:rPr>
  </w:style>
  <w:style w:type="character" w:customStyle="1" w:styleId="114">
    <w:name w:val="正文文本 (19) + 11 pt"/>
    <w:qFormat/>
    <w:uiPriority w:val="0"/>
    <w:rPr>
      <w:rFonts w:ascii="宋体" w:hAnsi="宋体" w:eastAsia="宋体" w:cs="宋体"/>
      <w:b/>
      <w:bCs/>
      <w:color w:val="000000"/>
      <w:spacing w:val="0"/>
      <w:w w:val="100"/>
      <w:position w:val="0"/>
      <w:sz w:val="22"/>
      <w:szCs w:val="22"/>
      <w:u w:val="none"/>
      <w:lang w:val="en-US" w:eastAsia="en-US" w:bidi="en-US"/>
    </w:rPr>
  </w:style>
  <w:style w:type="paragraph" w:customStyle="1" w:styleId="115">
    <w:name w:val="标题 #7"/>
    <w:basedOn w:val="1"/>
    <w:link w:val="120"/>
    <w:qFormat/>
    <w:uiPriority w:val="0"/>
    <w:pPr>
      <w:shd w:val="clear" w:color="auto" w:fill="FFFFFF"/>
      <w:spacing w:before="120" w:after="420" w:line="0" w:lineRule="atLeast"/>
      <w:jc w:val="left"/>
      <w:outlineLvl w:val="6"/>
    </w:pPr>
    <w:rPr>
      <w:rFonts w:ascii="宋体" w:hAnsi="宋体"/>
      <w:b/>
      <w:bCs/>
      <w:kern w:val="0"/>
      <w:sz w:val="23"/>
      <w:szCs w:val="23"/>
    </w:rPr>
  </w:style>
  <w:style w:type="character" w:customStyle="1" w:styleId="116">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17">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8">
    <w:name w:val="标题 #6_"/>
    <w:link w:val="119"/>
    <w:qFormat/>
    <w:uiPriority w:val="0"/>
    <w:rPr>
      <w:rFonts w:ascii="宋体" w:hAnsi="宋体" w:cs="宋体"/>
      <w:spacing w:val="30"/>
      <w:sz w:val="26"/>
      <w:szCs w:val="26"/>
      <w:shd w:val="clear" w:color="auto" w:fill="FFFFFF"/>
    </w:rPr>
  </w:style>
  <w:style w:type="paragraph" w:customStyle="1" w:styleId="119">
    <w:name w:val="标题 #6"/>
    <w:basedOn w:val="1"/>
    <w:link w:val="118"/>
    <w:qFormat/>
    <w:uiPriority w:val="0"/>
    <w:pPr>
      <w:shd w:val="clear" w:color="auto" w:fill="FFFFFF"/>
      <w:spacing w:before="540" w:after="540" w:line="0" w:lineRule="atLeast"/>
      <w:jc w:val="center"/>
      <w:outlineLvl w:val="5"/>
    </w:pPr>
    <w:rPr>
      <w:rFonts w:ascii="宋体" w:hAnsi="宋体" w:cs="宋体"/>
      <w:spacing w:val="30"/>
      <w:kern w:val="0"/>
      <w:sz w:val="26"/>
      <w:szCs w:val="26"/>
    </w:rPr>
  </w:style>
  <w:style w:type="character" w:customStyle="1" w:styleId="120">
    <w:name w:val="标题 #7_"/>
    <w:link w:val="115"/>
    <w:uiPriority w:val="0"/>
    <w:rPr>
      <w:rFonts w:ascii="宋体" w:hAnsi="宋体"/>
      <w:b/>
      <w:bCs/>
      <w:sz w:val="23"/>
      <w:szCs w:val="23"/>
      <w:shd w:val="clear" w:color="auto" w:fill="FFFFFF"/>
    </w:rPr>
  </w:style>
  <w:style w:type="character" w:customStyle="1" w:styleId="121">
    <w:name w:val="正文文本 (2)_"/>
    <w:link w:val="110"/>
    <w:qFormat/>
    <w:uiPriority w:val="0"/>
    <w:rPr>
      <w:rFonts w:ascii="宋体" w:hAnsi="宋体"/>
      <w:sz w:val="22"/>
      <w:szCs w:val="22"/>
      <w:shd w:val="clear" w:color="auto" w:fill="FFFFFF"/>
    </w:rPr>
  </w:style>
  <w:style w:type="character" w:customStyle="1" w:styleId="122">
    <w:name w:val="正文文本 (19)_"/>
    <w:link w:val="113"/>
    <w:qFormat/>
    <w:uiPriority w:val="0"/>
    <w:rPr>
      <w:rFonts w:ascii="宋体" w:hAnsi="宋体"/>
      <w:b/>
      <w:bCs/>
      <w:sz w:val="23"/>
      <w:szCs w:val="23"/>
      <w:shd w:val="clear" w:color="auto" w:fill="FFFFFF"/>
    </w:rPr>
  </w:style>
  <w:style w:type="character" w:customStyle="1" w:styleId="123">
    <w:name w:val="纯文本 Char"/>
    <w:link w:val="20"/>
    <w:uiPriority w:val="0"/>
    <w:rPr>
      <w:rFonts w:ascii="宋体" w:hAnsi="Courier New"/>
      <w:color w:val="000000"/>
      <w:kern w:val="2"/>
      <w:sz w:val="21"/>
    </w:rPr>
  </w:style>
  <w:style w:type="character" w:customStyle="1" w:styleId="124">
    <w:name w:val="纯文本 Char1"/>
    <w:basedOn w:val="38"/>
    <w:link w:val="20"/>
    <w:semiHidden/>
    <w:qFormat/>
    <w:uiPriority w:val="0"/>
    <w:rPr>
      <w:rFonts w:ascii="宋体" w:hAnsi="Courier New" w:cs="Courier New"/>
      <w:kern w:val="2"/>
      <w:sz w:val="21"/>
      <w:szCs w:val="21"/>
    </w:rPr>
  </w:style>
  <w:style w:type="character" w:customStyle="1" w:styleId="125">
    <w:name w:val="正文文本 (14)_"/>
    <w:link w:val="126"/>
    <w:qFormat/>
    <w:uiPriority w:val="0"/>
    <w:rPr>
      <w:rFonts w:ascii="宋体" w:hAnsi="宋体" w:cs="宋体"/>
      <w:sz w:val="18"/>
      <w:szCs w:val="18"/>
      <w:shd w:val="clear" w:color="auto" w:fill="FFFFFF"/>
    </w:rPr>
  </w:style>
  <w:style w:type="paragraph" w:customStyle="1" w:styleId="126">
    <w:name w:val="正文文本 (14)"/>
    <w:basedOn w:val="1"/>
    <w:link w:val="125"/>
    <w:uiPriority w:val="0"/>
    <w:pPr>
      <w:shd w:val="clear" w:color="auto" w:fill="FFFFFF"/>
      <w:spacing w:before="300" w:line="300" w:lineRule="exact"/>
      <w:jc w:val="distribute"/>
    </w:pPr>
    <w:rPr>
      <w:rFonts w:ascii="宋体" w:hAnsi="宋体" w:cs="宋体"/>
      <w:kern w:val="0"/>
      <w:sz w:val="18"/>
      <w:szCs w:val="18"/>
    </w:rPr>
  </w:style>
  <w:style w:type="character" w:customStyle="1" w:styleId="127">
    <w:name w:val="MSG_EN_FONT_STYLE_NAME_TEMPLATE_ROLE_NUMBER MSG_EN_FONT_STYLE_NAME_BY_ROLE_TEXT 9 + MSG_EN_FONT_STYLE_MODIFER_SIZE 12"/>
    <w:qFormat/>
    <w:uiPriority w:val="0"/>
    <w:rPr>
      <w:rFonts w:ascii="PMingLiU" w:hAnsi="PMingLiU" w:eastAsia="PMingLiU" w:cs="PMingLiU"/>
      <w:color w:val="000000"/>
      <w:spacing w:val="0"/>
      <w:w w:val="100"/>
      <w:position w:val="0"/>
      <w:sz w:val="24"/>
      <w:szCs w:val="24"/>
      <w:u w:val="none"/>
      <w:lang w:val="en-US" w:eastAsia="en-US" w:bidi="en-US"/>
    </w:rPr>
  </w:style>
  <w:style w:type="paragraph" w:customStyle="1" w:styleId="128">
    <w:name w:val="MSG_EN_FONT_STYLE_NAME_TEMPLATE_ROLE_LEVEL MSG_EN_FONT_STYLE_NAME_BY_ROLE_HEADING 71"/>
    <w:basedOn w:val="1"/>
    <w:link w:val="130"/>
    <w:qFormat/>
    <w:uiPriority w:val="0"/>
    <w:pPr>
      <w:shd w:val="clear" w:color="auto" w:fill="FFFFFF"/>
      <w:spacing w:after="1020" w:line="300" w:lineRule="exact"/>
      <w:jc w:val="left"/>
      <w:outlineLvl w:val="6"/>
    </w:pPr>
    <w:rPr>
      <w:rFonts w:ascii="PMingLiU" w:hAnsi="PMingLiU" w:eastAsia="PMingLiU" w:cs="PMingLiU"/>
      <w:kern w:val="0"/>
      <w:sz w:val="30"/>
      <w:szCs w:val="30"/>
    </w:rPr>
  </w:style>
  <w:style w:type="character" w:customStyle="1" w:styleId="129">
    <w:name w:val="MSG_EN_FONT_STYLE_NAME_TEMPLATE_ROLE_LEVEL MSG_EN_FONT_STYLE_NAME_BY_ROLE_HEADING 7 + MSG_EN_FONT_STYLE_MODIFER_SPACING 2"/>
    <w:basedOn w:val="130"/>
    <w:qFormat/>
    <w:uiPriority w:val="0"/>
    <w:rPr>
      <w:color w:val="000000"/>
      <w:spacing w:val="40"/>
      <w:w w:val="100"/>
      <w:position w:val="0"/>
      <w:lang w:val="zh-CN" w:eastAsia="zh-CN" w:bidi="zh-CN"/>
    </w:rPr>
  </w:style>
  <w:style w:type="character" w:customStyle="1" w:styleId="130">
    <w:name w:val="MSG_EN_FONT_STYLE_NAME_TEMPLATE_ROLE_LEVEL MSG_EN_FONT_STYLE_NAME_BY_ROLE_HEADING 7_"/>
    <w:basedOn w:val="38"/>
    <w:link w:val="128"/>
    <w:qFormat/>
    <w:uiPriority w:val="0"/>
    <w:rPr>
      <w:rFonts w:ascii="PMingLiU" w:hAnsi="PMingLiU" w:eastAsia="PMingLiU" w:cs="PMingLiU"/>
      <w:sz w:val="30"/>
      <w:szCs w:val="30"/>
      <w:shd w:val="clear" w:color="auto" w:fill="FFFFFF"/>
    </w:rPr>
  </w:style>
  <w:style w:type="paragraph" w:customStyle="1" w:styleId="131">
    <w:name w:val="MSG_EN_FONT_STYLE_NAME_TEMPLATE_ROLE_LEVEL MSG_EN_FONT_STYLE_NAME_BY_ROLE_HEADING 8"/>
    <w:basedOn w:val="1"/>
    <w:link w:val="139"/>
    <w:qFormat/>
    <w:uiPriority w:val="0"/>
    <w:pPr>
      <w:shd w:val="clear" w:color="auto" w:fill="FFFFFF"/>
      <w:spacing w:before="140" w:after="340" w:line="260" w:lineRule="exact"/>
      <w:jc w:val="left"/>
      <w:outlineLvl w:val="7"/>
    </w:pPr>
    <w:rPr>
      <w:rFonts w:ascii="PMingLiU" w:hAnsi="PMingLiU" w:eastAsia="PMingLiU" w:cs="PMingLiU"/>
      <w:kern w:val="0"/>
      <w:sz w:val="26"/>
      <w:szCs w:val="26"/>
    </w:rPr>
  </w:style>
  <w:style w:type="paragraph" w:customStyle="1" w:styleId="132">
    <w:name w:val="MSG_EN_FONT_STYLE_NAME_TEMPLATE_ROLE_NUMBER MSG_EN_FONT_STYLE_NAME_BY_ROLE_TEXT 22"/>
    <w:basedOn w:val="1"/>
    <w:link w:val="134"/>
    <w:qFormat/>
    <w:uiPriority w:val="0"/>
    <w:pPr>
      <w:shd w:val="clear" w:color="auto" w:fill="FFFFFF"/>
      <w:spacing w:line="401" w:lineRule="exact"/>
      <w:ind w:firstLine="500"/>
    </w:pPr>
    <w:rPr>
      <w:kern w:val="0"/>
      <w:sz w:val="20"/>
      <w:szCs w:val="20"/>
      <w:lang w:eastAsia="en-US" w:bidi="en-US"/>
    </w:rPr>
  </w:style>
  <w:style w:type="character" w:customStyle="1" w:styleId="133">
    <w:name w:val="MSG_EN_FONT_STYLE_NAME_TEMPLATE_ROLE_NUMBER MSG_EN_FONT_STYLE_NAME_BY_ROLE_TEXT 22 + MSG_EN_FONT_STYLE_MODIFER_SIZE 8"/>
    <w:basedOn w:val="134"/>
    <w:qFormat/>
    <w:uiPriority w:val="0"/>
    <w:rPr>
      <w:rFonts w:eastAsia="Times New Roman"/>
      <w:b/>
      <w:bCs/>
      <w:color w:val="000000"/>
      <w:spacing w:val="0"/>
      <w:w w:val="100"/>
      <w:position w:val="0"/>
      <w:sz w:val="16"/>
      <w:szCs w:val="16"/>
    </w:rPr>
  </w:style>
  <w:style w:type="character" w:customStyle="1" w:styleId="134">
    <w:name w:val="MSG_EN_FONT_STYLE_NAME_TEMPLATE_ROLE_NUMBER MSG_EN_FONT_STYLE_NAME_BY_ROLE_TEXT 22_"/>
    <w:basedOn w:val="38"/>
    <w:link w:val="132"/>
    <w:qFormat/>
    <w:uiPriority w:val="0"/>
    <w:rPr>
      <w:shd w:val="clear" w:color="auto" w:fill="FFFFFF"/>
      <w:lang w:eastAsia="en-US" w:bidi="en-US"/>
    </w:rPr>
  </w:style>
  <w:style w:type="paragraph" w:customStyle="1" w:styleId="135">
    <w:name w:val="MSG_EN_FONT_STYLE_NAME_TEMPLATE_ROLE_NUMBER MSG_EN_FONT_STYLE_NAME_BY_ROLE_TEXT 23"/>
    <w:basedOn w:val="1"/>
    <w:link w:val="137"/>
    <w:qFormat/>
    <w:uiPriority w:val="0"/>
    <w:pPr>
      <w:shd w:val="clear" w:color="auto" w:fill="FFFFFF"/>
      <w:spacing w:line="401" w:lineRule="exact"/>
      <w:ind w:firstLine="500"/>
    </w:pPr>
    <w:rPr>
      <w:kern w:val="0"/>
      <w:sz w:val="20"/>
      <w:szCs w:val="20"/>
      <w:lang w:eastAsia="en-US" w:bidi="en-US"/>
    </w:rPr>
  </w:style>
  <w:style w:type="character" w:customStyle="1" w:styleId="136">
    <w:name w:val="MSG_EN_FONT_STYLE_NAME_TEMPLATE_ROLE_NUMBER MSG_EN_FONT_STYLE_NAME_BY_ROLE_TEXT 23 + MSG_EN_FONT_STYLE_MODIFER_SIZE 8"/>
    <w:basedOn w:val="137"/>
    <w:qFormat/>
    <w:uiPriority w:val="0"/>
    <w:rPr>
      <w:rFonts w:eastAsia="Times New Roman"/>
      <w:b/>
      <w:bCs/>
      <w:color w:val="000000"/>
      <w:spacing w:val="0"/>
      <w:w w:val="100"/>
      <w:position w:val="0"/>
      <w:sz w:val="16"/>
      <w:szCs w:val="16"/>
    </w:rPr>
  </w:style>
  <w:style w:type="character" w:customStyle="1" w:styleId="137">
    <w:name w:val="MSG_EN_FONT_STYLE_NAME_TEMPLATE_ROLE_NUMBER MSG_EN_FONT_STYLE_NAME_BY_ROLE_TEXT 23_"/>
    <w:basedOn w:val="38"/>
    <w:link w:val="135"/>
    <w:qFormat/>
    <w:uiPriority w:val="0"/>
    <w:rPr>
      <w:shd w:val="clear" w:color="auto" w:fill="FFFFFF"/>
      <w:lang w:eastAsia="en-US" w:bidi="en-US"/>
    </w:rPr>
  </w:style>
  <w:style w:type="character" w:customStyle="1" w:styleId="138">
    <w:name w:val="MSG_EN_FONT_STYLE_NAME_TEMPLATE_ROLE_LEVEL MSG_EN_FONT_STYLE_NAME_BY_ROLE_HEADING 8 + MSG_EN_FONT_STYLE_MODIFER_SPACING 1"/>
    <w:basedOn w:val="139"/>
    <w:qFormat/>
    <w:uiPriority w:val="0"/>
    <w:rPr>
      <w:color w:val="000000"/>
      <w:spacing w:val="20"/>
      <w:w w:val="100"/>
      <w:position w:val="0"/>
      <w:lang w:val="zh-CN" w:eastAsia="zh-CN" w:bidi="zh-CN"/>
    </w:rPr>
  </w:style>
  <w:style w:type="character" w:customStyle="1" w:styleId="139">
    <w:name w:val="MSG_EN_FONT_STYLE_NAME_TEMPLATE_ROLE_LEVEL MSG_EN_FONT_STYLE_NAME_BY_ROLE_HEADING 8_"/>
    <w:basedOn w:val="38"/>
    <w:link w:val="131"/>
    <w:qFormat/>
    <w:uiPriority w:val="0"/>
    <w:rPr>
      <w:rFonts w:ascii="PMingLiU" w:hAnsi="PMingLiU" w:eastAsia="PMingLiU" w:cs="PMingLiU"/>
      <w:sz w:val="26"/>
      <w:szCs w:val="26"/>
      <w:shd w:val="clear" w:color="auto" w:fill="FFFFFF"/>
    </w:rPr>
  </w:style>
  <w:style w:type="paragraph" w:customStyle="1" w:styleId="140">
    <w:name w:val="MSG_EN_FONT_STYLE_NAME_TEMPLATE_ROLE_NUMBER MSG_EN_FONT_STYLE_NAME_BY_ROLE_TEXT 14"/>
    <w:basedOn w:val="1"/>
    <w:qFormat/>
    <w:uiPriority w:val="0"/>
    <w:pPr>
      <w:shd w:val="clear" w:color="auto" w:fill="FFFFFF"/>
      <w:spacing w:before="480" w:line="319" w:lineRule="exact"/>
      <w:jc w:val="distribute"/>
    </w:pPr>
    <w:rPr>
      <w:rFonts w:ascii="PMingLiU" w:hAnsi="PMingLiU" w:eastAsia="PMingLiU" w:cs="PMingLiU"/>
      <w:kern w:val="0"/>
      <w:sz w:val="18"/>
      <w:szCs w:val="18"/>
    </w:rPr>
  </w:style>
  <w:style w:type="character" w:customStyle="1" w:styleId="141">
    <w:name w:val="MSG_EN_FONT_STYLE_NAME_TEMPLATE_ROLE_LEVEL MSG_EN_FONT_STYLE_NAME_BY_ROLE_HEADING 8 + MSG_EN_FONT_STYLE_MODIFER_SIZE 12"/>
    <w:basedOn w:val="139"/>
    <w:qFormat/>
    <w:uiPriority w:val="0"/>
    <w:rPr>
      <w:color w:val="000000"/>
      <w:spacing w:val="0"/>
      <w:w w:val="100"/>
      <w:position w:val="0"/>
      <w:sz w:val="24"/>
      <w:szCs w:val="24"/>
      <w:lang w:val="en-US" w:eastAsia="en-US" w:bidi="en-US"/>
    </w:rPr>
  </w:style>
  <w:style w:type="paragraph" w:customStyle="1" w:styleId="142">
    <w:name w:val="MSG_EN_FONT_STYLE_NAME_TEMPLATE_ROLE_NUMBER MSG_EN_FONT_STYLE_NAME_BY_ROLE_TEXT 9"/>
    <w:basedOn w:val="1"/>
    <w:link w:val="143"/>
    <w:qFormat/>
    <w:uiPriority w:val="0"/>
    <w:pPr>
      <w:shd w:val="clear" w:color="auto" w:fill="FFFFFF"/>
      <w:spacing w:before="360" w:line="434" w:lineRule="exact"/>
      <w:jc w:val="right"/>
    </w:pPr>
    <w:rPr>
      <w:rFonts w:ascii="PMingLiU" w:hAnsi="PMingLiU" w:eastAsia="PMingLiU" w:cs="PMingLiU"/>
      <w:kern w:val="0"/>
      <w:sz w:val="26"/>
      <w:szCs w:val="26"/>
    </w:rPr>
  </w:style>
  <w:style w:type="character" w:customStyle="1" w:styleId="143">
    <w:name w:val="MSG_EN_FONT_STYLE_NAME_TEMPLATE_ROLE_NUMBER MSG_EN_FONT_STYLE_NAME_BY_ROLE_TEXT 9_"/>
    <w:basedOn w:val="38"/>
    <w:link w:val="142"/>
    <w:qFormat/>
    <w:uiPriority w:val="0"/>
    <w:rPr>
      <w:rFonts w:ascii="PMingLiU" w:hAnsi="PMingLiU" w:eastAsia="PMingLiU" w:cs="PMingLiU"/>
      <w:sz w:val="26"/>
      <w:szCs w:val="26"/>
      <w:shd w:val="clear" w:color="auto" w:fill="FFFFFF"/>
    </w:rPr>
  </w:style>
  <w:style w:type="paragraph" w:customStyle="1" w:styleId="144">
    <w:name w:val="MSG_EN_FONT_STYLE_NAME_TEMPLATE_ROLE MSG_EN_FONT_STYLE_NAME_BY_ROLE_RUNNING_TITLE1"/>
    <w:basedOn w:val="1"/>
    <w:link w:val="146"/>
    <w:qFormat/>
    <w:uiPriority w:val="0"/>
    <w:pPr>
      <w:shd w:val="clear" w:color="auto" w:fill="FFFFFF"/>
      <w:spacing w:line="188" w:lineRule="exact"/>
      <w:jc w:val="left"/>
    </w:pPr>
    <w:rPr>
      <w:kern w:val="0"/>
      <w:sz w:val="17"/>
      <w:szCs w:val="17"/>
    </w:rPr>
  </w:style>
  <w:style w:type="character" w:customStyle="1" w:styleId="145">
    <w:name w:val="MSG_EN_FONT_STYLE_NAME_TEMPLATE_ROLE MSG_EN_FONT_STYLE_NAME_BY_ROLE_RUNNING_TITLE + MSG_EN_FONT_STYLE_MODIFER_NAME PMingLiU1"/>
    <w:basedOn w:val="146"/>
    <w:qFormat/>
    <w:uiPriority w:val="0"/>
    <w:rPr>
      <w:rFonts w:ascii="PMingLiU" w:hAnsi="PMingLiU" w:eastAsia="PMingLiU" w:cs="PMingLiU"/>
      <w:color w:val="000000"/>
      <w:spacing w:val="0"/>
      <w:w w:val="100"/>
      <w:position w:val="0"/>
      <w:sz w:val="20"/>
      <w:szCs w:val="20"/>
      <w:lang w:val="zh-CN" w:eastAsia="zh-CN" w:bidi="zh-CN"/>
    </w:rPr>
  </w:style>
  <w:style w:type="character" w:customStyle="1" w:styleId="146">
    <w:name w:val="MSG_EN_FONT_STYLE_NAME_TEMPLATE_ROLE MSG_EN_FONT_STYLE_NAME_BY_ROLE_RUNNING_TITLE_"/>
    <w:basedOn w:val="38"/>
    <w:link w:val="144"/>
    <w:qFormat/>
    <w:uiPriority w:val="0"/>
    <w:rPr>
      <w:sz w:val="17"/>
      <w:szCs w:val="17"/>
      <w:shd w:val="clear" w:color="auto" w:fill="FFFFFF"/>
    </w:rPr>
  </w:style>
  <w:style w:type="character" w:customStyle="1" w:styleId="147">
    <w:name w:val="MSG_EN_FONT_STYLE_NAME_TEMPLATE_ROLE MSG_EN_FONT_STYLE_NAME_BY_ROLE_RUNNING_TITLE + MSG_EN_FONT_STYLE_MODIFER_SIZE 10.5"/>
    <w:basedOn w:val="146"/>
    <w:qFormat/>
    <w:uiPriority w:val="0"/>
    <w:rPr>
      <w:rFonts w:eastAsia="Times New Roman"/>
      <w:color w:val="000000"/>
      <w:spacing w:val="0"/>
      <w:w w:val="100"/>
      <w:position w:val="0"/>
      <w:sz w:val="21"/>
      <w:szCs w:val="21"/>
      <w:lang w:val="en-US" w:eastAsia="en-US" w:bidi="en-US"/>
    </w:rPr>
  </w:style>
  <w:style w:type="character" w:customStyle="1" w:styleId="148">
    <w:name w:val="标题 #6 (5) + 间距 0 pt"/>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149">
    <w:name w:val="正文文本 (7)_"/>
    <w:link w:val="112"/>
    <w:qFormat/>
    <w:uiPriority w:val="0"/>
    <w:rPr>
      <w:rFonts w:ascii="宋体" w:hAnsi="宋体"/>
      <w:spacing w:val="10"/>
      <w:sz w:val="22"/>
      <w:szCs w:val="22"/>
      <w:shd w:val="clear" w:color="auto" w:fill="FFFFFF"/>
    </w:rPr>
  </w:style>
  <w:style w:type="character" w:customStyle="1" w:styleId="150">
    <w:name w:val="MSG_EN_FONT_STYLE_NAME_TEMPLATE_ROLE_NUMBER MSG_EN_FONT_STYLE_NAME_BY_ROLE_TEXT 13 + MSG_EN_FONT_STYLE_MODIFER_NAME Times New Roman"/>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3D98-0608-4C24-82E3-EF3C138F308C}">
  <ds:schemaRefs/>
</ds:datastoreItem>
</file>

<file path=docProps/app.xml><?xml version="1.0" encoding="utf-8"?>
<Properties xmlns="http://schemas.openxmlformats.org/officeDocument/2006/extended-properties" xmlns:vt="http://schemas.openxmlformats.org/officeDocument/2006/docPropsVTypes">
  <Template>Normal</Template>
  <Pages>16</Pages>
  <Words>9721</Words>
  <Characters>10745</Characters>
  <Lines>83</Lines>
  <Paragraphs>23</Paragraphs>
  <TotalTime>1</TotalTime>
  <ScaleCrop>false</ScaleCrop>
  <LinksUpToDate>false</LinksUpToDate>
  <CharactersWithSpaces>10897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2017-07-03T02:16:00Z</dcterms:created>
  <cp:lastPrinted>2018-10-10T05:40:00Z</cp:lastPrinted>
  <dcterms:modified xsi:type="dcterms:W3CDTF">2023-10-08T05:50:55Z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3572A1CCA88547D5841E6246710E8D30</vt:lpwstr>
  </property>
</Properties>
</file>