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
          <w:sz w:val="30"/>
          <w:szCs w:val="30"/>
        </w:rPr>
      </w:pPr>
      <w:r>
        <w:rPr>
          <w:rFonts w:ascii="黑体" w:eastAsia="黑体" w:cs="黑体"/>
          <w:b/>
          <w:sz w:val="30"/>
          <w:szCs w:val="30"/>
        </w:rPr>
        <w:t>集双高速</w:t>
      </w:r>
      <w:r>
        <w:rPr>
          <w:rFonts w:hint="eastAsia" w:ascii="黑体" w:eastAsia="黑体" w:cs="黑体"/>
          <w:b/>
          <w:sz w:val="30"/>
          <w:szCs w:val="30"/>
        </w:rPr>
        <w:t>东丰</w:t>
      </w:r>
      <w:r>
        <w:rPr>
          <w:rFonts w:ascii="黑体" w:eastAsia="黑体" w:cs="黑体"/>
          <w:b/>
          <w:sz w:val="30"/>
          <w:szCs w:val="30"/>
        </w:rPr>
        <w:t>至</w:t>
      </w:r>
      <w:r>
        <w:rPr>
          <w:rFonts w:hint="eastAsia" w:ascii="黑体" w:eastAsia="黑体" w:cs="黑体"/>
          <w:b/>
          <w:sz w:val="30"/>
          <w:szCs w:val="30"/>
        </w:rPr>
        <w:t>双辽</w:t>
      </w:r>
      <w:r>
        <w:rPr>
          <w:rFonts w:ascii="黑体" w:eastAsia="黑体" w:cs="黑体"/>
          <w:b/>
          <w:sz w:val="30"/>
          <w:szCs w:val="30"/>
        </w:rPr>
        <w:t>段</w:t>
      </w:r>
      <w:r>
        <w:rPr>
          <w:rFonts w:hint="eastAsia" w:ascii="黑体" w:eastAsia="黑体" w:cs="黑体"/>
          <w:b/>
          <w:sz w:val="30"/>
          <w:szCs w:val="30"/>
        </w:rPr>
        <w:t>机电工程（DSL32标段）施工招标</w:t>
      </w:r>
    </w:p>
    <w:p>
      <w:pPr>
        <w:jc w:val="center"/>
        <w:rPr>
          <w:rFonts w:hint="eastAsia" w:ascii="黑体" w:eastAsia="黑体" w:cs="黑体"/>
          <w:b/>
          <w:sz w:val="30"/>
          <w:szCs w:val="30"/>
        </w:rPr>
      </w:pPr>
      <w:r>
        <w:rPr>
          <w:rFonts w:hint="eastAsia" w:ascii="黑体" w:eastAsia="黑体" w:cs="黑体"/>
          <w:b/>
          <w:sz w:val="30"/>
          <w:szCs w:val="30"/>
        </w:rPr>
        <w:t>招标文件关键内容信息公开</w:t>
      </w:r>
    </w:p>
    <w:p>
      <w:pPr>
        <w:pStyle w:val="2"/>
        <w:ind w:firstLine="420" w:firstLineChars="200"/>
        <w:jc w:val="left"/>
        <w:rPr>
          <w:rFonts w:hint="eastAsia" w:ascii="宋体" w:hAnsi="宋体" w:eastAsia="宋体" w:cs="宋体"/>
          <w:b w:val="0"/>
          <w:bCs/>
          <w:sz w:val="21"/>
          <w:szCs w:val="21"/>
        </w:rPr>
      </w:pPr>
      <w:r>
        <w:rPr>
          <w:rFonts w:hint="eastAsia" w:ascii="宋体" w:hAnsi="宋体" w:eastAsia="宋体" w:cs="宋体"/>
          <w:b w:val="0"/>
          <w:bCs/>
          <w:sz w:val="21"/>
          <w:szCs w:val="21"/>
        </w:rPr>
        <w:t>本招标项目集双高速东丰至双辽段机电工程己由国家发展和改革委员会以《国家发展改革委关于东丰至双辽公路（吉林段）可行性研究报告的批复》（发改基础[2016]1760号文件）批准建设，施工图设计己由吉林省交通运输厅以《吉林省交通运输厅关于集安至双辽高速公路东丰至双辽段（吉林段）施工图设计的批复》（吉交审批函[2017]2号文件）批准，招标人为</w:t>
      </w:r>
      <w:r>
        <w:rPr>
          <w:rFonts w:hint="eastAsia" w:ascii="宋体" w:hAnsi="宋体" w:eastAsia="宋体" w:cs="宋体"/>
          <w:b w:val="0"/>
          <w:bCs/>
          <w:sz w:val="21"/>
          <w:szCs w:val="21"/>
          <w:lang w:val="zh-CN"/>
        </w:rPr>
        <w:t>吉林省高等级公路建设局</w:t>
      </w:r>
      <w:r>
        <w:rPr>
          <w:rFonts w:hint="eastAsia" w:ascii="宋体" w:hAnsi="宋体" w:eastAsia="宋体" w:cs="宋体"/>
          <w:b w:val="0"/>
          <w:bCs/>
          <w:sz w:val="21"/>
          <w:szCs w:val="21"/>
        </w:rPr>
        <w:t>，建设资金来自</w:t>
      </w:r>
      <w:r>
        <w:rPr>
          <w:rFonts w:hint="eastAsia" w:ascii="宋体" w:hAnsi="宋体" w:eastAsia="宋体" w:cs="宋体"/>
          <w:b w:val="0"/>
          <w:bCs/>
          <w:sz w:val="21"/>
          <w:szCs w:val="21"/>
          <w:lang w:val="zh-CN"/>
        </w:rPr>
        <w:t>政府投资和银行贷款</w:t>
      </w:r>
      <w:r>
        <w:rPr>
          <w:rFonts w:hint="eastAsia" w:ascii="宋体" w:hAnsi="宋体" w:eastAsia="宋体" w:cs="宋体"/>
          <w:b w:val="0"/>
          <w:bCs/>
          <w:sz w:val="21"/>
          <w:szCs w:val="21"/>
        </w:rPr>
        <w:t>，出资比例为</w:t>
      </w:r>
      <w:r>
        <w:rPr>
          <w:rFonts w:hint="eastAsia" w:ascii="宋体" w:hAnsi="宋体" w:eastAsia="宋体" w:cs="宋体"/>
          <w:b w:val="0"/>
          <w:bCs/>
          <w:sz w:val="21"/>
          <w:szCs w:val="21"/>
          <w:lang w:val="zh-CN"/>
        </w:rPr>
        <w:t>政府投资</w:t>
      </w:r>
      <w:r>
        <w:rPr>
          <w:rFonts w:hint="eastAsia" w:ascii="宋体" w:hAnsi="宋体" w:eastAsia="宋体" w:cs="宋体"/>
          <w:b w:val="0"/>
          <w:bCs/>
          <w:sz w:val="21"/>
          <w:szCs w:val="21"/>
        </w:rPr>
        <w:t>25</w:t>
      </w:r>
      <w:r>
        <w:rPr>
          <w:rFonts w:hint="eastAsia" w:ascii="宋体" w:hAnsi="宋体" w:eastAsia="宋体" w:cs="宋体"/>
          <w:b w:val="0"/>
          <w:bCs/>
          <w:sz w:val="21"/>
          <w:szCs w:val="21"/>
          <w:lang w:val="zh-CN"/>
        </w:rPr>
        <w:t>%、银行贷款</w:t>
      </w:r>
      <w:r>
        <w:rPr>
          <w:rFonts w:hint="eastAsia" w:ascii="宋体" w:hAnsi="宋体" w:eastAsia="宋体" w:cs="宋体"/>
          <w:b w:val="0"/>
          <w:bCs/>
          <w:sz w:val="21"/>
          <w:szCs w:val="21"/>
        </w:rPr>
        <w:t>75</w:t>
      </w:r>
      <w:r>
        <w:rPr>
          <w:rFonts w:hint="eastAsia" w:ascii="宋体" w:hAnsi="宋体" w:eastAsia="宋体" w:cs="宋体"/>
          <w:b w:val="0"/>
          <w:bCs/>
          <w:sz w:val="21"/>
          <w:szCs w:val="21"/>
          <w:lang w:val="zh-CN"/>
        </w:rPr>
        <w:t>%</w:t>
      </w:r>
      <w:r>
        <w:rPr>
          <w:rFonts w:hint="eastAsia" w:ascii="宋体" w:hAnsi="宋体" w:eastAsia="宋体" w:cs="宋体"/>
          <w:b w:val="0"/>
          <w:bCs/>
          <w:sz w:val="21"/>
          <w:szCs w:val="21"/>
        </w:rPr>
        <w:t>。项目己具备招标条件，现对该项目的机电工程（DSL32标段）的施工进行公开招标。</w:t>
      </w:r>
    </w:p>
    <w:p>
      <w:pPr>
        <w:adjustRightInd w:val="0"/>
        <w:snapToGrid w:val="0"/>
        <w:spacing w:line="440" w:lineRule="exact"/>
        <w:rPr>
          <w:rFonts w:hint="eastAsia" w:ascii="黑体" w:hAnsi="黑体" w:eastAsia="黑体" w:cs="黑体"/>
          <w:b/>
          <w:sz w:val="28"/>
          <w:szCs w:val="28"/>
        </w:rPr>
      </w:pPr>
      <w:r>
        <w:rPr>
          <w:rFonts w:hint="eastAsia" w:ascii="黑体" w:hAnsi="黑体" w:eastAsia="黑体" w:cs="黑体"/>
          <w:b/>
          <w:sz w:val="28"/>
          <w:szCs w:val="28"/>
        </w:rPr>
        <w:t>1.项目概况及招标范围</w:t>
      </w:r>
    </w:p>
    <w:p>
      <w:pPr>
        <w:pStyle w:val="13"/>
        <w:shd w:val="clear" w:color="auto" w:fill="auto"/>
        <w:spacing w:before="0" w:after="120" w:line="440" w:lineRule="exact"/>
        <w:ind w:firstLine="522"/>
        <w:jc w:val="both"/>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.1建设地点：吉林省辽源、四平地区。</w:t>
      </w:r>
    </w:p>
    <w:p>
      <w:pPr>
        <w:pStyle w:val="13"/>
        <w:shd w:val="clear" w:color="auto" w:fill="auto"/>
        <w:spacing w:before="0" w:after="120" w:line="440" w:lineRule="exact"/>
        <w:ind w:firstLine="522"/>
        <w:jc w:val="both"/>
        <w:rPr>
          <w:rFonts w:hint="eastAsia" w:ascii="宋体" w:hAnsi="宋体" w:eastAsia="宋体" w:cs="宋体"/>
          <w:sz w:val="21"/>
          <w:szCs w:val="21"/>
          <w:lang w:val="zh-CN"/>
        </w:rPr>
      </w:pPr>
      <w:r>
        <w:rPr>
          <w:rFonts w:hint="eastAsia" w:ascii="宋体" w:hAnsi="宋体" w:eastAsia="宋体" w:cs="宋体"/>
          <w:sz w:val="21"/>
          <w:szCs w:val="21"/>
          <w:lang w:val="en-US" w:eastAsia="zh-CN"/>
        </w:rPr>
        <w:t>1</w:t>
      </w:r>
      <w:r>
        <w:rPr>
          <w:rFonts w:hint="eastAsia" w:ascii="宋体" w:hAnsi="宋体" w:eastAsia="宋体" w:cs="宋体"/>
          <w:sz w:val="21"/>
          <w:szCs w:val="21"/>
        </w:rPr>
        <w:t>.2项目概况：</w:t>
      </w:r>
      <w:r>
        <w:rPr>
          <w:rFonts w:hint="eastAsia" w:ascii="宋体" w:hAnsi="宋体" w:eastAsia="宋体" w:cs="宋体"/>
          <w:sz w:val="21"/>
          <w:szCs w:val="21"/>
          <w:lang w:val="zh-CN"/>
        </w:rPr>
        <w:t>集双高速东丰至双辽路线长度184.970公里（不含穿越辽宁省西丰县路段、不含伊辽高速共建段）。全线采用双向四车道高速公路标准建设。连接线工程不在本次招标范围内。</w:t>
      </w:r>
    </w:p>
    <w:p>
      <w:pPr>
        <w:pStyle w:val="13"/>
        <w:shd w:val="clear" w:color="auto" w:fill="auto"/>
        <w:spacing w:before="0" w:after="120" w:line="440" w:lineRule="exact"/>
        <w:ind w:firstLine="522"/>
        <w:jc w:val="both"/>
        <w:rPr>
          <w:rFonts w:hint="eastAsia" w:ascii="宋体" w:hAnsi="宋体" w:eastAsia="宋体" w:cs="宋体"/>
          <w:bCs/>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.3标段划分：项目划分</w:t>
      </w:r>
      <w:r>
        <w:rPr>
          <w:rFonts w:hint="eastAsia" w:ascii="宋体" w:hAnsi="宋体" w:eastAsia="宋体" w:cs="宋体"/>
          <w:sz w:val="21"/>
          <w:szCs w:val="21"/>
          <w:lang w:eastAsia="zh-CN"/>
        </w:rPr>
        <w:t>1</w:t>
      </w:r>
      <w:r>
        <w:rPr>
          <w:rFonts w:hint="eastAsia" w:ascii="宋体" w:hAnsi="宋体" w:eastAsia="宋体" w:cs="宋体"/>
          <w:sz w:val="21"/>
          <w:szCs w:val="21"/>
        </w:rPr>
        <w:t>个标段</w:t>
      </w:r>
      <w:r>
        <w:rPr>
          <w:rFonts w:hint="eastAsia" w:ascii="宋体" w:hAnsi="宋体" w:eastAsia="宋体" w:cs="宋体"/>
          <w:bCs/>
          <w:sz w:val="21"/>
          <w:szCs w:val="21"/>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0"/>
        <w:gridCol w:w="2126"/>
        <w:gridCol w:w="1904"/>
        <w:gridCol w:w="170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 w:hRule="atLeast"/>
          <w:jc w:val="center"/>
        </w:trPr>
        <w:tc>
          <w:tcPr>
            <w:tcW w:w="730" w:type="dxa"/>
            <w:noWrap w:val="0"/>
            <w:vAlign w:val="center"/>
          </w:tcPr>
          <w:p>
            <w:pPr>
              <w:snapToGrid w:val="0"/>
              <w:jc w:val="center"/>
              <w:rPr>
                <w:rFonts w:hint="eastAsia" w:ascii="宋体" w:hAnsi="宋体" w:cs="宋体"/>
                <w:bCs/>
                <w:kern w:val="0"/>
                <w:sz w:val="18"/>
                <w:szCs w:val="18"/>
              </w:rPr>
            </w:pPr>
            <w:r>
              <w:rPr>
                <w:rFonts w:hint="eastAsia" w:ascii="宋体" w:hAnsi="宋体" w:cs="宋体"/>
                <w:bCs/>
                <w:kern w:val="0"/>
                <w:sz w:val="18"/>
                <w:szCs w:val="18"/>
              </w:rPr>
              <w:t>标段</w:t>
            </w:r>
          </w:p>
        </w:tc>
        <w:tc>
          <w:tcPr>
            <w:tcW w:w="2126" w:type="dxa"/>
            <w:noWrap w:val="0"/>
            <w:vAlign w:val="center"/>
          </w:tcPr>
          <w:p>
            <w:pPr>
              <w:snapToGrid w:val="0"/>
              <w:jc w:val="center"/>
              <w:rPr>
                <w:rFonts w:ascii="宋体" w:hAnsi="宋体" w:cs="宋体"/>
                <w:bCs/>
                <w:kern w:val="0"/>
                <w:sz w:val="18"/>
                <w:szCs w:val="18"/>
              </w:rPr>
            </w:pPr>
            <w:r>
              <w:rPr>
                <w:rFonts w:hint="eastAsia" w:ascii="宋体" w:hAnsi="宋体" w:cs="宋体"/>
                <w:bCs/>
                <w:kern w:val="0"/>
                <w:sz w:val="18"/>
                <w:szCs w:val="18"/>
              </w:rPr>
              <w:t>里程桩号</w:t>
            </w:r>
          </w:p>
        </w:tc>
        <w:tc>
          <w:tcPr>
            <w:tcW w:w="1904" w:type="dxa"/>
            <w:noWrap w:val="0"/>
            <w:vAlign w:val="center"/>
          </w:tcPr>
          <w:p>
            <w:pPr>
              <w:snapToGrid w:val="0"/>
              <w:jc w:val="center"/>
              <w:rPr>
                <w:rFonts w:hint="eastAsia" w:ascii="宋体" w:hAnsi="宋体" w:cs="宋体"/>
                <w:bCs/>
                <w:kern w:val="0"/>
                <w:sz w:val="18"/>
                <w:szCs w:val="18"/>
              </w:rPr>
            </w:pPr>
            <w:r>
              <w:rPr>
                <w:rFonts w:hint="eastAsia" w:ascii="宋体" w:hAnsi="宋体" w:cs="宋体"/>
                <w:bCs/>
                <w:kern w:val="0"/>
                <w:sz w:val="18"/>
                <w:szCs w:val="18"/>
              </w:rPr>
              <w:t>招标范围</w:t>
            </w:r>
          </w:p>
        </w:tc>
        <w:tc>
          <w:tcPr>
            <w:tcW w:w="1701" w:type="dxa"/>
            <w:noWrap w:val="0"/>
            <w:vAlign w:val="center"/>
          </w:tcPr>
          <w:p>
            <w:pPr>
              <w:snapToGrid w:val="0"/>
              <w:jc w:val="center"/>
              <w:rPr>
                <w:rFonts w:hint="eastAsia" w:ascii="宋体" w:hAnsi="宋体" w:cs="宋体"/>
                <w:bCs/>
                <w:kern w:val="0"/>
                <w:sz w:val="18"/>
                <w:szCs w:val="18"/>
              </w:rPr>
            </w:pPr>
            <w:r>
              <w:rPr>
                <w:rFonts w:hint="eastAsia" w:ascii="宋体" w:hAnsi="宋体" w:cs="宋体"/>
                <w:bCs/>
                <w:kern w:val="0"/>
                <w:sz w:val="18"/>
                <w:szCs w:val="18"/>
              </w:rPr>
              <w:t>资质最低条件</w:t>
            </w:r>
          </w:p>
        </w:tc>
        <w:tc>
          <w:tcPr>
            <w:tcW w:w="3118" w:type="dxa"/>
            <w:noWrap w:val="0"/>
            <w:vAlign w:val="top"/>
          </w:tcPr>
          <w:p>
            <w:pPr>
              <w:snapToGrid w:val="0"/>
              <w:jc w:val="center"/>
              <w:rPr>
                <w:rFonts w:ascii="宋体" w:hAnsi="宋体"/>
                <w:sz w:val="18"/>
                <w:szCs w:val="18"/>
              </w:rPr>
            </w:pPr>
            <w:r>
              <w:rPr>
                <w:rFonts w:hint="eastAsia" w:ascii="宋体" w:hAnsi="宋体"/>
                <w:sz w:val="18"/>
                <w:szCs w:val="18"/>
              </w:rPr>
              <w:t>业绩最低要求</w:t>
            </w:r>
          </w:p>
          <w:p>
            <w:pPr>
              <w:snapToGrid w:val="0"/>
              <w:jc w:val="center"/>
              <w:rPr>
                <w:rFonts w:hint="eastAsia" w:ascii="宋体" w:hAnsi="宋体" w:cs="宋体"/>
                <w:b/>
                <w:bCs/>
                <w:kern w:val="0"/>
                <w:szCs w:val="21"/>
              </w:rPr>
            </w:pPr>
            <w:r>
              <w:rPr>
                <w:rFonts w:hint="eastAsia" w:ascii="宋体" w:hAnsi="宋体"/>
                <w:sz w:val="18"/>
                <w:szCs w:val="18"/>
              </w:rPr>
              <w:t>在2015年1月1日之后（以交工日期为准），投标人应累计完成过以下工程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9" w:hRule="atLeast"/>
          <w:jc w:val="center"/>
        </w:trPr>
        <w:tc>
          <w:tcPr>
            <w:tcW w:w="730"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cs="宋体"/>
                <w:bCs/>
                <w:kern w:val="0"/>
                <w:sz w:val="18"/>
                <w:szCs w:val="18"/>
              </w:rPr>
            </w:pPr>
            <w:r>
              <w:rPr>
                <w:rFonts w:ascii="宋体" w:hAnsi="宋体" w:cs="宋体"/>
                <w:bCs/>
                <w:kern w:val="0"/>
                <w:sz w:val="18"/>
                <w:szCs w:val="18"/>
              </w:rPr>
              <w:t>DSL</w:t>
            </w:r>
            <w:r>
              <w:rPr>
                <w:rFonts w:hint="eastAsia" w:ascii="宋体" w:hAnsi="宋体" w:cs="宋体"/>
                <w:bCs/>
                <w:kern w:val="0"/>
                <w:sz w:val="18"/>
                <w:szCs w:val="18"/>
              </w:rPr>
              <w:t>32</w:t>
            </w:r>
          </w:p>
        </w:tc>
        <w:tc>
          <w:tcPr>
            <w:tcW w:w="2126" w:type="dxa"/>
            <w:tcBorders>
              <w:top w:val="single" w:color="auto" w:sz="4" w:space="0"/>
              <w:left w:val="single" w:color="000000" w:sz="4" w:space="0"/>
              <w:bottom w:val="single" w:color="000000" w:sz="4" w:space="0"/>
              <w:right w:val="single" w:color="000000" w:sz="4" w:space="0"/>
            </w:tcBorders>
            <w:noWrap w:val="0"/>
            <w:vAlign w:val="center"/>
          </w:tcPr>
          <w:p>
            <w:pPr>
              <w:widowControl/>
              <w:snapToGrid w:val="0"/>
              <w:jc w:val="center"/>
              <w:rPr>
                <w:rFonts w:hint="eastAsia"/>
                <w:bCs/>
                <w:kern w:val="0"/>
                <w:sz w:val="18"/>
                <w:szCs w:val="18"/>
              </w:rPr>
            </w:pPr>
            <w:r>
              <w:rPr>
                <w:rFonts w:hint="eastAsia"/>
                <w:bCs/>
                <w:kern w:val="0"/>
                <w:sz w:val="18"/>
                <w:szCs w:val="18"/>
              </w:rPr>
              <w:t>K186+800-K226+300</w:t>
            </w:r>
          </w:p>
        </w:tc>
        <w:tc>
          <w:tcPr>
            <w:tcW w:w="1904" w:type="dxa"/>
            <w:tcBorders>
              <w:left w:val="single" w:color="000000" w:sz="4" w:space="0"/>
            </w:tcBorders>
            <w:noWrap w:val="0"/>
            <w:vAlign w:val="center"/>
          </w:tcPr>
          <w:p>
            <w:pPr>
              <w:snapToGrid w:val="0"/>
              <w:jc w:val="left"/>
              <w:rPr>
                <w:rFonts w:ascii="宋体" w:hAnsi="宋体"/>
                <w:bCs/>
                <w:snapToGrid w:val="0"/>
                <w:kern w:val="0"/>
                <w:sz w:val="18"/>
                <w:szCs w:val="18"/>
              </w:rPr>
            </w:pPr>
            <w:r>
              <w:rPr>
                <w:rFonts w:hint="eastAsia" w:ascii="宋体" w:hAnsi="宋体"/>
                <w:sz w:val="18"/>
                <w:szCs w:val="18"/>
              </w:rPr>
              <w:t>主线通信、监控、收费</w:t>
            </w:r>
            <w:r>
              <w:rPr>
                <w:rFonts w:ascii="宋体" w:hAnsi="宋体"/>
                <w:sz w:val="18"/>
                <w:szCs w:val="18"/>
              </w:rPr>
              <w:t>等综合机电系统及配套设备的施工及安装。</w:t>
            </w:r>
          </w:p>
        </w:tc>
        <w:tc>
          <w:tcPr>
            <w:tcW w:w="1701" w:type="dxa"/>
            <w:tcBorders>
              <w:left w:val="single" w:color="000000" w:sz="4" w:space="0"/>
              <w:right w:val="single" w:color="000000" w:sz="4" w:space="0"/>
            </w:tcBorders>
            <w:noWrap w:val="0"/>
            <w:vAlign w:val="top"/>
          </w:tcPr>
          <w:p>
            <w:pPr>
              <w:snapToGrid w:val="0"/>
              <w:jc w:val="left"/>
              <w:rPr>
                <w:rFonts w:hint="eastAsia" w:ascii="宋体" w:hAnsi="宋体"/>
                <w:sz w:val="18"/>
                <w:szCs w:val="18"/>
              </w:rPr>
            </w:pPr>
            <w:r>
              <w:rPr>
                <w:rFonts w:hint="eastAsia" w:ascii="宋体" w:hAnsi="宋体"/>
                <w:sz w:val="18"/>
                <w:szCs w:val="18"/>
              </w:rPr>
              <w:t>公路交通工程（公路机电工程分项）专业承包一级资质。</w:t>
            </w:r>
          </w:p>
        </w:tc>
        <w:tc>
          <w:tcPr>
            <w:tcW w:w="3118" w:type="dxa"/>
            <w:tcBorders>
              <w:left w:val="single" w:color="000000" w:sz="4" w:space="0"/>
            </w:tcBorders>
            <w:noWrap w:val="0"/>
            <w:vAlign w:val="top"/>
          </w:tcPr>
          <w:p>
            <w:pPr>
              <w:snapToGrid w:val="0"/>
              <w:jc w:val="left"/>
              <w:rPr>
                <w:rFonts w:hint="eastAsia" w:ascii="宋体" w:hAnsi="宋体"/>
                <w:b/>
                <w:bCs/>
                <w:snapToGrid w:val="0"/>
                <w:kern w:val="0"/>
                <w:szCs w:val="21"/>
              </w:rPr>
            </w:pPr>
            <w:r>
              <w:rPr>
                <w:rFonts w:hint="eastAsia" w:ascii="宋体" w:hAnsi="宋体"/>
                <w:sz w:val="18"/>
                <w:szCs w:val="18"/>
              </w:rPr>
              <w:t>已通过交工验收的高速公路通信、监控、收费综合系统工程，累计施工合同额等于或大于3000万元。</w:t>
            </w:r>
          </w:p>
        </w:tc>
      </w:tr>
    </w:tbl>
    <w:p>
      <w:pPr>
        <w:pStyle w:val="13"/>
        <w:shd w:val="clear" w:color="auto" w:fill="auto"/>
        <w:spacing w:before="196" w:beforeLines="82" w:after="120" w:line="240" w:lineRule="exact"/>
        <w:ind w:firstLine="522"/>
        <w:jc w:val="both"/>
        <w:rPr>
          <w:rFonts w:hint="eastAsia" w:ascii="宋体" w:hAnsi="宋体" w:eastAsia="宋体" w:cs="宋体"/>
          <w:bCs/>
          <w:sz w:val="21"/>
          <w:szCs w:val="21"/>
        </w:rPr>
      </w:pPr>
      <w:r>
        <w:rPr>
          <w:rFonts w:hint="eastAsia" w:ascii="宋体" w:hAnsi="宋体" w:eastAsia="宋体"/>
          <w:sz w:val="21"/>
          <w:szCs w:val="21"/>
        </w:rPr>
        <w:t>说明：本表中涉及到的各项工程均应为国内新建高速公路的机电工程，改扩建高速公路项目的机电工程、养护机电工程、国外高速公路机电工程不能作为本次招标的企业工程业绩。其中投标人的公路工程业绩应为已列入交通运输部“全国公路建设市场信用信息管理系统（</w:t>
      </w:r>
      <w:r>
        <w:rPr>
          <w:rFonts w:hint="eastAsia" w:ascii="宋体" w:hAnsi="宋体" w:eastAsia="宋体" w:cs="Consolas"/>
          <w:i/>
          <w:sz w:val="21"/>
          <w:szCs w:val="21"/>
        </w:rPr>
        <w:t>https://glxy.mot.gov.cn/</w:t>
      </w:r>
      <w:r>
        <w:rPr>
          <w:rFonts w:hint="eastAsia" w:ascii="宋体" w:hAnsi="宋体" w:eastAsia="宋体"/>
          <w:sz w:val="21"/>
          <w:szCs w:val="21"/>
        </w:rPr>
        <w:t>）”并公开的主包已建业绩，下同。</w:t>
      </w:r>
    </w:p>
    <w:p>
      <w:pPr>
        <w:pStyle w:val="13"/>
        <w:shd w:val="clear" w:color="auto" w:fill="auto"/>
        <w:spacing w:before="196" w:beforeLines="82" w:after="120" w:line="440" w:lineRule="exact"/>
        <w:ind w:firstLine="522"/>
        <w:jc w:val="both"/>
        <w:rPr>
          <w:rFonts w:hint="eastAsia" w:ascii="宋体" w:hAnsi="宋体" w:eastAsia="宋体" w:cs="宋体"/>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.4计划工期：</w:t>
      </w:r>
      <w:r>
        <w:rPr>
          <w:rFonts w:hint="eastAsia" w:ascii="宋体" w:hAnsi="宋体" w:eastAsia="宋体" w:cs="宋体"/>
          <w:bCs/>
          <w:sz w:val="21"/>
          <w:szCs w:val="21"/>
          <w:lang w:eastAsia="zh-CN"/>
        </w:rPr>
        <w:t>182</w:t>
      </w:r>
      <w:r>
        <w:rPr>
          <w:rFonts w:hint="eastAsia" w:ascii="宋体" w:hAnsi="宋体" w:eastAsia="宋体" w:cs="宋体"/>
          <w:bCs/>
          <w:sz w:val="21"/>
          <w:szCs w:val="21"/>
        </w:rPr>
        <w:t>日历天，计划开工日期</w:t>
      </w:r>
      <w:r>
        <w:rPr>
          <w:rFonts w:hint="eastAsia" w:ascii="宋体" w:hAnsi="宋体" w:eastAsia="宋体" w:cs="宋体"/>
          <w:sz w:val="21"/>
          <w:szCs w:val="21"/>
        </w:rPr>
        <w:t>20</w:t>
      </w:r>
      <w:r>
        <w:rPr>
          <w:rFonts w:hint="eastAsia" w:ascii="宋体" w:hAnsi="宋体" w:eastAsia="宋体" w:cs="宋体"/>
          <w:sz w:val="21"/>
          <w:szCs w:val="21"/>
          <w:lang w:eastAsia="zh-CN"/>
        </w:rPr>
        <w:t>20</w:t>
      </w:r>
      <w:r>
        <w:rPr>
          <w:rFonts w:hint="eastAsia" w:ascii="宋体" w:hAnsi="宋体" w:eastAsia="宋体" w:cs="宋体"/>
          <w:sz w:val="21"/>
          <w:szCs w:val="21"/>
        </w:rPr>
        <w:t>年</w:t>
      </w:r>
      <w:r>
        <w:rPr>
          <w:rFonts w:hint="eastAsia" w:ascii="宋体" w:hAnsi="宋体" w:eastAsia="宋体" w:cs="宋体"/>
          <w:sz w:val="21"/>
          <w:szCs w:val="21"/>
          <w:lang w:eastAsia="zh-CN"/>
        </w:rPr>
        <w:t>4</w:t>
      </w:r>
      <w:r>
        <w:rPr>
          <w:rFonts w:hint="eastAsia" w:ascii="宋体" w:hAnsi="宋体" w:eastAsia="宋体" w:cs="宋体"/>
          <w:sz w:val="21"/>
          <w:szCs w:val="21"/>
        </w:rPr>
        <w:t>月</w:t>
      </w:r>
      <w:r>
        <w:rPr>
          <w:rFonts w:hint="eastAsia" w:ascii="宋体" w:hAnsi="宋体" w:eastAsia="宋体" w:cs="宋体"/>
          <w:sz w:val="21"/>
          <w:szCs w:val="21"/>
          <w:lang w:eastAsia="zh-CN"/>
        </w:rPr>
        <w:t>1</w:t>
      </w:r>
      <w:r>
        <w:rPr>
          <w:rFonts w:hint="eastAsia" w:ascii="宋体" w:hAnsi="宋体" w:eastAsia="宋体" w:cs="宋体"/>
          <w:sz w:val="21"/>
          <w:szCs w:val="21"/>
        </w:rPr>
        <w:t>日，计划交工日期20</w:t>
      </w:r>
      <w:r>
        <w:rPr>
          <w:rFonts w:hint="eastAsia" w:ascii="宋体" w:hAnsi="宋体" w:eastAsia="宋体" w:cs="宋体"/>
          <w:sz w:val="21"/>
          <w:szCs w:val="21"/>
          <w:lang w:eastAsia="zh-CN"/>
        </w:rPr>
        <w:t>20</w:t>
      </w:r>
      <w:r>
        <w:rPr>
          <w:rFonts w:hint="eastAsia" w:ascii="宋体" w:hAnsi="宋体" w:eastAsia="宋体" w:cs="宋体"/>
          <w:sz w:val="21"/>
          <w:szCs w:val="21"/>
        </w:rPr>
        <w:t>年</w:t>
      </w:r>
      <w:r>
        <w:rPr>
          <w:rFonts w:hint="eastAsia" w:ascii="宋体" w:hAnsi="宋体" w:eastAsia="宋体" w:cs="宋体"/>
          <w:sz w:val="21"/>
          <w:szCs w:val="21"/>
          <w:lang w:eastAsia="zh-CN"/>
        </w:rPr>
        <w:t>9</w:t>
      </w:r>
      <w:r>
        <w:rPr>
          <w:rFonts w:hint="eastAsia" w:ascii="宋体" w:hAnsi="宋体" w:eastAsia="宋体" w:cs="宋体"/>
          <w:sz w:val="21"/>
          <w:szCs w:val="21"/>
        </w:rPr>
        <w:t>月</w:t>
      </w:r>
      <w:r>
        <w:rPr>
          <w:rFonts w:hint="eastAsia" w:ascii="宋体" w:hAnsi="宋体" w:eastAsia="宋体" w:cs="宋体"/>
          <w:sz w:val="21"/>
          <w:szCs w:val="21"/>
          <w:lang w:eastAsia="zh-CN"/>
        </w:rPr>
        <w:t>30</w:t>
      </w:r>
      <w:r>
        <w:rPr>
          <w:rFonts w:hint="eastAsia" w:ascii="宋体" w:hAnsi="宋体" w:eastAsia="宋体" w:cs="宋体"/>
          <w:sz w:val="21"/>
          <w:szCs w:val="21"/>
        </w:rPr>
        <w:t>日。</w:t>
      </w:r>
    </w:p>
    <w:p>
      <w:pPr>
        <w:pStyle w:val="2"/>
        <w:jc w:val="left"/>
        <w:rPr>
          <w:rFonts w:hint="eastAsia" w:ascii="黑体" w:hAnsi="黑体" w:eastAsia="黑体" w:cs="黑体"/>
          <w:b/>
          <w:sz w:val="28"/>
          <w:szCs w:val="28"/>
        </w:rPr>
      </w:pPr>
      <w:r>
        <w:rPr>
          <w:rFonts w:hint="eastAsia" w:ascii="黑体" w:hAnsi="黑体" w:eastAsia="黑体" w:cs="黑体"/>
          <w:b/>
          <w:sz w:val="28"/>
          <w:szCs w:val="28"/>
        </w:rPr>
        <w:t>2.资格审查条件</w:t>
      </w:r>
    </w:p>
    <w:p>
      <w:pPr>
        <w:pStyle w:val="5"/>
        <w:adjustRightInd w:val="0"/>
        <w:snapToGrid w:val="0"/>
        <w:spacing w:before="240" w:beforeLines="100" w:after="120" w:afterLines="50" w:line="240" w:lineRule="auto"/>
        <w:jc w:val="center"/>
        <w:rPr>
          <w:rFonts w:hint="eastAsia" w:ascii="黑体" w:hAnsi="黑体"/>
          <w:b w:val="0"/>
        </w:rPr>
      </w:pPr>
      <w:bookmarkStart w:id="0" w:name="_Toc484950570"/>
      <w:bookmarkStart w:id="1" w:name="_Toc27397076"/>
      <w:r>
        <w:rPr>
          <w:rFonts w:hint="eastAsia" w:ascii="黑体" w:hAnsi="黑体"/>
          <w:b w:val="0"/>
        </w:rPr>
        <w:t>附录1</w:t>
      </w:r>
      <w:r>
        <w:rPr>
          <w:rFonts w:ascii="黑体" w:hAnsi="黑体"/>
          <w:b w:val="0"/>
        </w:rPr>
        <w:t xml:space="preserve">  </w:t>
      </w:r>
      <w:r>
        <w:rPr>
          <w:rFonts w:hint="eastAsia" w:ascii="黑体" w:hAnsi="黑体"/>
          <w:b w:val="0"/>
        </w:rPr>
        <w:t>资格审查条件（资质最低要求）</w:t>
      </w:r>
      <w:bookmarkEnd w:id="0"/>
      <w:bookmarkEnd w:id="1"/>
    </w:p>
    <w:p>
      <w:pPr>
        <w:ind w:firstLine="420" w:firstLineChars="200"/>
        <w:rPr>
          <w:rFonts w:hint="eastAsia"/>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9" w:type="dxa"/>
            <w:noWrap w:val="0"/>
            <w:vAlign w:val="center"/>
          </w:tcPr>
          <w:p>
            <w:pPr>
              <w:snapToGrid w:val="0"/>
              <w:jc w:val="center"/>
              <w:rPr>
                <w:rFonts w:hint="eastAsia" w:ascii="宋体" w:hAnsi="宋体"/>
                <w:szCs w:val="21"/>
              </w:rPr>
            </w:pPr>
            <w:r>
              <w:rPr>
                <w:rFonts w:hint="eastAsia" w:ascii="宋体" w:hAnsi="宋体"/>
                <w:szCs w:val="21"/>
              </w:rPr>
              <w:t>资质最低条件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9" w:type="dxa"/>
            <w:noWrap w:val="0"/>
            <w:vAlign w:val="center"/>
          </w:tcPr>
          <w:p>
            <w:pPr>
              <w:adjustRightInd w:val="0"/>
              <w:snapToGrid w:val="0"/>
              <w:jc w:val="center"/>
              <w:rPr>
                <w:rFonts w:hint="eastAsia" w:ascii="宋体" w:hAnsi="宋体"/>
                <w:szCs w:val="21"/>
              </w:rPr>
            </w:pPr>
            <w:r>
              <w:rPr>
                <w:rFonts w:hint="eastAsia" w:ascii="宋体" w:hAnsi="宋体"/>
                <w:szCs w:val="21"/>
              </w:rPr>
              <w:t>公路交通工程（公路机电工程分项）专业承包一级资质</w:t>
            </w:r>
          </w:p>
        </w:tc>
      </w:tr>
    </w:tbl>
    <w:p>
      <w:pPr>
        <w:spacing w:line="320" w:lineRule="exact"/>
        <w:rPr>
          <w:rFonts w:ascii="宋体" w:hAnsi="宋体"/>
          <w:sz w:val="18"/>
        </w:rPr>
      </w:pPr>
    </w:p>
    <w:p>
      <w:pPr>
        <w:pStyle w:val="5"/>
        <w:adjustRightInd w:val="0"/>
        <w:snapToGrid w:val="0"/>
        <w:spacing w:before="0" w:after="0" w:line="320" w:lineRule="exact"/>
        <w:jc w:val="center"/>
        <w:rPr>
          <w:rFonts w:hint="eastAsia" w:ascii="黑体" w:hAnsi="黑体"/>
          <w:b w:val="0"/>
          <w:kern w:val="44"/>
          <w:lang w:eastAsia="zh-CN"/>
        </w:rPr>
      </w:pPr>
      <w:bookmarkStart w:id="2" w:name="_Toc484950571"/>
    </w:p>
    <w:p>
      <w:pPr>
        <w:rPr>
          <w:rFonts w:hint="eastAsia"/>
        </w:rPr>
      </w:pPr>
    </w:p>
    <w:p>
      <w:pPr>
        <w:rPr>
          <w:rFonts w:hint="eastAsia"/>
        </w:rPr>
      </w:pPr>
    </w:p>
    <w:p>
      <w:pPr>
        <w:pStyle w:val="5"/>
        <w:adjustRightInd w:val="0"/>
        <w:snapToGrid w:val="0"/>
        <w:spacing w:before="0" w:after="0" w:line="320" w:lineRule="exact"/>
        <w:jc w:val="center"/>
        <w:rPr>
          <w:rFonts w:hint="eastAsia" w:ascii="黑体" w:hAnsi="黑体"/>
          <w:b w:val="0"/>
          <w:kern w:val="44"/>
        </w:rPr>
      </w:pPr>
      <w:bookmarkStart w:id="3" w:name="_Toc27397077"/>
      <w:r>
        <w:rPr>
          <w:rFonts w:hint="eastAsia" w:ascii="黑体" w:hAnsi="黑体"/>
          <w:b w:val="0"/>
          <w:kern w:val="44"/>
        </w:rPr>
        <w:t>附录2</w:t>
      </w:r>
      <w:r>
        <w:rPr>
          <w:rFonts w:ascii="黑体" w:hAnsi="黑体"/>
          <w:b w:val="0"/>
          <w:kern w:val="44"/>
        </w:rPr>
        <w:t xml:space="preserve">  </w:t>
      </w:r>
      <w:r>
        <w:rPr>
          <w:rFonts w:hint="eastAsia" w:ascii="黑体" w:hAnsi="黑体"/>
          <w:b w:val="0"/>
        </w:rPr>
        <w:t>资格审查条件</w:t>
      </w:r>
      <w:r>
        <w:rPr>
          <w:rFonts w:hint="eastAsia" w:ascii="黑体" w:hAnsi="黑体"/>
          <w:b w:val="0"/>
          <w:kern w:val="44"/>
        </w:rPr>
        <w:t>（财务最低要求）</w:t>
      </w:r>
      <w:bookmarkEnd w:id="2"/>
      <w:bookmarkEnd w:id="3"/>
    </w:p>
    <w:p>
      <w:pPr>
        <w:rPr>
          <w:rFonts w:hint="eastAsia"/>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39" w:type="dxa"/>
            <w:noWrap w:val="0"/>
            <w:vAlign w:val="center"/>
          </w:tcPr>
          <w:p>
            <w:pPr>
              <w:snapToGrid w:val="0"/>
              <w:spacing w:line="320" w:lineRule="exact"/>
              <w:jc w:val="center"/>
              <w:rPr>
                <w:rFonts w:hint="eastAsia" w:ascii="宋体" w:hAnsi="宋体"/>
                <w:szCs w:val="21"/>
              </w:rPr>
            </w:pPr>
            <w:r>
              <w:rPr>
                <w:rFonts w:hint="eastAsia" w:ascii="宋体" w:hAnsi="宋体"/>
                <w:szCs w:val="21"/>
              </w:rPr>
              <w:t>财务最低要求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39" w:type="dxa"/>
            <w:noWrap w:val="0"/>
            <w:vAlign w:val="center"/>
          </w:tcPr>
          <w:p>
            <w:pPr>
              <w:adjustRightInd w:val="0"/>
              <w:snapToGrid w:val="0"/>
              <w:spacing w:line="320" w:lineRule="exact"/>
              <w:ind w:firstLine="420" w:firstLineChars="200"/>
              <w:rPr>
                <w:rFonts w:hint="eastAsia" w:ascii="宋体" w:hAnsi="宋体" w:cs="宋体"/>
                <w:kern w:val="0"/>
                <w:szCs w:val="21"/>
              </w:rPr>
            </w:pPr>
            <w:r>
              <w:rPr>
                <w:rFonts w:hint="eastAsia" w:ascii="宋体" w:hAnsi="宋体" w:cs="宋体"/>
                <w:kern w:val="0"/>
                <w:szCs w:val="21"/>
              </w:rPr>
              <w:t>投标人的2018年度经审计的财务会计报表中流动资产与流动负债的比值不小于1。</w:t>
            </w:r>
          </w:p>
        </w:tc>
      </w:tr>
    </w:tbl>
    <w:p>
      <w:pPr>
        <w:spacing w:line="320" w:lineRule="exact"/>
        <w:ind w:firstLine="450" w:firstLineChars="250"/>
        <w:rPr>
          <w:rFonts w:hint="eastAsia" w:ascii="宋体" w:hAnsi="宋体"/>
          <w:sz w:val="18"/>
        </w:rPr>
      </w:pPr>
    </w:p>
    <w:p>
      <w:pPr>
        <w:spacing w:line="320" w:lineRule="exact"/>
        <w:rPr>
          <w:rFonts w:hint="eastAsia" w:ascii="宋体" w:hAnsi="宋体"/>
          <w:sz w:val="18"/>
        </w:rPr>
      </w:pPr>
    </w:p>
    <w:p>
      <w:pPr>
        <w:spacing w:line="320" w:lineRule="exact"/>
        <w:rPr>
          <w:rFonts w:hint="eastAsia" w:ascii="宋体" w:hAnsi="宋体"/>
          <w:sz w:val="18"/>
        </w:rPr>
      </w:pPr>
    </w:p>
    <w:p>
      <w:pPr>
        <w:spacing w:line="320" w:lineRule="exact"/>
        <w:rPr>
          <w:rFonts w:ascii="宋体" w:hAnsi="宋体"/>
          <w:sz w:val="18"/>
        </w:rPr>
      </w:pPr>
    </w:p>
    <w:p>
      <w:pPr>
        <w:pStyle w:val="5"/>
        <w:adjustRightInd w:val="0"/>
        <w:snapToGrid w:val="0"/>
        <w:spacing w:before="0" w:after="0" w:line="320" w:lineRule="exact"/>
        <w:jc w:val="center"/>
        <w:rPr>
          <w:rFonts w:hint="eastAsia" w:ascii="黑体" w:hAnsi="黑体"/>
          <w:b w:val="0"/>
          <w:kern w:val="44"/>
        </w:rPr>
      </w:pPr>
      <w:bookmarkStart w:id="4" w:name="_Toc484950572"/>
      <w:bookmarkStart w:id="5" w:name="_Toc27397078"/>
      <w:r>
        <w:rPr>
          <w:rFonts w:hint="eastAsia" w:ascii="黑体" w:hAnsi="黑体"/>
          <w:b w:val="0"/>
          <w:kern w:val="44"/>
        </w:rPr>
        <w:t>附录3</w:t>
      </w:r>
      <w:r>
        <w:rPr>
          <w:rFonts w:ascii="黑体" w:hAnsi="黑体"/>
          <w:b w:val="0"/>
          <w:kern w:val="44"/>
        </w:rPr>
        <w:t xml:space="preserve">  </w:t>
      </w:r>
      <w:r>
        <w:rPr>
          <w:rFonts w:hint="eastAsia" w:ascii="黑体" w:hAnsi="黑体"/>
          <w:b w:val="0"/>
        </w:rPr>
        <w:t>资格审查条件</w:t>
      </w:r>
      <w:r>
        <w:rPr>
          <w:rFonts w:hint="eastAsia" w:ascii="黑体" w:hAnsi="黑体"/>
          <w:b w:val="0"/>
          <w:kern w:val="44"/>
        </w:rPr>
        <w:t>（业绩最低要求）</w:t>
      </w:r>
      <w:bookmarkEnd w:id="4"/>
      <w:bookmarkEnd w:id="5"/>
    </w:p>
    <w:p>
      <w:pPr>
        <w:ind w:firstLine="420" w:firstLineChars="200"/>
        <w:rPr>
          <w:rFonts w:hint="eastAsia" w:ascii="宋体" w:hAnsi="宋体"/>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7" w:type="dxa"/>
            <w:noWrap w:val="0"/>
            <w:vAlign w:val="center"/>
          </w:tcPr>
          <w:p>
            <w:pPr>
              <w:snapToGrid w:val="0"/>
              <w:spacing w:line="320" w:lineRule="exact"/>
              <w:jc w:val="center"/>
              <w:rPr>
                <w:rFonts w:hint="eastAsia" w:ascii="宋体" w:hAnsi="宋体"/>
                <w:szCs w:val="21"/>
              </w:rPr>
            </w:pPr>
            <w:r>
              <w:rPr>
                <w:rFonts w:hint="eastAsia" w:ascii="宋体" w:hAnsi="宋体"/>
                <w:szCs w:val="21"/>
              </w:rPr>
              <w:t>业绩要求</w:t>
            </w:r>
          </w:p>
          <w:p>
            <w:pPr>
              <w:snapToGrid w:val="0"/>
              <w:spacing w:line="320" w:lineRule="exact"/>
              <w:jc w:val="center"/>
              <w:rPr>
                <w:rFonts w:hint="eastAsia" w:ascii="宋体" w:hAnsi="宋体"/>
                <w:szCs w:val="21"/>
              </w:rPr>
            </w:pPr>
            <w:r>
              <w:rPr>
                <w:rFonts w:hint="eastAsia" w:ascii="宋体" w:hAnsi="宋体"/>
                <w:szCs w:val="21"/>
              </w:rPr>
              <w:t>（在2015年1月1日之后（以交工日期为准），投标人应累计完成过以下工程）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807" w:type="dxa"/>
            <w:noWrap w:val="0"/>
            <w:vAlign w:val="center"/>
          </w:tcPr>
          <w:p>
            <w:pPr>
              <w:snapToGrid w:val="0"/>
              <w:jc w:val="left"/>
              <w:rPr>
                <w:rFonts w:hint="eastAsia" w:ascii="宋体" w:hAnsi="宋体"/>
                <w:b/>
                <w:bCs/>
                <w:snapToGrid w:val="0"/>
                <w:kern w:val="0"/>
                <w:szCs w:val="21"/>
              </w:rPr>
            </w:pPr>
            <w:r>
              <w:rPr>
                <w:rFonts w:hint="eastAsia" w:ascii="宋体" w:hAnsi="宋体"/>
                <w:szCs w:val="21"/>
              </w:rPr>
              <w:t>已通过交工验收的高速公路通信、监控、收费综合系统工程，累计施工合同额等于或大于3000万元。</w:t>
            </w:r>
          </w:p>
        </w:tc>
      </w:tr>
    </w:tbl>
    <w:p>
      <w:pPr>
        <w:adjustRightInd w:val="0"/>
        <w:snapToGrid w:val="0"/>
        <w:spacing w:line="320" w:lineRule="exact"/>
        <w:rPr>
          <w:rFonts w:hint="eastAsia" w:ascii="宋体" w:hAnsi="宋体"/>
          <w:sz w:val="18"/>
          <w:szCs w:val="18"/>
        </w:rPr>
      </w:pPr>
    </w:p>
    <w:p>
      <w:pPr>
        <w:adjustRightInd w:val="0"/>
        <w:snapToGrid w:val="0"/>
        <w:jc w:val="left"/>
        <w:rPr>
          <w:rFonts w:ascii="宋体"/>
          <w:sz w:val="18"/>
          <w:szCs w:val="18"/>
        </w:rPr>
      </w:pPr>
      <w:bookmarkStart w:id="6" w:name="_Toc484950573"/>
      <w:r>
        <w:rPr>
          <w:rFonts w:hint="eastAsia" w:ascii="宋体" w:hAnsi="宋体"/>
          <w:sz w:val="18"/>
          <w:szCs w:val="18"/>
        </w:rPr>
        <w:t xml:space="preserve">说明： </w:t>
      </w:r>
      <w:r>
        <w:rPr>
          <w:rFonts w:hint="eastAsia"/>
          <w:sz w:val="18"/>
        </w:rPr>
        <w:t>（</w:t>
      </w:r>
      <w:r>
        <w:rPr>
          <w:rFonts w:ascii="宋体" w:hAnsi="宋体"/>
          <w:sz w:val="18"/>
          <w:szCs w:val="18"/>
        </w:rPr>
        <w:t>1</w:t>
      </w:r>
      <w:r>
        <w:rPr>
          <w:rFonts w:hint="eastAsia" w:ascii="宋体" w:hAnsi="宋体"/>
          <w:sz w:val="18"/>
          <w:szCs w:val="18"/>
        </w:rPr>
        <w:t>）表中涉及到的各项工程术语均执行《公路工程技术标准》（</w:t>
      </w:r>
      <w:r>
        <w:rPr>
          <w:rFonts w:ascii="宋体" w:hAnsi="宋体"/>
          <w:sz w:val="18"/>
          <w:szCs w:val="18"/>
        </w:rPr>
        <w:t>JTG B01-2014</w:t>
      </w:r>
      <w:r>
        <w:rPr>
          <w:rFonts w:hint="eastAsia" w:ascii="宋体" w:hAnsi="宋体"/>
          <w:sz w:val="18"/>
          <w:szCs w:val="18"/>
        </w:rPr>
        <w:t>）的标准；</w:t>
      </w:r>
    </w:p>
    <w:p>
      <w:pPr>
        <w:adjustRightInd w:val="0"/>
        <w:snapToGrid w:val="0"/>
        <w:ind w:left="630" w:leftChars="300"/>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）业绩要求中的机电工程业绩均为国内新建高速公路的机电工程；</w:t>
      </w:r>
    </w:p>
    <w:p>
      <w:pPr>
        <w:adjustRightInd w:val="0"/>
        <w:snapToGrid w:val="0"/>
        <w:ind w:firstLine="630" w:firstLineChars="350"/>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）改扩建高速公路项目的机电工程、养护机电工程、国外高速公路机电工程不能作为本次招标的企业工程业绩。</w:t>
      </w:r>
    </w:p>
    <w:p>
      <w:pPr>
        <w:adjustRightInd w:val="0"/>
        <w:snapToGrid w:val="0"/>
        <w:ind w:firstLine="630" w:firstLineChars="350"/>
        <w:rPr>
          <w:rFonts w:hint="eastAsia"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企业施工业绩指交通运输部“全国公路建设市场信用信息管理系统”（http：//glxy.mot.gov.cn）中已载明且通过省级交通运输主管部门审核的投标人的已建主包业绩，其网页截图中应能明确查询到项目名称、公路等级、交工日期和业绩最低要求对应的各项工程内容信息（</w:t>
      </w:r>
      <w:r>
        <w:rPr>
          <w:rFonts w:hint="eastAsia" w:ascii="宋体" w:hAnsi="宋体" w:cs="宋体"/>
          <w:sz w:val="18"/>
          <w:szCs w:val="18"/>
        </w:rPr>
        <w:t>主要指机电工程合同额等</w:t>
      </w:r>
      <w:r>
        <w:rPr>
          <w:rFonts w:hint="eastAsia" w:ascii="宋体" w:hAnsi="宋体"/>
          <w:sz w:val="18"/>
          <w:szCs w:val="18"/>
        </w:rPr>
        <w:t>）。评审时将按投标人提供的业绩网页截图进行必要的网上核实，并以核实后的信息为准。如网页截图中的信息不能查找出本次招标要求的工程信息，则视为未填报此项业绩，同时不接受除网页截图外的其他证明材料。如网页截图信息与实际情况不符，其后果由投标人自行负责，招标人将按《中华人民共和国招标投标法》第三十三条及《中华人民共和国招标投标法实施条例》第四十二条规定执行，并将相关行为上报交通行政主管部门按有关规定严肃处理。</w:t>
      </w:r>
    </w:p>
    <w:p>
      <w:pPr>
        <w:adjustRightInd w:val="0"/>
        <w:snapToGrid w:val="0"/>
        <w:ind w:firstLine="637" w:firstLineChars="350"/>
        <w:rPr>
          <w:rFonts w:hint="eastAsia"/>
          <w:spacing w:val="1"/>
          <w:sz w:val="18"/>
          <w:szCs w:val="21"/>
        </w:rPr>
      </w:pPr>
    </w:p>
    <w:p>
      <w:pPr>
        <w:adjustRightInd w:val="0"/>
        <w:snapToGrid w:val="0"/>
        <w:ind w:firstLine="637" w:firstLineChars="350"/>
        <w:rPr>
          <w:rFonts w:hint="eastAsia"/>
          <w:spacing w:val="1"/>
          <w:sz w:val="18"/>
          <w:szCs w:val="21"/>
        </w:rPr>
      </w:pPr>
    </w:p>
    <w:p>
      <w:pPr>
        <w:adjustRightInd w:val="0"/>
        <w:snapToGrid w:val="0"/>
        <w:ind w:firstLine="637" w:firstLineChars="350"/>
        <w:rPr>
          <w:rFonts w:hint="eastAsia"/>
          <w:spacing w:val="1"/>
          <w:sz w:val="18"/>
          <w:szCs w:val="21"/>
        </w:rPr>
      </w:pPr>
    </w:p>
    <w:p>
      <w:pPr>
        <w:adjustRightInd w:val="0"/>
        <w:snapToGrid w:val="0"/>
        <w:ind w:firstLine="637" w:firstLineChars="350"/>
        <w:rPr>
          <w:rFonts w:hint="eastAsia"/>
          <w:spacing w:val="1"/>
          <w:sz w:val="18"/>
          <w:szCs w:val="21"/>
        </w:rPr>
      </w:pPr>
    </w:p>
    <w:p>
      <w:pPr>
        <w:adjustRightInd w:val="0"/>
        <w:snapToGrid w:val="0"/>
        <w:ind w:firstLine="637" w:firstLineChars="350"/>
        <w:rPr>
          <w:rFonts w:hint="eastAsia"/>
          <w:spacing w:val="1"/>
          <w:sz w:val="18"/>
          <w:szCs w:val="21"/>
        </w:rPr>
      </w:pPr>
    </w:p>
    <w:p>
      <w:pPr>
        <w:adjustRightInd w:val="0"/>
        <w:snapToGrid w:val="0"/>
        <w:ind w:firstLine="637" w:firstLineChars="350"/>
        <w:rPr>
          <w:rFonts w:hint="eastAsia"/>
          <w:spacing w:val="1"/>
          <w:sz w:val="18"/>
          <w:szCs w:val="21"/>
        </w:rPr>
      </w:pPr>
    </w:p>
    <w:p>
      <w:pPr>
        <w:pStyle w:val="5"/>
        <w:adjustRightInd w:val="0"/>
        <w:snapToGrid w:val="0"/>
        <w:spacing w:before="0" w:after="0" w:line="320" w:lineRule="exact"/>
        <w:jc w:val="center"/>
        <w:rPr>
          <w:rFonts w:ascii="宋体" w:hAnsi="宋体" w:eastAsia="宋体"/>
          <w:kern w:val="44"/>
        </w:rPr>
      </w:pPr>
      <w:r>
        <w:rPr>
          <w:rFonts w:ascii="宋体" w:hAnsi="宋体" w:eastAsia="宋体"/>
          <w:kern w:val="44"/>
        </w:rPr>
        <w:t xml:space="preserve">  </w:t>
      </w:r>
    </w:p>
    <w:p>
      <w:pPr>
        <w:pStyle w:val="5"/>
        <w:adjustRightInd w:val="0"/>
        <w:snapToGrid w:val="0"/>
        <w:spacing w:before="0" w:after="0" w:line="320" w:lineRule="exact"/>
        <w:jc w:val="center"/>
        <w:rPr>
          <w:rFonts w:hint="eastAsia" w:ascii="黑体" w:hAnsi="黑体"/>
          <w:b w:val="0"/>
          <w:kern w:val="44"/>
        </w:rPr>
      </w:pPr>
      <w:bookmarkStart w:id="7" w:name="_Toc27397079"/>
      <w:r>
        <w:rPr>
          <w:rFonts w:hint="eastAsia" w:ascii="黑体" w:hAnsi="黑体"/>
          <w:b w:val="0"/>
          <w:kern w:val="44"/>
        </w:rPr>
        <w:t>附录4</w:t>
      </w:r>
      <w:r>
        <w:rPr>
          <w:rFonts w:ascii="黑体" w:hAnsi="黑体"/>
          <w:b w:val="0"/>
          <w:kern w:val="44"/>
        </w:rPr>
        <w:t xml:space="preserve">  </w:t>
      </w:r>
      <w:r>
        <w:rPr>
          <w:rFonts w:hint="eastAsia" w:ascii="黑体" w:hAnsi="黑体"/>
          <w:b w:val="0"/>
        </w:rPr>
        <w:t>资格审查条件</w:t>
      </w:r>
      <w:r>
        <w:rPr>
          <w:rFonts w:hint="eastAsia" w:ascii="黑体" w:hAnsi="黑体"/>
          <w:b w:val="0"/>
          <w:kern w:val="44"/>
        </w:rPr>
        <w:t>（信誉最低要求）</w:t>
      </w:r>
      <w:bookmarkEnd w:id="6"/>
      <w:bookmarkEnd w:id="7"/>
    </w:p>
    <w:p>
      <w:pPr>
        <w:ind w:firstLine="630" w:firstLineChars="300"/>
        <w:rPr>
          <w:rFonts w:hint="eastAsia"/>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8" w:type="dxa"/>
            <w:noWrap w:val="0"/>
            <w:vAlign w:val="center"/>
          </w:tcPr>
          <w:p>
            <w:pPr>
              <w:snapToGrid w:val="0"/>
              <w:spacing w:line="320" w:lineRule="exact"/>
              <w:jc w:val="center"/>
              <w:rPr>
                <w:rFonts w:hint="eastAsia" w:ascii="宋体" w:hAnsi="宋体"/>
                <w:szCs w:val="21"/>
              </w:rPr>
            </w:pPr>
            <w:r>
              <w:rPr>
                <w:rFonts w:hint="eastAsia" w:ascii="宋体" w:hAnsi="宋体"/>
                <w:szCs w:val="21"/>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18" w:type="dxa"/>
            <w:noWrap w:val="0"/>
            <w:vAlign w:val="center"/>
          </w:tcPr>
          <w:p>
            <w:pPr>
              <w:snapToGrid w:val="0"/>
              <w:rPr>
                <w:rFonts w:ascii="宋体" w:cs="宋体"/>
                <w:kern w:val="0"/>
                <w:szCs w:val="21"/>
              </w:rPr>
            </w:pPr>
            <w:r>
              <w:rPr>
                <w:rFonts w:hint="eastAsia" w:ascii="宋体" w:hAnsi="宋体" w:cs="宋体"/>
                <w:kern w:val="0"/>
                <w:szCs w:val="21"/>
              </w:rPr>
              <w:t>投标人不得存在以下规定的任何一种情形：</w:t>
            </w:r>
          </w:p>
          <w:p>
            <w:pPr>
              <w:autoSpaceDE w:val="0"/>
              <w:autoSpaceDN w:val="0"/>
              <w:adjustRightInd w:val="0"/>
              <w:spacing w:line="320" w:lineRule="exact"/>
              <w:rPr>
                <w:rFonts w:hint="eastAsia" w:ascii="宋体" w:hAnsi="宋体" w:cs="宋体"/>
                <w:kern w:val="0"/>
                <w:szCs w:val="21"/>
              </w:rPr>
            </w:pPr>
            <w:r>
              <w:rPr>
                <w:rFonts w:hint="eastAsia" w:ascii="宋体" w:hAnsi="宋体" w:cs="宋体"/>
                <w:kern w:val="0"/>
                <w:szCs w:val="21"/>
              </w:rPr>
              <w:t>(1)被责令停业的；</w:t>
            </w:r>
          </w:p>
          <w:p>
            <w:pPr>
              <w:autoSpaceDE w:val="0"/>
              <w:autoSpaceDN w:val="0"/>
              <w:adjustRightInd w:val="0"/>
              <w:spacing w:line="320" w:lineRule="exact"/>
              <w:rPr>
                <w:rFonts w:hint="eastAsia" w:ascii="宋体" w:hAnsi="宋体" w:cs="宋体"/>
                <w:kern w:val="0"/>
                <w:szCs w:val="21"/>
              </w:rPr>
            </w:pPr>
            <w:r>
              <w:rPr>
                <w:rFonts w:hint="eastAsia" w:ascii="宋体" w:hAnsi="宋体" w:cs="宋体"/>
                <w:kern w:val="0"/>
                <w:szCs w:val="21"/>
              </w:rPr>
              <w:t>(2)财产被接管或冻结的；</w:t>
            </w:r>
          </w:p>
          <w:p>
            <w:pPr>
              <w:autoSpaceDE w:val="0"/>
              <w:autoSpaceDN w:val="0"/>
              <w:adjustRightInd w:val="0"/>
              <w:spacing w:line="320" w:lineRule="exact"/>
              <w:rPr>
                <w:rFonts w:hint="eastAsia" w:ascii="宋体" w:hAnsi="宋体" w:cs="宋体"/>
                <w:kern w:val="0"/>
                <w:szCs w:val="21"/>
              </w:rPr>
            </w:pPr>
            <w:r>
              <w:rPr>
                <w:rFonts w:hint="eastAsia" w:ascii="宋体" w:hAnsi="宋体" w:cs="宋体"/>
                <w:kern w:val="0"/>
                <w:szCs w:val="21"/>
              </w:rPr>
              <w:t>(3)</w:t>
            </w:r>
            <w:r>
              <w:rPr>
                <w:rFonts w:hint="eastAsia" w:hAnsi="宋体"/>
                <w:szCs w:val="21"/>
              </w:rPr>
              <w:t>被吉林省交通运输厅或交通运输部取消在</w:t>
            </w:r>
            <w:r>
              <w:rPr>
                <w:rFonts w:hint="eastAsia" w:ascii="宋体" w:hAnsi="宋体" w:cs="宋体"/>
                <w:szCs w:val="21"/>
              </w:rPr>
              <w:t>吉林省</w:t>
            </w:r>
            <w:r>
              <w:rPr>
                <w:rFonts w:hint="eastAsia" w:hAnsi="宋体"/>
                <w:szCs w:val="21"/>
              </w:rPr>
              <w:t>的投标资格或禁止进入吉林省建设市场且处于有效期内</w:t>
            </w:r>
            <w:r>
              <w:rPr>
                <w:rFonts w:hint="eastAsia" w:ascii="宋体" w:hAnsi="宋体" w:cs="宋体"/>
                <w:kern w:val="0"/>
                <w:szCs w:val="21"/>
              </w:rPr>
              <w:t>；</w:t>
            </w:r>
          </w:p>
          <w:p>
            <w:pPr>
              <w:autoSpaceDE w:val="0"/>
              <w:autoSpaceDN w:val="0"/>
              <w:adjustRightInd w:val="0"/>
              <w:spacing w:line="320" w:lineRule="exact"/>
              <w:rPr>
                <w:rFonts w:hint="eastAsia" w:hAnsi="宋体"/>
                <w:szCs w:val="21"/>
              </w:rPr>
            </w:pPr>
            <w:r>
              <w:rPr>
                <w:rFonts w:hint="eastAsia" w:ascii="宋体" w:hAnsi="宋体" w:cs="宋体"/>
                <w:kern w:val="0"/>
                <w:szCs w:val="21"/>
              </w:rPr>
              <w:t>(4)</w:t>
            </w:r>
            <w:r>
              <w:rPr>
                <w:rFonts w:hint="eastAsia" w:hAnsi="宋体"/>
                <w:szCs w:val="21"/>
              </w:rPr>
              <w:t>在吉林省交通运输厅《关于发布2018年度公路设计、施工企业吉林省省级综合评价结果的公告》或《交通运输部关于公布2018年度公路建设市场全国综合信用评价结果的公告》评价等级为D级的投标人；</w:t>
            </w:r>
          </w:p>
          <w:p>
            <w:pPr>
              <w:autoSpaceDE w:val="0"/>
              <w:autoSpaceDN w:val="0"/>
              <w:adjustRightInd w:val="0"/>
              <w:spacing w:line="320" w:lineRule="exact"/>
              <w:rPr>
                <w:rFonts w:hint="eastAsia" w:ascii="宋体" w:hAnsi="宋体" w:cs="宋体"/>
                <w:kern w:val="0"/>
                <w:szCs w:val="21"/>
              </w:rPr>
            </w:pPr>
            <w:r>
              <w:rPr>
                <w:rFonts w:hint="eastAsia" w:ascii="宋体" w:hAnsi="宋体" w:cs="宋体"/>
                <w:kern w:val="0"/>
                <w:szCs w:val="21"/>
              </w:rPr>
              <w:t>(5)</w:t>
            </w:r>
            <w:r>
              <w:rPr>
                <w:rFonts w:hint="eastAsia" w:ascii="宋体" w:hAnsi="宋体" w:cs="宋体"/>
                <w:szCs w:val="21"/>
              </w:rPr>
              <w:t>在2016年1月1日之后，有被本项目招标人以“投标人相互串通投标行为或弄虚作假行为”取消中标候选人资格的投标人</w:t>
            </w:r>
            <w:r>
              <w:rPr>
                <w:rFonts w:hint="eastAsia" w:ascii="宋体" w:hAnsi="宋体" w:cs="宋体"/>
                <w:kern w:val="0"/>
                <w:szCs w:val="21"/>
              </w:rPr>
              <w:t>。</w:t>
            </w:r>
          </w:p>
        </w:tc>
      </w:tr>
    </w:tbl>
    <w:p>
      <w:pPr>
        <w:pStyle w:val="5"/>
        <w:adjustRightInd w:val="0"/>
        <w:snapToGrid w:val="0"/>
        <w:spacing w:before="0" w:after="0" w:line="320" w:lineRule="exact"/>
        <w:jc w:val="center"/>
        <w:rPr>
          <w:rFonts w:hint="eastAsia" w:ascii="黑体" w:hAnsi="黑体"/>
          <w:b w:val="0"/>
          <w:kern w:val="44"/>
        </w:rPr>
      </w:pPr>
      <w:r>
        <w:rPr>
          <w:rFonts w:ascii="宋体" w:hAnsi="宋体" w:eastAsia="宋体"/>
          <w:b w:val="0"/>
          <w:kern w:val="44"/>
        </w:rPr>
        <w:br w:type="page"/>
      </w:r>
      <w:bookmarkStart w:id="8" w:name="_Toc27397080"/>
      <w:bookmarkStart w:id="9" w:name="_Toc484950574"/>
      <w:r>
        <w:rPr>
          <w:rFonts w:hint="eastAsia" w:ascii="黑体" w:hAnsi="黑体"/>
          <w:b w:val="0"/>
          <w:kern w:val="44"/>
        </w:rPr>
        <w:t>附录5</w:t>
      </w:r>
      <w:r>
        <w:rPr>
          <w:rFonts w:ascii="黑体" w:hAnsi="黑体"/>
          <w:b w:val="0"/>
          <w:kern w:val="44"/>
        </w:rPr>
        <w:t xml:space="preserve">  </w:t>
      </w:r>
      <w:r>
        <w:rPr>
          <w:rFonts w:hint="eastAsia" w:ascii="黑体" w:hAnsi="黑体"/>
          <w:b w:val="0"/>
        </w:rPr>
        <w:t>资格审查条件</w:t>
      </w:r>
      <w:r>
        <w:rPr>
          <w:rFonts w:hint="eastAsia" w:ascii="黑体" w:hAnsi="黑体"/>
          <w:b w:val="0"/>
          <w:kern w:val="44"/>
        </w:rPr>
        <w:t>（</w:t>
      </w:r>
      <w:r>
        <w:rPr>
          <w:rFonts w:hint="eastAsia" w:ascii="宋体" w:hAnsi="宋体" w:eastAsia="宋体"/>
          <w:b w:val="0"/>
          <w:kern w:val="44"/>
        </w:rPr>
        <w:t>项目经理和项目总工最低要求</w:t>
      </w:r>
      <w:r>
        <w:rPr>
          <w:rFonts w:hint="eastAsia" w:ascii="黑体" w:hAnsi="黑体"/>
          <w:b w:val="0"/>
          <w:kern w:val="44"/>
        </w:rPr>
        <w:t>）</w:t>
      </w:r>
      <w:bookmarkEnd w:id="8"/>
      <w:bookmarkEnd w:id="9"/>
    </w:p>
    <w:p>
      <w:pPr>
        <w:ind w:firstLine="420" w:firstLineChars="200"/>
        <w:rPr>
          <w:rFonts w:hint="eastAsia"/>
        </w:rPr>
      </w:pPr>
      <w:bookmarkStart w:id="10" w:name="_Toc484950576"/>
      <w:r>
        <w:rPr>
          <w:rFonts w:hint="eastAsia"/>
        </w:rPr>
        <w:t xml:space="preserve"> </w:t>
      </w:r>
    </w:p>
    <w:p>
      <w:pPr>
        <w:ind w:firstLine="420" w:firstLineChars="200"/>
        <w:rPr>
          <w:rFonts w:hint="eastAsia"/>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3"/>
        <w:gridCol w:w="769"/>
        <w:gridCol w:w="7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143" w:type="dxa"/>
            <w:noWrap w:val="0"/>
            <w:vAlign w:val="center"/>
          </w:tcPr>
          <w:p>
            <w:pPr>
              <w:snapToGrid w:val="0"/>
              <w:spacing w:before="120" w:beforeLines="50" w:after="120" w:afterLines="50"/>
              <w:jc w:val="center"/>
              <w:rPr>
                <w:rFonts w:hint="eastAsia" w:ascii="宋体" w:hAnsi="宋体"/>
                <w:szCs w:val="21"/>
              </w:rPr>
            </w:pPr>
            <w:r>
              <w:rPr>
                <w:rFonts w:hint="eastAsia" w:ascii="宋体" w:hAnsi="宋体"/>
                <w:szCs w:val="21"/>
              </w:rPr>
              <w:t>人</w:t>
            </w:r>
            <w:r>
              <w:rPr>
                <w:rFonts w:ascii="宋体" w:hAnsi="宋体"/>
                <w:szCs w:val="21"/>
              </w:rPr>
              <w:t xml:space="preserve">  </w:t>
            </w:r>
            <w:r>
              <w:rPr>
                <w:rFonts w:hint="eastAsia" w:ascii="宋体" w:hAnsi="宋体"/>
                <w:szCs w:val="21"/>
              </w:rPr>
              <w:t>员</w:t>
            </w:r>
          </w:p>
        </w:tc>
        <w:tc>
          <w:tcPr>
            <w:tcW w:w="769" w:type="dxa"/>
            <w:noWrap w:val="0"/>
            <w:vAlign w:val="center"/>
          </w:tcPr>
          <w:p>
            <w:pPr>
              <w:snapToGrid w:val="0"/>
              <w:spacing w:before="120" w:beforeLines="50" w:after="120" w:afterLines="50"/>
              <w:jc w:val="center"/>
              <w:rPr>
                <w:rFonts w:ascii="Arial" w:hAnsi="Arial"/>
                <w:szCs w:val="21"/>
              </w:rPr>
            </w:pPr>
            <w:r>
              <w:rPr>
                <w:rFonts w:hint="eastAsia" w:ascii="宋体" w:hAnsi="宋体"/>
                <w:szCs w:val="21"/>
              </w:rPr>
              <w:t>数量</w:t>
            </w:r>
          </w:p>
        </w:tc>
        <w:tc>
          <w:tcPr>
            <w:tcW w:w="7435" w:type="dxa"/>
            <w:noWrap w:val="0"/>
            <w:vAlign w:val="center"/>
          </w:tcPr>
          <w:p>
            <w:pPr>
              <w:snapToGrid w:val="0"/>
              <w:spacing w:before="120" w:beforeLines="50" w:after="120" w:afterLines="50"/>
              <w:jc w:val="center"/>
              <w:rPr>
                <w:rFonts w:ascii="宋体" w:hAnsi="宋体"/>
                <w:szCs w:val="21"/>
              </w:rPr>
            </w:pPr>
            <w:r>
              <w:rPr>
                <w:rFonts w:hint="eastAsia" w:ascii="宋体" w:hAnsi="宋体"/>
                <w:szCs w:val="21"/>
              </w:rPr>
              <w:t>资格最低要求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6" w:hRule="atLeast"/>
          <w:jc w:val="center"/>
        </w:trPr>
        <w:tc>
          <w:tcPr>
            <w:tcW w:w="1143" w:type="dxa"/>
            <w:noWrap w:val="0"/>
            <w:vAlign w:val="center"/>
          </w:tcPr>
          <w:p>
            <w:pPr>
              <w:snapToGrid w:val="0"/>
              <w:jc w:val="center"/>
              <w:rPr>
                <w:rFonts w:hint="eastAsia" w:ascii="宋体" w:hAnsi="宋体"/>
                <w:sz w:val="18"/>
                <w:szCs w:val="18"/>
              </w:rPr>
            </w:pPr>
            <w:r>
              <w:rPr>
                <w:rFonts w:hint="eastAsia" w:ascii="宋体" w:hAnsi="宋体"/>
                <w:sz w:val="18"/>
                <w:szCs w:val="18"/>
              </w:rPr>
              <w:t>项目经理</w:t>
            </w:r>
          </w:p>
        </w:tc>
        <w:tc>
          <w:tcPr>
            <w:tcW w:w="769" w:type="dxa"/>
            <w:noWrap w:val="0"/>
            <w:vAlign w:val="center"/>
          </w:tcPr>
          <w:p>
            <w:pPr>
              <w:snapToGrid w:val="0"/>
              <w:jc w:val="center"/>
              <w:rPr>
                <w:rFonts w:ascii="Arial" w:hAnsi="Arial"/>
                <w:sz w:val="18"/>
                <w:szCs w:val="18"/>
              </w:rPr>
            </w:pPr>
            <w:r>
              <w:rPr>
                <w:rFonts w:hint="eastAsia" w:ascii="宋体" w:hAnsi="宋体"/>
                <w:sz w:val="18"/>
                <w:szCs w:val="18"/>
              </w:rPr>
              <w:t>1</w:t>
            </w:r>
          </w:p>
        </w:tc>
        <w:tc>
          <w:tcPr>
            <w:tcW w:w="7435" w:type="dxa"/>
            <w:noWrap w:val="0"/>
            <w:vAlign w:val="center"/>
          </w:tcPr>
          <w:p>
            <w:pPr>
              <w:numPr>
                <w:ilvl w:val="0"/>
                <w:numId w:val="1"/>
              </w:numPr>
              <w:adjustRightInd w:val="0"/>
              <w:snapToGrid w:val="0"/>
              <w:spacing w:after="76" w:afterLines="32"/>
              <w:ind w:firstLine="420"/>
              <w:rPr>
                <w:rFonts w:ascii="宋体" w:hAnsi="宋体"/>
                <w:sz w:val="18"/>
                <w:szCs w:val="18"/>
              </w:rPr>
            </w:pPr>
            <w:r>
              <w:rPr>
                <w:rFonts w:ascii="宋体" w:hAnsi="宋体"/>
                <w:sz w:val="18"/>
                <w:szCs w:val="18"/>
              </w:rPr>
              <w:t>投标人自有人员</w:t>
            </w:r>
            <w:r>
              <w:rPr>
                <w:rFonts w:hint="eastAsia" w:ascii="宋体" w:hAnsi="宋体"/>
                <w:sz w:val="18"/>
                <w:szCs w:val="18"/>
              </w:rPr>
              <w:t>。</w:t>
            </w:r>
          </w:p>
          <w:p>
            <w:pPr>
              <w:numPr>
                <w:ilvl w:val="0"/>
                <w:numId w:val="1"/>
              </w:numPr>
              <w:adjustRightInd w:val="0"/>
              <w:snapToGrid w:val="0"/>
              <w:spacing w:after="76" w:afterLines="32"/>
              <w:ind w:firstLine="420"/>
              <w:rPr>
                <w:rFonts w:ascii="宋体" w:hAnsi="宋体"/>
                <w:sz w:val="18"/>
                <w:szCs w:val="18"/>
              </w:rPr>
            </w:pPr>
            <w:r>
              <w:rPr>
                <w:rFonts w:ascii="宋体" w:hAnsi="宋体"/>
                <w:sz w:val="18"/>
                <w:szCs w:val="18"/>
              </w:rPr>
              <w:t>具有</w:t>
            </w:r>
            <w:r>
              <w:rPr>
                <w:rFonts w:hint="eastAsia" w:ascii="方正超粗黑简体" w:hAnsi="黑体" w:eastAsia="方正超粗黑简体"/>
                <w:sz w:val="18"/>
                <w:szCs w:val="18"/>
              </w:rPr>
              <w:t>公路工程或机电工程</w:t>
            </w:r>
            <w:r>
              <w:rPr>
                <w:rFonts w:ascii="方正超粗黑简体" w:hAnsi="黑体" w:eastAsia="方正超粗黑简体"/>
                <w:sz w:val="18"/>
                <w:szCs w:val="18"/>
              </w:rPr>
              <w:t>相关专业</w:t>
            </w:r>
            <w:r>
              <w:rPr>
                <w:rFonts w:hint="eastAsia" w:ascii="方正超粗黑简体" w:hAnsi="黑体" w:eastAsia="方正超粗黑简体"/>
                <w:sz w:val="18"/>
                <w:szCs w:val="18"/>
              </w:rPr>
              <w:t>中</w:t>
            </w:r>
            <w:r>
              <w:rPr>
                <w:rFonts w:ascii="方正超粗黑简体" w:hAnsi="黑体" w:eastAsia="方正超粗黑简体"/>
                <w:sz w:val="18"/>
                <w:szCs w:val="18"/>
              </w:rPr>
              <w:t>级</w:t>
            </w:r>
            <w:r>
              <w:rPr>
                <w:rFonts w:hint="eastAsia" w:ascii="方正超粗黑简体" w:hAnsi="黑体" w:eastAsia="方正超粗黑简体"/>
                <w:sz w:val="18"/>
                <w:szCs w:val="18"/>
              </w:rPr>
              <w:t>或以上</w:t>
            </w:r>
            <w:r>
              <w:rPr>
                <w:rFonts w:ascii="方正超粗黑简体" w:hAnsi="黑体" w:eastAsia="方正超粗黑简体"/>
                <w:sz w:val="18"/>
                <w:szCs w:val="18"/>
              </w:rPr>
              <w:t>技术职称</w:t>
            </w:r>
            <w:r>
              <w:rPr>
                <w:rFonts w:hint="eastAsia" w:ascii="宋体" w:hAnsi="宋体"/>
                <w:sz w:val="18"/>
                <w:szCs w:val="18"/>
              </w:rPr>
              <w:t>。</w:t>
            </w:r>
          </w:p>
          <w:p>
            <w:pPr>
              <w:numPr>
                <w:ilvl w:val="0"/>
                <w:numId w:val="1"/>
              </w:numPr>
              <w:adjustRightInd w:val="0"/>
              <w:snapToGrid w:val="0"/>
              <w:spacing w:after="76" w:afterLines="32"/>
              <w:ind w:firstLine="420"/>
              <w:rPr>
                <w:rFonts w:ascii="宋体" w:hAnsi="宋体"/>
                <w:bCs/>
                <w:sz w:val="18"/>
                <w:szCs w:val="18"/>
              </w:rPr>
            </w:pPr>
            <w:r>
              <w:rPr>
                <w:rFonts w:ascii="宋体" w:hAnsi="宋体"/>
                <w:sz w:val="18"/>
                <w:szCs w:val="18"/>
              </w:rPr>
              <w:t>持有建设行政主管部门颁发的“</w:t>
            </w:r>
            <w:r>
              <w:rPr>
                <w:rFonts w:hint="eastAsia" w:ascii="方正超粗黑简体" w:hAnsi="黑体" w:eastAsia="方正超粗黑简体"/>
                <w:sz w:val="18"/>
                <w:szCs w:val="18"/>
              </w:rPr>
              <w:t>机电工程</w:t>
            </w:r>
            <w:r>
              <w:rPr>
                <w:rFonts w:ascii="宋体" w:hAnsi="宋体"/>
                <w:sz w:val="18"/>
                <w:szCs w:val="18"/>
              </w:rPr>
              <w:t>”专业《</w:t>
            </w:r>
            <w:r>
              <w:rPr>
                <w:rFonts w:hint="eastAsia" w:ascii="方正超粗黑简体" w:hAnsi="黑体" w:eastAsia="方正超粗黑简体"/>
                <w:sz w:val="18"/>
                <w:szCs w:val="18"/>
              </w:rPr>
              <w:t>一</w:t>
            </w:r>
            <w:r>
              <w:rPr>
                <w:rFonts w:ascii="方正超粗黑简体" w:hAnsi="黑体" w:eastAsia="方正超粗黑简体"/>
                <w:sz w:val="18"/>
                <w:szCs w:val="18"/>
              </w:rPr>
              <w:t>级建造师</w:t>
            </w:r>
            <w:r>
              <w:rPr>
                <w:rFonts w:ascii="宋体" w:hAnsi="宋体"/>
                <w:sz w:val="18"/>
                <w:szCs w:val="18"/>
              </w:rPr>
              <w:t>注册证书》</w:t>
            </w:r>
            <w:r>
              <w:rPr>
                <w:rFonts w:hint="eastAsia" w:ascii="宋体" w:hAnsi="宋体"/>
                <w:bCs/>
                <w:sz w:val="18"/>
                <w:szCs w:val="18"/>
              </w:rPr>
              <w:t>，且现注册单位为投标人。</w:t>
            </w:r>
          </w:p>
          <w:p>
            <w:pPr>
              <w:numPr>
                <w:ilvl w:val="0"/>
                <w:numId w:val="1"/>
              </w:numPr>
              <w:adjustRightInd w:val="0"/>
              <w:snapToGrid w:val="0"/>
              <w:spacing w:after="76" w:afterLines="32"/>
              <w:ind w:firstLine="420"/>
              <w:rPr>
                <w:rFonts w:ascii="宋体" w:hAnsi="宋体"/>
                <w:sz w:val="18"/>
                <w:szCs w:val="18"/>
              </w:rPr>
            </w:pPr>
            <w:r>
              <w:rPr>
                <w:rFonts w:ascii="宋体" w:hAnsi="宋体"/>
                <w:sz w:val="18"/>
                <w:szCs w:val="18"/>
              </w:rPr>
              <w:t>具有</w:t>
            </w:r>
            <w:r>
              <w:rPr>
                <w:rFonts w:hint="eastAsia" w:ascii="宋体" w:hAnsi="宋体"/>
                <w:sz w:val="18"/>
                <w:szCs w:val="18"/>
              </w:rPr>
              <w:t>交通运输主管部门</w:t>
            </w:r>
            <w:r>
              <w:rPr>
                <w:rFonts w:ascii="宋体" w:hAnsi="宋体"/>
                <w:sz w:val="18"/>
                <w:szCs w:val="18"/>
              </w:rPr>
              <w:t>颁发的有效的</w:t>
            </w:r>
            <w:r>
              <w:rPr>
                <w:rFonts w:hint="eastAsia" w:ascii="方正超粗黑简体" w:hAnsi="黑体" w:eastAsia="方正超粗黑简体"/>
                <w:sz w:val="18"/>
                <w:szCs w:val="18"/>
              </w:rPr>
              <w:t>B类</w:t>
            </w:r>
            <w:r>
              <w:rPr>
                <w:rFonts w:ascii="宋体" w:hAnsi="宋体"/>
                <w:sz w:val="18"/>
                <w:szCs w:val="18"/>
              </w:rPr>
              <w:t>安全生产考核合格证书</w:t>
            </w:r>
            <w:r>
              <w:rPr>
                <w:rFonts w:hint="eastAsia" w:ascii="宋体" w:hAnsi="宋体"/>
                <w:sz w:val="18"/>
                <w:szCs w:val="18"/>
              </w:rPr>
              <w:t>。</w:t>
            </w:r>
          </w:p>
          <w:p>
            <w:pPr>
              <w:numPr>
                <w:ilvl w:val="0"/>
                <w:numId w:val="1"/>
              </w:numPr>
              <w:adjustRightInd w:val="0"/>
              <w:snapToGrid w:val="0"/>
              <w:spacing w:after="76" w:afterLines="32"/>
              <w:ind w:firstLine="420"/>
              <w:rPr>
                <w:rFonts w:ascii="宋体" w:hAnsi="宋体"/>
                <w:sz w:val="18"/>
                <w:szCs w:val="18"/>
              </w:rPr>
            </w:pPr>
            <w:r>
              <w:rPr>
                <w:rFonts w:hint="eastAsia" w:ascii="宋体" w:hAnsi="宋体"/>
                <w:sz w:val="18"/>
                <w:szCs w:val="18"/>
              </w:rPr>
              <w:t>担任过</w:t>
            </w:r>
            <w:r>
              <w:rPr>
                <w:rFonts w:hint="eastAsia" w:ascii="方正超粗黑简体" w:hAnsi="黑体" w:eastAsia="方正超粗黑简体"/>
                <w:sz w:val="18"/>
                <w:szCs w:val="18"/>
              </w:rPr>
              <w:t>1项国内高速公路机电工程</w:t>
            </w:r>
            <w:r>
              <w:rPr>
                <w:rFonts w:hint="eastAsia" w:ascii="宋体" w:hAnsi="宋体"/>
                <w:sz w:val="18"/>
                <w:szCs w:val="18"/>
              </w:rPr>
              <w:t>的项目经理。</w:t>
            </w:r>
          </w:p>
          <w:p>
            <w:pPr>
              <w:numPr>
                <w:ilvl w:val="0"/>
                <w:numId w:val="1"/>
              </w:numPr>
              <w:adjustRightInd w:val="0"/>
              <w:snapToGrid w:val="0"/>
              <w:spacing w:after="76" w:afterLines="32"/>
              <w:ind w:firstLine="420"/>
              <w:rPr>
                <w:rFonts w:ascii="宋体" w:hAnsi="宋体"/>
                <w:sz w:val="18"/>
                <w:szCs w:val="18"/>
              </w:rPr>
            </w:pPr>
            <w:r>
              <w:rPr>
                <w:rFonts w:hint="eastAsia" w:ascii="宋体" w:hAnsi="宋体"/>
                <w:sz w:val="18"/>
                <w:szCs w:val="18"/>
              </w:rPr>
              <w:t>投标人填报的项目经理任职项目，应已列入交通运输部“全国公路建设市场信用信息管理系统”（http：//glxy.mot.gov.cn）并公开的</w:t>
            </w:r>
            <w:r>
              <w:rPr>
                <w:rFonts w:hint="eastAsia" w:ascii="方正超粗黑简体" w:hAnsi="黑体" w:eastAsia="方正超粗黑简体"/>
                <w:sz w:val="18"/>
                <w:szCs w:val="18"/>
              </w:rPr>
              <w:t>主包已建</w:t>
            </w:r>
            <w:r>
              <w:rPr>
                <w:rFonts w:hint="eastAsia" w:ascii="宋体" w:hAnsi="宋体"/>
                <w:sz w:val="18"/>
                <w:szCs w:val="18"/>
              </w:rPr>
              <w:t>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3" w:hRule="atLeast"/>
          <w:jc w:val="center"/>
        </w:trPr>
        <w:tc>
          <w:tcPr>
            <w:tcW w:w="1143" w:type="dxa"/>
            <w:noWrap w:val="0"/>
            <w:vAlign w:val="center"/>
          </w:tcPr>
          <w:p>
            <w:pPr>
              <w:snapToGrid w:val="0"/>
              <w:jc w:val="center"/>
              <w:rPr>
                <w:rFonts w:hint="eastAsia" w:ascii="宋体" w:hAnsi="宋体"/>
                <w:sz w:val="18"/>
                <w:szCs w:val="18"/>
              </w:rPr>
            </w:pPr>
            <w:r>
              <w:rPr>
                <w:rFonts w:hint="eastAsia" w:ascii="宋体" w:hAnsi="宋体"/>
                <w:sz w:val="18"/>
                <w:szCs w:val="18"/>
              </w:rPr>
              <w:t>项目总工</w:t>
            </w:r>
          </w:p>
        </w:tc>
        <w:tc>
          <w:tcPr>
            <w:tcW w:w="769" w:type="dxa"/>
            <w:noWrap w:val="0"/>
            <w:vAlign w:val="center"/>
          </w:tcPr>
          <w:p>
            <w:pPr>
              <w:snapToGrid w:val="0"/>
              <w:jc w:val="center"/>
              <w:rPr>
                <w:rFonts w:ascii="Arial" w:hAnsi="Arial"/>
                <w:sz w:val="18"/>
                <w:szCs w:val="18"/>
              </w:rPr>
            </w:pPr>
            <w:r>
              <w:rPr>
                <w:rFonts w:hint="eastAsia" w:ascii="宋体" w:hAnsi="宋体"/>
                <w:sz w:val="18"/>
                <w:szCs w:val="18"/>
              </w:rPr>
              <w:t>1</w:t>
            </w:r>
          </w:p>
        </w:tc>
        <w:tc>
          <w:tcPr>
            <w:tcW w:w="7435" w:type="dxa"/>
            <w:noWrap w:val="0"/>
            <w:vAlign w:val="center"/>
          </w:tcPr>
          <w:p>
            <w:pPr>
              <w:numPr>
                <w:ilvl w:val="0"/>
                <w:numId w:val="2"/>
              </w:numPr>
              <w:adjustRightInd w:val="0"/>
              <w:snapToGrid w:val="0"/>
              <w:spacing w:after="64" w:afterLines="27"/>
              <w:ind w:firstLine="420"/>
              <w:rPr>
                <w:rFonts w:ascii="宋体" w:hAnsi="宋体"/>
                <w:sz w:val="18"/>
                <w:szCs w:val="18"/>
              </w:rPr>
            </w:pPr>
            <w:r>
              <w:rPr>
                <w:rFonts w:ascii="宋体" w:hAnsi="宋体"/>
                <w:sz w:val="18"/>
                <w:szCs w:val="18"/>
              </w:rPr>
              <w:t>投标人自有人员</w:t>
            </w:r>
            <w:r>
              <w:rPr>
                <w:rFonts w:hint="eastAsia" w:ascii="宋体" w:hAnsi="宋体"/>
                <w:sz w:val="18"/>
                <w:szCs w:val="18"/>
              </w:rPr>
              <w:t>。</w:t>
            </w:r>
          </w:p>
          <w:p>
            <w:pPr>
              <w:numPr>
                <w:ilvl w:val="0"/>
                <w:numId w:val="2"/>
              </w:numPr>
              <w:adjustRightInd w:val="0"/>
              <w:snapToGrid w:val="0"/>
              <w:spacing w:after="64" w:afterLines="27"/>
              <w:ind w:firstLine="420"/>
              <w:rPr>
                <w:rFonts w:ascii="宋体" w:hAnsi="宋体"/>
                <w:sz w:val="18"/>
                <w:szCs w:val="18"/>
              </w:rPr>
            </w:pPr>
            <w:r>
              <w:rPr>
                <w:rFonts w:ascii="宋体" w:hAnsi="宋体"/>
                <w:sz w:val="18"/>
                <w:szCs w:val="18"/>
              </w:rPr>
              <w:t>具有</w:t>
            </w:r>
            <w:r>
              <w:rPr>
                <w:rFonts w:hint="eastAsia" w:ascii="方正超粗黑简体" w:hAnsi="黑体" w:eastAsia="方正超粗黑简体"/>
                <w:sz w:val="18"/>
                <w:szCs w:val="18"/>
              </w:rPr>
              <w:t>机电工程</w:t>
            </w:r>
            <w:r>
              <w:rPr>
                <w:rFonts w:ascii="方正超粗黑简体" w:hAnsi="黑体" w:eastAsia="方正超粗黑简体"/>
                <w:sz w:val="18"/>
                <w:szCs w:val="18"/>
              </w:rPr>
              <w:t>相关专业</w:t>
            </w:r>
            <w:r>
              <w:rPr>
                <w:rFonts w:hint="eastAsia" w:ascii="方正超粗黑简体" w:hAnsi="黑体" w:eastAsia="方正超粗黑简体"/>
                <w:sz w:val="18"/>
                <w:szCs w:val="18"/>
              </w:rPr>
              <w:t>中</w:t>
            </w:r>
            <w:r>
              <w:rPr>
                <w:rFonts w:ascii="方正超粗黑简体" w:hAnsi="黑体" w:eastAsia="方正超粗黑简体"/>
                <w:sz w:val="18"/>
                <w:szCs w:val="18"/>
              </w:rPr>
              <w:t>级</w:t>
            </w:r>
            <w:r>
              <w:rPr>
                <w:rFonts w:hint="eastAsia" w:ascii="方正超粗黑简体" w:hAnsi="黑体" w:eastAsia="方正超粗黑简体"/>
                <w:sz w:val="18"/>
                <w:szCs w:val="18"/>
              </w:rPr>
              <w:t>或以上</w:t>
            </w:r>
            <w:r>
              <w:rPr>
                <w:rFonts w:ascii="方正超粗黑简体" w:hAnsi="黑体" w:eastAsia="方正超粗黑简体"/>
                <w:sz w:val="18"/>
                <w:szCs w:val="18"/>
              </w:rPr>
              <w:t>技术职称</w:t>
            </w:r>
            <w:r>
              <w:rPr>
                <w:rFonts w:hint="eastAsia" w:ascii="宋体" w:hAnsi="宋体"/>
                <w:sz w:val="18"/>
                <w:szCs w:val="18"/>
              </w:rPr>
              <w:t>。</w:t>
            </w:r>
          </w:p>
          <w:p>
            <w:pPr>
              <w:numPr>
                <w:ilvl w:val="0"/>
                <w:numId w:val="2"/>
              </w:numPr>
              <w:adjustRightInd w:val="0"/>
              <w:snapToGrid w:val="0"/>
              <w:spacing w:after="64" w:afterLines="27"/>
              <w:ind w:firstLine="420"/>
              <w:rPr>
                <w:rFonts w:ascii="宋体" w:hAnsi="宋体"/>
                <w:sz w:val="18"/>
                <w:szCs w:val="18"/>
              </w:rPr>
            </w:pPr>
            <w:r>
              <w:rPr>
                <w:rFonts w:ascii="宋体" w:hAnsi="宋体"/>
                <w:sz w:val="18"/>
                <w:szCs w:val="18"/>
              </w:rPr>
              <w:t>具有</w:t>
            </w:r>
            <w:r>
              <w:rPr>
                <w:rFonts w:hint="eastAsia" w:ascii="宋体" w:hAnsi="宋体"/>
                <w:sz w:val="18"/>
                <w:szCs w:val="18"/>
              </w:rPr>
              <w:t>交通运输主管部门</w:t>
            </w:r>
            <w:r>
              <w:rPr>
                <w:rFonts w:ascii="宋体" w:hAnsi="宋体"/>
                <w:sz w:val="18"/>
                <w:szCs w:val="18"/>
              </w:rPr>
              <w:t>颁发的有效的</w:t>
            </w:r>
            <w:r>
              <w:rPr>
                <w:rFonts w:hint="eastAsia" w:ascii="方正超粗黑简体" w:hAnsi="黑体" w:eastAsia="方正超粗黑简体"/>
                <w:sz w:val="18"/>
                <w:szCs w:val="18"/>
              </w:rPr>
              <w:t>B类</w:t>
            </w:r>
            <w:r>
              <w:rPr>
                <w:rFonts w:ascii="宋体" w:hAnsi="宋体"/>
                <w:sz w:val="18"/>
                <w:szCs w:val="18"/>
              </w:rPr>
              <w:t>安全生产考核合格证书</w:t>
            </w:r>
            <w:r>
              <w:rPr>
                <w:rFonts w:hint="eastAsia" w:ascii="宋体" w:hAnsi="宋体"/>
                <w:sz w:val="18"/>
                <w:szCs w:val="18"/>
              </w:rPr>
              <w:t>。</w:t>
            </w:r>
          </w:p>
          <w:p>
            <w:pPr>
              <w:numPr>
                <w:ilvl w:val="0"/>
                <w:numId w:val="2"/>
              </w:numPr>
              <w:adjustRightInd w:val="0"/>
              <w:snapToGrid w:val="0"/>
              <w:spacing w:after="64" w:afterLines="27"/>
              <w:ind w:firstLine="420"/>
              <w:rPr>
                <w:rFonts w:ascii="宋体" w:hAnsi="宋体"/>
                <w:sz w:val="18"/>
                <w:szCs w:val="18"/>
              </w:rPr>
            </w:pPr>
            <w:r>
              <w:rPr>
                <w:rFonts w:hint="eastAsia" w:ascii="宋体" w:hAnsi="宋体"/>
                <w:sz w:val="18"/>
                <w:szCs w:val="18"/>
              </w:rPr>
              <w:t>担任过</w:t>
            </w:r>
            <w:r>
              <w:rPr>
                <w:rFonts w:hint="eastAsia" w:ascii="方正超粗黑简体" w:hAnsi="黑体" w:eastAsia="方正超粗黑简体"/>
                <w:sz w:val="18"/>
                <w:szCs w:val="18"/>
              </w:rPr>
              <w:t>1项国内高速公路机电工程</w:t>
            </w:r>
            <w:r>
              <w:rPr>
                <w:rFonts w:hint="eastAsia" w:ascii="宋体" w:hAnsi="宋体"/>
                <w:sz w:val="18"/>
                <w:szCs w:val="18"/>
              </w:rPr>
              <w:t>的项目总工。</w:t>
            </w:r>
          </w:p>
          <w:p>
            <w:pPr>
              <w:numPr>
                <w:ilvl w:val="0"/>
                <w:numId w:val="2"/>
              </w:numPr>
              <w:adjustRightInd w:val="0"/>
              <w:snapToGrid w:val="0"/>
              <w:spacing w:after="64" w:afterLines="27"/>
              <w:ind w:firstLine="420"/>
              <w:rPr>
                <w:rFonts w:ascii="宋体" w:hAnsi="宋体"/>
                <w:sz w:val="18"/>
                <w:szCs w:val="18"/>
              </w:rPr>
            </w:pPr>
            <w:r>
              <w:rPr>
                <w:rFonts w:hint="eastAsia" w:ascii="宋体" w:hAnsi="宋体"/>
                <w:sz w:val="18"/>
                <w:szCs w:val="18"/>
              </w:rPr>
              <w:t>投标人填报的项目总工任职项目，应已列入交通运输部“全国公路建设市场信用信息管理系统”（http：//glxy.mot.gov.cn）并公开的</w:t>
            </w:r>
            <w:r>
              <w:rPr>
                <w:rFonts w:hint="eastAsia" w:ascii="方正超粗黑简体" w:hAnsi="黑体" w:eastAsia="方正超粗黑简体"/>
                <w:sz w:val="18"/>
                <w:szCs w:val="18"/>
              </w:rPr>
              <w:t>主包已建</w:t>
            </w:r>
            <w:r>
              <w:rPr>
                <w:rFonts w:hint="eastAsia" w:ascii="宋体" w:hAnsi="宋体"/>
                <w:sz w:val="18"/>
                <w:szCs w:val="18"/>
              </w:rPr>
              <w:t>业绩。</w:t>
            </w:r>
          </w:p>
        </w:tc>
      </w:tr>
    </w:tbl>
    <w:p>
      <w:pPr>
        <w:spacing w:line="300" w:lineRule="exact"/>
        <w:rPr>
          <w:rFonts w:hint="eastAsia" w:ascii="宋体" w:hAnsi="宋体"/>
          <w:sz w:val="18"/>
          <w:szCs w:val="18"/>
        </w:rPr>
      </w:pPr>
    </w:p>
    <w:p>
      <w:pPr>
        <w:spacing w:line="280" w:lineRule="exact"/>
        <w:rPr>
          <w:rFonts w:hint="eastAsia" w:ascii="宋体" w:hAnsi="宋体"/>
          <w:sz w:val="18"/>
          <w:szCs w:val="18"/>
        </w:rPr>
      </w:pPr>
      <w:r>
        <w:rPr>
          <w:rFonts w:hint="eastAsia" w:ascii="宋体" w:hAnsi="宋体"/>
          <w:sz w:val="18"/>
          <w:szCs w:val="18"/>
        </w:rPr>
        <w:t>说明</w:t>
      </w:r>
      <w:r>
        <w:rPr>
          <w:rFonts w:ascii="宋体" w:hAnsi="宋体"/>
          <w:sz w:val="18"/>
          <w:szCs w:val="18"/>
        </w:rPr>
        <w:t>：</w:t>
      </w:r>
      <w:r>
        <w:rPr>
          <w:rFonts w:hint="eastAsia" w:ascii="宋体" w:hAnsi="宋体"/>
          <w:sz w:val="18"/>
          <w:szCs w:val="18"/>
        </w:rPr>
        <w:t xml:space="preserve"> （</w:t>
      </w:r>
      <w:r>
        <w:rPr>
          <w:rFonts w:ascii="宋体" w:hAnsi="宋体"/>
          <w:sz w:val="18"/>
          <w:szCs w:val="18"/>
        </w:rPr>
        <w:t>1</w:t>
      </w:r>
      <w:r>
        <w:rPr>
          <w:rFonts w:hint="eastAsia" w:ascii="宋体" w:hAnsi="宋体"/>
          <w:sz w:val="18"/>
          <w:szCs w:val="18"/>
        </w:rPr>
        <w:t>）</w:t>
      </w:r>
      <w:r>
        <w:rPr>
          <w:rFonts w:ascii="宋体" w:hAnsi="宋体"/>
          <w:sz w:val="18"/>
          <w:szCs w:val="18"/>
        </w:rPr>
        <w:t>本表所列人员</w:t>
      </w:r>
      <w:r>
        <w:rPr>
          <w:rFonts w:hint="eastAsia" w:ascii="宋体" w:hAnsi="宋体"/>
          <w:sz w:val="18"/>
          <w:szCs w:val="18"/>
        </w:rPr>
        <w:t>在本项目中不得兼职</w:t>
      </w:r>
      <w:r>
        <w:rPr>
          <w:rFonts w:ascii="宋体" w:hAnsi="宋体"/>
          <w:sz w:val="18"/>
          <w:szCs w:val="18"/>
        </w:rPr>
        <w:t>。</w:t>
      </w:r>
    </w:p>
    <w:p>
      <w:pPr>
        <w:spacing w:line="280" w:lineRule="exact"/>
        <w:ind w:firstLine="630" w:firstLineChars="350"/>
        <w:rPr>
          <w:rFonts w:hint="eastAsia" w:ascii="宋体" w:hAnsi="宋体"/>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本表中投标人自有人员指投标人</w:t>
      </w:r>
      <w:r>
        <w:rPr>
          <w:rFonts w:hint="eastAsia" w:ascii="宋体" w:hAnsi="宋体"/>
          <w:sz w:val="18"/>
          <w:szCs w:val="18"/>
        </w:rPr>
        <w:t>为其缴纳</w:t>
      </w:r>
      <w:r>
        <w:rPr>
          <w:rFonts w:hint="eastAsia" w:ascii="宋体" w:hAnsi="宋体"/>
          <w:sz w:val="18"/>
        </w:rPr>
        <w:t>社会保险（指养老保险）的人员，且缴费期限必须包括2019年1月-2019年6月。</w:t>
      </w:r>
    </w:p>
    <w:p>
      <w:pPr>
        <w:spacing w:line="280" w:lineRule="exact"/>
        <w:ind w:firstLine="630" w:firstLineChars="350"/>
        <w:rPr>
          <w:rFonts w:hint="eastAsia"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公路工程相关专业职称包括公路工程、桥梁工程、公路与桥梁工程、交通土建工程、隧道（地下结构）工程、交通工程等专业的施工类、设计类、监理类职称；机电工程相关专业职称包括电气、机械设备、焊接、自动化控制等专业职称</w:t>
      </w:r>
      <w:r>
        <w:rPr>
          <w:rFonts w:hint="eastAsia"/>
        </w:rPr>
        <w:t>。</w:t>
      </w:r>
      <w:r>
        <w:rPr>
          <w:rFonts w:hint="eastAsia" w:ascii="宋体" w:hAnsi="宋体"/>
          <w:sz w:val="18"/>
        </w:rPr>
        <w:t>如职称证上无专业，则需提供具备上述专业的毕业证</w:t>
      </w:r>
      <w:r>
        <w:rPr>
          <w:rFonts w:ascii="宋体" w:hAnsi="宋体"/>
          <w:sz w:val="18"/>
          <w:szCs w:val="18"/>
        </w:rPr>
        <w:t>。</w:t>
      </w:r>
    </w:p>
    <w:p>
      <w:pPr>
        <w:spacing w:line="280" w:lineRule="exact"/>
        <w:ind w:firstLine="630" w:firstLineChars="350"/>
        <w:rPr>
          <w:rFonts w:hint="eastAsia" w:ascii="黑体" w:hAnsi="黑体" w:eastAsia="黑体"/>
          <w:sz w:val="18"/>
          <w:szCs w:val="18"/>
        </w:rPr>
      </w:pPr>
      <w:r>
        <w:rPr>
          <w:rFonts w:hint="eastAsia" w:ascii="宋体" w:hAnsi="宋体"/>
          <w:sz w:val="18"/>
          <w:szCs w:val="18"/>
        </w:rPr>
        <w:t>（4）</w:t>
      </w:r>
      <w:r>
        <w:rPr>
          <w:rFonts w:hint="eastAsia" w:ascii="黑体" w:hAnsi="黑体" w:eastAsia="黑体"/>
          <w:sz w:val="18"/>
          <w:szCs w:val="18"/>
        </w:rPr>
        <w:t>高速公路机电工程指国内新建高速公路的机电工程，改扩建高速公路项目的机电工程、养护机电工程、国外高速公路机电工程不予考虑。</w:t>
      </w:r>
    </w:p>
    <w:p>
      <w:pPr>
        <w:spacing w:line="280" w:lineRule="exact"/>
        <w:ind w:firstLine="630" w:firstLineChars="350"/>
        <w:rPr>
          <w:rFonts w:ascii="宋体" w:hAnsi="宋体"/>
          <w:sz w:val="18"/>
          <w:szCs w:val="18"/>
        </w:rPr>
      </w:pPr>
      <w:r>
        <w:rPr>
          <w:rFonts w:hint="eastAsia" w:ascii="宋体" w:hAnsi="宋体"/>
          <w:sz w:val="18"/>
          <w:szCs w:val="18"/>
        </w:rPr>
        <w:t>（5）在评审时，招标人将在建设主管部门官方网站核实项目经理的建造师注册证书，核实内容主要包括证书专业、级别、注册单位，并以核实后的信息为准。投标人填报的信息与网上核实信息不符的，其投标文件不能通过评审。</w:t>
      </w:r>
    </w:p>
    <w:p>
      <w:pPr>
        <w:spacing w:line="280" w:lineRule="exact"/>
        <w:ind w:firstLine="630" w:firstLineChars="350"/>
        <w:rPr>
          <w:rFonts w:hint="eastAsia"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黑体" w:hAnsi="黑体" w:eastAsia="黑体"/>
          <w:sz w:val="18"/>
          <w:szCs w:val="18"/>
        </w:rPr>
        <w:t>在评审时，招标人将在政府相关部门网站上对投标人提交的安全生产考核合格证书进行核实。</w:t>
      </w:r>
      <w:r>
        <w:rPr>
          <w:rFonts w:hint="eastAsia" w:ascii="宋体" w:hAnsi="宋体"/>
          <w:sz w:val="18"/>
          <w:szCs w:val="18"/>
        </w:rPr>
        <w:t>并以核实后的信息为准。投标人填报的信息与网上核实信息不符的，其投标文件不能通过评审。</w:t>
      </w:r>
    </w:p>
    <w:p>
      <w:pPr>
        <w:spacing w:line="280" w:lineRule="exact"/>
        <w:ind w:firstLine="630" w:firstLineChars="350"/>
        <w:rPr>
          <w:rFonts w:hint="eastAsia"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填报的项目经理和项目总工的任职业绩应为交通运输部“全国公路建设市场信用信息管理系统”（http：//glxy.mot.gov.cn）中已载明且通过省级交通运输主管部门审核的已建主包业绩，并能够证明填报人员具有相应任职经历的业绩。评审时将按投标人提供的业绩网页截图进行必要的网上核实，并以核实后的信息为准。如网页截图中的信息无法查找出满足招标文件要求的任职业绩，则视为未填报此项任职业绩。如网页截图信息或业绩证明材料与实际情况不符，其后果由投标人自行负责，招标人将按《中华人民共和国招标投标法》第三十三条及《中华人民共和国招标投标法实施条例》第四十二条规定执行，并将相关行为上报交通行政主管部门按有关规定严肃处理。</w:t>
      </w:r>
    </w:p>
    <w:p>
      <w:pPr>
        <w:spacing w:line="280" w:lineRule="exact"/>
        <w:ind w:firstLine="630" w:firstLineChars="350"/>
        <w:rPr>
          <w:rFonts w:hint="eastAsia" w:ascii="宋体" w:hAnsi="宋体"/>
          <w:sz w:val="18"/>
          <w:szCs w:val="18"/>
        </w:rPr>
      </w:pPr>
      <w:r>
        <w:rPr>
          <w:rFonts w:hint="eastAsia" w:ascii="宋体" w:hAnsi="宋体"/>
          <w:sz w:val="18"/>
          <w:szCs w:val="18"/>
        </w:rPr>
        <w:t>（8）本项目项目经理、项目总工施工全过程纳入人像识别考勤系统，执行项目法人下发人员履约、人像识别考勤制度相关文件。</w:t>
      </w:r>
    </w:p>
    <w:p>
      <w:pPr>
        <w:pStyle w:val="5"/>
        <w:adjustRightInd w:val="0"/>
        <w:snapToGrid w:val="0"/>
        <w:spacing w:before="120" w:beforeLines="50" w:after="120" w:afterLines="50" w:line="240" w:lineRule="auto"/>
        <w:jc w:val="center"/>
        <w:rPr>
          <w:rFonts w:ascii="方正超粗黑简体" w:hAnsi="黑体" w:eastAsia="方正超粗黑简体"/>
          <w:b w:val="0"/>
          <w:kern w:val="44"/>
          <w:sz w:val="30"/>
        </w:rPr>
      </w:pPr>
      <w:r>
        <w:rPr>
          <w:rFonts w:ascii="宋体" w:hAnsi="宋体"/>
          <w:szCs w:val="21"/>
        </w:rPr>
        <w:br w:type="page"/>
      </w:r>
      <w:bookmarkEnd w:id="10"/>
      <w:bookmarkStart w:id="11" w:name="_Toc27397081"/>
      <w:r>
        <w:rPr>
          <w:rFonts w:hint="eastAsia" w:ascii="黑体" w:hAnsi="黑体"/>
          <w:b w:val="0"/>
        </w:rPr>
        <w:t>附录6</w:t>
      </w:r>
      <w:r>
        <w:rPr>
          <w:rFonts w:ascii="黑体" w:hAnsi="黑体"/>
          <w:b w:val="0"/>
        </w:rPr>
        <w:t xml:space="preserve">  </w:t>
      </w:r>
      <w:r>
        <w:rPr>
          <w:rFonts w:hint="eastAsia" w:ascii="黑体" w:hAnsi="黑体"/>
          <w:b w:val="0"/>
        </w:rPr>
        <w:t>资格审查条件（其他主要管理人员和技术人员最低要求）</w:t>
      </w:r>
      <w:bookmarkEnd w:id="11"/>
    </w:p>
    <w:p>
      <w:pPr>
        <w:rPr>
          <w:rFonts w:hint="eastAsia" w:ascii="黑体" w:hAnsi="黑体"/>
          <w:b/>
        </w:rPr>
      </w:pP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862"/>
        <w:gridCol w:w="1276"/>
        <w:gridCol w:w="5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64" w:hRule="atLeast"/>
          <w:tblHeader/>
          <w:jc w:val="center"/>
        </w:trPr>
        <w:tc>
          <w:tcPr>
            <w:tcW w:w="2862"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人</w:t>
            </w:r>
            <w:r>
              <w:rPr>
                <w:rFonts w:ascii="宋体" w:hAnsi="宋体"/>
                <w:szCs w:val="21"/>
              </w:rPr>
              <w:t xml:space="preserve">  </w:t>
            </w:r>
            <w:r>
              <w:rPr>
                <w:rFonts w:hint="eastAsia" w:ascii="宋体" w:hAnsi="宋体"/>
                <w:szCs w:val="21"/>
              </w:rPr>
              <w:t>员</w:t>
            </w:r>
          </w:p>
        </w:tc>
        <w:tc>
          <w:tcPr>
            <w:tcW w:w="1276" w:type="dxa"/>
            <w:tcBorders>
              <w:left w:val="single" w:color="auto" w:sz="4" w:space="0"/>
            </w:tcBorders>
            <w:noWrap w:val="0"/>
            <w:vAlign w:val="center"/>
          </w:tcPr>
          <w:p>
            <w:pPr>
              <w:snapToGrid w:val="0"/>
              <w:spacing w:line="240" w:lineRule="exact"/>
              <w:jc w:val="center"/>
              <w:rPr>
                <w:rFonts w:hint="eastAsia" w:ascii="宋体" w:hAnsi="宋体"/>
                <w:szCs w:val="21"/>
              </w:rPr>
            </w:pPr>
            <w:r>
              <w:rPr>
                <w:rFonts w:hint="eastAsia" w:ascii="宋体" w:hAnsi="宋体"/>
                <w:szCs w:val="21"/>
              </w:rPr>
              <w:t>数量</w:t>
            </w:r>
          </w:p>
        </w:tc>
        <w:tc>
          <w:tcPr>
            <w:tcW w:w="5554" w:type="dxa"/>
            <w:noWrap w:val="0"/>
            <w:vAlign w:val="center"/>
          </w:tcPr>
          <w:p>
            <w:pPr>
              <w:snapToGrid w:val="0"/>
              <w:spacing w:line="240" w:lineRule="exact"/>
              <w:jc w:val="center"/>
              <w:rPr>
                <w:rFonts w:ascii="宋体" w:hAnsi="宋体"/>
                <w:szCs w:val="21"/>
              </w:rPr>
            </w:pPr>
            <w:r>
              <w:rPr>
                <w:rFonts w:hint="eastAsia" w:ascii="宋体" w:hAnsi="宋体"/>
                <w:szCs w:val="21"/>
              </w:rPr>
              <w:t>资格最低要求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2" w:hRule="atLeast"/>
          <w:jc w:val="center"/>
        </w:trPr>
        <w:tc>
          <w:tcPr>
            <w:tcW w:w="2862" w:type="dxa"/>
            <w:noWrap w:val="0"/>
            <w:vAlign w:val="center"/>
          </w:tcPr>
          <w:p>
            <w:pPr>
              <w:jc w:val="center"/>
              <w:rPr>
                <w:rFonts w:ascii="宋体" w:hAnsi="宋体" w:cs="宋体"/>
                <w:szCs w:val="21"/>
              </w:rPr>
            </w:pPr>
            <w:r>
              <w:rPr>
                <w:rFonts w:hint="eastAsia" w:cs="宋体"/>
                <w:kern w:val="0"/>
              </w:rPr>
              <w:t>通信系统</w:t>
            </w:r>
            <w:r>
              <w:rPr>
                <w:rFonts w:cs="宋体"/>
                <w:kern w:val="0"/>
              </w:rPr>
              <w:t>工程师</w:t>
            </w:r>
          </w:p>
        </w:tc>
        <w:tc>
          <w:tcPr>
            <w:tcW w:w="1276"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1</w:t>
            </w:r>
          </w:p>
        </w:tc>
        <w:tc>
          <w:tcPr>
            <w:tcW w:w="5554" w:type="dxa"/>
            <w:noWrap w:val="0"/>
            <w:vAlign w:val="center"/>
          </w:tcPr>
          <w:p>
            <w:pPr>
              <w:adjustRightInd w:val="0"/>
              <w:snapToGrid w:val="0"/>
              <w:spacing w:line="240" w:lineRule="exact"/>
              <w:rPr>
                <w:rFonts w:ascii="宋体" w:hAnsi="宋体"/>
                <w:szCs w:val="21"/>
              </w:rPr>
            </w:pPr>
            <w:r>
              <w:rPr>
                <w:rFonts w:hint="eastAsia" w:ascii="宋体" w:hAnsi="宋体"/>
                <w:szCs w:val="21"/>
              </w:rPr>
              <w:t>（1）投标人自有人员；</w:t>
            </w:r>
          </w:p>
          <w:p>
            <w:pPr>
              <w:adjustRightInd w:val="0"/>
              <w:snapToGrid w:val="0"/>
              <w:rPr>
                <w:rFonts w:ascii="宋体" w:hAnsi="宋体"/>
                <w:szCs w:val="21"/>
              </w:rPr>
            </w:pPr>
            <w:r>
              <w:rPr>
                <w:rFonts w:hint="eastAsia" w:ascii="宋体" w:hAnsi="宋体"/>
                <w:szCs w:val="21"/>
              </w:rPr>
              <w:t>（2）具有公路工程或机电工程相关专业中级技术职称。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4" w:hRule="atLeast"/>
          <w:jc w:val="center"/>
        </w:trPr>
        <w:tc>
          <w:tcPr>
            <w:tcW w:w="2862" w:type="dxa"/>
            <w:noWrap w:val="0"/>
            <w:vAlign w:val="center"/>
          </w:tcPr>
          <w:p>
            <w:pPr>
              <w:jc w:val="center"/>
              <w:rPr>
                <w:rFonts w:ascii="宋体" w:hAnsi="宋体" w:cs="宋体"/>
                <w:kern w:val="0"/>
                <w:szCs w:val="21"/>
              </w:rPr>
            </w:pPr>
            <w:r>
              <w:rPr>
                <w:rFonts w:hint="eastAsia" w:cs="宋体"/>
                <w:kern w:val="0"/>
              </w:rPr>
              <w:t>监控系统</w:t>
            </w:r>
            <w:r>
              <w:rPr>
                <w:rFonts w:cs="宋体"/>
                <w:kern w:val="0"/>
              </w:rPr>
              <w:t>工程师</w:t>
            </w:r>
          </w:p>
        </w:tc>
        <w:tc>
          <w:tcPr>
            <w:tcW w:w="1276"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1</w:t>
            </w:r>
          </w:p>
        </w:tc>
        <w:tc>
          <w:tcPr>
            <w:tcW w:w="5554" w:type="dxa"/>
            <w:noWrap w:val="0"/>
            <w:vAlign w:val="center"/>
          </w:tcPr>
          <w:p>
            <w:pPr>
              <w:adjustRightInd w:val="0"/>
              <w:snapToGrid w:val="0"/>
              <w:spacing w:line="240" w:lineRule="exact"/>
              <w:rPr>
                <w:rFonts w:ascii="宋体" w:hAnsi="宋体"/>
                <w:szCs w:val="21"/>
              </w:rPr>
            </w:pPr>
            <w:r>
              <w:rPr>
                <w:rFonts w:hint="eastAsia" w:ascii="宋体" w:hAnsi="宋体"/>
                <w:szCs w:val="21"/>
              </w:rPr>
              <w:t>（1）投标人自有人员；</w:t>
            </w:r>
          </w:p>
          <w:p>
            <w:pPr>
              <w:adjustRightInd w:val="0"/>
              <w:snapToGrid w:val="0"/>
              <w:rPr>
                <w:rFonts w:ascii="宋体" w:hAnsi="宋体"/>
                <w:szCs w:val="21"/>
              </w:rPr>
            </w:pPr>
            <w:r>
              <w:rPr>
                <w:rFonts w:hint="eastAsia" w:ascii="宋体" w:hAnsi="宋体"/>
                <w:szCs w:val="21"/>
              </w:rPr>
              <w:t>（2）具有公路工程或机电工程相关专业中级技术职称。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94" w:hRule="atLeast"/>
          <w:jc w:val="center"/>
        </w:trPr>
        <w:tc>
          <w:tcPr>
            <w:tcW w:w="2862" w:type="dxa"/>
            <w:noWrap w:val="0"/>
            <w:vAlign w:val="center"/>
          </w:tcPr>
          <w:p>
            <w:pPr>
              <w:jc w:val="center"/>
              <w:rPr>
                <w:rFonts w:ascii="宋体" w:hAnsi="宋体" w:cs="宋体"/>
                <w:szCs w:val="21"/>
              </w:rPr>
            </w:pPr>
            <w:r>
              <w:rPr>
                <w:rFonts w:hint="eastAsia" w:cs="宋体"/>
                <w:kern w:val="0"/>
              </w:rPr>
              <w:t>收费系统</w:t>
            </w:r>
            <w:r>
              <w:rPr>
                <w:rFonts w:cs="宋体"/>
                <w:kern w:val="0"/>
              </w:rPr>
              <w:t>工程师</w:t>
            </w:r>
          </w:p>
        </w:tc>
        <w:tc>
          <w:tcPr>
            <w:tcW w:w="1276"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1</w:t>
            </w:r>
          </w:p>
        </w:tc>
        <w:tc>
          <w:tcPr>
            <w:tcW w:w="5554" w:type="dxa"/>
            <w:noWrap w:val="0"/>
            <w:vAlign w:val="center"/>
          </w:tcPr>
          <w:p>
            <w:pPr>
              <w:adjustRightInd w:val="0"/>
              <w:snapToGrid w:val="0"/>
              <w:spacing w:line="240" w:lineRule="exact"/>
              <w:rPr>
                <w:rFonts w:ascii="宋体" w:hAnsi="宋体"/>
                <w:szCs w:val="21"/>
              </w:rPr>
            </w:pPr>
            <w:r>
              <w:rPr>
                <w:rFonts w:hint="eastAsia" w:ascii="宋体" w:hAnsi="宋体"/>
                <w:szCs w:val="21"/>
              </w:rPr>
              <w:t>（1）投标人自有人员；</w:t>
            </w:r>
          </w:p>
          <w:p>
            <w:pPr>
              <w:adjustRightInd w:val="0"/>
              <w:snapToGrid w:val="0"/>
              <w:rPr>
                <w:rFonts w:ascii="宋体" w:hAnsi="宋体"/>
                <w:szCs w:val="21"/>
              </w:rPr>
            </w:pPr>
            <w:r>
              <w:rPr>
                <w:rFonts w:hint="eastAsia" w:ascii="宋体" w:hAnsi="宋体"/>
                <w:szCs w:val="21"/>
              </w:rPr>
              <w:t>（2）具有公路工程或机电工程相关专业中级技术职称。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23" w:hRule="atLeast"/>
          <w:jc w:val="center"/>
        </w:trPr>
        <w:tc>
          <w:tcPr>
            <w:tcW w:w="2862" w:type="dxa"/>
            <w:noWrap w:val="0"/>
            <w:vAlign w:val="center"/>
          </w:tcPr>
          <w:p>
            <w:pPr>
              <w:jc w:val="center"/>
              <w:rPr>
                <w:rFonts w:ascii="宋体" w:hAnsi="宋体" w:cs="宋体"/>
                <w:szCs w:val="21"/>
              </w:rPr>
            </w:pPr>
            <w:r>
              <w:rPr>
                <w:rFonts w:hint="eastAsia" w:cs="宋体"/>
                <w:kern w:val="0"/>
              </w:rPr>
              <w:t>机电供配电系统</w:t>
            </w:r>
            <w:r>
              <w:rPr>
                <w:rFonts w:cs="宋体"/>
                <w:kern w:val="0"/>
              </w:rPr>
              <w:t>工程师</w:t>
            </w:r>
          </w:p>
        </w:tc>
        <w:tc>
          <w:tcPr>
            <w:tcW w:w="1276"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1</w:t>
            </w:r>
          </w:p>
        </w:tc>
        <w:tc>
          <w:tcPr>
            <w:tcW w:w="5554" w:type="dxa"/>
            <w:noWrap w:val="0"/>
            <w:vAlign w:val="center"/>
          </w:tcPr>
          <w:p>
            <w:pPr>
              <w:adjustRightInd w:val="0"/>
              <w:snapToGrid w:val="0"/>
              <w:spacing w:line="240" w:lineRule="exact"/>
              <w:rPr>
                <w:rFonts w:ascii="宋体" w:hAnsi="宋体"/>
                <w:szCs w:val="21"/>
              </w:rPr>
            </w:pPr>
            <w:r>
              <w:rPr>
                <w:rFonts w:hint="eastAsia" w:ascii="宋体" w:hAnsi="宋体"/>
                <w:szCs w:val="21"/>
              </w:rPr>
              <w:t>（1）投标人自有人员；</w:t>
            </w:r>
          </w:p>
          <w:p>
            <w:pPr>
              <w:adjustRightInd w:val="0"/>
              <w:snapToGrid w:val="0"/>
              <w:rPr>
                <w:rFonts w:ascii="宋体" w:hAnsi="宋体"/>
                <w:szCs w:val="21"/>
              </w:rPr>
            </w:pPr>
            <w:r>
              <w:rPr>
                <w:rFonts w:hint="eastAsia" w:ascii="宋体" w:hAnsi="宋体"/>
                <w:szCs w:val="21"/>
              </w:rPr>
              <w:t>（2）具有公路工程或机电工程相关专业中级技术职称。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73" w:hRule="atLeast"/>
          <w:jc w:val="center"/>
        </w:trPr>
        <w:tc>
          <w:tcPr>
            <w:tcW w:w="2862" w:type="dxa"/>
            <w:noWrap w:val="0"/>
            <w:vAlign w:val="center"/>
          </w:tcPr>
          <w:p>
            <w:pPr>
              <w:adjustRightInd w:val="0"/>
              <w:snapToGrid w:val="0"/>
              <w:spacing w:line="240" w:lineRule="exact"/>
              <w:jc w:val="center"/>
              <w:rPr>
                <w:rFonts w:ascii="宋体" w:hAnsi="宋体"/>
                <w:szCs w:val="21"/>
              </w:rPr>
            </w:pPr>
            <w:r>
              <w:rPr>
                <w:rFonts w:ascii="宋体" w:hAnsi="宋体"/>
                <w:szCs w:val="21"/>
              </w:rPr>
              <w:t>施工现场专职安全员</w:t>
            </w:r>
          </w:p>
        </w:tc>
        <w:tc>
          <w:tcPr>
            <w:tcW w:w="1276" w:type="dxa"/>
            <w:noWrap w:val="0"/>
            <w:vAlign w:val="center"/>
          </w:tcPr>
          <w:p>
            <w:pPr>
              <w:adjustRightInd w:val="0"/>
              <w:snapToGrid w:val="0"/>
              <w:spacing w:line="240" w:lineRule="exact"/>
              <w:jc w:val="center"/>
              <w:rPr>
                <w:rFonts w:ascii="宋体" w:hAnsi="宋体"/>
                <w:szCs w:val="21"/>
              </w:rPr>
            </w:pPr>
            <w:r>
              <w:rPr>
                <w:rFonts w:hint="eastAsia" w:ascii="宋体" w:hAnsi="宋体"/>
                <w:szCs w:val="21"/>
              </w:rPr>
              <w:t>1</w:t>
            </w:r>
          </w:p>
        </w:tc>
        <w:tc>
          <w:tcPr>
            <w:tcW w:w="5554" w:type="dxa"/>
            <w:noWrap w:val="0"/>
            <w:vAlign w:val="center"/>
          </w:tcPr>
          <w:p>
            <w:pPr>
              <w:adjustRightInd w:val="0"/>
              <w:snapToGrid w:val="0"/>
              <w:spacing w:line="240" w:lineRule="exact"/>
              <w:rPr>
                <w:rFonts w:ascii="宋体" w:hAnsi="宋体"/>
                <w:szCs w:val="21"/>
              </w:rPr>
            </w:pPr>
            <w:r>
              <w:rPr>
                <w:rFonts w:hint="eastAsia" w:ascii="宋体" w:hAnsi="宋体"/>
                <w:szCs w:val="21"/>
              </w:rPr>
              <w:t>（1）投标人自有人员；</w:t>
            </w:r>
          </w:p>
          <w:p>
            <w:pPr>
              <w:adjustRightInd w:val="0"/>
              <w:snapToGrid w:val="0"/>
              <w:spacing w:line="240" w:lineRule="exact"/>
              <w:rPr>
                <w:rFonts w:ascii="宋体" w:hAnsi="宋体"/>
                <w:szCs w:val="21"/>
              </w:rPr>
            </w:pPr>
            <w:r>
              <w:rPr>
                <w:rFonts w:hint="eastAsia" w:ascii="宋体" w:hAnsi="宋体"/>
                <w:szCs w:val="21"/>
              </w:rPr>
              <w:t>（2）</w:t>
            </w:r>
            <w:r>
              <w:rPr>
                <w:rFonts w:ascii="宋体" w:hAnsi="宋体"/>
                <w:szCs w:val="21"/>
              </w:rPr>
              <w:t>具有</w:t>
            </w:r>
            <w:r>
              <w:rPr>
                <w:rFonts w:hint="eastAsia" w:ascii="宋体" w:hAnsi="宋体"/>
                <w:szCs w:val="21"/>
              </w:rPr>
              <w:t>省级交通运输主管部门</w:t>
            </w:r>
            <w:r>
              <w:rPr>
                <w:rFonts w:ascii="宋体" w:hAnsi="宋体"/>
                <w:szCs w:val="21"/>
              </w:rPr>
              <w:t>颁发的</w:t>
            </w:r>
            <w:r>
              <w:rPr>
                <w:rFonts w:hint="eastAsia" w:ascii="宋体" w:hAnsi="宋体"/>
                <w:szCs w:val="21"/>
              </w:rPr>
              <w:t>C类</w:t>
            </w:r>
            <w:r>
              <w:rPr>
                <w:rFonts w:ascii="宋体" w:hAnsi="宋体"/>
                <w:szCs w:val="21"/>
              </w:rPr>
              <w:t>安全生产考核合格证书。</w:t>
            </w:r>
          </w:p>
        </w:tc>
      </w:tr>
    </w:tbl>
    <w:p>
      <w:pPr>
        <w:spacing w:line="320" w:lineRule="exact"/>
        <w:rPr>
          <w:rFonts w:ascii="宋体" w:hAnsi="宋体"/>
          <w:sz w:val="18"/>
          <w:szCs w:val="18"/>
        </w:rPr>
      </w:pPr>
      <w:r>
        <w:rPr>
          <w:rFonts w:hint="eastAsia" w:ascii="宋体" w:hAnsi="宋体"/>
          <w:sz w:val="18"/>
          <w:szCs w:val="18"/>
        </w:rPr>
        <w:t>说明</w:t>
      </w:r>
      <w:r>
        <w:rPr>
          <w:rFonts w:ascii="宋体" w:hAnsi="宋体"/>
          <w:sz w:val="18"/>
          <w:szCs w:val="18"/>
        </w:rPr>
        <w:t>：</w:t>
      </w:r>
    </w:p>
    <w:p>
      <w:pPr>
        <w:spacing w:line="320" w:lineRule="exact"/>
        <w:ind w:firstLine="450" w:firstLineChars="250"/>
        <w:rPr>
          <w:rFonts w:hint="eastAsia" w:ascii="宋体" w:hAnsi="宋体"/>
          <w:sz w:val="18"/>
          <w:szCs w:val="18"/>
        </w:rPr>
      </w:pPr>
      <w:r>
        <w:rPr>
          <w:rFonts w:hint="eastAsia" w:ascii="宋体" w:hAnsi="宋体"/>
          <w:sz w:val="18"/>
          <w:szCs w:val="18"/>
        </w:rPr>
        <w:t>（1）本表所列人员在本项目中不得兼职。</w:t>
      </w:r>
    </w:p>
    <w:p>
      <w:pPr>
        <w:spacing w:line="320" w:lineRule="exact"/>
        <w:ind w:firstLine="450" w:firstLineChars="250"/>
        <w:rPr>
          <w:rFonts w:hint="eastAsia" w:ascii="宋体" w:hAnsi="宋体"/>
          <w:sz w:val="18"/>
          <w:szCs w:val="18"/>
        </w:rPr>
      </w:pPr>
      <w:r>
        <w:rPr>
          <w:rFonts w:hint="eastAsia" w:ascii="宋体" w:hAnsi="宋体"/>
          <w:sz w:val="18"/>
          <w:szCs w:val="18"/>
        </w:rPr>
        <w:t>（2）本表为投标人中标后需派驻的其他主要管理人员和技术人员，投标人不需在投标文件中填报。招标人将在发出中标通知书之后，并在签订合同前，要求中标人按照本表的最低要求填报派驻本标段的其他主要管理人员和技术人员，在经发包人审核批准后，方可签订合同协议书。</w:t>
      </w:r>
    </w:p>
    <w:p>
      <w:pPr>
        <w:spacing w:line="320" w:lineRule="exact"/>
        <w:ind w:firstLine="450" w:firstLineChars="250"/>
        <w:rPr>
          <w:rFonts w:hint="eastAsia" w:ascii="宋体" w:hAnsi="宋体"/>
          <w:sz w:val="18"/>
          <w:szCs w:val="18"/>
        </w:rPr>
      </w:pPr>
      <w:r>
        <w:rPr>
          <w:rFonts w:hint="eastAsia" w:ascii="宋体" w:hAnsi="宋体"/>
          <w:sz w:val="18"/>
          <w:szCs w:val="18"/>
        </w:rPr>
        <w:t>（3）本表中投标人自有人员指投标人为其缴纳社会保险（指养老保险）的人员，且缴费期限必须包括</w:t>
      </w:r>
      <w:r>
        <w:rPr>
          <w:rFonts w:hint="eastAsia" w:ascii="宋体" w:hAnsi="宋体"/>
          <w:sz w:val="18"/>
        </w:rPr>
        <w:t>2019年1月-2019年6月</w:t>
      </w:r>
      <w:r>
        <w:rPr>
          <w:rFonts w:hint="eastAsia" w:ascii="宋体" w:hAnsi="宋体"/>
          <w:sz w:val="18"/>
          <w:szCs w:val="18"/>
        </w:rPr>
        <w:t>。</w:t>
      </w:r>
    </w:p>
    <w:p>
      <w:pPr>
        <w:spacing w:line="320" w:lineRule="exact"/>
        <w:ind w:firstLine="450" w:firstLineChars="250"/>
        <w:rPr>
          <w:rFonts w:hint="eastAsia" w:ascii="宋体" w:hAnsi="宋体"/>
          <w:sz w:val="18"/>
          <w:szCs w:val="18"/>
        </w:rPr>
      </w:pPr>
      <w:r>
        <w:rPr>
          <w:rFonts w:hint="eastAsia" w:ascii="宋体" w:hAnsi="宋体"/>
          <w:sz w:val="18"/>
          <w:szCs w:val="18"/>
        </w:rPr>
        <w:t>（4）公路工程相关专业职称包括公路工程、桥梁工程、公路与桥梁工程、交通土建工程、隧道（地下结构）工程、交通工程等专业的施工类、设计类、监理类职称；机电工程相关专业职称包括电气、机械设备、焊接、自动化控制等专业职称</w:t>
      </w:r>
      <w:r>
        <w:rPr>
          <w:rFonts w:hint="eastAsia"/>
        </w:rPr>
        <w:t>。</w:t>
      </w:r>
      <w:r>
        <w:rPr>
          <w:rFonts w:hint="eastAsia" w:ascii="宋体" w:hAnsi="宋体"/>
          <w:sz w:val="18"/>
        </w:rPr>
        <w:t>如职称证上无专业，则需提供具备上述专业的毕业证</w:t>
      </w:r>
      <w:r>
        <w:rPr>
          <w:rFonts w:hint="eastAsia" w:ascii="宋体" w:hAnsi="宋体"/>
          <w:sz w:val="18"/>
          <w:szCs w:val="18"/>
        </w:rPr>
        <w:t>。</w:t>
      </w:r>
    </w:p>
    <w:p>
      <w:pPr>
        <w:spacing w:line="320" w:lineRule="exact"/>
        <w:ind w:firstLine="450" w:firstLineChars="250"/>
        <w:rPr>
          <w:rFonts w:hint="eastAsia" w:ascii="宋体" w:hAnsi="宋体"/>
          <w:sz w:val="18"/>
          <w:szCs w:val="18"/>
        </w:rPr>
      </w:pPr>
      <w:r>
        <w:rPr>
          <w:rFonts w:hint="eastAsia" w:ascii="宋体" w:hAnsi="宋体"/>
          <w:sz w:val="18"/>
          <w:szCs w:val="18"/>
        </w:rPr>
        <w:t>（5）本表所列人员类别和数量为最低要求，施工时，建设项目指挥部可根据工程需要，有权要求承包人无偿增加相应的专业技术人员（专业技术人员包括：计划统计负责人、软件系统工程师、财务负责人、安全员等）。</w:t>
      </w:r>
    </w:p>
    <w:p>
      <w:pPr>
        <w:spacing w:line="320" w:lineRule="exact"/>
        <w:ind w:firstLine="450" w:firstLineChars="250"/>
        <w:rPr>
          <w:rFonts w:hint="eastAsia" w:ascii="宋体" w:hAnsi="宋体"/>
          <w:sz w:val="18"/>
          <w:szCs w:val="18"/>
        </w:rPr>
      </w:pPr>
      <w:r>
        <w:rPr>
          <w:rFonts w:hint="eastAsia" w:ascii="宋体" w:hAnsi="宋体"/>
          <w:sz w:val="18"/>
          <w:szCs w:val="18"/>
        </w:rPr>
        <w:t>（6）依据《公路水运工程安全生产监督管理办法》，专职安全员须根据工程进展情况适当增加。</w:t>
      </w:r>
    </w:p>
    <w:p>
      <w:pPr>
        <w:spacing w:line="320" w:lineRule="exact"/>
        <w:ind w:firstLine="450" w:firstLineChars="250"/>
        <w:rPr>
          <w:rFonts w:hint="eastAsia" w:ascii="宋体" w:hAnsi="宋体"/>
          <w:sz w:val="18"/>
          <w:szCs w:val="18"/>
        </w:rPr>
      </w:pPr>
      <w:r>
        <w:rPr>
          <w:rFonts w:hint="eastAsia" w:ascii="宋体" w:hAnsi="宋体"/>
          <w:sz w:val="18"/>
          <w:szCs w:val="18"/>
        </w:rPr>
        <w:t>（7）其他主要管理人员和技术人员不进入人像识别考勤系统。</w:t>
      </w:r>
    </w:p>
    <w:p>
      <w:pPr>
        <w:pStyle w:val="5"/>
        <w:adjustRightInd w:val="0"/>
        <w:snapToGrid w:val="0"/>
        <w:spacing w:before="120" w:beforeLines="50" w:after="120" w:afterLines="50" w:line="240" w:lineRule="auto"/>
        <w:jc w:val="center"/>
        <w:rPr>
          <w:rFonts w:ascii="方正超粗黑简体" w:hAnsi="黑体" w:eastAsia="方正超粗黑简体"/>
          <w:b w:val="0"/>
          <w:kern w:val="44"/>
          <w:sz w:val="30"/>
        </w:rPr>
      </w:pPr>
      <w:r>
        <w:rPr>
          <w:rFonts w:hint="eastAsia" w:ascii="黑体" w:hAnsi="黑体"/>
          <w:b w:val="0"/>
        </w:rPr>
        <w:br w:type="page"/>
      </w:r>
      <w:bookmarkStart w:id="12" w:name="_Toc27397082"/>
      <w:r>
        <w:rPr>
          <w:rFonts w:hint="eastAsia" w:ascii="黑体" w:hAnsi="黑体"/>
          <w:b w:val="0"/>
        </w:rPr>
        <w:t>附录7</w:t>
      </w:r>
      <w:r>
        <w:rPr>
          <w:rFonts w:ascii="黑体" w:hAnsi="黑体"/>
          <w:b w:val="0"/>
        </w:rPr>
        <w:t xml:space="preserve">  </w:t>
      </w:r>
      <w:r>
        <w:rPr>
          <w:rFonts w:hint="eastAsia" w:ascii="黑体" w:hAnsi="黑体"/>
          <w:b w:val="0"/>
        </w:rPr>
        <w:t>资格审查条件（主要机械设备和试验检测设备最低要求）</w:t>
      </w:r>
      <w:r>
        <w:rPr>
          <w:rStyle w:val="11"/>
          <w:rFonts w:ascii="黑体" w:hAnsi="宋体"/>
        </w:rPr>
        <w:footnoteReference w:id="0"/>
      </w:r>
      <w:bookmarkEnd w:id="12"/>
    </w:p>
    <w:p>
      <w:pPr>
        <w:ind w:firstLine="422" w:firstLineChars="200"/>
        <w:rPr>
          <w:rFonts w:ascii="宋体" w:hAnsi="宋体"/>
          <w:b/>
        </w:rPr>
      </w:pPr>
    </w:p>
    <w:tbl>
      <w:tblPr>
        <w:tblStyle w:val="9"/>
        <w:tblW w:w="9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021"/>
        <w:gridCol w:w="3119"/>
        <w:gridCol w:w="2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3" w:hRule="atLeast"/>
          <w:tblHeader/>
          <w:jc w:val="center"/>
        </w:trPr>
        <w:tc>
          <w:tcPr>
            <w:tcW w:w="4021" w:type="dxa"/>
            <w:noWrap w:val="0"/>
            <w:vAlign w:val="center"/>
          </w:tcPr>
          <w:p>
            <w:pPr>
              <w:snapToGrid w:val="0"/>
              <w:jc w:val="center"/>
              <w:rPr>
                <w:rFonts w:ascii="宋体" w:hAnsi="宋体"/>
                <w:szCs w:val="21"/>
              </w:rPr>
            </w:pPr>
            <w:r>
              <w:rPr>
                <w:rFonts w:hint="eastAsia" w:ascii="宋体" w:hAnsi="宋体"/>
                <w:szCs w:val="21"/>
              </w:rPr>
              <w:t>设备名称</w:t>
            </w:r>
          </w:p>
        </w:tc>
        <w:tc>
          <w:tcPr>
            <w:tcW w:w="3119" w:type="dxa"/>
            <w:noWrap w:val="0"/>
            <w:vAlign w:val="center"/>
          </w:tcPr>
          <w:p>
            <w:pPr>
              <w:snapToGrid w:val="0"/>
              <w:jc w:val="center"/>
              <w:rPr>
                <w:rFonts w:ascii="宋体" w:hAnsi="宋体"/>
                <w:szCs w:val="21"/>
              </w:rPr>
            </w:pPr>
            <w:r>
              <w:rPr>
                <w:rFonts w:hint="eastAsia" w:ascii="宋体" w:hAnsi="宋体"/>
                <w:szCs w:val="21"/>
              </w:rPr>
              <w:t>规格、功率及容量</w:t>
            </w:r>
          </w:p>
        </w:tc>
        <w:tc>
          <w:tcPr>
            <w:tcW w:w="2602" w:type="dxa"/>
            <w:noWrap w:val="0"/>
            <w:vAlign w:val="center"/>
          </w:tcPr>
          <w:p>
            <w:pPr>
              <w:snapToGrid w:val="0"/>
              <w:jc w:val="center"/>
              <w:rPr>
                <w:rFonts w:hint="eastAsia" w:ascii="宋体" w:hAnsi="宋体"/>
                <w:szCs w:val="21"/>
              </w:rPr>
            </w:pPr>
            <w:r>
              <w:rPr>
                <w:rFonts w:hint="eastAsia" w:ascii="宋体" w:hAnsi="宋体"/>
                <w:szCs w:val="21"/>
              </w:rPr>
              <w:t>最低数量要求(台、套)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szCs w:val="21"/>
              </w:rPr>
            </w:pPr>
            <w:r>
              <w:t>RCL测试仪</w:t>
            </w:r>
          </w:p>
        </w:tc>
        <w:tc>
          <w:tcPr>
            <w:tcW w:w="3119" w:type="dxa"/>
            <w:noWrap w:val="0"/>
            <w:vAlign w:val="center"/>
          </w:tcPr>
          <w:p>
            <w:pPr>
              <w:adjustRightInd w:val="0"/>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adjustRightInd w:val="0"/>
              <w:snapToGrid w:val="0"/>
              <w:rPr>
                <w:szCs w:val="21"/>
              </w:rPr>
            </w:pPr>
            <w:r>
              <w:t>线缆测试仪</w:t>
            </w:r>
          </w:p>
        </w:tc>
        <w:tc>
          <w:tcPr>
            <w:tcW w:w="3119" w:type="dxa"/>
            <w:noWrap w:val="0"/>
            <w:vAlign w:val="center"/>
          </w:tcPr>
          <w:p>
            <w:pPr>
              <w:adjustRightInd w:val="0"/>
              <w:snapToGrid w:val="0"/>
              <w:spacing w:before="36" w:after="36" w:line="240" w:lineRule="atLeast"/>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adjustRightInd w:val="0"/>
              <w:snapToGrid w:val="0"/>
              <w:rPr>
                <w:rFonts w:ascii="宋体" w:hAnsi="宋体"/>
                <w:szCs w:val="21"/>
              </w:rPr>
            </w:pPr>
            <w:r>
              <w:t>视频测量仪、视频信号发生器</w:t>
            </w:r>
          </w:p>
        </w:tc>
        <w:tc>
          <w:tcPr>
            <w:tcW w:w="3119" w:type="dxa"/>
            <w:noWrap w:val="0"/>
            <w:vAlign w:val="center"/>
          </w:tcPr>
          <w:p>
            <w:pPr>
              <w:adjustRightInd w:val="0"/>
              <w:snapToGrid w:val="0"/>
              <w:spacing w:before="36" w:after="36" w:line="240" w:lineRule="atLeast"/>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szCs w:val="21"/>
              </w:rPr>
            </w:pPr>
            <w:r>
              <w:t>串行数据分析仪</w:t>
            </w:r>
          </w:p>
        </w:tc>
        <w:tc>
          <w:tcPr>
            <w:tcW w:w="3119" w:type="dxa"/>
            <w:noWrap w:val="0"/>
            <w:vAlign w:val="center"/>
          </w:tcPr>
          <w:p>
            <w:pPr>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adjustRightInd w:val="0"/>
              <w:snapToGrid w:val="0"/>
              <w:rPr>
                <w:rFonts w:ascii="宋体" w:hAnsi="宋体"/>
                <w:szCs w:val="21"/>
              </w:rPr>
            </w:pPr>
            <w:r>
              <w:t>通信测试分析系统</w:t>
            </w:r>
          </w:p>
        </w:tc>
        <w:tc>
          <w:tcPr>
            <w:tcW w:w="3119" w:type="dxa"/>
            <w:noWrap w:val="0"/>
            <w:vAlign w:val="center"/>
          </w:tcPr>
          <w:p>
            <w:pPr>
              <w:adjustRightInd w:val="0"/>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bCs/>
                <w:szCs w:val="21"/>
              </w:rPr>
            </w:pPr>
            <w:r>
              <w:t>混合信号示波器</w:t>
            </w:r>
          </w:p>
        </w:tc>
        <w:tc>
          <w:tcPr>
            <w:tcW w:w="3119" w:type="dxa"/>
            <w:noWrap w:val="0"/>
            <w:vAlign w:val="center"/>
          </w:tcPr>
          <w:p>
            <w:pPr>
              <w:adjustRightInd w:val="0"/>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szCs w:val="21"/>
              </w:rPr>
            </w:pPr>
            <w:r>
              <w:t>光纤熔接机</w:t>
            </w:r>
          </w:p>
        </w:tc>
        <w:tc>
          <w:tcPr>
            <w:tcW w:w="3119" w:type="dxa"/>
            <w:noWrap w:val="0"/>
            <w:vAlign w:val="center"/>
          </w:tcPr>
          <w:p>
            <w:pPr>
              <w:spacing w:line="280" w:lineRule="exact"/>
              <w:jc w:val="center"/>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szCs w:val="21"/>
              </w:rPr>
            </w:pPr>
            <w:r>
              <w:t>光功率计</w:t>
            </w:r>
          </w:p>
        </w:tc>
        <w:tc>
          <w:tcPr>
            <w:tcW w:w="3119" w:type="dxa"/>
            <w:noWrap w:val="0"/>
            <w:vAlign w:val="center"/>
          </w:tcPr>
          <w:p>
            <w:pPr>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adjustRightInd w:val="0"/>
              <w:snapToGrid w:val="0"/>
              <w:rPr>
                <w:szCs w:val="21"/>
              </w:rPr>
            </w:pPr>
            <w:r>
              <w:t>光衰减器</w:t>
            </w:r>
          </w:p>
        </w:tc>
        <w:tc>
          <w:tcPr>
            <w:tcW w:w="3119" w:type="dxa"/>
            <w:noWrap w:val="0"/>
            <w:vAlign w:val="center"/>
          </w:tcPr>
          <w:p>
            <w:pPr>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bCs/>
                <w:szCs w:val="21"/>
              </w:rPr>
            </w:pPr>
            <w:r>
              <w:t>数字万能表</w:t>
            </w:r>
          </w:p>
        </w:tc>
        <w:tc>
          <w:tcPr>
            <w:tcW w:w="3119" w:type="dxa"/>
            <w:noWrap w:val="0"/>
            <w:vAlign w:val="center"/>
          </w:tcPr>
          <w:p>
            <w:pPr>
              <w:adjustRightInd w:val="0"/>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snapToGrid w:val="0"/>
              <w:rPr>
                <w:rFonts w:ascii="宋体" w:hAnsi="宋体"/>
                <w:szCs w:val="21"/>
              </w:rPr>
            </w:pPr>
            <w:r>
              <w:t>CATV测试验收仪</w:t>
            </w:r>
          </w:p>
        </w:tc>
        <w:tc>
          <w:tcPr>
            <w:tcW w:w="3119" w:type="dxa"/>
            <w:noWrap w:val="0"/>
            <w:vAlign w:val="center"/>
          </w:tcPr>
          <w:p>
            <w:pPr>
              <w:snapToGrid w:val="0"/>
              <w:rPr>
                <w:rFonts w:ascii="宋体" w:hAnsi="宋体"/>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exact"/>
          <w:jc w:val="center"/>
        </w:trPr>
        <w:tc>
          <w:tcPr>
            <w:tcW w:w="4021" w:type="dxa"/>
            <w:noWrap w:val="0"/>
            <w:vAlign w:val="center"/>
          </w:tcPr>
          <w:p>
            <w:pPr>
              <w:adjustRightInd w:val="0"/>
              <w:snapToGrid w:val="0"/>
              <w:rPr>
                <w:rFonts w:ascii="宋体" w:hAnsi="宋体"/>
                <w:szCs w:val="21"/>
              </w:rPr>
            </w:pPr>
            <w:r>
              <w:t>多用表校准仪</w:t>
            </w:r>
          </w:p>
        </w:tc>
        <w:tc>
          <w:tcPr>
            <w:tcW w:w="3119" w:type="dxa"/>
            <w:noWrap w:val="0"/>
            <w:vAlign w:val="center"/>
          </w:tcPr>
          <w:p>
            <w:pPr>
              <w:snapToGrid w:val="0"/>
              <w:rPr>
                <w:rFonts w:ascii="宋体" w:hAnsi="宋体"/>
                <w:spacing w:val="3"/>
                <w:kern w:val="0"/>
                <w:szCs w:val="21"/>
              </w:rPr>
            </w:pPr>
          </w:p>
        </w:tc>
        <w:tc>
          <w:tcPr>
            <w:tcW w:w="2602" w:type="dxa"/>
            <w:noWrap w:val="0"/>
            <w:vAlign w:val="center"/>
          </w:tcPr>
          <w:p>
            <w:pPr>
              <w:snapToGrid w:val="0"/>
              <w:jc w:val="center"/>
              <w:rPr>
                <w:rFonts w:ascii="宋体" w:hAnsi="宋体"/>
                <w:szCs w:val="21"/>
              </w:rPr>
            </w:pPr>
            <w:r>
              <w:rPr>
                <w:rFonts w:hint="eastAsia" w:ascii="宋体" w:hAnsi="宋体"/>
                <w:szCs w:val="21"/>
              </w:rPr>
              <w:t>1</w:t>
            </w:r>
          </w:p>
        </w:tc>
      </w:tr>
    </w:tbl>
    <w:p>
      <w:pPr>
        <w:pStyle w:val="8"/>
        <w:jc w:val="center"/>
        <w:rPr>
          <w:rFonts w:hint="eastAsia" w:ascii="宋体" w:hAnsi="宋体"/>
        </w:rPr>
      </w:pPr>
    </w:p>
    <w:p>
      <w:pPr>
        <w:jc w:val="left"/>
        <w:rPr>
          <w:rFonts w:ascii="黑体" w:hAnsi="黑体" w:eastAsia="黑体" w:cs="黑体"/>
          <w:b/>
          <w:bCs/>
          <w:sz w:val="28"/>
          <w:szCs w:val="28"/>
        </w:rPr>
      </w:pPr>
      <w:r>
        <w:rPr>
          <w:rFonts w:ascii="宋体" w:hAnsi="宋体"/>
          <w:sz w:val="21"/>
          <w:szCs w:val="21"/>
        </w:rPr>
        <w:br w:type="page"/>
      </w:r>
      <w:r>
        <w:rPr>
          <w:rFonts w:hint="eastAsia" w:ascii="黑体" w:hAnsi="黑体" w:eastAsia="黑体" w:cs="黑体"/>
          <w:b/>
          <w:bCs/>
          <w:sz w:val="28"/>
          <w:szCs w:val="28"/>
        </w:rPr>
        <w:t>3.评标办法</w:t>
      </w:r>
    </w:p>
    <w:p>
      <w:pPr>
        <w:pStyle w:val="4"/>
        <w:snapToGrid w:val="0"/>
        <w:spacing w:before="120" w:beforeLines="50" w:after="120" w:afterLines="50" w:line="240" w:lineRule="auto"/>
        <w:jc w:val="center"/>
        <w:rPr>
          <w:rFonts w:hint="eastAsia" w:ascii="黑体" w:hAnsi="黑体" w:eastAsia="黑体"/>
          <w:b w:val="0"/>
        </w:rPr>
      </w:pPr>
      <w:bookmarkStart w:id="13" w:name="_Toc355768878"/>
      <w:bookmarkStart w:id="14" w:name="_Toc27397141"/>
      <w:bookmarkStart w:id="15" w:name="_Toc519882541"/>
      <w:bookmarkStart w:id="16" w:name="_Toc258182506"/>
      <w:r>
        <w:rPr>
          <w:rFonts w:hint="eastAsia" w:ascii="黑体" w:hAnsi="黑体" w:eastAsia="黑体"/>
          <w:b w:val="0"/>
        </w:rPr>
        <w:t>评标办法</w:t>
      </w:r>
      <w:bookmarkEnd w:id="13"/>
      <w:r>
        <w:rPr>
          <w:rFonts w:hint="eastAsia" w:ascii="黑体" w:hAnsi="黑体" w:eastAsia="黑体"/>
          <w:bCs w:val="0"/>
        </w:rPr>
        <w:t>（双信封形式综合评分法）</w:t>
      </w:r>
      <w:bookmarkEnd w:id="14"/>
      <w:bookmarkEnd w:id="15"/>
    </w:p>
    <w:p>
      <w:pPr>
        <w:pStyle w:val="5"/>
        <w:spacing w:before="100" w:beforeAutospacing="1" w:after="100" w:afterAutospacing="1" w:line="240" w:lineRule="auto"/>
        <w:rPr>
          <w:rFonts w:ascii="黑体" w:hAnsi="黑体"/>
          <w:b w:val="0"/>
        </w:rPr>
      </w:pPr>
      <w:bookmarkStart w:id="17" w:name="_Toc27397142"/>
      <w:bookmarkStart w:id="18" w:name="_Toc519882542"/>
      <w:bookmarkStart w:id="19" w:name="_Toc484950608"/>
      <w:r>
        <w:rPr>
          <w:rFonts w:hint="eastAsia" w:ascii="黑体" w:hAnsi="黑体"/>
          <w:b w:val="0"/>
        </w:rPr>
        <w:t>评标办法前附表</w:t>
      </w:r>
      <w:r>
        <w:rPr>
          <w:rStyle w:val="11"/>
          <w:rFonts w:ascii="黑体" w:hAnsi="黑体"/>
          <w:b w:val="0"/>
          <w:sz w:val="30"/>
          <w:szCs w:val="30"/>
        </w:rPr>
        <w:footnoteReference w:id="1"/>
      </w:r>
      <w:bookmarkEnd w:id="17"/>
      <w:bookmarkEnd w:id="18"/>
      <w:bookmarkEnd w:id="19"/>
    </w:p>
    <w:tbl>
      <w:tblPr>
        <w:tblStyle w:val="9"/>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99"/>
        <w:gridCol w:w="1555"/>
        <w:gridCol w:w="737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tblHeader/>
          <w:jc w:val="center"/>
        </w:trPr>
        <w:tc>
          <w:tcPr>
            <w:tcW w:w="999" w:type="dxa"/>
            <w:tcBorders>
              <w:top w:val="single" w:color="000000" w:sz="12"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jc w:val="center"/>
              <w:rPr>
                <w:rFonts w:ascii="宋体" w:hAnsi="宋体"/>
                <w:b/>
                <w:szCs w:val="21"/>
              </w:rPr>
            </w:pPr>
            <w:r>
              <w:rPr>
                <w:rFonts w:hint="eastAsia" w:ascii="宋体" w:hAnsi="宋体"/>
                <w:b/>
                <w:szCs w:val="21"/>
              </w:rPr>
              <w:t>条款号</w:t>
            </w:r>
          </w:p>
        </w:tc>
        <w:tc>
          <w:tcPr>
            <w:tcW w:w="1555" w:type="dxa"/>
            <w:tcBorders>
              <w:top w:val="single" w:color="000000" w:sz="12" w:space="0"/>
              <w:left w:val="single" w:color="000000" w:sz="6" w:space="0"/>
              <w:bottom w:val="single" w:color="000000" w:sz="6" w:space="0"/>
              <w:right w:val="single" w:color="auto" w:sz="4" w:space="0"/>
            </w:tcBorders>
            <w:noWrap w:val="0"/>
            <w:vAlign w:val="center"/>
          </w:tcPr>
          <w:p>
            <w:pPr>
              <w:adjustRightInd w:val="0"/>
              <w:snapToGrid w:val="0"/>
              <w:spacing w:before="24" w:beforeLines="10" w:after="24" w:afterLines="10"/>
              <w:jc w:val="center"/>
              <w:rPr>
                <w:rFonts w:ascii="宋体" w:hAnsi="宋体"/>
                <w:b/>
                <w:szCs w:val="21"/>
              </w:rPr>
            </w:pPr>
            <w:r>
              <w:rPr>
                <w:rFonts w:hint="eastAsia" w:ascii="宋体" w:hAnsi="宋体"/>
                <w:b/>
                <w:szCs w:val="21"/>
              </w:rPr>
              <w:t>条款内容</w:t>
            </w:r>
          </w:p>
        </w:tc>
        <w:tc>
          <w:tcPr>
            <w:tcW w:w="7376" w:type="dxa"/>
            <w:tcBorders>
              <w:top w:val="single" w:color="000000" w:sz="12" w:space="0"/>
              <w:left w:val="single" w:color="auto" w:sz="4" w:space="0"/>
              <w:bottom w:val="single" w:color="000000" w:sz="6" w:space="0"/>
              <w:right w:val="single" w:color="000000" w:sz="12" w:space="0"/>
            </w:tcBorders>
            <w:noWrap w:val="0"/>
            <w:vAlign w:val="center"/>
          </w:tcPr>
          <w:p>
            <w:pPr>
              <w:adjustRightInd w:val="0"/>
              <w:snapToGrid w:val="0"/>
              <w:spacing w:before="24" w:beforeLines="10" w:after="24" w:afterLines="10"/>
              <w:jc w:val="center"/>
              <w:rPr>
                <w:rFonts w:ascii="宋体" w:hAnsi="宋体"/>
                <w:b/>
                <w:szCs w:val="21"/>
              </w:rPr>
            </w:pPr>
            <w:r>
              <w:rPr>
                <w:rFonts w:hint="eastAsia" w:ascii="宋体" w:hAnsi="宋体"/>
                <w:b/>
                <w:szCs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1</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评标方法</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pacing w:line="320" w:lineRule="exact"/>
              <w:rPr>
                <w:rFonts w:ascii="宋体" w:hAnsi="宋体"/>
                <w:szCs w:val="21"/>
              </w:rPr>
            </w:pPr>
            <w:r>
              <w:rPr>
                <w:rFonts w:hint="eastAsia" w:ascii="宋体" w:hAnsi="宋体"/>
                <w:szCs w:val="21"/>
              </w:rPr>
              <w:t>本款修改为：</w:t>
            </w:r>
          </w:p>
          <w:p>
            <w:pPr>
              <w:adjustRightInd w:val="0"/>
              <w:snapToGrid w:val="0"/>
              <w:spacing w:before="24" w:beforeLines="10" w:after="24" w:afterLines="10" w:line="320" w:lineRule="exact"/>
              <w:ind w:firstLine="420" w:firstLineChars="200"/>
              <w:rPr>
                <w:rFonts w:hint="eastAsia" w:ascii="宋体" w:hAnsi="宋体"/>
                <w:szCs w:val="21"/>
              </w:rPr>
            </w:pPr>
            <w:r>
              <w:rPr>
                <w:rFonts w:hint="eastAsia" w:ascii="宋体" w:hAnsi="宋体"/>
                <w:szCs w:val="21"/>
              </w:rPr>
              <w:t>本项目评标采用</w:t>
            </w:r>
            <w:r>
              <w:rPr>
                <w:rFonts w:hint="eastAsia" w:ascii="黑体" w:hAnsi="黑体" w:eastAsia="黑体"/>
                <w:szCs w:val="21"/>
              </w:rPr>
              <w:t>双信封形式综合评分法</w:t>
            </w:r>
            <w:r>
              <w:rPr>
                <w:rFonts w:hint="eastAsia" w:ascii="宋体" w:hAnsi="宋体"/>
                <w:szCs w:val="21"/>
              </w:rPr>
              <w:t>。评标委员会对满足招标文件实质性要求的投标文件，按照本章第2.2款规定的评分标准进行打分，并按得分由高到低顺序推荐中标候选人，但投标报价低于其成本的除外。</w:t>
            </w:r>
          </w:p>
          <w:p>
            <w:pPr>
              <w:adjustRightInd w:val="0"/>
              <w:snapToGrid w:val="0"/>
              <w:spacing w:before="24" w:beforeLines="10" w:after="24" w:afterLines="10" w:line="320" w:lineRule="exact"/>
              <w:ind w:firstLine="420" w:firstLineChars="200"/>
              <w:rPr>
                <w:rFonts w:ascii="宋体" w:hAnsi="宋体"/>
                <w:szCs w:val="21"/>
              </w:rPr>
            </w:pPr>
            <w:r>
              <w:rPr>
                <w:rFonts w:hint="eastAsia" w:ascii="宋体" w:hAnsi="宋体" w:cs="宋体"/>
                <w:szCs w:val="21"/>
              </w:rPr>
              <w:t>招标评标程序简介如下：</w:t>
            </w:r>
          </w:p>
          <w:p>
            <w:pPr>
              <w:numPr>
                <w:ilvl w:val="0"/>
                <w:numId w:val="3"/>
              </w:numPr>
              <w:adjustRightInd w:val="0"/>
              <w:snapToGrid w:val="0"/>
              <w:spacing w:before="24" w:beforeLines="10" w:after="24" w:afterLines="10" w:line="320" w:lineRule="exact"/>
              <w:ind w:left="0" w:firstLine="420" w:firstLineChars="200"/>
              <w:rPr>
                <w:rFonts w:ascii="宋体" w:hAnsi="宋体"/>
                <w:szCs w:val="21"/>
              </w:rPr>
            </w:pPr>
            <w:r>
              <w:rPr>
                <w:rFonts w:hint="eastAsia" w:ascii="宋体" w:hAnsi="宋体"/>
                <w:szCs w:val="21"/>
              </w:rPr>
              <w:t>招标人按照第二章“投标人须知”第5.2.1项～第5.2.</w:t>
            </w:r>
            <w:r>
              <w:rPr>
                <w:rFonts w:ascii="宋体" w:hAnsi="宋体"/>
                <w:szCs w:val="21"/>
              </w:rPr>
              <w:t>2</w:t>
            </w:r>
            <w:r>
              <w:rPr>
                <w:rFonts w:hint="eastAsia" w:ascii="宋体" w:hAnsi="宋体"/>
                <w:szCs w:val="21"/>
              </w:rPr>
              <w:t>项的规定对投标文件第一个信封（商务及技术文件）（以下简称“第一信封”）进行开标。</w:t>
            </w:r>
          </w:p>
          <w:p>
            <w:pPr>
              <w:numPr>
                <w:ilvl w:val="0"/>
                <w:numId w:val="3"/>
              </w:numPr>
              <w:adjustRightInd w:val="0"/>
              <w:snapToGrid w:val="0"/>
              <w:spacing w:before="24" w:beforeLines="10" w:after="24" w:afterLines="10" w:line="320" w:lineRule="exact"/>
              <w:ind w:left="0" w:firstLine="420" w:firstLineChars="200"/>
              <w:rPr>
                <w:rFonts w:ascii="宋体" w:hAnsi="宋体"/>
                <w:szCs w:val="21"/>
              </w:rPr>
            </w:pPr>
            <w:r>
              <w:rPr>
                <w:rFonts w:hint="eastAsia" w:ascii="宋体" w:hAnsi="宋体"/>
                <w:szCs w:val="21"/>
              </w:rPr>
              <w:t>评标委员会首先对第一个信封进行评审，确定通过第一个信封评审的投标人名单，并对通过评审的第一个信封进行综合评分。</w:t>
            </w:r>
          </w:p>
          <w:p>
            <w:pPr>
              <w:numPr>
                <w:ilvl w:val="0"/>
                <w:numId w:val="3"/>
              </w:numPr>
              <w:adjustRightInd w:val="0"/>
              <w:snapToGrid w:val="0"/>
              <w:spacing w:before="24" w:beforeLines="10" w:after="24" w:afterLines="10" w:line="320" w:lineRule="exact"/>
              <w:ind w:left="0" w:firstLine="420" w:firstLineChars="200"/>
              <w:rPr>
                <w:rFonts w:ascii="宋体" w:hAnsi="宋体"/>
                <w:szCs w:val="21"/>
              </w:rPr>
            </w:pPr>
            <w:r>
              <w:rPr>
                <w:rFonts w:hint="eastAsia" w:ascii="宋体" w:hAnsi="宋体"/>
                <w:szCs w:val="21"/>
              </w:rPr>
              <w:t>招标人按照第二章“投标人须知”第5.2.</w:t>
            </w:r>
            <w:r>
              <w:rPr>
                <w:rFonts w:ascii="宋体" w:hAnsi="宋体"/>
                <w:szCs w:val="21"/>
              </w:rPr>
              <w:t>3</w:t>
            </w:r>
            <w:r>
              <w:rPr>
                <w:rFonts w:hint="eastAsia" w:ascii="宋体" w:hAnsi="宋体"/>
                <w:szCs w:val="21"/>
              </w:rPr>
              <w:t>项～第5.2.</w:t>
            </w:r>
            <w:r>
              <w:rPr>
                <w:rFonts w:ascii="宋体" w:hAnsi="宋体"/>
                <w:szCs w:val="21"/>
              </w:rPr>
              <w:t>5</w:t>
            </w:r>
            <w:r>
              <w:rPr>
                <w:rFonts w:hint="eastAsia" w:ascii="宋体" w:hAnsi="宋体"/>
                <w:szCs w:val="21"/>
              </w:rPr>
              <w:t>项的规定对通过第一信封评审的投标人的投标文件第二个信封（报价文件）（以下简称“第二信封”）进行开标。</w:t>
            </w:r>
          </w:p>
          <w:p>
            <w:pPr>
              <w:numPr>
                <w:ilvl w:val="0"/>
                <w:numId w:val="3"/>
              </w:numPr>
              <w:adjustRightInd w:val="0"/>
              <w:snapToGrid w:val="0"/>
              <w:spacing w:before="24" w:beforeLines="10" w:after="24" w:afterLines="10" w:line="320" w:lineRule="exact"/>
              <w:ind w:left="0" w:firstLine="420" w:firstLineChars="200"/>
              <w:rPr>
                <w:rFonts w:ascii="宋体" w:hAnsi="宋体"/>
                <w:szCs w:val="21"/>
              </w:rPr>
            </w:pPr>
            <w:r>
              <w:rPr>
                <w:rFonts w:hint="eastAsia" w:ascii="宋体" w:hAnsi="宋体"/>
                <w:szCs w:val="21"/>
              </w:rPr>
              <w:t>评标委员会对第二信封进行评审，并计算各投标人综合得分。</w:t>
            </w:r>
          </w:p>
          <w:p>
            <w:pPr>
              <w:numPr>
                <w:ilvl w:val="0"/>
                <w:numId w:val="3"/>
              </w:numPr>
              <w:adjustRightInd w:val="0"/>
              <w:snapToGrid w:val="0"/>
              <w:spacing w:before="24" w:beforeLines="10" w:after="24" w:afterLines="10" w:line="320" w:lineRule="exact"/>
              <w:ind w:left="0" w:firstLine="420" w:firstLineChars="200"/>
              <w:rPr>
                <w:rFonts w:ascii="宋体" w:hAnsi="宋体"/>
                <w:szCs w:val="21"/>
              </w:rPr>
            </w:pPr>
            <w:r>
              <w:rPr>
                <w:rFonts w:hint="eastAsia" w:ascii="宋体" w:hAnsi="宋体"/>
                <w:szCs w:val="21"/>
              </w:rPr>
              <w:t>推荐中标候选人。</w:t>
            </w:r>
          </w:p>
          <w:p>
            <w:pPr>
              <w:adjustRightInd w:val="0"/>
              <w:snapToGrid w:val="0"/>
              <w:spacing w:before="24" w:beforeLines="10" w:after="24" w:afterLines="10" w:line="320" w:lineRule="exact"/>
              <w:ind w:firstLine="420" w:firstLineChars="200"/>
              <w:rPr>
                <w:rFonts w:ascii="宋体" w:hAnsi="宋体"/>
                <w:szCs w:val="21"/>
              </w:rPr>
            </w:pPr>
            <w:r>
              <w:rPr>
                <w:rFonts w:hint="eastAsia" w:ascii="宋体" w:hAnsi="宋体"/>
                <w:szCs w:val="21"/>
              </w:rPr>
              <w:t>若有多名投标人综合得分相同，则按照以下所列顺位在前的优先推荐：</w:t>
            </w:r>
          </w:p>
          <w:p>
            <w:pPr>
              <w:adjustRightInd w:val="0"/>
              <w:snapToGrid w:val="0"/>
              <w:spacing w:before="24" w:beforeLines="10" w:after="24" w:afterLines="10" w:line="320" w:lineRule="exact"/>
              <w:ind w:firstLine="420" w:firstLineChars="200"/>
              <w:rPr>
                <w:rFonts w:hint="eastAsia" w:ascii="宋体" w:hAnsi="宋体"/>
                <w:szCs w:val="21"/>
              </w:rPr>
            </w:pPr>
            <w:r>
              <w:rPr>
                <w:rFonts w:hint="eastAsia" w:ascii="宋体" w:hAnsi="宋体"/>
                <w:szCs w:val="21"/>
              </w:rPr>
              <w:t>（1）评</w:t>
            </w:r>
            <w:r>
              <w:rPr>
                <w:rFonts w:ascii="宋体" w:hAnsi="宋体"/>
                <w:szCs w:val="21"/>
              </w:rPr>
              <w:t>标价</w:t>
            </w:r>
            <w:r>
              <w:rPr>
                <w:rFonts w:hint="eastAsia" w:ascii="宋体" w:hAnsi="宋体"/>
                <w:szCs w:val="21"/>
              </w:rPr>
              <w:t>低</w:t>
            </w:r>
            <w:r>
              <w:rPr>
                <w:rFonts w:ascii="宋体" w:hAnsi="宋体"/>
                <w:szCs w:val="21"/>
              </w:rPr>
              <w:t>的优先；</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）本项目履约信誉得分较高者优先；</w:t>
            </w:r>
          </w:p>
          <w:p>
            <w:pPr>
              <w:adjustRightInd w:val="0"/>
              <w:snapToGrid w:val="0"/>
              <w:spacing w:before="24" w:beforeLines="10" w:after="24" w:afterLines="10" w:line="320" w:lineRule="exact"/>
              <w:ind w:left="42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）投标人在2018年全国公路施工企业信用评价中被评价省份个数多者优先；</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（4）主要机电设备得分较高者；</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（5）本项目业绩得分较高者优先；</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（6）主要人员得分较高者；</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（7）财务得分较高者；</w:t>
            </w:r>
          </w:p>
          <w:p>
            <w:pPr>
              <w:adjustRightInd w:val="0"/>
              <w:snapToGrid w:val="0"/>
              <w:spacing w:before="24" w:beforeLines="10" w:after="24" w:afterLines="10" w:line="320" w:lineRule="exact"/>
              <w:ind w:left="420"/>
              <w:rPr>
                <w:rFonts w:ascii="宋体" w:hAnsi="宋体"/>
                <w:szCs w:val="21"/>
              </w:rPr>
            </w:pPr>
            <w:r>
              <w:rPr>
                <w:rFonts w:hint="eastAsia" w:ascii="宋体" w:hAnsi="宋体"/>
                <w:szCs w:val="21"/>
              </w:rPr>
              <w:t>（8）本项目施工组织设计得分较高者优先。</w:t>
            </w:r>
          </w:p>
          <w:p>
            <w:pPr>
              <w:adjustRightInd w:val="0"/>
              <w:snapToGrid w:val="0"/>
              <w:spacing w:before="24" w:beforeLines="10" w:after="24" w:afterLines="10" w:line="320" w:lineRule="exact"/>
              <w:ind w:left="420"/>
              <w:rPr>
                <w:rFonts w:ascii="宋体" w:hAnsi="宋体"/>
              </w:rPr>
            </w:pPr>
            <w:r>
              <w:rPr>
                <w:rFonts w:hint="eastAsia" w:ascii="宋体" w:hAnsi="宋体"/>
                <w:szCs w:val="21"/>
              </w:rPr>
              <w:t>若以上得分均相等，则由评标委员会表决确定其排名顺位。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2.1.1</w:t>
            </w:r>
            <w:r>
              <w:rPr>
                <w:rFonts w:hint="eastAsia" w:ascii="宋体" w:hAnsi="宋体"/>
                <w:szCs w:val="21"/>
              </w:rPr>
              <w:br w:type="textWrapping"/>
            </w:r>
            <w:r>
              <w:rPr>
                <w:rFonts w:hint="eastAsia" w:ascii="宋体" w:hAnsi="宋体"/>
                <w:szCs w:val="21"/>
              </w:rPr>
              <w:br w:type="textWrapping"/>
            </w:r>
            <w:r>
              <w:rPr>
                <w:rFonts w:hint="eastAsia" w:ascii="宋体" w:hAnsi="宋体"/>
                <w:szCs w:val="21"/>
              </w:rPr>
              <w:t>2.1.3</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第一个信封</w:t>
            </w: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形式评审与</w:t>
            </w:r>
            <w:r>
              <w:rPr>
                <w:rFonts w:hint="eastAsia" w:ascii="宋体" w:hAnsi="宋体"/>
                <w:szCs w:val="21"/>
              </w:rPr>
              <w:br w:type="textWrapping"/>
            </w:r>
            <w:r>
              <w:rPr>
                <w:rFonts w:hint="eastAsia" w:ascii="宋体" w:hAnsi="宋体"/>
                <w:szCs w:val="21"/>
              </w:rPr>
              <w:t>响应性评审标准</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adjustRightInd w:val="0"/>
              <w:snapToGrid w:val="0"/>
              <w:spacing w:before="24" w:beforeLines="10" w:after="24" w:afterLines="10" w:line="320" w:lineRule="exact"/>
              <w:rPr>
                <w:rFonts w:ascii="宋体" w:hAnsi="宋体"/>
                <w:szCs w:val="21"/>
              </w:rPr>
            </w:pPr>
            <w:r>
              <w:rPr>
                <w:rFonts w:hint="eastAsia" w:ascii="宋体" w:hAnsi="宋体"/>
                <w:szCs w:val="21"/>
              </w:rPr>
              <w:t>第一个信封（商务及技术文件）评审标准：</w:t>
            </w:r>
          </w:p>
          <w:p>
            <w:pPr>
              <w:adjustRightInd w:val="0"/>
              <w:snapToGrid w:val="0"/>
              <w:spacing w:before="24" w:beforeLines="10" w:after="24" w:afterLines="10" w:line="320" w:lineRule="exact"/>
              <w:ind w:firstLine="420" w:firstLineChars="200"/>
              <w:rPr>
                <w:rFonts w:ascii="宋体" w:hAnsi="宋体"/>
                <w:szCs w:val="21"/>
              </w:rPr>
            </w:pPr>
            <w:r>
              <w:rPr>
                <w:rFonts w:hint="eastAsia" w:ascii="宋体" w:hAnsi="宋体"/>
                <w:szCs w:val="21"/>
              </w:rPr>
              <w:t>（1）投标文件按照招标文件规定的格式、内容填写，字迹清晰可辨，且提供了满足招标文件要求的证明材料：</w:t>
            </w:r>
          </w:p>
          <w:p>
            <w:pPr>
              <w:adjustRightInd w:val="0"/>
              <w:snapToGrid w:val="0"/>
              <w:spacing w:before="24" w:beforeLines="10" w:after="24" w:afterLines="10" w:line="320" w:lineRule="exact"/>
              <w:ind w:firstLine="630" w:firstLineChars="300"/>
              <w:rPr>
                <w:rFonts w:ascii="宋体" w:hAnsi="宋体"/>
                <w:szCs w:val="21"/>
              </w:rPr>
            </w:pPr>
            <w:r>
              <w:rPr>
                <w:rFonts w:hint="eastAsia" w:ascii="宋体" w:hAnsi="宋体"/>
                <w:szCs w:val="21"/>
              </w:rPr>
              <w:t>a.</w:t>
            </w:r>
            <w:r>
              <w:t xml:space="preserve"> 投标函按招标文件规定填报了项目名称、标段号、补遗书编号（如 有)、工期、工程质量要求及安全目标；</w:t>
            </w:r>
          </w:p>
          <w:p>
            <w:pPr>
              <w:adjustRightInd w:val="0"/>
              <w:snapToGrid w:val="0"/>
              <w:spacing w:before="24" w:beforeLines="10" w:after="24" w:afterLines="10" w:line="320" w:lineRule="exact"/>
              <w:ind w:firstLine="630" w:firstLineChars="300"/>
              <w:rPr>
                <w:rFonts w:ascii="宋体" w:hAnsi="宋体"/>
                <w:szCs w:val="21"/>
              </w:rPr>
            </w:pPr>
            <w:r>
              <w:rPr>
                <w:rFonts w:hint="eastAsia" w:ascii="宋体" w:hAnsi="宋体"/>
                <w:szCs w:val="21"/>
              </w:rPr>
              <w:t>b.投标函附录的所有数据均符合招标文件规定；</w:t>
            </w:r>
          </w:p>
          <w:p>
            <w:pPr>
              <w:adjustRightInd w:val="0"/>
              <w:snapToGrid w:val="0"/>
              <w:spacing w:before="24" w:beforeLines="10" w:after="24" w:afterLines="10" w:line="320" w:lineRule="exact"/>
              <w:ind w:firstLine="630" w:firstLineChars="300"/>
              <w:rPr>
                <w:rFonts w:hint="eastAsia" w:ascii="宋体" w:hAnsi="宋体"/>
                <w:szCs w:val="21"/>
              </w:rPr>
            </w:pPr>
            <w:r>
              <w:rPr>
                <w:rFonts w:hint="eastAsia" w:ascii="宋体" w:hAnsi="宋体"/>
                <w:szCs w:val="21"/>
              </w:rPr>
              <w:t>c. 投标文件组成齐全完整，内容均按规定填写。</w:t>
            </w:r>
          </w:p>
          <w:p>
            <w:pPr>
              <w:adjustRightInd w:val="0"/>
              <w:snapToGrid w:val="0"/>
              <w:spacing w:before="24" w:beforeLines="10" w:after="24" w:afterLines="10" w:line="320" w:lineRule="exact"/>
              <w:ind w:firstLine="420" w:firstLineChars="200"/>
              <w:rPr>
                <w:rFonts w:ascii="宋体" w:hAnsi="宋体"/>
                <w:szCs w:val="21"/>
              </w:rPr>
            </w:pPr>
            <w:r>
              <w:rPr>
                <w:rFonts w:hint="eastAsia" w:ascii="宋体" w:hAnsi="宋体"/>
                <w:szCs w:val="21"/>
              </w:rPr>
              <w:t>（2）投标文件上法定代表人或其授权代理人的签字、投标人的单位章盖章齐全，符合招标文件规定：</w:t>
            </w:r>
          </w:p>
          <w:p>
            <w:pPr>
              <w:adjustRightInd w:val="0"/>
              <w:snapToGrid w:val="0"/>
              <w:spacing w:before="24" w:beforeLines="10" w:after="24" w:afterLines="10" w:line="320" w:lineRule="exact"/>
              <w:ind w:firstLine="420" w:firstLineChars="200"/>
              <w:rPr>
                <w:rFonts w:ascii="宋体" w:hAnsi="宋体"/>
                <w:szCs w:val="21"/>
              </w:rPr>
            </w:pPr>
            <w:r>
              <w:rPr>
                <w:rFonts w:hint="eastAsia" w:ascii="宋体" w:hAnsi="宋体"/>
                <w:szCs w:val="21"/>
              </w:rPr>
              <w:t>（3）投标人按照招标文件规定提供了投标保证金：</w:t>
            </w:r>
          </w:p>
          <w:p>
            <w:pPr>
              <w:adjustRightInd w:val="0"/>
              <w:snapToGrid w:val="0"/>
              <w:spacing w:before="24" w:beforeLines="10" w:after="24" w:afterLines="10" w:line="320" w:lineRule="exact"/>
              <w:ind w:firstLine="630" w:firstLineChars="300"/>
              <w:rPr>
                <w:rFonts w:ascii="宋体" w:hAnsi="宋体"/>
                <w:szCs w:val="21"/>
              </w:rPr>
            </w:pPr>
            <w:r>
              <w:rPr>
                <w:rFonts w:hint="eastAsia" w:ascii="宋体" w:hAnsi="宋体"/>
                <w:szCs w:val="21"/>
              </w:rPr>
              <w:t>a.投标保证金金额符合招标文件规定的金额，且投标保证金有效期不少于投标有效期；</w:t>
            </w:r>
          </w:p>
          <w:p>
            <w:pPr>
              <w:adjustRightInd w:val="0"/>
              <w:snapToGrid w:val="0"/>
              <w:spacing w:before="24" w:beforeLines="10" w:after="24" w:afterLines="10" w:line="320" w:lineRule="exact"/>
              <w:ind w:firstLine="630" w:firstLineChars="300"/>
              <w:rPr>
                <w:rFonts w:hint="eastAsia"/>
              </w:rPr>
            </w:pPr>
            <w:r>
              <w:rPr>
                <w:rFonts w:hint="eastAsia" w:ascii="宋体" w:hAnsi="宋体"/>
                <w:szCs w:val="21"/>
              </w:rPr>
              <w:t>b.</w:t>
            </w:r>
            <w:r>
              <w:t xml:space="preserve"> 若投标保证金采用现金或支票形式提交，投标人应在递交投标文件截止时间之前，将投标保证金由投标人的基本账户转入招标人指定账户；</w:t>
            </w:r>
          </w:p>
          <w:p>
            <w:pPr>
              <w:adjustRightInd w:val="0"/>
              <w:snapToGrid w:val="0"/>
              <w:spacing w:before="24" w:beforeLines="10" w:after="24" w:afterLines="10" w:line="320" w:lineRule="exact"/>
              <w:ind w:firstLine="630" w:firstLineChars="300"/>
              <w:rPr>
                <w:rFonts w:hint="eastAsia" w:ascii="宋体" w:hAnsi="宋体"/>
                <w:szCs w:val="21"/>
              </w:rPr>
            </w:pPr>
            <w:r>
              <w:rPr>
                <w:rFonts w:hint="eastAsia" w:ascii="宋体" w:hAnsi="宋体"/>
                <w:szCs w:val="21"/>
              </w:rPr>
              <w:t>c．</w:t>
            </w:r>
            <w:r>
              <w:t>若投标保证金采用银行保函形式提交，银行保函的格式、开具保函的银行均满足招标文件要求，且在递交投标文件截止时间之前向招标人提交了银行保函原件。</w:t>
            </w:r>
          </w:p>
          <w:p>
            <w:pPr>
              <w:adjustRightInd w:val="0"/>
              <w:snapToGrid w:val="0"/>
              <w:spacing w:before="24" w:beforeLines="10" w:after="24" w:afterLines="10" w:line="320" w:lineRule="exact"/>
              <w:ind w:firstLine="420" w:firstLineChars="200"/>
              <w:jc w:val="left"/>
              <w:rPr>
                <w:rFonts w:ascii="宋体" w:hAnsi="宋体"/>
                <w:szCs w:val="21"/>
              </w:rPr>
            </w:pPr>
            <w:r>
              <w:rPr>
                <w:rFonts w:hint="eastAsia" w:ascii="宋体" w:hAnsi="宋体"/>
                <w:szCs w:val="21"/>
              </w:rPr>
              <w:t>（4）</w:t>
            </w:r>
            <w:r>
              <w:rPr>
                <w:rFonts w:ascii="宋体" w:hAnsi="宋体"/>
                <w:szCs w:val="21"/>
              </w:rPr>
              <w:t>投标人法定代表人授权委托代理人签署投标文件的，需提交授权委托书，且授权人和被授权人均在授权委托书上签名，未使用印章、 签名章或其他电子制版签名代替。</w:t>
            </w:r>
          </w:p>
          <w:p>
            <w:pPr>
              <w:pStyle w:val="17"/>
              <w:shd w:val="clear" w:color="auto" w:fill="auto"/>
              <w:tabs>
                <w:tab w:val="left" w:pos="914"/>
              </w:tabs>
              <w:spacing w:before="0" w:line="320" w:lineRule="exact"/>
              <w:ind w:firstLine="420" w:firstLineChars="200"/>
              <w:jc w:val="both"/>
              <w:rPr>
                <w:rFonts w:hint="eastAsia"/>
                <w:kern w:val="2"/>
                <w:sz w:val="21"/>
                <w:szCs w:val="21"/>
                <w:lang w:val="en-US" w:eastAsia="zh-CN"/>
              </w:rPr>
            </w:pPr>
            <w:r>
              <w:rPr>
                <w:rFonts w:hint="eastAsia" w:cs="宋体"/>
                <w:sz w:val="21"/>
                <w:szCs w:val="21"/>
                <w:lang w:val="en-US" w:eastAsia="zh-CN"/>
              </w:rPr>
              <w:t>（5）</w:t>
            </w:r>
            <w:r>
              <w:rPr>
                <w:kern w:val="2"/>
                <w:sz w:val="21"/>
                <w:szCs w:val="21"/>
                <w:lang w:val="en-US" w:eastAsia="zh-CN"/>
              </w:rPr>
              <w:t>投标人法定代表人亲自签署投标文件的，提供了法定代表人身份证明，且法定代表人在法定代表人身份证明上签名，未使用印章、签名章或其他电子制版签名代替。</w:t>
            </w:r>
          </w:p>
          <w:p>
            <w:pPr>
              <w:pStyle w:val="17"/>
              <w:shd w:val="clear" w:color="auto" w:fill="auto"/>
              <w:tabs>
                <w:tab w:val="left" w:pos="1038"/>
              </w:tabs>
              <w:spacing w:before="0" w:line="320" w:lineRule="exact"/>
              <w:ind w:firstLine="420" w:firstLineChars="200"/>
              <w:jc w:val="both"/>
              <w:rPr>
                <w:rFonts w:hint="eastAsia" w:cs="宋体"/>
                <w:sz w:val="21"/>
                <w:szCs w:val="21"/>
                <w:lang w:val="en-US" w:eastAsia="zh-CN"/>
              </w:rPr>
            </w:pPr>
            <w:r>
              <w:rPr>
                <w:rFonts w:hint="eastAsia"/>
                <w:kern w:val="2"/>
                <w:sz w:val="21"/>
                <w:szCs w:val="21"/>
                <w:lang w:val="en-US" w:eastAsia="zh-CN"/>
              </w:rPr>
              <w:t>（6）</w:t>
            </w:r>
            <w:r>
              <w:rPr>
                <w:rFonts w:cs="宋体"/>
                <w:sz w:val="21"/>
                <w:szCs w:val="21"/>
                <w:lang w:val="en-US" w:eastAsia="zh-CN"/>
              </w:rPr>
              <w:t>投标人以联合体形式投标时，联合体满足招标文件的要求</w:t>
            </w:r>
            <w:r>
              <w:rPr>
                <w:rFonts w:hint="eastAsia" w:cs="宋体"/>
                <w:sz w:val="21"/>
                <w:szCs w:val="21"/>
                <w:lang w:val="en-US" w:eastAsia="zh-CN"/>
              </w:rPr>
              <w:t>。</w:t>
            </w:r>
          </w:p>
          <w:p>
            <w:pPr>
              <w:pStyle w:val="17"/>
              <w:shd w:val="clear" w:color="auto" w:fill="auto"/>
              <w:tabs>
                <w:tab w:val="left" w:pos="1038"/>
              </w:tabs>
              <w:spacing w:before="0" w:line="320" w:lineRule="exact"/>
              <w:ind w:firstLine="440" w:firstLineChars="200"/>
              <w:jc w:val="both"/>
              <w:rPr>
                <w:rFonts w:cs="宋体"/>
                <w:sz w:val="21"/>
                <w:szCs w:val="21"/>
                <w:lang w:val="en-US" w:eastAsia="zh-CN"/>
              </w:rPr>
            </w:pPr>
            <w:r>
              <w:rPr>
                <w:rFonts w:hint="eastAsia"/>
                <w:szCs w:val="21"/>
              </w:rPr>
              <w:t>投标人按照招标文件提供的格式签订了联合体协议书，明确各方承担连带责任，并明确了联合体牵头人。</w:t>
            </w:r>
          </w:p>
          <w:p>
            <w:pPr>
              <w:pStyle w:val="17"/>
              <w:shd w:val="clear" w:color="auto" w:fill="auto"/>
              <w:tabs>
                <w:tab w:val="left" w:pos="914"/>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（7）</w:t>
            </w:r>
            <w:r>
              <w:rPr>
                <w:rFonts w:cs="宋体"/>
                <w:sz w:val="21"/>
                <w:szCs w:val="21"/>
                <w:lang w:val="en-US" w:eastAsia="zh-CN"/>
              </w:rPr>
              <w:t>投标人如有分包计划，符合招标文件第二章“投标人须知”第</w:t>
            </w:r>
            <w:r>
              <w:rPr>
                <w:rFonts w:cs="宋体"/>
                <w:sz w:val="21"/>
                <w:szCs w:val="21"/>
                <w:lang w:val="en-US" w:eastAsia="zh-CN" w:bidi="en-US"/>
              </w:rPr>
              <w:t>1.11</w:t>
            </w:r>
            <w:r>
              <w:rPr>
                <w:rFonts w:cs="宋体"/>
                <w:sz w:val="21"/>
                <w:szCs w:val="21"/>
                <w:lang w:val="en-US" w:eastAsia="zh-CN"/>
              </w:rPr>
              <w:t>款规定，且按招标文件第九章“投标文件格式”的要求填写了“拟分包项目情况表”。</w:t>
            </w:r>
          </w:p>
          <w:p>
            <w:pPr>
              <w:pStyle w:val="17"/>
              <w:shd w:val="clear" w:color="auto" w:fill="auto"/>
              <w:tabs>
                <w:tab w:val="left" w:pos="922"/>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（8）</w:t>
            </w:r>
            <w:r>
              <w:rPr>
                <w:rFonts w:cs="宋体"/>
                <w:sz w:val="21"/>
                <w:szCs w:val="21"/>
                <w:lang w:val="en-US" w:eastAsia="zh-CN"/>
              </w:rPr>
              <w:t>同一投标人未提交两个以上不同的投标文件，但招标文件要求提交备选投标的除外。</w:t>
            </w:r>
          </w:p>
          <w:p>
            <w:pPr>
              <w:pStyle w:val="17"/>
              <w:shd w:val="clear" w:color="auto" w:fill="auto"/>
              <w:tabs>
                <w:tab w:val="left" w:pos="922"/>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（9）</w:t>
            </w:r>
            <w:r>
              <w:rPr>
                <w:rFonts w:cs="宋体"/>
                <w:sz w:val="21"/>
                <w:szCs w:val="21"/>
                <w:lang w:val="en-US" w:eastAsia="zh-CN"/>
              </w:rPr>
              <w:t>投标文件中未出现有关投标报价的内容。</w:t>
            </w:r>
          </w:p>
          <w:p>
            <w:pPr>
              <w:pStyle w:val="17"/>
              <w:shd w:val="clear" w:color="auto" w:fill="auto"/>
              <w:tabs>
                <w:tab w:val="left" w:pos="938"/>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（10）</w:t>
            </w:r>
            <w:r>
              <w:rPr>
                <w:rFonts w:cs="宋体"/>
                <w:sz w:val="21"/>
                <w:szCs w:val="21"/>
                <w:lang w:val="en-US" w:eastAsia="zh-CN"/>
              </w:rPr>
              <w:t>投标文件载明的招标项目完成期限未超过招标文件规定的时 限。</w:t>
            </w:r>
          </w:p>
          <w:p>
            <w:pPr>
              <w:pStyle w:val="17"/>
              <w:shd w:val="clear" w:color="auto" w:fill="auto"/>
              <w:tabs>
                <w:tab w:val="left" w:pos="922"/>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（11）</w:t>
            </w:r>
            <w:r>
              <w:rPr>
                <w:rFonts w:cs="宋体"/>
                <w:sz w:val="21"/>
                <w:szCs w:val="21"/>
                <w:lang w:val="en-US" w:eastAsia="zh-CN"/>
              </w:rPr>
              <w:t>投标文件对招标文件的实质性要求和条件作出响应。</w:t>
            </w:r>
          </w:p>
          <w:p>
            <w:pPr>
              <w:pStyle w:val="17"/>
              <w:shd w:val="clear" w:color="auto" w:fill="auto"/>
              <w:tabs>
                <w:tab w:val="left" w:pos="922"/>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（12）</w:t>
            </w:r>
            <w:r>
              <w:rPr>
                <w:rFonts w:cs="宋体"/>
                <w:sz w:val="21"/>
                <w:szCs w:val="21"/>
                <w:lang w:val="en-US" w:eastAsia="zh-CN"/>
              </w:rPr>
              <w:t>权利义务符合招标文件规定：</w:t>
            </w:r>
          </w:p>
          <w:p>
            <w:pPr>
              <w:pStyle w:val="17"/>
              <w:shd w:val="clear" w:color="auto" w:fill="auto"/>
              <w:tabs>
                <w:tab w:val="left" w:pos="530"/>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a．</w:t>
            </w:r>
            <w:r>
              <w:rPr>
                <w:rFonts w:cs="宋体"/>
                <w:sz w:val="21"/>
                <w:szCs w:val="21"/>
                <w:lang w:val="en-US" w:eastAsia="zh-CN"/>
              </w:rPr>
              <w:t>投标人应接受招标文件规定的风险划分原则，未提出新的风险划 分办法；</w:t>
            </w:r>
          </w:p>
          <w:p>
            <w:pPr>
              <w:pStyle w:val="17"/>
              <w:shd w:val="clear" w:color="auto" w:fill="auto"/>
              <w:tabs>
                <w:tab w:val="left" w:pos="666"/>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b．</w:t>
            </w:r>
            <w:r>
              <w:rPr>
                <w:rFonts w:cs="宋体"/>
                <w:sz w:val="21"/>
                <w:szCs w:val="21"/>
                <w:lang w:val="en-US" w:eastAsia="zh-CN"/>
              </w:rPr>
              <w:t>投标人未增加发包人的责任范围，或减少投标人义务；</w:t>
            </w:r>
          </w:p>
          <w:p>
            <w:pPr>
              <w:pStyle w:val="17"/>
              <w:shd w:val="clear" w:color="auto" w:fill="auto"/>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c．</w:t>
            </w:r>
            <w:r>
              <w:rPr>
                <w:rFonts w:cs="宋体"/>
                <w:sz w:val="21"/>
                <w:szCs w:val="21"/>
                <w:lang w:val="en-US" w:eastAsia="zh-CN"/>
              </w:rPr>
              <w:t>投标人未提出不同的工程验收、计量、支付办法；</w:t>
            </w:r>
          </w:p>
          <w:p>
            <w:pPr>
              <w:pStyle w:val="17"/>
              <w:shd w:val="clear" w:color="auto" w:fill="auto"/>
              <w:tabs>
                <w:tab w:val="left" w:pos="661"/>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d．</w:t>
            </w:r>
            <w:r>
              <w:rPr>
                <w:rFonts w:cs="宋体"/>
                <w:sz w:val="21"/>
                <w:szCs w:val="21"/>
                <w:lang w:val="en-US" w:eastAsia="zh-CN"/>
              </w:rPr>
              <w:t>投标人对合同纠纷、事故处理办法未提出异议；</w:t>
            </w:r>
          </w:p>
          <w:p>
            <w:pPr>
              <w:pStyle w:val="17"/>
              <w:shd w:val="clear" w:color="auto" w:fill="auto"/>
              <w:tabs>
                <w:tab w:val="left" w:pos="649"/>
              </w:tabs>
              <w:spacing w:before="0" w:line="320" w:lineRule="exact"/>
              <w:ind w:firstLine="420" w:firstLineChars="200"/>
              <w:jc w:val="both"/>
              <w:rPr>
                <w:rFonts w:cs="宋体"/>
                <w:sz w:val="21"/>
                <w:szCs w:val="21"/>
                <w:lang w:val="en-US" w:eastAsia="zh-CN"/>
              </w:rPr>
            </w:pPr>
            <w:r>
              <w:rPr>
                <w:rFonts w:hint="eastAsia" w:cs="宋体"/>
                <w:sz w:val="21"/>
                <w:szCs w:val="21"/>
                <w:lang w:val="en-US" w:eastAsia="zh-CN"/>
              </w:rPr>
              <w:t>e．</w:t>
            </w:r>
            <w:r>
              <w:rPr>
                <w:rFonts w:cs="宋体"/>
                <w:sz w:val="21"/>
                <w:szCs w:val="21"/>
                <w:lang w:val="en-US" w:eastAsia="zh-CN"/>
              </w:rPr>
              <w:t>投标人在投标活动中无欺诈行为；</w:t>
            </w:r>
          </w:p>
          <w:p>
            <w:pPr>
              <w:pStyle w:val="17"/>
              <w:shd w:val="clear" w:color="auto" w:fill="auto"/>
              <w:tabs>
                <w:tab w:val="left" w:pos="914"/>
              </w:tabs>
              <w:spacing w:before="0" w:line="320" w:lineRule="exact"/>
              <w:ind w:firstLine="420" w:firstLineChars="200"/>
              <w:jc w:val="both"/>
              <w:rPr>
                <w:rFonts w:hint="eastAsia"/>
                <w:kern w:val="2"/>
                <w:sz w:val="21"/>
                <w:szCs w:val="21"/>
                <w:lang w:val="en-US" w:eastAsia="zh-CN"/>
              </w:rPr>
            </w:pPr>
            <w:r>
              <w:rPr>
                <w:rFonts w:hint="eastAsia" w:cs="宋体"/>
                <w:sz w:val="21"/>
                <w:szCs w:val="21"/>
                <w:lang w:val="en-US" w:eastAsia="zh-CN"/>
              </w:rPr>
              <w:t>f．</w:t>
            </w:r>
            <w:r>
              <w:rPr>
                <w:rFonts w:cs="宋体"/>
                <w:sz w:val="21"/>
                <w:szCs w:val="21"/>
                <w:lang w:val="en-US" w:eastAsia="zh-CN"/>
              </w:rPr>
              <w:t>投标人未对合同条款有重要保留。</w:t>
            </w:r>
          </w:p>
          <w:p>
            <w:pPr>
              <w:pStyle w:val="17"/>
              <w:shd w:val="clear" w:color="auto" w:fill="auto"/>
              <w:tabs>
                <w:tab w:val="left" w:pos="914"/>
              </w:tabs>
              <w:spacing w:before="0" w:line="320" w:lineRule="exact"/>
              <w:ind w:firstLine="420" w:firstLineChars="200"/>
              <w:jc w:val="both"/>
              <w:rPr>
                <w:rFonts w:hint="eastAsia"/>
                <w:kern w:val="2"/>
                <w:sz w:val="21"/>
                <w:szCs w:val="21"/>
                <w:lang w:val="en-US" w:eastAsia="zh-CN"/>
              </w:rPr>
            </w:pPr>
            <w:r>
              <w:rPr>
                <w:rFonts w:hint="eastAsia"/>
                <w:kern w:val="2"/>
                <w:sz w:val="21"/>
                <w:szCs w:val="21"/>
                <w:lang w:val="en-US" w:eastAsia="zh-CN"/>
              </w:rPr>
              <w:t>（13）</w:t>
            </w:r>
            <w:r>
              <w:rPr>
                <w:rStyle w:val="18"/>
                <w:color w:val="auto"/>
                <w:sz w:val="21"/>
                <w:szCs w:val="21"/>
              </w:rPr>
              <w:t>投标文件正、副本份数符合招标文件第二章“投标人须知” 第</w:t>
            </w:r>
            <w:r>
              <w:rPr>
                <w:rStyle w:val="18"/>
                <w:color w:val="auto"/>
                <w:sz w:val="21"/>
                <w:szCs w:val="21"/>
                <w:lang w:bidi="en-US"/>
              </w:rPr>
              <w:t>3.7.4</w:t>
            </w:r>
            <w:r>
              <w:rPr>
                <w:rStyle w:val="18"/>
                <w:color w:val="auto"/>
                <w:sz w:val="21"/>
                <w:szCs w:val="21"/>
              </w:rPr>
              <w:t>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2.1.1</w:t>
            </w:r>
          </w:p>
          <w:p>
            <w:pPr>
              <w:adjustRightInd w:val="0"/>
              <w:snapToGrid w:val="0"/>
              <w:spacing w:before="24" w:beforeLines="10" w:after="24" w:afterLines="10" w:line="320" w:lineRule="exact"/>
              <w:jc w:val="center"/>
              <w:rPr>
                <w:rFonts w:ascii="宋体" w:hAnsi="宋体"/>
                <w:szCs w:val="21"/>
              </w:rPr>
            </w:pP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2.1.3</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第二个信封</w:t>
            </w: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形式评审与</w:t>
            </w:r>
            <w:r>
              <w:rPr>
                <w:rFonts w:hint="eastAsia" w:ascii="宋体" w:hAnsi="宋体"/>
                <w:szCs w:val="21"/>
              </w:rPr>
              <w:br w:type="textWrapping"/>
            </w:r>
            <w:r>
              <w:rPr>
                <w:rFonts w:hint="eastAsia" w:ascii="宋体" w:hAnsi="宋体"/>
                <w:szCs w:val="21"/>
              </w:rPr>
              <w:t>响应性评审标准</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adjustRightInd w:val="0"/>
              <w:snapToGrid w:val="0"/>
              <w:spacing w:before="24" w:beforeLines="10" w:after="24" w:afterLines="10" w:line="320" w:lineRule="exact"/>
              <w:jc w:val="left"/>
              <w:rPr>
                <w:rFonts w:hint="eastAsia" w:ascii="宋体" w:hAnsi="宋体"/>
                <w:szCs w:val="21"/>
              </w:rPr>
            </w:pPr>
            <w:r>
              <w:rPr>
                <w:rFonts w:hint="eastAsia" w:ascii="宋体" w:hAnsi="宋体"/>
                <w:szCs w:val="21"/>
              </w:rPr>
              <w:t>第二个信封（报价文件）评审标准</w:t>
            </w:r>
          </w:p>
          <w:p>
            <w:pPr>
              <w:pStyle w:val="17"/>
              <w:shd w:val="clear" w:color="auto" w:fill="auto"/>
              <w:tabs>
                <w:tab w:val="left" w:pos="914"/>
              </w:tabs>
              <w:spacing w:before="0" w:line="320" w:lineRule="exact"/>
              <w:ind w:firstLine="420" w:firstLineChars="200"/>
              <w:jc w:val="both"/>
              <w:rPr>
                <w:rFonts w:hint="eastAsia"/>
                <w:kern w:val="2"/>
                <w:sz w:val="21"/>
                <w:szCs w:val="21"/>
                <w:lang w:val="en-US" w:eastAsia="zh-CN"/>
              </w:rPr>
            </w:pPr>
            <w:r>
              <w:rPr>
                <w:rFonts w:hint="eastAsia"/>
                <w:kern w:val="2"/>
                <w:sz w:val="21"/>
                <w:szCs w:val="21"/>
                <w:lang w:val="en-US" w:eastAsia="zh-CN"/>
              </w:rPr>
              <w:t>（1）投标文件按照招标文件规定的格式、内容填写、字迹清晰可辨：</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a．</w:t>
            </w:r>
            <w:r>
              <w:rPr>
                <w:kern w:val="2"/>
                <w:sz w:val="21"/>
                <w:szCs w:val="21"/>
                <w:lang w:val="en-US" w:eastAsia="zh-CN"/>
              </w:rPr>
              <w:t>投标函按招标文件规定填报了项目名称、标段号、补遗书编号（如 有)、投标价（包括大写金额和小写金额)；</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b．</w:t>
            </w:r>
            <w:r>
              <w:rPr>
                <w:kern w:val="2"/>
                <w:sz w:val="21"/>
                <w:szCs w:val="21"/>
                <w:lang w:val="en-US" w:eastAsia="zh-CN"/>
              </w:rPr>
              <w:t>已标价工程量清单说明文字与招标文件规定一致，未进行实质性修改和删减；</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c．</w:t>
            </w:r>
            <w:r>
              <w:rPr>
                <w:kern w:val="2"/>
                <w:sz w:val="21"/>
                <w:szCs w:val="21"/>
                <w:lang w:val="en-US" w:eastAsia="zh-CN"/>
              </w:rPr>
              <w:t>投标文件组成齐全完整，内容均按规定填写。</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（2）</w:t>
            </w:r>
            <w:r>
              <w:rPr>
                <w:kern w:val="2"/>
                <w:sz w:val="21"/>
                <w:szCs w:val="21"/>
                <w:lang w:val="en-US" w:eastAsia="zh-CN"/>
              </w:rPr>
              <w:t>投标文件上法定代表人或其委托代理人的签字、投标人的单位章盖章齐全，符合招标文件规定。</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（3）</w:t>
            </w:r>
            <w:r>
              <w:rPr>
                <w:kern w:val="2"/>
                <w:sz w:val="21"/>
                <w:szCs w:val="21"/>
                <w:lang w:val="en-US" w:eastAsia="zh-CN"/>
              </w:rPr>
              <w:t>投标报价中的报价未超过招标文件设定的最高投标限价。</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（4）</w:t>
            </w:r>
            <w:r>
              <w:rPr>
                <w:kern w:val="2"/>
                <w:sz w:val="21"/>
                <w:szCs w:val="21"/>
                <w:lang w:val="en-US" w:eastAsia="zh-CN"/>
              </w:rPr>
              <w:t>投标报价中报价的大写金额能够确定具体数值。</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（5）</w:t>
            </w:r>
            <w:r>
              <w:rPr>
                <w:kern w:val="2"/>
                <w:sz w:val="21"/>
                <w:szCs w:val="21"/>
                <w:lang w:val="en-US" w:eastAsia="zh-CN"/>
              </w:rPr>
              <w:t>同一投标人未提交两个以上不同的投标报价，但招标文件要求提交备选投标的除外。</w:t>
            </w:r>
          </w:p>
          <w:p>
            <w:pPr>
              <w:pStyle w:val="17"/>
              <w:shd w:val="clear" w:color="auto" w:fill="auto"/>
              <w:tabs>
                <w:tab w:val="left" w:pos="914"/>
              </w:tabs>
              <w:spacing w:before="0" w:line="320" w:lineRule="exact"/>
              <w:ind w:firstLine="420" w:firstLineChars="200"/>
              <w:jc w:val="both"/>
              <w:rPr>
                <w:rFonts w:ascii="黑体" w:hAnsi="黑体" w:eastAsia="黑体"/>
                <w:kern w:val="2"/>
                <w:sz w:val="21"/>
                <w:szCs w:val="21"/>
                <w:lang w:val="en-US" w:eastAsia="zh-CN"/>
              </w:rPr>
            </w:pPr>
            <w:r>
              <w:rPr>
                <w:rFonts w:hint="eastAsia"/>
                <w:kern w:val="2"/>
                <w:sz w:val="21"/>
                <w:szCs w:val="21"/>
                <w:lang w:val="en-US" w:eastAsia="zh-CN"/>
              </w:rPr>
              <w:t>（6）</w:t>
            </w:r>
            <w:r>
              <w:rPr>
                <w:kern w:val="2"/>
                <w:sz w:val="21"/>
                <w:szCs w:val="21"/>
                <w:lang w:val="en-US" w:eastAsia="zh-CN"/>
              </w:rPr>
              <w:t>投标人若填写工程量固化清单，填写完毕的工程量固化清单未对工程量固化清单电子文件中的数据、格式和运算定义进行修改；</w:t>
            </w:r>
            <w:r>
              <w:rPr>
                <w:rFonts w:ascii="黑体" w:hAnsi="黑体" w:eastAsia="黑体"/>
                <w:kern w:val="2"/>
                <w:sz w:val="21"/>
                <w:szCs w:val="21"/>
                <w:lang w:val="en-US" w:eastAsia="zh-CN"/>
              </w:rPr>
              <w:t>工程量固化清单中的投标报价和投标函大写金额报价一致。</w:t>
            </w:r>
          </w:p>
          <w:p>
            <w:pPr>
              <w:pStyle w:val="17"/>
              <w:shd w:val="clear" w:color="auto" w:fill="auto"/>
              <w:tabs>
                <w:tab w:val="left" w:pos="914"/>
              </w:tabs>
              <w:spacing w:before="0" w:line="320" w:lineRule="exact"/>
              <w:ind w:firstLine="420" w:firstLineChars="200"/>
              <w:jc w:val="both"/>
              <w:rPr>
                <w:kern w:val="2"/>
                <w:sz w:val="21"/>
                <w:szCs w:val="21"/>
                <w:lang w:val="en-US" w:eastAsia="zh-CN"/>
              </w:rPr>
            </w:pPr>
            <w:r>
              <w:rPr>
                <w:rFonts w:hint="eastAsia"/>
                <w:kern w:val="2"/>
                <w:sz w:val="21"/>
                <w:szCs w:val="21"/>
                <w:lang w:val="en-US" w:eastAsia="zh-CN"/>
              </w:rPr>
              <w:t>（7）</w:t>
            </w:r>
            <w:r>
              <w:rPr>
                <w:kern w:val="2"/>
                <w:sz w:val="21"/>
                <w:szCs w:val="21"/>
                <w:lang w:val="en-US" w:eastAsia="zh-CN"/>
              </w:rPr>
              <w:t>投标文件正、副本份数符合招标文件第二章“投标人须知”第 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2.1.2</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第一个信封</w:t>
            </w: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资格评审标准</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pStyle w:val="19"/>
              <w:shd w:val="clear" w:color="auto" w:fill="auto"/>
              <w:tabs>
                <w:tab w:val="left" w:pos="2133"/>
              </w:tabs>
              <w:spacing w:before="0" w:after="0" w:line="320" w:lineRule="exact"/>
              <w:ind w:firstLine="440" w:firstLineChars="200"/>
              <w:jc w:val="both"/>
              <w:rPr>
                <w:rStyle w:val="18"/>
                <w:color w:val="auto"/>
                <w:sz w:val="21"/>
                <w:szCs w:val="21"/>
                <w:lang w:eastAsia="zh-CN"/>
              </w:rPr>
            </w:pPr>
            <w:r>
              <w:rPr>
                <w:rStyle w:val="18"/>
                <w:rFonts w:hint="eastAsia"/>
                <w:color w:val="auto"/>
                <w:lang w:eastAsia="zh-CN"/>
              </w:rPr>
              <w:t>（1）</w:t>
            </w:r>
            <w:r>
              <w:rPr>
                <w:rStyle w:val="18"/>
                <w:color w:val="auto"/>
                <w:sz w:val="21"/>
                <w:szCs w:val="21"/>
                <w:lang w:eastAsia="zh-CN"/>
              </w:rPr>
              <w:t>投标人具备有效的营业执照、组织机构代码证、资质证书、安全生产许可证和基本账户开户许可证</w:t>
            </w:r>
            <w:r>
              <w:rPr>
                <w:rStyle w:val="18"/>
                <w:rFonts w:hint="eastAsia"/>
                <w:color w:val="auto"/>
                <w:sz w:val="21"/>
                <w:szCs w:val="21"/>
                <w:lang w:eastAsia="zh-CN"/>
              </w:rPr>
              <w:t>和公司出资情况工商查档证明</w:t>
            </w:r>
            <w:r>
              <w:rPr>
                <w:rStyle w:val="18"/>
                <w:color w:val="auto"/>
                <w:sz w:val="21"/>
                <w:szCs w:val="21"/>
                <w:lang w:eastAsia="zh-CN"/>
              </w:rPr>
              <w:t>；</w:t>
            </w:r>
          </w:p>
          <w:p>
            <w:pPr>
              <w:pStyle w:val="19"/>
              <w:shd w:val="clear" w:color="auto" w:fill="auto"/>
              <w:tabs>
                <w:tab w:val="left" w:pos="1615"/>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（2）</w:t>
            </w:r>
            <w:r>
              <w:rPr>
                <w:rStyle w:val="18"/>
                <w:color w:val="auto"/>
                <w:sz w:val="21"/>
                <w:szCs w:val="21"/>
                <w:lang w:eastAsia="zh-CN"/>
              </w:rPr>
              <w:t>投标人的资质等级符合招标文件规定；</w:t>
            </w:r>
          </w:p>
          <w:p>
            <w:pPr>
              <w:pStyle w:val="19"/>
              <w:shd w:val="clear" w:color="auto" w:fill="auto"/>
              <w:tabs>
                <w:tab w:val="left" w:pos="1646"/>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（3）</w:t>
            </w:r>
            <w:r>
              <w:rPr>
                <w:rStyle w:val="18"/>
                <w:color w:val="auto"/>
                <w:sz w:val="21"/>
                <w:szCs w:val="21"/>
                <w:lang w:eastAsia="zh-CN"/>
              </w:rPr>
              <w:t>投标人的财务状况符合招标文件规定；</w:t>
            </w:r>
          </w:p>
          <w:p>
            <w:pPr>
              <w:pStyle w:val="19"/>
              <w:shd w:val="clear" w:color="auto" w:fill="auto"/>
              <w:tabs>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（4）</w:t>
            </w:r>
            <w:r>
              <w:rPr>
                <w:rStyle w:val="18"/>
                <w:color w:val="auto"/>
                <w:sz w:val="21"/>
                <w:szCs w:val="21"/>
                <w:lang w:eastAsia="zh-CN"/>
              </w:rPr>
              <w:t>投标人的类似项目业绩符合招标文件规定；</w:t>
            </w:r>
          </w:p>
          <w:p>
            <w:pPr>
              <w:pStyle w:val="19"/>
              <w:shd w:val="clear" w:color="auto" w:fill="auto"/>
              <w:tabs>
                <w:tab w:val="left" w:pos="1646"/>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（5）</w:t>
            </w:r>
            <w:r>
              <w:rPr>
                <w:rStyle w:val="18"/>
                <w:color w:val="auto"/>
                <w:sz w:val="21"/>
                <w:szCs w:val="21"/>
                <w:lang w:eastAsia="zh-CN"/>
              </w:rPr>
              <w:t>投标人的信誉符合招标文件规定；</w:t>
            </w:r>
          </w:p>
          <w:p>
            <w:pPr>
              <w:pStyle w:val="19"/>
              <w:shd w:val="clear" w:color="auto" w:fill="auto"/>
              <w:tabs>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（6）</w:t>
            </w:r>
            <w:r>
              <w:rPr>
                <w:rStyle w:val="18"/>
                <w:color w:val="auto"/>
                <w:sz w:val="21"/>
                <w:szCs w:val="21"/>
                <w:lang w:eastAsia="zh-CN"/>
              </w:rPr>
              <w:t>投标人</w:t>
            </w:r>
            <w:r>
              <w:rPr>
                <w:rStyle w:val="18"/>
                <w:rFonts w:hint="eastAsia"/>
                <w:color w:val="auto"/>
                <w:sz w:val="21"/>
                <w:szCs w:val="21"/>
                <w:lang w:eastAsia="zh-CN"/>
              </w:rPr>
              <w:t>拟投入本项目的项目经理和项目总工</w:t>
            </w:r>
            <w:r>
              <w:rPr>
                <w:rStyle w:val="18"/>
                <w:color w:val="auto"/>
                <w:sz w:val="21"/>
                <w:szCs w:val="21"/>
                <w:lang w:eastAsia="zh-CN"/>
              </w:rPr>
              <w:t>资格、在岗情况符合招标文件规定；</w:t>
            </w:r>
          </w:p>
          <w:p>
            <w:pPr>
              <w:pStyle w:val="19"/>
              <w:shd w:val="clear" w:color="auto" w:fill="auto"/>
              <w:tabs>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（7）</w:t>
            </w:r>
            <w:r>
              <w:rPr>
                <w:rStyle w:val="18"/>
                <w:color w:val="auto"/>
                <w:sz w:val="21"/>
                <w:szCs w:val="21"/>
                <w:lang w:eastAsia="zh-CN"/>
              </w:rPr>
              <w:t>投标人的其他要求符合招标文件规定；</w:t>
            </w:r>
          </w:p>
          <w:p>
            <w:pPr>
              <w:pStyle w:val="19"/>
              <w:shd w:val="clear" w:color="auto" w:fill="auto"/>
              <w:tabs>
                <w:tab w:val="left" w:pos="2133"/>
              </w:tabs>
              <w:spacing w:before="0" w:after="0" w:line="320" w:lineRule="exact"/>
              <w:ind w:firstLine="420" w:firstLineChars="200"/>
              <w:jc w:val="both"/>
              <w:rPr>
                <w:rStyle w:val="18"/>
                <w:color w:val="auto"/>
                <w:sz w:val="21"/>
                <w:szCs w:val="21"/>
                <w:lang w:eastAsia="zh-CN"/>
              </w:rPr>
            </w:pPr>
            <w:r>
              <w:rPr>
                <w:rStyle w:val="18"/>
                <w:rFonts w:hint="eastAsia"/>
                <w:color w:val="auto"/>
                <w:sz w:val="21"/>
                <w:szCs w:val="21"/>
                <w:lang w:eastAsia="zh-CN"/>
              </w:rPr>
              <w:t>（8）</w:t>
            </w:r>
            <w:r>
              <w:rPr>
                <w:rStyle w:val="18"/>
                <w:color w:val="auto"/>
                <w:sz w:val="21"/>
                <w:szCs w:val="21"/>
                <w:lang w:eastAsia="zh-CN"/>
              </w:rPr>
              <w:t>投标人不存在第二章“投标人须知”第1.4.3项或第1.4.4项规 定的任何一种情形；</w:t>
            </w:r>
          </w:p>
          <w:p>
            <w:pPr>
              <w:pStyle w:val="19"/>
              <w:shd w:val="clear" w:color="auto" w:fill="auto"/>
              <w:tabs>
                <w:tab w:val="left" w:pos="2133"/>
              </w:tabs>
              <w:spacing w:before="0" w:after="0" w:line="320" w:lineRule="exact"/>
              <w:ind w:firstLine="420" w:firstLineChars="200"/>
              <w:jc w:val="both"/>
              <w:rPr>
                <w:rStyle w:val="18"/>
                <w:rFonts w:hint="eastAsia"/>
                <w:color w:val="auto"/>
                <w:sz w:val="21"/>
                <w:szCs w:val="21"/>
                <w:lang w:eastAsia="zh-CN"/>
              </w:rPr>
            </w:pPr>
            <w:r>
              <w:rPr>
                <w:rStyle w:val="18"/>
                <w:rFonts w:hint="eastAsia"/>
                <w:color w:val="auto"/>
                <w:sz w:val="21"/>
                <w:szCs w:val="21"/>
                <w:lang w:eastAsia="zh-CN"/>
              </w:rPr>
              <w:t>（9）</w:t>
            </w:r>
            <w:r>
              <w:rPr>
                <w:rStyle w:val="18"/>
                <w:color w:val="auto"/>
                <w:sz w:val="21"/>
                <w:szCs w:val="21"/>
                <w:lang w:eastAsia="zh-CN"/>
              </w:rPr>
              <w:t>投标人符合第二章“投标人须知”第1.4.5项规定；</w:t>
            </w:r>
          </w:p>
          <w:p>
            <w:pPr>
              <w:pStyle w:val="19"/>
              <w:shd w:val="clear" w:color="auto" w:fill="auto"/>
              <w:tabs>
                <w:tab w:val="left" w:pos="2133"/>
              </w:tabs>
              <w:spacing w:before="0" w:after="0" w:line="320" w:lineRule="exact"/>
              <w:ind w:firstLine="420" w:firstLineChars="200"/>
              <w:jc w:val="both"/>
              <w:rPr>
                <w:rStyle w:val="18"/>
                <w:rFonts w:hint="eastAsia"/>
                <w:color w:val="auto"/>
                <w:sz w:val="21"/>
                <w:szCs w:val="21"/>
                <w:lang w:eastAsia="zh-CN"/>
              </w:rPr>
            </w:pPr>
            <w:r>
              <w:rPr>
                <w:rStyle w:val="18"/>
                <w:rFonts w:hint="eastAsia"/>
                <w:color w:val="auto"/>
                <w:sz w:val="21"/>
                <w:szCs w:val="21"/>
                <w:lang w:eastAsia="zh-CN"/>
              </w:rPr>
              <w:t>（10）</w:t>
            </w:r>
            <w:r>
              <w:rPr>
                <w:rStyle w:val="18"/>
                <w:color w:val="auto"/>
                <w:sz w:val="21"/>
                <w:szCs w:val="21"/>
                <w:lang w:eastAsia="zh-CN"/>
              </w:rPr>
              <w:t>以联合体形式参与投标的，联合体各方均未再以自己名义单独或参加其他联合体在同一标段中投标；独立参与投标的，投标人未同时参加联合体在同</w:t>
            </w:r>
            <w:r>
              <w:rPr>
                <w:rStyle w:val="18"/>
                <w:rFonts w:hint="eastAsia"/>
                <w:color w:val="auto"/>
                <w:sz w:val="21"/>
                <w:szCs w:val="21"/>
                <w:lang w:eastAsia="zh-CN"/>
              </w:rPr>
              <w:t>一</w:t>
            </w:r>
            <w:r>
              <w:rPr>
                <w:rStyle w:val="18"/>
                <w:color w:val="auto"/>
                <w:sz w:val="21"/>
                <w:szCs w:val="21"/>
                <w:lang w:eastAsia="zh-CN"/>
              </w:rPr>
              <w:t>标段中投标</w:t>
            </w:r>
            <w:r>
              <w:rPr>
                <w:rStyle w:val="18"/>
                <w:rFonts w:hint="eastAsia"/>
                <w:color w:val="auto"/>
                <w:sz w:val="21"/>
                <w:szCs w:val="21"/>
                <w:lang w:eastAsia="zh-CN"/>
              </w:rPr>
              <w:t>。</w:t>
            </w:r>
          </w:p>
          <w:p>
            <w:pPr>
              <w:pStyle w:val="19"/>
              <w:shd w:val="clear" w:color="auto" w:fill="auto"/>
              <w:tabs>
                <w:tab w:val="left" w:pos="2133"/>
              </w:tabs>
              <w:spacing w:before="0" w:after="0" w:line="320" w:lineRule="exact"/>
              <w:ind w:firstLine="420" w:firstLineChars="200"/>
              <w:jc w:val="both"/>
              <w:rPr>
                <w:rStyle w:val="18"/>
                <w:color w:val="auto"/>
                <w:lang w:eastAsia="zh-CN"/>
              </w:rPr>
            </w:pPr>
            <w:r>
              <w:rPr>
                <w:rStyle w:val="18"/>
                <w:rFonts w:hint="eastAsia"/>
                <w:color w:val="auto"/>
                <w:sz w:val="21"/>
                <w:szCs w:val="21"/>
                <w:lang w:eastAsia="zh-CN"/>
              </w:rPr>
              <w:t>（11）与招标人存在利害关系可能影响招标公正性的法人、其他组织或者个人，不得参加投标；单位负责人为同一人或者存在控股、管理关系的不同单位，不得参加同一标段投标。如出现本款所述的情况，相关投标人的投标文件均不能通过评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2.2.1</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分值构成</w:t>
            </w: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(总分100分)</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adjustRightInd w:val="0"/>
              <w:snapToGrid w:val="0"/>
              <w:spacing w:before="24" w:beforeLines="10" w:after="24" w:afterLines="10"/>
              <w:ind w:firstLine="420" w:firstLineChars="200"/>
              <w:jc w:val="left"/>
              <w:rPr>
                <w:rFonts w:ascii="黑体" w:hAnsi="宋体" w:eastAsia="黑体"/>
                <w:szCs w:val="21"/>
              </w:rPr>
            </w:pPr>
            <w:r>
              <w:rPr>
                <w:rFonts w:hint="eastAsia" w:ascii="黑体" w:hAnsi="宋体" w:eastAsia="黑体"/>
                <w:szCs w:val="21"/>
              </w:rPr>
              <w:t>施工组织设计：10分</w:t>
            </w:r>
          </w:p>
          <w:p>
            <w:pPr>
              <w:adjustRightInd w:val="0"/>
              <w:snapToGrid w:val="0"/>
              <w:spacing w:before="24" w:beforeLines="10" w:after="24" w:afterLines="10"/>
              <w:ind w:firstLine="420" w:firstLineChars="200"/>
              <w:jc w:val="left"/>
              <w:rPr>
                <w:rFonts w:ascii="黑体" w:hAnsi="宋体" w:eastAsia="黑体"/>
                <w:szCs w:val="21"/>
              </w:rPr>
            </w:pPr>
            <w:r>
              <w:rPr>
                <w:rFonts w:hint="eastAsia" w:ascii="黑体" w:hAnsi="宋体" w:eastAsia="黑体"/>
                <w:szCs w:val="21"/>
              </w:rPr>
              <w:t>主要人员：10分</w:t>
            </w:r>
          </w:p>
          <w:p>
            <w:pPr>
              <w:adjustRightInd w:val="0"/>
              <w:snapToGrid w:val="0"/>
              <w:spacing w:before="24" w:beforeLines="10" w:after="24" w:afterLines="10"/>
              <w:ind w:firstLine="420" w:firstLineChars="200"/>
              <w:jc w:val="left"/>
              <w:rPr>
                <w:rFonts w:ascii="黑体" w:hAnsi="宋体" w:eastAsia="黑体"/>
                <w:szCs w:val="21"/>
              </w:rPr>
            </w:pPr>
            <w:r>
              <w:rPr>
                <w:rFonts w:hint="eastAsia" w:ascii="黑体" w:hAnsi="宋体" w:eastAsia="黑体"/>
                <w:szCs w:val="21"/>
              </w:rPr>
              <w:t>评标价：</w:t>
            </w:r>
            <w:r>
              <w:rPr>
                <w:rFonts w:ascii="黑体" w:hAnsi="宋体" w:eastAsia="黑体"/>
                <w:szCs w:val="21"/>
              </w:rPr>
              <w:t>50</w:t>
            </w:r>
            <w:r>
              <w:rPr>
                <w:rFonts w:hint="eastAsia" w:ascii="黑体" w:hAnsi="宋体" w:eastAsia="黑体"/>
                <w:szCs w:val="21"/>
              </w:rPr>
              <w:t>分</w:t>
            </w:r>
          </w:p>
          <w:p>
            <w:pPr>
              <w:adjustRightInd w:val="0"/>
              <w:snapToGrid w:val="0"/>
              <w:spacing w:before="24" w:beforeLines="10" w:after="24" w:afterLines="10"/>
              <w:ind w:firstLine="420" w:firstLineChars="200"/>
              <w:jc w:val="left"/>
              <w:rPr>
                <w:rFonts w:ascii="黑体" w:hAnsi="黑体" w:eastAsia="黑体"/>
                <w:szCs w:val="21"/>
              </w:rPr>
            </w:pPr>
            <w:r>
              <w:rPr>
                <w:rFonts w:hint="eastAsia" w:ascii="黑体" w:hAnsi="宋体" w:eastAsia="黑体"/>
                <w:szCs w:val="21"/>
              </w:rPr>
              <w:t>其他因素：30分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2.2.2</w:t>
            </w:r>
          </w:p>
        </w:tc>
        <w:tc>
          <w:tcPr>
            <w:tcW w:w="1555"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评标基准价</w:t>
            </w:r>
          </w:p>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计算方法</w:t>
            </w:r>
          </w:p>
        </w:tc>
        <w:tc>
          <w:tcPr>
            <w:tcW w:w="7376" w:type="dxa"/>
            <w:tcBorders>
              <w:top w:val="single" w:color="000000" w:sz="6" w:space="0"/>
              <w:left w:val="single" w:color="000000" w:sz="6" w:space="0"/>
              <w:bottom w:val="single" w:color="000000" w:sz="6" w:space="0"/>
              <w:right w:val="single" w:color="000000" w:sz="12" w:space="0"/>
            </w:tcBorders>
            <w:noWrap w:val="0"/>
            <w:vAlign w:val="center"/>
          </w:tcPr>
          <w:p>
            <w:pPr>
              <w:adjustRightInd w:val="0"/>
              <w:snapToGrid w:val="0"/>
              <w:spacing w:before="24" w:beforeLines="10" w:after="24" w:afterLines="10" w:line="320" w:lineRule="exact"/>
              <w:ind w:firstLine="420" w:firstLineChars="200"/>
              <w:jc w:val="left"/>
              <w:rPr>
                <w:rFonts w:ascii="宋体" w:hAnsi="宋体"/>
                <w:szCs w:val="21"/>
              </w:rPr>
            </w:pPr>
            <w:r>
              <w:rPr>
                <w:rFonts w:hint="eastAsia" w:ascii="宋体" w:hAnsi="宋体"/>
                <w:szCs w:val="21"/>
              </w:rPr>
              <w:t>详见投标人须知前附表第5.2.3项。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999" w:type="dxa"/>
            <w:tcBorders>
              <w:top w:val="single" w:color="000000" w:sz="6" w:space="0"/>
              <w:left w:val="single" w:color="000000" w:sz="12" w:space="0"/>
              <w:bottom w:val="single" w:color="000000" w:sz="12"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2.2.3</w:t>
            </w:r>
          </w:p>
        </w:tc>
        <w:tc>
          <w:tcPr>
            <w:tcW w:w="1555" w:type="dxa"/>
            <w:tcBorders>
              <w:top w:val="single" w:color="000000" w:sz="6" w:space="0"/>
              <w:left w:val="single" w:color="000000" w:sz="6" w:space="0"/>
              <w:bottom w:val="single" w:color="000000" w:sz="12" w:space="0"/>
              <w:right w:val="single" w:color="000000" w:sz="6" w:space="0"/>
            </w:tcBorders>
            <w:noWrap w:val="0"/>
            <w:vAlign w:val="center"/>
          </w:tcPr>
          <w:p>
            <w:pPr>
              <w:adjustRightInd w:val="0"/>
              <w:snapToGrid w:val="0"/>
              <w:spacing w:before="24" w:beforeLines="10" w:after="24" w:afterLines="10" w:line="320" w:lineRule="exact"/>
              <w:jc w:val="center"/>
              <w:rPr>
                <w:rFonts w:ascii="宋体" w:hAnsi="宋体"/>
                <w:szCs w:val="21"/>
              </w:rPr>
            </w:pPr>
            <w:r>
              <w:rPr>
                <w:rFonts w:hint="eastAsia" w:ascii="宋体" w:hAnsi="宋体"/>
                <w:szCs w:val="21"/>
              </w:rPr>
              <w:t>评标价的偏差率计算公式</w:t>
            </w:r>
          </w:p>
        </w:tc>
        <w:tc>
          <w:tcPr>
            <w:tcW w:w="7376" w:type="dxa"/>
            <w:tcBorders>
              <w:top w:val="single" w:color="000000" w:sz="6" w:space="0"/>
              <w:left w:val="single" w:color="000000" w:sz="6" w:space="0"/>
              <w:bottom w:val="single" w:color="000000" w:sz="12" w:space="0"/>
              <w:right w:val="single" w:color="000000" w:sz="12" w:space="0"/>
            </w:tcBorders>
            <w:noWrap w:val="0"/>
            <w:vAlign w:val="center"/>
          </w:tcPr>
          <w:p>
            <w:pPr>
              <w:adjustRightInd w:val="0"/>
              <w:snapToGrid w:val="0"/>
              <w:spacing w:before="24" w:beforeLines="10" w:after="24" w:afterLines="10" w:line="320" w:lineRule="exact"/>
              <w:ind w:firstLine="420" w:firstLineChars="200"/>
              <w:jc w:val="left"/>
              <w:rPr>
                <w:rFonts w:ascii="宋体" w:hAnsi="宋体"/>
                <w:szCs w:val="21"/>
              </w:rPr>
            </w:pPr>
            <w:r>
              <w:rPr>
                <w:rFonts w:hint="eastAsia" w:ascii="宋体" w:hAnsi="宋体"/>
                <w:szCs w:val="21"/>
              </w:rPr>
              <w:t>详见投标人须知前附表第5.2.3项。</w:t>
            </w:r>
          </w:p>
        </w:tc>
      </w:tr>
    </w:tbl>
    <w:p>
      <w:pPr>
        <w:widowControl/>
        <w:jc w:val="left"/>
        <w:rPr>
          <w:rFonts w:hint="eastAsia"/>
        </w:rPr>
      </w:pPr>
      <w:r>
        <w:br w:type="page"/>
      </w:r>
    </w:p>
    <w:p>
      <w:pPr>
        <w:widowControl/>
        <w:jc w:val="left"/>
        <w:rPr>
          <w:rFonts w:ascii="方正超粗黑简体" w:eastAsia="方正超粗黑简体"/>
          <w:sz w:val="24"/>
        </w:rPr>
      </w:pPr>
    </w:p>
    <w:tbl>
      <w:tblPr>
        <w:tblStyle w:val="9"/>
        <w:tblW w:w="0" w:type="auto"/>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9"/>
        <w:gridCol w:w="363"/>
        <w:gridCol w:w="726"/>
        <w:gridCol w:w="893"/>
        <w:gridCol w:w="1670"/>
        <w:gridCol w:w="284"/>
        <w:gridCol w:w="576"/>
        <w:gridCol w:w="3090"/>
        <w:gridCol w:w="19"/>
        <w:gridCol w:w="1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2" w:hRule="atLeast"/>
        </w:trPr>
        <w:tc>
          <w:tcPr>
            <w:tcW w:w="5411" w:type="dxa"/>
            <w:gridSpan w:val="7"/>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评分因素与权重分值</w:t>
            </w:r>
          </w:p>
        </w:tc>
        <w:tc>
          <w:tcPr>
            <w:tcW w:w="4238" w:type="dxa"/>
            <w:gridSpan w:val="3"/>
            <w:vMerge w:val="restart"/>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评分标准</w:t>
            </w:r>
            <w:r>
              <w:rPr>
                <w:rStyle w:val="11"/>
                <w:rFonts w:ascii="宋体" w:hAnsi="宋体"/>
                <w:szCs w:val="21"/>
              </w:rPr>
              <w:footnoteReference w:id="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99"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条款号</w:t>
            </w:r>
          </w:p>
        </w:tc>
        <w:tc>
          <w:tcPr>
            <w:tcW w:w="1089" w:type="dxa"/>
            <w:gridSpan w:val="2"/>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w:t>
            </w:r>
          </w:p>
        </w:tc>
        <w:tc>
          <w:tcPr>
            <w:tcW w:w="893"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w:t>
            </w:r>
          </w:p>
          <w:p>
            <w:pPr>
              <w:autoSpaceDE w:val="0"/>
              <w:autoSpaceDN w:val="0"/>
              <w:snapToGrid w:val="0"/>
              <w:jc w:val="center"/>
              <w:rPr>
                <w:rFonts w:ascii="宋体" w:hAnsi="宋体"/>
                <w:szCs w:val="21"/>
              </w:rPr>
            </w:pPr>
            <w:r>
              <w:rPr>
                <w:rFonts w:ascii="宋体" w:hAnsi="宋体"/>
                <w:szCs w:val="21"/>
              </w:rPr>
              <w:t>权重分值</w:t>
            </w:r>
          </w:p>
        </w:tc>
        <w:tc>
          <w:tcPr>
            <w:tcW w:w="1670"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各评分因</w:t>
            </w:r>
          </w:p>
          <w:p>
            <w:pPr>
              <w:autoSpaceDE w:val="0"/>
              <w:autoSpaceDN w:val="0"/>
              <w:snapToGrid w:val="0"/>
              <w:jc w:val="center"/>
              <w:rPr>
                <w:rFonts w:ascii="宋体" w:hAnsi="宋体"/>
                <w:szCs w:val="21"/>
              </w:rPr>
            </w:pPr>
            <w:r>
              <w:rPr>
                <w:rFonts w:ascii="宋体" w:hAnsi="宋体"/>
                <w:szCs w:val="21"/>
              </w:rPr>
              <w:t>素细分项</w:t>
            </w:r>
          </w:p>
        </w:tc>
        <w:tc>
          <w:tcPr>
            <w:tcW w:w="860" w:type="dxa"/>
            <w:gridSpan w:val="2"/>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分值</w:t>
            </w:r>
          </w:p>
        </w:tc>
        <w:tc>
          <w:tcPr>
            <w:tcW w:w="4238" w:type="dxa"/>
            <w:gridSpan w:val="3"/>
            <w:vMerge w:val="continue"/>
            <w:shd w:val="clear" w:color="auto" w:fill="FFFFFF"/>
            <w:noWrap w:val="0"/>
            <w:vAlign w:val="center"/>
          </w:tcPr>
          <w:p>
            <w:pPr>
              <w:autoSpaceDE w:val="0"/>
              <w:autoSpaceDN w:val="0"/>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restart"/>
            <w:shd w:val="clear" w:color="auto" w:fill="FFFFFF"/>
            <w:noWrap w:val="0"/>
            <w:vAlign w:val="center"/>
          </w:tcPr>
          <w:p>
            <w:pPr>
              <w:autoSpaceDE w:val="0"/>
              <w:autoSpaceDN w:val="0"/>
              <w:snapToGrid w:val="0"/>
              <w:rPr>
                <w:rFonts w:ascii="宋体" w:hAnsi="宋体"/>
                <w:szCs w:val="21"/>
              </w:rPr>
            </w:pPr>
            <w:r>
              <w:rPr>
                <w:rFonts w:ascii="宋体" w:hAnsi="宋体"/>
                <w:szCs w:val="21"/>
              </w:rPr>
              <w:t>2.2.</w:t>
            </w:r>
            <w:r>
              <w:rPr>
                <w:rFonts w:hint="eastAsia" w:ascii="宋体" w:hAnsi="宋体"/>
                <w:szCs w:val="21"/>
              </w:rPr>
              <w:t>4</w:t>
            </w:r>
            <w:r>
              <w:rPr>
                <w:rFonts w:ascii="宋体" w:hAnsi="宋体"/>
                <w:szCs w:val="21"/>
              </w:rPr>
              <w:t>(1)</w:t>
            </w:r>
          </w:p>
        </w:tc>
        <w:tc>
          <w:tcPr>
            <w:tcW w:w="1089"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施工</w:t>
            </w:r>
          </w:p>
          <w:p>
            <w:pPr>
              <w:autoSpaceDE w:val="0"/>
              <w:autoSpaceDN w:val="0"/>
              <w:snapToGrid w:val="0"/>
              <w:jc w:val="center"/>
              <w:rPr>
                <w:rFonts w:ascii="宋体" w:hAnsi="宋体"/>
                <w:szCs w:val="21"/>
              </w:rPr>
            </w:pPr>
            <w:r>
              <w:rPr>
                <w:rFonts w:ascii="宋体" w:hAnsi="宋体"/>
                <w:szCs w:val="21"/>
              </w:rPr>
              <w:t>组织设计</w:t>
            </w:r>
          </w:p>
        </w:tc>
        <w:tc>
          <w:tcPr>
            <w:tcW w:w="893" w:type="dxa"/>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10分</w:t>
            </w: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总体施工组织布置及规划</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2</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1.6-2.0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较好，</w:t>
            </w:r>
            <w:r>
              <w:rPr>
                <w:kern w:val="0"/>
                <w:sz w:val="18"/>
                <w:szCs w:val="18"/>
              </w:rPr>
              <w:t>1.2-1.6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jc w:val="right"/>
              <w:rPr>
                <w:kern w:val="0"/>
                <w:sz w:val="18"/>
                <w:szCs w:val="18"/>
              </w:rPr>
            </w:pPr>
            <w:r>
              <w:rPr>
                <w:kern w:val="0"/>
                <w:sz w:val="18"/>
                <w:szCs w:val="18"/>
              </w:rPr>
              <w:t xml:space="preserve"> </w:t>
            </w:r>
            <w:r>
              <w:rPr>
                <w:rFonts w:hint="eastAsia"/>
                <w:kern w:val="0"/>
                <w:sz w:val="18"/>
                <w:szCs w:val="18"/>
              </w:rPr>
              <w:t>一般，</w:t>
            </w:r>
            <w:r>
              <w:rPr>
                <w:kern w:val="0"/>
                <w:sz w:val="18"/>
                <w:szCs w:val="18"/>
              </w:rPr>
              <w:t>1.2</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主要工程项目的施工方案、方法与技术措施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项目经理部施工管理方案</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工期保证体系及保证措施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工程质量管理体系及保证措施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安全生产管理体系及保证措施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环境保护、水土保持保证体系及保证措施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文明施工、文物保护保证体系及保证措施</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restart"/>
            <w:shd w:val="clear" w:color="auto" w:fill="FFFFFF"/>
            <w:noWrap w:val="0"/>
            <w:vAlign w:val="center"/>
          </w:tcPr>
          <w:p>
            <w:pPr>
              <w:rPr>
                <w:rFonts w:cs="宋体"/>
                <w:bCs/>
                <w:sz w:val="18"/>
                <w:szCs w:val="18"/>
                <w:lang w:val="zh-CN"/>
              </w:rPr>
            </w:pPr>
            <w:r>
              <w:rPr>
                <w:rFonts w:hint="eastAsia" w:cs="宋体"/>
                <w:bCs/>
                <w:sz w:val="18"/>
                <w:szCs w:val="18"/>
                <w:lang w:val="zh-CN"/>
              </w:rPr>
              <w:t>项目风险预测与防范，事故应急预案</w:t>
            </w:r>
          </w:p>
        </w:tc>
        <w:tc>
          <w:tcPr>
            <w:tcW w:w="860" w:type="dxa"/>
            <w:gridSpan w:val="2"/>
            <w:vMerge w:val="restart"/>
            <w:shd w:val="clear" w:color="auto" w:fill="FFFFFF"/>
            <w:noWrap w:val="0"/>
            <w:vAlign w:val="center"/>
          </w:tcPr>
          <w:p>
            <w:pPr>
              <w:autoSpaceDE w:val="0"/>
              <w:autoSpaceDN w:val="0"/>
              <w:snapToGrid w:val="0"/>
              <w:jc w:val="center"/>
              <w:rPr>
                <w:rFonts w:ascii="宋体" w:hAnsi="宋体"/>
                <w:szCs w:val="21"/>
              </w:rPr>
            </w:pPr>
            <w:r>
              <w:rPr>
                <w:rFonts w:hint="eastAsia" w:ascii="宋体" w:hAnsi="宋体"/>
                <w:szCs w:val="21"/>
              </w:rPr>
              <w:t>1</w:t>
            </w:r>
          </w:p>
        </w:tc>
        <w:tc>
          <w:tcPr>
            <w:tcW w:w="4238" w:type="dxa"/>
            <w:gridSpan w:val="3"/>
            <w:shd w:val="clear" w:color="auto" w:fill="FFFFFF"/>
            <w:noWrap w:val="0"/>
            <w:vAlign w:val="center"/>
          </w:tcPr>
          <w:p>
            <w:pPr>
              <w:widowControl/>
              <w:jc w:val="right"/>
              <w:rPr>
                <w:kern w:val="0"/>
                <w:sz w:val="18"/>
                <w:szCs w:val="18"/>
              </w:rPr>
            </w:pPr>
            <w:r>
              <w:rPr>
                <w:rFonts w:hint="eastAsia"/>
                <w:kern w:val="0"/>
                <w:sz w:val="18"/>
                <w:szCs w:val="18"/>
              </w:rPr>
              <w:t>好，</w:t>
            </w:r>
            <w:r>
              <w:rPr>
                <w:kern w:val="0"/>
                <w:sz w:val="18"/>
                <w:szCs w:val="18"/>
              </w:rPr>
              <w:t xml:space="preserve">0.8-1.0 </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rFonts w:hint="eastAsia"/>
                <w:kern w:val="0"/>
                <w:sz w:val="18"/>
                <w:szCs w:val="18"/>
              </w:rPr>
              <w:t>较好，</w:t>
            </w:r>
            <w:r>
              <w:rPr>
                <w:kern w:val="0"/>
                <w:sz w:val="18"/>
                <w:szCs w:val="18"/>
              </w:rPr>
              <w:t>0.6-0.8</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5" w:hRule="exact"/>
        </w:trPr>
        <w:tc>
          <w:tcPr>
            <w:tcW w:w="899" w:type="dxa"/>
            <w:vMerge w:val="continue"/>
            <w:shd w:val="clear" w:color="auto" w:fill="FFFFFF"/>
            <w:noWrap w:val="0"/>
            <w:vAlign w:val="center"/>
          </w:tcPr>
          <w:p>
            <w:pPr>
              <w:autoSpaceDE w:val="0"/>
              <w:autoSpaceDN w:val="0"/>
              <w:snapToGrid w:val="0"/>
              <w:rPr>
                <w:rFonts w:ascii="宋体" w:hAnsi="宋体"/>
                <w:szCs w:val="21"/>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893" w:type="dxa"/>
            <w:vMerge w:val="continue"/>
            <w:shd w:val="clear" w:color="auto" w:fill="FFFFFF"/>
            <w:noWrap w:val="0"/>
            <w:vAlign w:val="center"/>
          </w:tcPr>
          <w:p>
            <w:pPr>
              <w:autoSpaceDE w:val="0"/>
              <w:autoSpaceDN w:val="0"/>
              <w:snapToGrid w:val="0"/>
              <w:jc w:val="center"/>
              <w:rPr>
                <w:rFonts w:ascii="宋体" w:hAnsi="宋体"/>
                <w:szCs w:val="21"/>
              </w:rPr>
            </w:pPr>
          </w:p>
        </w:tc>
        <w:tc>
          <w:tcPr>
            <w:tcW w:w="1670" w:type="dxa"/>
            <w:vMerge w:val="continue"/>
            <w:shd w:val="clear" w:color="auto" w:fill="FFFFFF"/>
            <w:noWrap w:val="0"/>
            <w:vAlign w:val="center"/>
          </w:tcPr>
          <w:p>
            <w:pPr>
              <w:autoSpaceDE w:val="0"/>
              <w:autoSpaceDN w:val="0"/>
              <w:snapToGrid w:val="0"/>
              <w:jc w:val="center"/>
              <w:rPr>
                <w:rFonts w:ascii="宋体" w:hAnsi="宋体"/>
                <w:szCs w:val="21"/>
              </w:rPr>
            </w:pPr>
          </w:p>
        </w:tc>
        <w:tc>
          <w:tcPr>
            <w:tcW w:w="860" w:type="dxa"/>
            <w:gridSpan w:val="2"/>
            <w:vMerge w:val="continue"/>
            <w:shd w:val="clear" w:color="auto" w:fill="FFFFFF"/>
            <w:noWrap w:val="0"/>
            <w:vAlign w:val="center"/>
          </w:tcPr>
          <w:p>
            <w:pPr>
              <w:autoSpaceDE w:val="0"/>
              <w:autoSpaceDN w:val="0"/>
              <w:snapToGrid w:val="0"/>
              <w:jc w:val="center"/>
              <w:rPr>
                <w:rFonts w:ascii="宋体" w:hAnsi="宋体"/>
                <w:szCs w:val="21"/>
              </w:rPr>
            </w:pPr>
          </w:p>
        </w:tc>
        <w:tc>
          <w:tcPr>
            <w:tcW w:w="4238" w:type="dxa"/>
            <w:gridSpan w:val="3"/>
            <w:shd w:val="clear" w:color="auto" w:fill="FFFFFF"/>
            <w:noWrap w:val="0"/>
            <w:vAlign w:val="center"/>
          </w:tcPr>
          <w:p>
            <w:pPr>
              <w:widowControl/>
              <w:snapToGrid w:val="0"/>
              <w:jc w:val="right"/>
              <w:rPr>
                <w:rFonts w:ascii="宋体"/>
                <w:szCs w:val="21"/>
              </w:rPr>
            </w:pPr>
            <w:r>
              <w:rPr>
                <w:kern w:val="0"/>
                <w:sz w:val="18"/>
                <w:szCs w:val="18"/>
              </w:rPr>
              <w:t xml:space="preserve"> </w:t>
            </w:r>
            <w:r>
              <w:rPr>
                <w:rFonts w:hint="eastAsia"/>
                <w:kern w:val="0"/>
                <w:sz w:val="18"/>
                <w:szCs w:val="18"/>
              </w:rPr>
              <w:t>一般，</w:t>
            </w:r>
            <w:r>
              <w:rPr>
                <w:kern w:val="0"/>
                <w:sz w:val="18"/>
                <w:szCs w:val="18"/>
              </w:rPr>
              <w:t>0.6</w:t>
            </w:r>
            <w:r>
              <w:rPr>
                <w:rFonts w:hint="eastAsia"/>
                <w:kern w:val="0"/>
                <w:sz w:val="18"/>
                <w:szCs w:val="18"/>
              </w:rPr>
              <w:t>分</w:t>
            </w:r>
            <w:r>
              <w:rPr>
                <w:kern w:val="0"/>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exact"/>
        </w:trPr>
        <w:tc>
          <w:tcPr>
            <w:tcW w:w="5411" w:type="dxa"/>
            <w:gridSpan w:val="7"/>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评分因素与权重分值</w:t>
            </w:r>
          </w:p>
        </w:tc>
        <w:tc>
          <w:tcPr>
            <w:tcW w:w="4238" w:type="dxa"/>
            <w:gridSpan w:val="3"/>
            <w:vMerge w:val="restart"/>
            <w:shd w:val="clear" w:color="auto" w:fill="FFFFFF"/>
            <w:noWrap w:val="0"/>
            <w:vAlign w:val="center"/>
          </w:tcPr>
          <w:p>
            <w:pPr>
              <w:autoSpaceDE w:val="0"/>
              <w:autoSpaceDN w:val="0"/>
              <w:snapToGrid w:val="0"/>
              <w:jc w:val="center"/>
              <w:rPr>
                <w:rFonts w:hint="eastAsia" w:ascii="宋体" w:hAnsi="宋体"/>
                <w:szCs w:val="21"/>
              </w:rPr>
            </w:pPr>
            <w:r>
              <w:rPr>
                <w:rFonts w:ascii="宋体" w:hAnsi="宋体"/>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0" w:hRule="exact"/>
        </w:trPr>
        <w:tc>
          <w:tcPr>
            <w:tcW w:w="899"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条款号</w:t>
            </w:r>
          </w:p>
        </w:tc>
        <w:tc>
          <w:tcPr>
            <w:tcW w:w="1089" w:type="dxa"/>
            <w:gridSpan w:val="2"/>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w:t>
            </w:r>
          </w:p>
        </w:tc>
        <w:tc>
          <w:tcPr>
            <w:tcW w:w="893"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评分因素</w:t>
            </w:r>
          </w:p>
          <w:p>
            <w:pPr>
              <w:autoSpaceDE w:val="0"/>
              <w:autoSpaceDN w:val="0"/>
              <w:snapToGrid w:val="0"/>
              <w:jc w:val="center"/>
              <w:rPr>
                <w:rFonts w:ascii="宋体" w:hAnsi="宋体"/>
                <w:szCs w:val="21"/>
              </w:rPr>
            </w:pPr>
            <w:r>
              <w:rPr>
                <w:rFonts w:ascii="宋体" w:hAnsi="宋体"/>
                <w:szCs w:val="21"/>
              </w:rPr>
              <w:t>权重分值</w:t>
            </w:r>
          </w:p>
        </w:tc>
        <w:tc>
          <w:tcPr>
            <w:tcW w:w="1954" w:type="dxa"/>
            <w:gridSpan w:val="2"/>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各评分因</w:t>
            </w:r>
          </w:p>
          <w:p>
            <w:pPr>
              <w:autoSpaceDE w:val="0"/>
              <w:autoSpaceDN w:val="0"/>
              <w:snapToGrid w:val="0"/>
              <w:jc w:val="center"/>
              <w:rPr>
                <w:rFonts w:ascii="宋体" w:hAnsi="宋体"/>
                <w:szCs w:val="21"/>
              </w:rPr>
            </w:pPr>
            <w:r>
              <w:rPr>
                <w:rFonts w:ascii="宋体" w:hAnsi="宋体"/>
                <w:szCs w:val="21"/>
              </w:rPr>
              <w:t>素细分项</w:t>
            </w:r>
          </w:p>
        </w:tc>
        <w:tc>
          <w:tcPr>
            <w:tcW w:w="576" w:type="dxa"/>
            <w:shd w:val="clear" w:color="auto" w:fill="FFFFFF"/>
            <w:noWrap w:val="0"/>
            <w:vAlign w:val="center"/>
          </w:tcPr>
          <w:p>
            <w:pPr>
              <w:autoSpaceDE w:val="0"/>
              <w:autoSpaceDN w:val="0"/>
              <w:snapToGrid w:val="0"/>
              <w:jc w:val="center"/>
              <w:rPr>
                <w:rFonts w:ascii="宋体" w:hAnsi="宋体"/>
                <w:szCs w:val="21"/>
              </w:rPr>
            </w:pPr>
            <w:r>
              <w:rPr>
                <w:rFonts w:ascii="宋体" w:hAnsi="宋体"/>
                <w:szCs w:val="21"/>
              </w:rPr>
              <w:t>分值</w:t>
            </w:r>
          </w:p>
        </w:tc>
        <w:tc>
          <w:tcPr>
            <w:tcW w:w="4238" w:type="dxa"/>
            <w:gridSpan w:val="3"/>
            <w:vMerge w:val="continue"/>
            <w:shd w:val="clear" w:color="auto" w:fill="FFFFFF"/>
            <w:noWrap w:val="0"/>
            <w:vAlign w:val="center"/>
          </w:tcPr>
          <w:p>
            <w:pPr>
              <w:autoSpaceDE w:val="0"/>
              <w:autoSpaceDN w:val="0"/>
              <w:snapToGri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restart"/>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2.2.</w:t>
            </w:r>
            <w:r>
              <w:rPr>
                <w:rFonts w:hint="eastAsia" w:ascii="宋体" w:hAnsi="宋体"/>
                <w:sz w:val="18"/>
                <w:szCs w:val="18"/>
              </w:rPr>
              <w:t>4</w:t>
            </w:r>
            <w:r>
              <w:rPr>
                <w:rFonts w:ascii="宋体" w:hAnsi="宋体"/>
                <w:sz w:val="18"/>
                <w:szCs w:val="18"/>
              </w:rPr>
              <w:t>(2)</w:t>
            </w:r>
          </w:p>
        </w:tc>
        <w:tc>
          <w:tcPr>
            <w:tcW w:w="1089" w:type="dxa"/>
            <w:gridSpan w:val="2"/>
            <w:vMerge w:val="restart"/>
            <w:shd w:val="clear" w:color="auto" w:fill="FFFFFF"/>
            <w:noWrap w:val="0"/>
            <w:vAlign w:val="center"/>
          </w:tcPr>
          <w:p>
            <w:pPr>
              <w:autoSpaceDE w:val="0"/>
              <w:autoSpaceDN w:val="0"/>
              <w:snapToGrid w:val="0"/>
              <w:jc w:val="center"/>
              <w:rPr>
                <w:rFonts w:ascii="宋体" w:hAnsi="宋体"/>
                <w:sz w:val="18"/>
                <w:szCs w:val="18"/>
              </w:rPr>
            </w:pPr>
            <w:r>
              <w:rPr>
                <w:rFonts w:ascii="宋体" w:hAnsi="宋体"/>
                <w:sz w:val="18"/>
                <w:szCs w:val="18"/>
              </w:rPr>
              <w:t>主要人员</w:t>
            </w:r>
          </w:p>
        </w:tc>
        <w:tc>
          <w:tcPr>
            <w:tcW w:w="893"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10分</w:t>
            </w:r>
          </w:p>
        </w:tc>
        <w:tc>
          <w:tcPr>
            <w:tcW w:w="1954" w:type="dxa"/>
            <w:gridSpan w:val="2"/>
            <w:vMerge w:val="restart"/>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项目经理</w:t>
            </w:r>
          </w:p>
          <w:p>
            <w:pPr>
              <w:autoSpaceDE w:val="0"/>
              <w:autoSpaceDN w:val="0"/>
              <w:snapToGrid w:val="0"/>
              <w:rPr>
                <w:rFonts w:ascii="宋体" w:hAnsi="宋体"/>
                <w:sz w:val="18"/>
                <w:szCs w:val="18"/>
              </w:rPr>
            </w:pPr>
            <w:r>
              <w:rPr>
                <w:rFonts w:ascii="宋体" w:hAnsi="宋体"/>
                <w:sz w:val="18"/>
                <w:szCs w:val="18"/>
              </w:rPr>
              <w:t>任职资格与业绩</w:t>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5分</w:t>
            </w:r>
          </w:p>
        </w:tc>
        <w:tc>
          <w:tcPr>
            <w:tcW w:w="3090" w:type="dxa"/>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符合最低资格要求</w:t>
            </w:r>
          </w:p>
        </w:tc>
        <w:tc>
          <w:tcPr>
            <w:tcW w:w="1148" w:type="dxa"/>
            <w:gridSpan w:val="2"/>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4238" w:type="dxa"/>
            <w:gridSpan w:val="3"/>
            <w:shd w:val="clear" w:color="auto" w:fill="FFFFFF"/>
            <w:noWrap w:val="0"/>
            <w:vAlign w:val="center"/>
          </w:tcPr>
          <w:p>
            <w:pPr>
              <w:autoSpaceDE w:val="0"/>
              <w:autoSpaceDN w:val="0"/>
              <w:snapToGrid w:val="0"/>
              <w:jc w:val="center"/>
              <w:rPr>
                <w:rFonts w:ascii="宋体" w:hAnsi="宋体"/>
                <w:sz w:val="18"/>
                <w:szCs w:val="18"/>
              </w:rPr>
            </w:pPr>
            <w:r>
              <w:rPr>
                <w:rFonts w:ascii="宋体" w:hAnsi="宋体"/>
                <w:sz w:val="18"/>
                <w:szCs w:val="18"/>
              </w:rPr>
              <w:t>每增加一项类似业绩</w:t>
            </w:r>
            <w:r>
              <w:rPr>
                <w:rStyle w:val="11"/>
                <w:rFonts w:ascii="宋体" w:hAnsi="宋体"/>
                <w:sz w:val="18"/>
                <w:szCs w:val="18"/>
              </w:rPr>
              <w:footnoteReference w:id="3"/>
            </w:r>
            <w:r>
              <w:rPr>
                <w:rFonts w:hint="eastAsia" w:ascii="宋体" w:hAnsi="宋体"/>
                <w:sz w:val="18"/>
                <w:szCs w:val="18"/>
              </w:rPr>
              <w:t>加2分，最多增加2分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restart"/>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项目总工</w:t>
            </w:r>
          </w:p>
          <w:p>
            <w:pPr>
              <w:autoSpaceDE w:val="0"/>
              <w:autoSpaceDN w:val="0"/>
              <w:snapToGrid w:val="0"/>
              <w:rPr>
                <w:rFonts w:ascii="宋体" w:hAnsi="宋体"/>
                <w:sz w:val="18"/>
                <w:szCs w:val="18"/>
              </w:rPr>
            </w:pPr>
            <w:r>
              <w:rPr>
                <w:rFonts w:ascii="宋体" w:hAnsi="宋体"/>
                <w:sz w:val="18"/>
                <w:szCs w:val="18"/>
              </w:rPr>
              <w:t>任职资格与业绩</w:t>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5分</w:t>
            </w:r>
          </w:p>
        </w:tc>
        <w:tc>
          <w:tcPr>
            <w:tcW w:w="3090" w:type="dxa"/>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符合最低资格要求</w:t>
            </w:r>
          </w:p>
        </w:tc>
        <w:tc>
          <w:tcPr>
            <w:tcW w:w="1148" w:type="dxa"/>
            <w:gridSpan w:val="2"/>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1089"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4238" w:type="dxa"/>
            <w:gridSpan w:val="3"/>
            <w:shd w:val="clear" w:color="auto" w:fill="FFFFFF"/>
            <w:noWrap w:val="0"/>
            <w:vAlign w:val="center"/>
          </w:tcPr>
          <w:p>
            <w:pPr>
              <w:autoSpaceDE w:val="0"/>
              <w:autoSpaceDN w:val="0"/>
              <w:snapToGrid w:val="0"/>
              <w:ind w:firstLine="180" w:firstLineChars="100"/>
              <w:jc w:val="center"/>
              <w:rPr>
                <w:rFonts w:ascii="宋体" w:hAnsi="宋体"/>
                <w:sz w:val="18"/>
                <w:szCs w:val="18"/>
              </w:rPr>
            </w:pPr>
            <w:r>
              <w:rPr>
                <w:rFonts w:ascii="宋体" w:hAnsi="宋体"/>
                <w:sz w:val="18"/>
                <w:szCs w:val="18"/>
              </w:rPr>
              <w:t>每增加一项类似业绩</w:t>
            </w:r>
            <w:r>
              <w:rPr>
                <w:rFonts w:hint="eastAsia" w:ascii="宋体" w:hAnsi="宋体"/>
                <w:sz w:val="18"/>
                <w:szCs w:val="18"/>
              </w:rPr>
              <w:t>加2分，最多增加2分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2.2.</w:t>
            </w:r>
            <w:r>
              <w:rPr>
                <w:rFonts w:hint="eastAsia" w:ascii="宋体" w:hAnsi="宋体"/>
                <w:sz w:val="18"/>
                <w:szCs w:val="18"/>
              </w:rPr>
              <w:t>4</w:t>
            </w:r>
            <w:r>
              <w:rPr>
                <w:rFonts w:ascii="宋体" w:hAnsi="宋体"/>
                <w:sz w:val="18"/>
                <w:szCs w:val="18"/>
              </w:rPr>
              <w:t>(</w:t>
            </w:r>
            <w:r>
              <w:rPr>
                <w:rFonts w:hint="eastAsia" w:ascii="宋体" w:hAnsi="宋体"/>
                <w:sz w:val="18"/>
                <w:szCs w:val="18"/>
              </w:rPr>
              <w:t>3</w:t>
            </w:r>
            <w:r>
              <w:rPr>
                <w:rFonts w:ascii="宋体" w:hAnsi="宋体"/>
                <w:sz w:val="18"/>
                <w:szCs w:val="18"/>
              </w:rPr>
              <w:t>)</w:t>
            </w:r>
          </w:p>
        </w:tc>
        <w:tc>
          <w:tcPr>
            <w:tcW w:w="1089" w:type="dxa"/>
            <w:gridSpan w:val="2"/>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投标报价</w:t>
            </w:r>
          </w:p>
        </w:tc>
        <w:tc>
          <w:tcPr>
            <w:tcW w:w="893"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50分</w:t>
            </w:r>
          </w:p>
        </w:tc>
        <w:tc>
          <w:tcPr>
            <w:tcW w:w="6768" w:type="dxa"/>
            <w:gridSpan w:val="6"/>
            <w:shd w:val="clear" w:color="auto" w:fill="FFFFFF"/>
            <w:noWrap w:val="0"/>
            <w:vAlign w:val="center"/>
          </w:tcPr>
          <w:p>
            <w:pPr>
              <w:adjustRightInd w:val="0"/>
              <w:snapToGrid w:val="0"/>
              <w:ind w:firstLine="360" w:firstLineChars="200"/>
              <w:jc w:val="left"/>
              <w:rPr>
                <w:rFonts w:ascii="宋体" w:hAnsi="宋体"/>
                <w:sz w:val="18"/>
                <w:szCs w:val="18"/>
              </w:rPr>
            </w:pPr>
            <w:r>
              <w:rPr>
                <w:rFonts w:hint="eastAsia" w:ascii="宋体" w:hAnsi="宋体"/>
                <w:sz w:val="18"/>
                <w:szCs w:val="18"/>
              </w:rPr>
              <w:t>详见投标人须知前附表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restart"/>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2.2.</w:t>
            </w:r>
            <w:r>
              <w:rPr>
                <w:rFonts w:hint="eastAsia" w:ascii="宋体" w:hAnsi="宋体"/>
                <w:sz w:val="18"/>
                <w:szCs w:val="18"/>
              </w:rPr>
              <w:t>4</w:t>
            </w:r>
            <w:r>
              <w:rPr>
                <w:rFonts w:ascii="宋体" w:hAnsi="宋体"/>
                <w:sz w:val="18"/>
                <w:szCs w:val="18"/>
              </w:rPr>
              <w:t>(</w:t>
            </w:r>
            <w:r>
              <w:rPr>
                <w:rFonts w:hint="eastAsia" w:ascii="宋体" w:hAnsi="宋体"/>
                <w:sz w:val="18"/>
                <w:szCs w:val="18"/>
              </w:rPr>
              <w:t>4</w:t>
            </w:r>
            <w:r>
              <w:rPr>
                <w:rFonts w:ascii="宋体" w:hAnsi="宋体"/>
                <w:sz w:val="18"/>
                <w:szCs w:val="18"/>
              </w:rPr>
              <w:t>)</w:t>
            </w:r>
          </w:p>
        </w:tc>
        <w:tc>
          <w:tcPr>
            <w:tcW w:w="363" w:type="dxa"/>
            <w:vMerge w:val="restart"/>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r>
              <w:rPr>
                <w:rFonts w:ascii="宋体" w:hAnsi="宋体"/>
                <w:sz w:val="18"/>
                <w:szCs w:val="18"/>
              </w:rPr>
              <w:t>其他因素</w:t>
            </w:r>
          </w:p>
        </w:tc>
        <w:tc>
          <w:tcPr>
            <w:tcW w:w="726" w:type="dxa"/>
            <w:vMerge w:val="restart"/>
            <w:shd w:val="clear" w:color="auto" w:fill="FFFFFF"/>
            <w:noWrap w:val="0"/>
            <w:vAlign w:val="center"/>
          </w:tcPr>
          <w:p>
            <w:pPr>
              <w:autoSpaceDE w:val="0"/>
              <w:autoSpaceDN w:val="0"/>
              <w:snapToGrid w:val="0"/>
              <w:jc w:val="center"/>
              <w:rPr>
                <w:rFonts w:ascii="宋体" w:hAnsi="宋体"/>
                <w:sz w:val="18"/>
                <w:szCs w:val="18"/>
              </w:rPr>
            </w:pPr>
            <w:r>
              <w:rPr>
                <w:rFonts w:ascii="宋体" w:hAnsi="宋体"/>
                <w:sz w:val="18"/>
                <w:szCs w:val="18"/>
              </w:rPr>
              <w:t>财务</w:t>
            </w:r>
          </w:p>
          <w:p>
            <w:pPr>
              <w:autoSpaceDE w:val="0"/>
              <w:autoSpaceDN w:val="0"/>
              <w:snapToGrid w:val="0"/>
              <w:jc w:val="center"/>
              <w:rPr>
                <w:rFonts w:ascii="宋体" w:hAnsi="宋体"/>
                <w:sz w:val="18"/>
                <w:szCs w:val="18"/>
              </w:rPr>
            </w:pPr>
            <w:r>
              <w:rPr>
                <w:rFonts w:ascii="宋体" w:hAnsi="宋体"/>
                <w:sz w:val="18"/>
                <w:szCs w:val="18"/>
              </w:rPr>
              <w:t>能力</w:t>
            </w:r>
          </w:p>
        </w:tc>
        <w:tc>
          <w:tcPr>
            <w:tcW w:w="893"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5分</w:t>
            </w:r>
          </w:p>
        </w:tc>
        <w:tc>
          <w:tcPr>
            <w:tcW w:w="1954" w:type="dxa"/>
            <w:gridSpan w:val="2"/>
            <w:vMerge w:val="restart"/>
            <w:shd w:val="clear" w:color="auto" w:fill="FFFFFF"/>
            <w:noWrap w:val="0"/>
            <w:vAlign w:val="center"/>
          </w:tcPr>
          <w:p>
            <w:pPr>
              <w:autoSpaceDE w:val="0"/>
              <w:autoSpaceDN w:val="0"/>
              <w:snapToGrid w:val="0"/>
              <w:rPr>
                <w:rFonts w:ascii="宋体" w:hAnsi="宋体"/>
                <w:sz w:val="18"/>
                <w:szCs w:val="18"/>
              </w:rPr>
            </w:pPr>
            <w:r>
              <w:rPr>
                <w:rFonts w:hint="eastAsia"/>
                <w:sz w:val="18"/>
                <w:szCs w:val="18"/>
              </w:rPr>
              <w:t>企业营业执照中注册资本金</w:t>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2分</w:t>
            </w: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大于或等于1亿元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5"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1亿元～0.1亿元，中间值按比例内插计算，四舍五入保留一位小数。</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2～1.2分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小于或等于0.1亿元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restart"/>
            <w:shd w:val="clear" w:color="auto" w:fill="FFFFFF"/>
            <w:noWrap w:val="0"/>
            <w:vAlign w:val="center"/>
          </w:tcPr>
          <w:p>
            <w:pPr>
              <w:autoSpaceDE w:val="0"/>
              <w:autoSpaceDN w:val="0"/>
              <w:snapToGrid w:val="0"/>
              <w:spacing w:line="220" w:lineRule="exact"/>
              <w:jc w:val="center"/>
              <w:rPr>
                <w:rFonts w:ascii="宋体" w:hAnsi="宋体"/>
                <w:sz w:val="18"/>
                <w:szCs w:val="18"/>
              </w:rPr>
            </w:pPr>
            <w:r>
              <w:rPr>
                <w:rFonts w:hint="eastAsia" w:ascii="宋体" w:hAnsi="宋体" w:cs="宋体"/>
                <w:kern w:val="0"/>
                <w:sz w:val="18"/>
                <w:szCs w:val="18"/>
              </w:rPr>
              <w:t>2016、2017、2018年度经审计的财务会计报表中流动资产-流动负债的差值的三年算数平均值</w:t>
            </w:r>
            <w:r>
              <w:rPr>
                <w:rStyle w:val="11"/>
                <w:rFonts w:ascii="宋体" w:hAnsi="宋体" w:cs="宋体"/>
                <w:kern w:val="0"/>
                <w:sz w:val="18"/>
                <w:szCs w:val="18"/>
              </w:rPr>
              <w:footnoteReference w:id="4"/>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大于或等于0.5亿元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0.5亿元～0.05亿元，中间值按比例内插计算，四舍五入保留一位小数。</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3～1.8分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textDirection w:val="tbRlV"/>
            <w:vAlign w:val="center"/>
          </w:tcPr>
          <w:p>
            <w:pPr>
              <w:autoSpaceDE w:val="0"/>
              <w:autoSpaceDN w:val="0"/>
              <w:snapToGrid w:val="0"/>
              <w:ind w:left="113" w:right="113"/>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小于或等于0.05亿元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4"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业绩</w:t>
            </w:r>
          </w:p>
        </w:tc>
        <w:tc>
          <w:tcPr>
            <w:tcW w:w="893"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10分</w:t>
            </w:r>
          </w:p>
        </w:tc>
        <w:tc>
          <w:tcPr>
            <w:tcW w:w="2530" w:type="dxa"/>
            <w:gridSpan w:val="3"/>
            <w:vMerge w:val="restart"/>
            <w:shd w:val="clear" w:color="auto" w:fill="FFFFFF"/>
            <w:noWrap w:val="0"/>
            <w:vAlign w:val="center"/>
          </w:tcPr>
          <w:p>
            <w:pPr>
              <w:autoSpaceDE w:val="0"/>
              <w:autoSpaceDN w:val="0"/>
              <w:snapToGrid w:val="0"/>
              <w:rPr>
                <w:rFonts w:ascii="宋体" w:hAnsi="宋体"/>
                <w:sz w:val="18"/>
                <w:szCs w:val="18"/>
              </w:rPr>
            </w:pPr>
            <w:r>
              <w:rPr>
                <w:rFonts w:ascii="宋体" w:hAnsi="宋体"/>
                <w:sz w:val="18"/>
                <w:szCs w:val="18"/>
              </w:rPr>
              <w:t>类似业绩</w:t>
            </w: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ascii="宋体" w:hAnsi="宋体"/>
                <w:sz w:val="18"/>
                <w:szCs w:val="18"/>
              </w:rPr>
              <w:t>类似业绩</w:t>
            </w:r>
            <w:r>
              <w:rPr>
                <w:rFonts w:hint="eastAsia" w:ascii="宋体" w:hAnsi="宋体"/>
                <w:sz w:val="18"/>
                <w:szCs w:val="18"/>
              </w:rPr>
              <w:t>累计合同额大于或等于5亿元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1"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2530" w:type="dxa"/>
            <w:gridSpan w:val="3"/>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ascii="宋体" w:hAnsi="宋体"/>
                <w:sz w:val="18"/>
                <w:szCs w:val="18"/>
              </w:rPr>
              <w:t>类似业绩</w:t>
            </w:r>
            <w:r>
              <w:rPr>
                <w:rFonts w:hint="eastAsia" w:ascii="宋体" w:hAnsi="宋体"/>
                <w:sz w:val="18"/>
                <w:szCs w:val="18"/>
              </w:rPr>
              <w:t>累计合同额5亿元～0.3亿元，中间值按比例内插计算，四舍五入保留一位小数。</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6～10分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74"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2530" w:type="dxa"/>
            <w:gridSpan w:val="3"/>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ascii="宋体" w:hAnsi="宋体"/>
                <w:sz w:val="18"/>
                <w:szCs w:val="18"/>
              </w:rPr>
              <w:t>类似业绩</w:t>
            </w:r>
            <w:r>
              <w:rPr>
                <w:rFonts w:hint="eastAsia" w:ascii="宋体" w:hAnsi="宋体"/>
                <w:sz w:val="18"/>
                <w:szCs w:val="18"/>
              </w:rPr>
              <w:t>累计合同额等于0.3亿元</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restart"/>
            <w:shd w:val="clear" w:color="auto" w:fill="FFFFFF"/>
            <w:noWrap w:val="0"/>
            <w:vAlign w:val="center"/>
          </w:tcPr>
          <w:p>
            <w:pPr>
              <w:autoSpaceDE w:val="0"/>
              <w:autoSpaceDN w:val="0"/>
              <w:snapToGrid w:val="0"/>
              <w:jc w:val="center"/>
              <w:rPr>
                <w:sz w:val="18"/>
                <w:szCs w:val="18"/>
              </w:rPr>
            </w:pPr>
            <w:r>
              <w:rPr>
                <w:rFonts w:hint="eastAsia"/>
                <w:sz w:val="18"/>
                <w:szCs w:val="18"/>
              </w:rPr>
              <w:t>履约</w:t>
            </w:r>
          </w:p>
          <w:p>
            <w:pPr>
              <w:autoSpaceDE w:val="0"/>
              <w:autoSpaceDN w:val="0"/>
              <w:snapToGrid w:val="0"/>
              <w:jc w:val="center"/>
              <w:rPr>
                <w:rFonts w:ascii="宋体" w:hAnsi="宋体"/>
                <w:sz w:val="18"/>
                <w:szCs w:val="18"/>
              </w:rPr>
            </w:pPr>
            <w:r>
              <w:rPr>
                <w:rFonts w:hint="eastAsia"/>
                <w:sz w:val="18"/>
                <w:szCs w:val="18"/>
              </w:rPr>
              <w:t>信誉</w:t>
            </w:r>
          </w:p>
        </w:tc>
        <w:tc>
          <w:tcPr>
            <w:tcW w:w="893"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5分</w:t>
            </w:r>
          </w:p>
        </w:tc>
        <w:tc>
          <w:tcPr>
            <w:tcW w:w="1954" w:type="dxa"/>
            <w:gridSpan w:val="2"/>
            <w:vMerge w:val="restart"/>
            <w:shd w:val="clear" w:color="auto" w:fill="FFFFFF"/>
            <w:noWrap w:val="0"/>
            <w:vAlign w:val="center"/>
          </w:tcPr>
          <w:p>
            <w:pPr>
              <w:autoSpaceDE w:val="0"/>
              <w:autoSpaceDN w:val="0"/>
              <w:snapToGrid w:val="0"/>
              <w:rPr>
                <w:rFonts w:ascii="宋体" w:hAnsi="宋体"/>
                <w:sz w:val="18"/>
                <w:szCs w:val="18"/>
              </w:rPr>
            </w:pPr>
            <w:r>
              <w:rPr>
                <w:rFonts w:hint="eastAsia" w:ascii="宋体" w:hAnsi="宋体"/>
                <w:sz w:val="18"/>
                <w:szCs w:val="18"/>
              </w:rPr>
              <w:t>信用评价</w:t>
            </w:r>
            <w:r>
              <w:rPr>
                <w:rStyle w:val="11"/>
                <w:rFonts w:ascii="宋体" w:hAnsi="宋体"/>
                <w:sz w:val="18"/>
                <w:szCs w:val="18"/>
              </w:rPr>
              <w:footnoteReference w:id="5"/>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AA级</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3分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hint="eastAsia"/>
                <w:sz w:val="18"/>
                <w:szCs w:val="18"/>
              </w:rPr>
            </w:pPr>
          </w:p>
        </w:tc>
        <w:tc>
          <w:tcPr>
            <w:tcW w:w="893" w:type="dxa"/>
            <w:vMerge w:val="continue"/>
            <w:shd w:val="clear" w:color="auto" w:fill="FFFFFF"/>
            <w:noWrap w:val="0"/>
            <w:vAlign w:val="center"/>
          </w:tcPr>
          <w:p>
            <w:pPr>
              <w:autoSpaceDE w:val="0"/>
              <w:autoSpaceDN w:val="0"/>
              <w:snapToGrid w:val="0"/>
              <w:jc w:val="center"/>
              <w:rPr>
                <w:rFonts w:hint="eastAsia" w:ascii="宋体" w:hAnsi="宋体"/>
                <w:sz w:val="18"/>
                <w:szCs w:val="18"/>
              </w:rPr>
            </w:pPr>
          </w:p>
        </w:tc>
        <w:tc>
          <w:tcPr>
            <w:tcW w:w="1954" w:type="dxa"/>
            <w:gridSpan w:val="2"/>
            <w:vMerge w:val="continue"/>
            <w:shd w:val="clear" w:color="auto" w:fill="FFFFFF"/>
            <w:noWrap w:val="0"/>
            <w:vAlign w:val="center"/>
          </w:tcPr>
          <w:p>
            <w:pPr>
              <w:autoSpaceDE w:val="0"/>
              <w:autoSpaceDN w:val="0"/>
              <w:snapToGrid w:val="0"/>
              <w:rPr>
                <w:rFonts w:hint="eastAsia"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hint="eastAsia"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hint="eastAsia" w:ascii="宋体" w:hAnsi="宋体"/>
                <w:sz w:val="18"/>
                <w:szCs w:val="18"/>
              </w:rPr>
            </w:pPr>
            <w:r>
              <w:rPr>
                <w:rFonts w:hint="eastAsia" w:ascii="宋体" w:hAnsi="宋体"/>
                <w:sz w:val="18"/>
                <w:szCs w:val="18"/>
              </w:rPr>
              <w:t>A级（评价省份大于等于2个）</w:t>
            </w:r>
          </w:p>
        </w:tc>
        <w:tc>
          <w:tcPr>
            <w:tcW w:w="1129" w:type="dxa"/>
            <w:shd w:val="clear" w:color="auto" w:fill="FFFFFF"/>
            <w:noWrap w:val="0"/>
            <w:vAlign w:val="center"/>
          </w:tcPr>
          <w:p>
            <w:pPr>
              <w:autoSpaceDE w:val="0"/>
              <w:autoSpaceDN w:val="0"/>
              <w:snapToGrid w:val="0"/>
              <w:jc w:val="center"/>
              <w:rPr>
                <w:rFonts w:hint="eastAsia" w:ascii="宋体" w:hAnsi="宋体"/>
                <w:sz w:val="18"/>
                <w:szCs w:val="18"/>
              </w:rPr>
            </w:pPr>
            <w:r>
              <w:rPr>
                <w:rFonts w:hint="eastAsia" w:ascii="宋体" w:hAnsi="宋体"/>
                <w:sz w:val="18"/>
                <w:szCs w:val="18"/>
              </w:rPr>
              <w:t>2.5分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hint="eastAsia"/>
                <w:sz w:val="18"/>
                <w:szCs w:val="18"/>
              </w:rPr>
            </w:pPr>
          </w:p>
        </w:tc>
        <w:tc>
          <w:tcPr>
            <w:tcW w:w="893" w:type="dxa"/>
            <w:vMerge w:val="continue"/>
            <w:shd w:val="clear" w:color="auto" w:fill="FFFFFF"/>
            <w:noWrap w:val="0"/>
            <w:vAlign w:val="center"/>
          </w:tcPr>
          <w:p>
            <w:pPr>
              <w:autoSpaceDE w:val="0"/>
              <w:autoSpaceDN w:val="0"/>
              <w:snapToGrid w:val="0"/>
              <w:jc w:val="center"/>
              <w:rPr>
                <w:rFonts w:hint="eastAsia" w:ascii="宋体" w:hAnsi="宋体"/>
                <w:sz w:val="18"/>
                <w:szCs w:val="18"/>
              </w:rPr>
            </w:pPr>
          </w:p>
        </w:tc>
        <w:tc>
          <w:tcPr>
            <w:tcW w:w="1954" w:type="dxa"/>
            <w:gridSpan w:val="2"/>
            <w:vMerge w:val="continue"/>
            <w:shd w:val="clear" w:color="auto" w:fill="FFFFFF"/>
            <w:noWrap w:val="0"/>
            <w:vAlign w:val="center"/>
          </w:tcPr>
          <w:p>
            <w:pPr>
              <w:autoSpaceDE w:val="0"/>
              <w:autoSpaceDN w:val="0"/>
              <w:snapToGrid w:val="0"/>
              <w:rPr>
                <w:rFonts w:hint="eastAsia"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hint="eastAsia"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hint="eastAsia" w:ascii="宋体" w:hAnsi="宋体"/>
                <w:sz w:val="18"/>
                <w:szCs w:val="18"/>
              </w:rPr>
            </w:pPr>
            <w:r>
              <w:rPr>
                <w:rFonts w:hint="eastAsia" w:ascii="宋体" w:hAnsi="宋体"/>
                <w:sz w:val="18"/>
                <w:szCs w:val="18"/>
              </w:rPr>
              <w:t>A级（评价省份1个）</w:t>
            </w:r>
          </w:p>
        </w:tc>
        <w:tc>
          <w:tcPr>
            <w:tcW w:w="1129" w:type="dxa"/>
            <w:shd w:val="clear" w:color="auto" w:fill="FFFFFF"/>
            <w:noWrap w:val="0"/>
            <w:vAlign w:val="center"/>
          </w:tcPr>
          <w:p>
            <w:pPr>
              <w:autoSpaceDE w:val="0"/>
              <w:autoSpaceDN w:val="0"/>
              <w:snapToGrid w:val="0"/>
              <w:jc w:val="center"/>
              <w:rPr>
                <w:rFonts w:hint="eastAsia" w:ascii="宋体" w:hAnsi="宋体"/>
                <w:sz w:val="18"/>
                <w:szCs w:val="18"/>
              </w:rPr>
            </w:pPr>
            <w:r>
              <w:rPr>
                <w:rFonts w:hint="eastAsia" w:ascii="宋体" w:hAnsi="宋体"/>
                <w:sz w:val="18"/>
                <w:szCs w:val="18"/>
              </w:rPr>
              <w:t>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8"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ascii="宋体" w:hAnsi="宋体"/>
                <w:sz w:val="18"/>
                <w:szCs w:val="18"/>
              </w:rPr>
              <w:t>其他等级；或</w:t>
            </w:r>
            <w:r>
              <w:rPr>
                <w:rFonts w:hint="eastAsia" w:ascii="宋体" w:hAnsi="宋体"/>
                <w:sz w:val="18"/>
                <w:szCs w:val="18"/>
              </w:rPr>
              <w:t>在全国公路建设市场信用信息管理系统中被列入不良行为记录名单的。</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restart"/>
            <w:shd w:val="clear" w:color="auto" w:fill="FFFFFF"/>
            <w:noWrap w:val="0"/>
            <w:vAlign w:val="center"/>
          </w:tcPr>
          <w:p>
            <w:pPr>
              <w:autoSpaceDE w:val="0"/>
              <w:autoSpaceDN w:val="0"/>
              <w:snapToGrid w:val="0"/>
              <w:jc w:val="left"/>
              <w:rPr>
                <w:rFonts w:ascii="宋体" w:hAnsi="宋体"/>
                <w:sz w:val="18"/>
                <w:szCs w:val="18"/>
              </w:rPr>
            </w:pPr>
            <w:r>
              <w:rPr>
                <w:rFonts w:ascii="宋体" w:hAnsi="宋体"/>
                <w:sz w:val="18"/>
                <w:szCs w:val="18"/>
              </w:rPr>
              <w:t>承诺的工程设备质量保修期</w:t>
            </w:r>
            <w:r>
              <w:rPr>
                <w:rStyle w:val="11"/>
                <w:rFonts w:ascii="宋体" w:hAnsi="宋体"/>
                <w:sz w:val="18"/>
                <w:szCs w:val="18"/>
              </w:rPr>
              <w:footnoteReference w:id="6"/>
            </w:r>
          </w:p>
        </w:tc>
        <w:tc>
          <w:tcPr>
            <w:tcW w:w="576" w:type="dxa"/>
            <w:vMerge w:val="restart"/>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2分</w:t>
            </w: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3年</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2年</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9"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89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1954" w:type="dxa"/>
            <w:gridSpan w:val="2"/>
            <w:vMerge w:val="continue"/>
            <w:shd w:val="clear" w:color="auto" w:fill="FFFFFF"/>
            <w:noWrap w:val="0"/>
            <w:vAlign w:val="center"/>
          </w:tcPr>
          <w:p>
            <w:pPr>
              <w:autoSpaceDE w:val="0"/>
              <w:autoSpaceDN w:val="0"/>
              <w:snapToGrid w:val="0"/>
              <w:jc w:val="center"/>
              <w:rPr>
                <w:rFonts w:ascii="宋体" w:hAnsi="宋体"/>
                <w:sz w:val="18"/>
                <w:szCs w:val="18"/>
              </w:rPr>
            </w:pPr>
          </w:p>
        </w:tc>
        <w:tc>
          <w:tcPr>
            <w:tcW w:w="576"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3109" w:type="dxa"/>
            <w:gridSpan w:val="2"/>
            <w:shd w:val="clear" w:color="auto" w:fill="FFFFFF"/>
            <w:noWrap w:val="0"/>
            <w:vAlign w:val="center"/>
          </w:tcPr>
          <w:p>
            <w:pPr>
              <w:autoSpaceDE w:val="0"/>
              <w:autoSpaceDN w:val="0"/>
              <w:snapToGrid w:val="0"/>
              <w:ind w:firstLine="180" w:firstLineChars="100"/>
              <w:rPr>
                <w:rFonts w:ascii="宋体" w:hAnsi="宋体"/>
                <w:sz w:val="18"/>
                <w:szCs w:val="18"/>
              </w:rPr>
            </w:pPr>
            <w:r>
              <w:rPr>
                <w:rFonts w:hint="eastAsia" w:ascii="宋体" w:hAnsi="宋体"/>
                <w:sz w:val="18"/>
                <w:szCs w:val="18"/>
              </w:rPr>
              <w:t>不承诺或其余年数</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1" w:hRule="exact"/>
        </w:trPr>
        <w:tc>
          <w:tcPr>
            <w:tcW w:w="899" w:type="dxa"/>
            <w:vMerge w:val="continue"/>
            <w:shd w:val="clear" w:color="auto" w:fill="FFFFFF"/>
            <w:noWrap w:val="0"/>
            <w:vAlign w:val="center"/>
          </w:tcPr>
          <w:p>
            <w:pPr>
              <w:autoSpaceDE w:val="0"/>
              <w:autoSpaceDN w:val="0"/>
              <w:snapToGrid w:val="0"/>
              <w:rPr>
                <w:rFonts w:ascii="宋体" w:hAnsi="宋体"/>
                <w:sz w:val="18"/>
                <w:szCs w:val="18"/>
              </w:rPr>
            </w:pPr>
          </w:p>
        </w:tc>
        <w:tc>
          <w:tcPr>
            <w:tcW w:w="363" w:type="dxa"/>
            <w:vMerge w:val="continue"/>
            <w:shd w:val="clear" w:color="auto" w:fill="FFFFFF"/>
            <w:noWrap w:val="0"/>
            <w:vAlign w:val="center"/>
          </w:tcPr>
          <w:p>
            <w:pPr>
              <w:autoSpaceDE w:val="0"/>
              <w:autoSpaceDN w:val="0"/>
              <w:snapToGrid w:val="0"/>
              <w:jc w:val="center"/>
              <w:rPr>
                <w:rFonts w:ascii="宋体" w:hAnsi="宋体"/>
                <w:sz w:val="18"/>
                <w:szCs w:val="18"/>
              </w:rPr>
            </w:pPr>
          </w:p>
        </w:tc>
        <w:tc>
          <w:tcPr>
            <w:tcW w:w="726" w:type="dxa"/>
            <w:shd w:val="clear" w:color="auto" w:fill="FFFFFF"/>
            <w:noWrap w:val="0"/>
            <w:vAlign w:val="center"/>
          </w:tcPr>
          <w:p>
            <w:pPr>
              <w:adjustRightInd w:val="0"/>
              <w:snapToGrid w:val="0"/>
              <w:jc w:val="center"/>
              <w:rPr>
                <w:rFonts w:ascii="宋体" w:hAnsi="宋体"/>
                <w:sz w:val="18"/>
                <w:szCs w:val="18"/>
              </w:rPr>
            </w:pPr>
            <w:r>
              <w:rPr>
                <w:rFonts w:hint="eastAsia" w:ascii="宋体" w:hAnsi="宋体"/>
                <w:sz w:val="18"/>
                <w:szCs w:val="18"/>
              </w:rPr>
              <w:t>主要机</w:t>
            </w:r>
          </w:p>
          <w:p>
            <w:pPr>
              <w:adjustRightInd w:val="0"/>
              <w:snapToGrid w:val="0"/>
              <w:jc w:val="center"/>
              <w:rPr>
                <w:rFonts w:ascii="宋体" w:hAnsi="宋体"/>
                <w:sz w:val="18"/>
                <w:szCs w:val="18"/>
              </w:rPr>
            </w:pPr>
            <w:r>
              <w:rPr>
                <w:rFonts w:hint="eastAsia" w:ascii="宋体" w:hAnsi="宋体"/>
                <w:sz w:val="18"/>
                <w:szCs w:val="18"/>
              </w:rPr>
              <w:t>电设备</w:t>
            </w:r>
          </w:p>
        </w:tc>
        <w:tc>
          <w:tcPr>
            <w:tcW w:w="893"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10分</w:t>
            </w:r>
          </w:p>
        </w:tc>
        <w:tc>
          <w:tcPr>
            <w:tcW w:w="5639" w:type="dxa"/>
            <w:gridSpan w:val="5"/>
            <w:shd w:val="clear" w:color="auto" w:fill="FFFFFF"/>
            <w:noWrap w:val="0"/>
            <w:vAlign w:val="center"/>
          </w:tcPr>
          <w:p>
            <w:pPr>
              <w:adjustRightInd w:val="0"/>
              <w:snapToGrid w:val="0"/>
              <w:rPr>
                <w:rFonts w:ascii="宋体" w:hAnsi="宋体"/>
                <w:sz w:val="18"/>
                <w:szCs w:val="18"/>
              </w:rPr>
            </w:pPr>
            <w:r>
              <w:rPr>
                <w:rFonts w:hint="eastAsia" w:ascii="宋体" w:hAnsi="宋体"/>
                <w:sz w:val="18"/>
                <w:szCs w:val="18"/>
              </w:rPr>
              <w:t>主要机电设备品牌、型号</w:t>
            </w:r>
          </w:p>
          <w:p>
            <w:pPr>
              <w:autoSpaceDE w:val="0"/>
              <w:autoSpaceDN w:val="0"/>
              <w:snapToGrid w:val="0"/>
              <w:rPr>
                <w:rFonts w:ascii="宋体" w:hAnsi="宋体"/>
                <w:sz w:val="18"/>
                <w:szCs w:val="18"/>
              </w:rPr>
            </w:pPr>
            <w:r>
              <w:rPr>
                <w:rFonts w:hint="eastAsia" w:ascii="楷体" w:hAnsi="楷体" w:eastAsia="楷体"/>
                <w:sz w:val="18"/>
                <w:szCs w:val="18"/>
              </w:rPr>
              <w:t>具体评分标准见“附件：设备技术性能评分内容及标准。”</w:t>
            </w:r>
          </w:p>
        </w:tc>
        <w:tc>
          <w:tcPr>
            <w:tcW w:w="1129" w:type="dxa"/>
            <w:shd w:val="clear" w:color="auto" w:fill="FFFFFF"/>
            <w:noWrap w:val="0"/>
            <w:vAlign w:val="center"/>
          </w:tcPr>
          <w:p>
            <w:pPr>
              <w:autoSpaceDE w:val="0"/>
              <w:autoSpaceDN w:val="0"/>
              <w:snapToGrid w:val="0"/>
              <w:jc w:val="center"/>
              <w:rPr>
                <w:rFonts w:ascii="宋体" w:hAnsi="宋体"/>
                <w:sz w:val="18"/>
                <w:szCs w:val="18"/>
              </w:rPr>
            </w:pPr>
            <w:r>
              <w:rPr>
                <w:rFonts w:hint="eastAsia" w:ascii="宋体" w:hAnsi="宋体"/>
                <w:sz w:val="18"/>
                <w:szCs w:val="18"/>
              </w:rPr>
              <w:t>6～10分</w:t>
            </w:r>
          </w:p>
        </w:tc>
      </w:tr>
    </w:tbl>
    <w:p>
      <w:pPr>
        <w:widowControl/>
        <w:snapToGrid w:val="0"/>
        <w:spacing w:line="20" w:lineRule="exact"/>
        <w:rPr>
          <w:sz w:val="20"/>
        </w:rPr>
      </w:pPr>
    </w:p>
    <w:p>
      <w:pPr>
        <w:widowControl/>
        <w:snapToGrid w:val="0"/>
        <w:spacing w:line="20" w:lineRule="exact"/>
        <w:jc w:val="left"/>
        <w:rPr>
          <w:sz w:val="20"/>
        </w:rPr>
      </w:pPr>
      <w:r>
        <w:rPr>
          <w:sz w:val="20"/>
        </w:rPr>
        <w:br w:type="page"/>
      </w:r>
    </w:p>
    <w:p>
      <w:pPr>
        <w:widowControl/>
        <w:jc w:val="left"/>
        <w:rPr>
          <w:rFonts w:ascii="方正超粗黑简体" w:eastAsia="方正超粗黑简体"/>
          <w:sz w:val="24"/>
        </w:rPr>
      </w:pPr>
      <w:r>
        <w:rPr>
          <w:rFonts w:hint="eastAsia" w:ascii="方正超粗黑简体" w:eastAsia="方正超粗黑简体"/>
          <w:sz w:val="24"/>
        </w:rPr>
        <w:t>附件：设备技术性能评分标准</w:t>
      </w:r>
    </w:p>
    <w:p>
      <w:pPr>
        <w:widowControl/>
        <w:jc w:val="left"/>
        <w:rPr>
          <w:rFonts w:ascii="楷体_GB2312" w:eastAsia="楷体_GB2312"/>
          <w:szCs w:val="21"/>
        </w:rPr>
      </w:pPr>
      <w:r>
        <w:rPr>
          <w:rFonts w:hint="eastAsia" w:ascii="楷体_GB2312" w:eastAsia="楷体_GB2312"/>
          <w:szCs w:val="21"/>
        </w:rPr>
        <w:t>说明：</w:t>
      </w:r>
    </w:p>
    <w:p>
      <w:pPr>
        <w:pStyle w:val="20"/>
        <w:numPr>
          <w:ilvl w:val="0"/>
          <w:numId w:val="4"/>
        </w:numPr>
        <w:ind w:firstLineChars="0"/>
        <w:rPr>
          <w:rFonts w:ascii="楷体_GB2312" w:hAnsi="宋体" w:eastAsia="楷体_GB2312"/>
          <w:szCs w:val="21"/>
        </w:rPr>
      </w:pPr>
      <w:r>
        <w:rPr>
          <w:rFonts w:hint="eastAsia" w:ascii="楷体_GB2312" w:hAnsi="宋体" w:eastAsia="楷体_GB2312"/>
          <w:szCs w:val="21"/>
        </w:rPr>
        <w:t>设备技术性能评分的计算方法：每个设备技术性能得分=功能技术指标得分×品牌及应用加权系数；</w:t>
      </w:r>
    </w:p>
    <w:p>
      <w:pPr>
        <w:pStyle w:val="20"/>
        <w:numPr>
          <w:ilvl w:val="0"/>
          <w:numId w:val="4"/>
        </w:numPr>
        <w:ind w:firstLineChars="0"/>
        <w:rPr>
          <w:rFonts w:ascii="楷体_GB2312" w:hAnsi="宋体" w:eastAsia="楷体_GB2312"/>
          <w:szCs w:val="21"/>
        </w:rPr>
      </w:pPr>
      <w:r>
        <w:rPr>
          <w:rFonts w:hint="eastAsia" w:ascii="楷体_GB2312" w:hAnsi="宋体" w:eastAsia="楷体_GB2312"/>
          <w:szCs w:val="21"/>
        </w:rPr>
        <w:t>设备技术性能评分标准（10分）（附表）；</w:t>
      </w:r>
    </w:p>
    <w:p>
      <w:pPr>
        <w:pStyle w:val="20"/>
        <w:numPr>
          <w:ilvl w:val="0"/>
          <w:numId w:val="4"/>
        </w:numPr>
        <w:ind w:firstLineChars="0"/>
        <w:rPr>
          <w:rFonts w:ascii="楷体_GB2312" w:hAnsi="宋体" w:eastAsia="楷体_GB2312"/>
          <w:szCs w:val="21"/>
        </w:rPr>
      </w:pPr>
      <w:r>
        <w:rPr>
          <w:rFonts w:hint="eastAsia" w:ascii="楷体_GB2312" w:hAnsi="宋体" w:eastAsia="楷体_GB2312"/>
          <w:szCs w:val="21"/>
        </w:rPr>
        <w:t>得分计算保留两位小数，小数点后第三位“四舍五入”。</w:t>
      </w:r>
    </w:p>
    <w:p>
      <w:pPr>
        <w:rPr>
          <w:rFonts w:ascii="宋体" w:hAnsi="宋体"/>
        </w:rPr>
      </w:pPr>
    </w:p>
    <w:p>
      <w:pPr>
        <w:widowControl/>
        <w:jc w:val="left"/>
        <w:rPr>
          <w:rFonts w:ascii="方正超粗黑简体" w:eastAsia="方正超粗黑简体"/>
          <w:sz w:val="24"/>
        </w:rPr>
      </w:pPr>
      <w:r>
        <w:rPr>
          <w:rFonts w:hint="eastAsia" w:ascii="方正超粗黑简体" w:eastAsia="方正超粗黑简体"/>
          <w:sz w:val="24"/>
        </w:rPr>
        <w:t>附表1  DSL32标段设备技术性能评分标准</w:t>
      </w:r>
    </w:p>
    <w:p>
      <w:pPr>
        <w:widowControl/>
        <w:snapToGrid w:val="0"/>
        <w:spacing w:line="360" w:lineRule="auto"/>
        <w:rPr>
          <w:rFonts w:hint="eastAsia" w:ascii="方正超粗黑简体" w:eastAsia="方正超粗黑简体"/>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5"/>
        <w:gridCol w:w="1326"/>
        <w:gridCol w:w="3378"/>
        <w:gridCol w:w="966"/>
        <w:gridCol w:w="11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326" w:type="dxa"/>
            <w:noWrap w:val="0"/>
            <w:vAlign w:val="center"/>
          </w:tcPr>
          <w:p>
            <w:pPr>
              <w:widowControl/>
              <w:jc w:val="center"/>
              <w:rPr>
                <w:rFonts w:ascii="宋体" w:hAnsi="宋体" w:cs="宋体"/>
                <w:kern w:val="0"/>
                <w:szCs w:val="21"/>
              </w:rPr>
            </w:pPr>
            <w:r>
              <w:rPr>
                <w:rFonts w:hint="eastAsia" w:ascii="宋体" w:hAnsi="宋体" w:cs="宋体"/>
                <w:kern w:val="0"/>
                <w:szCs w:val="21"/>
              </w:rPr>
              <w:t>子目号</w:t>
            </w:r>
          </w:p>
        </w:tc>
        <w:tc>
          <w:tcPr>
            <w:tcW w:w="3378" w:type="dxa"/>
            <w:noWrap w:val="0"/>
            <w:vAlign w:val="center"/>
          </w:tcPr>
          <w:p>
            <w:pPr>
              <w:widowControl/>
              <w:jc w:val="center"/>
              <w:rPr>
                <w:rFonts w:ascii="宋体" w:hAnsi="宋体" w:cs="宋体"/>
                <w:kern w:val="0"/>
                <w:szCs w:val="21"/>
              </w:rPr>
            </w:pPr>
            <w:r>
              <w:rPr>
                <w:rFonts w:hint="eastAsia" w:ascii="宋体" w:hAnsi="宋体" w:cs="宋体"/>
                <w:kern w:val="0"/>
                <w:szCs w:val="21"/>
              </w:rPr>
              <w:t>子目名称</w:t>
            </w:r>
          </w:p>
        </w:tc>
        <w:tc>
          <w:tcPr>
            <w:tcW w:w="966" w:type="dxa"/>
            <w:noWrap w:val="0"/>
            <w:vAlign w:val="center"/>
          </w:tcPr>
          <w:p>
            <w:pPr>
              <w:widowControl/>
              <w:jc w:val="center"/>
              <w:rPr>
                <w:rFonts w:ascii="宋体" w:hAnsi="宋体" w:cs="宋体"/>
                <w:kern w:val="0"/>
                <w:szCs w:val="21"/>
              </w:rPr>
            </w:pPr>
            <w:r>
              <w:rPr>
                <w:rFonts w:hint="eastAsia" w:ascii="宋体" w:hAnsi="宋体" w:cs="宋体"/>
                <w:kern w:val="0"/>
                <w:szCs w:val="21"/>
              </w:rPr>
              <w:t>功能技术</w:t>
            </w:r>
          </w:p>
          <w:p>
            <w:pPr>
              <w:widowControl/>
              <w:jc w:val="center"/>
              <w:rPr>
                <w:rFonts w:ascii="宋体" w:hAnsi="宋体" w:cs="宋体"/>
                <w:kern w:val="0"/>
                <w:szCs w:val="21"/>
              </w:rPr>
            </w:pPr>
            <w:r>
              <w:rPr>
                <w:rFonts w:hint="eastAsia" w:ascii="宋体" w:hAnsi="宋体" w:cs="宋体"/>
                <w:kern w:val="0"/>
                <w:szCs w:val="21"/>
              </w:rPr>
              <w:t>指标得分</w:t>
            </w:r>
          </w:p>
        </w:tc>
        <w:tc>
          <w:tcPr>
            <w:tcW w:w="1144" w:type="dxa"/>
            <w:noWrap w:val="0"/>
            <w:vAlign w:val="center"/>
          </w:tcPr>
          <w:p>
            <w:pPr>
              <w:jc w:val="center"/>
              <w:rPr>
                <w:szCs w:val="21"/>
              </w:rPr>
            </w:pPr>
            <w:r>
              <w:rPr>
                <w:rFonts w:hint="eastAsia"/>
                <w:szCs w:val="21"/>
              </w:rPr>
              <w:t>品牌及应用</w:t>
            </w:r>
          </w:p>
          <w:p>
            <w:pPr>
              <w:jc w:val="center"/>
              <w:rPr>
                <w:rFonts w:ascii="宋体" w:hAnsi="宋体"/>
                <w:szCs w:val="21"/>
              </w:rPr>
            </w:pPr>
            <w:r>
              <w:rPr>
                <w:rFonts w:hint="eastAsia"/>
                <w:szCs w:val="21"/>
              </w:rPr>
              <w:t>加权系数</w:t>
            </w:r>
          </w:p>
        </w:tc>
        <w:tc>
          <w:tcPr>
            <w:tcW w:w="2336" w:type="dxa"/>
            <w:noWrap w:val="0"/>
            <w:vAlign w:val="center"/>
          </w:tcPr>
          <w:p>
            <w:pPr>
              <w:jc w:val="center"/>
              <w:rPr>
                <w:szCs w:val="21"/>
              </w:rPr>
            </w:pPr>
            <w:r>
              <w:rPr>
                <w:rFonts w:hint="eastAsia"/>
                <w:szCs w:val="21"/>
              </w:rPr>
              <w:t>品牌及应用</w:t>
            </w:r>
          </w:p>
          <w:p>
            <w:pPr>
              <w:jc w:val="center"/>
              <w:rPr>
                <w:rFonts w:ascii="宋体" w:hAnsi="宋体"/>
                <w:szCs w:val="21"/>
              </w:rPr>
            </w:pPr>
            <w:r>
              <w:rPr>
                <w:rFonts w:hint="eastAsia"/>
                <w:szCs w:val="21"/>
              </w:rPr>
              <w:t>加权系数标准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801-2-1</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车道控制器</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restart"/>
            <w:noWrap w:val="0"/>
            <w:vAlign w:val="center"/>
          </w:tcPr>
          <w:p>
            <w:pPr>
              <w:jc w:val="center"/>
              <w:rPr>
                <w:rFonts w:ascii="宋体" w:hAnsi="宋体"/>
                <w:szCs w:val="21"/>
              </w:rPr>
            </w:pPr>
            <w:r>
              <w:rPr>
                <w:rFonts w:hint="eastAsia" w:ascii="宋体" w:hAnsi="宋体"/>
                <w:szCs w:val="21"/>
              </w:rPr>
              <w:t>0.6～1</w:t>
            </w:r>
          </w:p>
        </w:tc>
        <w:tc>
          <w:tcPr>
            <w:tcW w:w="2336" w:type="dxa"/>
            <w:vMerge w:val="restart"/>
            <w:noWrap w:val="0"/>
            <w:vAlign w:val="center"/>
          </w:tcPr>
          <w:p>
            <w:pPr>
              <w:jc w:val="center"/>
              <w:rPr>
                <w:rFonts w:ascii="宋体" w:hAnsi="宋体"/>
                <w:szCs w:val="21"/>
              </w:rPr>
            </w:pPr>
            <w:r>
              <w:rPr>
                <w:rFonts w:hint="eastAsia" w:ascii="宋体" w:hAnsi="宋体"/>
                <w:szCs w:val="21"/>
              </w:rPr>
              <w:t>选用知名品牌、在国内行业中大范围使用的取1；</w:t>
            </w:r>
          </w:p>
          <w:p>
            <w:pPr>
              <w:jc w:val="center"/>
              <w:rPr>
                <w:rFonts w:ascii="宋体" w:hAnsi="宋体"/>
                <w:szCs w:val="21"/>
              </w:rPr>
            </w:pPr>
          </w:p>
          <w:p>
            <w:pPr>
              <w:jc w:val="center"/>
              <w:rPr>
                <w:rFonts w:ascii="宋体" w:hAnsi="宋体"/>
                <w:szCs w:val="21"/>
              </w:rPr>
            </w:pPr>
            <w:r>
              <w:rPr>
                <w:rFonts w:hint="eastAsia" w:ascii="宋体" w:hAnsi="宋体"/>
                <w:szCs w:val="21"/>
              </w:rPr>
              <w:t>选用一般品牌、在国内行业中有一定比例使用的取0.8；</w:t>
            </w:r>
          </w:p>
          <w:p>
            <w:pPr>
              <w:jc w:val="center"/>
              <w:rPr>
                <w:rFonts w:ascii="宋体" w:hAnsi="宋体"/>
                <w:szCs w:val="21"/>
              </w:rPr>
            </w:pPr>
          </w:p>
          <w:p>
            <w:pPr>
              <w:jc w:val="center"/>
              <w:rPr>
                <w:rFonts w:ascii="宋体" w:hAnsi="宋体" w:cs="宋体"/>
                <w:szCs w:val="21"/>
              </w:rPr>
            </w:pPr>
            <w:r>
              <w:rPr>
                <w:rFonts w:hint="eastAsia" w:ascii="宋体" w:hAnsi="宋体"/>
                <w:szCs w:val="21"/>
              </w:rPr>
              <w:t>选用不知名品牌、在国内行业中有较少比例使用的取0.6；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801-2-5-b</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无人值守自动发卡机（嵌入式）</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801-2-10-a</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轴组式称重系统（普通车道）</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802-1-4-b</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综合业务接入网光网络单元（ONU）</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802-5-1-b</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会议电视高清终端主设备</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803-2-1-b</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悬臂式可变情报板（含立柱及机箱）</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326"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803-2-2-a</w:t>
            </w:r>
          </w:p>
        </w:tc>
        <w:tc>
          <w:tcPr>
            <w:tcW w:w="3378" w:type="dxa"/>
            <w:noWrap w:val="0"/>
            <w:vAlign w:val="center"/>
          </w:tcPr>
          <w:p>
            <w:pPr>
              <w:autoSpaceDE w:val="0"/>
              <w:autoSpaceDN w:val="0"/>
              <w:jc w:val="center"/>
              <w:rPr>
                <w:rFonts w:ascii="宋体" w:hAnsi="宋体" w:cs="宋体"/>
                <w:color w:val="000000"/>
                <w:kern w:val="0"/>
                <w:szCs w:val="21"/>
              </w:rPr>
            </w:pPr>
            <w:r>
              <w:rPr>
                <w:rFonts w:hint="eastAsia" w:ascii="宋体" w:hAnsi="宋体"/>
                <w:color w:val="000000"/>
              </w:rPr>
              <w:t>高清网络枪式遥控摄像机</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326" w:type="dxa"/>
            <w:noWrap w:val="0"/>
            <w:vAlign w:val="center"/>
          </w:tcPr>
          <w:p>
            <w:pPr>
              <w:autoSpaceDE w:val="0"/>
              <w:autoSpaceDN w:val="0"/>
              <w:jc w:val="center"/>
              <w:rPr>
                <w:rFonts w:hint="eastAsia" w:ascii="宋体" w:hAnsi="宋体" w:cs="宋体"/>
                <w:color w:val="000000"/>
                <w:kern w:val="0"/>
                <w:szCs w:val="21"/>
              </w:rPr>
            </w:pPr>
            <w:r>
              <w:rPr>
                <w:rFonts w:hint="eastAsia" w:ascii="宋体" w:hAnsi="宋体"/>
                <w:color w:val="000000"/>
              </w:rPr>
              <w:t>804-1-1-d</w:t>
            </w:r>
          </w:p>
        </w:tc>
        <w:tc>
          <w:tcPr>
            <w:tcW w:w="3378" w:type="dxa"/>
            <w:noWrap w:val="0"/>
            <w:vAlign w:val="center"/>
          </w:tcPr>
          <w:p>
            <w:pPr>
              <w:autoSpaceDE w:val="0"/>
              <w:autoSpaceDN w:val="0"/>
              <w:jc w:val="center"/>
              <w:rPr>
                <w:rFonts w:hint="eastAsia" w:ascii="宋体" w:hAnsi="宋体" w:cs="宋体"/>
                <w:color w:val="000000"/>
                <w:kern w:val="0"/>
                <w:szCs w:val="21"/>
              </w:rPr>
            </w:pPr>
            <w:r>
              <w:rPr>
                <w:rFonts w:hint="eastAsia" w:ascii="宋体" w:hAnsi="宋体"/>
                <w:color w:val="000000"/>
              </w:rPr>
              <w:t>工业稳压电源100KVA</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9</w:t>
            </w:r>
          </w:p>
        </w:tc>
        <w:tc>
          <w:tcPr>
            <w:tcW w:w="1326" w:type="dxa"/>
            <w:noWrap w:val="0"/>
            <w:vAlign w:val="center"/>
          </w:tcPr>
          <w:p>
            <w:pPr>
              <w:autoSpaceDE w:val="0"/>
              <w:autoSpaceDN w:val="0"/>
              <w:jc w:val="center"/>
              <w:rPr>
                <w:rFonts w:hint="eastAsia" w:ascii="宋体" w:hAnsi="宋体"/>
                <w:color w:val="000000"/>
              </w:rPr>
            </w:pPr>
            <w:r>
              <w:rPr>
                <w:rFonts w:hint="eastAsia" w:ascii="宋体" w:hAnsi="宋体"/>
                <w:color w:val="000000"/>
              </w:rPr>
              <w:t>804-1-2-c</w:t>
            </w:r>
          </w:p>
        </w:tc>
        <w:tc>
          <w:tcPr>
            <w:tcW w:w="3378" w:type="dxa"/>
            <w:noWrap w:val="0"/>
            <w:vAlign w:val="center"/>
          </w:tcPr>
          <w:p>
            <w:pPr>
              <w:autoSpaceDE w:val="0"/>
              <w:autoSpaceDN w:val="0"/>
              <w:jc w:val="center"/>
              <w:rPr>
                <w:rFonts w:hint="eastAsia" w:ascii="宋体" w:hAnsi="宋体"/>
                <w:color w:val="000000"/>
              </w:rPr>
            </w:pPr>
            <w:r>
              <w:rPr>
                <w:rFonts w:hint="eastAsia" w:ascii="宋体" w:hAnsi="宋体"/>
                <w:color w:val="000000"/>
              </w:rPr>
              <w:t>UPS电源40KVA</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326" w:type="dxa"/>
            <w:noWrap w:val="0"/>
            <w:vAlign w:val="center"/>
          </w:tcPr>
          <w:p>
            <w:pPr>
              <w:autoSpaceDE w:val="0"/>
              <w:autoSpaceDN w:val="0"/>
              <w:jc w:val="center"/>
              <w:rPr>
                <w:rFonts w:hint="eastAsia" w:ascii="宋体" w:hAnsi="宋体" w:cs="宋体"/>
                <w:color w:val="000000"/>
                <w:kern w:val="0"/>
                <w:szCs w:val="21"/>
              </w:rPr>
            </w:pPr>
            <w:r>
              <w:rPr>
                <w:rFonts w:hint="eastAsia" w:ascii="宋体" w:hAnsi="宋体"/>
                <w:color w:val="000000"/>
              </w:rPr>
              <w:t>804-1-11-a</w:t>
            </w:r>
          </w:p>
        </w:tc>
        <w:tc>
          <w:tcPr>
            <w:tcW w:w="3378" w:type="dxa"/>
            <w:noWrap w:val="0"/>
            <w:vAlign w:val="center"/>
          </w:tcPr>
          <w:p>
            <w:pPr>
              <w:autoSpaceDE w:val="0"/>
              <w:autoSpaceDN w:val="0"/>
              <w:jc w:val="center"/>
              <w:rPr>
                <w:rFonts w:hint="eastAsia" w:ascii="宋体" w:hAnsi="宋体" w:cs="宋体"/>
                <w:color w:val="000000"/>
                <w:kern w:val="0"/>
                <w:szCs w:val="21"/>
              </w:rPr>
            </w:pPr>
            <w:r>
              <w:rPr>
                <w:rFonts w:hint="eastAsia" w:ascii="宋体" w:hAnsi="宋体"/>
                <w:color w:val="000000"/>
              </w:rPr>
              <w:t>下位机0.5KVA</w:t>
            </w:r>
          </w:p>
        </w:tc>
        <w:tc>
          <w:tcPr>
            <w:tcW w:w="9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45" w:type="dxa"/>
            <w:noWrap w:val="0"/>
            <w:vAlign w:val="center"/>
          </w:tcPr>
          <w:p>
            <w:pPr>
              <w:widowControl/>
              <w:jc w:val="center"/>
              <w:rPr>
                <w:rFonts w:ascii="宋体" w:hAnsi="宋体" w:cs="宋体"/>
                <w:kern w:val="0"/>
                <w:szCs w:val="21"/>
              </w:rPr>
            </w:pPr>
          </w:p>
        </w:tc>
        <w:tc>
          <w:tcPr>
            <w:tcW w:w="1326" w:type="dxa"/>
            <w:noWrap w:val="0"/>
            <w:vAlign w:val="center"/>
          </w:tcPr>
          <w:p>
            <w:pPr>
              <w:widowControl/>
              <w:jc w:val="center"/>
              <w:rPr>
                <w:rFonts w:ascii="宋体" w:hAnsi="宋体" w:cs="宋体"/>
                <w:kern w:val="0"/>
                <w:szCs w:val="21"/>
              </w:rPr>
            </w:pPr>
          </w:p>
        </w:tc>
        <w:tc>
          <w:tcPr>
            <w:tcW w:w="3378" w:type="dxa"/>
            <w:noWrap w:val="0"/>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966" w:type="dxa"/>
            <w:noWrap w:val="0"/>
            <w:vAlign w:val="center"/>
          </w:tcPr>
          <w:p>
            <w:pPr>
              <w:widowControl/>
              <w:jc w:val="center"/>
              <w:rPr>
                <w:rFonts w:ascii="宋体" w:hAnsi="宋体" w:cs="宋体"/>
                <w:kern w:val="0"/>
                <w:szCs w:val="21"/>
              </w:rPr>
            </w:pPr>
            <w:r>
              <w:rPr>
                <w:rFonts w:hint="eastAsia" w:ascii="宋体" w:hAnsi="宋体" w:cs="宋体"/>
                <w:kern w:val="0"/>
                <w:szCs w:val="21"/>
              </w:rPr>
              <w:t>10</w:t>
            </w:r>
          </w:p>
        </w:tc>
        <w:tc>
          <w:tcPr>
            <w:tcW w:w="1144" w:type="dxa"/>
            <w:vMerge w:val="continue"/>
            <w:noWrap w:val="0"/>
            <w:vAlign w:val="center"/>
          </w:tcPr>
          <w:p>
            <w:pPr>
              <w:jc w:val="center"/>
              <w:rPr>
                <w:rFonts w:ascii="宋体" w:hAnsi="宋体"/>
                <w:szCs w:val="21"/>
              </w:rPr>
            </w:pPr>
          </w:p>
        </w:tc>
        <w:tc>
          <w:tcPr>
            <w:tcW w:w="2336" w:type="dxa"/>
            <w:vMerge w:val="continue"/>
            <w:noWrap w:val="0"/>
            <w:vAlign w:val="center"/>
          </w:tcPr>
          <w:p>
            <w:pPr>
              <w:jc w:val="center"/>
              <w:rPr>
                <w:rFonts w:ascii="宋体" w:hAnsi="宋体"/>
                <w:szCs w:val="21"/>
              </w:rPr>
            </w:pPr>
          </w:p>
        </w:tc>
      </w:tr>
    </w:tbl>
    <w:p>
      <w:pPr>
        <w:widowControl/>
        <w:snapToGrid w:val="0"/>
        <w:spacing w:line="360" w:lineRule="auto"/>
        <w:rPr>
          <w:rFonts w:hint="eastAsia"/>
          <w:sz w:val="20"/>
        </w:rPr>
      </w:pPr>
    </w:p>
    <w:p>
      <w:pPr>
        <w:widowControl/>
        <w:jc w:val="left"/>
        <w:rPr>
          <w:sz w:val="20"/>
        </w:rPr>
      </w:pPr>
      <w:r>
        <w:rPr>
          <w:rFonts w:ascii="方正超粗黑简体" w:eastAsia="方正超粗黑简体"/>
          <w:sz w:val="24"/>
        </w:rPr>
        <w:br w:type="page"/>
      </w:r>
    </w:p>
    <w:p>
      <w:pPr>
        <w:pStyle w:val="5"/>
        <w:spacing w:before="0" w:after="0" w:line="240" w:lineRule="auto"/>
        <w:jc w:val="center"/>
        <w:rPr>
          <w:rFonts w:ascii="宋体" w:hAnsi="宋体" w:eastAsia="宋体"/>
        </w:rPr>
      </w:pPr>
      <w:bookmarkStart w:id="20" w:name="_Toc508647254"/>
      <w:bookmarkStart w:id="21" w:name="_Toc484950609"/>
      <w:bookmarkStart w:id="22" w:name="_Toc519882543"/>
      <w:bookmarkStart w:id="23" w:name="_Toc27397143"/>
      <w:r>
        <w:rPr>
          <w:rFonts w:hint="eastAsia" w:ascii="宋体" w:hAnsi="宋体" w:eastAsia="宋体"/>
        </w:rPr>
        <w:t>评标办法</w:t>
      </w:r>
      <w:bookmarkEnd w:id="20"/>
      <w:bookmarkEnd w:id="21"/>
      <w:bookmarkEnd w:id="22"/>
      <w:bookmarkEnd w:id="23"/>
    </w:p>
    <w:p>
      <w:pPr>
        <w:pStyle w:val="21"/>
        <w:rPr>
          <w:rFonts w:cs="Times New Roman"/>
        </w:rPr>
      </w:pPr>
      <w:bookmarkStart w:id="24" w:name="_Toc27397144"/>
      <w:bookmarkStart w:id="25" w:name="_Toc508647255"/>
      <w:bookmarkStart w:id="26" w:name="bookmark105"/>
      <w:bookmarkStart w:id="27" w:name="_Toc519882544"/>
      <w:r>
        <w:rPr>
          <w:rFonts w:cs="Times New Roman"/>
        </w:rPr>
        <w:t>1.评标方法</w:t>
      </w:r>
      <w:bookmarkEnd w:id="24"/>
      <w:bookmarkEnd w:id="25"/>
      <w:bookmarkEnd w:id="26"/>
      <w:bookmarkEnd w:id="27"/>
    </w:p>
    <w:p>
      <w:pPr>
        <w:pStyle w:val="17"/>
        <w:shd w:val="clear" w:color="auto" w:fill="auto"/>
        <w:spacing w:before="0" w:after="351" w:line="398" w:lineRule="exact"/>
        <w:ind w:firstLine="420" w:firstLineChars="200"/>
        <w:jc w:val="both"/>
        <w:rPr>
          <w:rFonts w:ascii="Times New Roman" w:hAnsi="Times New Roman"/>
          <w:sz w:val="21"/>
          <w:szCs w:val="21"/>
        </w:rPr>
      </w:pPr>
      <w:r>
        <w:rPr>
          <w:rFonts w:ascii="黑体" w:hAnsi="黑体" w:eastAsia="黑体"/>
          <w:sz w:val="21"/>
          <w:szCs w:val="21"/>
        </w:rPr>
        <w:t>本次评标采用综合评分法</w:t>
      </w:r>
      <w:r>
        <w:rPr>
          <w:rFonts w:ascii="Times New Roman" w:hAnsi="Times New Roman"/>
          <w:sz w:val="21"/>
          <w:szCs w:val="21"/>
        </w:rPr>
        <w:t>。评标委员会对满足招标文件实质性要求的投标文件，按照本章第</w:t>
      </w:r>
      <w:r>
        <w:rPr>
          <w:rFonts w:ascii="Times New Roman" w:hAnsi="Times New Roman"/>
          <w:sz w:val="21"/>
          <w:szCs w:val="21"/>
          <w:lang w:bidi="en-US"/>
        </w:rPr>
        <w:t>2.2</w:t>
      </w:r>
      <w:r>
        <w:rPr>
          <w:rFonts w:ascii="Times New Roman" w:hAnsi="Times New Roman"/>
          <w:sz w:val="21"/>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21"/>
        <w:spacing w:after="240"/>
        <w:rPr>
          <w:rFonts w:cs="Times New Roman"/>
        </w:rPr>
      </w:pPr>
      <w:bookmarkStart w:id="28" w:name="_Toc27397145"/>
      <w:bookmarkStart w:id="29" w:name="bookmark106"/>
      <w:bookmarkStart w:id="30" w:name="_Toc519882545"/>
      <w:bookmarkStart w:id="31" w:name="_Toc508647256"/>
      <w:r>
        <w:rPr>
          <w:rFonts w:cs="Times New Roman"/>
        </w:rPr>
        <w:t>2.评审标准</w:t>
      </w:r>
      <w:bookmarkEnd w:id="28"/>
      <w:bookmarkEnd w:id="29"/>
      <w:bookmarkEnd w:id="30"/>
      <w:bookmarkEnd w:id="31"/>
    </w:p>
    <w:p>
      <w:pPr>
        <w:pStyle w:val="22"/>
        <w:shd w:val="clear" w:color="auto" w:fill="auto"/>
        <w:spacing w:after="156" w:line="280" w:lineRule="exact"/>
        <w:rPr>
          <w:rFonts w:ascii="Times New Roman" w:hAnsi="Times New Roman"/>
        </w:rPr>
      </w:pPr>
      <w:r>
        <w:rPr>
          <w:rFonts w:ascii="Times New Roman" w:hAnsi="Times New Roman"/>
          <w:lang w:bidi="en-US"/>
        </w:rPr>
        <w:t>2.1</w:t>
      </w:r>
      <w:r>
        <w:rPr>
          <w:rFonts w:ascii="Times New Roman" w:hAnsi="Times New Roman"/>
        </w:rPr>
        <w:t>初步评审标准</w:t>
      </w:r>
    </w:p>
    <w:p>
      <w:pPr>
        <w:spacing w:line="400" w:lineRule="exact"/>
        <w:ind w:firstLine="420" w:firstLineChars="200"/>
      </w:pPr>
      <w:r>
        <w:t>2.1.1 形式评审标准：见评标办法前附表。</w:t>
      </w:r>
    </w:p>
    <w:p>
      <w:pPr>
        <w:spacing w:line="400" w:lineRule="exact"/>
        <w:ind w:firstLine="420" w:firstLineChars="200"/>
      </w:pPr>
      <w:r>
        <w:t>2.1.2 资格评审标准：见评标办法前附表（适用于未进行资格预审的）。</w:t>
      </w:r>
    </w:p>
    <w:p>
      <w:pPr>
        <w:spacing w:line="400" w:lineRule="exact"/>
        <w:ind w:firstLine="420" w:firstLineChars="200"/>
      </w:pPr>
      <w:r>
        <w:t>2.1.2资格评审标准：见资格预审文件第三章“资格审查办法”详细审查标准（适用于己进行资格预审的）。</w:t>
      </w:r>
    </w:p>
    <w:p>
      <w:pPr>
        <w:spacing w:line="400" w:lineRule="exact"/>
        <w:ind w:firstLine="420" w:firstLineChars="200"/>
      </w:pPr>
      <w:r>
        <w:t>2.1.3响应性评审标准：见评标办法前附表。</w:t>
      </w:r>
    </w:p>
    <w:p>
      <w:pPr>
        <w:pStyle w:val="22"/>
        <w:shd w:val="clear" w:color="auto" w:fill="auto"/>
        <w:spacing w:before="240" w:after="190" w:line="280" w:lineRule="exact"/>
        <w:rPr>
          <w:rFonts w:ascii="Times New Roman" w:hAnsi="Times New Roman"/>
        </w:rPr>
      </w:pPr>
      <w:r>
        <w:rPr>
          <w:rFonts w:ascii="Times New Roman" w:hAnsi="Times New Roman"/>
          <w:lang w:bidi="en-US"/>
        </w:rPr>
        <w:t xml:space="preserve">2. </w:t>
      </w:r>
      <w:r>
        <w:rPr>
          <w:rFonts w:ascii="Times New Roman" w:hAnsi="Times New Roman"/>
        </w:rPr>
        <w:t>2分值构成与评分标准</w:t>
      </w:r>
    </w:p>
    <w:p>
      <w:pPr>
        <w:pStyle w:val="22"/>
        <w:shd w:val="clear" w:color="auto" w:fill="auto"/>
        <w:spacing w:line="401" w:lineRule="exact"/>
        <w:ind w:firstLine="500"/>
        <w:jc w:val="both"/>
        <w:rPr>
          <w:rFonts w:ascii="Times New Roman" w:hAnsi="Times New Roman"/>
        </w:rPr>
      </w:pPr>
      <w:r>
        <w:rPr>
          <w:rStyle w:val="23"/>
          <w:rFonts w:ascii="Times New Roman" w:hAnsi="Times New Roman" w:cs="Times New Roman"/>
          <w:b w:val="0"/>
          <w:bCs w:val="0"/>
          <w:color w:val="auto"/>
          <w:lang w:eastAsia="zh-CN"/>
        </w:rPr>
        <w:t>2.2.1</w:t>
      </w:r>
      <w:r>
        <w:rPr>
          <w:rFonts w:ascii="Times New Roman" w:hAnsi="Times New Roman"/>
        </w:rPr>
        <w:t>分值构成</w:t>
      </w:r>
    </w:p>
    <w:p>
      <w:pPr>
        <w:pStyle w:val="17"/>
        <w:numPr>
          <w:ilvl w:val="0"/>
          <w:numId w:val="5"/>
        </w:numPr>
        <w:shd w:val="clear" w:color="auto" w:fill="auto"/>
        <w:tabs>
          <w:tab w:val="left" w:pos="1166"/>
        </w:tabs>
        <w:spacing w:before="0" w:line="401" w:lineRule="exact"/>
        <w:ind w:left="640"/>
        <w:jc w:val="both"/>
        <w:rPr>
          <w:rFonts w:ascii="Times New Roman" w:hAnsi="Times New Roman"/>
          <w:sz w:val="21"/>
          <w:szCs w:val="21"/>
        </w:rPr>
      </w:pPr>
      <w:r>
        <w:rPr>
          <w:rFonts w:ascii="Times New Roman" w:hAnsi="Times New Roman"/>
          <w:sz w:val="21"/>
          <w:szCs w:val="21"/>
        </w:rPr>
        <w:t>施工组织设计：见评标办法前附表；</w:t>
      </w:r>
    </w:p>
    <w:p>
      <w:pPr>
        <w:pStyle w:val="17"/>
        <w:numPr>
          <w:ilvl w:val="0"/>
          <w:numId w:val="5"/>
        </w:numPr>
        <w:shd w:val="clear" w:color="auto" w:fill="auto"/>
        <w:tabs>
          <w:tab w:val="left" w:pos="1169"/>
        </w:tabs>
        <w:spacing w:before="0" w:line="401" w:lineRule="exact"/>
        <w:ind w:left="640"/>
        <w:jc w:val="both"/>
        <w:rPr>
          <w:rFonts w:ascii="Times New Roman" w:hAnsi="Times New Roman"/>
          <w:sz w:val="21"/>
          <w:szCs w:val="21"/>
        </w:rPr>
      </w:pPr>
      <w:r>
        <w:rPr>
          <w:rFonts w:ascii="Times New Roman" w:hAnsi="Times New Roman"/>
          <w:sz w:val="21"/>
          <w:szCs w:val="21"/>
        </w:rPr>
        <w:t>主要人员：见评标办法前附表；</w:t>
      </w:r>
    </w:p>
    <w:p>
      <w:pPr>
        <w:pStyle w:val="17"/>
        <w:numPr>
          <w:ilvl w:val="0"/>
          <w:numId w:val="5"/>
        </w:numPr>
        <w:shd w:val="clear" w:color="auto" w:fill="auto"/>
        <w:tabs>
          <w:tab w:val="left" w:pos="1169"/>
        </w:tabs>
        <w:spacing w:before="0" w:line="401" w:lineRule="exact"/>
        <w:ind w:left="640"/>
        <w:jc w:val="both"/>
        <w:rPr>
          <w:rFonts w:ascii="Times New Roman" w:hAnsi="Times New Roman"/>
          <w:sz w:val="21"/>
          <w:szCs w:val="21"/>
        </w:rPr>
      </w:pPr>
      <w:r>
        <w:rPr>
          <w:rFonts w:ascii="Times New Roman" w:hAnsi="Times New Roman"/>
          <w:sz w:val="21"/>
          <w:szCs w:val="21"/>
        </w:rPr>
        <w:t>投标报价：见评标办法前附表；</w:t>
      </w:r>
    </w:p>
    <w:p>
      <w:pPr>
        <w:pStyle w:val="17"/>
        <w:numPr>
          <w:ilvl w:val="0"/>
          <w:numId w:val="5"/>
        </w:numPr>
        <w:shd w:val="clear" w:color="auto" w:fill="auto"/>
        <w:tabs>
          <w:tab w:val="left" w:pos="1169"/>
        </w:tabs>
        <w:spacing w:before="0" w:line="401" w:lineRule="exact"/>
        <w:ind w:left="640"/>
        <w:jc w:val="both"/>
        <w:rPr>
          <w:rFonts w:ascii="Times New Roman" w:hAnsi="Times New Roman"/>
          <w:sz w:val="21"/>
          <w:szCs w:val="21"/>
        </w:rPr>
      </w:pPr>
      <w:r>
        <w:rPr>
          <w:rFonts w:ascii="Times New Roman" w:hAnsi="Times New Roman"/>
          <w:sz w:val="21"/>
          <w:szCs w:val="21"/>
        </w:rPr>
        <w:t>其他评分因素：见评标办法前附表。</w:t>
      </w:r>
    </w:p>
    <w:p>
      <w:pPr>
        <w:pStyle w:val="22"/>
        <w:shd w:val="clear" w:color="auto" w:fill="auto"/>
        <w:spacing w:line="401" w:lineRule="exact"/>
        <w:ind w:firstLine="500"/>
        <w:jc w:val="both"/>
        <w:rPr>
          <w:rFonts w:ascii="Times New Roman" w:hAnsi="Times New Roman"/>
        </w:rPr>
      </w:pPr>
      <w:r>
        <w:rPr>
          <w:rStyle w:val="23"/>
          <w:rFonts w:ascii="Times New Roman" w:hAnsi="Times New Roman" w:cs="Times New Roman"/>
          <w:b w:val="0"/>
          <w:bCs w:val="0"/>
          <w:color w:val="auto"/>
          <w:lang w:eastAsia="zh-CN"/>
        </w:rPr>
        <w:t>2.2.2</w:t>
      </w:r>
      <w:r>
        <w:rPr>
          <w:rFonts w:ascii="Times New Roman" w:hAnsi="Times New Roman"/>
        </w:rPr>
        <w:t>评标基准价计算</w:t>
      </w:r>
    </w:p>
    <w:p>
      <w:pPr>
        <w:pStyle w:val="22"/>
        <w:shd w:val="clear" w:color="auto" w:fill="auto"/>
        <w:spacing w:line="401" w:lineRule="exact"/>
        <w:ind w:left="500" w:right="5220"/>
        <w:rPr>
          <w:rFonts w:ascii="Times New Roman" w:hAnsi="Times New Roman"/>
        </w:rPr>
      </w:pPr>
      <w:r>
        <w:rPr>
          <w:rStyle w:val="23"/>
          <w:rFonts w:ascii="Times New Roman" w:hAnsi="Times New Roman" w:cs="Times New Roman"/>
          <w:b w:val="0"/>
          <w:bCs w:val="0"/>
          <w:color w:val="auto"/>
          <w:lang w:eastAsia="zh-CN"/>
        </w:rPr>
        <w:t>2.2.3</w:t>
      </w:r>
      <w:r>
        <w:rPr>
          <w:rFonts w:ascii="Times New Roman" w:hAnsi="Times New Roman"/>
        </w:rPr>
        <w:t xml:space="preserve">投标报价的偏差率计算 </w:t>
      </w:r>
      <w:r>
        <w:rPr>
          <w:rStyle w:val="23"/>
          <w:rFonts w:ascii="Times New Roman" w:hAnsi="Times New Roman" w:cs="Times New Roman"/>
          <w:b w:val="0"/>
          <w:bCs w:val="0"/>
          <w:color w:val="auto"/>
          <w:lang w:eastAsia="zh-CN"/>
        </w:rPr>
        <w:t>2.2.4</w:t>
      </w:r>
      <w:r>
        <w:rPr>
          <w:rFonts w:ascii="Times New Roman" w:hAnsi="Times New Roman"/>
        </w:rPr>
        <w:t>评分标准</w:t>
      </w:r>
    </w:p>
    <w:p>
      <w:pPr>
        <w:pStyle w:val="17"/>
        <w:numPr>
          <w:ilvl w:val="0"/>
          <w:numId w:val="6"/>
        </w:numPr>
        <w:shd w:val="clear" w:color="auto" w:fill="auto"/>
        <w:tabs>
          <w:tab w:val="left" w:pos="1169"/>
        </w:tabs>
        <w:spacing w:before="0" w:line="401" w:lineRule="exact"/>
        <w:ind w:left="640"/>
        <w:jc w:val="both"/>
        <w:rPr>
          <w:rFonts w:ascii="Times New Roman" w:hAnsi="Times New Roman"/>
        </w:rPr>
      </w:pPr>
      <w:r>
        <w:rPr>
          <w:rFonts w:ascii="Times New Roman" w:hAnsi="Times New Roman"/>
        </w:rPr>
        <w:t>施工组织设计评分标准：见评标办法前附表;</w:t>
      </w:r>
    </w:p>
    <w:p>
      <w:pPr>
        <w:pStyle w:val="17"/>
        <w:numPr>
          <w:ilvl w:val="0"/>
          <w:numId w:val="6"/>
        </w:numPr>
        <w:shd w:val="clear" w:color="auto" w:fill="auto"/>
        <w:tabs>
          <w:tab w:val="left" w:pos="1169"/>
        </w:tabs>
        <w:spacing w:before="0" w:line="401" w:lineRule="exact"/>
        <w:ind w:left="640"/>
        <w:jc w:val="both"/>
        <w:rPr>
          <w:rFonts w:ascii="Times New Roman" w:hAnsi="Times New Roman"/>
        </w:rPr>
      </w:pPr>
      <w:r>
        <w:rPr>
          <w:rFonts w:ascii="Times New Roman" w:hAnsi="Times New Roman"/>
        </w:rPr>
        <w:t>主要人员评分标准：见评标办法前附表；</w:t>
      </w:r>
    </w:p>
    <w:p>
      <w:pPr>
        <w:pStyle w:val="17"/>
        <w:numPr>
          <w:ilvl w:val="0"/>
          <w:numId w:val="6"/>
        </w:numPr>
        <w:shd w:val="clear" w:color="auto" w:fill="auto"/>
        <w:tabs>
          <w:tab w:val="left" w:pos="1169"/>
        </w:tabs>
        <w:spacing w:before="0" w:line="401" w:lineRule="exact"/>
        <w:ind w:left="640"/>
        <w:jc w:val="both"/>
        <w:rPr>
          <w:rFonts w:ascii="Times New Roman" w:hAnsi="Times New Roman"/>
        </w:rPr>
      </w:pPr>
      <w:r>
        <w:rPr>
          <w:rFonts w:ascii="Times New Roman" w:hAnsi="Times New Roman"/>
        </w:rPr>
        <w:t>投标报价评分标准：见评标办法前附表；</w:t>
      </w:r>
    </w:p>
    <w:p>
      <w:pPr>
        <w:pStyle w:val="17"/>
        <w:numPr>
          <w:ilvl w:val="0"/>
          <w:numId w:val="6"/>
        </w:numPr>
        <w:shd w:val="clear" w:color="auto" w:fill="auto"/>
        <w:tabs>
          <w:tab w:val="left" w:pos="1169"/>
        </w:tabs>
        <w:spacing w:before="0" w:line="401" w:lineRule="exact"/>
        <w:ind w:left="640"/>
        <w:jc w:val="both"/>
        <w:rPr>
          <w:rFonts w:ascii="Times New Roman" w:hAnsi="Times New Roman"/>
        </w:rPr>
      </w:pPr>
      <w:r>
        <w:rPr>
          <w:rFonts w:ascii="Times New Roman" w:hAnsi="Times New Roman"/>
        </w:rPr>
        <w:t>其他因素评分标准：见评标办法前附表。</w:t>
      </w:r>
    </w:p>
    <w:p>
      <w:pPr>
        <w:pStyle w:val="21"/>
        <w:spacing w:before="240" w:after="240"/>
        <w:rPr>
          <w:rFonts w:cs="Times New Roman"/>
        </w:rPr>
      </w:pPr>
      <w:bookmarkStart w:id="32" w:name="bookmark107"/>
      <w:bookmarkStart w:id="33" w:name="_Toc508647257"/>
      <w:bookmarkStart w:id="34" w:name="_Toc519882546"/>
      <w:bookmarkStart w:id="35" w:name="_Toc27397146"/>
      <w:r>
        <w:rPr>
          <w:rFonts w:cs="Times New Roman"/>
        </w:rPr>
        <w:t>3.评标程序</w:t>
      </w:r>
      <w:bookmarkEnd w:id="32"/>
      <w:bookmarkEnd w:id="33"/>
      <w:bookmarkEnd w:id="34"/>
      <w:bookmarkEnd w:id="35"/>
    </w:p>
    <w:p>
      <w:pPr>
        <w:pStyle w:val="24"/>
        <w:keepNext/>
        <w:keepLines/>
        <w:shd w:val="clear" w:color="auto" w:fill="auto"/>
        <w:spacing w:before="0" w:after="254" w:line="260" w:lineRule="exact"/>
        <w:rPr>
          <w:rFonts w:ascii="Times New Roman" w:hAnsi="Times New Roman"/>
        </w:rPr>
      </w:pPr>
      <w:bookmarkStart w:id="36" w:name="bookmark108"/>
      <w:r>
        <w:rPr>
          <w:rFonts w:ascii="Times New Roman" w:hAnsi="Times New Roman"/>
          <w:lang w:bidi="en-US"/>
        </w:rPr>
        <w:t xml:space="preserve">3. </w:t>
      </w:r>
      <w:r>
        <w:rPr>
          <w:rFonts w:ascii="Times New Roman" w:hAnsi="Times New Roman"/>
        </w:rPr>
        <w:t>1第一个信封初步评审</w:t>
      </w:r>
      <w:bookmarkEnd w:id="36"/>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3.1.1</w:t>
      </w:r>
      <w:r>
        <w:rPr>
          <w:rFonts w:ascii="Times New Roman" w:hAnsi="Times New Roman"/>
        </w:rPr>
        <w:t>评标委员会可以要求投标人提交第二章“投标人须知”第</w:t>
      </w:r>
      <w:r>
        <w:rPr>
          <w:rFonts w:ascii="Times New Roman" w:hAnsi="Times New Roman"/>
          <w:lang w:bidi="en-US"/>
        </w:rPr>
        <w:t>3.5.1</w:t>
      </w:r>
      <w:r>
        <w:rPr>
          <w:rFonts w:ascii="Times New Roman" w:hAnsi="Times New Roman"/>
        </w:rPr>
        <w:t>项至第</w:t>
      </w:r>
      <w:r>
        <w:rPr>
          <w:rFonts w:ascii="Times New Roman" w:hAnsi="Times New Roman"/>
          <w:lang w:bidi="en-US"/>
        </w:rPr>
        <w:t xml:space="preserve">3.5.6 </w:t>
      </w:r>
      <w:r>
        <w:rPr>
          <w:rFonts w:ascii="Times New Roman" w:hAnsi="Times New Roman"/>
        </w:rPr>
        <w:t>项规定的有关证明和证件的原件，以便核验。评标委员会依据本章第</w:t>
      </w:r>
      <w:r>
        <w:rPr>
          <w:rFonts w:ascii="Times New Roman" w:hAnsi="Times New Roman"/>
          <w:lang w:bidi="en-US"/>
        </w:rPr>
        <w:t>2.1</w:t>
      </w:r>
      <w:r>
        <w:rPr>
          <w:rFonts w:ascii="Times New Roman" w:hAnsi="Times New Roman"/>
        </w:rPr>
        <w:t>款规定的标准对投标文件第一个信封（商务及技术文件）进行初步评审。有一项不符合评审标准的，评标委员会应否决其投标。（适用于未进行资格预审的）</w:t>
      </w:r>
    </w:p>
    <w:p>
      <w:pPr>
        <w:pStyle w:val="17"/>
        <w:shd w:val="clear" w:color="auto" w:fill="auto"/>
        <w:spacing w:before="0" w:after="255" w:line="398" w:lineRule="exact"/>
        <w:ind w:firstLine="520"/>
        <w:jc w:val="both"/>
        <w:rPr>
          <w:rFonts w:ascii="Times New Roman" w:hAnsi="Times New Roman"/>
        </w:rPr>
      </w:pPr>
      <w:r>
        <w:rPr>
          <w:rFonts w:ascii="Times New Roman" w:hAnsi="Times New Roman"/>
          <w:lang w:bidi="en-US"/>
        </w:rPr>
        <w:t>3.1.1</w:t>
      </w:r>
      <w:r>
        <w:rPr>
          <w:rFonts w:ascii="Times New Roman" w:hAnsi="Times New Roman"/>
        </w:rPr>
        <w:t>评标委员会依据本章第</w:t>
      </w:r>
      <w:r>
        <w:rPr>
          <w:rFonts w:ascii="Times New Roman" w:hAnsi="Times New Roman"/>
          <w:lang w:bidi="en-US"/>
        </w:rPr>
        <w:t>2.1.1</w:t>
      </w:r>
      <w:r>
        <w:rPr>
          <w:rFonts w:ascii="Times New Roman" w:hAnsi="Times New Roman"/>
        </w:rPr>
        <w:t>项、第</w:t>
      </w:r>
      <w:r>
        <w:rPr>
          <w:rFonts w:ascii="Times New Roman" w:hAnsi="Times New Roman"/>
          <w:lang w:bidi="en-US"/>
        </w:rPr>
        <w:t>2.1.3</w:t>
      </w:r>
      <w:r>
        <w:rPr>
          <w:rFonts w:ascii="Times New Roman" w:hAnsi="Times New Roman"/>
        </w:rPr>
        <w:t>项规定的评审标准对投标文件第 一个信封（商务及技术文件）进行初步评审。有一项不符合评审标准的，评标委员会应否决其投标。当投标人资格预审申请文件的内容发生重大变化时，评标委员会 依据本章第</w:t>
      </w:r>
      <w:r>
        <w:rPr>
          <w:rStyle w:val="25"/>
          <w:rFonts w:ascii="Times New Roman" w:hAnsi="Times New Roman" w:cs="Times New Roman"/>
          <w:color w:val="auto"/>
          <w:lang w:eastAsia="zh-CN"/>
        </w:rPr>
        <w:t>2</w:t>
      </w:r>
      <w:r>
        <w:rPr>
          <w:rStyle w:val="26"/>
          <w:rFonts w:ascii="Times New Roman" w:hAnsi="Times New Roman" w:cs="Times New Roman"/>
          <w:b w:val="0"/>
          <w:bCs w:val="0"/>
          <w:color w:val="auto"/>
          <w:lang w:eastAsia="zh-CN"/>
        </w:rPr>
        <w:t>.</w:t>
      </w:r>
      <w:r>
        <w:rPr>
          <w:rStyle w:val="25"/>
          <w:rFonts w:ascii="Times New Roman" w:hAnsi="Times New Roman" w:cs="Times New Roman"/>
          <w:color w:val="auto"/>
          <w:lang w:eastAsia="zh-CN"/>
        </w:rPr>
        <w:t>1.2</w:t>
      </w:r>
      <w:r>
        <w:rPr>
          <w:rFonts w:ascii="Times New Roman" w:hAnsi="Times New Roman"/>
        </w:rPr>
        <w:t>项规定的标准对其更新资料进行评审。（适用于己进行资格预审的）</w:t>
      </w:r>
    </w:p>
    <w:p>
      <w:pPr>
        <w:pStyle w:val="24"/>
        <w:keepNext/>
        <w:keepLines/>
        <w:shd w:val="clear" w:color="auto" w:fill="auto"/>
        <w:spacing w:before="0" w:after="252" w:line="260" w:lineRule="exact"/>
        <w:rPr>
          <w:rFonts w:ascii="Times New Roman" w:hAnsi="Times New Roman"/>
        </w:rPr>
      </w:pPr>
      <w:bookmarkStart w:id="37" w:name="bookmark109"/>
      <w:r>
        <w:rPr>
          <w:rFonts w:ascii="Times New Roman" w:hAnsi="Times New Roman"/>
          <w:lang w:bidi="en-US"/>
        </w:rPr>
        <w:t xml:space="preserve">3. </w:t>
      </w:r>
      <w:r>
        <w:rPr>
          <w:rFonts w:ascii="Times New Roman" w:hAnsi="Times New Roman"/>
        </w:rPr>
        <w:t>2第一个信封详细评审</w:t>
      </w:r>
      <w:bookmarkEnd w:id="37"/>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3.2.1</w:t>
      </w:r>
      <w:r>
        <w:rPr>
          <w:rFonts w:ascii="Times New Roman" w:hAnsi="Times New Roman"/>
        </w:rPr>
        <w:t>评标委员会按本章第</w:t>
      </w:r>
      <w:r>
        <w:rPr>
          <w:rFonts w:ascii="Times New Roman" w:hAnsi="Times New Roman"/>
          <w:lang w:bidi="en-US"/>
        </w:rPr>
        <w:t>2.2</w:t>
      </w:r>
      <w:r>
        <w:rPr>
          <w:rFonts w:ascii="Times New Roman" w:hAnsi="Times New Roman"/>
        </w:rPr>
        <w:t>款规定的量化因素和分值进行打分，并计算出各投标人的商务和技术得分。</w:t>
      </w:r>
    </w:p>
    <w:p>
      <w:pPr>
        <w:pStyle w:val="17"/>
        <w:numPr>
          <w:ilvl w:val="0"/>
          <w:numId w:val="7"/>
        </w:numPr>
        <w:shd w:val="clear" w:color="auto" w:fill="auto"/>
        <w:tabs>
          <w:tab w:val="left" w:pos="1136"/>
        </w:tabs>
        <w:spacing w:before="0" w:line="398" w:lineRule="exact"/>
        <w:ind w:firstLine="640"/>
        <w:jc w:val="left"/>
        <w:rPr>
          <w:rFonts w:ascii="Times New Roman" w:hAnsi="Times New Roman"/>
        </w:rPr>
      </w:pPr>
      <w:r>
        <w:rPr>
          <w:rFonts w:ascii="Times New Roman" w:hAnsi="Times New Roman"/>
        </w:rPr>
        <w:t>按本章第</w:t>
      </w:r>
      <w:r>
        <w:rPr>
          <w:rFonts w:ascii="Times New Roman" w:hAnsi="Times New Roman"/>
          <w:lang w:bidi="en-US"/>
        </w:rPr>
        <w:t>2.2.4 (1)</w:t>
      </w:r>
      <w:r>
        <w:rPr>
          <w:rFonts w:ascii="Times New Roman" w:hAnsi="Times New Roman"/>
        </w:rPr>
        <w:t>目规定的评审因素和分值对施工组织设计部分计算出 得分</w:t>
      </w:r>
      <w:r>
        <w:rPr>
          <w:rStyle w:val="25"/>
          <w:rFonts w:ascii="Times New Roman" w:hAnsi="Times New Roman" w:cs="Times New Roman"/>
          <w:color w:val="auto"/>
          <w:lang w:eastAsia="zh-CN"/>
        </w:rPr>
        <w:t>A</w:t>
      </w:r>
      <w:r>
        <w:rPr>
          <w:rFonts w:ascii="Times New Roman" w:hAnsi="Times New Roman"/>
          <w:lang w:bidi="en-US"/>
        </w:rPr>
        <w:t>;</w:t>
      </w:r>
    </w:p>
    <w:p>
      <w:pPr>
        <w:pStyle w:val="17"/>
        <w:numPr>
          <w:ilvl w:val="0"/>
          <w:numId w:val="7"/>
        </w:numPr>
        <w:shd w:val="clear" w:color="auto" w:fill="auto"/>
        <w:tabs>
          <w:tab w:val="left" w:pos="1141"/>
        </w:tabs>
        <w:spacing w:before="0" w:line="382" w:lineRule="exact"/>
        <w:ind w:firstLine="640"/>
        <w:jc w:val="left"/>
        <w:rPr>
          <w:rFonts w:ascii="Times New Roman" w:hAnsi="Times New Roman"/>
        </w:rPr>
      </w:pPr>
      <w:r>
        <w:rPr>
          <w:rFonts w:ascii="Times New Roman" w:hAnsi="Times New Roman"/>
        </w:rPr>
        <w:t>按本章第</w:t>
      </w:r>
      <w:r>
        <w:rPr>
          <w:rFonts w:ascii="Times New Roman" w:hAnsi="Times New Roman"/>
          <w:lang w:bidi="en-US"/>
        </w:rPr>
        <w:t>2.2.4 (2)</w:t>
      </w:r>
      <w:r>
        <w:rPr>
          <w:rFonts w:ascii="Times New Roman" w:hAnsi="Times New Roman"/>
        </w:rPr>
        <w:t xml:space="preserve">目规定的评审因素和分值对主要人员部分计算出得分 </w:t>
      </w:r>
      <w:r>
        <w:rPr>
          <w:rStyle w:val="25"/>
          <w:rFonts w:ascii="Times New Roman" w:hAnsi="Times New Roman" w:cs="Times New Roman"/>
          <w:color w:val="auto"/>
          <w:lang w:eastAsia="zh-CN"/>
        </w:rPr>
        <w:t>B</w:t>
      </w:r>
      <w:r>
        <w:rPr>
          <w:rFonts w:ascii="Times New Roman" w:hAnsi="Times New Roman"/>
          <w:lang w:bidi="en-US"/>
        </w:rPr>
        <w:t>；</w:t>
      </w:r>
    </w:p>
    <w:p>
      <w:pPr>
        <w:pStyle w:val="17"/>
        <w:numPr>
          <w:ilvl w:val="0"/>
          <w:numId w:val="7"/>
        </w:numPr>
        <w:shd w:val="clear" w:color="auto" w:fill="auto"/>
        <w:tabs>
          <w:tab w:val="left" w:pos="1176"/>
        </w:tabs>
        <w:spacing w:before="0" w:line="398" w:lineRule="exact"/>
        <w:ind w:left="520" w:firstLine="120"/>
        <w:jc w:val="left"/>
        <w:rPr>
          <w:rFonts w:ascii="Times New Roman" w:hAnsi="Times New Roman"/>
        </w:rPr>
      </w:pPr>
      <w:r>
        <w:rPr>
          <w:rFonts w:ascii="Times New Roman" w:hAnsi="Times New Roman"/>
        </w:rPr>
        <w:t>按本章第</w:t>
      </w:r>
      <w:r>
        <w:rPr>
          <w:rFonts w:ascii="Times New Roman" w:hAnsi="Times New Roman"/>
          <w:lang w:bidi="en-US"/>
        </w:rPr>
        <w:t>2.2.4 (4)</w:t>
      </w:r>
      <w:r>
        <w:rPr>
          <w:rFonts w:ascii="Times New Roman" w:hAnsi="Times New Roman"/>
        </w:rPr>
        <w:t>目规定的评审因素和分值对其他部分计算出得分</w:t>
      </w:r>
      <w:r>
        <w:rPr>
          <w:rStyle w:val="25"/>
          <w:rFonts w:ascii="Times New Roman" w:hAnsi="Times New Roman" w:cs="Times New Roman"/>
          <w:color w:val="auto"/>
          <w:lang w:eastAsia="zh-CN"/>
        </w:rPr>
        <w:t>D</w:t>
      </w:r>
      <w:r>
        <w:rPr>
          <w:rFonts w:ascii="Times New Roman" w:hAnsi="Times New Roman"/>
          <w:lang w:bidi="en-US"/>
        </w:rPr>
        <w:t xml:space="preserve">。 </w:t>
      </w:r>
    </w:p>
    <w:p>
      <w:pPr>
        <w:pStyle w:val="17"/>
        <w:shd w:val="clear" w:color="auto" w:fill="auto"/>
        <w:tabs>
          <w:tab w:val="left" w:pos="1176"/>
        </w:tabs>
        <w:spacing w:before="0" w:line="398" w:lineRule="exact"/>
        <w:ind w:firstLine="440" w:firstLineChars="200"/>
        <w:jc w:val="left"/>
        <w:rPr>
          <w:rFonts w:ascii="Times New Roman" w:hAnsi="Times New Roman"/>
        </w:rPr>
      </w:pPr>
      <w:r>
        <w:rPr>
          <w:rFonts w:ascii="Times New Roman" w:hAnsi="Times New Roman"/>
          <w:lang w:bidi="en-US"/>
        </w:rPr>
        <w:t>3.2.2</w:t>
      </w:r>
      <w:r>
        <w:rPr>
          <w:rFonts w:ascii="Times New Roman" w:hAnsi="Times New Roman"/>
        </w:rPr>
        <w:t>投标人的商务和技术得分分值计算保留小数点后两位，小数点后第三位“四舍五入”。</w:t>
      </w:r>
    </w:p>
    <w:p>
      <w:pPr>
        <w:pStyle w:val="17"/>
        <w:shd w:val="clear" w:color="auto" w:fill="auto"/>
        <w:spacing w:before="0" w:after="255" w:line="398" w:lineRule="exact"/>
        <w:ind w:firstLine="440" w:firstLineChars="200"/>
        <w:jc w:val="both"/>
        <w:rPr>
          <w:rFonts w:ascii="Times New Roman" w:hAnsi="Times New Roman"/>
        </w:rPr>
      </w:pPr>
      <w:r>
        <w:rPr>
          <w:rFonts w:ascii="Times New Roman" w:hAnsi="Times New Roman"/>
          <w:lang w:bidi="en-US"/>
        </w:rPr>
        <w:t>3.2.3</w:t>
      </w:r>
      <w:r>
        <w:rPr>
          <w:rFonts w:ascii="Times New Roman" w:hAnsi="Times New Roman"/>
        </w:rPr>
        <w:t>投标人的商务和技术得分</w:t>
      </w:r>
      <w:r>
        <w:rPr>
          <w:rFonts w:ascii="Times New Roman" w:hAnsi="Times New Roman"/>
          <w:lang w:bidi="en-US"/>
        </w:rPr>
        <w:t>=</w:t>
      </w:r>
      <w:r>
        <w:rPr>
          <w:rStyle w:val="25"/>
          <w:rFonts w:ascii="Times New Roman" w:hAnsi="Times New Roman" w:cs="Times New Roman"/>
          <w:color w:val="auto"/>
          <w:lang w:eastAsia="zh-CN"/>
        </w:rPr>
        <w:t>A</w:t>
      </w:r>
      <w:r>
        <w:rPr>
          <w:rFonts w:ascii="Times New Roman" w:hAnsi="Times New Roman"/>
          <w:lang w:bidi="en-US"/>
        </w:rPr>
        <w:t>+</w:t>
      </w:r>
      <w:r>
        <w:rPr>
          <w:rStyle w:val="25"/>
          <w:rFonts w:ascii="Times New Roman" w:hAnsi="Times New Roman" w:cs="Times New Roman"/>
          <w:color w:val="auto"/>
          <w:lang w:eastAsia="zh-CN"/>
        </w:rPr>
        <w:t>B</w:t>
      </w:r>
      <w:r>
        <w:rPr>
          <w:rFonts w:ascii="Times New Roman" w:hAnsi="Times New Roman"/>
          <w:lang w:bidi="en-US"/>
        </w:rPr>
        <w:t>+</w:t>
      </w:r>
      <w:r>
        <w:rPr>
          <w:rStyle w:val="25"/>
          <w:rFonts w:ascii="Times New Roman" w:hAnsi="Times New Roman" w:cs="Times New Roman"/>
          <w:color w:val="auto"/>
          <w:lang w:eastAsia="zh-CN"/>
        </w:rPr>
        <w:t>D</w:t>
      </w:r>
      <w:r>
        <w:rPr>
          <w:rFonts w:ascii="Times New Roman" w:hAnsi="Times New Roman"/>
          <w:lang w:bidi="en-US"/>
        </w:rPr>
        <w:t>。</w:t>
      </w:r>
    </w:p>
    <w:p>
      <w:pPr>
        <w:pStyle w:val="24"/>
        <w:keepNext/>
        <w:keepLines/>
        <w:shd w:val="clear" w:color="auto" w:fill="auto"/>
        <w:spacing w:before="0" w:after="269" w:line="260" w:lineRule="exact"/>
        <w:rPr>
          <w:rFonts w:ascii="Times New Roman" w:hAnsi="Times New Roman"/>
        </w:rPr>
      </w:pPr>
      <w:bookmarkStart w:id="38" w:name="bookmark110"/>
      <w:r>
        <w:rPr>
          <w:rFonts w:ascii="Times New Roman" w:hAnsi="Times New Roman"/>
          <w:lang w:bidi="en-US"/>
        </w:rPr>
        <w:t xml:space="preserve">3. </w:t>
      </w:r>
      <w:r>
        <w:rPr>
          <w:rFonts w:ascii="Times New Roman" w:hAnsi="Times New Roman"/>
        </w:rPr>
        <w:t>3第二个信封开标</w:t>
      </w:r>
      <w:bookmarkEnd w:id="38"/>
    </w:p>
    <w:p>
      <w:pPr>
        <w:pStyle w:val="17"/>
        <w:shd w:val="clear" w:color="auto" w:fill="auto"/>
        <w:spacing w:before="0" w:after="255" w:line="398" w:lineRule="exact"/>
        <w:ind w:firstLine="520"/>
        <w:jc w:val="both"/>
        <w:rPr>
          <w:rFonts w:ascii="Times New Roman" w:hAnsi="Times New Roman"/>
        </w:rPr>
      </w:pPr>
      <w:r>
        <w:rPr>
          <w:rFonts w:ascii="Times New Roman" w:hAnsi="Times New Roman"/>
        </w:rPr>
        <w:t>第一个信封（商务及技术文件）评审结束后，招标人将按照第二章“投标人须知” 第</w:t>
      </w:r>
      <w:r>
        <w:rPr>
          <w:rFonts w:ascii="Times New Roman" w:hAnsi="Times New Roman"/>
          <w:lang w:bidi="en-US"/>
        </w:rPr>
        <w:t>5.1</w:t>
      </w:r>
      <w:r>
        <w:rPr>
          <w:rFonts w:ascii="Times New Roman" w:hAnsi="Times New Roman"/>
        </w:rPr>
        <w:t>款规定的时间和地点对通过投标文件第一个信封（商务及技术文件）评审的 投标文件第二个信封（报价文件）进行开标。</w:t>
      </w:r>
    </w:p>
    <w:p>
      <w:pPr>
        <w:pStyle w:val="24"/>
        <w:keepNext/>
        <w:keepLines/>
        <w:shd w:val="clear" w:color="auto" w:fill="auto"/>
        <w:spacing w:before="0" w:after="251" w:line="280" w:lineRule="exact"/>
        <w:rPr>
          <w:rFonts w:ascii="Times New Roman" w:hAnsi="Times New Roman"/>
        </w:rPr>
      </w:pPr>
      <w:bookmarkStart w:id="39" w:name="bookmark111"/>
      <w:r>
        <w:rPr>
          <w:rFonts w:ascii="Times New Roman" w:hAnsi="Times New Roman"/>
          <w:lang w:bidi="en-US"/>
        </w:rPr>
        <w:t xml:space="preserve">3. </w:t>
      </w:r>
      <w:r>
        <w:rPr>
          <w:rFonts w:ascii="Times New Roman" w:hAnsi="Times New Roman"/>
        </w:rPr>
        <w:t>4第二个信封初步评审</w:t>
      </w:r>
      <w:bookmarkEnd w:id="39"/>
    </w:p>
    <w:p>
      <w:pPr>
        <w:pStyle w:val="17"/>
        <w:shd w:val="clear" w:color="auto" w:fill="auto"/>
        <w:spacing w:before="0" w:line="403" w:lineRule="exact"/>
        <w:ind w:firstLine="520"/>
        <w:jc w:val="both"/>
        <w:rPr>
          <w:rFonts w:ascii="Times New Roman" w:hAnsi="Times New Roman"/>
        </w:rPr>
      </w:pPr>
      <w:r>
        <w:rPr>
          <w:rFonts w:ascii="Times New Roman" w:hAnsi="Times New Roman"/>
          <w:lang w:bidi="en-US"/>
        </w:rPr>
        <w:t>3.4.1</w:t>
      </w:r>
      <w:r>
        <w:rPr>
          <w:rFonts w:ascii="Times New Roman" w:hAnsi="Times New Roman"/>
        </w:rPr>
        <w:t>评标委员会依据本章第</w:t>
      </w:r>
      <w:r>
        <w:rPr>
          <w:rFonts w:ascii="Times New Roman" w:hAnsi="Times New Roman"/>
          <w:lang w:bidi="en-US"/>
        </w:rPr>
        <w:t>2.1.1</w:t>
      </w:r>
      <w:r>
        <w:rPr>
          <w:rFonts w:ascii="Times New Roman" w:hAnsi="Times New Roman"/>
        </w:rPr>
        <w:t>项、第</w:t>
      </w:r>
      <w:r>
        <w:rPr>
          <w:rFonts w:ascii="Times New Roman" w:hAnsi="Times New Roman"/>
          <w:lang w:bidi="en-US"/>
        </w:rPr>
        <w:t>2.1.3</w:t>
      </w:r>
      <w:r>
        <w:rPr>
          <w:rFonts w:ascii="Times New Roman" w:hAnsi="Times New Roman"/>
        </w:rPr>
        <w:t>项规定的评审标准对投标文件第二个信封（报价文件）进行初步评审。有一项不符合评审标准的，评标委员会应否决其投标。</w:t>
      </w:r>
    </w:p>
    <w:p>
      <w:pPr>
        <w:pStyle w:val="17"/>
        <w:shd w:val="clear" w:color="auto" w:fill="auto"/>
        <w:spacing w:before="0" w:line="398" w:lineRule="exact"/>
        <w:ind w:firstLine="520"/>
        <w:jc w:val="left"/>
        <w:rPr>
          <w:rFonts w:ascii="Times New Roman" w:hAnsi="Times New Roman"/>
        </w:rPr>
      </w:pPr>
      <w:r>
        <w:rPr>
          <w:rFonts w:ascii="Times New Roman" w:hAnsi="Times New Roman"/>
          <w:lang w:bidi="en-US"/>
        </w:rPr>
        <w:t>3.4.2</w:t>
      </w:r>
      <w:r>
        <w:rPr>
          <w:rFonts w:ascii="Times New Roman" w:hAnsi="Times New Roman"/>
        </w:rPr>
        <w:t>投标报价有算术错误的，评标委员会按以下原则对投标报价进行修正，修正的价格经投标人书面确认后具有约束力。投标人不接受修正价格的，评标委员会应否决其投标。</w:t>
      </w:r>
    </w:p>
    <w:p>
      <w:pPr>
        <w:pStyle w:val="17"/>
        <w:numPr>
          <w:ilvl w:val="0"/>
          <w:numId w:val="8"/>
        </w:numPr>
        <w:shd w:val="clear" w:color="auto" w:fill="auto"/>
        <w:tabs>
          <w:tab w:val="left" w:pos="1140"/>
        </w:tabs>
        <w:spacing w:before="0" w:line="398" w:lineRule="exact"/>
        <w:ind w:firstLine="640"/>
        <w:jc w:val="both"/>
        <w:rPr>
          <w:rFonts w:ascii="Times New Roman" w:hAnsi="Times New Roman"/>
        </w:rPr>
      </w:pPr>
      <w:r>
        <w:rPr>
          <w:rFonts w:ascii="Times New Roman" w:hAnsi="Times New Roman"/>
        </w:rPr>
        <w:t>投标文件中的大写金额与小写金额不一致的，以大写金额为准；</w:t>
      </w:r>
    </w:p>
    <w:p>
      <w:pPr>
        <w:pStyle w:val="17"/>
        <w:numPr>
          <w:ilvl w:val="0"/>
          <w:numId w:val="8"/>
        </w:numPr>
        <w:shd w:val="clear" w:color="auto" w:fill="auto"/>
        <w:tabs>
          <w:tab w:val="left" w:pos="1110"/>
        </w:tabs>
        <w:spacing w:before="0" w:line="398" w:lineRule="exact"/>
        <w:ind w:firstLine="640"/>
        <w:jc w:val="both"/>
        <w:rPr>
          <w:rFonts w:ascii="Times New Roman" w:hAnsi="Times New Roman"/>
        </w:rPr>
      </w:pPr>
      <w:r>
        <w:rPr>
          <w:rFonts w:ascii="Times New Roman" w:hAnsi="Times New Roman"/>
        </w:rPr>
        <w:t>总价金额与依据单价计算出的结果不一致的，以单价金额为准修正总价，但单价金额小数点有明显错误的除外；</w:t>
      </w:r>
    </w:p>
    <w:p>
      <w:pPr>
        <w:pStyle w:val="17"/>
        <w:numPr>
          <w:ilvl w:val="0"/>
          <w:numId w:val="8"/>
        </w:numPr>
        <w:shd w:val="clear" w:color="auto" w:fill="auto"/>
        <w:tabs>
          <w:tab w:val="left" w:pos="1105"/>
        </w:tabs>
        <w:spacing w:before="0" w:line="398" w:lineRule="exact"/>
        <w:ind w:firstLine="640"/>
        <w:jc w:val="both"/>
        <w:rPr>
          <w:rFonts w:ascii="Times New Roman" w:hAnsi="Times New Roman"/>
        </w:rPr>
      </w:pPr>
      <w:r>
        <w:rPr>
          <w:rFonts w:ascii="Times New Roman" w:hAnsi="Times New Roman"/>
        </w:rPr>
        <w:t>当单价与数量相乘不等于合价时，以单价计算为准，如果单价有明显的小数点位置差错，应以标出的合价为准，同时对单价予以修正；</w:t>
      </w:r>
    </w:p>
    <w:p>
      <w:pPr>
        <w:pStyle w:val="17"/>
        <w:numPr>
          <w:ilvl w:val="0"/>
          <w:numId w:val="8"/>
        </w:numPr>
        <w:shd w:val="clear" w:color="auto" w:fill="auto"/>
        <w:tabs>
          <w:tab w:val="left" w:pos="1108"/>
        </w:tabs>
        <w:spacing w:before="0" w:line="398" w:lineRule="exact"/>
        <w:ind w:firstLine="640"/>
        <w:jc w:val="both"/>
        <w:rPr>
          <w:rFonts w:ascii="Times New Roman" w:hAnsi="Times New Roman"/>
        </w:rPr>
      </w:pPr>
      <w:r>
        <w:rPr>
          <w:rFonts w:ascii="Times New Roman" w:hAnsi="Times New Roman"/>
        </w:rPr>
        <w:t>当各子目的合价累计不等于总价时，应以各子目合价累计数为准，修正总价。</w:t>
      </w:r>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3.4.3</w:t>
      </w:r>
      <w:r>
        <w:rPr>
          <w:rFonts w:ascii="Times New Roman" w:hAnsi="Times New Roman"/>
        </w:rPr>
        <w:t>工程量清单中的投标报价有其他错误的，评标委员会按以下原则对投标报价进行修正，修正的价格经投标人书面确认后具有约束力。投标人不接受修正价格的，评标委员会应否决其投标。</w:t>
      </w:r>
    </w:p>
    <w:p>
      <w:pPr>
        <w:pStyle w:val="17"/>
        <w:numPr>
          <w:ilvl w:val="0"/>
          <w:numId w:val="9"/>
        </w:numPr>
        <w:shd w:val="clear" w:color="auto" w:fill="auto"/>
        <w:tabs>
          <w:tab w:val="left" w:pos="1105"/>
        </w:tabs>
        <w:spacing w:before="0" w:line="398" w:lineRule="exact"/>
        <w:ind w:firstLine="640"/>
        <w:jc w:val="both"/>
        <w:rPr>
          <w:rFonts w:ascii="Times New Roman" w:hAnsi="Times New Roman"/>
        </w:rPr>
      </w:pPr>
      <w:r>
        <w:rPr>
          <w:rFonts w:ascii="Times New Roman" w:hAnsi="Times New Roman"/>
        </w:rPr>
        <w:t>在招标人给定的工程量清单中漏报了某个工程子目的单价、合价或总额价，或所报单价、合价或总额价减少了报价范围，则漏报的工程子目单价、合价和总额价或单价、合价和总额价中减少的报价内容视为己含入其他工程子目的单价、合价和总额价之中。</w:t>
      </w:r>
    </w:p>
    <w:p>
      <w:pPr>
        <w:pStyle w:val="17"/>
        <w:numPr>
          <w:ilvl w:val="0"/>
          <w:numId w:val="9"/>
        </w:numPr>
        <w:shd w:val="clear" w:color="auto" w:fill="auto"/>
        <w:tabs>
          <w:tab w:val="left" w:pos="1105"/>
        </w:tabs>
        <w:spacing w:before="0" w:line="398" w:lineRule="exact"/>
        <w:ind w:firstLine="640"/>
        <w:jc w:val="both"/>
        <w:rPr>
          <w:rFonts w:ascii="Times New Roman" w:hAnsi="Times New Roman"/>
        </w:rPr>
      </w:pPr>
      <w:r>
        <w:rPr>
          <w:rFonts w:ascii="Times New Roman" w:hAnsi="Times New Roman"/>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pPr>
        <w:pStyle w:val="17"/>
        <w:numPr>
          <w:ilvl w:val="0"/>
          <w:numId w:val="9"/>
        </w:numPr>
        <w:shd w:val="clear" w:color="auto" w:fill="auto"/>
        <w:tabs>
          <w:tab w:val="left" w:pos="1103"/>
        </w:tabs>
        <w:spacing w:before="0" w:line="398" w:lineRule="exact"/>
        <w:ind w:firstLine="640"/>
        <w:jc w:val="both"/>
        <w:rPr>
          <w:rFonts w:ascii="Times New Roman" w:hAnsi="Times New Roman"/>
        </w:rPr>
      </w:pPr>
      <w:r>
        <w:rPr>
          <w:rFonts w:ascii="Times New Roman" w:hAnsi="Times New Roman"/>
        </w:rPr>
        <w:t>当单价与数量的乘积与合价（金额</w:t>
      </w:r>
      <w:r>
        <w:rPr>
          <w:rFonts w:ascii="Times New Roman" w:hAnsi="Times New Roman"/>
          <w:lang w:bidi="en-US"/>
        </w:rPr>
        <w:t>）</w:t>
      </w:r>
      <w:r>
        <w:rPr>
          <w:rFonts w:ascii="Times New Roman" w:hAnsi="Times New Roman"/>
        </w:rPr>
        <w:t>虽然一致，但投标人修改了该子目的工程数量，则其合价按招标人给定的工程数量乘以投标人所报单价予以修正。</w:t>
      </w:r>
    </w:p>
    <w:p>
      <w:pPr>
        <w:pStyle w:val="17"/>
        <w:shd w:val="clear" w:color="auto" w:fill="auto"/>
        <w:spacing w:before="0" w:line="398" w:lineRule="exact"/>
        <w:ind w:firstLine="520"/>
        <w:jc w:val="left"/>
        <w:rPr>
          <w:rFonts w:ascii="Times New Roman" w:hAnsi="Times New Roman"/>
        </w:rPr>
      </w:pPr>
      <w:r>
        <w:rPr>
          <w:rFonts w:ascii="Times New Roman" w:hAnsi="Times New Roman"/>
          <w:lang w:bidi="en-US"/>
        </w:rPr>
        <w:t>3.4.4</w:t>
      </w:r>
      <w:r>
        <w:rPr>
          <w:rFonts w:ascii="Times New Roman" w:hAnsi="Times New Roman"/>
        </w:rPr>
        <w:t>修正后的最终投标报价若超过最高投标限价（如有），评标委员会应否决 其投标。</w:t>
      </w:r>
    </w:p>
    <w:p>
      <w:pPr>
        <w:pStyle w:val="17"/>
        <w:shd w:val="clear" w:color="auto" w:fill="auto"/>
        <w:spacing w:before="0" w:after="195" w:line="398" w:lineRule="exact"/>
        <w:ind w:firstLine="520"/>
        <w:jc w:val="left"/>
        <w:rPr>
          <w:rFonts w:ascii="Times New Roman" w:hAnsi="Times New Roman"/>
        </w:rPr>
      </w:pPr>
      <w:r>
        <w:rPr>
          <w:rFonts w:ascii="Times New Roman" w:hAnsi="Times New Roman"/>
          <w:lang w:bidi="en-US"/>
        </w:rPr>
        <w:t>3.4.5</w:t>
      </w:r>
      <w:r>
        <w:rPr>
          <w:rFonts w:ascii="Times New Roman" w:hAnsi="Times New Roman"/>
        </w:rPr>
        <w:t>修正后的最终投标报价仅作为签订合同的一个依据，不参与评标价得分的 计算。</w:t>
      </w:r>
    </w:p>
    <w:p>
      <w:pPr>
        <w:pStyle w:val="22"/>
        <w:shd w:val="clear" w:color="auto" w:fill="auto"/>
        <w:spacing w:line="280" w:lineRule="exact"/>
        <w:rPr>
          <w:rFonts w:ascii="Times New Roman" w:hAnsi="Times New Roman"/>
        </w:rPr>
      </w:pPr>
      <w:r>
        <w:rPr>
          <w:rFonts w:ascii="Times New Roman" w:hAnsi="Times New Roman"/>
          <w:b w:val="0"/>
          <w:bCs w:val="0"/>
        </w:rPr>
        <w:t>3. 5</w:t>
      </w:r>
      <w:r>
        <w:rPr>
          <w:rFonts w:ascii="Times New Roman" w:hAnsi="Times New Roman"/>
        </w:rPr>
        <w:t>第二个信封详细评审</w:t>
      </w:r>
    </w:p>
    <w:p>
      <w:pPr>
        <w:pStyle w:val="17"/>
        <w:shd w:val="clear" w:color="auto" w:fill="auto"/>
        <w:spacing w:before="0" w:line="398" w:lineRule="exact"/>
        <w:ind w:firstLine="520"/>
        <w:jc w:val="left"/>
        <w:rPr>
          <w:rFonts w:hint="eastAsia" w:ascii="Times New Roman" w:hAnsi="Times New Roman"/>
          <w:lang w:bidi="en-US"/>
        </w:rPr>
      </w:pPr>
      <w:r>
        <w:rPr>
          <w:rFonts w:ascii="Times New Roman" w:hAnsi="Times New Roman"/>
          <w:lang w:bidi="en-US"/>
        </w:rPr>
        <w:t>3.5.1评标委员会按本章第2.2.4 (3)目规定的评审因素和分值对投标报价计算出得分</w:t>
      </w:r>
      <w:r>
        <w:rPr>
          <w:rFonts w:ascii="Times New Roman" w:hAnsi="Times New Roman"/>
        </w:rPr>
        <w:t>C</w:t>
      </w:r>
      <w:r>
        <w:rPr>
          <w:rFonts w:ascii="Times New Roman" w:hAnsi="Times New Roman"/>
          <w:lang w:bidi="en-US"/>
        </w:rPr>
        <w:t xml:space="preserve">。投标报价得分分值计算保留小数点后两位，小数点后第三位“四舍五入”。 </w:t>
      </w:r>
    </w:p>
    <w:p>
      <w:pPr>
        <w:pStyle w:val="17"/>
        <w:shd w:val="clear" w:color="auto" w:fill="auto"/>
        <w:spacing w:before="0" w:line="398" w:lineRule="exact"/>
        <w:ind w:firstLine="520"/>
        <w:jc w:val="left"/>
        <w:rPr>
          <w:rFonts w:ascii="Times New Roman" w:hAnsi="Times New Roman"/>
          <w:lang w:bidi="en-US"/>
        </w:rPr>
      </w:pPr>
      <w:r>
        <w:rPr>
          <w:rFonts w:ascii="Times New Roman" w:hAnsi="Times New Roman"/>
          <w:lang w:bidi="en-US"/>
        </w:rPr>
        <w:t>3.5.2投标人得分=投标人的商务和技术得分+</w:t>
      </w:r>
      <w:r>
        <w:rPr>
          <w:rFonts w:ascii="Times New Roman" w:hAnsi="Times New Roman"/>
        </w:rPr>
        <w:t>C</w:t>
      </w:r>
      <w:r>
        <w:rPr>
          <w:rFonts w:ascii="Times New Roman" w:hAnsi="Times New Roman"/>
          <w:lang w:bidi="en-US"/>
        </w:rPr>
        <w:t>。</w:t>
      </w:r>
    </w:p>
    <w:p>
      <w:pPr>
        <w:pStyle w:val="17"/>
        <w:shd w:val="clear" w:color="auto" w:fill="auto"/>
        <w:spacing w:before="0" w:line="398" w:lineRule="exact"/>
        <w:ind w:firstLine="520"/>
        <w:jc w:val="left"/>
        <w:rPr>
          <w:rFonts w:ascii="Times New Roman" w:hAnsi="Times New Roman"/>
          <w:lang w:bidi="en-US"/>
        </w:rPr>
      </w:pPr>
      <w:r>
        <w:rPr>
          <w:rFonts w:ascii="Times New Roman" w:hAnsi="Times New Roman"/>
          <w:lang w:bidi="en-US"/>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24"/>
        <w:keepNext/>
        <w:keepLines/>
        <w:shd w:val="clear" w:color="auto" w:fill="auto"/>
        <w:spacing w:after="254" w:line="230" w:lineRule="exact"/>
        <w:ind w:left="500" w:hanging="500"/>
        <w:rPr>
          <w:rFonts w:ascii="Times New Roman" w:hAnsi="Times New Roman"/>
        </w:rPr>
      </w:pPr>
      <w:bookmarkStart w:id="40" w:name="bookmark112"/>
      <w:r>
        <w:rPr>
          <w:rFonts w:ascii="Times New Roman" w:hAnsi="Times New Roman"/>
          <w:b w:val="0"/>
          <w:bCs w:val="0"/>
        </w:rPr>
        <w:t xml:space="preserve">3. </w:t>
      </w:r>
      <w:r>
        <w:rPr>
          <w:rFonts w:ascii="Times New Roman" w:hAnsi="Times New Roman"/>
          <w:b w:val="0"/>
          <w:bCs w:val="0"/>
          <w:lang w:bidi="en-US"/>
        </w:rPr>
        <w:t>6</w:t>
      </w:r>
      <w:r>
        <w:rPr>
          <w:rFonts w:ascii="Times New Roman" w:hAnsi="Times New Roman"/>
        </w:rPr>
        <w:t>投标文件相关信息的核查</w:t>
      </w:r>
      <w:bookmarkEnd w:id="40"/>
    </w:p>
    <w:p>
      <w:pPr>
        <w:pStyle w:val="17"/>
        <w:shd w:val="clear" w:color="auto" w:fill="auto"/>
        <w:spacing w:before="0" w:line="398" w:lineRule="exact"/>
        <w:ind w:firstLine="500"/>
        <w:jc w:val="left"/>
        <w:rPr>
          <w:rFonts w:ascii="Times New Roman" w:hAnsi="Times New Roman"/>
        </w:rPr>
      </w:pPr>
      <w:r>
        <w:rPr>
          <w:rFonts w:ascii="Times New Roman" w:hAnsi="Times New Roman"/>
          <w:lang w:bidi="en-US"/>
        </w:rPr>
        <w:t>3.6.1</w:t>
      </w:r>
      <w:r>
        <w:rPr>
          <w:rFonts w:ascii="Times New Roman" w:hAnsi="Times New Roman"/>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 信息管理系统”发布的信息不符，使得投标人的资格条件不符合招标文件规定的，评标委员会应否决其投标。</w:t>
      </w:r>
    </w:p>
    <w:p>
      <w:pPr>
        <w:pStyle w:val="17"/>
        <w:shd w:val="clear" w:color="auto" w:fill="auto"/>
        <w:spacing w:before="0" w:line="398" w:lineRule="exact"/>
        <w:ind w:firstLine="500"/>
        <w:jc w:val="left"/>
        <w:rPr>
          <w:rFonts w:ascii="Times New Roman" w:hAnsi="Times New Roman"/>
        </w:rPr>
      </w:pPr>
      <w:r>
        <w:rPr>
          <w:rFonts w:ascii="Times New Roman" w:hAnsi="Times New Roman"/>
          <w:lang w:bidi="en-US"/>
        </w:rPr>
        <w:t>3.6.2</w:t>
      </w:r>
      <w:r>
        <w:rPr>
          <w:rFonts w:ascii="Times New Roman" w:hAnsi="Times New Roman"/>
        </w:rPr>
        <w:t>评标委员会应对在评标过程中发现的投标人与投标人之间、投标人与招标人之间存在的串通投标的情形进行评审和认定。投标人存在串通投标、弄虚作假、行贿等违法行为的，评标委员会应否决其投标。</w:t>
      </w:r>
    </w:p>
    <w:p>
      <w:pPr>
        <w:pStyle w:val="17"/>
        <w:numPr>
          <w:ilvl w:val="0"/>
          <w:numId w:val="10"/>
        </w:numPr>
        <w:shd w:val="clear" w:color="auto" w:fill="auto"/>
        <w:tabs>
          <w:tab w:val="left" w:pos="1169"/>
        </w:tabs>
        <w:spacing w:before="0" w:line="398" w:lineRule="exact"/>
        <w:ind w:left="640"/>
        <w:jc w:val="both"/>
        <w:rPr>
          <w:rFonts w:ascii="Times New Roman" w:hAnsi="Times New Roman"/>
        </w:rPr>
      </w:pPr>
      <w:r>
        <w:rPr>
          <w:rFonts w:ascii="Times New Roman" w:hAnsi="Times New Roman"/>
        </w:rPr>
        <w:t>有下列情形之一的，属于投标人相互串通投标：</w:t>
      </w:r>
    </w:p>
    <w:p>
      <w:pPr>
        <w:pStyle w:val="17"/>
        <w:numPr>
          <w:ilvl w:val="0"/>
          <w:numId w:val="11"/>
        </w:numPr>
        <w:shd w:val="clear" w:color="auto" w:fill="auto"/>
        <w:tabs>
          <w:tab w:val="left" w:pos="839"/>
        </w:tabs>
        <w:spacing w:before="0" w:line="398" w:lineRule="exact"/>
        <w:ind w:firstLine="500"/>
        <w:jc w:val="both"/>
        <w:rPr>
          <w:rFonts w:ascii="Times New Roman" w:hAnsi="Times New Roman"/>
        </w:rPr>
      </w:pPr>
      <w:r>
        <w:rPr>
          <w:rFonts w:ascii="Times New Roman" w:hAnsi="Times New Roman"/>
        </w:rPr>
        <w:t>投标人之间协商投标报价等投标文件的实质性内容；</w:t>
      </w:r>
    </w:p>
    <w:p>
      <w:pPr>
        <w:pStyle w:val="17"/>
        <w:numPr>
          <w:ilvl w:val="0"/>
          <w:numId w:val="11"/>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投标人之间约定中标人；</w:t>
      </w:r>
    </w:p>
    <w:p>
      <w:pPr>
        <w:pStyle w:val="17"/>
        <w:numPr>
          <w:ilvl w:val="0"/>
          <w:numId w:val="11"/>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投标人之间约定部分投标人放弃投标或中标；</w:t>
      </w:r>
    </w:p>
    <w:p>
      <w:pPr>
        <w:pStyle w:val="17"/>
        <w:numPr>
          <w:ilvl w:val="0"/>
          <w:numId w:val="11"/>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属于同一集团、协会、商会等组织成员的投标人按照该组织要求协同投标；</w:t>
      </w:r>
    </w:p>
    <w:p>
      <w:pPr>
        <w:pStyle w:val="17"/>
        <w:numPr>
          <w:ilvl w:val="0"/>
          <w:numId w:val="11"/>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投标人之间为谋取中标或排斥特定投标人而采取的其他联合行动。</w:t>
      </w:r>
    </w:p>
    <w:p>
      <w:pPr>
        <w:pStyle w:val="17"/>
        <w:numPr>
          <w:ilvl w:val="0"/>
          <w:numId w:val="10"/>
        </w:numPr>
        <w:shd w:val="clear" w:color="auto" w:fill="auto"/>
        <w:tabs>
          <w:tab w:val="left" w:pos="1169"/>
        </w:tabs>
        <w:spacing w:before="0" w:line="398" w:lineRule="exact"/>
        <w:ind w:left="640"/>
        <w:jc w:val="both"/>
        <w:rPr>
          <w:rFonts w:ascii="Times New Roman" w:hAnsi="Times New Roman"/>
        </w:rPr>
      </w:pPr>
      <w:r>
        <w:rPr>
          <w:rFonts w:ascii="Times New Roman" w:hAnsi="Times New Roman"/>
        </w:rPr>
        <w:t>有下列情形之一的，视为投标人相互串通投标：</w:t>
      </w:r>
    </w:p>
    <w:p>
      <w:pPr>
        <w:pStyle w:val="17"/>
        <w:numPr>
          <w:ilvl w:val="0"/>
          <w:numId w:val="12"/>
        </w:numPr>
        <w:shd w:val="clear" w:color="auto" w:fill="auto"/>
        <w:tabs>
          <w:tab w:val="left" w:pos="839"/>
        </w:tabs>
        <w:spacing w:before="0" w:line="398" w:lineRule="exact"/>
        <w:ind w:firstLine="500"/>
        <w:jc w:val="both"/>
        <w:rPr>
          <w:rFonts w:ascii="Times New Roman" w:hAnsi="Times New Roman"/>
        </w:rPr>
      </w:pPr>
      <w:r>
        <w:rPr>
          <w:rFonts w:ascii="Times New Roman" w:hAnsi="Times New Roman"/>
        </w:rPr>
        <w:t>不同投标人的投标文件由同一单位或个人编制；</w:t>
      </w:r>
    </w:p>
    <w:p>
      <w:pPr>
        <w:pStyle w:val="17"/>
        <w:numPr>
          <w:ilvl w:val="0"/>
          <w:numId w:val="12"/>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不同投标人委托同一单位或个人办理投标事宜；</w:t>
      </w:r>
    </w:p>
    <w:p>
      <w:pPr>
        <w:pStyle w:val="17"/>
        <w:numPr>
          <w:ilvl w:val="0"/>
          <w:numId w:val="12"/>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不同投标人的投标文件载明的项目管理成员为同一人；</w:t>
      </w:r>
    </w:p>
    <w:p>
      <w:pPr>
        <w:pStyle w:val="17"/>
        <w:numPr>
          <w:ilvl w:val="0"/>
          <w:numId w:val="12"/>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不同投标人的投标文件异常一致或投标报价呈规律性差异；</w:t>
      </w:r>
    </w:p>
    <w:p>
      <w:pPr>
        <w:pStyle w:val="17"/>
        <w:numPr>
          <w:ilvl w:val="0"/>
          <w:numId w:val="12"/>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不同投标人的投标文件相互混装；</w:t>
      </w:r>
    </w:p>
    <w:p>
      <w:pPr>
        <w:pStyle w:val="17"/>
        <w:numPr>
          <w:ilvl w:val="0"/>
          <w:numId w:val="12"/>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不同投标人的投标保证金从同一单位或个人的账户转出。</w:t>
      </w:r>
    </w:p>
    <w:p>
      <w:pPr>
        <w:pStyle w:val="17"/>
        <w:numPr>
          <w:ilvl w:val="0"/>
          <w:numId w:val="10"/>
        </w:numPr>
        <w:shd w:val="clear" w:color="auto" w:fill="auto"/>
        <w:tabs>
          <w:tab w:val="left" w:pos="1169"/>
        </w:tabs>
        <w:spacing w:before="0" w:line="398" w:lineRule="exact"/>
        <w:ind w:left="640"/>
        <w:jc w:val="both"/>
        <w:rPr>
          <w:rFonts w:ascii="Times New Roman" w:hAnsi="Times New Roman"/>
        </w:rPr>
      </w:pPr>
      <w:r>
        <w:rPr>
          <w:rFonts w:ascii="Times New Roman" w:hAnsi="Times New Roman"/>
        </w:rPr>
        <w:t>有下列情形之一的，属于招标人与投标人串通投标：</w:t>
      </w:r>
    </w:p>
    <w:p>
      <w:pPr>
        <w:pStyle w:val="17"/>
        <w:numPr>
          <w:ilvl w:val="0"/>
          <w:numId w:val="13"/>
        </w:numPr>
        <w:shd w:val="clear" w:color="auto" w:fill="auto"/>
        <w:tabs>
          <w:tab w:val="left" w:pos="842"/>
        </w:tabs>
        <w:spacing w:before="0" w:line="398" w:lineRule="exact"/>
        <w:ind w:firstLine="500"/>
        <w:jc w:val="both"/>
        <w:rPr>
          <w:rFonts w:ascii="Times New Roman" w:hAnsi="Times New Roman"/>
        </w:rPr>
      </w:pPr>
      <w:r>
        <w:rPr>
          <w:rFonts w:ascii="Times New Roman" w:hAnsi="Times New Roman"/>
        </w:rPr>
        <w:t>招标人在开标前开启投标文件并将有关信息泄露给其他投标人；</w:t>
      </w:r>
    </w:p>
    <w:p>
      <w:pPr>
        <w:pStyle w:val="17"/>
        <w:numPr>
          <w:ilvl w:val="0"/>
          <w:numId w:val="13"/>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招标人直接或间接向投标人泄露标底、评标委员会成员等信息；</w:t>
      </w:r>
    </w:p>
    <w:p>
      <w:pPr>
        <w:pStyle w:val="17"/>
        <w:numPr>
          <w:ilvl w:val="0"/>
          <w:numId w:val="13"/>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招标人明示或暗示投标人压低或抬高投标报价；</w:t>
      </w:r>
    </w:p>
    <w:p>
      <w:pPr>
        <w:pStyle w:val="17"/>
        <w:numPr>
          <w:ilvl w:val="0"/>
          <w:numId w:val="13"/>
        </w:numPr>
        <w:shd w:val="clear" w:color="auto" w:fill="auto"/>
        <w:tabs>
          <w:tab w:val="left" w:pos="863"/>
        </w:tabs>
        <w:spacing w:before="0" w:line="398" w:lineRule="exact"/>
        <w:ind w:firstLine="500"/>
        <w:jc w:val="both"/>
        <w:rPr>
          <w:rFonts w:ascii="Times New Roman" w:hAnsi="Times New Roman"/>
        </w:rPr>
      </w:pPr>
      <w:r>
        <w:rPr>
          <w:rFonts w:ascii="Times New Roman" w:hAnsi="Times New Roman"/>
        </w:rPr>
        <w:t>招标人授意投标人撤换、修改投标文件；</w:t>
      </w:r>
    </w:p>
    <w:p>
      <w:pPr>
        <w:pStyle w:val="17"/>
        <w:numPr>
          <w:ilvl w:val="0"/>
          <w:numId w:val="13"/>
        </w:numPr>
        <w:shd w:val="clear" w:color="auto" w:fill="auto"/>
        <w:tabs>
          <w:tab w:val="left" w:pos="859"/>
        </w:tabs>
        <w:spacing w:before="0" w:line="398" w:lineRule="exact"/>
        <w:ind w:firstLine="520"/>
        <w:jc w:val="both"/>
        <w:rPr>
          <w:rFonts w:ascii="Times New Roman" w:hAnsi="Times New Roman"/>
        </w:rPr>
      </w:pPr>
      <w:r>
        <w:rPr>
          <w:rFonts w:ascii="Times New Roman" w:hAnsi="Times New Roman"/>
        </w:rPr>
        <w:t>招标人明示或暗示投标人为特定投标人中标提供方便；</w:t>
      </w:r>
    </w:p>
    <w:p>
      <w:pPr>
        <w:pStyle w:val="17"/>
        <w:numPr>
          <w:ilvl w:val="0"/>
          <w:numId w:val="13"/>
        </w:numPr>
        <w:shd w:val="clear" w:color="auto" w:fill="auto"/>
        <w:tabs>
          <w:tab w:val="left" w:pos="859"/>
        </w:tabs>
        <w:spacing w:before="0" w:line="398" w:lineRule="exact"/>
        <w:ind w:firstLine="520"/>
        <w:jc w:val="both"/>
        <w:rPr>
          <w:rFonts w:ascii="Times New Roman" w:hAnsi="Times New Roman"/>
        </w:rPr>
      </w:pPr>
      <w:r>
        <w:rPr>
          <w:rFonts w:ascii="Times New Roman" w:hAnsi="Times New Roman"/>
        </w:rPr>
        <w:t>招标人与投标人为谋求特定投标人中标而采取的其他串通行为。</w:t>
      </w:r>
    </w:p>
    <w:p>
      <w:pPr>
        <w:pStyle w:val="17"/>
        <w:numPr>
          <w:ilvl w:val="0"/>
          <w:numId w:val="10"/>
        </w:numPr>
        <w:shd w:val="clear" w:color="auto" w:fill="auto"/>
        <w:tabs>
          <w:tab w:val="left" w:pos="1169"/>
        </w:tabs>
        <w:spacing w:before="0" w:line="398" w:lineRule="exact"/>
        <w:ind w:left="640"/>
        <w:jc w:val="both"/>
        <w:rPr>
          <w:rFonts w:ascii="Times New Roman" w:hAnsi="Times New Roman"/>
        </w:rPr>
      </w:pPr>
      <w:r>
        <w:rPr>
          <w:rFonts w:ascii="Times New Roman" w:hAnsi="Times New Roman"/>
        </w:rPr>
        <w:t>投标人有下列情形之一的，属于弄虚作假的行为：</w:t>
      </w:r>
    </w:p>
    <w:p>
      <w:pPr>
        <w:pStyle w:val="17"/>
        <w:numPr>
          <w:ilvl w:val="0"/>
          <w:numId w:val="14"/>
        </w:numPr>
        <w:shd w:val="clear" w:color="auto" w:fill="auto"/>
        <w:tabs>
          <w:tab w:val="left" w:pos="862"/>
        </w:tabs>
        <w:spacing w:before="0" w:line="398" w:lineRule="exact"/>
        <w:ind w:firstLine="520"/>
        <w:jc w:val="both"/>
        <w:rPr>
          <w:rFonts w:ascii="Times New Roman" w:hAnsi="Times New Roman"/>
        </w:rPr>
      </w:pPr>
      <w:r>
        <w:rPr>
          <w:rFonts w:ascii="Times New Roman" w:hAnsi="Times New Roman"/>
        </w:rPr>
        <w:t>使用通过受让或租借等方式获取的资格、资质证书投标；</w:t>
      </w:r>
    </w:p>
    <w:p>
      <w:pPr>
        <w:pStyle w:val="17"/>
        <w:numPr>
          <w:ilvl w:val="0"/>
          <w:numId w:val="14"/>
        </w:numPr>
        <w:shd w:val="clear" w:color="auto" w:fill="auto"/>
        <w:tabs>
          <w:tab w:val="left" w:pos="883"/>
        </w:tabs>
        <w:spacing w:before="0" w:line="398" w:lineRule="exact"/>
        <w:ind w:firstLine="520"/>
        <w:jc w:val="both"/>
        <w:rPr>
          <w:rFonts w:ascii="Times New Roman" w:hAnsi="Times New Roman"/>
        </w:rPr>
      </w:pPr>
      <w:r>
        <w:rPr>
          <w:rFonts w:ascii="Times New Roman" w:hAnsi="Times New Roman"/>
        </w:rPr>
        <w:t>使用伪造、变造的许可证件；</w:t>
      </w:r>
    </w:p>
    <w:p>
      <w:pPr>
        <w:pStyle w:val="17"/>
        <w:numPr>
          <w:ilvl w:val="0"/>
          <w:numId w:val="14"/>
        </w:numPr>
        <w:shd w:val="clear" w:color="auto" w:fill="auto"/>
        <w:tabs>
          <w:tab w:val="left" w:pos="883"/>
        </w:tabs>
        <w:spacing w:before="0" w:line="398" w:lineRule="exact"/>
        <w:ind w:firstLine="520"/>
        <w:jc w:val="both"/>
        <w:rPr>
          <w:rFonts w:ascii="Times New Roman" w:hAnsi="Times New Roman"/>
        </w:rPr>
      </w:pPr>
      <w:r>
        <w:rPr>
          <w:rFonts w:ascii="Times New Roman" w:hAnsi="Times New Roman"/>
        </w:rPr>
        <w:t>提供虚假的财务状况或业绩；</w:t>
      </w:r>
    </w:p>
    <w:p>
      <w:pPr>
        <w:pStyle w:val="17"/>
        <w:numPr>
          <w:ilvl w:val="0"/>
          <w:numId w:val="14"/>
        </w:numPr>
        <w:shd w:val="clear" w:color="auto" w:fill="auto"/>
        <w:tabs>
          <w:tab w:val="left" w:pos="883"/>
        </w:tabs>
        <w:spacing w:before="0" w:line="398" w:lineRule="exact"/>
        <w:ind w:firstLine="520"/>
        <w:jc w:val="both"/>
        <w:rPr>
          <w:rFonts w:ascii="Times New Roman" w:hAnsi="Times New Roman"/>
        </w:rPr>
      </w:pPr>
      <w:r>
        <w:rPr>
          <w:rFonts w:ascii="Times New Roman" w:hAnsi="Times New Roman"/>
        </w:rPr>
        <w:t>提供虚假的项目负责人或主要技术人员简历、劳动关系证明；</w:t>
      </w:r>
    </w:p>
    <w:p>
      <w:pPr>
        <w:pStyle w:val="17"/>
        <w:numPr>
          <w:ilvl w:val="0"/>
          <w:numId w:val="14"/>
        </w:numPr>
        <w:shd w:val="clear" w:color="auto" w:fill="auto"/>
        <w:tabs>
          <w:tab w:val="left" w:pos="883"/>
        </w:tabs>
        <w:spacing w:before="0" w:line="398" w:lineRule="exact"/>
        <w:ind w:firstLine="520"/>
        <w:jc w:val="both"/>
        <w:rPr>
          <w:rFonts w:ascii="Times New Roman" w:hAnsi="Times New Roman"/>
        </w:rPr>
      </w:pPr>
      <w:r>
        <w:rPr>
          <w:rFonts w:ascii="Times New Roman" w:hAnsi="Times New Roman"/>
        </w:rPr>
        <w:t>提供虚假的信用状况；</w:t>
      </w:r>
    </w:p>
    <w:p>
      <w:pPr>
        <w:pStyle w:val="17"/>
        <w:numPr>
          <w:ilvl w:val="0"/>
          <w:numId w:val="14"/>
        </w:numPr>
        <w:shd w:val="clear" w:color="auto" w:fill="auto"/>
        <w:tabs>
          <w:tab w:val="left" w:pos="883"/>
        </w:tabs>
        <w:spacing w:before="0" w:after="315" w:line="398" w:lineRule="exact"/>
        <w:ind w:firstLine="520"/>
        <w:jc w:val="both"/>
        <w:rPr>
          <w:rFonts w:ascii="Times New Roman" w:hAnsi="Times New Roman"/>
        </w:rPr>
      </w:pPr>
      <w:r>
        <w:rPr>
          <w:rFonts w:ascii="Times New Roman" w:hAnsi="Times New Roman"/>
        </w:rPr>
        <w:t>其他弄虚作假的行为。</w:t>
      </w:r>
    </w:p>
    <w:p>
      <w:pPr>
        <w:pStyle w:val="24"/>
        <w:keepNext/>
        <w:keepLines/>
        <w:shd w:val="clear" w:color="auto" w:fill="auto"/>
        <w:spacing w:before="0" w:after="254" w:line="280" w:lineRule="exact"/>
        <w:rPr>
          <w:rFonts w:ascii="Times New Roman" w:hAnsi="Times New Roman"/>
        </w:rPr>
      </w:pPr>
      <w:bookmarkStart w:id="41" w:name="bookmark113"/>
      <w:r>
        <w:rPr>
          <w:rFonts w:ascii="Times New Roman" w:hAnsi="Times New Roman"/>
          <w:lang w:eastAsia="en-US" w:bidi="en-US"/>
        </w:rPr>
        <w:t xml:space="preserve">3. </w:t>
      </w:r>
      <w:r>
        <w:rPr>
          <w:rFonts w:ascii="Times New Roman" w:hAnsi="Times New Roman"/>
        </w:rPr>
        <w:t>7投标文件的澄清和说明</w:t>
      </w:r>
      <w:bookmarkEnd w:id="41"/>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3.7.1</w:t>
      </w:r>
      <w:r>
        <w:rPr>
          <w:rFonts w:ascii="Times New Roman" w:hAnsi="Times New Roman"/>
        </w:rPr>
        <w:t>在评标过程中，评标委员会可以书面形式要求投标人对所提交投标文件中含义不明确的内容、明显文字或计算错误进行书面澄清或说明。评标委员会不接受投标人主动提出的澄清、说明。投标人不按评标委员会要求澄清或说明的，评标委员会应否决其投标。</w:t>
      </w:r>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3.7.2</w:t>
      </w:r>
      <w:r>
        <w:rPr>
          <w:rFonts w:ascii="Times New Roman" w:hAnsi="Times New Roman"/>
        </w:rPr>
        <w:t>澄清和说明不得超出投标文件的范围或改变投标文件的实质性内容（算术性错误修正的除外）。投标人的书面澄清、说明属于投标文件的组成部分。</w:t>
      </w:r>
    </w:p>
    <w:p>
      <w:pPr>
        <w:pStyle w:val="17"/>
        <w:shd w:val="clear" w:color="auto" w:fill="auto"/>
        <w:spacing w:before="0" w:line="398" w:lineRule="exact"/>
        <w:ind w:firstLine="520"/>
        <w:jc w:val="both"/>
        <w:rPr>
          <w:rFonts w:ascii="Times New Roman" w:hAnsi="Times New Roman"/>
        </w:rPr>
      </w:pPr>
      <w:r>
        <w:rPr>
          <w:rFonts w:ascii="Times New Roman" w:hAnsi="Times New Roman"/>
          <w:lang w:bidi="en-US"/>
        </w:rPr>
        <w:t>3.7.3</w:t>
      </w:r>
      <w:r>
        <w:rPr>
          <w:rFonts w:ascii="Times New Roman" w:hAnsi="Times New Roman"/>
        </w:rPr>
        <w:t>评标委员会不得暗示或诱导投标人作出澄清、说明，对投标人提交的澄清、说明有疑问的，可以要求投标人进一步澄清或说明，直至满足评标委员会的要求。</w:t>
      </w:r>
    </w:p>
    <w:p>
      <w:pPr>
        <w:pStyle w:val="17"/>
        <w:shd w:val="clear" w:color="auto" w:fill="auto"/>
        <w:spacing w:before="0" w:after="315" w:line="398" w:lineRule="exact"/>
        <w:ind w:firstLine="520"/>
        <w:jc w:val="both"/>
        <w:rPr>
          <w:rFonts w:ascii="Times New Roman" w:hAnsi="Times New Roman"/>
        </w:rPr>
      </w:pPr>
      <w:r>
        <w:rPr>
          <w:rFonts w:ascii="Times New Roman" w:hAnsi="Times New Roman"/>
          <w:lang w:bidi="en-US"/>
        </w:rPr>
        <w:t>3.7.4</w:t>
      </w:r>
      <w:r>
        <w:rPr>
          <w:rFonts w:ascii="Times New Roman" w:hAnsi="Times New Roman"/>
        </w:rPr>
        <w:t>凡超出招标文件规定的或给发包人带来未曾要求的利益的变化、偏差或其他因素在评标时不予考虑。</w:t>
      </w:r>
    </w:p>
    <w:p>
      <w:pPr>
        <w:pStyle w:val="24"/>
        <w:keepNext/>
        <w:keepLines/>
        <w:shd w:val="clear" w:color="auto" w:fill="auto"/>
        <w:spacing w:before="0" w:after="254" w:line="280" w:lineRule="exact"/>
        <w:rPr>
          <w:rFonts w:ascii="Times New Roman" w:hAnsi="Times New Roman"/>
        </w:rPr>
      </w:pPr>
      <w:bookmarkStart w:id="42" w:name="bookmark114"/>
      <w:r>
        <w:rPr>
          <w:rFonts w:ascii="Times New Roman" w:hAnsi="Times New Roman"/>
          <w:lang w:bidi="en-US"/>
        </w:rPr>
        <w:t xml:space="preserve">3. </w:t>
      </w:r>
      <w:r>
        <w:rPr>
          <w:rFonts w:ascii="Times New Roman" w:hAnsi="Times New Roman"/>
        </w:rPr>
        <w:t>8不得否决投标的情形</w:t>
      </w:r>
      <w:bookmarkEnd w:id="42"/>
    </w:p>
    <w:p>
      <w:pPr>
        <w:pStyle w:val="17"/>
        <w:shd w:val="clear" w:color="auto" w:fill="auto"/>
        <w:spacing w:before="0" w:after="195" w:line="398" w:lineRule="exact"/>
        <w:ind w:firstLine="520"/>
        <w:jc w:val="both"/>
        <w:rPr>
          <w:rFonts w:ascii="Times New Roman" w:hAnsi="Times New Roman"/>
        </w:rPr>
      </w:pPr>
      <w:r>
        <w:rPr>
          <w:rFonts w:ascii="Times New Roman" w:hAnsi="Times New Roman"/>
        </w:rPr>
        <w:t>投标文件存在第二章“投标人须知”第</w:t>
      </w:r>
      <w:r>
        <w:rPr>
          <w:rFonts w:ascii="Times New Roman" w:hAnsi="Times New Roman"/>
          <w:lang w:bidi="en-US"/>
        </w:rPr>
        <w:t>1.12.3</w:t>
      </w:r>
      <w:r>
        <w:rPr>
          <w:rFonts w:ascii="Times New Roman" w:hAnsi="Times New Roman"/>
        </w:rPr>
        <w:t>项所列情形的，均视为细微偏差，评标委员会不得否决投标人的投标，应按照第二章“投标人须知”第</w:t>
      </w:r>
      <w:r>
        <w:rPr>
          <w:rFonts w:ascii="Times New Roman" w:hAnsi="Times New Roman"/>
          <w:lang w:bidi="en-US"/>
        </w:rPr>
        <w:t>1.12.4</w:t>
      </w:r>
      <w:r>
        <w:rPr>
          <w:rFonts w:ascii="Times New Roman" w:hAnsi="Times New Roman"/>
        </w:rPr>
        <w:t>项规定 的原则处理。</w:t>
      </w:r>
    </w:p>
    <w:p>
      <w:pPr>
        <w:pStyle w:val="24"/>
        <w:keepNext/>
        <w:keepLines/>
        <w:shd w:val="clear" w:color="auto" w:fill="auto"/>
        <w:spacing w:before="0" w:after="252" w:line="280" w:lineRule="exact"/>
        <w:rPr>
          <w:rFonts w:ascii="Times New Roman" w:hAnsi="Times New Roman"/>
        </w:rPr>
      </w:pPr>
      <w:bookmarkStart w:id="43" w:name="bookmark115"/>
      <w:r>
        <w:rPr>
          <w:rFonts w:ascii="Times New Roman" w:hAnsi="Times New Roman"/>
          <w:lang w:bidi="en-US"/>
        </w:rPr>
        <w:t xml:space="preserve">3. </w:t>
      </w:r>
      <w:r>
        <w:rPr>
          <w:rFonts w:ascii="Times New Roman" w:hAnsi="Times New Roman"/>
        </w:rPr>
        <w:t>9评标结果</w:t>
      </w:r>
      <w:bookmarkEnd w:id="43"/>
    </w:p>
    <w:p>
      <w:pPr>
        <w:pStyle w:val="17"/>
        <w:shd w:val="clear" w:color="auto" w:fill="auto"/>
        <w:spacing w:before="0" w:line="401" w:lineRule="exact"/>
        <w:ind w:firstLine="420"/>
        <w:jc w:val="both"/>
        <w:rPr>
          <w:rFonts w:ascii="Times New Roman" w:hAnsi="Times New Roman"/>
        </w:rPr>
      </w:pPr>
      <w:r>
        <w:rPr>
          <w:rFonts w:ascii="Times New Roman" w:hAnsi="Times New Roman"/>
          <w:lang w:bidi="en-US"/>
        </w:rPr>
        <w:t>3.9.1</w:t>
      </w:r>
      <w:r>
        <w:rPr>
          <w:rFonts w:ascii="Times New Roman" w:hAnsi="Times New Roman"/>
        </w:rPr>
        <w:t>除第二章“投标人须知”前附表授权直接确定中标人外，评标委员会按照得分由高到低的顺序推荐中标候选人，并标明排序。</w:t>
      </w:r>
    </w:p>
    <w:p>
      <w:pPr>
        <w:pStyle w:val="17"/>
        <w:shd w:val="clear" w:color="auto" w:fill="auto"/>
        <w:spacing w:before="0" w:line="401" w:lineRule="exact"/>
        <w:ind w:firstLine="420"/>
        <w:jc w:val="both"/>
        <w:rPr>
          <w:rFonts w:ascii="Times New Roman" w:hAnsi="Times New Roman"/>
          <w:lang w:bidi="en-US"/>
        </w:rPr>
        <w:sectPr>
          <w:headerReference r:id="rId4" w:type="default"/>
          <w:footnotePr>
            <w:numFmt w:val="decimalEnclosedCircleChinese"/>
            <w:numRestart w:val="eachPage"/>
          </w:footnotePr>
          <w:pgSz w:w="11907" w:h="16840"/>
          <w:pgMar w:top="1134" w:right="1134" w:bottom="1134" w:left="1134" w:header="0" w:footer="567" w:gutter="0"/>
          <w:cols w:space="720" w:num="1"/>
        </w:sectPr>
      </w:pPr>
      <w:r>
        <w:rPr>
          <w:rFonts w:ascii="Times New Roman" w:hAnsi="Times New Roman"/>
          <w:lang w:bidi="en-US"/>
        </w:rPr>
        <w:t>3.9.2评标委员会完成评标后，应向招标人提交书面评标报告</w:t>
      </w:r>
      <w:r>
        <w:rPr>
          <w:rFonts w:hint="eastAsia" w:ascii="Times New Roman" w:hAnsi="Times New Roman"/>
          <w:lang w:bidi="en-US"/>
        </w:rPr>
        <w:t>。</w:t>
      </w:r>
    </w:p>
    <w:bookmarkEnd w:id="16"/>
    <w:p>
      <w:pPr>
        <w:jc w:val="left"/>
        <w:rPr>
          <w:rFonts w:ascii="黑体" w:hAnsi="黑体" w:eastAsia="黑体" w:cs="黑体"/>
          <w:b/>
          <w:sz w:val="28"/>
          <w:szCs w:val="28"/>
        </w:rPr>
      </w:pPr>
      <w:r>
        <w:rPr>
          <w:rFonts w:hint="eastAsia" w:ascii="黑体" w:hAnsi="黑体" w:eastAsia="黑体" w:cs="黑体"/>
          <w:b/>
          <w:sz w:val="28"/>
          <w:szCs w:val="28"/>
        </w:rPr>
        <w:t>4.公开时间</w:t>
      </w:r>
    </w:p>
    <w:p>
      <w:pPr>
        <w:ind w:firstLine="420" w:firstLineChars="200"/>
        <w:jc w:val="left"/>
        <w:rPr>
          <w:rFonts w:ascii="宋体" w:hAnsi="宋体"/>
          <w:szCs w:val="21"/>
        </w:rPr>
      </w:pPr>
      <w:r>
        <w:rPr>
          <w:rFonts w:hint="eastAsia" w:ascii="宋体" w:hAnsi="宋体"/>
          <w:szCs w:val="21"/>
        </w:rPr>
        <w:t>本次招标，招标文件关键内容信息公开时间至</w:t>
      </w:r>
      <w:r>
        <w:rPr>
          <w:rFonts w:hint="eastAsia" w:ascii="宋体" w:hAnsi="宋体" w:eastAsia="宋体" w:cs="宋体"/>
          <w:sz w:val="21"/>
          <w:szCs w:val="21"/>
        </w:rPr>
        <w:t>20</w:t>
      </w:r>
      <w:r>
        <w:rPr>
          <w:rFonts w:hint="eastAsia" w:ascii="宋体" w:hAnsi="宋体" w:eastAsia="宋体" w:cs="宋体"/>
          <w:sz w:val="21"/>
          <w:szCs w:val="21"/>
          <w:lang w:eastAsia="zh-CN"/>
        </w:rPr>
        <w:t>20</w:t>
      </w:r>
      <w:r>
        <w:rPr>
          <w:rFonts w:hint="eastAsia" w:ascii="宋体" w:hAnsi="宋体" w:eastAsia="宋体" w:cs="宋体"/>
          <w:sz w:val="21"/>
          <w:szCs w:val="21"/>
        </w:rPr>
        <w:t>年</w:t>
      </w:r>
      <w:r>
        <w:rPr>
          <w:rFonts w:hint="eastAsia" w:ascii="宋体" w:hAnsi="宋体" w:cs="宋体"/>
          <w:sz w:val="21"/>
          <w:szCs w:val="21"/>
          <w:lang w:val="en-US" w:eastAsia="zh-CN"/>
        </w:rPr>
        <w:t>2</w:t>
      </w:r>
      <w:r>
        <w:rPr>
          <w:rFonts w:hint="eastAsia" w:ascii="宋体" w:hAnsi="宋体" w:eastAsia="宋体" w:cs="宋体"/>
          <w:sz w:val="21"/>
          <w:szCs w:val="21"/>
        </w:rPr>
        <w:t>月</w:t>
      </w:r>
      <w:r>
        <w:rPr>
          <w:rFonts w:hint="eastAsia" w:ascii="宋体" w:hAnsi="宋体" w:cs="宋体"/>
          <w:sz w:val="21"/>
          <w:szCs w:val="21"/>
          <w:lang w:val="en-US" w:eastAsia="zh-CN"/>
        </w:rPr>
        <w:t>15</w:t>
      </w:r>
      <w:r>
        <w:rPr>
          <w:rFonts w:hint="eastAsia" w:ascii="宋体" w:hAnsi="宋体" w:eastAsia="宋体" w:cs="宋体"/>
          <w:sz w:val="21"/>
          <w:szCs w:val="21"/>
        </w:rPr>
        <w:t>日</w:t>
      </w:r>
      <w:r>
        <w:rPr>
          <w:rFonts w:hint="eastAsia" w:ascii="宋体" w:hAnsi="宋体"/>
          <w:szCs w:val="21"/>
        </w:rPr>
        <w:t>24时00分结束。</w:t>
      </w:r>
    </w:p>
    <w:p>
      <w:pPr>
        <w:jc w:val="left"/>
        <w:rPr>
          <w:rFonts w:ascii="黑体" w:hAnsi="黑体" w:eastAsia="黑体" w:cs="黑体"/>
          <w:b/>
          <w:sz w:val="28"/>
          <w:szCs w:val="28"/>
        </w:rPr>
      </w:pPr>
      <w:r>
        <w:rPr>
          <w:rFonts w:hint="eastAsia" w:ascii="黑体" w:hAnsi="黑体" w:eastAsia="黑体" w:cs="黑体"/>
          <w:b/>
          <w:sz w:val="28"/>
          <w:szCs w:val="28"/>
        </w:rPr>
        <w:t>5.招标人联系方式</w:t>
      </w:r>
    </w:p>
    <w:tbl>
      <w:tblPr>
        <w:tblStyle w:val="9"/>
        <w:tblW w:w="9242" w:type="dxa"/>
        <w:tblInd w:w="567" w:type="dxa"/>
        <w:tblLayout w:type="fixed"/>
        <w:tblCellMar>
          <w:top w:w="0" w:type="dxa"/>
          <w:left w:w="170" w:type="dxa"/>
          <w:bottom w:w="0" w:type="dxa"/>
          <w:right w:w="170" w:type="dxa"/>
        </w:tblCellMar>
      </w:tblPr>
      <w:tblGrid>
        <w:gridCol w:w="9242"/>
      </w:tblGrid>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招 标 人：</w:t>
            </w:r>
            <w:r>
              <w:rPr>
                <w:rFonts w:hint="eastAsia" w:hAnsi="宋体"/>
                <w:kern w:val="0"/>
                <w:szCs w:val="18"/>
                <w:lang w:val="zh-CN"/>
              </w:rPr>
              <w:t>吉林省高等级公路建设局</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地　　址：</w:t>
            </w:r>
            <w:r>
              <w:rPr>
                <w:rFonts w:hint="eastAsia" w:hAnsi="宋体"/>
                <w:kern w:val="0"/>
                <w:szCs w:val="18"/>
                <w:lang w:val="zh-CN"/>
              </w:rPr>
              <w:t>吉林省长春市经开区浦东路</w:t>
            </w:r>
            <w:r>
              <w:rPr>
                <w:kern w:val="0"/>
                <w:szCs w:val="18"/>
                <w:lang w:val="zh-CN"/>
              </w:rPr>
              <w:t>2077</w:t>
            </w:r>
            <w:r>
              <w:rPr>
                <w:rFonts w:hint="eastAsia" w:hAnsi="宋体"/>
                <w:kern w:val="0"/>
                <w:szCs w:val="18"/>
                <w:lang w:val="zh-CN"/>
              </w:rPr>
              <w:t>号</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邮政编码：</w:t>
            </w:r>
            <w:r>
              <w:rPr>
                <w:kern w:val="0"/>
                <w:szCs w:val="18"/>
                <w:lang w:val="zh-CN"/>
              </w:rPr>
              <w:t>130033</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联 系 人：</w:t>
            </w:r>
            <w:r>
              <w:rPr>
                <w:rFonts w:hint="eastAsia" w:hAnsi="宋体"/>
                <w:kern w:val="0"/>
                <w:szCs w:val="18"/>
                <w:lang w:val="zh-CN"/>
              </w:rPr>
              <w:t>曲肖龙</w:t>
            </w:r>
          </w:p>
        </w:tc>
      </w:tr>
      <w:tr>
        <w:tblPrEx>
          <w:tblCellMar>
            <w:top w:w="0" w:type="dxa"/>
            <w:left w:w="170" w:type="dxa"/>
            <w:bottom w:w="0" w:type="dxa"/>
            <w:right w:w="170" w:type="dxa"/>
          </w:tblCellMar>
        </w:tblPrEx>
        <w:trPr>
          <w:trHeight w:val="397" w:hRule="atLeast"/>
        </w:trPr>
        <w:tc>
          <w:tcPr>
            <w:tcW w:w="9242" w:type="dxa"/>
            <w:vAlign w:val="center"/>
          </w:tcPr>
          <w:p>
            <w:pPr>
              <w:widowControl/>
              <w:jc w:val="left"/>
              <w:rPr>
                <w:rFonts w:ascii="宋体" w:hAnsi="宋体" w:cs="宋体"/>
                <w:kern w:val="0"/>
                <w:szCs w:val="21"/>
              </w:rPr>
            </w:pPr>
            <w:r>
              <w:rPr>
                <w:rFonts w:hint="eastAsia" w:ascii="宋体" w:hAnsi="宋体" w:cs="宋体"/>
                <w:kern w:val="0"/>
                <w:szCs w:val="21"/>
              </w:rPr>
              <w:t>电    话：</w:t>
            </w:r>
            <w:r>
              <w:rPr>
                <w:kern w:val="0"/>
                <w:szCs w:val="18"/>
                <w:lang w:val="zh-CN"/>
              </w:rPr>
              <w:t>0431-89567943</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传　　真：</w:t>
            </w:r>
            <w:r>
              <w:rPr>
                <w:kern w:val="0"/>
                <w:szCs w:val="18"/>
                <w:lang w:val="zh-CN"/>
              </w:rPr>
              <w:t>0431-8956794</w:t>
            </w:r>
            <w:r>
              <w:rPr>
                <w:rFonts w:hint="eastAsia"/>
                <w:kern w:val="0"/>
                <w:szCs w:val="18"/>
                <w:lang w:val="zh-CN"/>
              </w:rPr>
              <w:t>4</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招标代理机构：</w:t>
            </w:r>
            <w:r>
              <w:rPr>
                <w:rFonts w:hint="eastAsia"/>
              </w:rPr>
              <w:t>长春建业集团股份有限公司</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地　　址：</w:t>
            </w:r>
            <w:r>
              <w:rPr>
                <w:rFonts w:hint="eastAsia"/>
              </w:rPr>
              <w:t>长春市南关区人民大街</w:t>
            </w:r>
            <w:r>
              <w:t>9399</w:t>
            </w:r>
            <w:r>
              <w:rPr>
                <w:rFonts w:hint="eastAsia"/>
              </w:rPr>
              <w:t>号</w:t>
            </w:r>
            <w:r>
              <w:t>（万豪国际商务中心7栋12楼）</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邮政编码：</w:t>
            </w:r>
            <w:r>
              <w:rPr>
                <w:kern w:val="0"/>
                <w:szCs w:val="18"/>
                <w:lang w:val="zh-CN"/>
              </w:rPr>
              <w:t>130022</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联 系 人：</w:t>
            </w:r>
            <w:r>
              <w:rPr>
                <w:rFonts w:hint="eastAsia" w:ascii="宋体" w:hAnsi="宋体"/>
              </w:rPr>
              <w:t>李研、布磊</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电　　话：</w:t>
            </w:r>
            <w:r>
              <w:rPr>
                <w:kern w:val="0"/>
                <w:szCs w:val="18"/>
                <w:lang w:val="zh-CN"/>
              </w:rPr>
              <w:t>0431-8180810</w:t>
            </w:r>
            <w:r>
              <w:rPr>
                <w:rFonts w:hint="eastAsia"/>
                <w:kern w:val="0"/>
                <w:szCs w:val="18"/>
                <w:lang w:val="zh-CN"/>
              </w:rPr>
              <w:t>8</w:t>
            </w:r>
          </w:p>
        </w:tc>
      </w:tr>
      <w:tr>
        <w:tblPrEx>
          <w:tblCellMar>
            <w:top w:w="0" w:type="dxa"/>
            <w:left w:w="170" w:type="dxa"/>
            <w:bottom w:w="0" w:type="dxa"/>
            <w:right w:w="170" w:type="dxa"/>
          </w:tblCellMar>
        </w:tblPrEx>
        <w:trPr>
          <w:trHeight w:val="397" w:hRule="atLeast"/>
        </w:trPr>
        <w:tc>
          <w:tcPr>
            <w:tcW w:w="9242" w:type="dxa"/>
            <w:vAlign w:val="center"/>
          </w:tcPr>
          <w:p>
            <w:pPr>
              <w:snapToGrid w:val="0"/>
              <w:rPr>
                <w:rFonts w:ascii="宋体" w:hAnsi="宋体"/>
              </w:rPr>
            </w:pPr>
            <w:r>
              <w:rPr>
                <w:rFonts w:ascii="宋体" w:hAnsi="宋体"/>
              </w:rPr>
              <w:t>传　　真：</w:t>
            </w:r>
            <w:r>
              <w:rPr>
                <w:kern w:val="0"/>
                <w:szCs w:val="18"/>
                <w:lang w:val="zh-CN"/>
              </w:rPr>
              <w:t>0431-8180810</w:t>
            </w:r>
            <w:r>
              <w:rPr>
                <w:rFonts w:hint="eastAsia"/>
                <w:kern w:val="0"/>
                <w:szCs w:val="18"/>
                <w:lang w:val="zh-CN"/>
              </w:rPr>
              <w:t>2</w:t>
            </w:r>
          </w:p>
        </w:tc>
      </w:tr>
    </w:tbl>
    <w:p>
      <w:pPr>
        <w:pStyle w:val="2"/>
        <w:ind w:firstLine="440" w:firstLineChars="200"/>
        <w:jc w:val="left"/>
        <w:rPr>
          <w:rFonts w:hint="eastAsia" w:ascii="Times New Roman" w:hAnsi="Times New Roman" w:eastAsia="宋体" w:cs="Times New Roman"/>
          <w:b w:val="0"/>
          <w:kern w:val="0"/>
          <w:sz w:val="22"/>
          <w:szCs w:val="22"/>
          <w:lang w:val="en-US" w:eastAsia="zh-CN" w:bidi="ar-SA"/>
        </w:rPr>
      </w:pPr>
      <w:bookmarkStart w:id="44" w:name="_GoBack"/>
      <w:bookmarkEnd w:id="44"/>
    </w:p>
    <w:sectPr>
      <w:pgSz w:w="11906" w:h="16838"/>
      <w:pgMar w:top="1240" w:right="1266" w:bottom="111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Sylfaen">
    <w:panose1 w:val="010A0502050306030303"/>
    <w:charset w:val="00"/>
    <w:family w:val="roman"/>
    <w:pitch w:val="default"/>
    <w:sig w:usb0="04000687" w:usb1="00000000" w:usb2="00000000" w:usb3="00000000" w:csb0="2000009F" w:csb1="00000000"/>
  </w:font>
  <w:font w:name="Lucida Sans Unicode">
    <w:panose1 w:val="020B0602030504020204"/>
    <w:charset w:val="00"/>
    <w:family w:val="swiss"/>
    <w:pitch w:val="default"/>
    <w:sig w:usb0="80001AFF" w:usb1="0000396B" w:usb2="00000000" w:usb3="00000000" w:csb0="200000BF" w:csb1="D7F70000"/>
  </w:font>
  <w:font w:name="Consolas">
    <w:panose1 w:val="020B0609020204030204"/>
    <w:charset w:val="00"/>
    <w:family w:val="modern"/>
    <w:pitch w:val="default"/>
    <w:sig w:usb0="E10002FF" w:usb1="4000FCFF" w:usb2="00000009" w:usb3="00000000" w:csb0="6000019F" w:csb1="DFD70000"/>
  </w:font>
  <w:font w:name="方正超粗黑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hint="eastAsia" w:ascii="宋体" w:hAnsi="宋体" w:cs="宋体"/>
        </w:rPr>
      </w:pPr>
      <w:r>
        <w:rPr>
          <w:rStyle w:val="11"/>
          <w:rFonts w:hint="eastAsia" w:ascii="宋体" w:hAnsi="宋体" w:cs="宋体"/>
        </w:rPr>
        <w:footnoteRef/>
      </w:r>
      <w:r>
        <w:rPr>
          <w:rFonts w:hint="eastAsia" w:ascii="宋体" w:hAnsi="宋体" w:cs="宋体"/>
        </w:rPr>
        <w:t xml:space="preserve"> 1、本表为投标人中标后需投入的主要设备，投标人不需在投标文件中填报。招标人将</w:t>
      </w:r>
      <w:r>
        <w:rPr>
          <w:rFonts w:hint="eastAsia" w:ascii="宋体" w:hAnsi="宋体" w:cs="宋体"/>
          <w:color w:val="000000"/>
        </w:rPr>
        <w:t>在发出中标通知书之后，并在签订合同前</w:t>
      </w:r>
      <w:r>
        <w:rPr>
          <w:rFonts w:hint="eastAsia" w:ascii="宋体" w:hAnsi="宋体" w:cs="宋体"/>
        </w:rPr>
        <w:t>，要求中标人按照本表的最低要求填报投入本标段的主要设备，在经发包人审核批准后，方可签订合同协议书。</w:t>
      </w:r>
    </w:p>
    <w:p>
      <w:pPr>
        <w:pStyle w:val="8"/>
        <w:rPr>
          <w:rFonts w:hint="eastAsia" w:ascii="宋体" w:hAnsi="宋体" w:cs="宋体"/>
        </w:rPr>
      </w:pPr>
      <w:r>
        <w:rPr>
          <w:rFonts w:hint="eastAsia" w:ascii="宋体" w:hAnsi="宋体" w:cs="宋体"/>
        </w:rPr>
        <w:t xml:space="preserve"> 2、本表所列设备类别和数量为最低要求，施工时，发包人可根据工程需要，有权要求承包人无偿增加相应的设备和数量。</w:t>
      </w:r>
    </w:p>
  </w:footnote>
  <w:footnote w:id="1">
    <w:p>
      <w:pPr>
        <w:pStyle w:val="8"/>
        <w:spacing w:line="320" w:lineRule="exact"/>
        <w:jc w:val="both"/>
      </w:pPr>
      <w:r>
        <w:rPr>
          <w:rStyle w:val="11"/>
        </w:rPr>
        <w:footnoteRef/>
      </w:r>
      <w:r>
        <w:t xml:space="preserve"> </w:t>
      </w:r>
      <w:r>
        <w:rPr>
          <w:rFonts w:hint="eastAsia"/>
        </w:rPr>
        <w:t>“评标办法前附表”用于进一步明确正文中的未尽事宜，凡“评标办法前附表”对本章正文内容进行修改、完善和补充的，均以“评标办法前附表”为准；未进行补充、完善、修改和说明的，以本章正文内容为准。</w:t>
      </w:r>
    </w:p>
  </w:footnote>
  <w:footnote w:id="2">
    <w:p>
      <w:pPr>
        <w:pStyle w:val="8"/>
        <w:jc w:val="both"/>
        <w:rPr>
          <w:rFonts w:hint="eastAsia"/>
        </w:rPr>
      </w:pPr>
      <w:r>
        <w:rPr>
          <w:rStyle w:val="11"/>
        </w:rPr>
        <w:footnoteRef/>
      </w:r>
      <w:r>
        <w:rPr>
          <w:rFonts w:hint="eastAsia"/>
        </w:rPr>
        <w:t xml:space="preserve"> 各评分因素（评标价和履约信誉评分项除外）得分一般不得低于其权重分值的 60%，且各评分因素得分应以评标委员会各成员的打分平均值确定，该平均值以去掉一个最高和一个最低分后计算。评标委员会成员对某一项评分因素的评分低于权重分值 60% 的，应当在评标报告中作出说明。</w:t>
      </w:r>
    </w:p>
    <w:p>
      <w:pPr>
        <w:pStyle w:val="8"/>
        <w:ind w:firstLine="180" w:firstLineChars="100"/>
        <w:jc w:val="both"/>
      </w:pPr>
    </w:p>
  </w:footnote>
  <w:footnote w:id="3">
    <w:p>
      <w:pPr>
        <w:pStyle w:val="8"/>
        <w:jc w:val="both"/>
      </w:pPr>
      <w:r>
        <w:rPr>
          <w:rStyle w:val="11"/>
        </w:rPr>
        <w:footnoteRef/>
      </w:r>
      <w:r>
        <w:t xml:space="preserve"> 类似业绩：即投标人须知前附表附录</w:t>
      </w:r>
      <w:r>
        <w:rPr>
          <w:rFonts w:hint="eastAsia"/>
        </w:rPr>
        <w:t>5</w:t>
      </w:r>
      <w:r>
        <w:t>中要求的单项合同工程业绩类型</w:t>
      </w:r>
      <w:r>
        <w:rPr>
          <w:rFonts w:hint="eastAsia"/>
        </w:rPr>
        <w:t>。</w:t>
      </w:r>
    </w:p>
  </w:footnote>
  <w:footnote w:id="4">
    <w:p>
      <w:pPr>
        <w:pStyle w:val="8"/>
        <w:rPr>
          <w:rFonts w:hint="eastAsia"/>
          <w:lang w:eastAsia="zh-CN"/>
        </w:rPr>
      </w:pPr>
      <w:r>
        <w:rPr>
          <w:rStyle w:val="11"/>
        </w:rPr>
        <w:footnoteRef/>
      </w:r>
      <w:r>
        <w:t>如投标人为新注册公司或涉及重组等原因无法提供2016、2017、2018任意年度经审计的财务会计报表，或财务会计报表中无法看出招标所需信息，则本项得分按能够体现流动资金（流动资产-流动负债）年度除以3计算。</w:t>
      </w:r>
    </w:p>
  </w:footnote>
  <w:footnote w:id="5">
    <w:p>
      <w:pPr>
        <w:pStyle w:val="8"/>
        <w:jc w:val="both"/>
      </w:pPr>
      <w:r>
        <w:rPr>
          <w:rStyle w:val="11"/>
        </w:rPr>
        <w:footnoteRef/>
      </w:r>
      <w:r>
        <w:rPr>
          <w:rFonts w:hint="eastAsia"/>
        </w:rPr>
        <w:t xml:space="preserve"> 应用投标人的“公路施工企业信用评价结果”，本次评标优先采用以下所列顺位在前的结果：</w:t>
      </w:r>
    </w:p>
    <w:p>
      <w:pPr>
        <w:pStyle w:val="8"/>
        <w:jc w:val="both"/>
      </w:pPr>
      <w:r>
        <w:rPr>
          <w:rFonts w:hint="eastAsia"/>
        </w:rPr>
        <w:t xml:space="preserve">  （1）吉林省交通运输厅《关于发布201</w:t>
      </w:r>
      <w:r>
        <w:rPr>
          <w:rFonts w:hint="eastAsia"/>
          <w:lang w:eastAsia="zh-CN"/>
        </w:rPr>
        <w:t>8</w:t>
      </w:r>
      <w:r>
        <w:rPr>
          <w:rFonts w:hint="eastAsia"/>
        </w:rPr>
        <w:t>年度公路设计、施工企业吉林省省级综合评价结果的公告》；</w:t>
      </w:r>
    </w:p>
    <w:p>
      <w:pPr>
        <w:pStyle w:val="8"/>
        <w:jc w:val="both"/>
      </w:pPr>
      <w:r>
        <w:rPr>
          <w:rFonts w:hint="eastAsia"/>
        </w:rPr>
        <w:t xml:space="preserve">  （2）《交通运输部关于公布201</w:t>
      </w:r>
      <w:r>
        <w:rPr>
          <w:rFonts w:hint="eastAsia"/>
          <w:lang w:eastAsia="zh-CN"/>
        </w:rPr>
        <w:t>8</w:t>
      </w:r>
      <w:r>
        <w:rPr>
          <w:rFonts w:hint="eastAsia"/>
        </w:rPr>
        <w:t>年度公路建设市场全国综合信用评价结果的公告》；</w:t>
      </w:r>
    </w:p>
    <w:p>
      <w:pPr>
        <w:pStyle w:val="8"/>
        <w:jc w:val="both"/>
      </w:pPr>
      <w:r>
        <w:rPr>
          <w:rFonts w:hint="eastAsia"/>
        </w:rPr>
        <w:t xml:space="preserve">  （3）不在上述公告之内的，若投标人未在全国公路建设市场信用信息管理系统中被列入不良行为记录名单，且在投标文件资格审查资料附表《（七）投标人的信誉情况》及其附件《信用承诺函》中承诺不存在《（七）投标人的信誉情况》中列明的不良信用记录的，按A级（评价省份1个）对待，得2分。</w:t>
      </w:r>
    </w:p>
  </w:footnote>
  <w:footnote w:id="6">
    <w:p>
      <w:pPr>
        <w:pStyle w:val="8"/>
      </w:pPr>
      <w:r>
        <w:rPr>
          <w:rStyle w:val="11"/>
        </w:rPr>
        <w:footnoteRef/>
      </w:r>
      <w:r>
        <w:t xml:space="preserve"> </w:t>
      </w:r>
      <w:r>
        <w:rPr>
          <w:rFonts w:ascii="宋体" w:hAnsi="宋体"/>
          <w:szCs w:val="21"/>
        </w:rPr>
        <w:t>工程设备质量保修期的定义请见</w:t>
      </w:r>
      <w:r>
        <w:rPr>
          <w:rFonts w:hint="eastAsia" w:ascii="宋体" w:hAnsi="宋体"/>
          <w:szCs w:val="21"/>
        </w:rPr>
        <w:t>项目专用合同条款第1.1.6.10目</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30B"/>
    <w:multiLevelType w:val="multilevel"/>
    <w:tmpl w:val="0342230B"/>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67E3FFE"/>
    <w:multiLevelType w:val="multilevel"/>
    <w:tmpl w:val="067E3FF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7C9603C"/>
    <w:multiLevelType w:val="multilevel"/>
    <w:tmpl w:val="07C9603C"/>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CDF74E7"/>
    <w:multiLevelType w:val="multilevel"/>
    <w:tmpl w:val="0CDF74E7"/>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D8D1114"/>
    <w:multiLevelType w:val="multilevel"/>
    <w:tmpl w:val="0D8D111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250464A"/>
    <w:multiLevelType w:val="multilevel"/>
    <w:tmpl w:val="1250464A"/>
    <w:lvl w:ilvl="0" w:tentative="0">
      <w:start w:val="1"/>
      <w:numFmt w:val="lowerLetter"/>
      <w:lvlText w:val="%1."/>
      <w:lvlJc w:val="left"/>
      <w:rPr>
        <w:rFonts w:ascii="Sylfaen" w:hAnsi="Sylfaen" w:eastAsia="Sylfaen" w:cs="Sylfaen"/>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47D115F"/>
    <w:multiLevelType w:val="multilevel"/>
    <w:tmpl w:val="247D115F"/>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D05532F"/>
    <w:multiLevelType w:val="multilevel"/>
    <w:tmpl w:val="2D05532F"/>
    <w:lvl w:ilvl="0" w:tentative="0">
      <w:start w:val="1"/>
      <w:numFmt w:val="lowerLetter"/>
      <w:lvlText w:val="%1."/>
      <w:lvlJc w:val="left"/>
      <w:rPr>
        <w:rFonts w:ascii="Sylfaen" w:hAnsi="Sylfaen" w:eastAsia="Sylfaen" w:cs="Sylfaen"/>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A3300E4"/>
    <w:multiLevelType w:val="multilevel"/>
    <w:tmpl w:val="3A3300E4"/>
    <w:lvl w:ilvl="0" w:tentative="0">
      <w:start w:val="1"/>
      <w:numFmt w:val="lowerLetter"/>
      <w:lvlText w:val="%1."/>
      <w:lvlJc w:val="left"/>
      <w:rPr>
        <w:rFonts w:ascii="Sylfaen" w:hAnsi="Sylfaen" w:eastAsia="Sylfaen" w:cs="Sylfaen"/>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7735BCA"/>
    <w:multiLevelType w:val="multilevel"/>
    <w:tmpl w:val="47735BCA"/>
    <w:lvl w:ilvl="0" w:tentative="0">
      <w:start w:val="1"/>
      <w:numFmt w:val="lowerLetter"/>
      <w:lvlText w:val="%1."/>
      <w:lvlJc w:val="left"/>
      <w:rPr>
        <w:rFonts w:ascii="Sylfaen" w:hAnsi="Sylfaen" w:eastAsia="Sylfaen" w:cs="Sylfaen"/>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9CB477A"/>
    <w:multiLevelType w:val="multilevel"/>
    <w:tmpl w:val="49CB477A"/>
    <w:lvl w:ilvl="0" w:tentative="0">
      <w:start w:val="1"/>
      <w:numFmt w:val="decimal"/>
      <w:suff w:val="space"/>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A12390A"/>
    <w:multiLevelType w:val="multilevel"/>
    <w:tmpl w:val="5A12390A"/>
    <w:lvl w:ilvl="0" w:tentative="0">
      <w:start w:val="1"/>
      <w:numFmt w:val="decimal"/>
      <w:suff w:val="nothing"/>
      <w:lvlText w:val="（%1）"/>
      <w:lvlJc w:val="left"/>
      <w:pPr>
        <w:ind w:left="704"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F456FFB"/>
    <w:multiLevelType w:val="multilevel"/>
    <w:tmpl w:val="6F456FFB"/>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7D050ADF"/>
    <w:multiLevelType w:val="multilevel"/>
    <w:tmpl w:val="7D050AD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
  </w:num>
  <w:num w:numId="7">
    <w:abstractNumId w:val="6"/>
  </w:num>
  <w:num w:numId="8">
    <w:abstractNumId w:val="12"/>
  </w:num>
  <w:num w:numId="9">
    <w:abstractNumId w:val="2"/>
  </w:num>
  <w:num w:numId="10">
    <w:abstractNumId w:val="3"/>
  </w:num>
  <w:num w:numId="11">
    <w:abstractNumId w:val="7"/>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AD1939"/>
    <w:rsid w:val="128A4D67"/>
    <w:rsid w:val="128C2BC6"/>
    <w:rsid w:val="1C337DAA"/>
    <w:rsid w:val="23B00849"/>
    <w:rsid w:val="5D984AC4"/>
    <w:rsid w:val="5F714C51"/>
    <w:rsid w:val="7802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rFonts w:ascii="宋体" w:hAnsi="宋体" w:eastAsia="宋体" w:cs="Times New Roman"/>
      <w:b/>
      <w:kern w:val="44"/>
      <w:sz w:val="30"/>
      <w:szCs w:val="20"/>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szCs w:val="18"/>
    </w:rPr>
  </w:style>
  <w:style w:type="character" w:styleId="11">
    <w:name w:val="footnote reference"/>
    <w:qFormat/>
    <w:uiPriority w:val="0"/>
    <w:rPr>
      <w:vertAlign w:val="superscript"/>
    </w:rPr>
  </w:style>
  <w:style w:type="paragraph" w:customStyle="1" w:styleId="12">
    <w:name w:val="MSG_EN_FONT_STYLE_NAME_TEMPLATE_ROLE_LEVEL MSG_EN_FONT_STYLE_NAME_BY_ROLE_HEADING 6"/>
    <w:basedOn w:val="1"/>
    <w:qFormat/>
    <w:uiPriority w:val="0"/>
    <w:pPr>
      <w:shd w:val="clear" w:color="auto" w:fill="FFFFFF"/>
      <w:spacing w:before="460" w:after="760" w:line="300" w:lineRule="exact"/>
      <w:jc w:val="distribute"/>
      <w:outlineLvl w:val="5"/>
    </w:pPr>
    <w:rPr>
      <w:rFonts w:ascii="PMingLiU" w:hAnsi="PMingLiU" w:eastAsia="PMingLiU" w:cs="PMingLiU"/>
      <w:sz w:val="30"/>
      <w:szCs w:val="30"/>
    </w:rPr>
  </w:style>
  <w:style w:type="paragraph" w:customStyle="1" w:styleId="13">
    <w:name w:val="MSG_EN_FONT_STYLE_NAME_TEMPLATE_ROLE_NUMBER MSG_EN_FONT_STYLE_NAME_BY_ROLE_TEXT 131"/>
    <w:basedOn w:val="1"/>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14">
    <w:name w:val="MSG_EN_FONT_STYLE_NAME_TEMPLATE_ROLE_NUMBER MSG_EN_FONT_STYLE_NAME_BY_ROLE_TEXT 13 + MSG_EN_FONT_STYLE_MODIFER_NAME Times New Roman"/>
    <w:qFormat/>
    <w:uiPriority w:val="0"/>
    <w:rPr>
      <w:rFonts w:ascii="Times New Roman" w:hAnsi="Times New Roman" w:eastAsia="Times New Roman" w:cs="Times New Roman"/>
      <w:color w:val="000000"/>
      <w:spacing w:val="0"/>
      <w:w w:val="100"/>
      <w:position w:val="0"/>
      <w:sz w:val="24"/>
      <w:szCs w:val="24"/>
      <w:u w:val="none"/>
      <w:lang w:val="en-US" w:eastAsia="en-US" w:bidi="en-US"/>
    </w:rPr>
  </w:style>
  <w:style w:type="character" w:customStyle="1" w:styleId="15">
    <w:name w:val="MSG_EN_FONT_STYLE_NAME_TEMPLATE_ROLE_NUMBER MSG_EN_FONT_STYLE_NAME_BY_ROLE_TEXT 13 + MSG_EN_FONT_STYLE_MODIFER_NAME Times New Roman15"/>
    <w:qFormat/>
    <w:uiPriority w:val="0"/>
    <w:rPr>
      <w:rFonts w:ascii="Times New Roman" w:hAnsi="Times New Roman" w:eastAsia="Times New Roman" w:cs="Times New Roman"/>
      <w:b/>
      <w:bCs/>
      <w:color w:val="000000"/>
      <w:spacing w:val="0"/>
      <w:w w:val="100"/>
      <w:position w:val="0"/>
      <w:sz w:val="15"/>
      <w:szCs w:val="15"/>
      <w:u w:val="none"/>
      <w:lang w:val="en-US" w:eastAsia="en-US" w:bidi="en-US"/>
    </w:rPr>
  </w:style>
  <w:style w:type="character" w:customStyle="1" w:styleId="16">
    <w:name w:val="MSG_EN_FONT_STYLE_NAME_TEMPLATE_ROLE_NUMBER MSG_EN_FONT_STYLE_NAME_BY_ROLE_TEXT 13 + MSG_EN_FONT_STYLE_MODIFER_SIZE 11"/>
    <w:qFormat/>
    <w:uiPriority w:val="0"/>
    <w:rPr>
      <w:rFonts w:ascii="PMingLiU" w:hAnsi="PMingLiU" w:eastAsia="PMingLiU" w:cs="PMingLiU"/>
      <w:color w:val="000000"/>
      <w:spacing w:val="0"/>
      <w:w w:val="100"/>
      <w:position w:val="0"/>
      <w:sz w:val="22"/>
      <w:szCs w:val="22"/>
      <w:u w:val="none"/>
      <w:lang w:val="zh-CN" w:eastAsia="zh-CN" w:bidi="zh-CN"/>
    </w:rPr>
  </w:style>
  <w:style w:type="paragraph" w:customStyle="1" w:styleId="17">
    <w:name w:val="正文文本 (2)"/>
    <w:basedOn w:val="1"/>
    <w:qFormat/>
    <w:uiPriority w:val="0"/>
    <w:pPr>
      <w:shd w:val="clear" w:color="auto" w:fill="FFFFFF"/>
      <w:spacing w:before="300" w:line="439" w:lineRule="exact"/>
      <w:jc w:val="distribute"/>
    </w:pPr>
    <w:rPr>
      <w:rFonts w:ascii="宋体" w:hAnsi="宋体"/>
      <w:kern w:val="0"/>
      <w:sz w:val="22"/>
      <w:szCs w:val="22"/>
    </w:rPr>
  </w:style>
  <w:style w:type="character" w:customStyle="1" w:styleId="18">
    <w:name w:val="正文文本 (7) + 间距 0 pt Exact"/>
    <w:qFormat/>
    <w:uiPriority w:val="0"/>
    <w:rPr>
      <w:rFonts w:ascii="宋体" w:hAnsi="宋体" w:eastAsia="宋体" w:cs="宋体"/>
      <w:color w:val="000000"/>
      <w:spacing w:val="0"/>
      <w:w w:val="100"/>
      <w:position w:val="0"/>
      <w:sz w:val="22"/>
      <w:szCs w:val="22"/>
      <w:u w:val="none"/>
      <w:lang w:val="zh-TW" w:eastAsia="zh-TW" w:bidi="zh-TW"/>
    </w:rPr>
  </w:style>
  <w:style w:type="paragraph" w:customStyle="1" w:styleId="19">
    <w:name w:val="正文文本 (7)"/>
    <w:basedOn w:val="1"/>
    <w:qFormat/>
    <w:uiPriority w:val="0"/>
    <w:pPr>
      <w:shd w:val="clear" w:color="auto" w:fill="FFFFFF"/>
      <w:spacing w:before="120" w:after="300" w:line="0" w:lineRule="atLeast"/>
      <w:jc w:val="center"/>
    </w:pPr>
    <w:rPr>
      <w:rFonts w:ascii="宋体" w:hAnsi="宋体"/>
      <w:spacing w:val="10"/>
      <w:kern w:val="0"/>
      <w:sz w:val="22"/>
      <w:szCs w:val="22"/>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2">
    <w:name w:val="正文文本 (19)"/>
    <w:basedOn w:val="1"/>
    <w:qFormat/>
    <w:uiPriority w:val="0"/>
    <w:pPr>
      <w:shd w:val="clear" w:color="auto" w:fill="FFFFFF"/>
      <w:spacing w:line="559" w:lineRule="exact"/>
      <w:jc w:val="left"/>
    </w:pPr>
    <w:rPr>
      <w:rFonts w:ascii="宋体" w:hAnsi="宋体"/>
      <w:b/>
      <w:bCs/>
      <w:kern w:val="0"/>
      <w:sz w:val="23"/>
      <w:szCs w:val="23"/>
    </w:rPr>
  </w:style>
  <w:style w:type="character" w:customStyle="1" w:styleId="23">
    <w:name w:val="正文文本 (19) + 11 pt"/>
    <w:qFormat/>
    <w:uiPriority w:val="0"/>
    <w:rPr>
      <w:rFonts w:ascii="宋体" w:hAnsi="宋体" w:eastAsia="宋体" w:cs="宋体"/>
      <w:b/>
      <w:bCs/>
      <w:color w:val="000000"/>
      <w:spacing w:val="0"/>
      <w:w w:val="100"/>
      <w:position w:val="0"/>
      <w:sz w:val="22"/>
      <w:szCs w:val="22"/>
      <w:u w:val="none"/>
      <w:lang w:val="en-US" w:eastAsia="en-US" w:bidi="en-US"/>
    </w:rPr>
  </w:style>
  <w:style w:type="paragraph" w:customStyle="1" w:styleId="24">
    <w:name w:val="标题 #7"/>
    <w:basedOn w:val="1"/>
    <w:qFormat/>
    <w:uiPriority w:val="0"/>
    <w:pPr>
      <w:shd w:val="clear" w:color="auto" w:fill="FFFFFF"/>
      <w:spacing w:before="120" w:after="420" w:line="0" w:lineRule="atLeast"/>
      <w:jc w:val="left"/>
      <w:outlineLvl w:val="6"/>
    </w:pPr>
    <w:rPr>
      <w:rFonts w:ascii="宋体" w:hAnsi="宋体"/>
      <w:b/>
      <w:bCs/>
      <w:kern w:val="0"/>
      <w:sz w:val="23"/>
      <w:szCs w:val="23"/>
    </w:rPr>
  </w:style>
  <w:style w:type="character" w:customStyle="1" w:styleId="25">
    <w:name w:val="正文文本 (2) + Sylfaen"/>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26">
    <w:name w:val="正文文本 (2) + Lucida Sans Unicod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紫夜冰魂</dc:creator>
  <cp:lastModifiedBy>紫夜冰魂</cp:lastModifiedBy>
  <cp:lastPrinted>2020-01-15T07:45:53Z</cp:lastPrinted>
  <dcterms:modified xsi:type="dcterms:W3CDTF">2020-01-15T07:48:59Z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