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color w:val="000000" w:themeColor="text1"/>
          <w:sz w:val="21"/>
          <w:szCs w:val="21"/>
        </w:rPr>
      </w:pPr>
      <w:bookmarkStart w:id="0" w:name="_Toc197951587"/>
      <w:bookmarkStart w:id="1" w:name="_Toc197960492"/>
      <w:bookmarkStart w:id="2" w:name="_Toc197951555"/>
      <w:bookmarkStart w:id="3" w:name="_Toc197965596"/>
      <w:bookmarkStart w:id="4" w:name="_Toc197960544"/>
      <w:bookmarkStart w:id="5" w:name="_Toc197967265"/>
      <w:bookmarkStart w:id="6" w:name="_Toc197950681"/>
      <w:bookmarkStart w:id="7" w:name="_Toc197950802"/>
      <w:bookmarkStart w:id="8" w:name="_Toc197967117"/>
      <w:bookmarkStart w:id="9" w:name="_Hlk522259867"/>
      <w:r>
        <w:rPr>
          <w:rFonts w:hint="eastAsia" w:asciiTheme="minorEastAsia" w:hAnsiTheme="minorEastAsia" w:eastAsiaTheme="minorEastAsia" w:cstheme="minorEastAsia"/>
          <w:b w:val="0"/>
          <w:bCs/>
          <w:color w:val="000000" w:themeColor="text1"/>
          <w:sz w:val="21"/>
          <w:szCs w:val="21"/>
        </w:rPr>
        <w:t>省道扎突公路与平齐铁路交叉道口（洮南市南出口）工程施工招标</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color w:val="000000" w:themeColor="text1"/>
          <w:sz w:val="21"/>
          <w:szCs w:val="21"/>
        </w:rPr>
      </w:pPr>
      <w:r>
        <w:rPr>
          <w:rFonts w:hint="eastAsia" w:asciiTheme="minorEastAsia" w:hAnsiTheme="minorEastAsia" w:eastAsiaTheme="minorEastAsia" w:cstheme="minorEastAsia"/>
          <w:b w:val="0"/>
          <w:bCs/>
          <w:color w:val="000000" w:themeColor="text1"/>
          <w:sz w:val="21"/>
          <w:szCs w:val="21"/>
        </w:rPr>
        <w:t>招标文件关键内容信息公开</w:t>
      </w:r>
    </w:p>
    <w:bookmarkEnd w:id="0"/>
    <w:bookmarkEnd w:id="1"/>
    <w:bookmarkEnd w:id="2"/>
    <w:bookmarkEnd w:id="3"/>
    <w:bookmarkEnd w:id="4"/>
    <w:bookmarkEnd w:id="5"/>
    <w:bookmarkEnd w:id="6"/>
    <w:bookmarkEnd w:id="7"/>
    <w:bookmarkEnd w:id="8"/>
    <w:bookmarkEnd w:id="9"/>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bookmarkStart w:id="10" w:name="_Toc509326565"/>
      <w:r>
        <w:rPr>
          <w:rFonts w:hint="eastAsia" w:cs="Times New Roman" w:asciiTheme="minorEastAsia" w:hAnsiTheme="minorEastAsia" w:eastAsiaTheme="minorEastAsia"/>
          <w:kern w:val="2"/>
          <w:sz w:val="21"/>
          <w:szCs w:val="21"/>
        </w:rPr>
        <w:t>1.招标条件</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本招标项目省道扎突公路与平齐铁路交叉道口（洮南市南出口）工程己由吉林省发展和改革委员会以“吉发改审批[2019]179号”文件《吉林省发展改革委关于省道扎突公路与平齐铁路交叉道口（洮南市南出口）工程可行性研究报告的批复》批准建设，施工图设计己由吉林省交通运输厅以“吉交审批函[2020]1号”文件《吉林省交通运输厅关于省道扎突公路与平齐铁路交叉道口（洮南市南出口）工程一阶段施工图设计的批复》批准，项目业主及招标人为白城市公路</w:t>
      </w:r>
      <w:r>
        <w:rPr>
          <w:rFonts w:hint="eastAsia" w:cs="Times New Roman" w:asciiTheme="minorEastAsia" w:hAnsiTheme="minorEastAsia" w:eastAsiaTheme="minorEastAsia"/>
          <w:kern w:val="2"/>
          <w:sz w:val="21"/>
          <w:szCs w:val="21"/>
          <w:lang w:eastAsia="zh-CN"/>
        </w:rPr>
        <w:t>工程</w:t>
      </w:r>
      <w:r>
        <w:rPr>
          <w:rFonts w:hint="eastAsia" w:cs="Times New Roman" w:asciiTheme="minorEastAsia" w:hAnsiTheme="minorEastAsia" w:eastAsiaTheme="minorEastAsia"/>
          <w:kern w:val="2"/>
          <w:sz w:val="21"/>
          <w:szCs w:val="21"/>
        </w:rPr>
        <w:t>建设办公室，建设资金来源为除省级补助资金外，其余由白城市政府财政性资金解决，项目已具备招标条件，现对该项目的施工进行公开招标，对潜在投标人进行资格后审。</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2.项目概况与招标范围</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2.1建设地点：吉林省白城地区。</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2.</w:t>
      </w:r>
      <w:r>
        <w:rPr>
          <w:rFonts w:hint="eastAsia" w:cs="Times New Roman" w:asciiTheme="minorEastAsia" w:hAnsiTheme="minorEastAsia" w:eastAsiaTheme="minorEastAsia"/>
          <w:kern w:val="2"/>
          <w:sz w:val="21"/>
          <w:szCs w:val="21"/>
          <w:lang w:val="en-US" w:eastAsia="zh-CN"/>
        </w:rPr>
        <w:t>2</w:t>
      </w:r>
      <w:r>
        <w:rPr>
          <w:rFonts w:hint="eastAsia" w:cs="Times New Roman" w:asciiTheme="minorEastAsia" w:hAnsiTheme="minorEastAsia" w:eastAsiaTheme="minorEastAsia"/>
          <w:kern w:val="2"/>
          <w:sz w:val="21"/>
          <w:szCs w:val="21"/>
        </w:rPr>
        <w:t>本项目共划分为</w:t>
      </w:r>
      <w:r>
        <w:rPr>
          <w:rFonts w:hint="eastAsia" w:cs="Times New Roman" w:asciiTheme="minorEastAsia" w:hAnsiTheme="minorEastAsia" w:eastAsiaTheme="minorEastAsia"/>
          <w:kern w:val="2"/>
          <w:sz w:val="21"/>
          <w:szCs w:val="21"/>
          <w:lang w:val="en-US" w:eastAsia="zh-CN"/>
        </w:rPr>
        <w:t>1</w:t>
      </w:r>
      <w:r>
        <w:rPr>
          <w:rFonts w:hint="eastAsia" w:cs="Times New Roman" w:asciiTheme="minorEastAsia" w:hAnsiTheme="minorEastAsia" w:eastAsiaTheme="minorEastAsia"/>
          <w:kern w:val="2"/>
          <w:sz w:val="21"/>
          <w:szCs w:val="21"/>
        </w:rPr>
        <w:t>个标段，即SG01标段。</w:t>
      </w:r>
    </w:p>
    <w:tbl>
      <w:tblPr>
        <w:tblStyle w:val="10"/>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854"/>
        <w:gridCol w:w="2219"/>
        <w:gridCol w:w="306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标段</w:t>
            </w:r>
          </w:p>
        </w:tc>
        <w:tc>
          <w:tcPr>
            <w:tcW w:w="1854"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路线名称</w:t>
            </w:r>
          </w:p>
        </w:tc>
        <w:tc>
          <w:tcPr>
            <w:tcW w:w="2219"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建设规模</w:t>
            </w:r>
          </w:p>
        </w:tc>
        <w:tc>
          <w:tcPr>
            <w:tcW w:w="3060"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rPr>
              <w:t>技术标准</w:t>
            </w:r>
          </w:p>
        </w:tc>
        <w:tc>
          <w:tcPr>
            <w:tcW w:w="1971"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主要施工内容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noWrap w:val="0"/>
            <w:vAlign w:val="center"/>
          </w:tcPr>
          <w:p>
            <w:pPr>
              <w:pageBreakBefore w:val="0"/>
              <w:widowControl/>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SG01</w:t>
            </w:r>
          </w:p>
        </w:tc>
        <w:tc>
          <w:tcPr>
            <w:tcW w:w="1854" w:type="dxa"/>
            <w:noWrap w:val="0"/>
            <w:vAlign w:val="center"/>
          </w:tcPr>
          <w:p>
            <w:pPr>
              <w:pageBreakBefore w:val="0"/>
              <w:widowControl/>
              <w:kinsoku/>
              <w:wordWrap/>
              <w:overflowPunct/>
              <w:topLinePunct w:val="0"/>
              <w:bidi w:val="0"/>
              <w:spacing w:beforeAutospacing="0" w:after="0" w:afterAutospacing="0" w:line="360" w:lineRule="exact"/>
              <w:jc w:val="center"/>
              <w:textAlignment w:val="center"/>
              <w:rPr>
                <w:rFonts w:hint="eastAsia" w:asciiTheme="minorEastAsia" w:hAnsiTheme="minorEastAsia" w:eastAsiaTheme="minorEastAsia" w:cstheme="minorEastAsia"/>
                <w:b w:val="0"/>
                <w:bCs/>
                <w:spacing w:val="12"/>
                <w:kern w:val="0"/>
                <w:sz w:val="21"/>
                <w:szCs w:val="21"/>
                <w:lang w:val="en-US" w:eastAsia="zh-CN" w:bidi="ar-SA"/>
              </w:rPr>
            </w:pPr>
            <w:r>
              <w:rPr>
                <w:rFonts w:hint="eastAsia" w:asciiTheme="minorEastAsia" w:hAnsiTheme="minorEastAsia" w:eastAsiaTheme="minorEastAsia" w:cstheme="minorEastAsia"/>
                <w:b w:val="0"/>
                <w:bCs/>
                <w:kern w:val="0"/>
                <w:sz w:val="21"/>
                <w:szCs w:val="21"/>
                <w:lang w:val="zh-CN"/>
              </w:rPr>
              <w:t>省道扎突公路与平齐铁路交叉道口（洮南市南出口）工程施工招标</w:t>
            </w:r>
          </w:p>
        </w:tc>
        <w:tc>
          <w:tcPr>
            <w:tcW w:w="2219" w:type="dxa"/>
            <w:noWrap w:val="0"/>
            <w:vAlign w:val="center"/>
          </w:tcPr>
          <w:p>
            <w:pPr>
              <w:pageBreakBefore w:val="0"/>
              <w:widowControl/>
              <w:kinsoku/>
              <w:wordWrap/>
              <w:overflowPunct/>
              <w:topLinePunct w:val="0"/>
              <w:bidi w:val="0"/>
              <w:spacing w:beforeAutospacing="0" w:after="0" w:afterAutospacing="0" w:line="360" w:lineRule="exact"/>
              <w:jc w:val="center"/>
              <w:textAlignment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sz w:val="21"/>
                <w:szCs w:val="21"/>
                <w:highlight w:val="none"/>
              </w:rPr>
              <w:t>项目主线全长1.167</w:t>
            </w:r>
            <w:r>
              <w:rPr>
                <w:rFonts w:hint="eastAsia" w:asciiTheme="minorEastAsia" w:hAnsiTheme="minorEastAsia" w:eastAsiaTheme="minorEastAsia" w:cstheme="minorEastAsia"/>
                <w:b w:val="0"/>
                <w:bCs/>
                <w:sz w:val="21"/>
                <w:szCs w:val="21"/>
                <w:highlight w:val="none"/>
                <w:lang w:val="en-US" w:eastAsia="zh-CN"/>
              </w:rPr>
              <w:t>公里，设置分离式立体交叉大桥329.6米/1座，桥下设置辅道全长1.945公里（不含铁路投资的3孔桥梁）</w:t>
            </w:r>
          </w:p>
        </w:tc>
        <w:tc>
          <w:tcPr>
            <w:tcW w:w="3060" w:type="dxa"/>
            <w:noWrap w:val="0"/>
            <w:vAlign w:val="center"/>
          </w:tcPr>
          <w:p>
            <w:pPr>
              <w:pageBreakBefore w:val="0"/>
              <w:widowControl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sz w:val="21"/>
                <w:szCs w:val="21"/>
                <w:lang w:val="en-US" w:eastAsia="zh-CN"/>
              </w:rPr>
              <w:t>项目主线采用</w:t>
            </w:r>
            <w:r>
              <w:rPr>
                <w:rFonts w:hint="eastAsia" w:asciiTheme="minorEastAsia" w:hAnsiTheme="minorEastAsia" w:eastAsiaTheme="minorEastAsia" w:cstheme="minorEastAsia"/>
                <w:b w:val="0"/>
                <w:bCs/>
                <w:sz w:val="21"/>
                <w:szCs w:val="21"/>
              </w:rPr>
              <w:t>设计速度60公里/小时</w:t>
            </w:r>
            <w:r>
              <w:rPr>
                <w:rFonts w:hint="eastAsia" w:asciiTheme="minorEastAsia" w:hAnsiTheme="minorEastAsia" w:eastAsiaTheme="minorEastAsia" w:cstheme="minorEastAsia"/>
                <w:b w:val="0"/>
                <w:bCs/>
                <w:sz w:val="21"/>
                <w:szCs w:val="21"/>
                <w:lang w:val="en-US" w:eastAsia="zh-CN"/>
              </w:rPr>
              <w:t>的</w:t>
            </w:r>
            <w:r>
              <w:rPr>
                <w:rFonts w:hint="eastAsia" w:asciiTheme="minorEastAsia" w:hAnsiTheme="minorEastAsia" w:eastAsiaTheme="minorEastAsia" w:cstheme="minorEastAsia"/>
                <w:b w:val="0"/>
                <w:bCs/>
                <w:sz w:val="21"/>
                <w:szCs w:val="21"/>
              </w:rPr>
              <w:t>二级公路标准</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路基宽度18.5米</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桥涵设计荷载为公路-</w:t>
            </w:r>
            <w:r>
              <w:rPr>
                <w:rFonts w:hint="eastAsia" w:asciiTheme="minorEastAsia" w:hAnsiTheme="minorEastAsia" w:eastAsiaTheme="minorEastAsia" w:cstheme="minorEastAsia"/>
                <w:b w:val="0"/>
                <w:bCs/>
                <w:sz w:val="21"/>
                <w:szCs w:val="21"/>
              </w:rPr>
              <w:t>I级</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辅道采用设计速度20公里/小时的四级公路标准，路基宽度6米；其他指标按照《公路工程技术标准》（JTG B01-2014）规定执行。</w:t>
            </w:r>
          </w:p>
        </w:tc>
        <w:tc>
          <w:tcPr>
            <w:tcW w:w="1971" w:type="dxa"/>
            <w:noWrap w:val="0"/>
            <w:vAlign w:val="center"/>
          </w:tcPr>
          <w:p>
            <w:pPr>
              <w:pageBreakBefore w:val="0"/>
              <w:widowControl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rPr>
              <w:t>路基、路面、绿化、桥涵、路线交叉、交通工程及沿线设施</w:t>
            </w:r>
            <w:r>
              <w:rPr>
                <w:rFonts w:hint="eastAsia" w:asciiTheme="minorEastAsia" w:hAnsiTheme="minorEastAsia" w:eastAsiaTheme="minorEastAsia" w:cstheme="minorEastAsia"/>
                <w:b w:val="0"/>
                <w:bCs/>
                <w:color w:val="000000"/>
                <w:sz w:val="21"/>
                <w:szCs w:val="21"/>
              </w:rPr>
              <w:t>附属工程</w:t>
            </w:r>
            <w:r>
              <w:rPr>
                <w:rFonts w:hint="eastAsia" w:asciiTheme="minorEastAsia" w:hAnsiTheme="minorEastAsia" w:eastAsiaTheme="minorEastAsia" w:cstheme="minorEastAsia"/>
                <w:b w:val="0"/>
                <w:bCs/>
                <w:kern w:val="0"/>
                <w:sz w:val="21"/>
                <w:szCs w:val="21"/>
              </w:rPr>
              <w:t>等</w:t>
            </w:r>
          </w:p>
        </w:tc>
      </w:tr>
    </w:tbl>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highlight w:val="yellow"/>
        </w:rPr>
      </w:pPr>
      <w:r>
        <w:rPr>
          <w:rFonts w:hint="eastAsia" w:cs="Times New Roman" w:asciiTheme="minorEastAsia" w:hAnsiTheme="minorEastAsia" w:eastAsiaTheme="minorEastAsia"/>
          <w:kern w:val="2"/>
          <w:sz w:val="21"/>
          <w:szCs w:val="21"/>
          <w:lang w:val="en-US" w:eastAsia="zh-CN"/>
        </w:rPr>
        <w:t>2.3</w:t>
      </w:r>
      <w:r>
        <w:rPr>
          <w:rFonts w:hint="eastAsia" w:cs="Times New Roman" w:asciiTheme="minorEastAsia" w:hAnsiTheme="minorEastAsia" w:eastAsiaTheme="minorEastAsia"/>
          <w:kern w:val="2"/>
          <w:sz w:val="21"/>
          <w:szCs w:val="21"/>
        </w:rPr>
        <w:t>计划工期：</w:t>
      </w:r>
      <w:r>
        <w:rPr>
          <w:rFonts w:hint="eastAsia" w:cs="Times New Roman" w:asciiTheme="minorEastAsia" w:hAnsiTheme="minorEastAsia" w:eastAsiaTheme="minorEastAsia"/>
          <w:kern w:val="2"/>
          <w:sz w:val="21"/>
          <w:szCs w:val="21"/>
          <w:highlight w:val="none"/>
        </w:rPr>
        <w:t>20</w:t>
      </w:r>
      <w:r>
        <w:rPr>
          <w:rFonts w:hint="eastAsia" w:cs="Times New Roman" w:asciiTheme="minorEastAsia" w:hAnsiTheme="minorEastAsia" w:eastAsiaTheme="minorEastAsia"/>
          <w:kern w:val="2"/>
          <w:sz w:val="21"/>
          <w:szCs w:val="21"/>
          <w:highlight w:val="none"/>
          <w:lang w:val="en-US" w:eastAsia="zh-CN"/>
        </w:rPr>
        <w:t>20</w:t>
      </w:r>
      <w:r>
        <w:rPr>
          <w:rFonts w:hint="eastAsia" w:cs="Times New Roman" w:asciiTheme="minorEastAsia" w:hAnsiTheme="minorEastAsia" w:eastAsiaTheme="minorEastAsia"/>
          <w:kern w:val="2"/>
          <w:sz w:val="21"/>
          <w:szCs w:val="21"/>
          <w:highlight w:val="none"/>
        </w:rPr>
        <w:t>年</w:t>
      </w:r>
      <w:r>
        <w:rPr>
          <w:rFonts w:hint="eastAsia" w:cs="Times New Roman" w:asciiTheme="minorEastAsia" w:hAnsiTheme="minorEastAsia" w:eastAsiaTheme="minorEastAsia"/>
          <w:kern w:val="2"/>
          <w:sz w:val="21"/>
          <w:szCs w:val="21"/>
          <w:highlight w:val="none"/>
          <w:lang w:val="en-US" w:eastAsia="zh-CN"/>
        </w:rPr>
        <w:t>04</w:t>
      </w:r>
      <w:r>
        <w:rPr>
          <w:rFonts w:hint="eastAsia" w:cs="Times New Roman" w:asciiTheme="minorEastAsia" w:hAnsiTheme="minorEastAsia" w:eastAsiaTheme="minorEastAsia"/>
          <w:kern w:val="2"/>
          <w:sz w:val="21"/>
          <w:szCs w:val="21"/>
          <w:highlight w:val="none"/>
        </w:rPr>
        <w:t>月</w:t>
      </w:r>
      <w:r>
        <w:rPr>
          <w:rFonts w:hint="eastAsia" w:cs="Times New Roman" w:asciiTheme="minorEastAsia" w:hAnsiTheme="minorEastAsia" w:eastAsiaTheme="minorEastAsia"/>
          <w:kern w:val="2"/>
          <w:sz w:val="21"/>
          <w:szCs w:val="21"/>
          <w:highlight w:val="none"/>
          <w:lang w:val="en-US" w:eastAsia="zh-CN"/>
        </w:rPr>
        <w:t>25</w:t>
      </w:r>
      <w:r>
        <w:rPr>
          <w:rFonts w:hint="eastAsia" w:cs="Times New Roman" w:asciiTheme="minorEastAsia" w:hAnsiTheme="minorEastAsia" w:eastAsiaTheme="minorEastAsia"/>
          <w:kern w:val="2"/>
          <w:sz w:val="21"/>
          <w:szCs w:val="21"/>
          <w:highlight w:val="none"/>
        </w:rPr>
        <w:t>日～2020年</w:t>
      </w:r>
      <w:r>
        <w:rPr>
          <w:rFonts w:hint="eastAsia" w:cs="Times New Roman" w:asciiTheme="minorEastAsia" w:hAnsiTheme="minorEastAsia" w:eastAsiaTheme="minorEastAsia"/>
          <w:kern w:val="2"/>
          <w:sz w:val="21"/>
          <w:szCs w:val="21"/>
          <w:highlight w:val="none"/>
          <w:lang w:val="en-US" w:eastAsia="zh-CN"/>
        </w:rPr>
        <w:t>12</w:t>
      </w:r>
      <w:r>
        <w:rPr>
          <w:rFonts w:hint="eastAsia" w:cs="Times New Roman" w:asciiTheme="minorEastAsia" w:hAnsiTheme="minorEastAsia" w:eastAsiaTheme="minorEastAsia"/>
          <w:kern w:val="2"/>
          <w:sz w:val="21"/>
          <w:szCs w:val="21"/>
          <w:highlight w:val="none"/>
        </w:rPr>
        <w:t>月3</w:t>
      </w:r>
      <w:r>
        <w:rPr>
          <w:rFonts w:hint="eastAsia" w:cs="Times New Roman" w:asciiTheme="minorEastAsia" w:hAnsiTheme="minorEastAsia" w:eastAsiaTheme="minorEastAsia"/>
          <w:kern w:val="2"/>
          <w:sz w:val="21"/>
          <w:szCs w:val="21"/>
          <w:highlight w:val="none"/>
          <w:lang w:val="en-US" w:eastAsia="zh-CN"/>
        </w:rPr>
        <w:t>0</w:t>
      </w:r>
      <w:r>
        <w:rPr>
          <w:rFonts w:hint="eastAsia" w:cs="Times New Roman" w:asciiTheme="minorEastAsia" w:hAnsiTheme="minorEastAsia" w:eastAsiaTheme="minorEastAsia"/>
          <w:kern w:val="2"/>
          <w:sz w:val="21"/>
          <w:szCs w:val="21"/>
          <w:highlight w:val="none"/>
        </w:rPr>
        <w:t>日。</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2.4投标人应充分考虑本项目因征地拆迁、外部环境、不可抗力、主体工程滞后等因素影响导致开工迟缓、整体工期顺延等情况，相应费用不另行补偿。</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lang w:eastAsia="zh-CN"/>
        </w:rPr>
      </w:pPr>
      <w:r>
        <w:rPr>
          <w:rFonts w:hint="eastAsia" w:cs="Times New Roman" w:asciiTheme="minorEastAsia" w:hAnsiTheme="minorEastAsia" w:eastAsiaTheme="minorEastAsia"/>
          <w:kern w:val="2"/>
          <w:sz w:val="21"/>
          <w:szCs w:val="21"/>
        </w:rPr>
        <w:t>2.5最高投标限价：</w:t>
      </w:r>
      <w:r>
        <w:rPr>
          <w:rFonts w:hint="eastAsia" w:cs="Times New Roman" w:asciiTheme="minorEastAsia" w:hAnsiTheme="minorEastAsia" w:eastAsiaTheme="minorEastAsia"/>
          <w:kern w:val="2"/>
          <w:sz w:val="21"/>
          <w:szCs w:val="21"/>
          <w:lang w:val="en-US" w:eastAsia="zh-CN"/>
        </w:rPr>
        <w:t>3348.7218</w:t>
      </w:r>
      <w:r>
        <w:rPr>
          <w:rFonts w:hint="eastAsia" w:cs="Times New Roman" w:asciiTheme="minorEastAsia" w:hAnsiTheme="minorEastAsia" w:eastAsiaTheme="minorEastAsia"/>
          <w:kern w:val="2"/>
          <w:sz w:val="21"/>
          <w:szCs w:val="21"/>
        </w:rPr>
        <w:t>万元</w:t>
      </w:r>
      <w:r>
        <w:rPr>
          <w:rFonts w:hint="eastAsia" w:cs="Times New Roman" w:asciiTheme="minorEastAsia" w:hAnsiTheme="minorEastAsia" w:eastAsiaTheme="minorEastAsia"/>
          <w:kern w:val="2"/>
          <w:sz w:val="21"/>
          <w:szCs w:val="21"/>
          <w:lang w:eastAsia="zh-CN"/>
        </w:rPr>
        <w:t>。</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3.投标人资格要求</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 xml:space="preserve">3.1 </w:t>
      </w:r>
      <w:r>
        <w:rPr>
          <w:rFonts w:hint="eastAsia" w:cs="Times New Roman" w:asciiTheme="minorEastAsia" w:hAnsiTheme="minorEastAsia" w:eastAsiaTheme="minorEastAsia"/>
          <w:kern w:val="2"/>
          <w:sz w:val="21"/>
          <w:szCs w:val="21"/>
          <w:lang w:val="en-US" w:eastAsia="zh-CN"/>
        </w:rPr>
        <w:t>本次招标要求</w:t>
      </w:r>
      <w:r>
        <w:rPr>
          <w:rFonts w:hint="eastAsia" w:cs="Times New Roman" w:asciiTheme="minorEastAsia" w:hAnsiTheme="minorEastAsia" w:eastAsiaTheme="minorEastAsia"/>
          <w:kern w:val="2"/>
          <w:sz w:val="21"/>
          <w:szCs w:val="21"/>
        </w:rPr>
        <w:t>潜在投标人</w:t>
      </w:r>
      <w:r>
        <w:rPr>
          <w:rFonts w:hint="eastAsia" w:cs="Times New Roman" w:asciiTheme="minorEastAsia" w:hAnsiTheme="minorEastAsia" w:eastAsiaTheme="minorEastAsia"/>
          <w:kern w:val="2"/>
          <w:sz w:val="21"/>
          <w:szCs w:val="21"/>
          <w:lang w:val="en-US" w:eastAsia="zh-CN"/>
        </w:rPr>
        <w:t>应具有独立法人资格，</w:t>
      </w:r>
      <w:r>
        <w:rPr>
          <w:rFonts w:hint="eastAsia" w:cs="Times New Roman" w:asciiTheme="minorEastAsia" w:hAnsiTheme="minorEastAsia" w:eastAsiaTheme="minorEastAsia"/>
          <w:kern w:val="2"/>
          <w:sz w:val="21"/>
          <w:szCs w:val="21"/>
        </w:rPr>
        <w:t>持有工商行政管理部门核发的企业法人营业执照、并依法取得安全生产许可证（在有效期内），具备建设行政主管部门颁发的公路工程施工总承包二级(含二级)以上资质且同时具备公路交通工程专业承包（公路安全设施分项）二级（含二级）以上资质。投标人业绩：近5年内（201</w:t>
      </w:r>
      <w:r>
        <w:rPr>
          <w:rFonts w:hint="eastAsia" w:cs="Times New Roman" w:asciiTheme="minorEastAsia" w:hAnsiTheme="minorEastAsia" w:eastAsiaTheme="minorEastAsia"/>
          <w:kern w:val="2"/>
          <w:sz w:val="21"/>
          <w:szCs w:val="21"/>
          <w:lang w:val="en-US" w:eastAsia="zh-CN"/>
        </w:rPr>
        <w:t>5</w:t>
      </w:r>
      <w:r>
        <w:rPr>
          <w:rFonts w:hint="eastAsia" w:cs="Times New Roman" w:asciiTheme="minorEastAsia" w:hAnsiTheme="minorEastAsia" w:eastAsiaTheme="minorEastAsia"/>
          <w:kern w:val="2"/>
          <w:sz w:val="21"/>
          <w:szCs w:val="21"/>
        </w:rPr>
        <w:t>年1月1日之后）至少完成过1座</w:t>
      </w:r>
      <w:r>
        <w:rPr>
          <w:rFonts w:hint="eastAsia" w:cs="Times New Roman" w:asciiTheme="minorEastAsia" w:hAnsiTheme="minorEastAsia" w:eastAsiaTheme="minorEastAsia"/>
          <w:kern w:val="2"/>
          <w:sz w:val="21"/>
          <w:szCs w:val="21"/>
          <w:lang w:val="en-US" w:eastAsia="zh-CN"/>
        </w:rPr>
        <w:t>公路工程</w:t>
      </w:r>
      <w:r>
        <w:rPr>
          <w:rFonts w:hint="eastAsia" w:cs="Times New Roman" w:asciiTheme="minorEastAsia" w:hAnsiTheme="minorEastAsia" w:eastAsiaTheme="minorEastAsia"/>
          <w:kern w:val="2"/>
          <w:sz w:val="21"/>
          <w:szCs w:val="21"/>
        </w:rPr>
        <w:t>大桥并且累计完成过不少于10公里二级及以上公路沥青混凝土路面工程的施工业绩</w:t>
      </w:r>
      <w:r>
        <w:rPr>
          <w:rFonts w:hint="eastAsia" w:cs="Times New Roman" w:asciiTheme="minorEastAsia" w:hAnsiTheme="minorEastAsia" w:eastAsiaTheme="minorEastAsia"/>
          <w:kern w:val="2"/>
          <w:sz w:val="21"/>
          <w:szCs w:val="21"/>
          <w:lang w:val="en-US" w:eastAsia="zh-CN"/>
        </w:rPr>
        <w:t>及不少于200万元</w:t>
      </w:r>
      <w:r>
        <w:rPr>
          <w:rFonts w:hint="eastAsia" w:cs="Times New Roman" w:asciiTheme="minorEastAsia" w:hAnsiTheme="minorEastAsia" w:eastAsiaTheme="minorEastAsia"/>
          <w:kern w:val="2"/>
          <w:sz w:val="21"/>
          <w:szCs w:val="21"/>
        </w:rPr>
        <w:t>二级及以上公路</w:t>
      </w:r>
      <w:r>
        <w:rPr>
          <w:rFonts w:hint="eastAsia" w:cs="Times New Roman" w:asciiTheme="minorEastAsia" w:hAnsiTheme="minorEastAsia" w:eastAsiaTheme="minorEastAsia"/>
          <w:kern w:val="2"/>
          <w:sz w:val="21"/>
          <w:szCs w:val="21"/>
          <w:lang w:val="en-US" w:eastAsia="zh-CN"/>
        </w:rPr>
        <w:t>交通安全设施工程施工业绩</w:t>
      </w:r>
      <w:r>
        <w:rPr>
          <w:rFonts w:hint="eastAsia" w:cs="Times New Roman" w:asciiTheme="minorEastAsia" w:hAnsiTheme="minorEastAsia" w:eastAsiaTheme="minorEastAsia"/>
          <w:kern w:val="2"/>
          <w:sz w:val="21"/>
          <w:szCs w:val="21"/>
        </w:rPr>
        <w:t>并在人员、设备、资金等方面具备相应的施工能力。</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3.2具备建设行政主管部门颁发的公路工程施工总承包一级、特级资质或公路交通工程专业承包公路安全设施分项资质的投标人应进入交通运输部 “ 全国公路建设市场信用信息管理系统（http: IIglxy.mot.gov.cn ）”中的公路工程施工资质企业名录，且投标人名称和资质与该名录中的相应企业名称和资质完全一致。</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3.3①投标人企业施工业绩和项目经理、项目总工的任职业绩应在交通运输部“全国公路建设市场信用信息管理系统”(http://glxy.mot.gov.cn/BM/)中已载明且通过省级交通运输主管部门审核的投标人的已建主包业绩查询并附网页截图。其中投标人企业施工业绩网页截图中应能明确查询到项目名称、公路等级、交工日期和业绩最低要求对应的各项工程内容信息；投标人项目经理、项目总工的任职业绩网页截图中应能够证明填报人员具有相应任职经历的业绩。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②评审时将按投标人提供的业绩网页截图进行必要的网上核实，并以核实后的信息为准。如网页截图中的信息不能查找出本次招标要求的工程信息，则视为未填报此项业绩，同时不接受除网页截图外的其他证明材料。如网页截图信息与实际情况不符，其后果由投标人自行负责，招标人将按《中华人民共和国招标投标法》第三十三条及《中华人民共和国招标投标法实施条例》第四十二条规定执行，并将相关行为上报交通行政主管部门按有关规定严肃处理。招标人不接受（吉林省除外）“全国公路建设市场信用信息管理系统”(http://glxy.mot.gov.cn/BM/)中通过审核的信息与实际不相符的投诉质疑。</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投标人应认真阅读招标文件并按招标文件要求内容和格式填写，如投标文件中出现招标文件未要求内容属与本次投标无关的内容，不在评审范围内，不作为核实证明材料。</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3.4投标人在投标文件中填报的相关人员的建造师注册证书和安全生产考核合格证书评审时进行网上核查，并以核查后的信息为准。投标人填报的信息与网上核实信息不符的，其投标文件不能通过评审。</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5</w:t>
      </w:r>
      <w:r>
        <w:rPr>
          <w:rFonts w:hint="eastAsia" w:cs="Times New Roman" w:asciiTheme="minorEastAsia" w:hAnsiTheme="minorEastAsia" w:eastAsiaTheme="minorEastAsia"/>
          <w:kern w:val="2"/>
          <w:sz w:val="21"/>
          <w:szCs w:val="21"/>
        </w:rPr>
        <w:t xml:space="preserve"> 本次招标项目均不接受联合体投标。</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6</w:t>
      </w:r>
      <w:r>
        <w:rPr>
          <w:rFonts w:hint="eastAsia" w:cs="Times New Roman" w:asciiTheme="minorEastAsia" w:hAnsiTheme="minorEastAsia" w:eastAsiaTheme="minorEastAsia"/>
          <w:kern w:val="2"/>
          <w:sz w:val="21"/>
          <w:szCs w:val="21"/>
        </w:rPr>
        <w:t xml:space="preserve"> 与招标人存在利害关系可能影响招标公正性的单位，不得参加投标。单位负责人为同一人或者存在控股、管理关系的不同单位，不得参加同一标段投标，否则，相关投标均无效。</w:t>
      </w:r>
    </w:p>
    <w:p>
      <w:pPr>
        <w:pageBreakBefore w:val="0"/>
        <w:widowControl w:val="0"/>
        <w:kinsoku/>
        <w:wordWrap/>
        <w:overflowPunct/>
        <w:topLinePunct w:val="0"/>
        <w:bidi w:val="0"/>
        <w:adjustRightInd/>
        <w:snapToGrid/>
        <w:spacing w:beforeAutospacing="0" w:after="0" w:afterAutospacing="0" w:line="360" w:lineRule="exact"/>
        <w:ind w:firstLine="420" w:firstLineChars="200"/>
        <w:jc w:val="both"/>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7</w:t>
      </w:r>
      <w:r>
        <w:rPr>
          <w:rFonts w:hint="eastAsia" w:cs="Times New Roman" w:asciiTheme="minorEastAsia" w:hAnsiTheme="minorEastAsia" w:eastAsiaTheme="minorEastAsia"/>
          <w:kern w:val="2"/>
          <w:sz w:val="21"/>
          <w:szCs w:val="21"/>
        </w:rPr>
        <w:t xml:space="preserve"> 投标人应对投标人单位和个人（指法定代表人、拟投入的项目经理）在中国裁判文书网http://wenshu.court.gov.cn/自行查询行贿犯罪记录，并将网页截图复印件附在投标文件中，评审时将按投标人提供的网页截图进行必要的网上核实，如有行贿犯罪行为的投标人或未按要求查询的均不能通过本项目的资格审查，查询最短期限从2016年1月1日至本招标文件发售之日。</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firstLine="420" w:firstLineChars="200"/>
        <w:jc w:val="both"/>
        <w:textAlignment w:val="auto"/>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8</w:t>
      </w:r>
      <w:r>
        <w:rPr>
          <w:rFonts w:hint="eastAsia" w:cs="Times New Roman" w:asciiTheme="minorEastAsia" w:hAnsiTheme="minorEastAsia" w:eastAsiaTheme="minorEastAsia"/>
          <w:kern w:val="2"/>
          <w:sz w:val="21"/>
          <w:szCs w:val="21"/>
        </w:rPr>
        <w:t xml:space="preserve"> 在“信用中国”网站(http://www.creditchina.gov.cn/)中被列入失信被执行人名单的投标人，不得参加投标，否则，相关投标均无效。</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firstLine="420" w:firstLineChars="200"/>
        <w:jc w:val="both"/>
        <w:textAlignment w:val="auto"/>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 xml:space="preserve">9 </w:t>
      </w:r>
      <w:r>
        <w:rPr>
          <w:rFonts w:hint="eastAsia" w:cs="Times New Roman" w:asciiTheme="minorEastAsia" w:hAnsiTheme="minorEastAsia" w:eastAsiaTheme="minorEastAsia"/>
          <w:kern w:val="2"/>
          <w:sz w:val="21"/>
          <w:szCs w:val="21"/>
        </w:rPr>
        <w:t>项目建设过程中，承包人必须严格履行合同约定投入人员，不满足要求的将在奖罚中严厉惩处，并计入该企业信用评价。</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firstLine="420" w:firstLineChars="200"/>
        <w:jc w:val="both"/>
        <w:textAlignment w:val="auto"/>
        <w:rPr>
          <w:rFonts w:hint="eastAsia" w:cs="Times New Roman" w:asciiTheme="minorEastAsia" w:hAnsiTheme="minorEastAsia" w:eastAsiaTheme="minorEastAsia"/>
          <w:kern w:val="2"/>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10</w:t>
      </w:r>
      <w:r>
        <w:rPr>
          <w:rFonts w:hint="eastAsia" w:cs="Times New Roman" w:asciiTheme="minorEastAsia" w:hAnsiTheme="minorEastAsia" w:eastAsiaTheme="minorEastAsia"/>
          <w:kern w:val="2"/>
          <w:sz w:val="21"/>
          <w:szCs w:val="21"/>
        </w:rPr>
        <w:t>本项目严格执行《中华人民共和国招标投标法》及《中华人民共和国招标投标法实施条例》等国家相关法律法规，严厉打击围标、串标、借资质投标、违规分包、转包等违法行为，一经查实，按相关规定严肃处理，并纳入企业信用评价。</w:t>
      </w:r>
    </w:p>
    <w:p>
      <w:pPr>
        <w:keepNext w:val="0"/>
        <w:keepLines w:val="0"/>
        <w:pageBreakBefore w:val="0"/>
        <w:widowControl w:val="0"/>
        <w:kinsoku/>
        <w:wordWrap/>
        <w:overflowPunct/>
        <w:topLinePunct w:val="0"/>
        <w:autoSpaceDE/>
        <w:autoSpaceDN/>
        <w:bidi w:val="0"/>
        <w:adjustRightInd/>
        <w:snapToGrid/>
        <w:spacing w:beforeAutospacing="0" w:after="0" w:afterAutospacing="0" w:line="360" w:lineRule="exact"/>
        <w:ind w:firstLine="420" w:firstLineChars="200"/>
        <w:jc w:val="both"/>
        <w:textAlignment w:val="auto"/>
        <w:rPr>
          <w:rFonts w:hint="eastAsia" w:asciiTheme="minorEastAsia" w:hAnsiTheme="minorEastAsia" w:eastAsiaTheme="minorEastAsia" w:cstheme="minorEastAsia"/>
          <w:b w:val="0"/>
          <w:bCs/>
          <w:sz w:val="21"/>
          <w:szCs w:val="21"/>
        </w:rPr>
      </w:pPr>
      <w:r>
        <w:rPr>
          <w:rFonts w:hint="eastAsia" w:cs="Times New Roman" w:asciiTheme="minorEastAsia" w:hAnsiTheme="minorEastAsia" w:eastAsiaTheme="minorEastAsia"/>
          <w:kern w:val="2"/>
          <w:sz w:val="21"/>
          <w:szCs w:val="21"/>
        </w:rPr>
        <w:t>3.</w:t>
      </w:r>
      <w:r>
        <w:rPr>
          <w:rFonts w:hint="eastAsia" w:cs="Times New Roman" w:asciiTheme="minorEastAsia" w:hAnsiTheme="minorEastAsia" w:eastAsiaTheme="minorEastAsia"/>
          <w:kern w:val="2"/>
          <w:sz w:val="21"/>
          <w:szCs w:val="21"/>
          <w:lang w:val="en-US" w:eastAsia="zh-CN"/>
        </w:rPr>
        <w:t>11</w:t>
      </w:r>
      <w:r>
        <w:rPr>
          <w:rFonts w:hint="eastAsia" w:cs="Times New Roman" w:asciiTheme="minorEastAsia" w:hAnsiTheme="minorEastAsia" w:eastAsiaTheme="minorEastAsia"/>
          <w:kern w:val="2"/>
          <w:sz w:val="21"/>
          <w:szCs w:val="21"/>
        </w:rPr>
        <w:t xml:space="preserve"> 本次施工招标采用资格后审方式的双信封技术评分最低标价法进行评标。</w:t>
      </w:r>
      <w:r>
        <w:rPr>
          <w:rFonts w:hint="eastAsia" w:cs="Times New Roman" w:asciiTheme="minorEastAsia" w:hAnsiTheme="minorEastAsia" w:eastAsiaTheme="minorEastAsia"/>
          <w:kern w:val="2"/>
          <w:sz w:val="21"/>
          <w:szCs w:val="21"/>
        </w:rPr>
        <w:br w:type="page"/>
      </w:r>
      <w:bookmarkEnd w:id="10"/>
      <w:bookmarkStart w:id="11" w:name="_Toc197960545"/>
      <w:bookmarkStart w:id="12" w:name="_Toc197967266"/>
      <w:bookmarkStart w:id="13" w:name="_Toc197967118"/>
      <w:bookmarkStart w:id="14" w:name="_Toc197960493"/>
      <w:bookmarkStart w:id="15" w:name="_Toc197951588"/>
      <w:bookmarkStart w:id="16" w:name="_Toc197950682"/>
      <w:bookmarkStart w:id="17" w:name="_Toc536698198"/>
      <w:bookmarkStart w:id="18" w:name="_Toc197965597"/>
      <w:bookmarkStart w:id="19" w:name="_Toc197950803"/>
      <w:r>
        <w:rPr>
          <w:rFonts w:hint="eastAsia" w:asciiTheme="minorEastAsia" w:hAnsiTheme="minorEastAsia" w:eastAsiaTheme="minorEastAsia" w:cstheme="minorEastAsia"/>
          <w:b w:val="0"/>
          <w:bCs/>
          <w:sz w:val="21"/>
          <w:szCs w:val="21"/>
        </w:rPr>
        <w:t>投标人须知前附表</w:t>
      </w:r>
      <w:bookmarkEnd w:id="11"/>
      <w:bookmarkEnd w:id="12"/>
      <w:bookmarkEnd w:id="13"/>
      <w:bookmarkEnd w:id="14"/>
      <w:bookmarkEnd w:id="15"/>
      <w:bookmarkEnd w:id="16"/>
      <w:bookmarkEnd w:id="17"/>
      <w:bookmarkEnd w:id="18"/>
      <w:bookmarkEnd w:id="19"/>
      <w:r>
        <w:rPr>
          <w:rStyle w:val="13"/>
          <w:rFonts w:hint="eastAsia" w:asciiTheme="minorEastAsia" w:hAnsiTheme="minorEastAsia" w:eastAsiaTheme="minorEastAsia" w:cstheme="minorEastAsia"/>
          <w:b w:val="0"/>
          <w:bCs/>
          <w:sz w:val="21"/>
          <w:szCs w:val="21"/>
        </w:rPr>
        <w:footnoteReference w:id="0"/>
      </w:r>
    </w:p>
    <w:tbl>
      <w:tblPr>
        <w:tblStyle w:val="9"/>
        <w:tblW w:w="9839" w:type="dxa"/>
        <w:tblInd w:w="0" w:type="dxa"/>
        <w:tblLayout w:type="fixed"/>
        <w:tblCellMar>
          <w:top w:w="0" w:type="dxa"/>
          <w:left w:w="28" w:type="dxa"/>
          <w:bottom w:w="0" w:type="dxa"/>
          <w:right w:w="28" w:type="dxa"/>
        </w:tblCellMar>
      </w:tblPr>
      <w:tblGrid>
        <w:gridCol w:w="1153"/>
        <w:gridCol w:w="14"/>
        <w:gridCol w:w="1956"/>
        <w:gridCol w:w="6716"/>
      </w:tblGrid>
      <w:tr>
        <w:tblPrEx>
          <w:tblCellMar>
            <w:top w:w="0" w:type="dxa"/>
            <w:left w:w="28" w:type="dxa"/>
            <w:bottom w:w="0" w:type="dxa"/>
            <w:right w:w="28" w:type="dxa"/>
          </w:tblCellMar>
        </w:tblPrEx>
        <w:trPr>
          <w:trHeight w:val="90" w:hRule="atLeast"/>
          <w:tblHeader/>
        </w:trPr>
        <w:tc>
          <w:tcPr>
            <w:tcW w:w="1153" w:type="dxa"/>
            <w:tcBorders>
              <w:top w:val="single" w:color="000000" w:sz="6"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条款号</w:t>
            </w:r>
          </w:p>
        </w:tc>
        <w:tc>
          <w:tcPr>
            <w:tcW w:w="1970" w:type="dxa"/>
            <w:gridSpan w:val="2"/>
            <w:tcBorders>
              <w:top w:val="single" w:color="000000" w:sz="6"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条款名称</w:t>
            </w:r>
          </w:p>
        </w:tc>
        <w:tc>
          <w:tcPr>
            <w:tcW w:w="6716" w:type="dxa"/>
            <w:tcBorders>
              <w:top w:val="single" w:color="000000" w:sz="6"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编 列 内 容</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1.1.2</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名  称：白城市公路工程建设办公室</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联系人：庄文轩</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地  址：白城市幸福南大街84号</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kern w:val="0"/>
                <w:sz w:val="21"/>
                <w:szCs w:val="21"/>
                <w:lang w:val="zh-CN"/>
              </w:rPr>
              <w:t>电  话：0436-</w:t>
            </w:r>
            <w:r>
              <w:rPr>
                <w:rFonts w:hint="eastAsia" w:asciiTheme="minorEastAsia" w:hAnsiTheme="minorEastAsia" w:eastAsiaTheme="minorEastAsia" w:cstheme="minorEastAsia"/>
                <w:b w:val="0"/>
                <w:bCs/>
                <w:kern w:val="0"/>
                <w:sz w:val="21"/>
                <w:szCs w:val="21"/>
                <w:lang w:val="en-US" w:eastAsia="zh-CN"/>
              </w:rPr>
              <w:t>3671563</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1.1.3</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招标代理机构</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lef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招标代理机构：吉林诚仪工程咨询有限公司</w:t>
            </w:r>
          </w:p>
          <w:p>
            <w:pPr>
              <w:pageBreakBefore w:val="0"/>
              <w:kinsoku/>
              <w:wordWrap/>
              <w:overflowPunct/>
              <w:topLinePunct w:val="0"/>
              <w:autoSpaceDE w:val="0"/>
              <w:autoSpaceDN w:val="0"/>
              <w:bidi w:val="0"/>
              <w:adjustRightInd w:val="0"/>
              <w:spacing w:beforeAutospacing="0" w:after="0" w:afterAutospacing="0" w:line="360" w:lineRule="exact"/>
              <w:jc w:val="lef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地址：白城市胜利西路269号</w:t>
            </w:r>
          </w:p>
          <w:p>
            <w:pPr>
              <w:pageBreakBefore w:val="0"/>
              <w:kinsoku/>
              <w:wordWrap/>
              <w:overflowPunct/>
              <w:topLinePunct w:val="0"/>
              <w:autoSpaceDE w:val="0"/>
              <w:autoSpaceDN w:val="0"/>
              <w:bidi w:val="0"/>
              <w:adjustRightInd w:val="0"/>
              <w:spacing w:beforeAutospacing="0" w:after="0" w:afterAutospacing="0" w:line="360" w:lineRule="exact"/>
              <w:jc w:val="lef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 xml:space="preserve">联系人：于革革  杨乐 </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t>电话：0436-3511790</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1.1.4</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招标项目名称</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省道扎突公路与平齐铁路交叉道口（洮南市南出口）工程施工招标</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1.1.5</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标段建设地点</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白城市</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1.2.1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资金来源及比例</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除省级补助资金外，其余由白城市政府财政性资金解决</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1.2.3</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资金落实情况</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已落实</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招标范围</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见招标公告</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1.3.2</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计划工期</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计划工期</w:t>
            </w:r>
            <w:r>
              <w:rPr>
                <w:rFonts w:hint="eastAsia" w:asciiTheme="minorEastAsia" w:hAnsiTheme="minorEastAsia" w:eastAsiaTheme="minorEastAsia" w:cstheme="minorEastAsia"/>
                <w:b w:val="0"/>
                <w:bCs/>
                <w:sz w:val="21"/>
                <w:szCs w:val="21"/>
                <w:highlight w:val="none"/>
                <w:u w:val="single"/>
              </w:rPr>
              <w:t xml:space="preserve">  </w:t>
            </w:r>
            <w:r>
              <w:rPr>
                <w:rFonts w:hint="eastAsia" w:asciiTheme="minorEastAsia" w:hAnsiTheme="minorEastAsia" w:eastAsiaTheme="minorEastAsia" w:cstheme="minorEastAsia"/>
                <w:b w:val="0"/>
                <w:bCs/>
                <w:sz w:val="21"/>
                <w:szCs w:val="21"/>
                <w:highlight w:val="none"/>
                <w:u w:val="single"/>
                <w:lang w:val="en-US" w:eastAsia="zh-CN"/>
              </w:rPr>
              <w:t>250</w:t>
            </w:r>
            <w:r>
              <w:rPr>
                <w:rFonts w:hint="eastAsia" w:asciiTheme="minorEastAsia" w:hAnsiTheme="minorEastAsia" w:eastAsiaTheme="minorEastAsia" w:cstheme="minorEastAsia"/>
                <w:b w:val="0"/>
                <w:bCs/>
                <w:sz w:val="21"/>
                <w:szCs w:val="21"/>
                <w:highlight w:val="none"/>
              </w:rPr>
              <w:t>日历天</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计划开工日期：20</w:t>
            </w:r>
            <w:r>
              <w:rPr>
                <w:rFonts w:hint="eastAsia" w:asciiTheme="minorEastAsia" w:hAnsiTheme="minorEastAsia" w:eastAsiaTheme="minorEastAsia" w:cstheme="minorEastAsia"/>
                <w:b w:val="0"/>
                <w:bCs/>
                <w:sz w:val="21"/>
                <w:szCs w:val="21"/>
                <w:highlight w:val="none"/>
                <w:lang w:val="en-US" w:eastAsia="zh-CN"/>
              </w:rPr>
              <w:t>20</w:t>
            </w:r>
            <w:r>
              <w:rPr>
                <w:rFonts w:hint="eastAsia" w:asciiTheme="minorEastAsia" w:hAnsiTheme="minorEastAsia" w:eastAsiaTheme="minorEastAsia" w:cstheme="minorEastAsia"/>
                <w:b w:val="0"/>
                <w:bCs/>
                <w:sz w:val="21"/>
                <w:szCs w:val="21"/>
                <w:highlight w:val="none"/>
              </w:rPr>
              <w:t>年</w:t>
            </w:r>
            <w:r>
              <w:rPr>
                <w:rFonts w:hint="eastAsia" w:asciiTheme="minorEastAsia" w:hAnsiTheme="minorEastAsia" w:eastAsiaTheme="minorEastAsia" w:cstheme="minorEastAsia"/>
                <w:b w:val="0"/>
                <w:bCs/>
                <w:sz w:val="21"/>
                <w:szCs w:val="21"/>
                <w:highlight w:val="none"/>
                <w:lang w:val="en-US" w:eastAsia="zh-CN"/>
              </w:rPr>
              <w:t>04</w:t>
            </w:r>
            <w:r>
              <w:rPr>
                <w:rFonts w:hint="eastAsia" w:asciiTheme="minorEastAsia" w:hAnsiTheme="minorEastAsia" w:eastAsiaTheme="minorEastAsia" w:cstheme="minorEastAsia"/>
                <w:b w:val="0"/>
                <w:bCs/>
                <w:sz w:val="21"/>
                <w:szCs w:val="21"/>
                <w:highlight w:val="none"/>
              </w:rPr>
              <w:t>月</w:t>
            </w:r>
            <w:r>
              <w:rPr>
                <w:rFonts w:hint="eastAsia" w:asciiTheme="minorEastAsia" w:hAnsiTheme="minorEastAsia" w:eastAsiaTheme="minorEastAsia" w:cstheme="minorEastAsia"/>
                <w:b w:val="0"/>
                <w:bCs/>
                <w:sz w:val="21"/>
                <w:szCs w:val="21"/>
                <w:highlight w:val="none"/>
                <w:lang w:val="en-US" w:eastAsia="zh-CN"/>
              </w:rPr>
              <w:t>25</w:t>
            </w:r>
            <w:r>
              <w:rPr>
                <w:rFonts w:hint="eastAsia" w:asciiTheme="minorEastAsia" w:hAnsiTheme="minorEastAsia" w:eastAsiaTheme="minorEastAsia" w:cstheme="minorEastAsia"/>
                <w:b w:val="0"/>
                <w:bCs/>
                <w:sz w:val="21"/>
                <w:szCs w:val="21"/>
                <w:highlight w:val="none"/>
              </w:rPr>
              <w:t>日</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highlight w:val="none"/>
              </w:rPr>
              <w:t>计划交工日期：2020年1</w:t>
            </w:r>
            <w:r>
              <w:rPr>
                <w:rFonts w:hint="eastAsia" w:asciiTheme="minorEastAsia" w:hAnsiTheme="minorEastAsia" w:eastAsiaTheme="minorEastAsia" w:cstheme="minorEastAsia"/>
                <w:b w:val="0"/>
                <w:bCs/>
                <w:sz w:val="21"/>
                <w:szCs w:val="21"/>
                <w:highlight w:val="none"/>
                <w:lang w:val="en-US" w:eastAsia="zh-CN"/>
              </w:rPr>
              <w:t>2</w:t>
            </w:r>
            <w:r>
              <w:rPr>
                <w:rFonts w:hint="eastAsia" w:asciiTheme="minorEastAsia" w:hAnsiTheme="minorEastAsia" w:eastAsiaTheme="minorEastAsia" w:cstheme="minorEastAsia"/>
                <w:b w:val="0"/>
                <w:bCs/>
                <w:sz w:val="21"/>
                <w:szCs w:val="21"/>
                <w:highlight w:val="none"/>
              </w:rPr>
              <w:t>月3</w:t>
            </w:r>
            <w:r>
              <w:rPr>
                <w:rFonts w:hint="eastAsia" w:asciiTheme="minorEastAsia" w:hAnsiTheme="minorEastAsia" w:eastAsiaTheme="minorEastAsia" w:cstheme="minorEastAsia"/>
                <w:b w:val="0"/>
                <w:bCs/>
                <w:sz w:val="21"/>
                <w:szCs w:val="21"/>
                <w:highlight w:val="none"/>
                <w:lang w:val="en-US" w:eastAsia="zh-CN"/>
              </w:rPr>
              <w:t>0</w:t>
            </w:r>
            <w:r>
              <w:rPr>
                <w:rFonts w:hint="eastAsia" w:asciiTheme="minorEastAsia" w:hAnsiTheme="minorEastAsia" w:eastAsiaTheme="minorEastAsia" w:cstheme="minorEastAsia"/>
                <w:b w:val="0"/>
                <w:bCs/>
                <w:sz w:val="21"/>
                <w:szCs w:val="21"/>
                <w:highlight w:val="none"/>
              </w:rPr>
              <w:t>日</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1.3.3</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质量要求</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标段工程交工验收的质量评定：合格</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shd w:val="pct10" w:color="auto" w:fill="FFFFFF"/>
              </w:rPr>
            </w:pPr>
            <w:r>
              <w:rPr>
                <w:rFonts w:hint="eastAsia" w:asciiTheme="minorEastAsia" w:hAnsiTheme="minorEastAsia" w:eastAsiaTheme="minorEastAsia" w:cstheme="minorEastAsia"/>
                <w:b w:val="0"/>
                <w:bCs/>
                <w:sz w:val="21"/>
                <w:szCs w:val="21"/>
              </w:rPr>
              <w:t>竣工验收的质量评定：合格</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1.3.4</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安全目标</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在项目建设过程中杜绝重大安全责任事故，避免发生较大安全责任事故，控制一般安全责任事故。</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投标人资质条件、能力和信誉</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资质条件：见附录1</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财务要求：见附录2</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业绩要求：见附录3</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信誉要求：见附录4</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项目经理经历和项目总工资格：见附录5</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其他要求：无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1.4.2</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是否接受联合体资格</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lang w:val="zh-CN"/>
              </w:rPr>
              <w:instrText xml:space="preserve"> eq \o\ac(</w:instrText>
            </w:r>
            <w:r>
              <w:rPr>
                <w:rFonts w:hint="eastAsia" w:asciiTheme="minorEastAsia" w:hAnsiTheme="minorEastAsia" w:eastAsiaTheme="minorEastAsia" w:cstheme="minorEastAsia"/>
                <w:b w:val="0"/>
                <w:bCs/>
                <w:kern w:val="0"/>
                <w:position w:val="-4"/>
                <w:sz w:val="31"/>
                <w:szCs w:val="21"/>
                <w:lang w:val="zh-CN"/>
              </w:rPr>
              <w:instrText xml:space="preserve">□</w:instrText>
            </w:r>
            <w:r>
              <w:rPr>
                <w:rFonts w:hint="eastAsia" w:asciiTheme="minorEastAsia" w:hAnsiTheme="minorEastAsia" w:eastAsiaTheme="minorEastAsia" w:cstheme="minorEastAsia"/>
                <w:b w:val="0"/>
                <w:bCs/>
                <w:kern w:val="0"/>
                <w:position w:val="0"/>
                <w:sz w:val="21"/>
                <w:szCs w:val="21"/>
                <w:lang w:val="zh-CN"/>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sz w:val="21"/>
                <w:szCs w:val="21"/>
              </w:rPr>
              <w:t>不接受</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□接受</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1.4.3</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投标人不得存在的其他关联情形</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rPr>
              <w:t>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1.4.4</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投标人不得存在的其他不良状况或不良信用</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kern w:val="0"/>
                <w:sz w:val="21"/>
                <w:szCs w:val="21"/>
                <w:lang w:val="zh-CN"/>
              </w:rPr>
              <w:t>本款内容第（1）项修改为：</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“（1）</w:t>
            </w:r>
            <w:r>
              <w:rPr>
                <w:rFonts w:hint="eastAsia" w:asciiTheme="minorEastAsia" w:hAnsiTheme="minorEastAsia" w:eastAsiaTheme="minorEastAsia" w:cstheme="minorEastAsia"/>
                <w:b w:val="0"/>
                <w:bCs/>
                <w:sz w:val="21"/>
                <w:szCs w:val="21"/>
              </w:rPr>
              <w:t>被吉林省及以上建设主管部门或交通运输主管部门取消本项目所在地的投标资格或禁止进入吉林省建设市场且处于有效期内；</w:t>
            </w:r>
            <w:r>
              <w:rPr>
                <w:rFonts w:hint="eastAsia" w:asciiTheme="minorEastAsia" w:hAnsiTheme="minorEastAsia" w:eastAsiaTheme="minorEastAsia" w:cstheme="minorEastAsia"/>
                <w:b w:val="0"/>
                <w:bCs/>
                <w:kern w:val="0"/>
                <w:sz w:val="21"/>
                <w:szCs w:val="21"/>
                <w:lang w:val="zh-CN"/>
              </w:rPr>
              <w:t>”</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本款内容第（6）项修改为：</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“（6）投标人在中国裁判文书网http://wenshu.court.gov.cn/自行查询有行贿犯罪记录的</w:t>
            </w:r>
            <w:r>
              <w:rPr>
                <w:rFonts w:hint="eastAsia" w:asciiTheme="minorEastAsia" w:hAnsiTheme="minorEastAsia" w:eastAsiaTheme="minorEastAsia" w:cstheme="minorEastAsia"/>
                <w:b w:val="0"/>
                <w:bCs/>
                <w:sz w:val="21"/>
                <w:szCs w:val="21"/>
              </w:rPr>
              <w:t>；”</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本款内容增加第（8）项：</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lang w:val="zh-CN"/>
              </w:rPr>
              <w:t>“（8）</w:t>
            </w:r>
            <w:r>
              <w:rPr>
                <w:rFonts w:hint="eastAsia" w:asciiTheme="minorEastAsia" w:hAnsiTheme="minorEastAsia" w:eastAsiaTheme="minorEastAsia" w:cstheme="minorEastAsia"/>
                <w:b w:val="0"/>
                <w:bCs/>
                <w:sz w:val="21"/>
                <w:szCs w:val="21"/>
              </w:rPr>
              <w:t>在2016年1月1日之后，有被本项目招标人以弄虚作假行为取消中标候选人资格的；投标人有因农民工群体上访行为被吉林省交通运输主管部门通报的。”</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1.10.2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投标人在投标预备会提出问题</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时间：不适用</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t>形式：不适用</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1.11.1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分包</w:t>
            </w:r>
          </w:p>
        </w:tc>
        <w:tc>
          <w:tcPr>
            <w:tcW w:w="6716" w:type="dxa"/>
            <w:tcBorders>
              <w:top w:val="single" w:color="000000" w:sz="4" w:space="0"/>
              <w:left w:val="single" w:color="000000" w:sz="4" w:space="0"/>
              <w:bottom w:val="single" w:color="000000" w:sz="6" w:space="0"/>
              <w:right w:val="single" w:color="auto" w:sz="4" w:space="0"/>
            </w:tcBorders>
            <w:noWrap w:val="0"/>
            <w:vAlign w:val="top"/>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lang w:val="zh-CN"/>
              </w:rPr>
              <w:instrText xml:space="preserve"> eq \o\ac(</w:instrText>
            </w:r>
            <w:r>
              <w:rPr>
                <w:rFonts w:hint="eastAsia" w:asciiTheme="minorEastAsia" w:hAnsiTheme="minorEastAsia" w:eastAsiaTheme="minorEastAsia" w:cstheme="minorEastAsia"/>
                <w:b w:val="0"/>
                <w:bCs/>
                <w:kern w:val="0"/>
                <w:position w:val="-4"/>
                <w:sz w:val="31"/>
                <w:szCs w:val="21"/>
                <w:lang w:val="zh-CN"/>
              </w:rPr>
              <w:instrText xml:space="preserve">□</w:instrText>
            </w:r>
            <w:r>
              <w:rPr>
                <w:rFonts w:hint="eastAsia" w:asciiTheme="minorEastAsia" w:hAnsiTheme="minorEastAsia" w:eastAsiaTheme="minorEastAsia" w:cstheme="minorEastAsia"/>
                <w:b w:val="0"/>
                <w:bCs/>
                <w:kern w:val="0"/>
                <w:position w:val="0"/>
                <w:sz w:val="21"/>
                <w:szCs w:val="21"/>
                <w:lang w:val="zh-CN"/>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kern w:val="0"/>
                <w:sz w:val="21"/>
                <w:szCs w:val="21"/>
                <w:lang w:val="zh-CN"/>
              </w:rPr>
              <w:t>不允许</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kern w:val="0"/>
                <w:sz w:val="21"/>
                <w:szCs w:val="21"/>
                <w:lang w:val="zh-CN"/>
              </w:rPr>
              <w:t>允许</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构成招标文件的其他材料</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（1）电子版固化清单由招标人提供，可登录网址（http://www.jlcyzx.com/)下载，文件名：《省道扎突公路与平齐铁路交叉道口（洮南市南出口）工程施工</w:t>
            </w:r>
            <w:r>
              <w:rPr>
                <w:rFonts w:hint="eastAsia" w:asciiTheme="minorEastAsia" w:hAnsiTheme="minorEastAsia" w:eastAsiaTheme="minorEastAsia" w:cstheme="minorEastAsia"/>
                <w:b w:val="0"/>
                <w:bCs/>
                <w:sz w:val="21"/>
                <w:szCs w:val="21"/>
                <w:lang w:val="zh-CN"/>
              </w:rPr>
              <w:t>工程</w:t>
            </w:r>
            <w:r>
              <w:rPr>
                <w:rFonts w:hint="eastAsia" w:asciiTheme="minorEastAsia" w:hAnsiTheme="minorEastAsia" w:eastAsiaTheme="minorEastAsia" w:cstheme="minorEastAsia"/>
                <w:b w:val="0"/>
                <w:bCs/>
                <w:sz w:val="21"/>
                <w:szCs w:val="21"/>
              </w:rPr>
              <w:t>量固化清单》，该固化清单与投标控制价上限同时于投标截止期7天前发布。</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（2）本项目带有编号的补遗书（如有）。</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u w:val="single"/>
                <w:lang w:bidi="zh-CN"/>
              </w:rPr>
            </w:pPr>
            <w:r>
              <w:rPr>
                <w:rFonts w:hint="eastAsia" w:asciiTheme="minorEastAsia" w:hAnsiTheme="minorEastAsia" w:eastAsiaTheme="minorEastAsia" w:cstheme="minorEastAsia"/>
                <w:b w:val="0"/>
                <w:bCs/>
                <w:sz w:val="21"/>
                <w:szCs w:val="21"/>
              </w:rPr>
              <w:t>注：招标代理机构将上述内容发送到招标代理机构网址（http://www.jlcyzx.com/）的方式进行公布，同时电话通知已购买招标文件的投标人，投标人应在24小时内（以发出时间为准）以电子邮件的方式将确认函发送至补遗书上指定的邮箱。如果投标人未在邮箱里收到上述文件，请及时与招标代理机构联系。否则招标人不承担任何责任。</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投标人要求澄清招标文件的截止时间</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yellow"/>
              </w:rPr>
            </w:pPr>
            <w:r>
              <w:rPr>
                <w:rFonts w:hint="eastAsia" w:asciiTheme="minorEastAsia" w:hAnsiTheme="minorEastAsia" w:eastAsiaTheme="minorEastAsia" w:cstheme="minorEastAsia"/>
                <w:b w:val="0"/>
                <w:bCs/>
                <w:sz w:val="21"/>
                <w:szCs w:val="21"/>
              </w:rPr>
              <w:t>时间：</w:t>
            </w:r>
            <w:r>
              <w:rPr>
                <w:rFonts w:hint="eastAsia" w:asciiTheme="minorEastAsia" w:hAnsiTheme="minorEastAsia" w:eastAsiaTheme="minorEastAsia" w:cstheme="minorEastAsia"/>
                <w:b w:val="0"/>
                <w:bCs/>
                <w:sz w:val="21"/>
                <w:szCs w:val="21"/>
                <w:highlight w:val="none"/>
              </w:rPr>
              <w:t>20</w:t>
            </w:r>
            <w:r>
              <w:rPr>
                <w:rFonts w:hint="eastAsia" w:asciiTheme="minorEastAsia" w:hAnsiTheme="minorEastAsia" w:eastAsiaTheme="minorEastAsia" w:cstheme="minorEastAsia"/>
                <w:b w:val="0"/>
                <w:bCs/>
                <w:sz w:val="21"/>
                <w:szCs w:val="21"/>
                <w:highlight w:val="none"/>
                <w:lang w:val="en-US" w:eastAsia="zh-CN"/>
              </w:rPr>
              <w:t>20</w:t>
            </w:r>
            <w:r>
              <w:rPr>
                <w:rFonts w:hint="eastAsia" w:asciiTheme="minorEastAsia" w:hAnsiTheme="minorEastAsia" w:eastAsiaTheme="minorEastAsia" w:cstheme="minorEastAsia"/>
                <w:b w:val="0"/>
                <w:bCs/>
                <w:sz w:val="21"/>
                <w:szCs w:val="21"/>
                <w:highlight w:val="none"/>
              </w:rPr>
              <w:t>年</w:t>
            </w:r>
            <w:r>
              <w:rPr>
                <w:rFonts w:hint="eastAsia" w:asciiTheme="minorEastAsia" w:hAnsiTheme="minorEastAsia" w:eastAsiaTheme="minorEastAsia" w:cstheme="minorEastAsia"/>
                <w:b w:val="0"/>
                <w:bCs/>
                <w:sz w:val="21"/>
                <w:szCs w:val="21"/>
                <w:highlight w:val="none"/>
                <w:lang w:val="en-US" w:eastAsia="zh-CN"/>
              </w:rPr>
              <w:t>04</w:t>
            </w:r>
            <w:r>
              <w:rPr>
                <w:rFonts w:hint="eastAsia" w:asciiTheme="minorEastAsia" w:hAnsiTheme="minorEastAsia" w:eastAsiaTheme="minorEastAsia" w:cstheme="minorEastAsia"/>
                <w:b w:val="0"/>
                <w:bCs/>
                <w:sz w:val="21"/>
                <w:szCs w:val="21"/>
                <w:highlight w:val="none"/>
              </w:rPr>
              <w:t>月</w:t>
            </w:r>
            <w:r>
              <w:rPr>
                <w:rFonts w:hint="eastAsia" w:asciiTheme="minorEastAsia" w:hAnsiTheme="minorEastAsia" w:eastAsiaTheme="minorEastAsia" w:cstheme="minorEastAsia"/>
                <w:b w:val="0"/>
                <w:bCs/>
                <w:sz w:val="21"/>
                <w:szCs w:val="21"/>
                <w:highlight w:val="none"/>
                <w:lang w:val="en-US" w:eastAsia="zh-CN"/>
              </w:rPr>
              <w:t>06</w:t>
            </w:r>
            <w:r>
              <w:rPr>
                <w:rFonts w:hint="eastAsia" w:asciiTheme="minorEastAsia" w:hAnsiTheme="minorEastAsia" w:eastAsiaTheme="minorEastAsia" w:cstheme="minorEastAsia"/>
                <w:b w:val="0"/>
                <w:bCs/>
                <w:sz w:val="21"/>
                <w:szCs w:val="21"/>
                <w:highlight w:val="none"/>
              </w:rPr>
              <w:t>日24时00分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形式：以书面的形式传真给招标代理机构或发送邮件至招标代理机构邮箱</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同时电话通知招标代理机构查收</w:t>
            </w:r>
            <w:r>
              <w:rPr>
                <w:rFonts w:hint="eastAsia" w:asciiTheme="minorEastAsia" w:hAnsiTheme="minorEastAsia" w:eastAsiaTheme="minorEastAsia" w:cstheme="minorEastAsia"/>
                <w:b w:val="0"/>
                <w:bCs/>
                <w:sz w:val="21"/>
                <w:szCs w:val="21"/>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招标代理机构邮箱：</w:t>
            </w:r>
            <w:r>
              <w:rPr>
                <w:rFonts w:hint="eastAsia" w:asciiTheme="minorEastAsia" w:hAnsiTheme="minorEastAsia" w:eastAsiaTheme="minorEastAsia" w:cstheme="minorEastAsia"/>
                <w:b w:val="0"/>
                <w:bCs/>
                <w:color w:val="000000"/>
                <w:sz w:val="21"/>
                <w:szCs w:val="21"/>
              </w:rPr>
              <w:fldChar w:fldCharType="begin"/>
            </w:r>
            <w:r>
              <w:rPr>
                <w:rFonts w:hint="eastAsia" w:asciiTheme="minorEastAsia" w:hAnsiTheme="minorEastAsia" w:eastAsiaTheme="minorEastAsia" w:cstheme="minorEastAsia"/>
                <w:b w:val="0"/>
                <w:bCs/>
                <w:color w:val="000000"/>
                <w:sz w:val="21"/>
                <w:szCs w:val="21"/>
              </w:rPr>
              <w:instrText xml:space="preserve"> HYPERLINK "mailto:jlcyzbdl@163.com" </w:instrText>
            </w:r>
            <w:r>
              <w:rPr>
                <w:rFonts w:hint="eastAsia" w:asciiTheme="minorEastAsia" w:hAnsiTheme="minorEastAsia" w:eastAsiaTheme="minorEastAsia" w:cstheme="minorEastAsia"/>
                <w:b w:val="0"/>
                <w:bCs/>
                <w:color w:val="000000"/>
                <w:sz w:val="21"/>
                <w:szCs w:val="21"/>
              </w:rPr>
              <w:fldChar w:fldCharType="separate"/>
            </w:r>
            <w:r>
              <w:rPr>
                <w:rFonts w:hint="eastAsia" w:asciiTheme="minorEastAsia" w:hAnsiTheme="minorEastAsia" w:eastAsiaTheme="minorEastAsia" w:cstheme="minorEastAsia"/>
                <w:b w:val="0"/>
                <w:bCs/>
                <w:color w:val="0000FF"/>
                <w:sz w:val="21"/>
                <w:szCs w:val="21"/>
                <w:u w:val="single"/>
              </w:rPr>
              <w:t>jlcyzbdl@163.com</w:t>
            </w:r>
            <w:r>
              <w:rPr>
                <w:rFonts w:hint="eastAsia" w:asciiTheme="minorEastAsia" w:hAnsiTheme="minorEastAsia" w:eastAsiaTheme="minorEastAsia" w:cstheme="minorEastAsia"/>
                <w:b w:val="0"/>
                <w:bCs/>
                <w:color w:val="000000"/>
                <w:sz w:val="21"/>
                <w:szCs w:val="21"/>
              </w:rPr>
              <w:fldChar w:fldCharType="end"/>
            </w:r>
            <w:r>
              <w:rPr>
                <w:rFonts w:hint="eastAsia" w:asciiTheme="minorEastAsia" w:hAnsiTheme="minorEastAsia" w:eastAsiaTheme="minorEastAsia" w:cstheme="minorEastAsia"/>
                <w:b w:val="0"/>
                <w:bCs/>
                <w:color w:val="000000"/>
                <w:sz w:val="21"/>
                <w:szCs w:val="21"/>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招标文件澄清发出的形式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以书面的形式发送至http://www.jlcyzx.com/，由投标人自行下载。</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投标人确认收到招标文件澄清</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时间：收到澄清后24小时内（以发出时间为准）</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形式：以书面的形式传真给招标代理机构或发送邮件至招标代理机构邮箱</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同时电话通知招标代理机构查收</w:t>
            </w:r>
            <w:r>
              <w:rPr>
                <w:rFonts w:hint="eastAsia" w:asciiTheme="minorEastAsia" w:hAnsiTheme="minorEastAsia" w:eastAsiaTheme="minorEastAsia" w:cstheme="minorEastAsia"/>
                <w:b w:val="0"/>
                <w:bCs/>
                <w:sz w:val="21"/>
                <w:szCs w:val="21"/>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2.3.1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招标文件修改发出的方式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以书面的形式发送至http://www.jlcyzx.com/，由投标人自行下载。</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2.3.2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投标人确认收到招标文件修改</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时间：收到澄清后24小时内（以发出时间为准）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形式：以书面的形式传真给招标代理机构或发送邮件至招标代理机构邮箱</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val="en-US" w:eastAsia="zh-CN"/>
              </w:rPr>
              <w:t>同时电话通知招标代理机构查收</w:t>
            </w:r>
            <w:r>
              <w:rPr>
                <w:rFonts w:hint="eastAsia" w:asciiTheme="minorEastAsia" w:hAnsiTheme="minorEastAsia" w:eastAsiaTheme="minorEastAsia" w:cstheme="minorEastAsia"/>
                <w:b w:val="0"/>
                <w:bCs/>
                <w:sz w:val="21"/>
                <w:szCs w:val="21"/>
              </w:rPr>
              <w:t>。</w:t>
            </w:r>
          </w:p>
        </w:tc>
      </w:tr>
      <w:tr>
        <w:tblPrEx>
          <w:tblCellMar>
            <w:top w:w="0" w:type="dxa"/>
            <w:left w:w="28" w:type="dxa"/>
            <w:bottom w:w="0" w:type="dxa"/>
            <w:right w:w="28" w:type="dxa"/>
          </w:tblCellMar>
        </w:tblPrEx>
        <w:trPr>
          <w:trHeight w:val="90" w:hRule="atLeast"/>
        </w:trPr>
        <w:tc>
          <w:tcPr>
            <w:tcW w:w="1153" w:type="dxa"/>
            <w:vMerge w:val="restart"/>
            <w:tcBorders>
              <w:top w:val="single" w:color="000000" w:sz="4" w:space="0"/>
              <w:left w:val="single" w:color="000000"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3.1.1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投标文件密封形式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双信封</w:t>
            </w:r>
          </w:p>
        </w:tc>
      </w:tr>
      <w:tr>
        <w:tblPrEx>
          <w:tblCellMar>
            <w:top w:w="0" w:type="dxa"/>
            <w:left w:w="28" w:type="dxa"/>
            <w:bottom w:w="0" w:type="dxa"/>
            <w:right w:w="28" w:type="dxa"/>
          </w:tblCellMar>
        </w:tblPrEx>
        <w:trPr>
          <w:trHeight w:val="90" w:hRule="atLeast"/>
        </w:trPr>
        <w:tc>
          <w:tcPr>
            <w:tcW w:w="1153" w:type="dxa"/>
            <w:vMerge w:val="continue"/>
            <w:tcBorders>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构成投标文件的其他材料</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投标人随同投标文件同时递交电子版（PDF）投标文件；</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固化工程量清单填写的工程量报价清单，载体为U盘（可读），应单独包封，标明投标人名称和标段，与投标文件第二个信封（报价文件）同时包封在封套中。</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color w:val="FF0000"/>
                <w:sz w:val="21"/>
                <w:szCs w:val="21"/>
              </w:rPr>
            </w:pPr>
            <w:r>
              <w:rPr>
                <w:rFonts w:hint="eastAsia" w:asciiTheme="minorEastAsia" w:hAnsiTheme="minorEastAsia" w:eastAsiaTheme="minorEastAsia" w:cstheme="minorEastAsia"/>
                <w:b w:val="0"/>
                <w:bCs/>
                <w:sz w:val="21"/>
                <w:szCs w:val="21"/>
                <w:lang w:val="zh-CN"/>
              </w:rPr>
              <w:t>U盘内文件应作如示电子标识：所投标段与投标单位全称。</w:t>
            </w:r>
          </w:p>
        </w:tc>
      </w:tr>
      <w:tr>
        <w:tblPrEx>
          <w:tblCellMar>
            <w:top w:w="0" w:type="dxa"/>
            <w:left w:w="28" w:type="dxa"/>
            <w:bottom w:w="0" w:type="dxa"/>
            <w:right w:w="28" w:type="dxa"/>
          </w:tblCellMar>
        </w:tblPrEx>
        <w:trPr>
          <w:trHeight w:val="90" w:hRule="atLeast"/>
        </w:trPr>
        <w:tc>
          <w:tcPr>
            <w:tcW w:w="1153" w:type="dxa"/>
            <w:vMerge w:val="continue"/>
            <w:tcBorders>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工程量清单的填写方式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rPr>
              <w:instrText xml:space="preserve"> eq \o\ac(</w:instrText>
            </w:r>
            <w:r>
              <w:rPr>
                <w:rFonts w:hint="eastAsia" w:asciiTheme="minorEastAsia" w:hAnsiTheme="minorEastAsia" w:eastAsiaTheme="minorEastAsia" w:cstheme="minorEastAsia"/>
                <w:b w:val="0"/>
                <w:bCs/>
                <w:kern w:val="0"/>
                <w:position w:val="-4"/>
                <w:sz w:val="31"/>
                <w:szCs w:val="21"/>
              </w:rPr>
              <w:instrText xml:space="preserve">□</w:instrText>
            </w:r>
            <w:r>
              <w:rPr>
                <w:rFonts w:hint="eastAsia" w:asciiTheme="minorEastAsia" w:hAnsiTheme="minorEastAsia" w:eastAsiaTheme="minorEastAsia" w:cstheme="minorEastAsia"/>
                <w:b w:val="0"/>
                <w:bCs/>
                <w:kern w:val="0"/>
                <w:position w:val="0"/>
                <w:sz w:val="21"/>
                <w:szCs w:val="21"/>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sz w:val="21"/>
                <w:szCs w:val="21"/>
              </w:rPr>
              <w:t>投标人按照招标人提供的工程量固化清单电子文件填写工程量清单，下载网址：http://www.jlcyzx.com/。</w:t>
            </w:r>
          </w:p>
          <w:p>
            <w:pPr>
              <w:pStyle w:val="6"/>
              <w:pageBreakBefore w:val="0"/>
              <w:pBdr>
                <w:bottom w:val="none" w:color="auto" w:sz="0" w:space="0"/>
              </w:pBdr>
              <w:tabs>
                <w:tab w:val="clear" w:pos="4153"/>
                <w:tab w:val="clear" w:pos="8306"/>
              </w:tabs>
              <w:kinsoku/>
              <w:wordWrap/>
              <w:overflowPunct/>
              <w:topLinePunct w:val="0"/>
              <w:bidi w:val="0"/>
              <w:snapToGrid/>
              <w:spacing w:beforeAutospacing="0" w:after="0" w:afterAutospacing="0" w:line="360" w:lineRule="exact"/>
              <w:jc w:val="both"/>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□投标人按照招标人提供的书面工程量清单填写工程量清单。</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报价方式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总价</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3.2.4</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清单工程量</w:t>
            </w:r>
          </w:p>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数量</w:t>
            </w:r>
            <w:r>
              <w:rPr>
                <w:rFonts w:hint="eastAsia" w:asciiTheme="minorEastAsia" w:hAnsiTheme="minorEastAsia" w:eastAsiaTheme="minorEastAsia" w:cstheme="minorEastAsia"/>
                <w:b w:val="0"/>
                <w:bCs/>
                <w:sz w:val="21"/>
                <w:szCs w:val="21"/>
              </w:rPr>
              <w:br w:type="textWrapping"/>
            </w:r>
            <w:r>
              <w:rPr>
                <w:rFonts w:hint="eastAsia" w:asciiTheme="minorEastAsia" w:hAnsiTheme="minorEastAsia" w:eastAsiaTheme="minorEastAsia" w:cstheme="minorEastAsia"/>
                <w:b w:val="0"/>
                <w:bCs/>
                <w:sz w:val="21"/>
                <w:szCs w:val="21"/>
              </w:rPr>
              <w:t>的核查方式</w:t>
            </w:r>
          </w:p>
        </w:tc>
        <w:tc>
          <w:tcPr>
            <w:tcW w:w="6716" w:type="dxa"/>
            <w:tcBorders>
              <w:top w:val="single" w:color="000000" w:sz="4" w:space="0"/>
              <w:left w:val="single" w:color="000000" w:sz="4" w:space="0"/>
              <w:bottom w:val="single" w:color="000000"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如果发现工程量清单中的数量与图纸中数量不一致时，应立即以书面形式通知招标代理机构核查，并打电话予以通知，除非招标人以书面方式予以更正，否则，投标期间和整个施工期间均应以工程量清单中列出的数量为准。</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3.2.6</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是否接受</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调价函</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Style w:val="6"/>
              <w:pageBreakBefore w:val="0"/>
              <w:pBdr>
                <w:bottom w:val="none" w:color="auto" w:sz="0" w:space="0"/>
              </w:pBdr>
              <w:tabs>
                <w:tab w:val="clear" w:pos="4153"/>
                <w:tab w:val="clear" w:pos="8306"/>
              </w:tabs>
              <w:kinsoku/>
              <w:wordWrap/>
              <w:overflowPunct/>
              <w:topLinePunct w:val="0"/>
              <w:bidi w:val="0"/>
              <w:snapToGrid/>
              <w:spacing w:beforeAutospacing="0" w:after="0" w:afterAutospacing="0" w:line="360" w:lineRule="exact"/>
              <w:jc w:val="both"/>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□是</w:t>
            </w:r>
          </w:p>
          <w:p>
            <w:pPr>
              <w:pStyle w:val="6"/>
              <w:pageBreakBefore w:val="0"/>
              <w:pBdr>
                <w:bottom w:val="none" w:color="auto" w:sz="0" w:space="0"/>
              </w:pBdr>
              <w:tabs>
                <w:tab w:val="clear" w:pos="4153"/>
                <w:tab w:val="clear" w:pos="8306"/>
              </w:tabs>
              <w:kinsoku/>
              <w:wordWrap/>
              <w:overflowPunct/>
              <w:topLinePunct w:val="0"/>
              <w:bidi w:val="0"/>
              <w:snapToGrid/>
              <w:spacing w:beforeAutospacing="0" w:after="0" w:afterAutospacing="0" w:line="360" w:lineRule="exact"/>
              <w:jc w:val="both"/>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sz w:val="21"/>
                <w:szCs w:val="21"/>
                <w:lang w:val="zh-CN"/>
              </w:rPr>
              <w:fldChar w:fldCharType="begin"/>
            </w:r>
            <w:r>
              <w:rPr>
                <w:rFonts w:hint="eastAsia" w:asciiTheme="minorEastAsia" w:hAnsiTheme="minorEastAsia" w:eastAsiaTheme="minorEastAsia" w:cstheme="minorEastAsia"/>
                <w:b w:val="0"/>
                <w:bCs/>
                <w:sz w:val="21"/>
                <w:szCs w:val="21"/>
                <w:lang w:val="zh-CN"/>
              </w:rPr>
              <w:instrText xml:space="preserve"> eq \o\ac(</w:instrText>
            </w:r>
            <w:r>
              <w:rPr>
                <w:rFonts w:hint="eastAsia" w:asciiTheme="minorEastAsia" w:hAnsiTheme="minorEastAsia" w:eastAsiaTheme="minorEastAsia" w:cstheme="minorEastAsia"/>
                <w:b w:val="0"/>
                <w:bCs/>
                <w:position w:val="-4"/>
                <w:sz w:val="31"/>
                <w:szCs w:val="21"/>
                <w:lang w:val="zh-CN"/>
              </w:rPr>
              <w:instrText xml:space="preserve">□</w:instrText>
            </w:r>
            <w:r>
              <w:rPr>
                <w:rFonts w:hint="eastAsia" w:asciiTheme="minorEastAsia" w:hAnsiTheme="minorEastAsia" w:eastAsiaTheme="minorEastAsia" w:cstheme="minorEastAsia"/>
                <w:b w:val="0"/>
                <w:bCs/>
                <w:position w:val="0"/>
                <w:sz w:val="21"/>
                <w:szCs w:val="21"/>
                <w:lang w:val="zh-CN"/>
              </w:rPr>
              <w:instrText xml:space="preserve">,√)</w:instrText>
            </w:r>
            <w:r>
              <w:rPr>
                <w:rFonts w:hint="eastAsia" w:asciiTheme="minorEastAsia" w:hAnsiTheme="minorEastAsia" w:eastAsiaTheme="minorEastAsia" w:cstheme="minorEastAsia"/>
                <w:b w:val="0"/>
                <w:bCs/>
                <w:sz w:val="21"/>
                <w:szCs w:val="21"/>
                <w:lang w:val="zh-CN"/>
              </w:rPr>
              <w:fldChar w:fldCharType="end"/>
            </w:r>
            <w:r>
              <w:rPr>
                <w:rFonts w:hint="eastAsia" w:asciiTheme="minorEastAsia" w:hAnsiTheme="minorEastAsia" w:eastAsiaTheme="minorEastAsia" w:cstheme="minorEastAsia"/>
                <w:b w:val="0"/>
                <w:bCs/>
                <w:kern w:val="2"/>
                <w:sz w:val="21"/>
                <w:szCs w:val="21"/>
              </w:rPr>
              <w:t>否</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3.2.8</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最高投标限价</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lang w:val="en-US" w:eastAsia="zh-CN"/>
              </w:rPr>
              <w:t>3348.7218</w:t>
            </w:r>
            <w:r>
              <w:rPr>
                <w:rFonts w:hint="eastAsia" w:asciiTheme="minorEastAsia" w:hAnsiTheme="minorEastAsia" w:eastAsiaTheme="minorEastAsia" w:cstheme="minorEastAsia"/>
                <w:b w:val="0"/>
                <w:bCs/>
                <w:sz w:val="21"/>
                <w:szCs w:val="21"/>
                <w:highlight w:val="none"/>
              </w:rPr>
              <w:t>万元</w:t>
            </w:r>
            <w:r>
              <w:rPr>
                <w:rFonts w:hint="eastAsia" w:asciiTheme="minorEastAsia" w:hAnsiTheme="minorEastAsia" w:eastAsiaTheme="minorEastAsia" w:cstheme="minorEastAsia"/>
                <w:b w:val="0"/>
                <w:bCs/>
                <w:sz w:val="21"/>
                <w:szCs w:val="21"/>
                <w:highlight w:val="none"/>
                <w:lang w:val="en-US" w:eastAsia="zh-CN"/>
              </w:rPr>
              <w:t xml:space="preserve"> </w:t>
            </w:r>
            <w:r>
              <w:rPr>
                <w:rFonts w:hint="eastAsia" w:asciiTheme="minorEastAsia" w:hAnsiTheme="minorEastAsia" w:eastAsiaTheme="minorEastAsia" w:cstheme="minorEastAsia"/>
                <w:b w:val="0"/>
                <w:bCs/>
                <w:sz w:val="21"/>
                <w:szCs w:val="21"/>
                <w:highlight w:val="none"/>
                <w:lang w:eastAsia="zh-CN"/>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3.2.9</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投标报价的其他要求</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3.3.1</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投标有效期</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自投标人提交投标文件截止之日起计算90天</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3.4.1</w:t>
            </w:r>
          </w:p>
        </w:tc>
        <w:tc>
          <w:tcPr>
            <w:tcW w:w="1970"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投标保证金</w:t>
            </w:r>
          </w:p>
        </w:tc>
        <w:tc>
          <w:tcPr>
            <w:tcW w:w="6716" w:type="dxa"/>
            <w:tcBorders>
              <w:top w:val="single" w:color="000000" w:sz="4" w:space="0"/>
              <w:left w:val="single" w:color="000000"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highlight w:val="yellow"/>
              </w:rPr>
            </w:pPr>
            <w:r>
              <w:rPr>
                <w:rFonts w:hint="eastAsia" w:asciiTheme="minorEastAsia" w:hAnsiTheme="minorEastAsia" w:eastAsiaTheme="minorEastAsia" w:cstheme="minorEastAsia"/>
                <w:b w:val="0"/>
                <w:bCs/>
                <w:sz w:val="21"/>
                <w:szCs w:val="21"/>
              </w:rPr>
              <w:t>投标保证金的金额：01标段：</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rPr>
              <w:t>0万元/投标人；</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投标保证金的形式：现金、支票、银行保函</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（1）若采用现金或支票形式的：投标人应在</w:t>
            </w:r>
            <w:r>
              <w:rPr>
                <w:rFonts w:hint="eastAsia" w:asciiTheme="minorEastAsia" w:hAnsiTheme="minorEastAsia" w:eastAsiaTheme="minorEastAsia" w:cstheme="minorEastAsia"/>
                <w:b w:val="0"/>
                <w:bCs/>
                <w:sz w:val="21"/>
                <w:szCs w:val="21"/>
                <w:highlight w:val="none"/>
              </w:rPr>
              <w:t>20</w:t>
            </w:r>
            <w:r>
              <w:rPr>
                <w:rFonts w:hint="eastAsia" w:asciiTheme="minorEastAsia" w:hAnsiTheme="minorEastAsia" w:eastAsiaTheme="minorEastAsia" w:cstheme="minorEastAsia"/>
                <w:b w:val="0"/>
                <w:bCs/>
                <w:sz w:val="21"/>
                <w:szCs w:val="21"/>
                <w:highlight w:val="none"/>
                <w:lang w:val="en-US" w:eastAsia="zh-CN"/>
              </w:rPr>
              <w:t>20</w:t>
            </w:r>
            <w:r>
              <w:rPr>
                <w:rFonts w:hint="eastAsia" w:asciiTheme="minorEastAsia" w:hAnsiTheme="minorEastAsia" w:eastAsiaTheme="minorEastAsia" w:cstheme="minorEastAsia"/>
                <w:b w:val="0"/>
                <w:bCs/>
                <w:sz w:val="21"/>
                <w:szCs w:val="21"/>
                <w:highlight w:val="none"/>
              </w:rPr>
              <w:t>年</w:t>
            </w:r>
            <w:r>
              <w:rPr>
                <w:rFonts w:hint="eastAsia" w:asciiTheme="minorEastAsia" w:hAnsiTheme="minorEastAsia" w:eastAsiaTheme="minorEastAsia" w:cstheme="minorEastAsia"/>
                <w:b w:val="0"/>
                <w:bCs/>
                <w:sz w:val="21"/>
                <w:szCs w:val="21"/>
                <w:highlight w:val="none"/>
                <w:lang w:val="en-US" w:eastAsia="zh-CN"/>
              </w:rPr>
              <w:t>04</w:t>
            </w:r>
            <w:r>
              <w:rPr>
                <w:rFonts w:hint="eastAsia" w:asciiTheme="minorEastAsia" w:hAnsiTheme="minorEastAsia" w:eastAsiaTheme="minorEastAsia" w:cstheme="minorEastAsia"/>
                <w:b w:val="0"/>
                <w:bCs/>
                <w:sz w:val="21"/>
                <w:szCs w:val="21"/>
                <w:highlight w:val="none"/>
              </w:rPr>
              <w:t>月</w:t>
            </w:r>
            <w:r>
              <w:rPr>
                <w:rFonts w:hint="eastAsia" w:asciiTheme="minorEastAsia" w:hAnsiTheme="minorEastAsia" w:eastAsiaTheme="minorEastAsia" w:cstheme="minorEastAsia"/>
                <w:b w:val="0"/>
                <w:bCs/>
                <w:sz w:val="21"/>
                <w:szCs w:val="21"/>
                <w:highlight w:val="none"/>
                <w:lang w:val="en-US" w:eastAsia="zh-CN"/>
              </w:rPr>
              <w:t>15</w:t>
            </w:r>
            <w:r>
              <w:rPr>
                <w:rFonts w:hint="eastAsia" w:asciiTheme="minorEastAsia" w:hAnsiTheme="minorEastAsia" w:eastAsiaTheme="minorEastAsia" w:cstheme="minorEastAsia"/>
                <w:b w:val="0"/>
                <w:bCs/>
                <w:sz w:val="21"/>
                <w:szCs w:val="21"/>
                <w:highlight w:val="none"/>
              </w:rPr>
              <w:t>日</w:t>
            </w:r>
            <w:r>
              <w:rPr>
                <w:rFonts w:hint="eastAsia" w:asciiTheme="minorEastAsia" w:hAnsiTheme="minorEastAsia" w:eastAsiaTheme="minorEastAsia" w:cstheme="minorEastAsia"/>
                <w:b w:val="0"/>
                <w:bCs/>
                <w:sz w:val="21"/>
                <w:szCs w:val="21"/>
              </w:rPr>
              <w:t>15：00时之前，将投标保证金由投标人的基本账户一次性转入并到达招标人指定账户，否则视为投标保证金无效。</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招标代理机构的开户银行及账号如下：</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招标代理机构：吉林诚仪工程咨询有限公司</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银    行：中国建设银行白城开发区支行</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帐    号：2200 1666 3380 5500 8830</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联 系 人：王晓丽</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财务联系电话：0436-3511790</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投标人应确保投标保证金在</w:t>
            </w:r>
            <w:r>
              <w:rPr>
                <w:rFonts w:hint="eastAsia" w:asciiTheme="minorEastAsia" w:hAnsiTheme="minorEastAsia" w:eastAsiaTheme="minorEastAsia" w:cstheme="minorEastAsia"/>
                <w:b w:val="0"/>
                <w:bCs/>
                <w:sz w:val="21"/>
                <w:szCs w:val="21"/>
              </w:rPr>
              <w:t>递交截止时间</w:t>
            </w:r>
            <w:r>
              <w:rPr>
                <w:rFonts w:hint="eastAsia" w:asciiTheme="minorEastAsia" w:hAnsiTheme="minorEastAsia" w:eastAsiaTheme="minorEastAsia" w:cstheme="minorEastAsia"/>
                <w:b w:val="0"/>
                <w:bCs/>
                <w:kern w:val="0"/>
                <w:sz w:val="21"/>
                <w:szCs w:val="21"/>
                <w:lang w:val="zh-CN"/>
              </w:rPr>
              <w:t>前划拨到招标代理机构指定的银行账号上，否则，其投标保证金视为无效。</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（2）</w:t>
            </w:r>
            <w:r>
              <w:rPr>
                <w:rFonts w:hint="eastAsia" w:asciiTheme="minorEastAsia" w:hAnsiTheme="minorEastAsia" w:eastAsiaTheme="minorEastAsia" w:cstheme="minorEastAsia"/>
                <w:b w:val="0"/>
                <w:bCs/>
                <w:sz w:val="21"/>
                <w:szCs w:val="21"/>
              </w:rPr>
              <w:t>若采用银行保函时，出具保函的银行级别：应由“工商银行、农业银行、中国银行、建设银行、交通银行”五大国有商业银行之一或全国性股份制商业银行开具，银行应为地市级分、支行以上级别。并采用招标文件提供的格式。银行保函复印件装订在投标文件内，原件应在</w:t>
            </w:r>
            <w:r>
              <w:rPr>
                <w:rFonts w:hint="eastAsia" w:asciiTheme="minorEastAsia" w:hAnsiTheme="minorEastAsia" w:eastAsiaTheme="minorEastAsia" w:cstheme="minorEastAsia"/>
                <w:b w:val="0"/>
                <w:bCs/>
                <w:sz w:val="21"/>
                <w:szCs w:val="21"/>
                <w:highlight w:val="none"/>
                <w:u w:val="single"/>
              </w:rPr>
              <w:t>20</w:t>
            </w:r>
            <w:r>
              <w:rPr>
                <w:rFonts w:hint="eastAsia" w:asciiTheme="minorEastAsia" w:hAnsiTheme="minorEastAsia" w:eastAsiaTheme="minorEastAsia" w:cstheme="minorEastAsia"/>
                <w:b w:val="0"/>
                <w:bCs/>
                <w:sz w:val="21"/>
                <w:szCs w:val="21"/>
                <w:highlight w:val="none"/>
                <w:u w:val="single"/>
                <w:lang w:val="en-US" w:eastAsia="zh-CN"/>
              </w:rPr>
              <w:t>20</w:t>
            </w:r>
            <w:r>
              <w:rPr>
                <w:rFonts w:hint="eastAsia" w:asciiTheme="minorEastAsia" w:hAnsiTheme="minorEastAsia" w:eastAsiaTheme="minorEastAsia" w:cstheme="minorEastAsia"/>
                <w:b w:val="0"/>
                <w:bCs/>
                <w:sz w:val="21"/>
                <w:szCs w:val="21"/>
                <w:highlight w:val="none"/>
                <w:u w:val="single"/>
              </w:rPr>
              <w:t>年0</w:t>
            </w:r>
            <w:r>
              <w:rPr>
                <w:rFonts w:hint="eastAsia" w:asciiTheme="minorEastAsia" w:hAnsiTheme="minorEastAsia" w:eastAsiaTheme="minorEastAsia" w:cstheme="minorEastAsia"/>
                <w:b w:val="0"/>
                <w:bCs/>
                <w:sz w:val="21"/>
                <w:szCs w:val="21"/>
                <w:highlight w:val="none"/>
                <w:u w:val="single"/>
                <w:lang w:val="en-US" w:eastAsia="zh-CN"/>
              </w:rPr>
              <w:t>4</w:t>
            </w:r>
            <w:r>
              <w:rPr>
                <w:rFonts w:hint="eastAsia" w:asciiTheme="minorEastAsia" w:hAnsiTheme="minorEastAsia" w:eastAsiaTheme="minorEastAsia" w:cstheme="minorEastAsia"/>
                <w:b w:val="0"/>
                <w:bCs/>
                <w:sz w:val="21"/>
                <w:szCs w:val="21"/>
                <w:highlight w:val="none"/>
                <w:u w:val="single"/>
              </w:rPr>
              <w:t>月</w:t>
            </w:r>
            <w:r>
              <w:rPr>
                <w:rFonts w:hint="eastAsia" w:asciiTheme="minorEastAsia" w:hAnsiTheme="minorEastAsia" w:eastAsiaTheme="minorEastAsia" w:cstheme="minorEastAsia"/>
                <w:b w:val="0"/>
                <w:bCs/>
                <w:sz w:val="21"/>
                <w:szCs w:val="21"/>
                <w:highlight w:val="none"/>
                <w:u w:val="single"/>
                <w:lang w:val="en-US" w:eastAsia="zh-CN"/>
              </w:rPr>
              <w:t>11</w:t>
            </w:r>
            <w:r>
              <w:rPr>
                <w:rFonts w:hint="eastAsia" w:asciiTheme="minorEastAsia" w:hAnsiTheme="minorEastAsia" w:eastAsiaTheme="minorEastAsia" w:cstheme="minorEastAsia"/>
                <w:b w:val="0"/>
                <w:bCs/>
                <w:sz w:val="21"/>
                <w:szCs w:val="21"/>
                <w:highlight w:val="none"/>
                <w:u w:val="single"/>
              </w:rPr>
              <w:t xml:space="preserve">日 </w:t>
            </w:r>
            <w:r>
              <w:rPr>
                <w:rFonts w:hint="eastAsia" w:asciiTheme="minorEastAsia" w:hAnsiTheme="minorEastAsia" w:eastAsiaTheme="minorEastAsia" w:cstheme="minorEastAsia"/>
                <w:b w:val="0"/>
                <w:bCs/>
                <w:sz w:val="21"/>
                <w:szCs w:val="21"/>
                <w:u w:val="single"/>
              </w:rPr>
              <w:t xml:space="preserve">16:00 </w:t>
            </w:r>
            <w:r>
              <w:rPr>
                <w:rFonts w:hint="eastAsia" w:asciiTheme="minorEastAsia" w:hAnsiTheme="minorEastAsia" w:eastAsiaTheme="minorEastAsia" w:cstheme="minorEastAsia"/>
                <w:b w:val="0"/>
                <w:bCs/>
                <w:sz w:val="21"/>
                <w:szCs w:val="21"/>
              </w:rPr>
              <w:t>之前 单独密封递交给</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。投标人必须保证在</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通过银行询证其保函真伪时，应在投标截止时间前及时获得回复，</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最多为投标人询证2次，若开具保函的银行不及时回复</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的询证或不能全部确认招标人询证的内容，</w:t>
            </w:r>
            <w:r>
              <w:rPr>
                <w:rFonts w:hint="eastAsia" w:asciiTheme="minorEastAsia" w:hAnsiTheme="minorEastAsia" w:eastAsiaTheme="minorEastAsia" w:cstheme="minorEastAsia"/>
                <w:b w:val="0"/>
                <w:bCs/>
                <w:sz w:val="21"/>
                <w:szCs w:val="21"/>
                <w:lang w:val="en-US" w:eastAsia="zh-CN"/>
              </w:rPr>
              <w:t>招标代理机构</w:t>
            </w:r>
            <w:r>
              <w:rPr>
                <w:rFonts w:hint="eastAsia" w:asciiTheme="minorEastAsia" w:hAnsiTheme="minorEastAsia" w:eastAsiaTheme="minorEastAsia" w:cstheme="minorEastAsia"/>
                <w:b w:val="0"/>
                <w:bCs/>
                <w:sz w:val="21"/>
                <w:szCs w:val="21"/>
              </w:rPr>
              <w:t>将视为其保函无效，投标人将承担由此产生的一切后果。</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若投标人的基本账户开户许可证在购买招标文件后至递交投标担保截止时间之间发生更改，须提前2天以书面形式通知招标代理机构后持单位基本账户开户许可证原件到</w:t>
            </w:r>
            <w:r>
              <w:rPr>
                <w:rFonts w:hint="eastAsia" w:asciiTheme="minorEastAsia" w:hAnsiTheme="minorEastAsia" w:eastAsiaTheme="minorEastAsia" w:cstheme="minorEastAsia"/>
                <w:b w:val="0"/>
                <w:bCs/>
                <w:sz w:val="21"/>
                <w:szCs w:val="21"/>
              </w:rPr>
              <w:t>白城市胜利西路269号二楼招标代理部</w:t>
            </w:r>
            <w:r>
              <w:rPr>
                <w:rFonts w:hint="eastAsia" w:asciiTheme="minorEastAsia" w:hAnsiTheme="minorEastAsia" w:eastAsiaTheme="minorEastAsia" w:cstheme="minorEastAsia"/>
                <w:b w:val="0"/>
                <w:bCs/>
                <w:sz w:val="21"/>
                <w:szCs w:val="21"/>
                <w:lang w:val="zh-CN"/>
              </w:rPr>
              <w:t>，由招标人、招标代理机构进行确认，否则所递交投标担保无效。</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无论采取何种形式的投标保证金，投标保证金有效期均应与投标有效期一致。招标人如果按本章第 3.3.2 项的规定延长了投标有效期，则投标保 证金的有效期也相应延长。</w:t>
            </w:r>
          </w:p>
        </w:tc>
      </w:tr>
      <w:tr>
        <w:tblPrEx>
          <w:tblCellMar>
            <w:top w:w="0" w:type="dxa"/>
            <w:left w:w="28" w:type="dxa"/>
            <w:bottom w:w="0" w:type="dxa"/>
            <w:right w:w="28" w:type="dxa"/>
          </w:tblCellMar>
        </w:tblPrEx>
        <w:trPr>
          <w:trHeight w:val="90" w:hRule="atLeast"/>
        </w:trPr>
        <w:tc>
          <w:tcPr>
            <w:tcW w:w="1153" w:type="dxa"/>
            <w:tcBorders>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投标保证金的退还</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修改为：</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招标代理机构在中标通知书发出5日内向中标候选人以外的其他投标人退还投标保证金，与中标人签订书面合同后5日内，向中标人和其他中标候选人退还投标保证金。招标代理机构直接向中标及未中标投标人的基本账户（递交投标保证金时账户）返还投标保证金。</w:t>
            </w:r>
            <w:r>
              <w:rPr>
                <w:rFonts w:hint="eastAsia" w:asciiTheme="minorEastAsia" w:hAnsiTheme="minorEastAsia" w:eastAsiaTheme="minorEastAsia" w:cstheme="minorEastAsia"/>
                <w:b w:val="0"/>
                <w:bCs/>
                <w:kern w:val="0"/>
                <w:sz w:val="21"/>
                <w:szCs w:val="21"/>
                <w:highlight w:val="none"/>
                <w:lang w:val="zh-CN"/>
              </w:rPr>
              <w:t>（</w:t>
            </w:r>
            <w:r>
              <w:rPr>
                <w:rFonts w:hint="eastAsia" w:asciiTheme="minorEastAsia" w:hAnsiTheme="minorEastAsia" w:eastAsiaTheme="minorEastAsia" w:cstheme="minorEastAsia"/>
                <w:b w:val="0"/>
                <w:bCs/>
                <w:kern w:val="0"/>
                <w:sz w:val="21"/>
                <w:szCs w:val="21"/>
                <w:highlight w:val="none"/>
                <w:lang w:val="en-US" w:eastAsia="zh-CN"/>
              </w:rPr>
              <w:t>中标人递交招标代理费后返还投标保证金</w:t>
            </w:r>
            <w:r>
              <w:rPr>
                <w:rFonts w:hint="eastAsia" w:asciiTheme="minorEastAsia" w:hAnsiTheme="minorEastAsia" w:eastAsiaTheme="minorEastAsia" w:cstheme="minorEastAsia"/>
                <w:b w:val="0"/>
                <w:bCs/>
                <w:kern w:val="0"/>
                <w:sz w:val="21"/>
                <w:szCs w:val="21"/>
                <w:highlight w:val="none"/>
                <w:lang w:val="zh-CN"/>
              </w:rPr>
              <w:t>）。</w:t>
            </w:r>
          </w:p>
          <w:p>
            <w:pPr>
              <w:keepNext w:val="0"/>
              <w:keepLines w:val="0"/>
              <w:pageBreakBefore w:val="0"/>
              <w:widowControl/>
              <w:kinsoku/>
              <w:wordWrap/>
              <w:overflowPunct/>
              <w:topLinePunct w:val="0"/>
              <w:autoSpaceDE w:val="0"/>
              <w:autoSpaceDN w:val="0"/>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t>如投标人单位名称发生变化，需在公示结束后5个工作日内提交工商局出具的相关证明；如投标人开户行发生变化，需在公示结束后5个工作日内提交新基本户开户行出具的“开户许可证”。</w:t>
            </w:r>
          </w:p>
          <w:p>
            <w:pPr>
              <w:keepNext w:val="0"/>
              <w:keepLines w:val="0"/>
              <w:pageBreakBefore w:val="0"/>
              <w:widowControl/>
              <w:kinsoku/>
              <w:wordWrap/>
              <w:overflowPunct/>
              <w:topLinePunct w:val="0"/>
              <w:bidi w:val="0"/>
              <w:adjustRightInd w:val="0"/>
              <w:snapToGrid w:val="0"/>
              <w:spacing w:beforeAutospacing="0" w:after="0" w:afterAutospacing="0" w:line="360" w:lineRule="exact"/>
              <w:ind w:firstLine="411" w:firstLineChars="196"/>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投标人退还投标保证金时需携带（邮寄）如下资料到招标代理机构招标部：</w:t>
            </w:r>
          </w:p>
          <w:p>
            <w:pPr>
              <w:keepNext w:val="0"/>
              <w:keepLines w:val="0"/>
              <w:pageBreakBefore w:val="0"/>
              <w:widowControl/>
              <w:kinsoku/>
              <w:wordWrap/>
              <w:overflowPunct/>
              <w:topLinePunct w:val="0"/>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①退款单位开具的加盖财务章的财务收据（项目名称和标段应填写详细完整；若是中标单位，需事先咨询有关招标代理服务费事宜）；</w:t>
            </w:r>
          </w:p>
          <w:p>
            <w:pPr>
              <w:keepNext w:val="0"/>
              <w:keepLines w:val="0"/>
              <w:pageBreakBefore w:val="0"/>
              <w:widowControl/>
              <w:kinsoku/>
              <w:wordWrap/>
              <w:overflowPunct/>
              <w:topLinePunct w:val="0"/>
              <w:bidi w:val="0"/>
              <w:adjustRightInd w:val="0"/>
              <w:snapToGrid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②退款单位需提供开户许可证复印件；</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3.4.4</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其他可以不予退还投标保证金的情形</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增加：</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（4）投标人不接受依据评标办法的规定对其投标文件中细微偏差进行澄清和补正；</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（5）投标人提交了虚假资料；</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（6）投标人在投标过程中借用他人资质，互相串通、结盟，或违反国家有关规定，损害招标的公正性和竞争性进行投标者。</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autoSpaceDE w:val="0"/>
              <w:autoSpaceDN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rPr>
              <w:t>资格审查资料的特殊要求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ind w:right="113" w:firstLine="420" w:firstLineChars="200"/>
              <w:textAlignment w:val="auto"/>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sz w:val="21"/>
                <w:szCs w:val="21"/>
              </w:rPr>
              <w:t>本条所涉及到的对资格审查证明材料的具体要求</w:t>
            </w:r>
            <w:r>
              <w:rPr>
                <w:rFonts w:hint="eastAsia" w:asciiTheme="minorEastAsia" w:hAnsiTheme="minorEastAsia" w:eastAsiaTheme="minorEastAsia" w:cstheme="minorEastAsia"/>
                <w:b w:val="0"/>
                <w:bCs/>
                <w:kern w:val="0"/>
                <w:sz w:val="21"/>
                <w:szCs w:val="21"/>
              </w:rPr>
              <w:t>，以“第九章 投标文件格式”</w:t>
            </w:r>
            <w:r>
              <w:rPr>
                <w:rFonts w:hint="eastAsia" w:asciiTheme="minorEastAsia" w:hAnsiTheme="minorEastAsia" w:eastAsiaTheme="minorEastAsia" w:cstheme="minorEastAsia"/>
                <w:b w:val="0"/>
                <w:bCs/>
                <w:sz w:val="21"/>
                <w:szCs w:val="21"/>
              </w:rPr>
              <w:t xml:space="preserve"> 规定的表格内容填写资格审查表，并按各资格审查表的具体要求提供相关证件及证明材料。</w:t>
            </w:r>
            <w:r>
              <w:rPr>
                <w:rFonts w:hint="eastAsia" w:asciiTheme="minorEastAsia" w:hAnsiTheme="minorEastAsia" w:eastAsiaTheme="minorEastAsia" w:cstheme="minorEastAsia"/>
                <w:b w:val="0"/>
                <w:bCs/>
                <w:kern w:val="0"/>
                <w:sz w:val="21"/>
                <w:szCs w:val="21"/>
                <w:lang w:val="zh-CN"/>
              </w:rPr>
              <w:t>投标文件正本中所有复印件均指彩色扫描件或彩色复印件。</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3.5.1</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投标人基本情况表</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具备建设行政主管部门颁发的公路工程施工总承包一级、特级资质或公路交通工程专业承包公路安全设施分项资质的投标人应进入交通运输部 “ 全国公路建设市场信用信息管理系统（http: IIglxy.mot.gov.cn ）”中的公路工程施工资质企业名录，且投标人名称和资质与该名录中的相应企业名称和资质完全一致。</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3.5.2</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近年财务状况的年份要求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2018年</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3.5.3</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近年完成的类似项目的年份要求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本项修改为：</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时间：201</w:t>
            </w:r>
            <w:r>
              <w:rPr>
                <w:rFonts w:hint="eastAsia" w:asciiTheme="minorEastAsia" w:hAnsiTheme="minorEastAsia" w:eastAsiaTheme="minorEastAsia" w:cstheme="minorEastAsia"/>
                <w:b w:val="0"/>
                <w:bCs/>
                <w:sz w:val="21"/>
                <w:szCs w:val="21"/>
                <w:lang w:val="en-US" w:eastAsia="zh-CN"/>
              </w:rPr>
              <w:t>5</w:t>
            </w:r>
            <w:r>
              <w:rPr>
                <w:rFonts w:hint="eastAsia" w:asciiTheme="minorEastAsia" w:hAnsiTheme="minorEastAsia" w:eastAsiaTheme="minorEastAsia" w:cstheme="minorEastAsia"/>
                <w:b w:val="0"/>
                <w:bCs/>
                <w:sz w:val="21"/>
                <w:szCs w:val="21"/>
              </w:rPr>
              <w:t>年1月1日~投标截止时间交（竣）工的工程</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sz w:val="21"/>
                <w:szCs w:val="21"/>
              </w:rPr>
            </w:pP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3.5.4</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投标人的信誉情况表</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本款第三项修改:</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将“由项目所在地或投标人住所地检察机关职务犯罪预防部门出具的近</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三</w:t>
            </w:r>
            <w:r>
              <w:rPr>
                <w:rFonts w:hint="eastAsia" w:asciiTheme="minorEastAsia" w:hAnsiTheme="minorEastAsia" w:eastAsiaTheme="minorEastAsia" w:cstheme="minorEastAsia"/>
                <w:b w:val="0"/>
                <w:bCs/>
                <w:color w:val="000000"/>
                <w:sz w:val="21"/>
                <w:szCs w:val="21"/>
              </w:rPr>
              <w:t>年内投标人及其法定代表人、拟委任的项目经理均无行贿犯罪行为的查</w:t>
            </w:r>
            <w:r>
              <w:rPr>
                <w:rFonts w:hint="eastAsia" w:asciiTheme="minorEastAsia" w:hAnsiTheme="minorEastAsia" w:eastAsiaTheme="minorEastAsia" w:cstheme="minorEastAsia"/>
                <w:b w:val="0"/>
                <w:bCs/>
                <w:color w:val="000000"/>
                <w:sz w:val="21"/>
                <w:szCs w:val="21"/>
                <w:lang w:val="en-US" w:eastAsia="zh-CN"/>
              </w:rPr>
              <w:t>询记录证明原件。”修改为“投标人应对投标人单位和个人(指法定代表人、拟投入的项目经理)在中国裁判文书网http://wenshu. court. gov. cn自行查询行贿犯罪记录，并将网页截图附在投标文件中，查询后有行贿犯罪行为的投标人或未按要求查询的均不能通过本项目的资格审查。评审时将按投标人提供的网页截图进行必要的网上核实。”</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3.5.5</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拟委任的项目经理和项目总工资历表</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sz w:val="21"/>
                <w:szCs w:val="21"/>
                <w:lang w:val="en-US" w:eastAsia="zh-CN"/>
              </w:rPr>
              <w:t>投标人应根据招标文件第二章“投标人须知”第3.5.5项的要求附相关人员证明材料。</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rPr>
              <w:t>3.5.10</w:t>
            </w:r>
          </w:p>
        </w:tc>
        <w:tc>
          <w:tcPr>
            <w:tcW w:w="1970" w:type="dxa"/>
            <w:gridSpan w:val="2"/>
            <w:tcBorders>
              <w:top w:val="single" w:color="auto"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填报的资质、业绩、主要人员资历和目前在岗情况、信用等级等信息</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本款修改为：</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以投标人填报的书面材料为准，投标人应对相关内容的真实性、完整性和准确性负责。</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3.6.1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是否允许递交备选投标方案</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lang w:val="zh-CN"/>
              </w:rPr>
              <w:instrText xml:space="preserve"> eq \o\ac(</w:instrText>
            </w:r>
            <w:r>
              <w:rPr>
                <w:rFonts w:hint="eastAsia" w:asciiTheme="minorEastAsia" w:hAnsiTheme="minorEastAsia" w:eastAsiaTheme="minorEastAsia" w:cstheme="minorEastAsia"/>
                <w:b w:val="0"/>
                <w:bCs/>
                <w:kern w:val="0"/>
                <w:position w:val="-4"/>
                <w:sz w:val="31"/>
                <w:szCs w:val="21"/>
                <w:lang w:val="zh-CN"/>
              </w:rPr>
              <w:instrText xml:space="preserve">□</w:instrText>
            </w:r>
            <w:r>
              <w:rPr>
                <w:rFonts w:hint="eastAsia" w:asciiTheme="minorEastAsia" w:hAnsiTheme="minorEastAsia" w:eastAsiaTheme="minorEastAsia" w:cstheme="minorEastAsia"/>
                <w:b w:val="0"/>
                <w:bCs/>
                <w:kern w:val="0"/>
                <w:position w:val="0"/>
                <w:sz w:val="21"/>
                <w:szCs w:val="21"/>
                <w:lang w:val="zh-CN"/>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kern w:val="0"/>
                <w:sz w:val="21"/>
                <w:szCs w:val="21"/>
                <w:lang w:val="zh-CN"/>
              </w:rPr>
              <w:t>不允许</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kern w:val="0"/>
                <w:sz w:val="21"/>
                <w:szCs w:val="21"/>
                <w:lang w:val="zh-CN"/>
              </w:rPr>
              <w:t>允许</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3.7.3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签字或盖章</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其他要求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满足第九章 投标文件格式的要求</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3.7.4</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投标文件副本份数</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highlight w:val="none"/>
              </w:rPr>
              <w:t>3份，另加</w:t>
            </w:r>
            <w:r>
              <w:rPr>
                <w:rFonts w:hint="eastAsia" w:asciiTheme="minorEastAsia" w:hAnsiTheme="minorEastAsia" w:eastAsiaTheme="minorEastAsia" w:cstheme="minorEastAsia"/>
                <w:b w:val="0"/>
                <w:bCs/>
                <w:sz w:val="21"/>
                <w:szCs w:val="21"/>
                <w:highlight w:val="none"/>
                <w:u w:val="single"/>
              </w:rPr>
              <w:t>1</w:t>
            </w:r>
            <w:r>
              <w:rPr>
                <w:rFonts w:hint="eastAsia" w:asciiTheme="minorEastAsia" w:hAnsiTheme="minorEastAsia" w:eastAsiaTheme="minorEastAsia" w:cstheme="minorEastAsia"/>
                <w:b w:val="0"/>
                <w:bCs/>
                <w:sz w:val="21"/>
                <w:szCs w:val="21"/>
                <w:highlight w:val="none"/>
              </w:rPr>
              <w:t>份电子版投标文件和电子版工程量清单（U盘）</w:t>
            </w:r>
            <w:r>
              <w:rPr>
                <w:rFonts w:hint="eastAsia" w:asciiTheme="minorEastAsia" w:hAnsiTheme="minorEastAsia" w:eastAsiaTheme="minorEastAsia" w:cstheme="minorEastAsia"/>
                <w:b w:val="0"/>
                <w:bCs/>
                <w:sz w:val="21"/>
                <w:szCs w:val="21"/>
                <w:highlight w:val="none"/>
                <w:lang w:val="zh-CN"/>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3.7.5</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装订要求</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投标文件商务及技术文件（第一个信封）书脊上应明确标注投标人的单位名称及标段号；</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t>编制完整的投标文件，逐页标注连续页码，页码格式为连续的自然数字（如：1、2、3、4……）。</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4.1.1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投标文件的密封</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投标文件应采用双信封形式密封。投标文件第一个信封（商务及技术文件）以及第二个信封（报价文件）应单独密封包装。商务及技术文件的正本与副本应统一密封在一个封套中。报价文件的正本与副本以及</w:t>
            </w:r>
            <w:r>
              <w:rPr>
                <w:rFonts w:hint="eastAsia" w:asciiTheme="minorEastAsia" w:hAnsiTheme="minorEastAsia" w:eastAsiaTheme="minorEastAsia" w:cstheme="minorEastAsia"/>
                <w:b w:val="0"/>
                <w:bCs/>
                <w:sz w:val="21"/>
                <w:szCs w:val="21"/>
              </w:rPr>
              <w:t>U盘（</w:t>
            </w:r>
            <w:r>
              <w:rPr>
                <w:rFonts w:hint="eastAsia" w:asciiTheme="minorEastAsia" w:hAnsiTheme="minorEastAsia" w:eastAsiaTheme="minorEastAsia" w:cstheme="minorEastAsia"/>
                <w:b w:val="0"/>
                <w:bCs/>
                <w:sz w:val="21"/>
                <w:szCs w:val="21"/>
                <w:lang w:val="zh-CN"/>
              </w:rPr>
              <w:t>电子版投标文件以及</w:t>
            </w:r>
            <w:r>
              <w:rPr>
                <w:rFonts w:hint="eastAsia" w:asciiTheme="minorEastAsia" w:hAnsiTheme="minorEastAsia" w:eastAsiaTheme="minorEastAsia" w:cstheme="minorEastAsia"/>
                <w:b w:val="0"/>
                <w:bCs/>
                <w:sz w:val="21"/>
                <w:szCs w:val="21"/>
              </w:rPr>
              <w:t>电子版工程量清单</w:t>
            </w:r>
            <w:r>
              <w:rPr>
                <w:rFonts w:hint="eastAsia" w:asciiTheme="minorEastAsia" w:hAnsiTheme="minorEastAsia" w:eastAsiaTheme="minorEastAsia" w:cstheme="minorEastAsia"/>
                <w:b w:val="0"/>
                <w:bCs/>
                <w:sz w:val="21"/>
                <w:szCs w:val="21"/>
                <w:lang w:val="zh-CN"/>
              </w:rPr>
              <w:t>）应统一密封在另一个封套中。封套应加贴封条，并在封套的封口处加盖投标人单位章或由投标人的法定代表人或其委托代理人签字。</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采用银行保函形式提交投标保证金的，银行保函原件应密封在单独的封套中。</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4.1.2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封套上应载明的信息</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投标文件第一个信封（商务及技术文件）封套：</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招标人名称：</w:t>
            </w:r>
            <w:r>
              <w:rPr>
                <w:rFonts w:hint="eastAsia" w:asciiTheme="minorEastAsia" w:hAnsiTheme="minorEastAsia" w:eastAsiaTheme="minorEastAsia" w:cstheme="minorEastAsia"/>
                <w:b w:val="0"/>
                <w:bCs/>
                <w:sz w:val="21"/>
                <w:szCs w:val="21"/>
                <w:u w:val="single"/>
              </w:rPr>
              <w:t>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招标人地址：</w:t>
            </w:r>
            <w:r>
              <w:rPr>
                <w:rFonts w:hint="eastAsia" w:asciiTheme="minorEastAsia" w:hAnsiTheme="minorEastAsia" w:eastAsiaTheme="minorEastAsia" w:cstheme="minorEastAsia"/>
                <w:b w:val="0"/>
                <w:bCs/>
                <w:sz w:val="21"/>
                <w:szCs w:val="21"/>
                <w:u w:val="single"/>
              </w:rPr>
              <w:t>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（项目名称）</w:t>
            </w: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标段施工招标第一个信封（商务及技术文件）投标文件</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u w:val="single"/>
              </w:rPr>
            </w:pPr>
            <w:r>
              <w:rPr>
                <w:rFonts w:hint="eastAsia" w:asciiTheme="minorEastAsia" w:hAnsiTheme="minorEastAsia" w:eastAsiaTheme="minorEastAsia" w:cstheme="minorEastAsia"/>
                <w:b w:val="0"/>
                <w:bCs/>
                <w:sz w:val="21"/>
                <w:szCs w:val="21"/>
              </w:rPr>
              <w:t>招标项目编号：</w:t>
            </w:r>
            <w:r>
              <w:rPr>
                <w:rFonts w:hint="eastAsia" w:asciiTheme="minorEastAsia" w:hAnsiTheme="minorEastAsia" w:eastAsiaTheme="minorEastAsia" w:cstheme="minorEastAsia"/>
                <w:b w:val="0"/>
                <w:bCs/>
                <w:sz w:val="21"/>
                <w:szCs w:val="21"/>
                <w:u w:val="single"/>
              </w:rPr>
              <w:t xml:space="preserve">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在 </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年</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月</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日</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 xml:space="preserve"> 时</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分（第一个信封开标时间）前不得开启</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投标人名称：</w:t>
            </w: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 xml:space="preserve">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投标文件第二个信封（报价文件）封套：</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招标人名称：</w:t>
            </w:r>
            <w:r>
              <w:rPr>
                <w:rFonts w:hint="eastAsia" w:asciiTheme="minorEastAsia" w:hAnsiTheme="minorEastAsia" w:eastAsiaTheme="minorEastAsia" w:cstheme="minorEastAsia"/>
                <w:b w:val="0"/>
                <w:bCs/>
                <w:sz w:val="21"/>
                <w:szCs w:val="21"/>
                <w:u w:val="single"/>
              </w:rPr>
              <w:t>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招标人地址：</w:t>
            </w:r>
            <w:r>
              <w:rPr>
                <w:rFonts w:hint="eastAsia" w:asciiTheme="minorEastAsia" w:hAnsiTheme="minorEastAsia" w:eastAsiaTheme="minorEastAsia" w:cstheme="minorEastAsia"/>
                <w:b w:val="0"/>
                <w:bCs/>
                <w:sz w:val="21"/>
                <w:szCs w:val="21"/>
                <w:u w:val="single"/>
              </w:rPr>
              <w:t>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（项目名称）</w:t>
            </w:r>
            <w:r>
              <w:rPr>
                <w:rFonts w:hint="eastAsia" w:asciiTheme="minorEastAsia" w:hAnsiTheme="minorEastAsia" w:eastAsiaTheme="minorEastAsia" w:cstheme="minorEastAsia"/>
                <w:b w:val="0"/>
                <w:bCs/>
                <w:sz w:val="21"/>
                <w:szCs w:val="21"/>
                <w:u w:val="single"/>
              </w:rPr>
              <w:t>       </w:t>
            </w:r>
            <w:r>
              <w:rPr>
                <w:rFonts w:hint="eastAsia" w:asciiTheme="minorEastAsia" w:hAnsiTheme="minorEastAsia" w:eastAsiaTheme="minorEastAsia" w:cstheme="minorEastAsia"/>
                <w:b w:val="0"/>
                <w:bCs/>
                <w:sz w:val="21"/>
                <w:szCs w:val="21"/>
              </w:rPr>
              <w:t>标段施工招标第二个信封（报价文件）投标文件</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招标项目编号：</w:t>
            </w:r>
            <w:r>
              <w:rPr>
                <w:rFonts w:hint="eastAsia" w:asciiTheme="minorEastAsia" w:hAnsiTheme="minorEastAsia" w:eastAsiaTheme="minorEastAsia" w:cstheme="minorEastAsia"/>
                <w:b w:val="0"/>
                <w:bCs/>
                <w:sz w:val="21"/>
                <w:szCs w:val="21"/>
                <w:u w:val="single"/>
              </w:rPr>
              <w:t xml:space="preserve">       </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在</w:t>
            </w:r>
            <w:r>
              <w:rPr>
                <w:rFonts w:hint="eastAsia" w:asciiTheme="minorEastAsia" w:hAnsiTheme="minorEastAsia" w:eastAsiaTheme="minorEastAsia" w:cstheme="minorEastAsia"/>
                <w:b w:val="0"/>
                <w:bCs/>
                <w:kern w:val="0"/>
                <w:sz w:val="21"/>
                <w:szCs w:val="21"/>
                <w:lang w:val="zh-CN"/>
              </w:rPr>
              <w:t>第二个信封</w:t>
            </w:r>
            <w:r>
              <w:rPr>
                <w:rFonts w:hint="eastAsia" w:asciiTheme="minorEastAsia" w:hAnsiTheme="minorEastAsia" w:eastAsiaTheme="minorEastAsia" w:cstheme="minorEastAsia"/>
                <w:b w:val="0"/>
                <w:bCs/>
                <w:sz w:val="21"/>
                <w:szCs w:val="21"/>
              </w:rPr>
              <w:t>（报价文件）</w:t>
            </w:r>
            <w:r>
              <w:rPr>
                <w:rFonts w:hint="eastAsia" w:asciiTheme="minorEastAsia" w:hAnsiTheme="minorEastAsia" w:eastAsiaTheme="minorEastAsia" w:cstheme="minorEastAsia"/>
                <w:b w:val="0"/>
                <w:bCs/>
                <w:kern w:val="0"/>
                <w:sz w:val="21"/>
                <w:szCs w:val="21"/>
                <w:lang w:val="zh-CN"/>
              </w:rPr>
              <w:t>开标</w:t>
            </w:r>
            <w:r>
              <w:rPr>
                <w:rFonts w:hint="eastAsia" w:asciiTheme="minorEastAsia" w:hAnsiTheme="minorEastAsia" w:eastAsiaTheme="minorEastAsia" w:cstheme="minorEastAsia"/>
                <w:b w:val="0"/>
                <w:bCs/>
                <w:sz w:val="21"/>
                <w:szCs w:val="21"/>
              </w:rPr>
              <w:t>前不得开启</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投标人名称：</w:t>
            </w:r>
            <w:r>
              <w:rPr>
                <w:rFonts w:hint="eastAsia" w:asciiTheme="minorEastAsia" w:hAnsiTheme="minorEastAsia" w:eastAsiaTheme="minorEastAsia" w:cstheme="minorEastAsia"/>
                <w:b w:val="0"/>
                <w:bCs/>
                <w:sz w:val="21"/>
                <w:szCs w:val="21"/>
                <w:u w:val="single"/>
              </w:rPr>
              <w:t>                   </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4.2.3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是否退还投标文件</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kern w:val="0"/>
                <w:sz w:val="21"/>
                <w:szCs w:val="21"/>
                <w:lang w:val="zh-CN"/>
              </w:rPr>
              <w:t>否</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kern w:val="0"/>
                <w:sz w:val="21"/>
                <w:szCs w:val="21"/>
                <w:lang w:val="zh-CN"/>
              </w:rPr>
            </w:pPr>
            <w:r>
              <w:rPr>
                <w:rFonts w:hint="eastAsia" w:asciiTheme="minorEastAsia" w:hAnsiTheme="minorEastAsia" w:eastAsiaTheme="minorEastAsia" w:cstheme="minorEastAsia"/>
                <w:b w:val="0"/>
                <w:bCs/>
                <w:kern w:val="0"/>
                <w:sz w:val="21"/>
                <w:szCs w:val="21"/>
                <w:lang w:val="zh-CN"/>
              </w:rPr>
              <w:fldChar w:fldCharType="begin"/>
            </w:r>
            <w:r>
              <w:rPr>
                <w:rFonts w:hint="eastAsia" w:asciiTheme="minorEastAsia" w:hAnsiTheme="minorEastAsia" w:eastAsiaTheme="minorEastAsia" w:cstheme="minorEastAsia"/>
                <w:b w:val="0"/>
                <w:bCs/>
                <w:kern w:val="0"/>
                <w:sz w:val="21"/>
                <w:szCs w:val="21"/>
                <w:lang w:val="zh-CN"/>
              </w:rPr>
              <w:instrText xml:space="preserve"> eq \o\ac(</w:instrText>
            </w:r>
            <w:r>
              <w:rPr>
                <w:rFonts w:hint="eastAsia" w:asciiTheme="minorEastAsia" w:hAnsiTheme="minorEastAsia" w:eastAsiaTheme="minorEastAsia" w:cstheme="minorEastAsia"/>
                <w:b w:val="0"/>
                <w:bCs/>
                <w:kern w:val="0"/>
                <w:position w:val="-4"/>
                <w:sz w:val="31"/>
                <w:szCs w:val="21"/>
                <w:lang w:val="zh-CN"/>
              </w:rPr>
              <w:instrText xml:space="preserve">□</w:instrText>
            </w:r>
            <w:r>
              <w:rPr>
                <w:rFonts w:hint="eastAsia" w:asciiTheme="minorEastAsia" w:hAnsiTheme="minorEastAsia" w:eastAsiaTheme="minorEastAsia" w:cstheme="minorEastAsia"/>
                <w:b w:val="0"/>
                <w:bCs/>
                <w:kern w:val="0"/>
                <w:position w:val="0"/>
                <w:sz w:val="21"/>
                <w:szCs w:val="21"/>
                <w:lang w:val="zh-CN"/>
              </w:rPr>
              <w:instrText xml:space="preserve">,√)</w:instrText>
            </w:r>
            <w:r>
              <w:rPr>
                <w:rFonts w:hint="eastAsia" w:asciiTheme="minorEastAsia" w:hAnsiTheme="minorEastAsia" w:eastAsiaTheme="minorEastAsia" w:cstheme="minorEastAsia"/>
                <w:b w:val="0"/>
                <w:bCs/>
                <w:kern w:val="0"/>
                <w:sz w:val="21"/>
                <w:szCs w:val="21"/>
                <w:lang w:val="zh-CN"/>
              </w:rPr>
              <w:fldChar w:fldCharType="end"/>
            </w:r>
            <w:r>
              <w:rPr>
                <w:rFonts w:hint="eastAsia" w:asciiTheme="minorEastAsia" w:hAnsiTheme="minorEastAsia" w:eastAsiaTheme="minorEastAsia" w:cstheme="minorEastAsia"/>
                <w:b w:val="0"/>
                <w:bCs/>
                <w:kern w:val="0"/>
                <w:sz w:val="21"/>
                <w:szCs w:val="21"/>
                <w:lang w:val="zh-CN"/>
              </w:rPr>
              <w:t>是，①将未通过第一个信封（商务及技术文件）评审的投标文件第二个信封（报价文件）退还给投标人。</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lang w:val="zh-CN"/>
              </w:rPr>
              <w:t>②通过第一个信封（商务及技术文件）评审且综合评分前三名以外的投标文件第二个信封（报价文件）退还给投标人。</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开标时间和地点</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投标文件第一个信封（商务及技术文件）</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rPr>
              <w:t>开标时间：同投标截止时间，</w:t>
            </w:r>
            <w:r>
              <w:rPr>
                <w:rFonts w:hint="eastAsia" w:asciiTheme="minorEastAsia" w:hAnsiTheme="minorEastAsia" w:eastAsiaTheme="minorEastAsia" w:cstheme="minorEastAsia"/>
                <w:b w:val="0"/>
                <w:bCs/>
                <w:kern w:val="0"/>
                <w:sz w:val="21"/>
                <w:szCs w:val="21"/>
                <w:highlight w:val="none"/>
                <w:lang w:val="zh-CN"/>
              </w:rPr>
              <w:t>20</w:t>
            </w:r>
            <w:r>
              <w:rPr>
                <w:rFonts w:hint="eastAsia" w:asciiTheme="minorEastAsia" w:hAnsiTheme="minorEastAsia" w:eastAsiaTheme="minorEastAsia" w:cstheme="minorEastAsia"/>
                <w:b w:val="0"/>
                <w:bCs/>
                <w:kern w:val="0"/>
                <w:sz w:val="21"/>
                <w:szCs w:val="21"/>
                <w:highlight w:val="none"/>
                <w:lang w:val="en-US" w:eastAsia="zh-CN"/>
              </w:rPr>
              <w:t>20</w:t>
            </w:r>
            <w:r>
              <w:rPr>
                <w:rFonts w:hint="eastAsia" w:asciiTheme="minorEastAsia" w:hAnsiTheme="minorEastAsia" w:eastAsiaTheme="minorEastAsia" w:cstheme="minorEastAsia"/>
                <w:b w:val="0"/>
                <w:bCs/>
                <w:kern w:val="0"/>
                <w:sz w:val="21"/>
                <w:szCs w:val="21"/>
                <w:highlight w:val="none"/>
                <w:lang w:val="zh-CN"/>
              </w:rPr>
              <w:t>年</w:t>
            </w:r>
            <w:r>
              <w:rPr>
                <w:rFonts w:hint="eastAsia" w:asciiTheme="minorEastAsia" w:hAnsiTheme="minorEastAsia" w:eastAsiaTheme="minorEastAsia" w:cstheme="minorEastAsia"/>
                <w:b w:val="0"/>
                <w:bCs/>
                <w:kern w:val="0"/>
                <w:sz w:val="21"/>
                <w:szCs w:val="21"/>
                <w:highlight w:val="none"/>
                <w:lang w:val="en-US" w:eastAsia="zh-CN"/>
              </w:rPr>
              <w:t>04</w:t>
            </w:r>
            <w:r>
              <w:rPr>
                <w:rFonts w:hint="eastAsia" w:asciiTheme="minorEastAsia" w:hAnsiTheme="minorEastAsia" w:eastAsiaTheme="minorEastAsia" w:cstheme="minorEastAsia"/>
                <w:b w:val="0"/>
                <w:bCs/>
                <w:kern w:val="0"/>
                <w:sz w:val="21"/>
                <w:szCs w:val="21"/>
                <w:highlight w:val="none"/>
                <w:lang w:val="zh-CN"/>
              </w:rPr>
              <w:t>月</w:t>
            </w:r>
            <w:r>
              <w:rPr>
                <w:rFonts w:hint="eastAsia" w:asciiTheme="minorEastAsia" w:hAnsiTheme="minorEastAsia" w:eastAsiaTheme="minorEastAsia" w:cstheme="minorEastAsia"/>
                <w:b w:val="0"/>
                <w:bCs/>
                <w:kern w:val="0"/>
                <w:sz w:val="21"/>
                <w:szCs w:val="21"/>
                <w:highlight w:val="none"/>
                <w:lang w:val="en-US" w:eastAsia="zh-CN"/>
              </w:rPr>
              <w:t>16</w:t>
            </w:r>
            <w:r>
              <w:rPr>
                <w:rFonts w:hint="eastAsia" w:asciiTheme="minorEastAsia" w:hAnsiTheme="minorEastAsia" w:eastAsiaTheme="minorEastAsia" w:cstheme="minorEastAsia"/>
                <w:b w:val="0"/>
                <w:bCs/>
                <w:kern w:val="0"/>
                <w:sz w:val="21"/>
                <w:szCs w:val="21"/>
                <w:highlight w:val="none"/>
                <w:lang w:val="zh-CN"/>
              </w:rPr>
              <w:t>日9时00分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pacing w:val="-4"/>
                <w:sz w:val="21"/>
                <w:szCs w:val="21"/>
                <w:highlight w:val="none"/>
              </w:rPr>
            </w:pPr>
            <w:r>
              <w:rPr>
                <w:rFonts w:hint="eastAsia" w:asciiTheme="minorEastAsia" w:hAnsiTheme="minorEastAsia" w:eastAsiaTheme="minorEastAsia" w:cstheme="minorEastAsia"/>
                <w:b w:val="0"/>
                <w:bCs/>
                <w:sz w:val="21"/>
                <w:szCs w:val="21"/>
                <w:highlight w:val="none"/>
              </w:rPr>
              <w:t>投标文件第一个信封（商务及技术文件）</w:t>
            </w:r>
            <w:r>
              <w:rPr>
                <w:rFonts w:hint="eastAsia" w:asciiTheme="minorEastAsia" w:hAnsiTheme="minorEastAsia" w:eastAsiaTheme="minorEastAsia" w:cstheme="minorEastAsia"/>
                <w:b w:val="0"/>
                <w:bCs/>
                <w:spacing w:val="-4"/>
                <w:sz w:val="21"/>
                <w:szCs w:val="21"/>
                <w:highlight w:val="none"/>
              </w:rPr>
              <w:t>开标地点：</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pacing w:val="-4"/>
                <w:sz w:val="21"/>
                <w:szCs w:val="21"/>
                <w:highlight w:val="none"/>
              </w:rPr>
            </w:pPr>
            <w:r>
              <w:rPr>
                <w:rFonts w:hint="eastAsia" w:asciiTheme="minorEastAsia" w:hAnsiTheme="minorEastAsia" w:eastAsiaTheme="minorEastAsia" w:cstheme="minorEastAsia"/>
                <w:b w:val="0"/>
                <w:bCs/>
                <w:spacing w:val="-4"/>
                <w:sz w:val="21"/>
                <w:szCs w:val="21"/>
                <w:highlight w:val="none"/>
                <w:lang w:val="en-US" w:eastAsia="zh-CN"/>
              </w:rPr>
              <w:t xml:space="preserve">吉林省公共资源交易中心4楼（长春市人民大街9999号 </w:t>
            </w:r>
            <w:r>
              <w:rPr>
                <w:rFonts w:hint="eastAsia" w:asciiTheme="minorEastAsia" w:hAnsiTheme="minorEastAsia" w:eastAsiaTheme="minorEastAsia" w:cstheme="minorEastAsia"/>
                <w:b w:val="0"/>
                <w:bCs/>
                <w:spacing w:val="-4"/>
                <w:sz w:val="21"/>
                <w:szCs w:val="21"/>
                <w:highlight w:val="none"/>
              </w:rPr>
              <w:t>吉林省</w:t>
            </w:r>
            <w:r>
              <w:rPr>
                <w:rFonts w:hint="eastAsia" w:asciiTheme="minorEastAsia" w:hAnsiTheme="minorEastAsia" w:eastAsiaTheme="minorEastAsia" w:cstheme="minorEastAsia"/>
                <w:b w:val="0"/>
                <w:bCs/>
                <w:spacing w:val="-4"/>
                <w:sz w:val="21"/>
                <w:szCs w:val="21"/>
                <w:highlight w:val="none"/>
                <w:lang w:val="en-US" w:eastAsia="zh-CN"/>
              </w:rPr>
              <w:t>人民政府</w:t>
            </w:r>
            <w:r>
              <w:rPr>
                <w:rFonts w:hint="eastAsia" w:asciiTheme="minorEastAsia" w:hAnsiTheme="minorEastAsia" w:eastAsiaTheme="minorEastAsia" w:cstheme="minorEastAsia"/>
                <w:b w:val="0"/>
                <w:bCs/>
                <w:spacing w:val="-4"/>
                <w:sz w:val="21"/>
                <w:szCs w:val="21"/>
                <w:highlight w:val="none"/>
              </w:rPr>
              <w:t>政务大厅</w:t>
            </w:r>
            <w:r>
              <w:rPr>
                <w:rFonts w:hint="eastAsia" w:asciiTheme="minorEastAsia" w:hAnsiTheme="minorEastAsia" w:eastAsiaTheme="minorEastAsia" w:cstheme="minorEastAsia"/>
                <w:b w:val="0"/>
                <w:bCs/>
                <w:spacing w:val="-4"/>
                <w:sz w:val="21"/>
                <w:szCs w:val="21"/>
                <w:highlight w:val="none"/>
                <w:lang w:val="en-US" w:eastAsia="zh-CN"/>
              </w:rPr>
              <w:t>）</w:t>
            </w:r>
            <w:r>
              <w:rPr>
                <w:rFonts w:hint="eastAsia" w:asciiTheme="minorEastAsia" w:hAnsiTheme="minorEastAsia" w:eastAsiaTheme="minorEastAsia" w:cstheme="minorEastAsia"/>
                <w:b w:val="0"/>
                <w:bCs/>
                <w:spacing w:val="-4"/>
                <w:sz w:val="21"/>
                <w:szCs w:val="21"/>
                <w:highlight w:val="none"/>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投标文件第二个信封（报价文件）</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highlight w:val="none"/>
              </w:rPr>
              <w:t>开标时间：</w:t>
            </w:r>
            <w:r>
              <w:rPr>
                <w:rFonts w:hint="eastAsia" w:asciiTheme="minorEastAsia" w:hAnsiTheme="minorEastAsia" w:eastAsiaTheme="minorEastAsia" w:cstheme="minorEastAsia"/>
                <w:b w:val="0"/>
                <w:bCs/>
                <w:kern w:val="0"/>
                <w:sz w:val="21"/>
                <w:szCs w:val="21"/>
                <w:highlight w:val="none"/>
                <w:lang w:val="zh-CN"/>
              </w:rPr>
              <w:t>20</w:t>
            </w:r>
            <w:r>
              <w:rPr>
                <w:rFonts w:hint="eastAsia" w:asciiTheme="minorEastAsia" w:hAnsiTheme="minorEastAsia" w:eastAsiaTheme="minorEastAsia" w:cstheme="minorEastAsia"/>
                <w:b w:val="0"/>
                <w:bCs/>
                <w:kern w:val="0"/>
                <w:sz w:val="21"/>
                <w:szCs w:val="21"/>
                <w:highlight w:val="none"/>
                <w:lang w:val="en-US" w:eastAsia="zh-CN"/>
              </w:rPr>
              <w:t>20</w:t>
            </w:r>
            <w:r>
              <w:rPr>
                <w:rFonts w:hint="eastAsia" w:asciiTheme="minorEastAsia" w:hAnsiTheme="minorEastAsia" w:eastAsiaTheme="minorEastAsia" w:cstheme="minorEastAsia"/>
                <w:b w:val="0"/>
                <w:bCs/>
                <w:kern w:val="0"/>
                <w:sz w:val="21"/>
                <w:szCs w:val="21"/>
                <w:highlight w:val="none"/>
                <w:lang w:val="zh-CN"/>
              </w:rPr>
              <w:t>年</w:t>
            </w:r>
            <w:r>
              <w:rPr>
                <w:rFonts w:hint="eastAsia" w:asciiTheme="minorEastAsia" w:hAnsiTheme="minorEastAsia" w:eastAsiaTheme="minorEastAsia" w:cstheme="minorEastAsia"/>
                <w:b w:val="0"/>
                <w:bCs/>
                <w:kern w:val="0"/>
                <w:sz w:val="21"/>
                <w:szCs w:val="21"/>
                <w:highlight w:val="none"/>
                <w:lang w:val="en-US" w:eastAsia="zh-CN"/>
              </w:rPr>
              <w:t>04</w:t>
            </w:r>
            <w:r>
              <w:rPr>
                <w:rFonts w:hint="eastAsia" w:asciiTheme="minorEastAsia" w:hAnsiTheme="minorEastAsia" w:eastAsiaTheme="minorEastAsia" w:cstheme="minorEastAsia"/>
                <w:b w:val="0"/>
                <w:bCs/>
                <w:kern w:val="0"/>
                <w:sz w:val="21"/>
                <w:szCs w:val="21"/>
                <w:highlight w:val="none"/>
                <w:lang w:val="zh-CN"/>
              </w:rPr>
              <w:t>月</w:t>
            </w:r>
            <w:r>
              <w:rPr>
                <w:rFonts w:hint="eastAsia" w:asciiTheme="minorEastAsia" w:hAnsiTheme="minorEastAsia" w:eastAsiaTheme="minorEastAsia" w:cstheme="minorEastAsia"/>
                <w:b w:val="0"/>
                <w:bCs/>
                <w:kern w:val="0"/>
                <w:sz w:val="21"/>
                <w:szCs w:val="21"/>
                <w:highlight w:val="none"/>
                <w:lang w:val="en-US" w:eastAsia="zh-CN"/>
              </w:rPr>
              <w:t>16</w:t>
            </w:r>
            <w:r>
              <w:rPr>
                <w:rFonts w:hint="eastAsia" w:asciiTheme="minorEastAsia" w:hAnsiTheme="minorEastAsia" w:eastAsiaTheme="minorEastAsia" w:cstheme="minorEastAsia"/>
                <w:b w:val="0"/>
                <w:bCs/>
                <w:kern w:val="0"/>
                <w:sz w:val="21"/>
                <w:szCs w:val="21"/>
                <w:highlight w:val="none"/>
                <w:lang w:val="zh-CN"/>
              </w:rPr>
              <w:t>日14时00分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pacing w:val="-4"/>
                <w:sz w:val="21"/>
                <w:szCs w:val="21"/>
              </w:rPr>
            </w:pPr>
            <w:r>
              <w:rPr>
                <w:rFonts w:hint="eastAsia" w:asciiTheme="minorEastAsia" w:hAnsiTheme="minorEastAsia" w:eastAsiaTheme="minorEastAsia" w:cstheme="minorEastAsia"/>
                <w:b w:val="0"/>
                <w:bCs/>
                <w:sz w:val="21"/>
                <w:szCs w:val="21"/>
              </w:rPr>
              <w:t>投标文件第二个信封（报价文件）</w:t>
            </w:r>
            <w:r>
              <w:rPr>
                <w:rFonts w:hint="eastAsia" w:asciiTheme="minorEastAsia" w:hAnsiTheme="minorEastAsia" w:eastAsiaTheme="minorEastAsia" w:cstheme="minorEastAsia"/>
                <w:b w:val="0"/>
                <w:bCs/>
                <w:spacing w:val="-4"/>
                <w:sz w:val="21"/>
                <w:szCs w:val="21"/>
              </w:rPr>
              <w:t>开标地点：</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pacing w:val="-4"/>
                <w:sz w:val="21"/>
                <w:szCs w:val="21"/>
              </w:rPr>
            </w:pPr>
            <w:r>
              <w:rPr>
                <w:rFonts w:hint="eastAsia" w:asciiTheme="minorEastAsia" w:hAnsiTheme="minorEastAsia" w:eastAsiaTheme="minorEastAsia" w:cstheme="minorEastAsia"/>
                <w:b w:val="0"/>
                <w:bCs/>
                <w:spacing w:val="-4"/>
                <w:sz w:val="21"/>
                <w:szCs w:val="21"/>
                <w:lang w:val="en-US" w:eastAsia="zh-CN"/>
              </w:rPr>
              <w:t xml:space="preserve">吉林省公共资源交易中心4楼（长春市人民大街9999号 </w:t>
            </w:r>
            <w:r>
              <w:rPr>
                <w:rFonts w:hint="eastAsia" w:asciiTheme="minorEastAsia" w:hAnsiTheme="minorEastAsia" w:eastAsiaTheme="minorEastAsia" w:cstheme="minorEastAsia"/>
                <w:b w:val="0"/>
                <w:bCs/>
                <w:spacing w:val="-4"/>
                <w:sz w:val="21"/>
                <w:szCs w:val="21"/>
              </w:rPr>
              <w:t>吉林省</w:t>
            </w:r>
            <w:r>
              <w:rPr>
                <w:rFonts w:hint="eastAsia" w:asciiTheme="minorEastAsia" w:hAnsiTheme="minorEastAsia" w:eastAsiaTheme="minorEastAsia" w:cstheme="minorEastAsia"/>
                <w:b w:val="0"/>
                <w:bCs/>
                <w:spacing w:val="-4"/>
                <w:sz w:val="21"/>
                <w:szCs w:val="21"/>
                <w:lang w:val="en-US" w:eastAsia="zh-CN"/>
              </w:rPr>
              <w:t>人民政府</w:t>
            </w:r>
            <w:r>
              <w:rPr>
                <w:rFonts w:hint="eastAsia" w:asciiTheme="minorEastAsia" w:hAnsiTheme="minorEastAsia" w:eastAsiaTheme="minorEastAsia" w:cstheme="minorEastAsia"/>
                <w:b w:val="0"/>
                <w:bCs/>
                <w:spacing w:val="-4"/>
                <w:sz w:val="21"/>
                <w:szCs w:val="21"/>
              </w:rPr>
              <w:t>政务大厅</w:t>
            </w:r>
            <w:r>
              <w:rPr>
                <w:rFonts w:hint="eastAsia" w:asciiTheme="minorEastAsia" w:hAnsiTheme="minorEastAsia" w:eastAsiaTheme="minorEastAsia" w:cstheme="minorEastAsia"/>
                <w:b w:val="0"/>
                <w:bCs/>
                <w:spacing w:val="-4"/>
                <w:sz w:val="21"/>
                <w:szCs w:val="21"/>
                <w:lang w:val="en-US" w:eastAsia="zh-CN"/>
              </w:rPr>
              <w:t>）</w:t>
            </w:r>
            <w:r>
              <w:rPr>
                <w:rFonts w:hint="eastAsia" w:asciiTheme="minorEastAsia" w:hAnsiTheme="minorEastAsia" w:eastAsiaTheme="minorEastAsia" w:cstheme="minorEastAsia"/>
                <w:b w:val="0"/>
                <w:bCs/>
                <w:spacing w:val="-4"/>
                <w:sz w:val="21"/>
                <w:szCs w:val="21"/>
              </w:rPr>
              <w:t>。</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5.2.1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第一个信封</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开标程序</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（双信封形式</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技术评分最低标价法）</w:t>
            </w:r>
          </w:p>
        </w:tc>
        <w:tc>
          <w:tcPr>
            <w:tcW w:w="6716" w:type="dxa"/>
            <w:tcBorders>
              <w:top w:val="single" w:color="000000" w:sz="4" w:space="0"/>
              <w:left w:val="single" w:color="000000" w:sz="4" w:space="0"/>
              <w:bottom w:val="single" w:color="000000" w:sz="6" w:space="0"/>
              <w:right w:val="single" w:color="000000" w:sz="4"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主持人按下列程序对投标文件第一个信封（商务及技术文件）开标：</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（1）宣布开标纪律；</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（2）宣布开标人、唱标人、记录人、监标人等有关人员姓名；</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（3）由投标人代表检查投标文件的密封情况；</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（4）按投标文件递交的顺序开标；</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（5）按照宣布的开标顺序当众开标，公布标段名称、投标人名称、投标保证金的递交情况、质量目标、工期及其他内容，并记录在案；</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（6）投标人代表、招标人代表、监标人、记录人等有关人员在开标记录上签字确认；</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（7）开标会议结束。</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5.2.3</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第二个信封</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开标程序</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（双信封形式</w:t>
            </w:r>
          </w:p>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技术评分最低标价法）</w:t>
            </w:r>
          </w:p>
        </w:tc>
        <w:tc>
          <w:tcPr>
            <w:tcW w:w="6716" w:type="dxa"/>
            <w:tcBorders>
              <w:top w:val="single" w:color="000000" w:sz="4" w:space="0"/>
              <w:left w:val="single" w:color="000000" w:sz="4" w:space="0"/>
              <w:bottom w:val="single" w:color="000000" w:sz="6" w:space="0"/>
              <w:right w:val="single" w:color="000000" w:sz="4"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在监标人的监督下开启投标文件第二个信封（报价文件）文件的程序：</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（1）宣布开标纪律；</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（2）当众</w:t>
            </w:r>
            <w:r>
              <w:rPr>
                <w:rFonts w:hint="eastAsia" w:asciiTheme="minorEastAsia" w:hAnsiTheme="minorEastAsia" w:eastAsiaTheme="minorEastAsia" w:cstheme="minorEastAsia"/>
                <w:b w:val="0"/>
                <w:bCs/>
                <w:sz w:val="21"/>
                <w:szCs w:val="21"/>
                <w:lang w:val="en-US" w:eastAsia="zh-CN"/>
              </w:rPr>
              <w:t>拆</w:t>
            </w:r>
            <w:r>
              <w:rPr>
                <w:rFonts w:hint="eastAsia" w:asciiTheme="minorEastAsia" w:hAnsiTheme="minorEastAsia" w:eastAsiaTheme="minorEastAsia" w:cstheme="minorEastAsia"/>
                <w:b w:val="0"/>
                <w:bCs/>
                <w:sz w:val="21"/>
                <w:szCs w:val="21"/>
              </w:rPr>
              <w:t>开投标文件第一个信封（商务及技术文件）评标结果的密封袋，宣布通过第一个信封（商务及技术文件）评审的投标人名单；</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（3）宣布开标人、唱标人、记录人等有关人员姓名；</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（4）按照投标人须知前附表规定检查投标文件的密封情况；</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按照投标人须知前附表规定的开标顺序当众开标，开标人只拆封通过投标文件第一个信封（商务及技术文件）评审的投标文件第二个信封（报价文件），公布标段名称，投标人名称、投标报价及其他内容，并记录在案。</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（6）将未通过第一个信封（商务及技术文件）评审的投标文件第二个信封（报价文件）退还给投标人；</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（7）投标人代表、招标人代表、记录人等有关人员在开标记录上签字确认。</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（8）开标结束。</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6.1.1</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评标委员会的组建</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评标委员会构成：</w:t>
            </w:r>
            <w:r>
              <w:rPr>
                <w:rFonts w:hint="eastAsia" w:asciiTheme="minorEastAsia" w:hAnsiTheme="minorEastAsia" w:eastAsiaTheme="minorEastAsia" w:cstheme="minorEastAsia"/>
                <w:b w:val="0"/>
                <w:bCs/>
                <w:sz w:val="21"/>
                <w:szCs w:val="21"/>
                <w:highlight w:val="none"/>
                <w:u w:val="single"/>
              </w:rPr>
              <w:t>9</w:t>
            </w:r>
            <w:r>
              <w:rPr>
                <w:rFonts w:hint="eastAsia" w:asciiTheme="minorEastAsia" w:hAnsiTheme="minorEastAsia" w:eastAsiaTheme="minorEastAsia" w:cstheme="minorEastAsia"/>
                <w:b w:val="0"/>
                <w:bCs/>
                <w:sz w:val="21"/>
                <w:szCs w:val="21"/>
                <w:highlight w:val="none"/>
              </w:rPr>
              <w:t>人，其中招标人代表</w:t>
            </w:r>
            <w:r>
              <w:rPr>
                <w:rFonts w:hint="eastAsia" w:asciiTheme="minorEastAsia" w:hAnsiTheme="minorEastAsia" w:eastAsiaTheme="minorEastAsia" w:cstheme="minorEastAsia"/>
                <w:b w:val="0"/>
                <w:bCs/>
                <w:sz w:val="21"/>
                <w:szCs w:val="21"/>
                <w:highlight w:val="none"/>
                <w:u w:val="single"/>
              </w:rPr>
              <w:t>1</w:t>
            </w:r>
            <w:r>
              <w:rPr>
                <w:rFonts w:hint="eastAsia" w:asciiTheme="minorEastAsia" w:hAnsiTheme="minorEastAsia" w:eastAsiaTheme="minorEastAsia" w:cstheme="minorEastAsia"/>
                <w:b w:val="0"/>
                <w:bCs/>
                <w:sz w:val="21"/>
                <w:szCs w:val="21"/>
                <w:highlight w:val="none"/>
              </w:rPr>
              <w:t>人，专家</w:t>
            </w:r>
            <w:r>
              <w:rPr>
                <w:rFonts w:hint="eastAsia" w:asciiTheme="minorEastAsia" w:hAnsiTheme="minorEastAsia" w:eastAsiaTheme="minorEastAsia" w:cstheme="minorEastAsia"/>
                <w:b w:val="0"/>
                <w:bCs/>
                <w:sz w:val="21"/>
                <w:szCs w:val="21"/>
                <w:highlight w:val="none"/>
                <w:u w:val="single"/>
              </w:rPr>
              <w:t>8</w:t>
            </w:r>
            <w:r>
              <w:rPr>
                <w:rFonts w:hint="eastAsia" w:asciiTheme="minorEastAsia" w:hAnsiTheme="minorEastAsia" w:eastAsiaTheme="minorEastAsia" w:cstheme="minorEastAsia"/>
                <w:b w:val="0"/>
                <w:bCs/>
                <w:sz w:val="21"/>
                <w:szCs w:val="21"/>
                <w:highlight w:val="none"/>
              </w:rPr>
              <w:t>人；</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color w:val="000000"/>
                <w:sz w:val="21"/>
                <w:szCs w:val="21"/>
              </w:rPr>
              <w:t>评标专家确定方式：</w:t>
            </w:r>
            <w:r>
              <w:rPr>
                <w:rFonts w:hint="eastAsia" w:asciiTheme="minorEastAsia" w:hAnsiTheme="minorEastAsia" w:eastAsiaTheme="minorEastAsia" w:cstheme="minorEastAsia"/>
                <w:b w:val="0"/>
                <w:bCs/>
                <w:sz w:val="21"/>
                <w:szCs w:val="21"/>
                <w:highlight w:val="none"/>
                <w:lang w:eastAsia="zh-CN"/>
              </w:rPr>
              <w:t>在疫情防控期间，从吉林省人民政府政务大厅评标专家库中随机抽取评标专家，如果抽取专家人数不足导致抽取失败，按照吉林省公共资源交易中心网于</w:t>
            </w:r>
            <w:r>
              <w:rPr>
                <w:rFonts w:hint="eastAsia" w:asciiTheme="minorEastAsia" w:hAnsiTheme="minorEastAsia" w:eastAsiaTheme="minorEastAsia" w:cstheme="minorEastAsia"/>
                <w:b w:val="0"/>
                <w:bCs/>
                <w:sz w:val="21"/>
                <w:szCs w:val="21"/>
                <w:highlight w:val="none"/>
                <w:lang w:val="en-US" w:eastAsia="zh-CN"/>
              </w:rPr>
              <w:t>2020年2月24号</w:t>
            </w:r>
            <w:r>
              <w:rPr>
                <w:rFonts w:hint="eastAsia" w:asciiTheme="minorEastAsia" w:hAnsiTheme="minorEastAsia" w:eastAsiaTheme="minorEastAsia" w:cstheme="minorEastAsia"/>
                <w:b w:val="0"/>
                <w:bCs/>
                <w:sz w:val="21"/>
                <w:szCs w:val="21"/>
                <w:highlight w:val="none"/>
                <w:lang w:eastAsia="zh-CN"/>
              </w:rPr>
              <w:t>发布《关于在疫情防控期间恢复省本级公共资源交易活动的通知》中规定由招标（采购）人依法自行推荐评标专家。</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6.3.2</w:t>
            </w:r>
          </w:p>
        </w:tc>
        <w:tc>
          <w:tcPr>
            <w:tcW w:w="1970" w:type="dxa"/>
            <w:gridSpan w:val="2"/>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评标委员会推荐中标候选人的人数</w:t>
            </w:r>
          </w:p>
        </w:tc>
        <w:tc>
          <w:tcPr>
            <w:tcW w:w="6716" w:type="dxa"/>
            <w:tcBorders>
              <w:top w:val="single" w:color="000000" w:sz="4" w:space="0"/>
              <w:left w:val="single" w:color="000000" w:sz="4" w:space="0"/>
              <w:bottom w:val="single" w:color="000000" w:sz="6" w:space="0"/>
              <w:right w:val="single" w:color="000000"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推荐的中标候选人数：</w:t>
            </w:r>
            <w:r>
              <w:rPr>
                <w:rFonts w:hint="eastAsia" w:asciiTheme="minorEastAsia" w:hAnsiTheme="minorEastAsia" w:eastAsiaTheme="minorEastAsia" w:cstheme="minorEastAsia"/>
                <w:b w:val="0"/>
                <w:bCs/>
                <w:sz w:val="21"/>
                <w:szCs w:val="21"/>
                <w:u w:val="single"/>
              </w:rPr>
              <w:t>3名或3名以内</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u w:val="wave"/>
              </w:rPr>
            </w:pPr>
            <w:r>
              <w:rPr>
                <w:rFonts w:hint="eastAsia" w:asciiTheme="minorEastAsia" w:hAnsiTheme="minorEastAsia" w:eastAsiaTheme="minorEastAsia" w:cstheme="minorEastAsia"/>
                <w:b w:val="0"/>
                <w:bCs/>
                <w:sz w:val="21"/>
                <w:szCs w:val="21"/>
              </w:rPr>
              <w:t>7.1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u w:val="wave"/>
              </w:rPr>
            </w:pPr>
            <w:r>
              <w:rPr>
                <w:rFonts w:hint="eastAsia" w:asciiTheme="minorEastAsia" w:hAnsiTheme="minorEastAsia" w:eastAsiaTheme="minorEastAsia" w:cstheme="minorEastAsia"/>
                <w:b w:val="0"/>
                <w:bCs/>
                <w:sz w:val="21"/>
                <w:szCs w:val="21"/>
              </w:rPr>
              <w:t>中标候选人公示媒介及期限</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公示媒介：《吉林省交通运输厅网》、《吉林省公共资源交易中心网》、《中国招标投标公共服务平台》、</w:t>
            </w:r>
            <w:r>
              <w:rPr>
                <w:rFonts w:hint="eastAsia" w:asciiTheme="minorEastAsia" w:hAnsiTheme="minorEastAsia" w:eastAsiaTheme="minorEastAsia" w:cstheme="minorEastAsia"/>
                <w:b w:val="0"/>
                <w:bCs/>
                <w:sz w:val="21"/>
                <w:szCs w:val="21"/>
                <w:highlight w:val="none"/>
              </w:rPr>
              <w:t>《白城市人民政府网》</w:t>
            </w:r>
            <w:r>
              <w:rPr>
                <w:rFonts w:hint="eastAsia" w:asciiTheme="minorEastAsia" w:hAnsiTheme="minorEastAsia" w:eastAsiaTheme="minorEastAsia" w:cstheme="minorEastAsia"/>
                <w:b w:val="0"/>
                <w:bCs/>
                <w:sz w:val="21"/>
                <w:szCs w:val="21"/>
              </w:rPr>
              <w:t>、《白城市交通运输局网站》、《吉林诚仪工程咨询网》</w:t>
            </w:r>
            <w:r>
              <w:rPr>
                <w:rFonts w:hint="eastAsia" w:asciiTheme="minorEastAsia" w:hAnsiTheme="minorEastAsia" w:eastAsiaTheme="minorEastAsia" w:cstheme="minorEastAsia"/>
                <w:b w:val="0"/>
                <w:bCs/>
                <w:kern w:val="0"/>
                <w:sz w:val="21"/>
                <w:szCs w:val="21"/>
                <w:highlight w:val="none"/>
                <w:lang w:val="zh-CN"/>
              </w:rPr>
              <w:t>。</w:t>
            </w:r>
          </w:p>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公示期限：3日</w:t>
            </w:r>
          </w:p>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rPr>
              <w:t>公示的其他内容：</w:t>
            </w:r>
            <w:r>
              <w:rPr>
                <w:rFonts w:hint="eastAsia" w:asciiTheme="minorEastAsia" w:hAnsiTheme="minorEastAsia" w:eastAsiaTheme="minorEastAsia" w:cstheme="minorEastAsia"/>
                <w:b w:val="0"/>
                <w:bCs/>
                <w:sz w:val="21"/>
                <w:szCs w:val="21"/>
              </w:rPr>
              <w:t>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7.4</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是否授权评标委员会确定中标人</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否</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7.6</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u w:val="wave"/>
              </w:rPr>
            </w:pPr>
            <w:r>
              <w:rPr>
                <w:rFonts w:hint="eastAsia" w:asciiTheme="minorEastAsia" w:hAnsiTheme="minorEastAsia" w:eastAsiaTheme="minorEastAsia" w:cstheme="minorEastAsia"/>
                <w:b w:val="0"/>
                <w:bCs/>
                <w:sz w:val="21"/>
                <w:szCs w:val="21"/>
              </w:rPr>
              <w:t>中标通知公告媒介及期限</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lef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公示媒介：《吉林省交通运输厅网》、《吉林省公共资源交易中心网》、《中国招标投标公共服务平台》、</w:t>
            </w:r>
            <w:r>
              <w:rPr>
                <w:rFonts w:hint="eastAsia" w:asciiTheme="minorEastAsia" w:hAnsiTheme="minorEastAsia" w:eastAsiaTheme="minorEastAsia" w:cstheme="minorEastAsia"/>
                <w:b w:val="0"/>
                <w:bCs/>
                <w:sz w:val="21"/>
                <w:szCs w:val="21"/>
                <w:highlight w:val="none"/>
              </w:rPr>
              <w:t>《白城市人民政府网》</w:t>
            </w:r>
            <w:r>
              <w:rPr>
                <w:rFonts w:hint="eastAsia" w:asciiTheme="minorEastAsia" w:hAnsiTheme="minorEastAsia" w:eastAsiaTheme="minorEastAsia" w:cstheme="minorEastAsia"/>
                <w:b w:val="0"/>
                <w:bCs/>
                <w:sz w:val="21"/>
                <w:szCs w:val="21"/>
              </w:rPr>
              <w:t>、《白城市交通运输局网站》、《吉林诚仪工程咨询网》。</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lef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公示期限：3日</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kern w:val="0"/>
                <w:sz w:val="21"/>
                <w:szCs w:val="21"/>
              </w:rPr>
              <w:t>公示的其他内容：无</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7.7.1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履约担保</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履约担保形式：银行保函或现金、支票形式。</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履约担保金额：</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u w:val="single"/>
                <w:lang w:val="en-US" w:eastAsia="zh-CN"/>
              </w:rPr>
              <w:t>10</w:t>
            </w:r>
            <w:r>
              <w:rPr>
                <w:rFonts w:hint="eastAsia" w:asciiTheme="minorEastAsia" w:hAnsiTheme="minorEastAsia" w:eastAsiaTheme="minorEastAsia" w:cstheme="minorEastAsia"/>
                <w:b w:val="0"/>
                <w:bCs/>
                <w:sz w:val="21"/>
                <w:szCs w:val="21"/>
                <w:u w:val="single"/>
              </w:rPr>
              <w:t xml:space="preserve">%  </w:t>
            </w:r>
            <w:r>
              <w:rPr>
                <w:rFonts w:hint="eastAsia" w:asciiTheme="minorEastAsia" w:hAnsiTheme="minorEastAsia" w:eastAsiaTheme="minorEastAsia" w:cstheme="minorEastAsia"/>
                <w:b w:val="0"/>
                <w:bCs/>
                <w:sz w:val="21"/>
                <w:szCs w:val="21"/>
              </w:rPr>
              <w:t>的签约合同价。</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注意：</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（1）采用现金、支票形式时，应由中标人的基本账户汇入发包人指定账户。</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yellow"/>
              </w:rPr>
            </w:pPr>
            <w:r>
              <w:rPr>
                <w:rFonts w:hint="eastAsia" w:asciiTheme="minorEastAsia" w:hAnsiTheme="minorEastAsia" w:eastAsiaTheme="minorEastAsia" w:cstheme="minorEastAsia"/>
                <w:b w:val="0"/>
                <w:bCs/>
                <w:sz w:val="21"/>
                <w:szCs w:val="21"/>
              </w:rPr>
              <w:t>（2）</w:t>
            </w:r>
            <w:r>
              <w:rPr>
                <w:rFonts w:hint="eastAsia" w:asciiTheme="minorEastAsia" w:hAnsiTheme="minorEastAsia" w:eastAsiaTheme="minorEastAsia" w:cstheme="minorEastAsia"/>
                <w:b w:val="0"/>
                <w:bCs/>
                <w:color w:val="000000"/>
                <w:kern w:val="0"/>
                <w:sz w:val="21"/>
                <w:szCs w:val="21"/>
              </w:rPr>
              <w:t>采用银行保函时</w:t>
            </w:r>
            <w:r>
              <w:rPr>
                <w:rFonts w:hint="eastAsia" w:asciiTheme="minorEastAsia" w:hAnsiTheme="minorEastAsia" w:eastAsiaTheme="minorEastAsia" w:cstheme="minorEastAsia"/>
                <w:b w:val="0"/>
                <w:bCs/>
                <w:color w:val="000000"/>
                <w:sz w:val="21"/>
                <w:szCs w:val="21"/>
              </w:rPr>
              <w:t>，出具保函的银行级别：</w:t>
            </w:r>
            <w:r>
              <w:rPr>
                <w:rFonts w:hint="eastAsia" w:asciiTheme="minorEastAsia" w:hAnsiTheme="minorEastAsia" w:eastAsiaTheme="minorEastAsia" w:cstheme="minorEastAsia"/>
                <w:b w:val="0"/>
                <w:bCs/>
                <w:color w:val="000000"/>
                <w:sz w:val="21"/>
                <w:szCs w:val="21"/>
                <w:lang w:val="zh-CN"/>
              </w:rPr>
              <w:t>应由“工商银行、农业银行、中国银行、建设银行、交通银行”五大国有商业银行之一或全国性股份制商业银行开具，银行应为地市级分、支行以上级别，所需的费用由中标人承担，中标人应保证银行保函有效。</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（3）中标通知书发出后28天内递交履约保证金。</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7.8.1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签订合同</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ind w:firstLine="420" w:firstLineChars="200"/>
              <w:jc w:val="lef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人和中标人应在中标通知书发出之日起30天内，根据招标文件和中标人的投标文件订立书面合同。在签订合同前，中标人不得拒绝招标人对不平衡报价所作的修订。中标人无正当理由拒签合同，在签订合同时向招标人提出附加条件，或不按照招标文件要求提交履约担保金的，招标人取消其中标资格，其投标保证金不予退还，给招标人造成的损失超过投标保证金数额的，中标人还应当对超过部分予以赔偿。</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8.5.1</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监督部门</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行政监督：白城市交通运输局</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none"/>
                <w:lang w:val="en-US" w:eastAsia="zh-CN"/>
              </w:rPr>
            </w:pPr>
            <w:r>
              <w:rPr>
                <w:rFonts w:hint="eastAsia" w:asciiTheme="minorEastAsia" w:hAnsiTheme="minorEastAsia" w:eastAsiaTheme="minorEastAsia" w:cstheme="minorEastAsia"/>
                <w:b w:val="0"/>
                <w:bCs/>
                <w:sz w:val="21"/>
                <w:szCs w:val="21"/>
                <w:highlight w:val="none"/>
                <w:lang w:val="en-US" w:eastAsia="zh-CN"/>
              </w:rPr>
              <w:t>地    址：幸福大街84号</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none"/>
                <w:lang w:val="en-US" w:eastAsia="zh-CN"/>
              </w:rPr>
            </w:pPr>
            <w:r>
              <w:rPr>
                <w:rFonts w:hint="eastAsia" w:asciiTheme="minorEastAsia" w:hAnsiTheme="minorEastAsia" w:eastAsiaTheme="minorEastAsia" w:cstheme="minorEastAsia"/>
                <w:b w:val="0"/>
                <w:bCs/>
                <w:sz w:val="21"/>
                <w:szCs w:val="21"/>
                <w:highlight w:val="none"/>
              </w:rPr>
              <w:t>电　　话：0436-</w:t>
            </w:r>
            <w:r>
              <w:rPr>
                <w:rFonts w:hint="eastAsia" w:asciiTheme="minorEastAsia" w:hAnsiTheme="minorEastAsia" w:eastAsiaTheme="minorEastAsia" w:cstheme="minorEastAsia"/>
                <w:b w:val="0"/>
                <w:bCs/>
                <w:sz w:val="21"/>
                <w:szCs w:val="21"/>
                <w:highlight w:val="none"/>
                <w:lang w:val="en-US" w:eastAsia="zh-CN"/>
              </w:rPr>
              <w:t>3668767</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注：依据《中华人民共和国招标投标法实施条例》第六十条 “ 就本条例第二十二、第四十四条、第五十四条规定事项投诉的，应当先向委托招标人提出异议，……”。</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9</w:t>
            </w:r>
          </w:p>
        </w:tc>
        <w:tc>
          <w:tcPr>
            <w:tcW w:w="1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是否采用电子招标投标</w:t>
            </w:r>
          </w:p>
        </w:tc>
        <w:tc>
          <w:tcPr>
            <w:tcW w:w="6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rPr>
              <w:t>本项目招标实行“双轨制”运行，即线上线下同步运行。</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exact"/>
              <w:textAlignment w:val="auto"/>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kern w:val="0"/>
                <w:sz w:val="21"/>
                <w:szCs w:val="21"/>
              </w:rPr>
              <w:t>投标人必须在线上线下同时获取招标文件，线上线下获取的招标文件内容必须保持一致，如出现差异以线下招标文件为准。</w:t>
            </w:r>
          </w:p>
        </w:tc>
      </w:tr>
      <w:tr>
        <w:tblPrEx>
          <w:tblCellMar>
            <w:top w:w="0" w:type="dxa"/>
            <w:left w:w="28" w:type="dxa"/>
            <w:bottom w:w="0" w:type="dxa"/>
            <w:right w:w="28" w:type="dxa"/>
          </w:tblCellMar>
        </w:tblPrEx>
        <w:trPr>
          <w:trHeight w:val="90" w:hRule="atLeast"/>
        </w:trPr>
        <w:tc>
          <w:tcPr>
            <w:tcW w:w="1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10</w:t>
            </w:r>
          </w:p>
        </w:tc>
        <w:tc>
          <w:tcPr>
            <w:tcW w:w="1970"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招标代理服务费</w:t>
            </w:r>
          </w:p>
        </w:tc>
        <w:tc>
          <w:tcPr>
            <w:tcW w:w="6716" w:type="dxa"/>
            <w:tcBorders>
              <w:top w:val="single" w:color="000000" w:sz="4" w:space="0"/>
              <w:left w:val="single" w:color="auto" w:sz="4" w:space="0"/>
              <w:bottom w:val="single" w:color="000000" w:sz="4" w:space="0"/>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spacing w:beforeAutospacing="0" w:after="0" w:afterAutospacing="0" w:line="360" w:lineRule="exact"/>
              <w:ind w:firstLine="420" w:firstLineChars="200"/>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参考原国家计委《招标代理服务收费管理暂行办法》（计价格〔2002〕1980号）、《国家发展改革委办公厅关于招标代理服务收费有关问题的通知》（发改办价格〔2003〕857号）、《国家发展改革委关于降低部分建设项目收费标准规范收费行为等有关问题的通知》（发改价格〔2011〕534号）规定的招标代理服务收费差额费率按标段计算招标代理服务收费基准价格</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由招标代理机构向中标人收取。</w:t>
            </w:r>
          </w:p>
        </w:tc>
      </w:tr>
      <w:tr>
        <w:tblPrEx>
          <w:tblCellMar>
            <w:top w:w="0" w:type="dxa"/>
            <w:left w:w="28" w:type="dxa"/>
            <w:bottom w:w="0" w:type="dxa"/>
            <w:right w:w="28" w:type="dxa"/>
          </w:tblCellMar>
        </w:tblPrEx>
        <w:trPr>
          <w:trHeight w:val="90" w:hRule="atLeast"/>
        </w:trPr>
        <w:tc>
          <w:tcPr>
            <w:tcW w:w="98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需要补充的其他内容：无</w:t>
            </w:r>
          </w:p>
        </w:tc>
      </w:tr>
      <w:tr>
        <w:tblPrEx>
          <w:tblCellMar>
            <w:top w:w="0" w:type="dxa"/>
            <w:left w:w="28" w:type="dxa"/>
            <w:bottom w:w="0" w:type="dxa"/>
            <w:right w:w="28" w:type="dxa"/>
          </w:tblCellMar>
        </w:tblPrEx>
        <w:trPr>
          <w:trHeight w:val="90" w:hRule="atLeast"/>
        </w:trPr>
        <w:tc>
          <w:tcPr>
            <w:tcW w:w="116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10.2</w:t>
            </w:r>
          </w:p>
        </w:tc>
        <w:tc>
          <w:tcPr>
            <w:tcW w:w="1956"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词语定义</w:t>
            </w:r>
          </w:p>
        </w:tc>
        <w:tc>
          <w:tcPr>
            <w:tcW w:w="67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本文件中所称的“以上”、“以下”、“以内”，外”，不包括本数。</w:t>
            </w:r>
          </w:p>
        </w:tc>
      </w:tr>
      <w:tr>
        <w:tblPrEx>
          <w:tblCellMar>
            <w:top w:w="0" w:type="dxa"/>
            <w:left w:w="28" w:type="dxa"/>
            <w:bottom w:w="0" w:type="dxa"/>
            <w:right w:w="28" w:type="dxa"/>
          </w:tblCellMar>
        </w:tblPrEx>
        <w:trPr>
          <w:trHeight w:val="90" w:hRule="atLeast"/>
        </w:trPr>
        <w:tc>
          <w:tcPr>
            <w:tcW w:w="116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10.3</w:t>
            </w:r>
          </w:p>
        </w:tc>
        <w:tc>
          <w:tcPr>
            <w:tcW w:w="1956"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证明材料</w:t>
            </w:r>
          </w:p>
        </w:tc>
        <w:tc>
          <w:tcPr>
            <w:tcW w:w="67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1</w:t>
            </w:r>
            <w:r>
              <w:rPr>
                <w:rFonts w:hint="eastAsia" w:asciiTheme="minorEastAsia" w:hAnsiTheme="minorEastAsia" w:eastAsiaTheme="minorEastAsia" w:cstheme="minorEastAsia"/>
                <w:b w:val="0"/>
                <w:bCs/>
                <w:sz w:val="21"/>
                <w:szCs w:val="21"/>
              </w:rPr>
              <w:t>)招标文件中要求投标人提供的各类证照复印件均指彩色扫描件或彩色复印件，其他资料的复印件可为黑白扫描件或黑白复印件</w:t>
            </w:r>
            <w:r>
              <w:rPr>
                <w:rFonts w:hint="eastAsia" w:asciiTheme="minorEastAsia" w:hAnsiTheme="minorEastAsia" w:eastAsiaTheme="minorEastAsia" w:cstheme="minorEastAsia"/>
                <w:b w:val="0"/>
                <w:bCs/>
                <w:sz w:val="21"/>
                <w:szCs w:val="21"/>
                <w:lang w:eastAsia="zh-CN"/>
              </w:rPr>
              <w:t>；</w:t>
            </w:r>
          </w:p>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(2)为保证评标工作的质量和进度，投标人在其投标文件中所做的的证明材料(各种文书、证件等)应提供全本。</w:t>
            </w:r>
          </w:p>
        </w:tc>
      </w:tr>
      <w:tr>
        <w:tblPrEx>
          <w:tblCellMar>
            <w:top w:w="0" w:type="dxa"/>
            <w:left w:w="28" w:type="dxa"/>
            <w:bottom w:w="0" w:type="dxa"/>
            <w:right w:w="28" w:type="dxa"/>
          </w:tblCellMar>
        </w:tblPrEx>
        <w:trPr>
          <w:trHeight w:val="90" w:hRule="atLeast"/>
        </w:trPr>
        <w:tc>
          <w:tcPr>
            <w:tcW w:w="1167"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10.4</w:t>
            </w:r>
          </w:p>
        </w:tc>
        <w:tc>
          <w:tcPr>
            <w:tcW w:w="1956"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开标现场</w:t>
            </w:r>
          </w:p>
          <w:p>
            <w:pPr>
              <w:keepNext w:val="0"/>
              <w:keepLines w:val="0"/>
              <w:pageBreakBefore w:val="0"/>
              <w:widowControl w:val="0"/>
              <w:kinsoku/>
              <w:wordWrap/>
              <w:overflowPunct/>
              <w:topLinePunct w:val="0"/>
              <w:autoSpaceDE/>
              <w:autoSpaceDN/>
              <w:bidi w:val="0"/>
              <w:spacing w:beforeAutospacing="0" w:after="0" w:afterAutospacing="0" w:line="360" w:lineRule="exact"/>
              <w:jc w:val="center"/>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注意事项</w:t>
            </w:r>
          </w:p>
        </w:tc>
        <w:tc>
          <w:tcPr>
            <w:tcW w:w="671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beforeAutospacing="0" w:after="0" w:afterAutospacing="0" w:line="360" w:lineRule="exact"/>
              <w:textAlignment w:val="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投标人代表在开标现场必须关闭手机，遵守开标会场纪律，严格银行开标流程。必须服从工作人员指挥，严禁大声喧哗，不得无故走动，保持会场秩序。若出现大声喧哗、扰乱会场秩序等现象，招标人将相关行为报交通运输行政主管部门及省政府政务大厅招管办按有关规定严肃处理</w:t>
            </w:r>
            <w:r>
              <w:rPr>
                <w:rFonts w:hint="eastAsia" w:asciiTheme="minorEastAsia" w:hAnsiTheme="minorEastAsia" w:eastAsiaTheme="minorEastAsia" w:cstheme="minorEastAsia"/>
                <w:b w:val="0"/>
                <w:bCs/>
                <w:sz w:val="21"/>
                <w:szCs w:val="21"/>
                <w:lang w:eastAsia="zh-CN"/>
              </w:rPr>
              <w:t>。</w:t>
            </w: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bookmarkStart w:id="20" w:name="_Toc287967392"/>
      <w:r>
        <w:rPr>
          <w:rFonts w:hint="eastAsia" w:asciiTheme="minorEastAsia" w:hAnsiTheme="minorEastAsia" w:eastAsiaTheme="minorEastAsia" w:cstheme="minorEastAsia"/>
          <w:b w:val="0"/>
          <w:bCs/>
          <w:sz w:val="21"/>
          <w:szCs w:val="21"/>
        </w:rPr>
        <w:br w:type="page"/>
      </w:r>
      <w:bookmarkEnd w:id="20"/>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bookmarkStart w:id="21" w:name="_Toc536698199"/>
      <w:bookmarkStart w:id="22" w:name="_Toc514418862"/>
      <w:r>
        <w:rPr>
          <w:rFonts w:hint="eastAsia" w:asciiTheme="minorEastAsia" w:hAnsiTheme="minorEastAsia" w:eastAsiaTheme="minorEastAsia" w:cstheme="minorEastAsia"/>
          <w:b w:val="0"/>
          <w:bCs/>
          <w:sz w:val="21"/>
          <w:szCs w:val="21"/>
        </w:rPr>
        <w:t>附录1 资格审查条件（资质最低要求）</w:t>
      </w:r>
      <w:bookmarkEnd w:id="21"/>
      <w:bookmarkEnd w:id="22"/>
    </w:p>
    <w:p>
      <w:pPr>
        <w:pStyle w:val="17"/>
        <w:pageBreakBefore w:val="0"/>
        <w:kinsoku/>
        <w:wordWrap/>
        <w:overflowPunct/>
        <w:topLinePunct w:val="0"/>
        <w:bidi w:val="0"/>
        <w:spacing w:beforeAutospacing="0" w:after="0" w:afterAutospacing="0" w:line="360" w:lineRule="exact"/>
        <w:jc w:val="center"/>
        <w:outlineLvl w:val="9"/>
        <w:rPr>
          <w:rFonts w:hint="eastAsia" w:asciiTheme="minorEastAsia" w:hAnsiTheme="minorEastAsia" w:eastAsiaTheme="minorEastAsia" w:cstheme="minorEastAsia"/>
          <w:b w:val="0"/>
          <w:bCs/>
          <w:sz w:val="21"/>
          <w:szCs w:val="21"/>
          <w:vertAlign w:val="superscript"/>
        </w:rPr>
      </w:pPr>
    </w:p>
    <w:tbl>
      <w:tblPr>
        <w:tblStyle w:val="9"/>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01" w:type="dxa"/>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w:t>
            </w:r>
          </w:p>
        </w:tc>
        <w:tc>
          <w:tcPr>
            <w:tcW w:w="8469" w:type="dxa"/>
            <w:noWrap w:val="0"/>
            <w:vAlign w:val="center"/>
          </w:tcPr>
          <w:p>
            <w:pPr>
              <w:pageBreakBefore w:val="0"/>
              <w:kinsoku/>
              <w:wordWrap/>
              <w:overflowPunct/>
              <w:topLinePunct w:val="0"/>
              <w:bidi w:val="0"/>
              <w:spacing w:beforeAutospacing="0" w:after="0" w:afterAutospacing="0" w:line="360" w:lineRule="exact"/>
              <w:ind w:firstLine="420" w:firstLineChars="200"/>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101" w:type="dxa"/>
            <w:noWrap w:val="0"/>
            <w:vAlign w:val="center"/>
          </w:tcPr>
          <w:p>
            <w:pPr>
              <w:pageBreakBefore w:val="0"/>
              <w:tabs>
                <w:tab w:val="left" w:pos="540"/>
              </w:tabs>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SG</w:t>
            </w:r>
            <w:r>
              <w:rPr>
                <w:rFonts w:hint="eastAsia" w:asciiTheme="minorEastAsia" w:hAnsiTheme="minorEastAsia" w:eastAsiaTheme="minorEastAsia" w:cstheme="minorEastAsia"/>
                <w:b w:val="0"/>
                <w:bCs/>
                <w:sz w:val="21"/>
                <w:szCs w:val="21"/>
              </w:rPr>
              <w:t>01</w:t>
            </w:r>
          </w:p>
        </w:tc>
        <w:tc>
          <w:tcPr>
            <w:tcW w:w="8469" w:type="dxa"/>
            <w:noWrap w:val="0"/>
            <w:vAlign w:val="center"/>
          </w:tcPr>
          <w:p>
            <w:pPr>
              <w:pageBreakBefore w:val="0"/>
              <w:tabs>
                <w:tab w:val="left" w:pos="540"/>
              </w:tabs>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kern w:val="0"/>
                <w:sz w:val="21"/>
                <w:szCs w:val="21"/>
                <w:lang w:val="zh-CN"/>
              </w:rPr>
              <w:t>要求潜在投标人持有工商行政管理部门核发的企业法人营业执照、并依法取得安全生产许可证（在有效期内），</w:t>
            </w:r>
            <w:r>
              <w:rPr>
                <w:rFonts w:hint="eastAsia" w:cs="Times New Roman" w:asciiTheme="minorEastAsia" w:hAnsiTheme="minorEastAsia" w:eastAsiaTheme="minorEastAsia"/>
                <w:kern w:val="2"/>
                <w:sz w:val="21"/>
                <w:szCs w:val="21"/>
              </w:rPr>
              <w:t>具备建设行政主管部门颁发的公路工程施工总承包二级(含二级)以上资质且同时具备公路交通工程专业承包（公路安全设施分项）二级（含二级）以上资质</w:t>
            </w:r>
            <w:r>
              <w:rPr>
                <w:rFonts w:hint="eastAsia" w:cs="Times New Roman" w:asciiTheme="minorEastAsia" w:hAnsiTheme="minorEastAsia" w:eastAsiaTheme="minorEastAsia"/>
                <w:kern w:val="2"/>
                <w:sz w:val="21"/>
                <w:szCs w:val="21"/>
                <w:lang w:val="en-US" w:eastAsia="zh-CN"/>
              </w:rPr>
              <w:t>。</w:t>
            </w:r>
          </w:p>
        </w:tc>
      </w:tr>
    </w:tbl>
    <w:p>
      <w:pPr>
        <w:pStyle w:val="17"/>
        <w:pageBreakBefore w:val="0"/>
        <w:kinsoku/>
        <w:wordWrap/>
        <w:overflowPunct/>
        <w:topLinePunct w:val="0"/>
        <w:bidi w:val="0"/>
        <w:spacing w:beforeAutospacing="0" w:after="0" w:afterAutospacing="0" w:line="360" w:lineRule="exact"/>
        <w:jc w:val="center"/>
        <w:outlineLvl w:val="2"/>
        <w:rPr>
          <w:rFonts w:hint="eastAsia" w:asciiTheme="minorEastAsia" w:hAnsiTheme="minorEastAsia" w:eastAsiaTheme="minorEastAsia" w:cstheme="minorEastAsia"/>
          <w:b w:val="0"/>
          <w:bCs/>
          <w:sz w:val="21"/>
          <w:szCs w:val="21"/>
        </w:rPr>
      </w:pPr>
      <w:bookmarkStart w:id="23" w:name="_Toc287967393"/>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bookmarkStart w:id="24" w:name="_Toc514418863"/>
      <w:bookmarkStart w:id="25" w:name="_Toc536698200"/>
      <w:r>
        <w:rPr>
          <w:rFonts w:hint="eastAsia" w:asciiTheme="minorEastAsia" w:hAnsiTheme="minorEastAsia" w:eastAsiaTheme="minorEastAsia" w:cstheme="minorEastAsia"/>
          <w:b w:val="0"/>
          <w:bCs/>
          <w:sz w:val="21"/>
          <w:szCs w:val="21"/>
        </w:rPr>
        <w:t>附录2 资格审查条件（财务最低要求）</w:t>
      </w:r>
      <w:bookmarkEnd w:id="23"/>
      <w:bookmarkEnd w:id="24"/>
      <w:bookmarkEnd w:id="25"/>
    </w:p>
    <w:p>
      <w:pPr>
        <w:pStyle w:val="17"/>
        <w:pageBreakBefore w:val="0"/>
        <w:kinsoku/>
        <w:wordWrap/>
        <w:overflowPunct/>
        <w:topLinePunct w:val="0"/>
        <w:bidi w:val="0"/>
        <w:spacing w:beforeAutospacing="0" w:after="0" w:afterAutospacing="0" w:line="360" w:lineRule="exact"/>
        <w:jc w:val="center"/>
        <w:outlineLvl w:val="9"/>
        <w:rPr>
          <w:rFonts w:hint="eastAsia" w:asciiTheme="minorEastAsia" w:hAnsiTheme="minorEastAsia" w:eastAsiaTheme="minorEastAsia" w:cstheme="minorEastAsia"/>
          <w:b w:val="0"/>
          <w:bCs/>
          <w:sz w:val="21"/>
          <w:szCs w:val="21"/>
        </w:rPr>
      </w:pPr>
    </w:p>
    <w:tbl>
      <w:tblPr>
        <w:tblStyle w:val="9"/>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606" w:type="dxa"/>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9606" w:type="dxa"/>
            <w:noWrap w:val="0"/>
            <w:vAlign w:val="top"/>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资金信用</w:t>
            </w:r>
            <w:r>
              <w:rPr>
                <w:rStyle w:val="13"/>
                <w:rFonts w:hint="eastAsia" w:asciiTheme="minorEastAsia" w:hAnsiTheme="minorEastAsia" w:eastAsiaTheme="minorEastAsia" w:cstheme="minorEastAsia"/>
                <w:b w:val="0"/>
                <w:bCs/>
                <w:sz w:val="21"/>
                <w:szCs w:val="21"/>
              </w:rPr>
              <w:footnoteReference w:id="1"/>
            </w:r>
            <w:r>
              <w:rPr>
                <w:rFonts w:hint="eastAsia" w:asciiTheme="minorEastAsia" w:hAnsiTheme="minorEastAsia" w:eastAsiaTheme="minorEastAsia" w:cstheme="minorEastAsia"/>
                <w:b w:val="0"/>
                <w:bCs/>
                <w:sz w:val="21"/>
                <w:szCs w:val="21"/>
              </w:rPr>
              <w:t>：投标人的经审计的2018年财务会计报告中流动资金（流动资金=流动资产－流动负债）与为本项目开具的银行信贷证明之和必须达到如下标准：</w:t>
            </w:r>
          </w:p>
          <w:p>
            <w:pPr>
              <w:pageBreakBefore w:val="0"/>
              <w:kinsoku/>
              <w:wordWrap/>
              <w:overflowPunct/>
              <w:topLinePunct w:val="0"/>
              <w:autoSpaceDE w:val="0"/>
              <w:autoSpaceDN w:val="0"/>
              <w:bidi w:val="0"/>
              <w:adjustRightInd w:val="0"/>
              <w:spacing w:beforeAutospacing="0" w:after="0" w:afterAutospacing="0" w:line="360" w:lineRule="exact"/>
              <w:ind w:firstLine="411" w:firstLineChars="196"/>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u w:val="single"/>
                <w:lang w:val="en-US" w:eastAsia="zh-CN"/>
              </w:rPr>
              <w:t>SG</w:t>
            </w:r>
            <w:r>
              <w:rPr>
                <w:rFonts w:hint="eastAsia" w:asciiTheme="minorEastAsia" w:hAnsiTheme="minorEastAsia" w:eastAsiaTheme="minorEastAsia" w:cstheme="minorEastAsia"/>
                <w:b w:val="0"/>
                <w:bCs/>
                <w:sz w:val="21"/>
                <w:szCs w:val="21"/>
                <w:u w:val="single"/>
              </w:rPr>
              <w:t>01标段: 1000  万元</w:t>
            </w:r>
            <w:r>
              <w:rPr>
                <w:rFonts w:hint="eastAsia" w:asciiTheme="minorEastAsia" w:hAnsiTheme="minorEastAsia" w:eastAsiaTheme="minorEastAsia" w:cstheme="minorEastAsia"/>
                <w:b w:val="0"/>
                <w:bCs/>
                <w:sz w:val="21"/>
                <w:szCs w:val="21"/>
              </w:rPr>
              <w:t>。</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银行信贷证明必须在地（市）级或以上级别的信誉良好的国有或股份制商业银行支行开具。</w:t>
            </w:r>
          </w:p>
        </w:tc>
      </w:tr>
    </w:tbl>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rPr>
      </w:pPr>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bookmarkStart w:id="26" w:name="_Toc536698201"/>
      <w:bookmarkStart w:id="27" w:name="_Toc514418864"/>
      <w:bookmarkStart w:id="28" w:name="_Toc287967394"/>
      <w:r>
        <w:rPr>
          <w:rFonts w:hint="eastAsia" w:asciiTheme="minorEastAsia" w:hAnsiTheme="minorEastAsia" w:eastAsiaTheme="minorEastAsia" w:cstheme="minorEastAsia"/>
          <w:b w:val="0"/>
          <w:bCs/>
          <w:sz w:val="21"/>
          <w:szCs w:val="21"/>
        </w:rPr>
        <w:t>附录3 资格审查条件（业绩最低要求）</w:t>
      </w:r>
      <w:bookmarkEnd w:id="26"/>
      <w:bookmarkEnd w:id="27"/>
      <w:bookmarkEnd w:id="28"/>
    </w:p>
    <w:p>
      <w:pPr>
        <w:pStyle w:val="17"/>
        <w:pageBreakBefore w:val="0"/>
        <w:kinsoku/>
        <w:wordWrap/>
        <w:overflowPunct/>
        <w:topLinePunct w:val="0"/>
        <w:bidi w:val="0"/>
        <w:spacing w:beforeAutospacing="0" w:after="0" w:afterAutospacing="0" w:line="360" w:lineRule="exact"/>
        <w:jc w:val="center"/>
        <w:outlineLvl w:val="9"/>
        <w:rPr>
          <w:rFonts w:hint="eastAsia" w:asciiTheme="minorEastAsia" w:hAnsiTheme="minorEastAsia" w:eastAsiaTheme="minorEastAsia" w:cstheme="minorEastAsia"/>
          <w:b w:val="0"/>
          <w:bCs/>
          <w:sz w:val="21"/>
          <w:szCs w:val="21"/>
        </w:rPr>
      </w:pPr>
    </w:p>
    <w:tbl>
      <w:tblPr>
        <w:tblStyle w:val="9"/>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55"/>
        <w:gridCol w:w="8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1255" w:type="dxa"/>
            <w:noWrap/>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highlight w:val="none"/>
              </w:rPr>
            </w:pPr>
            <w:bookmarkStart w:id="29" w:name="_Toc287967395"/>
            <w:r>
              <w:rPr>
                <w:rFonts w:hint="eastAsia" w:asciiTheme="minorEastAsia" w:hAnsiTheme="minorEastAsia" w:eastAsiaTheme="minorEastAsia" w:cstheme="minorEastAsia"/>
                <w:b w:val="0"/>
                <w:bCs/>
                <w:kern w:val="0"/>
                <w:sz w:val="21"/>
                <w:szCs w:val="21"/>
                <w:highlight w:val="none"/>
              </w:rPr>
              <w:t>标段</w:t>
            </w:r>
          </w:p>
        </w:tc>
        <w:tc>
          <w:tcPr>
            <w:tcW w:w="8237" w:type="dxa"/>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2" w:hRule="atLeast"/>
          <w:jc w:val="center"/>
        </w:trPr>
        <w:tc>
          <w:tcPr>
            <w:tcW w:w="1255" w:type="dxa"/>
            <w:noWrap/>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highlight w:val="none"/>
              </w:rPr>
            </w:pPr>
            <w:r>
              <w:rPr>
                <w:rFonts w:hint="eastAsia" w:asciiTheme="minorEastAsia" w:hAnsiTheme="minorEastAsia" w:eastAsiaTheme="minorEastAsia" w:cstheme="minorEastAsia"/>
                <w:b w:val="0"/>
                <w:bCs/>
                <w:sz w:val="21"/>
                <w:szCs w:val="21"/>
                <w:lang w:val="en-US" w:eastAsia="zh-CN"/>
              </w:rPr>
              <w:t>SG</w:t>
            </w:r>
            <w:r>
              <w:rPr>
                <w:rFonts w:hint="eastAsia" w:asciiTheme="minorEastAsia" w:hAnsiTheme="minorEastAsia" w:eastAsiaTheme="minorEastAsia" w:cstheme="minorEastAsia"/>
                <w:b w:val="0"/>
                <w:bCs/>
                <w:sz w:val="21"/>
                <w:szCs w:val="21"/>
              </w:rPr>
              <w:t>01</w:t>
            </w:r>
          </w:p>
        </w:tc>
        <w:tc>
          <w:tcPr>
            <w:tcW w:w="8237"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kern w:val="0"/>
                <w:sz w:val="21"/>
                <w:szCs w:val="21"/>
                <w:highlight w:val="none"/>
              </w:rPr>
            </w:pPr>
            <w:r>
              <w:rPr>
                <w:rFonts w:hint="eastAsia" w:asciiTheme="minorEastAsia" w:hAnsiTheme="minorEastAsia" w:eastAsiaTheme="minorEastAsia" w:cstheme="minorEastAsia"/>
                <w:b w:val="0"/>
                <w:bCs/>
                <w:kern w:val="0"/>
                <w:sz w:val="21"/>
                <w:szCs w:val="21"/>
                <w:highlight w:val="none"/>
              </w:rPr>
              <w:t>近5年内（201</w:t>
            </w:r>
            <w:r>
              <w:rPr>
                <w:rFonts w:hint="eastAsia" w:asciiTheme="minorEastAsia" w:hAnsiTheme="minorEastAsia" w:eastAsiaTheme="minorEastAsia" w:cstheme="minorEastAsia"/>
                <w:b w:val="0"/>
                <w:bCs/>
                <w:kern w:val="0"/>
                <w:sz w:val="21"/>
                <w:szCs w:val="21"/>
                <w:highlight w:val="none"/>
                <w:lang w:val="en-US" w:eastAsia="zh-CN"/>
              </w:rPr>
              <w:t>5</w:t>
            </w:r>
            <w:r>
              <w:rPr>
                <w:rFonts w:hint="eastAsia" w:asciiTheme="minorEastAsia" w:hAnsiTheme="minorEastAsia" w:eastAsiaTheme="minorEastAsia" w:cstheme="minorEastAsia"/>
                <w:b w:val="0"/>
                <w:bCs/>
                <w:kern w:val="0"/>
                <w:sz w:val="21"/>
                <w:szCs w:val="21"/>
                <w:highlight w:val="none"/>
              </w:rPr>
              <w:t>年1月1日之后）至少完成过1座</w:t>
            </w:r>
            <w:r>
              <w:rPr>
                <w:rFonts w:hint="eastAsia" w:asciiTheme="minorEastAsia" w:hAnsiTheme="minorEastAsia" w:eastAsiaTheme="minorEastAsia" w:cstheme="minorEastAsia"/>
                <w:b w:val="0"/>
                <w:bCs/>
                <w:kern w:val="0"/>
                <w:sz w:val="21"/>
                <w:szCs w:val="21"/>
                <w:highlight w:val="none"/>
                <w:lang w:val="en-US" w:eastAsia="zh-CN"/>
              </w:rPr>
              <w:t>公路工程</w:t>
            </w:r>
            <w:r>
              <w:rPr>
                <w:rFonts w:hint="eastAsia" w:asciiTheme="minorEastAsia" w:hAnsiTheme="minorEastAsia" w:eastAsiaTheme="minorEastAsia" w:cstheme="minorEastAsia"/>
                <w:b w:val="0"/>
                <w:bCs/>
                <w:kern w:val="0"/>
                <w:sz w:val="21"/>
                <w:szCs w:val="21"/>
                <w:highlight w:val="none"/>
              </w:rPr>
              <w:t>大桥并且累计完成过不少于10公里二级及以上公路沥青混凝土路面工程的施工业绩</w:t>
            </w:r>
            <w:r>
              <w:rPr>
                <w:rFonts w:hint="eastAsia" w:asciiTheme="minorEastAsia" w:hAnsiTheme="minorEastAsia" w:eastAsiaTheme="minorEastAsia" w:cstheme="minorEastAsia"/>
                <w:b w:val="0"/>
                <w:bCs/>
                <w:kern w:val="0"/>
                <w:sz w:val="21"/>
                <w:szCs w:val="21"/>
                <w:highlight w:val="none"/>
                <w:lang w:val="en-US" w:eastAsia="zh-CN"/>
              </w:rPr>
              <w:t>及不少于200万元</w:t>
            </w:r>
            <w:r>
              <w:rPr>
                <w:rFonts w:hint="eastAsia" w:asciiTheme="minorEastAsia" w:hAnsiTheme="minorEastAsia" w:eastAsiaTheme="minorEastAsia" w:cstheme="minorEastAsia"/>
                <w:b w:val="0"/>
                <w:bCs/>
                <w:kern w:val="0"/>
                <w:sz w:val="21"/>
                <w:szCs w:val="21"/>
                <w:highlight w:val="none"/>
              </w:rPr>
              <w:t>二级及以上公路</w:t>
            </w:r>
            <w:r>
              <w:rPr>
                <w:rFonts w:hint="eastAsia" w:asciiTheme="minorEastAsia" w:hAnsiTheme="minorEastAsia" w:eastAsiaTheme="minorEastAsia" w:cstheme="minorEastAsia"/>
                <w:b w:val="0"/>
                <w:bCs/>
                <w:kern w:val="0"/>
                <w:sz w:val="21"/>
                <w:szCs w:val="21"/>
                <w:highlight w:val="none"/>
                <w:lang w:val="en-US" w:eastAsia="zh-CN"/>
              </w:rPr>
              <w:t>交通安全设施工程施工业绩。</w:t>
            </w: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br w:type="page"/>
      </w:r>
      <w:bookmarkStart w:id="30" w:name="_Toc514418865"/>
      <w:bookmarkStart w:id="31" w:name="_Toc536698202"/>
      <w:r>
        <w:rPr>
          <w:rFonts w:hint="eastAsia" w:asciiTheme="minorEastAsia" w:hAnsiTheme="minorEastAsia" w:eastAsiaTheme="minorEastAsia" w:cstheme="minorEastAsia"/>
          <w:b w:val="0"/>
          <w:bCs/>
          <w:sz w:val="21"/>
          <w:szCs w:val="21"/>
        </w:rPr>
        <w:t>附录4 资格审查条件（信誉最低要求）</w:t>
      </w:r>
      <w:bookmarkEnd w:id="29"/>
      <w:bookmarkEnd w:id="30"/>
      <w:bookmarkEnd w:id="31"/>
    </w:p>
    <w:p>
      <w:pPr>
        <w:pStyle w:val="17"/>
        <w:pageBreakBefore w:val="0"/>
        <w:kinsoku/>
        <w:wordWrap/>
        <w:overflowPunct/>
        <w:topLinePunct w:val="0"/>
        <w:bidi w:val="0"/>
        <w:spacing w:beforeAutospacing="0" w:after="0" w:afterAutospacing="0" w:line="360" w:lineRule="exact"/>
        <w:jc w:val="center"/>
        <w:outlineLvl w:val="9"/>
        <w:rPr>
          <w:rFonts w:hint="eastAsia" w:asciiTheme="minorEastAsia" w:hAnsiTheme="minorEastAsia" w:eastAsiaTheme="minorEastAsia" w:cstheme="minorEastAsia"/>
          <w:b w:val="0"/>
          <w:bCs/>
          <w:sz w:val="21"/>
          <w:szCs w:val="21"/>
          <w:vertAlign w:val="superscript"/>
        </w:rPr>
      </w:pP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8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183" w:type="dxa"/>
            <w:noWrap w:val="0"/>
            <w:vAlign w:val="center"/>
          </w:tcPr>
          <w:p>
            <w:pPr>
              <w:pageBreakBefore w:val="0"/>
              <w:tabs>
                <w:tab w:val="left" w:pos="1950"/>
              </w:tabs>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标段名称</w:t>
            </w:r>
          </w:p>
        </w:tc>
        <w:tc>
          <w:tcPr>
            <w:tcW w:w="8552" w:type="dxa"/>
            <w:noWrap w:val="0"/>
            <w:vAlign w:val="center"/>
          </w:tcPr>
          <w:p>
            <w:pPr>
              <w:pageBreakBefore w:val="0"/>
              <w:tabs>
                <w:tab w:val="left" w:pos="1950"/>
              </w:tabs>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1183"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kern w:val="0"/>
                <w:sz w:val="21"/>
                <w:szCs w:val="21"/>
              </w:rPr>
            </w:pPr>
            <w:r>
              <w:rPr>
                <w:rFonts w:hint="eastAsia" w:asciiTheme="minorEastAsia" w:hAnsiTheme="minorEastAsia" w:eastAsiaTheme="minorEastAsia" w:cstheme="minorEastAsia"/>
                <w:b w:val="0"/>
                <w:bCs/>
                <w:sz w:val="21"/>
                <w:szCs w:val="21"/>
                <w:lang w:val="en-US" w:eastAsia="zh-CN"/>
              </w:rPr>
              <w:t>SG</w:t>
            </w:r>
            <w:r>
              <w:rPr>
                <w:rFonts w:hint="eastAsia" w:asciiTheme="minorEastAsia" w:hAnsiTheme="minorEastAsia" w:eastAsiaTheme="minorEastAsia" w:cstheme="minorEastAsia"/>
                <w:b w:val="0"/>
                <w:bCs/>
                <w:sz w:val="21"/>
                <w:szCs w:val="21"/>
              </w:rPr>
              <w:t>01</w:t>
            </w:r>
          </w:p>
        </w:tc>
        <w:tc>
          <w:tcPr>
            <w:tcW w:w="8552" w:type="dxa"/>
            <w:noWrap w:val="0"/>
            <w:vAlign w:val="top"/>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（1）没有被吉林省及以上建设主管部门或交通运输主管部门取消本项目所在地的投标资格或禁止进入吉林省建设市场且处于有效期内；</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（2）没有被责令停业，暂扣或吊销执照，或吊销资质证书；</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（3）没有进入清算程序，或被宣告破产，或其他丧失履约能力的情形；</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（4）没有在国家企业信用信息公示系统（</w:t>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HYPERLINK "http://www.gsxt.gov.cn/)%e4%b8%ad%e8%a2%ab%e5%88%97%e5%85%a5%e4%b8%a5%e9%87%8d%e8%bf%9d%e6%b3%95" </w:instrText>
            </w:r>
            <w:r>
              <w:rPr>
                <w:rFonts w:hint="eastAsia" w:asciiTheme="minorEastAsia" w:hAnsiTheme="minorEastAsia" w:eastAsiaTheme="minorEastAsia" w:cstheme="minorEastAsia"/>
                <w:b w:val="0"/>
                <w:bCs/>
                <w:sz w:val="21"/>
                <w:szCs w:val="21"/>
              </w:rPr>
              <w:fldChar w:fldCharType="separate"/>
            </w:r>
            <w:r>
              <w:rPr>
                <w:rStyle w:val="12"/>
                <w:rFonts w:hint="eastAsia" w:asciiTheme="minorEastAsia" w:hAnsiTheme="minorEastAsia" w:eastAsiaTheme="minorEastAsia" w:cstheme="minorEastAsia"/>
                <w:b w:val="0"/>
                <w:bCs/>
                <w:sz w:val="21"/>
                <w:szCs w:val="21"/>
              </w:rPr>
              <w:t>http://www.gsxt.gov.cn/)中被列入严重违法</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rPr>
              <w:t>失信企业名单；</w:t>
            </w:r>
          </w:p>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（5）没有在“信用中国”网站（</w:t>
            </w: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 HYPERLINK "http://www.creditchina.gov.cn/)%e4%b8%ad%e8%a2%ab%e5%88%97%e5%85%a5%e5%a4%b1%e4%bf%a1%e8%a2%ab%e6%89%a7%e8%a1%8c" </w:instrText>
            </w:r>
            <w:r>
              <w:rPr>
                <w:rFonts w:hint="eastAsia" w:asciiTheme="minorEastAsia" w:hAnsiTheme="minorEastAsia" w:eastAsiaTheme="minorEastAsia" w:cstheme="minorEastAsia"/>
                <w:b w:val="0"/>
                <w:bCs/>
                <w:sz w:val="21"/>
                <w:szCs w:val="21"/>
              </w:rPr>
              <w:fldChar w:fldCharType="separate"/>
            </w:r>
            <w:r>
              <w:rPr>
                <w:rStyle w:val="12"/>
                <w:rFonts w:hint="eastAsia" w:asciiTheme="minorEastAsia" w:hAnsiTheme="minorEastAsia" w:eastAsiaTheme="minorEastAsia" w:cstheme="minorEastAsia"/>
                <w:b w:val="0"/>
                <w:bCs/>
                <w:sz w:val="21"/>
                <w:szCs w:val="21"/>
              </w:rPr>
              <w:t>http://www.creditchina.gov.cn/)中被列入失信被执行</w:t>
            </w:r>
            <w:r>
              <w:rPr>
                <w:rFonts w:hint="eastAsia" w:asciiTheme="minorEastAsia" w:hAnsiTheme="minorEastAsia" w:eastAsiaTheme="minorEastAsia" w:cstheme="minorEastAsia"/>
                <w:b w:val="0"/>
                <w:bCs/>
                <w:sz w:val="21"/>
                <w:szCs w:val="21"/>
              </w:rPr>
              <w:fldChar w:fldCharType="end"/>
            </w:r>
            <w:r>
              <w:rPr>
                <w:rFonts w:hint="eastAsia" w:asciiTheme="minorEastAsia" w:hAnsiTheme="minorEastAsia" w:eastAsiaTheme="minorEastAsia" w:cstheme="minorEastAsia"/>
                <w:b w:val="0"/>
                <w:bCs/>
                <w:sz w:val="21"/>
                <w:szCs w:val="21"/>
              </w:rPr>
              <w:t>人名单；</w:t>
            </w:r>
          </w:p>
          <w:p>
            <w:pPr>
              <w:pageBreakBefore w:val="0"/>
              <w:kinsoku/>
              <w:wordWrap/>
              <w:overflowPunct/>
              <w:topLinePunct w:val="0"/>
              <w:autoSpaceDE w:val="0"/>
              <w:autoSpaceDN w:val="0"/>
              <w:bidi w:val="0"/>
              <w:adjustRightIn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w:t>
            </w:r>
            <w:r>
              <w:rPr>
                <w:rFonts w:hint="eastAsia" w:asciiTheme="minorEastAsia" w:hAnsiTheme="minorEastAsia" w:eastAsiaTheme="minorEastAsia" w:cstheme="minorEastAsia"/>
                <w:b w:val="0"/>
                <w:bCs/>
                <w:kern w:val="0"/>
                <w:sz w:val="21"/>
                <w:szCs w:val="21"/>
                <w:lang w:val="zh-CN"/>
              </w:rPr>
              <w:t>在中国裁判文书网</w:t>
            </w:r>
            <w:r>
              <w:rPr>
                <w:rFonts w:hint="eastAsia" w:asciiTheme="minorEastAsia" w:hAnsiTheme="minorEastAsia" w:eastAsiaTheme="minorEastAsia" w:cstheme="minorEastAsia"/>
                <w:b w:val="0"/>
                <w:bCs/>
                <w:kern w:val="0"/>
                <w:sz w:val="21"/>
                <w:szCs w:val="21"/>
              </w:rPr>
              <w:t>http://wenshu.court.gov.cn/</w:t>
            </w:r>
            <w:r>
              <w:rPr>
                <w:rFonts w:hint="eastAsia" w:asciiTheme="minorEastAsia" w:hAnsiTheme="minorEastAsia" w:eastAsiaTheme="minorEastAsia" w:cstheme="minorEastAsia"/>
                <w:b w:val="0"/>
                <w:bCs/>
                <w:kern w:val="0"/>
                <w:sz w:val="21"/>
                <w:szCs w:val="21"/>
                <w:lang w:val="zh-CN"/>
              </w:rPr>
              <w:t>自行查询行贿犯罪记录</w:t>
            </w:r>
            <w:r>
              <w:rPr>
                <w:rFonts w:hint="eastAsia" w:asciiTheme="minorEastAsia" w:hAnsiTheme="minorEastAsia" w:eastAsiaTheme="minorEastAsia" w:cstheme="minorEastAsia"/>
                <w:b w:val="0"/>
                <w:bCs/>
                <w:kern w:val="0"/>
                <w:sz w:val="21"/>
                <w:szCs w:val="21"/>
              </w:rPr>
              <w:t>，</w:t>
            </w:r>
            <w:r>
              <w:rPr>
                <w:rFonts w:hint="eastAsia" w:asciiTheme="minorEastAsia" w:hAnsiTheme="minorEastAsia" w:eastAsiaTheme="minorEastAsia" w:cstheme="minorEastAsia"/>
                <w:b w:val="0"/>
                <w:bCs/>
                <w:kern w:val="0"/>
                <w:sz w:val="21"/>
                <w:szCs w:val="21"/>
                <w:lang w:val="zh-CN"/>
              </w:rPr>
              <w:t>并将网页截图附在投标文件中</w:t>
            </w:r>
            <w:r>
              <w:rPr>
                <w:rFonts w:hint="eastAsia" w:asciiTheme="minorEastAsia" w:hAnsiTheme="minorEastAsia" w:eastAsiaTheme="minorEastAsia" w:cstheme="minorEastAsia"/>
                <w:b w:val="0"/>
                <w:bCs/>
                <w:kern w:val="0"/>
                <w:sz w:val="21"/>
                <w:szCs w:val="21"/>
              </w:rPr>
              <w:t>，</w:t>
            </w:r>
            <w:r>
              <w:rPr>
                <w:rFonts w:hint="eastAsia" w:asciiTheme="minorEastAsia" w:hAnsiTheme="minorEastAsia" w:eastAsiaTheme="minorEastAsia" w:cstheme="minorEastAsia"/>
                <w:b w:val="0"/>
                <w:bCs/>
                <w:kern w:val="0"/>
                <w:sz w:val="21"/>
                <w:szCs w:val="21"/>
                <w:lang w:val="zh-CN"/>
              </w:rPr>
              <w:t>查询后没有行贿犯罪行为。</w:t>
            </w: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p>
      <w:pPr>
        <w:pStyle w:val="3"/>
        <w:pageBreakBefore w:val="0"/>
        <w:kinsoku/>
        <w:wordWrap/>
        <w:overflowPunct/>
        <w:topLinePunct w:val="0"/>
        <w:bidi w:val="0"/>
        <w:spacing w:before="0" w:beforeAutospacing="0" w:after="0" w:afterAutospacing="0" w:line="360" w:lineRule="exact"/>
        <w:jc w:val="center"/>
        <w:rPr>
          <w:rFonts w:hint="eastAsia" w:asciiTheme="minorEastAsia" w:hAnsiTheme="minorEastAsia" w:eastAsiaTheme="minorEastAsia" w:cstheme="minorEastAsia"/>
          <w:b w:val="0"/>
          <w:bCs/>
          <w:sz w:val="21"/>
          <w:szCs w:val="21"/>
        </w:rPr>
      </w:pPr>
      <w:bookmarkStart w:id="32" w:name="_Toc287967396"/>
      <w:bookmarkStart w:id="33" w:name="_Toc514418866"/>
      <w:r>
        <w:rPr>
          <w:rFonts w:hint="eastAsia" w:asciiTheme="minorEastAsia" w:hAnsiTheme="minorEastAsia" w:eastAsiaTheme="minorEastAsia" w:cstheme="minorEastAsia"/>
          <w:b w:val="0"/>
          <w:bCs/>
          <w:sz w:val="21"/>
          <w:szCs w:val="21"/>
        </w:rPr>
        <w:br w:type="page"/>
      </w:r>
      <w:bookmarkStart w:id="34" w:name="_Toc536698203"/>
      <w:r>
        <w:rPr>
          <w:rFonts w:hint="eastAsia" w:asciiTheme="minorEastAsia" w:hAnsiTheme="minorEastAsia" w:eastAsiaTheme="minorEastAsia" w:cstheme="minorEastAsia"/>
          <w:b w:val="0"/>
          <w:bCs/>
          <w:sz w:val="21"/>
          <w:szCs w:val="21"/>
        </w:rPr>
        <w:t>附录5 资格审查条件（项目经理和项目总工最低要求）</w:t>
      </w:r>
      <w:bookmarkEnd w:id="32"/>
      <w:bookmarkEnd w:id="33"/>
      <w:bookmarkEnd w:id="34"/>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tbl>
      <w:tblPr>
        <w:tblStyle w:val="9"/>
        <w:tblW w:w="9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28"/>
        <w:gridCol w:w="706"/>
        <w:gridCol w:w="602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98"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标段</w:t>
            </w:r>
          </w:p>
        </w:tc>
        <w:tc>
          <w:tcPr>
            <w:tcW w:w="1128"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人员</w:t>
            </w:r>
          </w:p>
        </w:tc>
        <w:tc>
          <w:tcPr>
            <w:tcW w:w="706"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数量</w:t>
            </w:r>
          </w:p>
        </w:tc>
        <w:tc>
          <w:tcPr>
            <w:tcW w:w="6027"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资格要求</w:t>
            </w:r>
          </w:p>
        </w:tc>
        <w:tc>
          <w:tcPr>
            <w:tcW w:w="1367" w:type="dxa"/>
            <w:noWrap w:val="0"/>
            <w:vAlign w:val="top"/>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698" w:type="dxa"/>
            <w:vMerge w:val="restart"/>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SG</w:t>
            </w:r>
            <w:r>
              <w:rPr>
                <w:rFonts w:hint="eastAsia" w:asciiTheme="minorEastAsia" w:hAnsiTheme="minorEastAsia" w:eastAsiaTheme="minorEastAsia" w:cstheme="minorEastAsia"/>
                <w:b w:val="0"/>
                <w:bCs/>
                <w:sz w:val="21"/>
                <w:szCs w:val="21"/>
              </w:rPr>
              <w:t>01</w:t>
            </w:r>
          </w:p>
        </w:tc>
        <w:tc>
          <w:tcPr>
            <w:tcW w:w="1128"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项目经理</w:t>
            </w:r>
          </w:p>
        </w:tc>
        <w:tc>
          <w:tcPr>
            <w:tcW w:w="706"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w:t>
            </w:r>
          </w:p>
        </w:tc>
        <w:tc>
          <w:tcPr>
            <w:tcW w:w="6027" w:type="dxa"/>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（1）投标人自有人员 ；</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（2）具有公路工程相关专业高级</w:t>
            </w:r>
            <w:r>
              <w:rPr>
                <w:rFonts w:hint="eastAsia" w:asciiTheme="minorEastAsia" w:hAnsiTheme="minorEastAsia" w:eastAsiaTheme="minorEastAsia" w:cstheme="minorEastAsia"/>
                <w:b w:val="0"/>
                <w:bCs/>
                <w:sz w:val="21"/>
                <w:szCs w:val="21"/>
                <w:highlight w:val="none"/>
                <w:lang w:val="en-US" w:eastAsia="zh-CN"/>
              </w:rPr>
              <w:t>技术</w:t>
            </w:r>
            <w:r>
              <w:rPr>
                <w:rFonts w:hint="eastAsia" w:asciiTheme="minorEastAsia" w:hAnsiTheme="minorEastAsia" w:eastAsiaTheme="minorEastAsia" w:cstheme="minorEastAsia"/>
                <w:b w:val="0"/>
                <w:bCs/>
                <w:sz w:val="21"/>
                <w:szCs w:val="21"/>
                <w:highlight w:val="none"/>
              </w:rPr>
              <w:t>职称；</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highlight w:val="none"/>
              </w:rPr>
              <w:t>（3）持有建设主管部门颁发</w:t>
            </w:r>
            <w:r>
              <w:rPr>
                <w:rFonts w:hint="eastAsia" w:asciiTheme="minorEastAsia" w:hAnsiTheme="minorEastAsia" w:eastAsiaTheme="minorEastAsia" w:cstheme="minorEastAsia"/>
                <w:b w:val="0"/>
                <w:bCs/>
                <w:sz w:val="21"/>
                <w:szCs w:val="21"/>
              </w:rPr>
              <w:t>的有效的“公路工程”专业一级《建造师注册证书》，且现注册单位为投标人</w:t>
            </w:r>
            <w:r>
              <w:rPr>
                <w:rFonts w:hint="eastAsia" w:asciiTheme="minorEastAsia" w:hAnsiTheme="minorEastAsia" w:eastAsiaTheme="minorEastAsia" w:cstheme="minorEastAsia"/>
                <w:b w:val="0"/>
                <w:bCs/>
                <w:sz w:val="21"/>
                <w:szCs w:val="21"/>
                <w:lang w:val="en-US" w:eastAsia="zh-CN"/>
              </w:rPr>
              <w:t>且在有限期内</w:t>
            </w:r>
            <w:r>
              <w:rPr>
                <w:rFonts w:hint="eastAsia" w:asciiTheme="minorEastAsia" w:hAnsiTheme="minorEastAsia" w:eastAsiaTheme="minorEastAsia" w:cstheme="minorEastAsia"/>
                <w:b w:val="0"/>
                <w:bCs/>
                <w:sz w:val="21"/>
                <w:szCs w:val="21"/>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（4）具有相关部门颁发的有效的B级《安全生产考核合格证书》；</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（5）公路工程施工管理工作经验5年，担任过公路工程项目经理3年</w:t>
            </w:r>
            <w:r>
              <w:rPr>
                <w:rFonts w:hint="eastAsia" w:asciiTheme="minorEastAsia" w:hAnsiTheme="minorEastAsia" w:eastAsiaTheme="minorEastAsia" w:cstheme="minorEastAsia"/>
                <w:b w:val="0"/>
                <w:bCs/>
                <w:sz w:val="21"/>
                <w:szCs w:val="21"/>
                <w:lang w:eastAsia="zh-CN"/>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lang w:val="en-US" w:eastAsia="zh-CN"/>
              </w:rPr>
              <w:t>6</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rPr>
              <w:t>至少</w:t>
            </w:r>
            <w:r>
              <w:rPr>
                <w:rFonts w:hint="eastAsia" w:asciiTheme="minorEastAsia" w:hAnsiTheme="minorEastAsia" w:eastAsiaTheme="minorEastAsia" w:cstheme="minorEastAsia"/>
                <w:b w:val="0"/>
                <w:bCs/>
                <w:sz w:val="21"/>
                <w:szCs w:val="21"/>
                <w:highlight w:val="none"/>
                <w:lang w:val="en-US" w:eastAsia="zh-CN"/>
              </w:rPr>
              <w:t>提供</w:t>
            </w:r>
            <w:r>
              <w:rPr>
                <w:rFonts w:hint="eastAsia" w:asciiTheme="minorEastAsia" w:hAnsiTheme="minorEastAsia" w:eastAsiaTheme="minorEastAsia" w:cstheme="minorEastAsia"/>
                <w:b w:val="0"/>
                <w:bCs/>
                <w:sz w:val="21"/>
                <w:szCs w:val="21"/>
                <w:highlight w:val="none"/>
              </w:rPr>
              <w:t>一座大桥并且一项二级及以上公路沥青混凝土路面工程的</w:t>
            </w:r>
            <w:r>
              <w:rPr>
                <w:rFonts w:hint="eastAsia" w:asciiTheme="minorEastAsia" w:hAnsiTheme="minorEastAsia" w:eastAsiaTheme="minorEastAsia" w:cstheme="minorEastAsia"/>
                <w:b w:val="0"/>
                <w:bCs/>
                <w:sz w:val="21"/>
                <w:szCs w:val="21"/>
                <w:highlight w:val="none"/>
                <w:lang w:val="en-US" w:eastAsia="zh-CN"/>
              </w:rPr>
              <w:t>项目经理</w:t>
            </w:r>
            <w:r>
              <w:rPr>
                <w:rFonts w:hint="eastAsia" w:asciiTheme="minorEastAsia" w:hAnsiTheme="minorEastAsia" w:eastAsiaTheme="minorEastAsia" w:cstheme="minorEastAsia"/>
                <w:b w:val="0"/>
                <w:bCs/>
                <w:sz w:val="21"/>
                <w:szCs w:val="21"/>
                <w:highlight w:val="none"/>
              </w:rPr>
              <w:t>业绩。</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lang w:val="en-US" w:eastAsia="zh-CN"/>
              </w:rPr>
              <w:t>7</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lang w:val="en-US" w:eastAsia="zh-CN"/>
              </w:rPr>
              <w:t>项目经理的相关任职业绩证明材料中必须能查找出其担任职务及相应的工程内容，否则视为无效。</w:t>
            </w:r>
            <w:r>
              <w:rPr>
                <w:rFonts w:hint="eastAsia" w:asciiTheme="minorEastAsia" w:hAnsiTheme="minorEastAsia" w:eastAsiaTheme="minorEastAsia" w:cstheme="minorEastAsia"/>
                <w:b w:val="0"/>
                <w:bCs/>
                <w:sz w:val="21"/>
                <w:szCs w:val="21"/>
                <w:highlight w:val="none"/>
              </w:rPr>
              <w:t xml:space="preserve"> </w:t>
            </w:r>
          </w:p>
        </w:tc>
        <w:tc>
          <w:tcPr>
            <w:tcW w:w="1367" w:type="dxa"/>
            <w:vMerge w:val="restart"/>
            <w:noWrap w:val="0"/>
            <w:vAlign w:val="center"/>
          </w:tcPr>
          <w:p>
            <w:pPr>
              <w:pageBreakBefore w:val="0"/>
              <w:kinsoku/>
              <w:wordWrap/>
              <w:overflowPunct/>
              <w:topLinePunct w:val="0"/>
              <w:bidi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无在岗项目（指目前未在其他项目上任职，或虽在其他项目任职但本项目中标后能够从该项目撤离）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98" w:type="dxa"/>
            <w:vMerge w:val="continue"/>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8"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项目总工</w:t>
            </w:r>
          </w:p>
        </w:tc>
        <w:tc>
          <w:tcPr>
            <w:tcW w:w="706"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w:t>
            </w:r>
          </w:p>
        </w:tc>
        <w:tc>
          <w:tcPr>
            <w:tcW w:w="6027" w:type="dxa"/>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（1）投标人自有人员；</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（2）具有公路工程相关专业高级</w:t>
            </w:r>
            <w:r>
              <w:rPr>
                <w:rFonts w:hint="eastAsia" w:asciiTheme="minorEastAsia" w:hAnsiTheme="minorEastAsia" w:eastAsiaTheme="minorEastAsia" w:cstheme="minorEastAsia"/>
                <w:b w:val="0"/>
                <w:bCs/>
                <w:sz w:val="21"/>
                <w:szCs w:val="21"/>
                <w:lang w:val="en-US" w:eastAsia="zh-CN"/>
              </w:rPr>
              <w:t>技术</w:t>
            </w:r>
            <w:r>
              <w:rPr>
                <w:rFonts w:hint="eastAsia" w:asciiTheme="minorEastAsia" w:hAnsiTheme="minorEastAsia" w:eastAsiaTheme="minorEastAsia" w:cstheme="minorEastAsia"/>
                <w:b w:val="0"/>
                <w:bCs/>
                <w:sz w:val="21"/>
                <w:szCs w:val="21"/>
              </w:rPr>
              <w:t>职称；</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rPr>
              <w:t>）具有相关部门颁发的有效的B级《安全生产考核合格证书》；</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rPr>
              <w:t>）公路工程施工管理工作经验5年，担任过公路工程项目总工3年</w:t>
            </w:r>
            <w:r>
              <w:rPr>
                <w:rFonts w:hint="eastAsia" w:asciiTheme="minorEastAsia" w:hAnsiTheme="minorEastAsia" w:eastAsiaTheme="minorEastAsia" w:cstheme="minorEastAsia"/>
                <w:b w:val="0"/>
                <w:bCs/>
                <w:sz w:val="21"/>
                <w:szCs w:val="21"/>
                <w:lang w:eastAsia="zh-CN"/>
              </w:rPr>
              <w:t>；</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highlight w:val="none"/>
                <w:lang w:val="en-US" w:eastAsia="zh-CN"/>
              </w:rPr>
              <w:t>5</w:t>
            </w:r>
            <w:r>
              <w:rPr>
                <w:rFonts w:hint="eastAsia" w:asciiTheme="minorEastAsia" w:hAnsiTheme="minorEastAsia" w:eastAsiaTheme="minorEastAsia" w:cstheme="minorEastAsia"/>
                <w:b w:val="0"/>
                <w:bCs/>
                <w:sz w:val="21"/>
                <w:szCs w:val="21"/>
                <w:highlight w:val="none"/>
                <w:lang w:eastAsia="zh-CN"/>
              </w:rPr>
              <w:t>）</w:t>
            </w:r>
            <w:r>
              <w:rPr>
                <w:rFonts w:hint="eastAsia" w:asciiTheme="minorEastAsia" w:hAnsiTheme="minorEastAsia" w:eastAsiaTheme="minorEastAsia" w:cstheme="minorEastAsia"/>
                <w:b w:val="0"/>
                <w:bCs/>
                <w:sz w:val="21"/>
                <w:szCs w:val="21"/>
                <w:highlight w:val="none"/>
              </w:rPr>
              <w:t xml:space="preserve"> 至少</w:t>
            </w:r>
            <w:r>
              <w:rPr>
                <w:rFonts w:hint="eastAsia" w:asciiTheme="minorEastAsia" w:hAnsiTheme="minorEastAsia" w:eastAsiaTheme="minorEastAsia" w:cstheme="minorEastAsia"/>
                <w:b w:val="0"/>
                <w:bCs/>
                <w:sz w:val="21"/>
                <w:szCs w:val="21"/>
                <w:highlight w:val="none"/>
                <w:lang w:val="en-US" w:eastAsia="zh-CN"/>
              </w:rPr>
              <w:t>提供</w:t>
            </w:r>
            <w:r>
              <w:rPr>
                <w:rFonts w:hint="eastAsia" w:asciiTheme="minorEastAsia" w:hAnsiTheme="minorEastAsia" w:eastAsiaTheme="minorEastAsia" w:cstheme="minorEastAsia"/>
                <w:b w:val="0"/>
                <w:bCs/>
                <w:sz w:val="21"/>
                <w:szCs w:val="21"/>
                <w:highlight w:val="none"/>
              </w:rPr>
              <w:t>一座大桥并且一项二级及以上公路沥青混凝土路面工程的</w:t>
            </w:r>
            <w:r>
              <w:rPr>
                <w:rFonts w:hint="eastAsia" w:asciiTheme="minorEastAsia" w:hAnsiTheme="minorEastAsia" w:eastAsiaTheme="minorEastAsia" w:cstheme="minorEastAsia"/>
                <w:b w:val="0"/>
                <w:bCs/>
                <w:sz w:val="21"/>
                <w:szCs w:val="21"/>
                <w:highlight w:val="none"/>
                <w:lang w:val="en-US" w:eastAsia="zh-CN"/>
              </w:rPr>
              <w:t>项目总工</w:t>
            </w:r>
            <w:r>
              <w:rPr>
                <w:rFonts w:hint="eastAsia" w:asciiTheme="minorEastAsia" w:hAnsiTheme="minorEastAsia" w:eastAsiaTheme="minorEastAsia" w:cstheme="minorEastAsia"/>
                <w:b w:val="0"/>
                <w:bCs/>
                <w:sz w:val="21"/>
                <w:szCs w:val="21"/>
                <w:highlight w:val="none"/>
              </w:rPr>
              <w:t>业绩。</w:t>
            </w:r>
          </w:p>
        </w:tc>
        <w:tc>
          <w:tcPr>
            <w:tcW w:w="1367" w:type="dxa"/>
            <w:vMerge w:val="continue"/>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tc>
      </w:tr>
    </w:tbl>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注：</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1、本表所列人员不得互相兼职。</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道桥相关专业指其职称证上的专业为道桥、路桥、公路工程、交通土建、桥梁、土木工程、交通工程等与道桥相关的专业。如职称证上无专业，则其毕业证上的专业应为道桥、路桥、公路工程、交通土建、桥梁、土木工程、交通工程等与道桥相关的专业。</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3、项目经理的《建造师注册证书》或《建造师临时执业证书》以评审时住房和城乡建设部“全国建造师信息查询网”为准（核实内容主要包括证书专业、级别、注册单位），项目经理及项目总工的B级安全生产考核合格证书以相关主管部门网站查询为准，相关信息不符或查询不到，其投标文件不能通过资格审查。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highlight w:val="none"/>
          <w:lang w:val="en-US" w:eastAsia="zh-CN"/>
        </w:rPr>
      </w:pPr>
      <w:r>
        <w:rPr>
          <w:rFonts w:hint="eastAsia" w:asciiTheme="minorEastAsia" w:hAnsiTheme="minorEastAsia" w:eastAsiaTheme="minorEastAsia" w:cstheme="minorEastAsia"/>
          <w:b w:val="0"/>
          <w:bCs/>
          <w:sz w:val="21"/>
          <w:szCs w:val="21"/>
          <w:highlight w:val="none"/>
        </w:rPr>
        <w:t>4、“投标人自有人员”指在投标人</w:t>
      </w:r>
      <w:r>
        <w:rPr>
          <w:rFonts w:hint="eastAsia" w:asciiTheme="minorEastAsia" w:hAnsiTheme="minorEastAsia" w:eastAsiaTheme="minorEastAsia" w:cstheme="minorEastAsia"/>
          <w:b w:val="0"/>
          <w:bCs/>
          <w:sz w:val="21"/>
          <w:szCs w:val="21"/>
          <w:highlight w:val="none"/>
          <w:lang w:val="en-US" w:eastAsia="zh-CN"/>
        </w:rPr>
        <w:t>为其</w:t>
      </w:r>
      <w:r>
        <w:rPr>
          <w:rFonts w:hint="eastAsia" w:asciiTheme="minorEastAsia" w:hAnsiTheme="minorEastAsia" w:eastAsiaTheme="minorEastAsia" w:cstheme="minorEastAsia"/>
          <w:b w:val="0"/>
          <w:bCs/>
          <w:sz w:val="21"/>
          <w:szCs w:val="21"/>
          <w:highlight w:val="none"/>
        </w:rPr>
        <w:t>缴纳</w:t>
      </w:r>
      <w:r>
        <w:rPr>
          <w:rFonts w:hint="eastAsia" w:asciiTheme="minorEastAsia" w:hAnsiTheme="minorEastAsia" w:eastAsiaTheme="minorEastAsia" w:cstheme="minorEastAsia"/>
          <w:b w:val="0"/>
          <w:bCs/>
          <w:sz w:val="21"/>
          <w:szCs w:val="21"/>
          <w:highlight w:val="none"/>
          <w:lang w:val="en-US" w:eastAsia="zh-CN"/>
        </w:rPr>
        <w:t>社会保险（指养老保险）</w:t>
      </w:r>
      <w:r>
        <w:rPr>
          <w:rFonts w:hint="eastAsia" w:asciiTheme="minorEastAsia" w:hAnsiTheme="minorEastAsia" w:eastAsiaTheme="minorEastAsia" w:cstheme="minorEastAsia"/>
          <w:b w:val="0"/>
          <w:bCs/>
          <w:sz w:val="21"/>
          <w:szCs w:val="21"/>
          <w:highlight w:val="none"/>
        </w:rPr>
        <w:t>的人员，</w:t>
      </w:r>
      <w:r>
        <w:rPr>
          <w:rFonts w:hint="eastAsia" w:asciiTheme="minorEastAsia" w:hAnsiTheme="minorEastAsia" w:eastAsiaTheme="minorEastAsia" w:cstheme="minorEastAsia"/>
          <w:b w:val="0"/>
          <w:bCs/>
          <w:sz w:val="21"/>
          <w:szCs w:val="21"/>
          <w:highlight w:val="none"/>
          <w:lang w:val="en-US" w:eastAsia="zh-CN"/>
        </w:rPr>
        <w:t>参保截止日期应在申请截止时间前3个月内。</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360" w:lineRule="exact"/>
        <w:jc w:val="both"/>
        <w:textAlignment w:val="auto"/>
        <w:outlineLvl w:val="2"/>
        <w:rPr>
          <w:rFonts w:hint="eastAsia" w:asciiTheme="minorEastAsia" w:hAnsiTheme="minorEastAsia" w:eastAsiaTheme="minorEastAsia" w:cstheme="minorEastAsia"/>
          <w:b w:val="0"/>
          <w:bCs/>
          <w:sz w:val="21"/>
          <w:szCs w:val="21"/>
          <w:highlight w:val="none"/>
          <w:lang w:val="en-US" w:eastAsia="zh-CN"/>
        </w:rPr>
      </w:pPr>
      <w:r>
        <w:rPr>
          <w:rFonts w:hint="eastAsia" w:asciiTheme="minorEastAsia" w:hAnsiTheme="minorEastAsia" w:eastAsiaTheme="minorEastAsia" w:cstheme="minorEastAsia"/>
          <w:b w:val="0"/>
          <w:bCs/>
          <w:sz w:val="21"/>
          <w:szCs w:val="21"/>
          <w:highlight w:val="none"/>
          <w:lang w:val="en-US" w:eastAsia="zh-CN"/>
        </w:rPr>
        <w:t>5、填报的项目经理和项目总工的任职业绩应为交通运输部“全国公路建设市场信用信息管理系统”(http://glxy.mot.gov.cn/BM/)中已载明且通过省级交通运输主管部门审核的投标人的已建主包业绩，并能够证明填报人员具有相应任职经历的业绩。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提供任何业绩证明材料。</w:t>
      </w:r>
    </w:p>
    <w:p>
      <w:pPr>
        <w:keepNext w:val="0"/>
        <w:keepLines w:val="0"/>
        <w:pageBreakBefore w:val="0"/>
        <w:kinsoku/>
        <w:wordWrap/>
        <w:overflowPunct/>
        <w:topLinePunct w:val="0"/>
        <w:bidi w:val="0"/>
        <w:adjustRightInd w:val="0"/>
        <w:spacing w:beforeAutospacing="0" w:after="0" w:afterAutospacing="0" w:line="360" w:lineRule="exact"/>
        <w:textAlignment w:val="auto"/>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highlight w:val="none"/>
          <w:lang w:val="en-US" w:eastAsia="zh-CN"/>
        </w:rPr>
        <w:t>6、《一建建造师临时执业证书》无效。</w:t>
      </w:r>
      <w:r>
        <w:rPr>
          <w:rFonts w:hint="eastAsia" w:asciiTheme="minorEastAsia" w:hAnsiTheme="minorEastAsia" w:eastAsiaTheme="minorEastAsia" w:cstheme="minorEastAsia"/>
          <w:b w:val="0"/>
          <w:bCs/>
          <w:sz w:val="21"/>
          <w:szCs w:val="21"/>
          <w:highlight w:val="none"/>
        </w:rPr>
        <w:br w:type="page"/>
      </w:r>
    </w:p>
    <w:p>
      <w:pPr>
        <w:pStyle w:val="3"/>
        <w:keepNext w:val="0"/>
        <w:keepLines w:val="0"/>
        <w:pageBreakBefore w:val="0"/>
        <w:kinsoku/>
        <w:wordWrap/>
        <w:overflowPunct/>
        <w:topLinePunct w:val="0"/>
        <w:bidi w:val="0"/>
        <w:spacing w:before="0"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eastAsia="zh-CN"/>
        </w:rPr>
        <w:t>5、</w:t>
      </w:r>
      <w:bookmarkStart w:id="35" w:name="_Toc536698212"/>
      <w:bookmarkStart w:id="36" w:name="_Toc441605621"/>
      <w:r>
        <w:rPr>
          <w:rFonts w:hint="eastAsia" w:asciiTheme="minorEastAsia" w:hAnsiTheme="minorEastAsia" w:eastAsiaTheme="minorEastAsia" w:cstheme="minorEastAsia"/>
          <w:b w:val="0"/>
          <w:bCs/>
          <w:sz w:val="21"/>
          <w:szCs w:val="21"/>
        </w:rPr>
        <w:t>评标办法前附表</w:t>
      </w:r>
      <w:bookmarkEnd w:id="35"/>
      <w:bookmarkEnd w:id="36"/>
    </w:p>
    <w:tbl>
      <w:tblPr>
        <w:tblStyle w:val="9"/>
        <w:tblW w:w="9487"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394"/>
        <w:gridCol w:w="7159"/>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trPr>
        <w:tc>
          <w:tcPr>
            <w:tcW w:w="2328" w:type="dxa"/>
            <w:gridSpan w:val="2"/>
            <w:tcBorders>
              <w:top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条款号</w:t>
            </w:r>
          </w:p>
        </w:tc>
        <w:tc>
          <w:tcPr>
            <w:tcW w:w="7159" w:type="dxa"/>
            <w:tcBorders>
              <w:top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评审因素与标准</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34"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w:t>
            </w:r>
          </w:p>
        </w:tc>
        <w:tc>
          <w:tcPr>
            <w:tcW w:w="1394"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评标办法</w:t>
            </w:r>
          </w:p>
        </w:tc>
        <w:tc>
          <w:tcPr>
            <w:tcW w:w="7159" w:type="dxa"/>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本款修改为：</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本次评标采用双信封技术评分最低标价法。评标委员会对通过投标文件第一个信封（商务及技术文件）评审，综合评分前三名的</w:t>
            </w:r>
            <w:r>
              <w:rPr>
                <w:rFonts w:hint="eastAsia" w:asciiTheme="minorEastAsia" w:hAnsiTheme="minorEastAsia" w:eastAsiaTheme="minorEastAsia" w:cstheme="minorEastAsia"/>
                <w:b w:val="0"/>
                <w:bCs/>
                <w:kern w:val="0"/>
                <w:sz w:val="21"/>
                <w:szCs w:val="21"/>
                <w:lang w:val="zh-CN"/>
              </w:rPr>
              <w:t>投标文件</w:t>
            </w:r>
            <w:r>
              <w:rPr>
                <w:rFonts w:hint="eastAsia" w:asciiTheme="minorEastAsia" w:hAnsiTheme="minorEastAsia" w:eastAsiaTheme="minorEastAsia" w:cstheme="minorEastAsia"/>
                <w:b w:val="0"/>
                <w:bCs/>
                <w:sz w:val="21"/>
                <w:szCs w:val="21"/>
              </w:rPr>
              <w:t>第二个信封（报价文件）进行开标，按评标价由低到高的顺序推荐</w:t>
            </w:r>
            <w:r>
              <w:rPr>
                <w:rFonts w:hint="eastAsia" w:asciiTheme="minorEastAsia" w:hAnsiTheme="minorEastAsia" w:eastAsiaTheme="minorEastAsia" w:cstheme="minorEastAsia"/>
                <w:b w:val="0"/>
                <w:bCs/>
                <w:sz w:val="21"/>
                <w:szCs w:val="21"/>
                <w:lang w:val="en-US" w:eastAsia="zh-CN"/>
              </w:rPr>
              <w:t>不多于三名</w:t>
            </w:r>
            <w:r>
              <w:rPr>
                <w:rFonts w:hint="eastAsia" w:asciiTheme="minorEastAsia" w:hAnsiTheme="minorEastAsia" w:eastAsiaTheme="minorEastAsia" w:cstheme="minorEastAsia"/>
                <w:b w:val="0"/>
                <w:bCs/>
                <w:sz w:val="21"/>
                <w:szCs w:val="21"/>
              </w:rPr>
              <w:t>中标候选人，</w:t>
            </w:r>
            <w:r>
              <w:rPr>
                <w:rFonts w:hint="eastAsia" w:asciiTheme="minorEastAsia" w:hAnsiTheme="minorEastAsia" w:eastAsiaTheme="minorEastAsia" w:cstheme="minorEastAsia"/>
                <w:b w:val="0"/>
                <w:bCs/>
                <w:sz w:val="21"/>
                <w:szCs w:val="21"/>
                <w:lang w:val="zh-CN"/>
              </w:rPr>
              <w:t>但投标报价低于其成本的除外。</w:t>
            </w:r>
            <w:r>
              <w:rPr>
                <w:rFonts w:hint="eastAsia" w:asciiTheme="minorEastAsia" w:hAnsiTheme="minorEastAsia" w:eastAsiaTheme="minorEastAsia" w:cstheme="minorEastAsia"/>
                <w:b w:val="0"/>
                <w:bCs/>
                <w:sz w:val="21"/>
                <w:szCs w:val="21"/>
              </w:rPr>
              <w:t>本项目设置投标控制价上限，高于投标控制价上限作废标处理。如评标委员会认为投标报价低于成本的，评标委员会将否决其投标。</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招标评标程序简介如下：</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（1）招标人按照第二章“投标人须知”第5.2.1项的规定对投标文件第一个信封（商务及技术文件）进行开标。</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（2）评标委员会首先对投标文件第一个信封（商务及技术文件）进行评审、评分，确定通过投标文件第一个信封（商务及技术文件）评审的投标人名单及排序。</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如同一标段出现多名投标人的第一个信封（商务及技术文件）综合得分相等时，则按照以下所列顺位在前的优先：</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a.施工组织设计得分较高者；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b.主要人员得分较高者；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c.履约信誉得分较高者；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d.技术能力得分较高者。</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若第一个信封评审时以上各项评分因素得分都相等，则通过评委会投票表决，推荐票数多的投标人排序在先。</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（3）招标人按照第二章“投标人须知”第5.2.3项的规定对通过第一信封评审且综合评分前三名的投标人其第二个信封（报价文件）进行开标。</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（4）评标委员会对开标的投标文件第二个信封（报价文件）进行评审，并按评标价由低到高的顺序推荐中标候选人。</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检查是否有围标、串标情况，如有相关投标文件将被否决。</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34" w:type="dxa"/>
            <w:tcBorders>
              <w:top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2.1.1</w:t>
            </w:r>
          </w:p>
        </w:tc>
        <w:tc>
          <w:tcPr>
            <w:tcW w:w="1394" w:type="dxa"/>
            <w:tcBorders>
              <w:top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第一个信封</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形式评审</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与响应性</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评审标准</w:t>
            </w:r>
          </w:p>
        </w:tc>
        <w:tc>
          <w:tcPr>
            <w:tcW w:w="7159" w:type="dxa"/>
            <w:tcBorders>
              <w:top w:val="single" w:color="auto" w:sz="4" w:space="0"/>
              <w:bottom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第一个信封（商务及技术文件）</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(1)投标文件按照招标文件规定的格式、内容填写，字迹清晰可辨：</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a.投标函按招标文件规定填报了项目名称、标段号、补遗书编号（如有）、工期、工程质量要求及安全目标 ；</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b.投标函附录的所有数据均符合招标文件规定；</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c.投标文件组成齐全完整 ，内容均按规定填写 。</w:t>
            </w:r>
          </w:p>
          <w:p>
            <w:pPr>
              <w:pageBreakBefore w:val="0"/>
              <w:kinsoku/>
              <w:wordWrap/>
              <w:overflowPunct/>
              <w:topLinePunct w:val="0"/>
              <w:autoSpaceDE w:val="0"/>
              <w:autoSpaceDN w:val="0"/>
              <w:bidi w:val="0"/>
              <w:adjustRightInd w:val="0"/>
              <w:spacing w:beforeAutospacing="0" w:after="0" w:afterAutospacing="0" w:line="360" w:lineRule="exact"/>
              <w:ind w:firstLine="315" w:firstLineChars="15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 xml:space="preserve"> (2)投标文件上法定代表人或其授权代理人的签字、投标人的单位章盖章齐全，符合招标文件规定。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(3)</w:t>
            </w:r>
            <w:r>
              <w:rPr>
                <w:rFonts w:hint="eastAsia" w:asciiTheme="minorEastAsia" w:hAnsiTheme="minorEastAsia" w:eastAsiaTheme="minorEastAsia" w:cstheme="minorEastAsia"/>
                <w:b w:val="0"/>
                <w:bCs/>
                <w:sz w:val="21"/>
                <w:szCs w:val="21"/>
              </w:rPr>
              <w:t xml:space="preserve"> 投标人按照招标文件规定提供了投标保证金：</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4" w:type="dxa"/>
            <w:tcBorders>
              <w:top w:val="single" w:color="auto" w:sz="4" w:space="0"/>
              <w:bottom w:val="nil"/>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p>
        </w:tc>
        <w:tc>
          <w:tcPr>
            <w:tcW w:w="1394" w:type="dxa"/>
            <w:tcBorders>
              <w:top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59" w:type="dxa"/>
            <w:tcBorders>
              <w:top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a.投标保证金金额符合招标文件规定的金额，且投标保证金有效期不少于投标有效期；</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b. 若投标保证金采用现金或支票形式提交，投标人应在递交投标文件截止时间之前，将投标保证金由投标人的基本账户转入招标人指定账户；</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c．若投标保证金采用银行保函形式提交，银行保函的格式、开具保函的银行均满足招标文件要求，且在递交投标文件截止时间之前向招标人提交了银行保函原件。</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(4)</w:t>
            </w:r>
            <w:r>
              <w:rPr>
                <w:rFonts w:hint="eastAsia" w:asciiTheme="minorEastAsia" w:hAnsiTheme="minorEastAsia" w:eastAsiaTheme="minorEastAsia" w:cstheme="minorEastAsia"/>
                <w:b w:val="0"/>
                <w:bCs/>
                <w:sz w:val="21"/>
                <w:szCs w:val="21"/>
              </w:rPr>
              <w:t xml:space="preserve"> 投标人法定代表人授权委托代理人签署投标文件的，需提交授权委托书，且授权人和被授权人均在授权委托书上签名，未使用印章、签名章或其他电子制版签名代替。</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(5)</w:t>
            </w:r>
            <w:r>
              <w:rPr>
                <w:rFonts w:hint="eastAsia" w:asciiTheme="minorEastAsia" w:hAnsiTheme="minorEastAsia" w:eastAsiaTheme="minorEastAsia" w:cstheme="minorEastAsia"/>
                <w:b w:val="0"/>
                <w:bCs/>
                <w:sz w:val="21"/>
                <w:szCs w:val="21"/>
              </w:rPr>
              <w:t>投标人法定代表人亲自签署投标文件的，提供了法定代表人身份证明，且法定代表人在法定代表人身份证明上签名，未使用印章、签名章或其他电子制版签名代替。</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(6)投标人未以联合体形式投标。</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(7)投标人未有分包计划。</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(8)同一投标人未提交两个以上不同的投标文件，但招标文件要求提交备选投标的除外。</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(9)投标文件中未出现有关投标报价的内容。</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(10)投标文件载明的招标项目完成期限未超过招标文件规定的时限。</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(11)投标文件</w:t>
            </w:r>
            <w:r>
              <w:rPr>
                <w:rFonts w:hint="eastAsia" w:asciiTheme="minorEastAsia" w:hAnsiTheme="minorEastAsia" w:eastAsiaTheme="minorEastAsia" w:cstheme="minorEastAsia"/>
                <w:b w:val="0"/>
                <w:bCs/>
                <w:kern w:val="0"/>
                <w:sz w:val="21"/>
                <w:szCs w:val="21"/>
              </w:rPr>
              <w:t>对</w:t>
            </w:r>
            <w:r>
              <w:rPr>
                <w:rFonts w:hint="eastAsia" w:asciiTheme="minorEastAsia" w:hAnsiTheme="minorEastAsia" w:eastAsiaTheme="minorEastAsia" w:cstheme="minorEastAsia"/>
                <w:b w:val="0"/>
                <w:bCs/>
                <w:sz w:val="21"/>
                <w:szCs w:val="21"/>
                <w:lang w:val="zh-CN"/>
              </w:rPr>
              <w:t>招标文件的实质性要求和条件作出响应。</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(12)权利义务符合招标文件规定：</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a.投标人应接受招标文件规定的风险划分原则，未提出新的风险划分办法；</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b.投标人未增加发包人的责任范围、或减少投标人的义务；</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c.投标人未提出不同的工程验收、计量、支付办法；</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d.投标人对合同纠纷、事故处理办法未提出异议；</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e.投标人在投标活动中无欺诈行为；</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f.投标人未对合同条款有重要保留。</w:t>
            </w:r>
          </w:p>
          <w:p>
            <w:pPr>
              <w:pageBreakBefore w:val="0"/>
              <w:kinsoku/>
              <w:wordWrap/>
              <w:overflowPunct/>
              <w:topLinePunct w:val="0"/>
              <w:autoSpaceDE w:val="0"/>
              <w:autoSpaceDN w:val="0"/>
              <w:bidi w:val="0"/>
              <w:adjustRightInd w:val="0"/>
              <w:spacing w:beforeAutospacing="0" w:after="0" w:afterAutospacing="0" w:line="360" w:lineRule="exact"/>
              <w:ind w:firstLine="360"/>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(13)</w:t>
            </w:r>
            <w:r>
              <w:rPr>
                <w:rFonts w:hint="eastAsia" w:asciiTheme="minorEastAsia" w:hAnsiTheme="minorEastAsia" w:eastAsiaTheme="minorEastAsia" w:cstheme="minorEastAsia"/>
                <w:b w:val="0"/>
                <w:bCs/>
                <w:color w:val="000000"/>
                <w:sz w:val="21"/>
                <w:szCs w:val="21"/>
                <w:lang w:val="zh-TW" w:eastAsia="zh-TW" w:bidi="zh-TW"/>
              </w:rPr>
              <w:t xml:space="preserve"> </w:t>
            </w:r>
            <w:r>
              <w:rPr>
                <w:rFonts w:hint="eastAsia" w:asciiTheme="minorEastAsia" w:hAnsiTheme="minorEastAsia" w:eastAsiaTheme="minorEastAsia" w:cstheme="minorEastAsia"/>
                <w:b w:val="0"/>
                <w:bCs/>
                <w:sz w:val="21"/>
                <w:szCs w:val="21"/>
                <w:lang w:val="zh-CN"/>
              </w:rPr>
              <w:t>投标文件正、副本份数符合招标文件第二章“投标人须知” 第3.7.4项规定。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2.1.3</w:t>
            </w:r>
          </w:p>
        </w:tc>
        <w:tc>
          <w:tcPr>
            <w:tcW w:w="1394"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第二个信封</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形式评审</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与响应性</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评审标准</w:t>
            </w:r>
          </w:p>
        </w:tc>
        <w:tc>
          <w:tcPr>
            <w:tcW w:w="7159" w:type="dxa"/>
            <w:noWrap w:val="0"/>
            <w:vAlign w:val="center"/>
          </w:tcPr>
          <w:p>
            <w:pPr>
              <w:pageBreakBefore w:val="0"/>
              <w:kinsoku/>
              <w:wordWrap/>
              <w:overflowPunct/>
              <w:topLinePunct w:val="0"/>
              <w:bidi w:val="0"/>
              <w:adjustRightInd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第二个信封（报价文件）</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(1)投标文件按照招标文件规定的格式、内容填写、字迹清晰可辨：</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a．投标函按招标文件规定填报了项目名称、标段号、补遗书编号（如有)、投标价（包括大写金额和小写金额)；</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b．已标价工程量清单说明文字与招标文件规定一致，未进行实质性修改和删减；</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c．投标文件组成齐全完整，内容均按规定填写。</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(2)投标文件上法定代表人或其委托代理人的签字、投标人的单位章盖章齐全，符合招标文件规定。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(3)投标报价中的报价未超过招标文件设定的最高投标限价。</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(4)投标报价中报价的大写金额能够确定具体数值。</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(5)同一投标人未提交两个以上不同的投标报价，但招标文件要求提交备选投标的除外。</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(6)投标人若填写工程量固化清单，填写完毕的工程量固化清单未对工程量固化清单电子文件中的数据、格式和运算定义进行修改；工程量固化清单中的投标报价和投标函大写金额报价一致。</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(7)投标文件正、副本份数符合招标文件第二章“投标人须知”第 3.7.4项规定。</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2.1.2</w:t>
            </w:r>
          </w:p>
        </w:tc>
        <w:tc>
          <w:tcPr>
            <w:tcW w:w="1394" w:type="dxa"/>
            <w:tcBorders>
              <w:top w:val="single" w:color="auto" w:sz="4" w:space="0"/>
              <w:left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第一个信封</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资格</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zh-CN"/>
              </w:rPr>
              <w:t>评审标准</w:t>
            </w:r>
          </w:p>
        </w:tc>
        <w:tc>
          <w:tcPr>
            <w:tcW w:w="7159" w:type="dxa"/>
            <w:tcBorders>
              <w:bottom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投标人具备有效的营业执照、资质证书、企业安全生产许可证、基本账户开户许可证和在全国企业信用信息公示系统中基础信息(体现股东及出资详细信息)的网页截图或由法定的社会验资机构出具的验资报告或注册地工商部门出具的股东出资情况证明复印件。</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(2)投标人的资质等级符合招标文件规定。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(3)投标人的财务状况符合招标文件规定。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(4)投标人的类似项目业绩符合招标文件规定，且提供了满足招标文件要求的证明材料[投标人业绩进行网上核查，核查结果相符]。</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(5)投标人的信誉符合招标文件规定。</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(6)投标人的项目经理和项目总工资格在岗情况符合招标文件规定，且提供了满足招标文件要求的证明材料(相关人员的建造师注册证书、安全生产考核合格证书等在评审时进行网上核查，核查结果相符)。</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(7)投标人不存在第二章“投标人须知"第1.4.3项或1.4.4项规定的任何一种情形。</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(8)具备建设行政主管部门颁发的公路工程施工总承包特级、一级资质和公路交通工程专业承包公路安全设施分项资质的投标人应进入交通运输部  “全国公路建设市场信用信息管理系统  (  http:IIglxy. mot. gov.cn )”  中的公路工程施工资质企业名录，且投标人名称和资质与该名录中的相应企业名称和资质完全一致;</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rPr>
              <w:t>(9)</w:t>
            </w:r>
            <w:r>
              <w:rPr>
                <w:rFonts w:hint="eastAsia" w:asciiTheme="minorEastAsia" w:hAnsiTheme="minorEastAsia" w:eastAsiaTheme="minorEastAsia" w:cstheme="minorEastAsia"/>
                <w:b w:val="0"/>
                <w:bCs/>
                <w:sz w:val="21"/>
                <w:szCs w:val="21"/>
                <w:highlight w:val="none"/>
              </w:rPr>
              <w:t>投标人未以联合体形式参与投标。</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(10</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与招标人存在利害关系可能影响招标公正性的单位，不得参加投标。单位负责人为同一人或存在控股、管理关系的不同单位，不得参加同一标段投标，否则，相关投标均无效。</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  </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br w:type="page"/>
      </w:r>
    </w:p>
    <w:tbl>
      <w:tblPr>
        <w:tblStyle w:val="9"/>
        <w:tblW w:w="9487" w:type="dxa"/>
        <w:tblInd w:w="0" w:type="dxa"/>
        <w:tblLayout w:type="fixed"/>
        <w:tblCellMar>
          <w:top w:w="0" w:type="dxa"/>
          <w:left w:w="108" w:type="dxa"/>
          <w:bottom w:w="0" w:type="dxa"/>
          <w:right w:w="108" w:type="dxa"/>
        </w:tblCellMar>
      </w:tblPr>
      <w:tblGrid>
        <w:gridCol w:w="2093"/>
        <w:gridCol w:w="1902"/>
        <w:gridCol w:w="5492"/>
      </w:tblGrid>
      <w:tr>
        <w:tblPrEx>
          <w:tblCellMar>
            <w:top w:w="0" w:type="dxa"/>
            <w:left w:w="108" w:type="dxa"/>
            <w:bottom w:w="0" w:type="dxa"/>
            <w:right w:w="108" w:type="dxa"/>
          </w:tblCellMar>
        </w:tblPrEx>
        <w:trPr>
          <w:tblHeader/>
        </w:trPr>
        <w:tc>
          <w:tcPr>
            <w:tcW w:w="20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条款号</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条款内容</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80"/>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2.2.1</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分值构成</w:t>
            </w:r>
          </w:p>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（总分100分）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440" w:left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施工组织设计：40分</w:t>
            </w:r>
          </w:p>
          <w:p>
            <w:pPr>
              <w:pageBreakBefore w:val="0"/>
              <w:kinsoku/>
              <w:wordWrap/>
              <w:overflowPunct/>
              <w:topLinePunct w:val="0"/>
              <w:bidi w:val="0"/>
              <w:adjustRightInd w:val="0"/>
              <w:snapToGrid w:val="0"/>
              <w:spacing w:beforeAutospacing="0" w:after="0" w:afterAutospacing="0" w:line="360" w:lineRule="exact"/>
              <w:ind w:left="440" w:left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主要人员：30分</w:t>
            </w:r>
          </w:p>
          <w:p>
            <w:pPr>
              <w:pageBreakBefore w:val="0"/>
              <w:kinsoku/>
              <w:wordWrap/>
              <w:overflowPunct/>
              <w:topLinePunct w:val="0"/>
              <w:bidi w:val="0"/>
              <w:adjustRightInd w:val="0"/>
              <w:snapToGrid w:val="0"/>
              <w:spacing w:beforeAutospacing="0" w:after="0" w:afterAutospacing="0" w:line="360" w:lineRule="exact"/>
              <w:ind w:left="440" w:left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 他 因 素：30分</w:t>
            </w:r>
          </w:p>
          <w:p>
            <w:pPr>
              <w:pageBreakBefore w:val="0"/>
              <w:kinsoku/>
              <w:wordWrap/>
              <w:overflowPunct/>
              <w:topLinePunct w:val="0"/>
              <w:bidi w:val="0"/>
              <w:adjustRightInd w:val="0"/>
              <w:snapToGrid w:val="0"/>
              <w:spacing w:beforeAutospacing="0" w:after="0" w:afterAutospacing="0" w:line="360" w:lineRule="exact"/>
              <w:ind w:left="440" w:left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pacing w:val="157"/>
                <w:kern w:val="0"/>
                <w:sz w:val="21"/>
                <w:szCs w:val="21"/>
              </w:rPr>
              <w:t>评标</w:t>
            </w:r>
            <w:r>
              <w:rPr>
                <w:rFonts w:hint="eastAsia" w:asciiTheme="minorEastAsia" w:hAnsiTheme="minorEastAsia" w:eastAsiaTheme="minorEastAsia" w:cstheme="minorEastAsia"/>
                <w:b w:val="0"/>
                <w:bCs/>
                <w:spacing w:val="1"/>
                <w:kern w:val="0"/>
                <w:sz w:val="21"/>
                <w:szCs w:val="21"/>
              </w:rPr>
              <w:t>价</w:t>
            </w:r>
            <w:r>
              <w:rPr>
                <w:rFonts w:hint="eastAsia" w:asciiTheme="minorEastAsia" w:hAnsiTheme="minorEastAsia" w:eastAsiaTheme="minorEastAsia" w:cstheme="minorEastAsia"/>
                <w:b w:val="0"/>
                <w:bCs/>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80"/>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2.2.3</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105" w:firstLineChars="50"/>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第二个信封详细评审标准</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80"/>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3.2.4</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通过第一个信封</w:t>
            </w:r>
          </w:p>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详细评审的投标人数量</w:t>
            </w:r>
          </w:p>
        </w:tc>
        <w:tc>
          <w:tcPr>
            <w:tcW w:w="54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按照投标人的商务和技术得分由高到低排序，选择前</w:t>
            </w:r>
            <w:r>
              <w:rPr>
                <w:rFonts w:hint="eastAsia" w:asciiTheme="minorEastAsia" w:hAnsiTheme="minorEastAsia" w:eastAsiaTheme="minorEastAsia" w:cstheme="minorEastAsia"/>
                <w:b w:val="0"/>
                <w:bCs/>
                <w:sz w:val="21"/>
                <w:szCs w:val="21"/>
                <w:u w:val="single"/>
              </w:rPr>
              <w:t>3</w:t>
            </w:r>
            <w:r>
              <w:rPr>
                <w:rFonts w:hint="eastAsia" w:asciiTheme="minorEastAsia" w:hAnsiTheme="minorEastAsia" w:eastAsiaTheme="minorEastAsia" w:cstheme="minorEastAsia"/>
                <w:b w:val="0"/>
                <w:bCs/>
                <w:sz w:val="21"/>
                <w:szCs w:val="21"/>
              </w:rPr>
              <w:t>名通过详细评审。</w:t>
            </w:r>
          </w:p>
        </w:tc>
      </w:tr>
    </w:tbl>
    <w:p>
      <w:pPr>
        <w:pStyle w:val="3"/>
        <w:keepNext w:val="0"/>
        <w:keepLines w:val="0"/>
        <w:pageBreakBefore w:val="0"/>
        <w:kinsoku/>
        <w:wordWrap/>
        <w:overflowPunct/>
        <w:topLinePunct w:val="0"/>
        <w:bidi w:val="0"/>
        <w:spacing w:before="0" w:beforeAutospacing="0" w:after="0" w:afterAutospacing="0" w:line="360" w:lineRule="exact"/>
        <w:rPr>
          <w:rFonts w:hint="eastAsia" w:asciiTheme="minorEastAsia" w:hAnsiTheme="minorEastAsia" w:eastAsiaTheme="minorEastAsia" w:cstheme="minorEastAsia"/>
          <w:b w:val="0"/>
          <w:bCs/>
          <w:sz w:val="21"/>
          <w:szCs w:val="21"/>
        </w:rPr>
      </w:pP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br w:type="page"/>
      </w:r>
    </w:p>
    <w:tbl>
      <w:tblPr>
        <w:tblStyle w:val="9"/>
        <w:tblW w:w="96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968"/>
        <w:gridCol w:w="1125"/>
        <w:gridCol w:w="2328"/>
        <w:gridCol w:w="495"/>
        <w:gridCol w:w="716"/>
        <w:gridCol w:w="3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6511" w:type="dxa"/>
            <w:gridSpan w:val="6"/>
            <w:tcBorders>
              <w:top w:val="single" w:color="auto" w:sz="6" w:space="0"/>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评分因素与权重分值</w:t>
            </w:r>
            <w:r>
              <w:rPr>
                <w:rStyle w:val="13"/>
                <w:rFonts w:hint="eastAsia" w:asciiTheme="minorEastAsia" w:hAnsiTheme="minorEastAsia" w:eastAsiaTheme="minorEastAsia" w:cstheme="minorEastAsia"/>
                <w:b w:val="0"/>
                <w:bCs/>
                <w:sz w:val="21"/>
                <w:szCs w:val="21"/>
              </w:rPr>
              <w:footnoteReference w:id="2"/>
            </w:r>
          </w:p>
        </w:tc>
        <w:tc>
          <w:tcPr>
            <w:tcW w:w="3165" w:type="dxa"/>
            <w:vMerge w:val="restart"/>
            <w:tcBorders>
              <w:top w:val="single" w:color="auto" w:sz="6" w:space="0"/>
              <w:righ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条款号</w:t>
            </w:r>
          </w:p>
        </w:tc>
        <w:tc>
          <w:tcPr>
            <w:tcW w:w="968" w:type="dxa"/>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w:t>
            </w:r>
            <w:r>
              <w:rPr>
                <w:rFonts w:hint="eastAsia" w:asciiTheme="minorEastAsia" w:hAnsiTheme="minorEastAsia" w:eastAsiaTheme="minorEastAsia" w:cstheme="minorEastAsia"/>
                <w:b w:val="0"/>
                <w:bCs/>
                <w:sz w:val="21"/>
                <w:szCs w:val="21"/>
              </w:rPr>
              <w:br w:type="textWrapping"/>
            </w:r>
            <w:r>
              <w:rPr>
                <w:rFonts w:hint="eastAsia" w:asciiTheme="minorEastAsia" w:hAnsiTheme="minorEastAsia" w:eastAsiaTheme="minorEastAsia" w:cstheme="minorEastAsia"/>
                <w:b w:val="0"/>
                <w:bCs/>
                <w:sz w:val="21"/>
                <w:szCs w:val="21"/>
              </w:rPr>
              <w:t>因素</w:t>
            </w:r>
          </w:p>
        </w:tc>
        <w:tc>
          <w:tcPr>
            <w:tcW w:w="1125" w:type="dxa"/>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评分因素</w:t>
            </w:r>
            <w:r>
              <w:rPr>
                <w:rFonts w:hint="eastAsia" w:asciiTheme="minorEastAsia" w:hAnsiTheme="minorEastAsia" w:eastAsiaTheme="minorEastAsia" w:cstheme="minorEastAsia"/>
                <w:b w:val="0"/>
                <w:bCs/>
                <w:sz w:val="21"/>
                <w:szCs w:val="21"/>
              </w:rPr>
              <w:br w:type="textWrapping"/>
            </w:r>
            <w:r>
              <w:rPr>
                <w:rFonts w:hint="eastAsia" w:asciiTheme="minorEastAsia" w:hAnsiTheme="minorEastAsia" w:eastAsiaTheme="minorEastAsia" w:cstheme="minorEastAsia"/>
                <w:b w:val="0"/>
                <w:bCs/>
                <w:sz w:val="21"/>
                <w:szCs w:val="21"/>
              </w:rPr>
              <w:t>权重分值</w:t>
            </w:r>
          </w:p>
        </w:tc>
        <w:tc>
          <w:tcPr>
            <w:tcW w:w="2328" w:type="dxa"/>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各评分因素细分项</w:t>
            </w:r>
          </w:p>
        </w:tc>
        <w:tc>
          <w:tcPr>
            <w:tcW w:w="1211" w:type="dxa"/>
            <w:gridSpan w:val="2"/>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分值</w:t>
            </w:r>
          </w:p>
        </w:tc>
        <w:tc>
          <w:tcPr>
            <w:tcW w:w="3165" w:type="dxa"/>
            <w:vMerge w:val="continue"/>
            <w:tcBorders>
              <w:righ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jc w:val="center"/>
        </w:trPr>
        <w:tc>
          <w:tcPr>
            <w:tcW w:w="879" w:type="dxa"/>
            <w:vMerge w:val="restart"/>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2.2.2（1）</w:t>
            </w:r>
          </w:p>
        </w:tc>
        <w:tc>
          <w:tcPr>
            <w:tcW w:w="968" w:type="dxa"/>
            <w:vMerge w:val="restart"/>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施工组织设计</w:t>
            </w:r>
          </w:p>
        </w:tc>
        <w:tc>
          <w:tcPr>
            <w:tcW w:w="1125" w:type="dxa"/>
            <w:vMerge w:val="restart"/>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40分</w:t>
            </w: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总体施工组织布置及规划</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4"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总体方案切实可行，对本项目具有针对性。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总体方案较满足要求。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2"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top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总体方案基本满足要求。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9"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tcBorders>
              <w:top w:val="single" w:color="auto" w:sz="4" w:space="0"/>
            </w:tcBorders>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主要工程项目的施工方案、方法与技术措施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内容齐全、完善；工程保证体系和保证措施具有操作性、先进、合理。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7"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内容较完整；方案与措施满足施工要求。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内容完整；方案与措施基本满足施工要求。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工期保证体系及保证措施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工期保证体系和保证措施具有操作性、先进、合理。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工程质量管理体系及保证措施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工程质量管理体系和保证措施具有操作性、先进、合理。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安全生产管理体系及保证措施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安全生产管理体系和保证措施具有操作性、先进、合理。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环境保护、水土保持保证体系及保证措施。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环境保护、水土保持保证体系和保证措施具有操作性、先进、合理。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文明施工及保证措施。</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文明施工</w:t>
            </w:r>
            <w:r>
              <w:rPr>
                <w:rFonts w:hint="eastAsia" w:asciiTheme="minorEastAsia" w:hAnsiTheme="minorEastAsia" w:eastAsiaTheme="minorEastAsia" w:cstheme="minorEastAsia"/>
                <w:b w:val="0"/>
                <w:bCs/>
                <w:sz w:val="21"/>
                <w:szCs w:val="21"/>
                <w:highlight w:val="none"/>
                <w:lang w:val="en-US" w:eastAsia="zh-CN"/>
              </w:rPr>
              <w:t>及</w:t>
            </w:r>
            <w:r>
              <w:rPr>
                <w:rFonts w:hint="eastAsia" w:asciiTheme="minorEastAsia" w:hAnsiTheme="minorEastAsia" w:eastAsiaTheme="minorEastAsia" w:cstheme="minorEastAsia"/>
                <w:b w:val="0"/>
                <w:bCs/>
                <w:sz w:val="21"/>
                <w:szCs w:val="21"/>
                <w:highlight w:val="none"/>
              </w:rPr>
              <w:t>保证措施具有操作性、先进、合理。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方案与措施满足施工要求。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 xml:space="preserve">方案与措施基本满足施工要求。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7"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noWrap w:val="0"/>
            <w:vAlign w:val="center"/>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项目风险预测与防范，事故应急预案。</w:t>
            </w:r>
          </w:p>
        </w:tc>
        <w:tc>
          <w:tcPr>
            <w:tcW w:w="495" w:type="dxa"/>
            <w:vMerge w:val="restart"/>
            <w:tcBorders>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p>
        </w:tc>
        <w:tc>
          <w:tcPr>
            <w:tcW w:w="716" w:type="dxa"/>
            <w:tcBorders>
              <w:left w:val="single" w:color="auto" w:sz="4" w:space="0"/>
              <w:bottom w:val="single" w:color="auto" w:sz="6"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4～5</w:t>
            </w:r>
          </w:p>
        </w:tc>
        <w:tc>
          <w:tcPr>
            <w:tcW w:w="3165" w:type="dxa"/>
            <w:tcBorders>
              <w:bottom w:val="single" w:color="auto" w:sz="6" w:space="0"/>
              <w:right w:val="single" w:color="auto" w:sz="6" w:space="0"/>
            </w:tcBorders>
            <w:noWrap w:val="0"/>
            <w:vAlign w:val="center"/>
          </w:tcPr>
          <w:p>
            <w:pPr>
              <w:pageBreakBefore w:val="0"/>
              <w:widowControl/>
              <w:kinsoku/>
              <w:wordWrap/>
              <w:overflowPunct/>
              <w:topLinePunct w:val="0"/>
              <w:bidi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项目风险预测与防范具体，预案具有操作性、先进、合理。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3～4</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事故应急预案满足施工要求。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9" w:type="dxa"/>
            <w:vMerge w:val="continue"/>
            <w:tcBorders>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3165" w:type="dxa"/>
            <w:tcBorders>
              <w:bottom w:val="single" w:color="auto" w:sz="6"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事故应急预案基本满足施工要求。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94" w:hRule="atLeast"/>
          <w:jc w:val="center"/>
        </w:trPr>
        <w:tc>
          <w:tcPr>
            <w:tcW w:w="879" w:type="dxa"/>
            <w:vMerge w:val="restart"/>
            <w:tcBorders>
              <w:top w:val="single" w:color="auto" w:sz="4" w:space="0"/>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2.2.2（2）</w:t>
            </w:r>
          </w:p>
        </w:tc>
        <w:tc>
          <w:tcPr>
            <w:tcW w:w="968"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主要人员</w:t>
            </w:r>
          </w:p>
        </w:tc>
        <w:tc>
          <w:tcPr>
            <w:tcW w:w="1125"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30分</w:t>
            </w:r>
          </w:p>
        </w:tc>
        <w:tc>
          <w:tcPr>
            <w:tcW w:w="2328"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项目经理任职资格    与业绩</w:t>
            </w:r>
          </w:p>
        </w:tc>
        <w:tc>
          <w:tcPr>
            <w:tcW w:w="495" w:type="dxa"/>
            <w:vMerge w:val="restart"/>
            <w:tcBorders>
              <w:top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15</w:t>
            </w:r>
          </w:p>
        </w:tc>
        <w:tc>
          <w:tcPr>
            <w:tcW w:w="716" w:type="dxa"/>
            <w:tcBorders>
              <w:top w:val="single" w:color="auto" w:sz="4" w:space="0"/>
              <w:lef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9～15</w:t>
            </w:r>
          </w:p>
        </w:tc>
        <w:tc>
          <w:tcPr>
            <w:tcW w:w="3165" w:type="dxa"/>
            <w:tcBorders>
              <w:top w:val="single" w:color="auto" w:sz="4"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在满足最低要求的基础上，每增加一座大桥并且每增加一项二级及以上公路沥青混凝土路面工程的施工项目经理业绩加2分，最多加6分。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top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495" w:type="dxa"/>
            <w:vMerge w:val="continue"/>
            <w:tcBorders>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716" w:type="dxa"/>
            <w:tcBorders>
              <w:left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w:t>
            </w:r>
          </w:p>
        </w:tc>
        <w:tc>
          <w:tcPr>
            <w:tcW w:w="3165" w:type="dxa"/>
            <w:tcBorders>
              <w:bottom w:val="single" w:color="auto" w:sz="6"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2"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restart"/>
            <w:tcBorders>
              <w:top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项目总工任职资格    与业绩</w:t>
            </w:r>
          </w:p>
        </w:tc>
        <w:tc>
          <w:tcPr>
            <w:tcW w:w="495" w:type="dxa"/>
            <w:vMerge w:val="restart"/>
            <w:tcBorders>
              <w:top w:val="single" w:color="auto" w:sz="6"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15</w:t>
            </w:r>
          </w:p>
        </w:tc>
        <w:tc>
          <w:tcPr>
            <w:tcW w:w="716" w:type="dxa"/>
            <w:tcBorders>
              <w:top w:val="single" w:color="auto" w:sz="6" w:space="0"/>
              <w:left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9～15</w:t>
            </w:r>
          </w:p>
        </w:tc>
        <w:tc>
          <w:tcPr>
            <w:tcW w:w="3165" w:type="dxa"/>
            <w:tcBorders>
              <w:top w:val="single" w:color="auto" w:sz="6" w:space="0"/>
              <w:bottom w:val="single" w:color="auto" w:sz="6"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在满足最低要求的基础上，每增加一座大桥并且每增加一项二级及以上公路沥青混凝土路面工程的施工项目总工业绩加2分，最多加6分。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jc w:val="center"/>
        </w:trPr>
        <w:tc>
          <w:tcPr>
            <w:tcW w:w="879" w:type="dxa"/>
            <w:vMerge w:val="continue"/>
            <w:tcBorders>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tcBorders>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top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495" w:type="dxa"/>
            <w:vMerge w:val="continue"/>
            <w:tcBorders>
              <w:top w:val="single" w:color="auto" w:sz="6"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p>
        </w:tc>
        <w:tc>
          <w:tcPr>
            <w:tcW w:w="716" w:type="dxa"/>
            <w:tcBorders>
              <w:top w:val="single" w:color="auto" w:sz="6" w:space="0"/>
              <w:left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w:t>
            </w:r>
          </w:p>
        </w:tc>
        <w:tc>
          <w:tcPr>
            <w:tcW w:w="3165" w:type="dxa"/>
            <w:tcBorders>
              <w:top w:val="single" w:color="auto" w:sz="6" w:space="0"/>
              <w:bottom w:val="single" w:color="auto" w:sz="6"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满足最低资格审查条件要求。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352" w:hRule="atLeast"/>
          <w:jc w:val="center"/>
        </w:trPr>
        <w:tc>
          <w:tcPr>
            <w:tcW w:w="879" w:type="dxa"/>
            <w:vMerge w:val="restart"/>
            <w:tcBorders>
              <w:top w:val="single" w:color="auto" w:sz="4" w:space="0"/>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2.2.2（3）</w:t>
            </w:r>
          </w:p>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技术能力</w:t>
            </w:r>
          </w:p>
        </w:tc>
        <w:tc>
          <w:tcPr>
            <w:tcW w:w="1125" w:type="dxa"/>
            <w:vMerge w:val="restart"/>
            <w:tcBorders>
              <w:top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15分</w:t>
            </w:r>
          </w:p>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tc>
        <w:tc>
          <w:tcPr>
            <w:tcW w:w="2328" w:type="dxa"/>
            <w:vMerge w:val="restart"/>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投标人技术施工能力</w:t>
            </w:r>
          </w:p>
        </w:tc>
        <w:tc>
          <w:tcPr>
            <w:tcW w:w="495" w:type="dxa"/>
            <w:vMerge w:val="restart"/>
            <w:tcBorders>
              <w:left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15</w:t>
            </w:r>
          </w:p>
        </w:tc>
        <w:tc>
          <w:tcPr>
            <w:tcW w:w="7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9～15</w:t>
            </w:r>
          </w:p>
        </w:tc>
        <w:tc>
          <w:tcPr>
            <w:tcW w:w="3165" w:type="dxa"/>
            <w:tcBorders>
              <w:top w:val="single" w:color="auto" w:sz="4" w:space="0"/>
              <w:left w:val="single" w:color="auto" w:sz="4" w:space="0"/>
              <w:bottom w:val="single" w:color="auto" w:sz="4" w:space="0"/>
              <w:right w:val="single" w:color="auto" w:sz="6" w:space="0"/>
            </w:tcBorders>
            <w:noWrap w:val="0"/>
            <w:vAlign w:val="top"/>
          </w:tcPr>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highlight w:val="none"/>
              </w:rPr>
            </w:pPr>
            <w:r>
              <w:rPr>
                <w:rFonts w:hint="eastAsia" w:asciiTheme="minorEastAsia" w:hAnsiTheme="minorEastAsia" w:eastAsiaTheme="minorEastAsia" w:cstheme="minorEastAsia"/>
                <w:b w:val="0"/>
                <w:bCs/>
                <w:sz w:val="21"/>
                <w:szCs w:val="21"/>
                <w:highlight w:val="none"/>
              </w:rPr>
              <w:t>在满足最低要求的基础上，每增加一座大桥并且每增加</w:t>
            </w:r>
            <w:r>
              <w:rPr>
                <w:rFonts w:hint="eastAsia" w:asciiTheme="minorEastAsia" w:hAnsiTheme="minorEastAsia" w:eastAsiaTheme="minorEastAsia" w:cstheme="minorEastAsia"/>
                <w:b w:val="0"/>
                <w:bCs/>
                <w:sz w:val="21"/>
                <w:szCs w:val="21"/>
                <w:highlight w:val="none"/>
                <w:lang w:val="en-US" w:eastAsia="zh-CN"/>
              </w:rPr>
              <w:t>5公里</w:t>
            </w:r>
            <w:r>
              <w:rPr>
                <w:rFonts w:hint="eastAsia" w:asciiTheme="minorEastAsia" w:hAnsiTheme="minorEastAsia" w:eastAsiaTheme="minorEastAsia" w:cstheme="minorEastAsia"/>
                <w:b w:val="0"/>
                <w:bCs/>
                <w:sz w:val="21"/>
                <w:szCs w:val="21"/>
                <w:highlight w:val="none"/>
              </w:rPr>
              <w:t>二级及以上公路沥青混凝土路面工程</w:t>
            </w:r>
            <w:r>
              <w:rPr>
                <w:rFonts w:hint="eastAsia" w:asciiTheme="minorEastAsia" w:hAnsiTheme="minorEastAsia" w:eastAsiaTheme="minorEastAsia" w:cstheme="minorEastAsia"/>
                <w:b w:val="0"/>
                <w:bCs/>
                <w:sz w:val="21"/>
                <w:szCs w:val="21"/>
                <w:highlight w:val="none"/>
                <w:lang w:val="en-US" w:eastAsia="zh-CN"/>
              </w:rPr>
              <w:t>及</w:t>
            </w:r>
            <w:r>
              <w:rPr>
                <w:rFonts w:hint="eastAsia" w:asciiTheme="minorEastAsia" w:hAnsiTheme="minorEastAsia" w:eastAsiaTheme="minorEastAsia" w:cstheme="minorEastAsia"/>
                <w:b w:val="0"/>
                <w:bCs/>
                <w:sz w:val="21"/>
                <w:szCs w:val="21"/>
                <w:highlight w:val="none"/>
              </w:rPr>
              <w:t>每增加</w:t>
            </w:r>
            <w:r>
              <w:rPr>
                <w:rFonts w:hint="eastAsia" w:asciiTheme="minorEastAsia" w:hAnsiTheme="minorEastAsia" w:eastAsiaTheme="minorEastAsia" w:cstheme="minorEastAsia"/>
                <w:b w:val="0"/>
                <w:bCs/>
                <w:sz w:val="21"/>
                <w:szCs w:val="21"/>
                <w:highlight w:val="none"/>
                <w:lang w:val="en-US" w:eastAsia="zh-CN"/>
              </w:rPr>
              <w:t>50万元</w:t>
            </w:r>
            <w:r>
              <w:rPr>
                <w:rFonts w:hint="eastAsia" w:asciiTheme="minorEastAsia" w:hAnsiTheme="minorEastAsia" w:eastAsiaTheme="minorEastAsia" w:cstheme="minorEastAsia"/>
                <w:b w:val="0"/>
                <w:bCs/>
                <w:sz w:val="21"/>
                <w:szCs w:val="21"/>
                <w:highlight w:val="none"/>
              </w:rPr>
              <w:t>二级及以上公路</w:t>
            </w:r>
            <w:r>
              <w:rPr>
                <w:rFonts w:hint="eastAsia" w:asciiTheme="minorEastAsia" w:hAnsiTheme="minorEastAsia" w:eastAsiaTheme="minorEastAsia" w:cstheme="minorEastAsia"/>
                <w:b w:val="0"/>
                <w:bCs/>
                <w:sz w:val="21"/>
                <w:szCs w:val="21"/>
                <w:highlight w:val="none"/>
                <w:lang w:val="en-US" w:eastAsia="zh-CN"/>
              </w:rPr>
              <w:t>交通安全设施工程</w:t>
            </w:r>
            <w:r>
              <w:rPr>
                <w:rFonts w:hint="eastAsia" w:asciiTheme="minorEastAsia" w:hAnsiTheme="minorEastAsia" w:eastAsiaTheme="minorEastAsia" w:cstheme="minorEastAsia"/>
                <w:b w:val="0"/>
                <w:bCs/>
                <w:sz w:val="21"/>
                <w:szCs w:val="21"/>
                <w:highlight w:val="none"/>
              </w:rPr>
              <w:t>的施工业绩加2分，最多加6分。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97"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tcBorders>
              <w:bottom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1125" w:type="dxa"/>
            <w:vMerge w:val="continue"/>
            <w:tcBorders>
              <w:top w:val="single" w:color="auto" w:sz="6"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满足业绩最低资格审查条件要求。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restart"/>
            <w:tcBorders>
              <w:top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w:t>
            </w:r>
          </w:p>
        </w:tc>
        <w:tc>
          <w:tcPr>
            <w:tcW w:w="1125" w:type="dxa"/>
            <w:vMerge w:val="restart"/>
            <w:tcBorders>
              <w:top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15分</w:t>
            </w:r>
          </w:p>
        </w:tc>
        <w:tc>
          <w:tcPr>
            <w:tcW w:w="2328" w:type="dxa"/>
            <w:vMerge w:val="restart"/>
            <w:tcBorders>
              <w:top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投标人的信誉评价等级</w:t>
            </w:r>
            <w:r>
              <w:rPr>
                <w:rStyle w:val="13"/>
                <w:rFonts w:hint="eastAsia" w:asciiTheme="minorEastAsia" w:hAnsiTheme="minorEastAsia" w:eastAsiaTheme="minorEastAsia" w:cstheme="minorEastAsia"/>
                <w:b w:val="0"/>
                <w:bCs/>
                <w:sz w:val="21"/>
                <w:szCs w:val="21"/>
              </w:rPr>
              <w:footnoteReference w:id="3"/>
            </w:r>
          </w:p>
        </w:tc>
        <w:tc>
          <w:tcPr>
            <w:tcW w:w="495"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15</w:t>
            </w:r>
          </w:p>
        </w:tc>
        <w:tc>
          <w:tcPr>
            <w:tcW w:w="71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15</w:t>
            </w:r>
          </w:p>
        </w:tc>
        <w:tc>
          <w:tcPr>
            <w:tcW w:w="3165" w:type="dxa"/>
            <w:tcBorders>
              <w:top w:val="single" w:color="auto" w:sz="4" w:space="0"/>
              <w:left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信誉等级AA得15分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w:t>
            </w:r>
          </w:p>
        </w:tc>
        <w:tc>
          <w:tcPr>
            <w:tcW w:w="3165" w:type="dxa"/>
            <w:tcBorders>
              <w:top w:val="single" w:color="auto" w:sz="4" w:space="0"/>
              <w:left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信誉等级A得13分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6"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11</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信誉等级B得</w:t>
            </w:r>
            <w:r>
              <w:rPr>
                <w:rFonts w:hint="eastAsia" w:asciiTheme="minorEastAsia" w:hAnsiTheme="minorEastAsia" w:eastAsiaTheme="minorEastAsia" w:cstheme="minorEastAsia"/>
                <w:b w:val="0"/>
                <w:bCs/>
                <w:sz w:val="21"/>
                <w:szCs w:val="21"/>
                <w:lang w:val="en-US" w:eastAsia="zh-CN"/>
              </w:rPr>
              <w:t>11</w:t>
            </w:r>
            <w:r>
              <w:rPr>
                <w:rFonts w:hint="eastAsia" w:asciiTheme="minorEastAsia" w:hAnsiTheme="minorEastAsia" w:eastAsiaTheme="minorEastAsia" w:cstheme="minorEastAsia"/>
                <w:b w:val="0"/>
                <w:bCs/>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52"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9</w:t>
            </w:r>
          </w:p>
        </w:tc>
        <w:tc>
          <w:tcPr>
            <w:tcW w:w="3165" w:type="dxa"/>
            <w:tcBorders>
              <w:top w:val="single" w:color="auto" w:sz="4" w:space="0"/>
              <w:left w:val="single" w:color="auto" w:sz="4" w:space="0"/>
              <w:bottom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信誉等级C得</w:t>
            </w:r>
            <w:r>
              <w:rPr>
                <w:rFonts w:hint="eastAsia" w:asciiTheme="minorEastAsia" w:hAnsiTheme="minorEastAsia" w:eastAsiaTheme="minorEastAsia" w:cstheme="minorEastAsia"/>
                <w:b w:val="0"/>
                <w:bCs/>
                <w:sz w:val="21"/>
                <w:szCs w:val="21"/>
                <w:lang w:val="en-US" w:eastAsia="zh-CN"/>
              </w:rPr>
              <w:t>9</w:t>
            </w:r>
            <w:r>
              <w:rPr>
                <w:rFonts w:hint="eastAsia" w:asciiTheme="minorEastAsia" w:hAnsiTheme="minorEastAsia" w:eastAsiaTheme="minorEastAsia" w:cstheme="minorEastAsia"/>
                <w:b w:val="0"/>
                <w:bCs/>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1" w:hRule="atLeast"/>
          <w:jc w:val="center"/>
        </w:trPr>
        <w:tc>
          <w:tcPr>
            <w:tcW w:w="879" w:type="dxa"/>
            <w:vMerge w:val="continue"/>
            <w:tcBorders>
              <w:lef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968"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1125" w:type="dxa"/>
            <w:vMerge w:val="continue"/>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2328" w:type="dxa"/>
            <w:vMerge w:val="continue"/>
            <w:tcBorders>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p>
        </w:tc>
        <w:tc>
          <w:tcPr>
            <w:tcW w:w="495" w:type="dxa"/>
            <w:vMerge w:val="continue"/>
            <w:tcBorders>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0</w:t>
            </w:r>
          </w:p>
        </w:tc>
        <w:tc>
          <w:tcPr>
            <w:tcW w:w="3165" w:type="dxa"/>
            <w:tcBorders>
              <w:top w:val="single" w:color="auto" w:sz="4" w:space="0"/>
              <w:left w:val="single" w:color="auto" w:sz="4" w:space="0"/>
              <w:right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jc w:val="lef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信誉等级D得0分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879" w:type="dxa"/>
            <w:tcBorders>
              <w:top w:val="single" w:color="auto" w:sz="4" w:space="0"/>
              <w:left w:val="single" w:color="auto" w:sz="6"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2.2.4（4）</w:t>
            </w:r>
          </w:p>
        </w:tc>
        <w:tc>
          <w:tcPr>
            <w:tcW w:w="968" w:type="dxa"/>
            <w:tcBorders>
              <w:top w:val="single" w:color="auto" w:sz="4" w:space="0"/>
              <w:bottom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评标价</w:t>
            </w:r>
          </w:p>
        </w:tc>
        <w:tc>
          <w:tcPr>
            <w:tcW w:w="1125" w:type="dxa"/>
            <w:tcBorders>
              <w:top w:val="single" w:color="auto" w:sz="4" w:space="0"/>
              <w:bottom w:val="single" w:color="auto" w:sz="6" w:space="0"/>
            </w:tcBorders>
            <w:noWrap w:val="0"/>
            <w:vAlign w:val="center"/>
          </w:tcPr>
          <w:p>
            <w:pPr>
              <w:pageBreakBefore w:val="0"/>
              <w:kinsoku/>
              <w:wordWrap/>
              <w:overflowPunct/>
              <w:topLinePunct w:val="0"/>
              <w:bidi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0分</w:t>
            </w:r>
          </w:p>
        </w:tc>
        <w:tc>
          <w:tcPr>
            <w:tcW w:w="2328" w:type="dxa"/>
            <w:tcBorders>
              <w:top w:val="single" w:color="auto" w:sz="4"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rPr>
                <w:rFonts w:hint="eastAsia" w:asciiTheme="minorEastAsia" w:hAnsiTheme="minorEastAsia" w:eastAsiaTheme="minorEastAsia" w:cstheme="minorEastAsia"/>
                <w:b w:val="0"/>
                <w:bCs/>
                <w:sz w:val="21"/>
                <w:szCs w:val="21"/>
              </w:rPr>
            </w:pPr>
          </w:p>
        </w:tc>
        <w:tc>
          <w:tcPr>
            <w:tcW w:w="495" w:type="dxa"/>
            <w:tcBorders>
              <w:top w:val="single" w:color="auto" w:sz="6" w:space="0"/>
              <w:left w:val="single" w:color="auto" w:sz="4"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c>
          <w:tcPr>
            <w:tcW w:w="716" w:type="dxa"/>
            <w:tcBorders>
              <w:top w:val="single" w:color="auto" w:sz="6" w:space="0"/>
              <w:left w:val="single" w:color="auto" w:sz="4" w:space="0"/>
              <w:bottom w:val="single" w:color="auto" w:sz="6"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ind w:left="113" w:right="113"/>
              <w:jc w:val="center"/>
              <w:rPr>
                <w:rFonts w:hint="eastAsia" w:asciiTheme="minorEastAsia" w:hAnsiTheme="minorEastAsia" w:eastAsiaTheme="minorEastAsia" w:cstheme="minorEastAsia"/>
                <w:b w:val="0"/>
                <w:bCs/>
                <w:sz w:val="21"/>
                <w:szCs w:val="21"/>
              </w:rPr>
            </w:pPr>
          </w:p>
        </w:tc>
        <w:tc>
          <w:tcPr>
            <w:tcW w:w="3165" w:type="dxa"/>
            <w:tcBorders>
              <w:top w:val="single" w:color="auto" w:sz="6" w:space="0"/>
              <w:left w:val="single" w:color="auto" w:sz="4" w:space="0"/>
              <w:bottom w:val="single" w:color="auto" w:sz="6" w:space="0"/>
              <w:right w:val="single" w:color="auto" w:sz="6"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p>
        </w:tc>
      </w:tr>
    </w:tbl>
    <w:p>
      <w:pPr>
        <w:pageBreakBefore w:val="0"/>
        <w:kinsoku/>
        <w:wordWrap/>
        <w:overflowPunct/>
        <w:topLinePunct w:val="0"/>
        <w:bidi w:val="0"/>
        <w:spacing w:beforeAutospacing="0" w:after="0" w:afterAutospacing="0" w:line="360" w:lineRule="exact"/>
        <w:rPr>
          <w:rFonts w:hint="eastAsia" w:asciiTheme="minorEastAsia" w:hAnsiTheme="minorEastAsia" w:eastAsiaTheme="minorEastAsia" w:cstheme="minorEastAsia"/>
          <w:b w:val="0"/>
          <w:bCs/>
          <w:sz w:val="21"/>
          <w:szCs w:val="21"/>
        </w:rPr>
      </w:pPr>
    </w:p>
    <w:tbl>
      <w:tblPr>
        <w:tblStyle w:val="9"/>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77"/>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u w:val="wave"/>
              </w:rPr>
            </w:pPr>
            <w:r>
              <w:rPr>
                <w:rFonts w:hint="eastAsia" w:asciiTheme="minorEastAsia" w:hAnsiTheme="minorEastAsia" w:eastAsiaTheme="minorEastAsia" w:cstheme="minorEastAsia"/>
                <w:b w:val="0"/>
                <w:bCs/>
                <w:sz w:val="21"/>
                <w:szCs w:val="21"/>
              </w:rPr>
              <w:t>3.9.1</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推荐</w:t>
            </w:r>
          </w:p>
          <w:p>
            <w:pPr>
              <w:pageBreakBefore w:val="0"/>
              <w:kinsoku/>
              <w:wordWrap/>
              <w:overflowPunct/>
              <w:topLinePunct w:val="0"/>
              <w:bidi w:val="0"/>
              <w:adjustRightInd w:val="0"/>
              <w:snapToGrid w:val="0"/>
              <w:spacing w:beforeAutospacing="0" w:after="0" w:afterAutospacing="0" w:line="36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中标候选人</w:t>
            </w:r>
          </w:p>
        </w:tc>
        <w:tc>
          <w:tcPr>
            <w:tcW w:w="755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评标委员会根据评标办法按其评标价由低到高的顺序推荐中标候选人。</w:t>
            </w:r>
          </w:p>
          <w:p>
            <w:pPr>
              <w:pageBreakBefore w:val="0"/>
              <w:kinsoku/>
              <w:wordWrap/>
              <w:overflowPunct/>
              <w:topLinePunct w:val="0"/>
              <w:bidi w:val="0"/>
              <w:adjustRightInd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1、如同一标段出现多名投标人的评标价相同，则以第一个信封（商务及技术文件）得分高者排序在先；</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xml:space="preserve">2、如同一标段出现多名投标人的第一个信封（商务及技术文件）综合得分相等时，则按照以下所列顺位在前的优先： </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a.施工组织设计得分较高者；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b.主要人员得分较高者；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c.履约信誉得分较高者；</w:t>
            </w:r>
          </w:p>
          <w:p>
            <w:pPr>
              <w:pageBreakBefore w:val="0"/>
              <w:kinsoku/>
              <w:wordWrap/>
              <w:overflowPunct/>
              <w:topLinePunct w:val="0"/>
              <w:bidi w:val="0"/>
              <w:adjustRightInd w:val="0"/>
              <w:snapToGrid w:val="0"/>
              <w:spacing w:beforeAutospacing="0" w:after="0" w:afterAutospacing="0" w:line="360" w:lineRule="exact"/>
              <w:ind w:firstLine="630" w:firstLineChars="3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d.技术能力得分较高者。</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rPr>
              <w:t>若以上各项评分因素得分都相等，则通过评委会投票表决，推荐票数多的投标人评分排序在先。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485" w:hRule="atLeast"/>
          <w:jc w:val="center"/>
        </w:trPr>
        <w:tc>
          <w:tcPr>
            <w:tcW w:w="9658"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需要补充的其他内容:</w:t>
            </w:r>
          </w:p>
          <w:p>
            <w:pPr>
              <w:pageBreakBefore w:val="0"/>
              <w:kinsoku/>
              <w:wordWrap/>
              <w:overflowPunct/>
              <w:topLinePunct w:val="0"/>
              <w:autoSpaceDE w:val="0"/>
              <w:autoSpaceDN w:val="0"/>
              <w:bidi w:val="0"/>
              <w:adjustRightInd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评标委员会对投标文件进行评审后，因有效投标不足3个使得投标明显缺乏竞争的，可以否决全部投标。未否决全部投标的，评标委员会应当在评标报告中阐明理由并推荐中标候选人。</w:t>
            </w:r>
          </w:p>
          <w:p>
            <w:pPr>
              <w:pageBreakBefore w:val="0"/>
              <w:kinsoku/>
              <w:wordWrap/>
              <w:overflowPunct/>
              <w:topLinePunct w:val="0"/>
              <w:autoSpaceDE w:val="0"/>
              <w:autoSpaceDN w:val="0"/>
              <w:bidi w:val="0"/>
              <w:adjustRightInd w:val="0"/>
              <w:spacing w:beforeAutospacing="0" w:after="0" w:afterAutospacing="0" w:line="360" w:lineRule="exact"/>
              <w:rPr>
                <w:rFonts w:hint="eastAsia" w:asciiTheme="minorEastAsia" w:hAnsiTheme="minorEastAsia" w:eastAsiaTheme="minorEastAsia" w:cstheme="minorEastAsia"/>
                <w:b w:val="0"/>
                <w:bCs/>
                <w:sz w:val="21"/>
                <w:szCs w:val="21"/>
                <w:lang w:val="zh-CN"/>
              </w:rPr>
            </w:pPr>
            <w:r>
              <w:rPr>
                <w:rFonts w:hint="eastAsia" w:asciiTheme="minorEastAsia" w:hAnsiTheme="minorEastAsia" w:eastAsiaTheme="minorEastAsia" w:cstheme="minorEastAsia"/>
                <w:b w:val="0"/>
                <w:bCs/>
                <w:sz w:val="21"/>
                <w:szCs w:val="21"/>
                <w:lang w:val="zh-CN"/>
              </w:rPr>
              <w:t xml:space="preserve">   投标文件按照招标文件规定采用双信封形式密封的，通过第一一个 信封商务和技术文件评审的投标人在3个以上的，招标人应当按照规定的程序进行第二个信封报价文件开标:在对报价文件进行评审后，有效投标不足3个的，评标委员会应当按照本条第一款规定执行。</w:t>
            </w:r>
          </w:p>
        </w:tc>
      </w:tr>
    </w:tbl>
    <w:p>
      <w:pPr>
        <w:pStyle w:val="3"/>
        <w:pageBreakBefore w:val="0"/>
        <w:kinsoku/>
        <w:wordWrap/>
        <w:overflowPunct/>
        <w:topLinePunct w:val="0"/>
        <w:bidi w:val="0"/>
        <w:snapToGrid w:val="0"/>
        <w:spacing w:before="0"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 公开时间</w:t>
      </w:r>
    </w:p>
    <w:p>
      <w:pPr>
        <w:pageBreakBefore w:val="0"/>
        <w:kinsoku/>
        <w:wordWrap/>
        <w:overflowPunct/>
        <w:topLinePunct w:val="0"/>
        <w:bidi w:val="0"/>
        <w:snapToGrid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themeColor="text1"/>
          <w:sz w:val="21"/>
          <w:szCs w:val="21"/>
        </w:rPr>
      </w:pPr>
      <w:r>
        <w:rPr>
          <w:rFonts w:hint="eastAsia" w:asciiTheme="minorEastAsia" w:hAnsiTheme="minorEastAsia" w:eastAsiaTheme="minorEastAsia" w:cstheme="minorEastAsia"/>
          <w:b w:val="0"/>
          <w:bCs/>
          <w:color w:val="000000" w:themeColor="text1"/>
          <w:sz w:val="21"/>
          <w:szCs w:val="21"/>
        </w:rPr>
        <w:t>本次招标文件关键内容信息公开时间至</w:t>
      </w:r>
      <w:r>
        <w:rPr>
          <w:rFonts w:hint="eastAsia" w:asciiTheme="minorEastAsia" w:hAnsiTheme="minorEastAsia" w:eastAsiaTheme="minorEastAsia" w:cstheme="minorEastAsia"/>
          <w:b w:val="0"/>
          <w:bCs/>
          <w:color w:val="000000" w:themeColor="text1"/>
          <w:sz w:val="21"/>
          <w:szCs w:val="21"/>
          <w:highlight w:val="none"/>
        </w:rPr>
        <w:t>20</w:t>
      </w:r>
      <w:r>
        <w:rPr>
          <w:rFonts w:hint="eastAsia" w:asciiTheme="minorEastAsia" w:hAnsiTheme="minorEastAsia" w:eastAsiaTheme="minorEastAsia" w:cstheme="minorEastAsia"/>
          <w:b w:val="0"/>
          <w:bCs/>
          <w:color w:val="000000" w:themeColor="text1"/>
          <w:sz w:val="21"/>
          <w:szCs w:val="21"/>
          <w:highlight w:val="none"/>
          <w:lang w:val="en-US" w:eastAsia="zh-CN"/>
        </w:rPr>
        <w:t>20</w:t>
      </w:r>
      <w:r>
        <w:rPr>
          <w:rFonts w:hint="eastAsia" w:asciiTheme="minorEastAsia" w:hAnsiTheme="minorEastAsia" w:eastAsiaTheme="minorEastAsia" w:cstheme="minorEastAsia"/>
          <w:b w:val="0"/>
          <w:bCs/>
          <w:color w:val="000000" w:themeColor="text1"/>
          <w:sz w:val="21"/>
          <w:szCs w:val="21"/>
          <w:highlight w:val="none"/>
        </w:rPr>
        <w:t>年</w:t>
      </w:r>
      <w:r>
        <w:rPr>
          <w:rFonts w:hint="eastAsia" w:asciiTheme="minorEastAsia" w:hAnsiTheme="minorEastAsia" w:eastAsiaTheme="minorEastAsia" w:cstheme="minorEastAsia"/>
          <w:b w:val="0"/>
          <w:bCs/>
          <w:color w:val="000000" w:themeColor="text1"/>
          <w:sz w:val="21"/>
          <w:szCs w:val="21"/>
          <w:highlight w:val="none"/>
          <w:lang w:val="en-US" w:eastAsia="zh-CN"/>
        </w:rPr>
        <w:t>04</w:t>
      </w:r>
      <w:r>
        <w:rPr>
          <w:rFonts w:hint="eastAsia" w:asciiTheme="minorEastAsia" w:hAnsiTheme="minorEastAsia" w:eastAsiaTheme="minorEastAsia" w:cstheme="minorEastAsia"/>
          <w:b w:val="0"/>
          <w:bCs/>
          <w:color w:val="000000" w:themeColor="text1"/>
          <w:sz w:val="21"/>
          <w:szCs w:val="21"/>
          <w:highlight w:val="none"/>
        </w:rPr>
        <w:t>月</w:t>
      </w:r>
      <w:r>
        <w:rPr>
          <w:rFonts w:hint="eastAsia" w:asciiTheme="minorEastAsia" w:hAnsiTheme="minorEastAsia" w:eastAsiaTheme="minorEastAsia" w:cstheme="minorEastAsia"/>
          <w:b w:val="0"/>
          <w:bCs/>
          <w:color w:val="000000" w:themeColor="text1"/>
          <w:sz w:val="21"/>
          <w:szCs w:val="21"/>
          <w:highlight w:val="none"/>
          <w:lang w:val="en-US" w:eastAsia="zh-CN"/>
        </w:rPr>
        <w:t>0</w:t>
      </w:r>
      <w:bookmarkStart w:id="38" w:name="_GoBack"/>
      <w:bookmarkEnd w:id="38"/>
      <w:r>
        <w:rPr>
          <w:rFonts w:hint="eastAsia" w:asciiTheme="minorEastAsia" w:hAnsiTheme="minorEastAsia" w:eastAsiaTheme="minorEastAsia" w:cstheme="minorEastAsia"/>
          <w:b w:val="0"/>
          <w:bCs/>
          <w:color w:val="000000" w:themeColor="text1"/>
          <w:sz w:val="21"/>
          <w:szCs w:val="21"/>
          <w:highlight w:val="none"/>
          <w:lang w:val="en-US" w:eastAsia="zh-CN"/>
        </w:rPr>
        <w:t>6</w:t>
      </w:r>
      <w:r>
        <w:rPr>
          <w:rFonts w:hint="eastAsia" w:asciiTheme="minorEastAsia" w:hAnsiTheme="minorEastAsia" w:eastAsiaTheme="minorEastAsia" w:cstheme="minorEastAsia"/>
          <w:b w:val="0"/>
          <w:bCs/>
          <w:color w:val="000000" w:themeColor="text1"/>
          <w:sz w:val="21"/>
          <w:szCs w:val="21"/>
          <w:highlight w:val="none"/>
        </w:rPr>
        <w:t>日</w:t>
      </w:r>
      <w:r>
        <w:rPr>
          <w:rFonts w:hint="eastAsia" w:asciiTheme="minorEastAsia" w:hAnsiTheme="minorEastAsia" w:eastAsiaTheme="minorEastAsia" w:cstheme="minorEastAsia"/>
          <w:b w:val="0"/>
          <w:bCs/>
          <w:color w:val="000000" w:themeColor="text1"/>
          <w:sz w:val="21"/>
          <w:szCs w:val="21"/>
        </w:rPr>
        <w:t>结束。</w:t>
      </w:r>
    </w:p>
    <w:p>
      <w:pPr>
        <w:pageBreakBefore w:val="0"/>
        <w:kinsoku/>
        <w:wordWrap/>
        <w:overflowPunct/>
        <w:topLinePunct w:val="0"/>
        <w:bidi w:val="0"/>
        <w:snapToGrid w:val="0"/>
        <w:spacing w:beforeAutospacing="0" w:after="0" w:afterAutospacing="0" w:line="360" w:lineRule="exact"/>
        <w:ind w:firstLine="420" w:firstLineChars="200"/>
        <w:jc w:val="left"/>
        <w:rPr>
          <w:rFonts w:hint="eastAsia" w:asciiTheme="minorEastAsia" w:hAnsiTheme="minorEastAsia" w:eastAsiaTheme="minorEastAsia" w:cstheme="minorEastAsia"/>
          <w:b w:val="0"/>
          <w:bCs/>
          <w:sz w:val="21"/>
          <w:szCs w:val="21"/>
        </w:rPr>
      </w:pPr>
      <w:bookmarkStart w:id="37" w:name="_Toc455238563"/>
      <w:r>
        <w:rPr>
          <w:rFonts w:hint="eastAsia" w:asciiTheme="minorEastAsia" w:hAnsiTheme="minorEastAsia" w:eastAsiaTheme="minorEastAsia" w:cstheme="minorEastAsia"/>
          <w:b w:val="0"/>
          <w:bCs/>
          <w:sz w:val="21"/>
          <w:szCs w:val="21"/>
        </w:rPr>
        <w:t>7.联系方式</w:t>
      </w:r>
      <w:bookmarkEnd w:id="37"/>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 xml:space="preserve">招 标 人: 白城市公路工程建设办公室    </w:t>
      </w:r>
      <w:r>
        <w:rPr>
          <w:rFonts w:hint="eastAsia" w:asciiTheme="minorEastAsia" w:hAnsiTheme="minorEastAsia" w:eastAsiaTheme="minorEastAsia" w:cstheme="minorEastAsia"/>
          <w:b w:val="0"/>
          <w:bCs/>
          <w:color w:val="000000"/>
          <w:sz w:val="21"/>
          <w:szCs w:val="21"/>
          <w:lang w:val="en-US" w:eastAsia="zh-CN"/>
        </w:rPr>
        <w:t xml:space="preserve">  </w:t>
      </w:r>
      <w:r>
        <w:rPr>
          <w:rFonts w:hint="eastAsia" w:asciiTheme="minorEastAsia" w:hAnsiTheme="minorEastAsia" w:eastAsiaTheme="minorEastAsia" w:cstheme="minorEastAsia"/>
          <w:b w:val="0"/>
          <w:bCs/>
          <w:color w:val="000000"/>
          <w:sz w:val="21"/>
          <w:szCs w:val="21"/>
        </w:rPr>
        <w:t>招标代理机构:</w:t>
      </w:r>
      <w:r>
        <w:rPr>
          <w:rFonts w:hint="eastAsia" w:asciiTheme="minorEastAsia" w:hAnsiTheme="minorEastAsia" w:eastAsiaTheme="minorEastAsia" w:cstheme="minorEastAsia"/>
          <w:b w:val="0"/>
          <w:bCs/>
          <w:sz w:val="21"/>
          <w:szCs w:val="21"/>
        </w:rPr>
        <w:t xml:space="preserve"> 吉林诚仪工程咨询有限公司</w:t>
      </w:r>
    </w:p>
    <w:p>
      <w:pPr>
        <w:pageBreakBefore w:val="0"/>
        <w:kinsoku/>
        <w:wordWrap/>
        <w:overflowPunct/>
        <w:topLinePunct w:val="0"/>
        <w:bidi w:val="0"/>
        <w:spacing w:beforeAutospacing="0" w:after="0" w:afterAutospacing="0" w:line="360" w:lineRule="exact"/>
        <w:ind w:left="4513" w:leftChars="190" w:hanging="4095" w:hangingChars="195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地    址: 白城市幸福南大街84</w:t>
      </w:r>
      <w:r>
        <w:rPr>
          <w:rFonts w:hint="eastAsia" w:asciiTheme="minorEastAsia" w:hAnsiTheme="minorEastAsia" w:eastAsiaTheme="minorEastAsia" w:cstheme="minorEastAsia"/>
          <w:b w:val="0"/>
          <w:bCs/>
          <w:color w:val="000000"/>
          <w:spacing w:val="-10"/>
          <w:sz w:val="21"/>
          <w:szCs w:val="21"/>
        </w:rPr>
        <w:t>号</w:t>
      </w:r>
      <w:r>
        <w:rPr>
          <w:rFonts w:hint="eastAsia" w:asciiTheme="minorEastAsia" w:hAnsiTheme="minorEastAsia" w:eastAsiaTheme="minorEastAsia" w:cstheme="minorEastAsia"/>
          <w:b w:val="0"/>
          <w:bCs/>
          <w:color w:val="000000"/>
          <w:sz w:val="21"/>
          <w:szCs w:val="21"/>
        </w:rPr>
        <w:t xml:space="preserve"> </w:t>
      </w:r>
      <w:r>
        <w:rPr>
          <w:rFonts w:hint="eastAsia" w:asciiTheme="minorEastAsia" w:hAnsiTheme="minorEastAsia" w:eastAsiaTheme="minorEastAsia" w:cstheme="minorEastAsia"/>
          <w:b w:val="0"/>
          <w:bCs/>
          <w:color w:val="000000"/>
          <w:sz w:val="21"/>
          <w:szCs w:val="21"/>
          <w:lang w:val="en-US" w:eastAsia="zh-CN"/>
        </w:rPr>
        <w:t xml:space="preserve">        </w:t>
      </w:r>
      <w:r>
        <w:rPr>
          <w:rFonts w:hint="eastAsia" w:asciiTheme="minorEastAsia" w:hAnsiTheme="minorEastAsia" w:eastAsiaTheme="minorEastAsia" w:cstheme="minorEastAsia"/>
          <w:b w:val="0"/>
          <w:bCs/>
          <w:color w:val="000000"/>
          <w:sz w:val="21"/>
          <w:szCs w:val="21"/>
        </w:rPr>
        <w:t>地    址: 白城市胜利西路269号</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rPr>
        <w:t>邮    编: 13</w:t>
      </w:r>
      <w:r>
        <w:rPr>
          <w:rFonts w:hint="eastAsia" w:asciiTheme="minorEastAsia" w:hAnsiTheme="minorEastAsia" w:eastAsiaTheme="minorEastAsia" w:cstheme="minorEastAsia"/>
          <w:b w:val="0"/>
          <w:bCs/>
          <w:color w:val="000000"/>
          <w:sz w:val="21"/>
          <w:szCs w:val="21"/>
          <w:lang w:val="en-US" w:eastAsia="zh-CN"/>
        </w:rPr>
        <w:t>7</w:t>
      </w:r>
      <w:r>
        <w:rPr>
          <w:rFonts w:hint="eastAsia" w:asciiTheme="minorEastAsia" w:hAnsiTheme="minorEastAsia" w:eastAsiaTheme="minorEastAsia" w:cstheme="minorEastAsia"/>
          <w:b w:val="0"/>
          <w:bCs/>
          <w:color w:val="000000"/>
          <w:sz w:val="21"/>
          <w:szCs w:val="21"/>
        </w:rPr>
        <w:t xml:space="preserve">000                        邮    编: </w:t>
      </w:r>
      <w:r>
        <w:rPr>
          <w:rFonts w:hint="eastAsia" w:asciiTheme="minorEastAsia" w:hAnsiTheme="minorEastAsia" w:eastAsiaTheme="minorEastAsia" w:cstheme="minorEastAsia"/>
          <w:b w:val="0"/>
          <w:bCs/>
          <w:kern w:val="0"/>
          <w:sz w:val="21"/>
          <w:szCs w:val="21"/>
        </w:rPr>
        <w:t>13</w:t>
      </w:r>
      <w:r>
        <w:rPr>
          <w:rFonts w:hint="eastAsia" w:asciiTheme="minorEastAsia" w:hAnsiTheme="minorEastAsia" w:eastAsiaTheme="minorEastAsia" w:cstheme="minorEastAsia"/>
          <w:b w:val="0"/>
          <w:bCs/>
          <w:kern w:val="0"/>
          <w:sz w:val="21"/>
          <w:szCs w:val="21"/>
          <w:lang w:val="en-US" w:eastAsia="zh-CN"/>
        </w:rPr>
        <w:t>7000</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color w:val="000000"/>
          <w:spacing w:val="1"/>
          <w:kern w:val="0"/>
          <w:sz w:val="21"/>
          <w:szCs w:val="21"/>
        </w:rPr>
      </w:pPr>
      <w:r>
        <w:rPr>
          <w:rFonts w:hint="eastAsia" w:asciiTheme="minorEastAsia" w:hAnsiTheme="minorEastAsia" w:eastAsiaTheme="minorEastAsia" w:cstheme="minorEastAsia"/>
          <w:b w:val="0"/>
          <w:bCs/>
          <w:color w:val="000000"/>
          <w:sz w:val="21"/>
          <w:szCs w:val="21"/>
        </w:rPr>
        <w:t xml:space="preserve">联 系 人: </w:t>
      </w:r>
      <w:r>
        <w:rPr>
          <w:rFonts w:hint="eastAsia" w:asciiTheme="minorEastAsia" w:hAnsiTheme="minorEastAsia" w:eastAsiaTheme="minorEastAsia" w:cstheme="minorEastAsia"/>
          <w:b w:val="0"/>
          <w:bCs/>
          <w:kern w:val="0"/>
          <w:sz w:val="21"/>
          <w:szCs w:val="21"/>
          <w:lang w:val="zh-CN"/>
        </w:rPr>
        <w:t>庄文轩</w:t>
      </w:r>
      <w:r>
        <w:rPr>
          <w:rFonts w:hint="eastAsia" w:asciiTheme="minorEastAsia" w:hAnsiTheme="minorEastAsia" w:eastAsiaTheme="minorEastAsia" w:cstheme="minorEastAsia"/>
          <w:b w:val="0"/>
          <w:bCs/>
          <w:color w:val="000000"/>
          <w:sz w:val="21"/>
          <w:szCs w:val="21"/>
        </w:rPr>
        <w:t xml:space="preserve">                        联 系 人: </w:t>
      </w:r>
      <w:r>
        <w:rPr>
          <w:rFonts w:hint="eastAsia" w:asciiTheme="minorEastAsia" w:hAnsiTheme="minorEastAsia" w:eastAsiaTheme="minorEastAsia" w:cstheme="minorEastAsia"/>
          <w:b w:val="0"/>
          <w:bCs/>
          <w:color w:val="000000"/>
          <w:spacing w:val="1"/>
          <w:kern w:val="0"/>
          <w:sz w:val="21"/>
          <w:szCs w:val="21"/>
        </w:rPr>
        <w:t>于革革  杨乐</w:t>
      </w:r>
    </w:p>
    <w:p>
      <w:pPr>
        <w:pageBreakBefore w:val="0"/>
        <w:kinsoku/>
        <w:wordWrap/>
        <w:overflowPunct/>
        <w:topLinePunct w:val="0"/>
        <w:bidi w:val="0"/>
        <w:spacing w:beforeAutospacing="0" w:after="0" w:afterAutospacing="0" w:line="360" w:lineRule="exact"/>
        <w:ind w:firstLine="42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00"/>
          <w:sz w:val="21"/>
          <w:szCs w:val="21"/>
        </w:rPr>
        <w:t>电    话: 0436-3671563                  电    话: 0436-3511790</w:t>
      </w:r>
    </w:p>
    <w:sectPr>
      <w:pgSz w:w="11906" w:h="16838"/>
      <w:pgMar w:top="1134" w:right="1077"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keepNext w:val="0"/>
        <w:keepLines w:val="0"/>
        <w:pageBreakBefore w:val="0"/>
        <w:widowControl w:val="0"/>
        <w:kinsoku/>
        <w:wordWrap/>
        <w:overflowPunct/>
        <w:topLinePunct w:val="0"/>
        <w:autoSpaceDE/>
        <w:autoSpaceDN/>
        <w:bidi w:val="0"/>
        <w:adjustRightInd/>
        <w:snapToGrid w:val="0"/>
        <w:spacing w:line="360" w:lineRule="exact"/>
        <w:textAlignment w:val="auto"/>
        <w:rPr>
          <w:rFonts w:ascii="宋体" w:hAnsi="宋体" w:eastAsia="宋体" w:cs="宋体"/>
          <w:sz w:val="21"/>
          <w:szCs w:val="21"/>
        </w:rPr>
      </w:pPr>
      <w:r>
        <w:rPr>
          <w:rStyle w:val="13"/>
        </w:rPr>
        <w:footnoteRef/>
      </w:r>
      <w:r>
        <w:rPr>
          <w:sz w:val="21"/>
          <w:szCs w:val="21"/>
        </w:rPr>
        <w:t xml:space="preserve"> </w:t>
      </w:r>
      <w:r>
        <w:rPr>
          <w:rFonts w:ascii="宋体" w:hAnsi="宋体" w:eastAsia="宋体" w:cs="宋体"/>
          <w:sz w:val="21"/>
          <w:szCs w:val="21"/>
        </w:rPr>
        <w:t>a.“投标人须知前附表”用于进一步明确正文中的未尽事宜，凡“投标人须知前附表”对本章正文内容进行修改、完善和补充的，均以“投标人须知前附表”中的编列内容为准;未进行补充、完善、修改和说明的，以本章正文内容为准。</w:t>
      </w:r>
    </w:p>
    <w:p>
      <w:pPr>
        <w:pStyle w:val="7"/>
        <w:keepNext w:val="0"/>
        <w:keepLines w:val="0"/>
        <w:pageBreakBefore w:val="0"/>
        <w:widowControl w:val="0"/>
        <w:kinsoku/>
        <w:wordWrap/>
        <w:overflowPunct/>
        <w:topLinePunct w:val="0"/>
        <w:autoSpaceDE/>
        <w:autoSpaceDN/>
        <w:bidi w:val="0"/>
        <w:adjustRightInd/>
        <w:snapToGrid w:val="0"/>
        <w:spacing w:line="360" w:lineRule="exact"/>
        <w:ind w:firstLine="210" w:firstLineChars="100"/>
        <w:textAlignment w:val="auto"/>
        <w:rPr>
          <w:rFonts w:hint="eastAsia" w:eastAsia="宋体"/>
          <w:sz w:val="21"/>
          <w:szCs w:val="21"/>
          <w:lang w:val="en-US" w:eastAsia="zh-CN"/>
        </w:rPr>
      </w:pPr>
      <w:r>
        <w:rPr>
          <w:rFonts w:ascii="宋体" w:hAnsi="宋体" w:eastAsia="宋体" w:cs="宋体"/>
          <w:sz w:val="21"/>
          <w:szCs w:val="21"/>
        </w:rPr>
        <w:t>b.“投标人须知前附表”中的附录表格同属“投标人须知前附表”内容，具有同等效力。</w:t>
      </w:r>
    </w:p>
  </w:footnote>
  <w:footnote w:id="1">
    <w:p>
      <w:pPr>
        <w:pStyle w:val="7"/>
      </w:pPr>
      <w:r>
        <w:rPr>
          <w:rStyle w:val="13"/>
        </w:rPr>
        <w:footnoteRef/>
      </w:r>
      <w:r>
        <w:rPr>
          <w:rFonts w:hint="eastAsia" w:ascii="黑体" w:hAnsi="黑体" w:eastAsia="黑体"/>
        </w:rPr>
        <w:t>投标人经审计的</w:t>
      </w:r>
      <w:r>
        <w:rPr>
          <w:rFonts w:ascii="黑体" w:hAnsi="黑体" w:eastAsia="黑体"/>
          <w:b/>
        </w:rPr>
        <w:t>201</w:t>
      </w:r>
      <w:r>
        <w:rPr>
          <w:rFonts w:hint="eastAsia" w:ascii="黑体" w:hAnsi="黑体" w:eastAsia="黑体"/>
          <w:b/>
        </w:rPr>
        <w:t>8年</w:t>
      </w:r>
      <w:r>
        <w:rPr>
          <w:rFonts w:hint="eastAsia" w:ascii="黑体" w:hAnsi="黑体" w:eastAsia="黑体"/>
        </w:rPr>
        <w:t>财务报告中的流动资金不低于本表中要求，不强制开具银行信贷证明。银行信贷证明的证明时效必须满足预计工期同时由出具该证明的银行的法定代表人签署，并加盖该银行的法人公章。银行信贷证明必须在地（市）级或以上级别的信誉良好的国有或股份制商业银行支行开具。</w:t>
      </w:r>
    </w:p>
  </w:footnote>
  <w:footnote w:id="2">
    <w:p>
      <w:pPr>
        <w:pStyle w:val="20"/>
        <w:shd w:val="clear" w:color="auto" w:fill="auto"/>
        <w:spacing w:before="0" w:line="319" w:lineRule="exact"/>
        <w:ind w:left="300"/>
        <w:jc w:val="both"/>
        <w:rPr>
          <w:highlight w:val="cyan"/>
        </w:rPr>
      </w:pPr>
      <w:r>
        <w:rPr>
          <w:rStyle w:val="13"/>
        </w:rPr>
        <w:footnoteRef/>
      </w:r>
      <w:r>
        <w:t xml:space="preserve"> </w:t>
      </w:r>
      <w:r>
        <w:rPr>
          <w:rFonts w:hint="eastAsia"/>
        </w:rPr>
        <w:t>招</w:t>
      </w:r>
      <w:r>
        <w:t>标人应根据项目具体情况确定各评分因素及评分因素权重分值，并对各评分因素进行细分（如有）、确定 各评分因素细分项的分值，各评分因素权重分值合计应为100分。各评分因素（评标价和履约信誉评分项除 外）得分一般不得低于其权重分值的60%，且各评分因素得分应以评标委员会各成员的打分平均值确定，评 标委员会成员总数为七人以上时，该平均值以去掉一个最高分和一个最低分后计算。评标委员会成员对某一 项评分因素的评分低于权重分值60%的，应在评标报告中作出说明。</w:t>
      </w:r>
    </w:p>
    <w:p>
      <w:pPr>
        <w:pStyle w:val="7"/>
        <w:jc w:val="both"/>
        <w:rPr>
          <w:rFonts w:ascii="宋体" w:hAnsi="宋体"/>
          <w:lang w:eastAsia="zh-TW"/>
        </w:rPr>
      </w:pPr>
    </w:p>
  </w:footnote>
  <w:footnote w:id="3">
    <w:p>
      <w:pPr>
        <w:pStyle w:val="7"/>
      </w:pPr>
      <w:r>
        <w:rPr>
          <w:rStyle w:val="13"/>
        </w:rPr>
        <w:footnoteRef/>
      </w:r>
      <w:r>
        <w:rPr>
          <w:rFonts w:hint="eastAsia"/>
        </w:rPr>
        <w:t xml:space="preserve">a.投标人信用评价等级：指投标人吉林省信用评价等级或投标人全国信用评价等级。 </w:t>
      </w:r>
    </w:p>
    <w:p>
      <w:pPr>
        <w:pStyle w:val="7"/>
      </w:pPr>
      <w:r>
        <w:rPr>
          <w:rFonts w:hint="eastAsia"/>
        </w:rPr>
        <w:t>b、投标人吉林省信用评价等级：指投标人在吉林省交通运输厅发布的 “关于发布201</w:t>
      </w:r>
      <w:r>
        <w:rPr>
          <w:rFonts w:hint="eastAsia"/>
          <w:lang w:val="en-US" w:eastAsia="zh-CN"/>
        </w:rPr>
        <w:t>8</w:t>
      </w:r>
      <w:r>
        <w:rPr>
          <w:rFonts w:hint="eastAsia"/>
        </w:rPr>
        <w:t>年度公路设计、施工企业吉林省省级综合评价结果的公告”中的201</w:t>
      </w:r>
      <w:r>
        <w:rPr>
          <w:rFonts w:hint="eastAsia"/>
          <w:lang w:val="en-US" w:eastAsia="zh-CN"/>
        </w:rPr>
        <w:t>8</w:t>
      </w:r>
      <w:r>
        <w:rPr>
          <w:rFonts w:hint="eastAsia"/>
        </w:rPr>
        <w:t>年的信用等级；投标人全国信用评价等级：指投标人在“全国公路建设市场信用信息管理系统”中“全国公路从业单位信用评价结果”中“201</w:t>
      </w:r>
      <w:r>
        <w:rPr>
          <w:rFonts w:hint="eastAsia"/>
          <w:lang w:val="en-US" w:eastAsia="zh-CN"/>
        </w:rPr>
        <w:t>8</w:t>
      </w:r>
      <w:r>
        <w:rPr>
          <w:rFonts w:hint="eastAsia"/>
        </w:rPr>
        <w:t xml:space="preserve">年施工单位”选项中的信用等级。 </w:t>
      </w:r>
    </w:p>
    <w:p>
      <w:pPr>
        <w:pStyle w:val="7"/>
      </w:pPr>
      <w:r>
        <w:rPr>
          <w:rFonts w:hint="eastAsia"/>
        </w:rPr>
        <w:t xml:space="preserve">c.投标人吉林省信用评价等级和投标人全国信用评价等级二者均有时，以两种信用评价等级高的为准。 </w:t>
      </w:r>
    </w:p>
    <w:p>
      <w:pPr>
        <w:pStyle w:val="7"/>
        <w:rPr>
          <w:rFonts w:hint="eastAsia"/>
        </w:rPr>
      </w:pPr>
      <w:r>
        <w:rPr>
          <w:rFonts w:hint="eastAsia"/>
        </w:rPr>
        <w:t>d.无评价指投标人吉林省信用评价等级和投标人全国信用评价等级二者均没有的情况。</w:t>
      </w:r>
    </w:p>
    <w:p>
      <w:pPr>
        <w:pStyle w:val="7"/>
        <w:rPr>
          <w:rFonts w:hint="eastAsia" w:eastAsia="宋体"/>
          <w:lang w:val="en-US" w:eastAsia="zh-CN"/>
        </w:rPr>
      </w:pPr>
      <w:r>
        <w:rPr>
          <w:rFonts w:hint="eastAsia"/>
          <w:lang w:val="en-US" w:eastAsia="zh-CN"/>
        </w:rPr>
        <w:t>e.</w:t>
      </w:r>
      <w:r>
        <w:rPr>
          <w:rFonts w:hint="eastAsia"/>
          <w:szCs w:val="21"/>
        </w:rPr>
        <w:t>无失信行为的，投标人的信誉评分按照A级确定；有失信行为的，投标人的信誉评分按照D级确定</w:t>
      </w:r>
      <w:r>
        <w:rPr>
          <w:rFonts w:hint="eastAsia"/>
          <w:szCs w:val="21"/>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CE1"/>
    <w:multiLevelType w:val="singleLevel"/>
    <w:tmpl w:val="225C5C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C7D1A"/>
    <w:rsid w:val="001B3F53"/>
    <w:rsid w:val="00323B43"/>
    <w:rsid w:val="003261CD"/>
    <w:rsid w:val="003D37D8"/>
    <w:rsid w:val="00426133"/>
    <w:rsid w:val="004358AB"/>
    <w:rsid w:val="008B7726"/>
    <w:rsid w:val="00C13714"/>
    <w:rsid w:val="00CD2735"/>
    <w:rsid w:val="00D31D50"/>
    <w:rsid w:val="08FB61B1"/>
    <w:rsid w:val="09A71750"/>
    <w:rsid w:val="0DF14352"/>
    <w:rsid w:val="17372F64"/>
    <w:rsid w:val="1A304B2D"/>
    <w:rsid w:val="1F8C0036"/>
    <w:rsid w:val="25A975FB"/>
    <w:rsid w:val="2FCC4FF0"/>
    <w:rsid w:val="30CE5959"/>
    <w:rsid w:val="318349B9"/>
    <w:rsid w:val="354A18EF"/>
    <w:rsid w:val="48142535"/>
    <w:rsid w:val="4BE2150F"/>
    <w:rsid w:val="536407E8"/>
    <w:rsid w:val="572C1A9F"/>
    <w:rsid w:val="5845214D"/>
    <w:rsid w:val="59236ACA"/>
    <w:rsid w:val="5FA23FEE"/>
    <w:rsid w:val="6D2775FC"/>
    <w:rsid w:val="6DB50520"/>
    <w:rsid w:val="71441B7D"/>
    <w:rsid w:val="797C38F8"/>
    <w:rsid w:val="7A6A4573"/>
    <w:rsid w:val="7F1A2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4"/>
    <w:qFormat/>
    <w:uiPriority w:val="1"/>
    <w:pPr>
      <w:keepNext/>
      <w:keepLines/>
      <w:widowControl w:val="0"/>
      <w:adjustRightInd/>
      <w:snapToGrid/>
      <w:spacing w:before="260" w:after="260" w:line="416" w:lineRule="auto"/>
      <w:jc w:val="both"/>
      <w:outlineLvl w:val="2"/>
    </w:pPr>
    <w:rPr>
      <w:rFonts w:ascii="Calibri" w:hAnsi="Calibri" w:eastAsia="宋体" w:cs="Times New Roman"/>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ascii="Arial" w:hAnsi="Arial" w:eastAsia="黑体"/>
      <w:sz w:val="20"/>
    </w:rPr>
  </w:style>
  <w:style w:type="paragraph" w:styleId="5">
    <w:name w:val="footer"/>
    <w:basedOn w:val="1"/>
    <w:link w:val="22"/>
    <w:semiHidden/>
    <w:unhideWhenUsed/>
    <w:qFormat/>
    <w:uiPriority w:val="99"/>
    <w:pPr>
      <w:tabs>
        <w:tab w:val="center" w:pos="4153"/>
        <w:tab w:val="right" w:pos="8306"/>
      </w:tabs>
    </w:pPr>
    <w:rPr>
      <w:sz w:val="18"/>
      <w:szCs w:val="18"/>
    </w:rPr>
  </w:style>
  <w:style w:type="paragraph" w:styleId="6">
    <w:name w:val="header"/>
    <w:basedOn w:val="1"/>
    <w:link w:val="21"/>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footnote text"/>
    <w:basedOn w:val="1"/>
    <w:link w:val="16"/>
    <w:unhideWhenUsed/>
    <w:qFormat/>
    <w:uiPriority w:val="99"/>
    <w:pPr>
      <w:widowControl w:val="0"/>
      <w:adjustRightInd/>
      <w:spacing w:after="0"/>
    </w:pPr>
    <w:rPr>
      <w:rFonts w:asciiTheme="minorHAnsi" w:hAnsiTheme="minorHAnsi"/>
      <w:sz w:val="18"/>
      <w:szCs w:val="18"/>
    </w:rPr>
  </w:style>
  <w:style w:type="paragraph" w:styleId="8">
    <w:name w:val="Body Text Indent 3"/>
    <w:basedOn w:val="1"/>
    <w:qFormat/>
    <w:uiPriority w:val="0"/>
    <w:pPr>
      <w:spacing w:line="420" w:lineRule="exact"/>
      <w:ind w:firstLine="420" w:firstLineChars="200"/>
    </w:pPr>
    <w:rPr>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u w:val="single"/>
    </w:rPr>
  </w:style>
  <w:style w:type="character" w:styleId="13">
    <w:name w:val="footnote reference"/>
    <w:qFormat/>
    <w:uiPriority w:val="99"/>
    <w:rPr>
      <w:vertAlign w:val="superscript"/>
    </w:rPr>
  </w:style>
  <w:style w:type="character" w:customStyle="1" w:styleId="14">
    <w:name w:val="标题 3 Char"/>
    <w:basedOn w:val="11"/>
    <w:link w:val="3"/>
    <w:qFormat/>
    <w:uiPriority w:val="1"/>
    <w:rPr>
      <w:rFonts w:ascii="Calibri" w:hAnsi="Calibri" w:eastAsia="宋体" w:cs="Times New Roman"/>
      <w:b/>
      <w:bCs/>
      <w:sz w:val="32"/>
      <w:szCs w:val="32"/>
    </w:rPr>
  </w:style>
  <w:style w:type="character" w:customStyle="1" w:styleId="15">
    <w:name w:val="脚注文本 Char"/>
    <w:link w:val="7"/>
    <w:qFormat/>
    <w:uiPriority w:val="99"/>
    <w:rPr>
      <w:sz w:val="18"/>
      <w:szCs w:val="18"/>
    </w:rPr>
  </w:style>
  <w:style w:type="character" w:customStyle="1" w:styleId="16">
    <w:name w:val="脚注文本 Char1"/>
    <w:basedOn w:val="11"/>
    <w:link w:val="7"/>
    <w:semiHidden/>
    <w:qFormat/>
    <w:uiPriority w:val="99"/>
    <w:rPr>
      <w:rFonts w:ascii="Tahoma" w:hAnsi="Tahoma"/>
      <w:sz w:val="18"/>
      <w:szCs w:val="18"/>
    </w:rPr>
  </w:style>
  <w:style w:type="paragraph" w:customStyle="1" w:styleId="17">
    <w:name w:val="样式3"/>
    <w:basedOn w:val="1"/>
    <w:qFormat/>
    <w:uiPriority w:val="0"/>
    <w:pPr>
      <w:keepNext/>
      <w:keepLines/>
      <w:widowControl w:val="0"/>
      <w:adjustRightInd/>
      <w:snapToGrid/>
      <w:spacing w:after="0" w:line="400" w:lineRule="exact"/>
      <w:jc w:val="both"/>
      <w:outlineLvl w:val="0"/>
    </w:pPr>
    <w:rPr>
      <w:rFonts w:ascii="Times New Roman" w:hAnsi="Times New Roman" w:eastAsia="宋体" w:cs="Times New Roman"/>
      <w:b/>
      <w:bCs/>
      <w:kern w:val="44"/>
      <w:sz w:val="28"/>
      <w:szCs w:val="44"/>
    </w:rPr>
  </w:style>
  <w:style w:type="character" w:customStyle="1" w:styleId="18">
    <w:name w:val="标题 2 Char"/>
    <w:basedOn w:val="11"/>
    <w:link w:val="2"/>
    <w:semiHidden/>
    <w:qFormat/>
    <w:uiPriority w:val="9"/>
    <w:rPr>
      <w:rFonts w:asciiTheme="majorHAnsi" w:hAnsiTheme="majorHAnsi" w:eastAsiaTheme="majorEastAsia" w:cstheme="majorBidi"/>
      <w:b/>
      <w:bCs/>
      <w:sz w:val="32"/>
      <w:szCs w:val="32"/>
    </w:rPr>
  </w:style>
  <w:style w:type="character" w:customStyle="1" w:styleId="19">
    <w:name w:val="正文文本 (14)_"/>
    <w:link w:val="20"/>
    <w:qFormat/>
    <w:uiPriority w:val="0"/>
    <w:rPr>
      <w:rFonts w:ascii="宋体" w:hAnsi="宋体" w:cs="宋体"/>
      <w:sz w:val="18"/>
      <w:szCs w:val="18"/>
      <w:shd w:val="clear" w:color="auto" w:fill="FFFFFF"/>
    </w:rPr>
  </w:style>
  <w:style w:type="paragraph" w:customStyle="1" w:styleId="20">
    <w:name w:val="正文文本 (14)"/>
    <w:basedOn w:val="1"/>
    <w:link w:val="19"/>
    <w:qFormat/>
    <w:uiPriority w:val="0"/>
    <w:pPr>
      <w:widowControl w:val="0"/>
      <w:shd w:val="clear" w:color="auto" w:fill="FFFFFF"/>
      <w:adjustRightInd/>
      <w:snapToGrid/>
      <w:spacing w:before="300" w:after="0" w:line="300" w:lineRule="exact"/>
      <w:jc w:val="distribute"/>
    </w:pPr>
    <w:rPr>
      <w:rFonts w:ascii="宋体" w:hAnsi="宋体" w:cs="宋体"/>
      <w:sz w:val="18"/>
      <w:szCs w:val="18"/>
    </w:rPr>
  </w:style>
  <w:style w:type="character" w:customStyle="1" w:styleId="21">
    <w:name w:val="页眉 Char"/>
    <w:basedOn w:val="11"/>
    <w:link w:val="6"/>
    <w:semiHidden/>
    <w:qFormat/>
    <w:uiPriority w:val="99"/>
    <w:rPr>
      <w:rFonts w:ascii="Tahoma" w:hAnsi="Tahoma"/>
      <w:sz w:val="18"/>
      <w:szCs w:val="18"/>
    </w:rPr>
  </w:style>
  <w:style w:type="character" w:customStyle="1" w:styleId="22">
    <w:name w:val="页脚 Char"/>
    <w:basedOn w:val="11"/>
    <w:link w:val="5"/>
    <w:semiHidden/>
    <w:qFormat/>
    <w:uiPriority w:val="99"/>
    <w:rPr>
      <w:rFonts w:ascii="Tahoma" w:hAnsi="Tahoma"/>
      <w:sz w:val="18"/>
      <w:szCs w:val="18"/>
    </w:rPr>
  </w:style>
  <w:style w:type="paragraph" w:customStyle="1" w:styleId="23">
    <w:name w:val="其他"/>
    <w:basedOn w:val="1"/>
    <w:qFormat/>
    <w:uiPriority w:val="0"/>
    <w:pPr>
      <w:shd w:val="clear" w:color="auto" w:fill="FFFFFF"/>
      <w:spacing w:line="430" w:lineRule="auto"/>
      <w:ind w:firstLine="400"/>
      <w:jc w:val="distribute"/>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1339</Words>
  <Characters>7638</Characters>
  <Lines>63</Lines>
  <Paragraphs>17</Paragraphs>
  <TotalTime>2</TotalTime>
  <ScaleCrop>false</ScaleCrop>
  <LinksUpToDate>false</LinksUpToDate>
  <CharactersWithSpaces>8960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2020-03-10T01:43:00Z</cp:lastPrinted>
  <dcterms:modified xsi:type="dcterms:W3CDTF">2020-03-10T02:46:52Z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