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440" w:lineRule="exact"/>
        <w:jc w:val="center"/>
        <w:rPr>
          <w:rFonts w:hint="eastAsia" w:ascii="黑体" w:hAnsi="黑体" w:eastAsia="黑体"/>
          <w:bCs/>
          <w:sz w:val="32"/>
          <w:szCs w:val="32"/>
        </w:rPr>
      </w:pPr>
      <w:bookmarkStart w:id="0" w:name="_Toc197951555"/>
      <w:bookmarkStart w:id="1" w:name="_Toc197965596"/>
      <w:bookmarkStart w:id="2" w:name="_Toc197951587"/>
      <w:bookmarkStart w:id="3" w:name="_Toc197950681"/>
      <w:bookmarkStart w:id="4" w:name="_Toc197960492"/>
      <w:bookmarkStart w:id="5" w:name="_Toc197967265"/>
      <w:bookmarkStart w:id="6" w:name="_Toc197950802"/>
      <w:bookmarkStart w:id="7" w:name="_Hlk522259867"/>
      <w:bookmarkStart w:id="8" w:name="_Toc197967117"/>
      <w:bookmarkStart w:id="9" w:name="_Toc197960544"/>
      <w:r>
        <w:rPr>
          <w:rFonts w:hint="eastAsia" w:ascii="黑体" w:hAnsi="黑体" w:eastAsia="黑体"/>
          <w:bCs/>
          <w:sz w:val="32"/>
          <w:szCs w:val="32"/>
        </w:rPr>
        <w:t>省道扎突公路洮南西出口至军马场段改建工程项目勘察设计招标</w:t>
      </w:r>
    </w:p>
    <w:p>
      <w:pPr>
        <w:spacing w:beforeLines="100" w:line="440" w:lineRule="exact"/>
        <w:jc w:val="center"/>
        <w:rPr>
          <w:rFonts w:ascii="黑体" w:hAnsi="黑体" w:eastAsia="黑体"/>
          <w:b/>
          <w:color w:val="000000" w:themeColor="text1"/>
          <w:sz w:val="32"/>
          <w:szCs w:val="32"/>
        </w:rPr>
      </w:pPr>
      <w:r>
        <w:rPr>
          <w:rFonts w:hint="eastAsia" w:ascii="黑体" w:hAnsi="黑体" w:eastAsia="黑体"/>
          <w:b/>
          <w:color w:val="000000" w:themeColor="text1"/>
          <w:sz w:val="32"/>
          <w:szCs w:val="32"/>
        </w:rPr>
        <w:t>招标文件关键内容信息公开</w:t>
      </w:r>
    </w:p>
    <w:bookmarkEnd w:id="0"/>
    <w:bookmarkEnd w:id="1"/>
    <w:bookmarkEnd w:id="2"/>
    <w:bookmarkEnd w:id="3"/>
    <w:bookmarkEnd w:id="4"/>
    <w:bookmarkEnd w:id="5"/>
    <w:bookmarkEnd w:id="6"/>
    <w:bookmarkEnd w:id="7"/>
    <w:bookmarkEnd w:id="8"/>
    <w:bookmarkEnd w:id="9"/>
    <w:p>
      <w:pPr>
        <w:snapToGrid w:val="0"/>
        <w:spacing w:afterLines="50" w:line="360" w:lineRule="auto"/>
        <w:jc w:val="left"/>
        <w:rPr>
          <w:rFonts w:ascii="黑体" w:hAnsi="黑体" w:eastAsia="黑体"/>
          <w:b/>
          <w:sz w:val="24"/>
          <w:szCs w:val="24"/>
        </w:rPr>
      </w:pPr>
      <w:bookmarkStart w:id="10" w:name="_Toc327432497"/>
      <w:bookmarkStart w:id="11" w:name="_Toc509326565"/>
      <w:r>
        <w:rPr>
          <w:rFonts w:hint="eastAsia" w:ascii="黑体" w:hAnsi="黑体" w:eastAsia="黑体"/>
          <w:b/>
          <w:sz w:val="24"/>
          <w:szCs w:val="24"/>
        </w:rPr>
        <w:t>1.招标条件</w:t>
      </w:r>
      <w:bookmarkEnd w:id="10"/>
    </w:p>
    <w:p>
      <w:pPr>
        <w:snapToGrid w:val="0"/>
        <w:spacing w:line="360" w:lineRule="auto"/>
        <w:ind w:firstLine="420" w:firstLineChars="200"/>
        <w:rPr>
          <w:rFonts w:ascii="宋体" w:hAnsi="宋体"/>
          <w:szCs w:val="21"/>
        </w:rPr>
      </w:pPr>
      <w:r>
        <w:rPr>
          <w:rFonts w:hint="eastAsia" w:ascii="宋体" w:hAnsi="宋体"/>
          <w:szCs w:val="21"/>
        </w:rPr>
        <w:t>本招标项目省道扎突公路洮南西出口至军马场段改建工程项目已由吉林省发展和改革委员会以《吉林省发展改革委关于省道扎突公路洮南西出口至军马场段改建工程项目可行性研究报告的批复》（吉发改审批【2020】214号）批准建设，项目业主为白城市公路工程建设办公室，建设资金除申请省级补助资金外，其余资金由白城市人民政府财政性资金承担，招标人为白城市公路工程建设办公室。项目已具备招标条件，现对该项目的勘察设计进行公开招标。</w:t>
      </w:r>
    </w:p>
    <w:p>
      <w:pPr>
        <w:snapToGrid w:val="0"/>
        <w:spacing w:beforeLines="50" w:afterLines="50" w:line="360" w:lineRule="auto"/>
        <w:jc w:val="left"/>
        <w:rPr>
          <w:rFonts w:ascii="黑体" w:hAnsi="黑体" w:eastAsia="黑体"/>
          <w:b/>
          <w:sz w:val="24"/>
          <w:szCs w:val="24"/>
        </w:rPr>
      </w:pPr>
      <w:bookmarkStart w:id="12" w:name="_Toc327432498"/>
      <w:r>
        <w:rPr>
          <w:rFonts w:hint="eastAsia" w:ascii="黑体" w:hAnsi="黑体" w:eastAsia="黑体"/>
          <w:b/>
          <w:sz w:val="24"/>
          <w:szCs w:val="24"/>
        </w:rPr>
        <w:t>2.项目概况与招标范围</w:t>
      </w:r>
      <w:bookmarkEnd w:id="12"/>
    </w:p>
    <w:p>
      <w:pPr>
        <w:spacing w:line="360" w:lineRule="auto"/>
        <w:ind w:firstLine="422" w:firstLineChars="200"/>
        <w:rPr>
          <w:rFonts w:ascii="Calibri" w:hAnsi="Calibri"/>
          <w:b/>
          <w:szCs w:val="21"/>
          <w:lang w:bidi="zh-TW"/>
        </w:rPr>
      </w:pPr>
      <w:bookmarkStart w:id="13" w:name="_Toc436994095"/>
      <w:r>
        <w:rPr>
          <w:rFonts w:hint="eastAsia" w:ascii="Calibri" w:hAnsi="Calibri"/>
          <w:b/>
          <w:szCs w:val="21"/>
          <w:lang w:bidi="zh-TW"/>
        </w:rPr>
        <w:t>2.1 建设地点：</w:t>
      </w:r>
    </w:p>
    <w:p>
      <w:pPr>
        <w:snapToGrid w:val="0"/>
        <w:spacing w:line="360" w:lineRule="auto"/>
        <w:ind w:firstLine="420" w:firstLineChars="200"/>
        <w:rPr>
          <w:rFonts w:ascii="宋体" w:hAnsi="宋体"/>
          <w:szCs w:val="21"/>
        </w:rPr>
      </w:pPr>
      <w:r>
        <w:rPr>
          <w:rFonts w:hint="eastAsia" w:ascii="宋体" w:hAnsi="宋体"/>
          <w:szCs w:val="21"/>
        </w:rPr>
        <w:t>吉林省洮南市。</w:t>
      </w:r>
    </w:p>
    <w:p>
      <w:pPr>
        <w:spacing w:line="360" w:lineRule="auto"/>
        <w:ind w:firstLine="422" w:firstLineChars="200"/>
        <w:rPr>
          <w:rFonts w:ascii="Calibri" w:hAnsi="Calibri"/>
          <w:b/>
          <w:szCs w:val="21"/>
          <w:lang w:bidi="zh-TW"/>
        </w:rPr>
      </w:pPr>
      <w:r>
        <w:rPr>
          <w:rFonts w:hint="eastAsia" w:ascii="Calibri" w:hAnsi="Calibri"/>
          <w:b/>
          <w:szCs w:val="21"/>
          <w:lang w:bidi="zh-TW"/>
        </w:rPr>
        <w:t>2</w:t>
      </w:r>
      <w:r>
        <w:rPr>
          <w:rFonts w:ascii="Calibri" w:hAnsi="Calibri"/>
          <w:b/>
          <w:szCs w:val="21"/>
          <w:lang w:bidi="zh-TW"/>
        </w:rPr>
        <w:t>.2 建设规模及技术标准</w:t>
      </w:r>
      <w:r>
        <w:rPr>
          <w:rFonts w:hint="eastAsia" w:ascii="Calibri" w:hAnsi="Calibri"/>
          <w:b/>
          <w:szCs w:val="21"/>
          <w:lang w:bidi="zh-TW"/>
        </w:rPr>
        <w:t>：</w:t>
      </w:r>
      <w:r>
        <w:rPr>
          <w:rFonts w:ascii="Calibri" w:hAnsi="Calibri"/>
          <w:b/>
          <w:szCs w:val="21"/>
          <w:lang w:bidi="zh-TW"/>
        </w:rPr>
        <w:t xml:space="preserve"> </w:t>
      </w:r>
    </w:p>
    <w:p>
      <w:pPr>
        <w:spacing w:line="360" w:lineRule="auto"/>
        <w:ind w:firstLine="420" w:firstLineChars="200"/>
        <w:rPr>
          <w:rFonts w:ascii="宋体" w:hAnsi="宋体"/>
          <w:szCs w:val="21"/>
        </w:rPr>
      </w:pPr>
      <w:r>
        <w:rPr>
          <w:rFonts w:hint="eastAsia" w:ascii="宋体" w:hAnsi="宋体"/>
          <w:szCs w:val="21"/>
        </w:rPr>
        <w:t>本项目路线起点位于洮南市西出口，桩号K128+960；终点位于S211线（省道扎赉特旗至突泉公路）吉林省境内段终点（洮南军马场吉蒙界），与内蒙古段（突泉方向）衔接，终点桩号K173+957,主要控制点为大通乡、新立屯、洮南军马场。路线全长44.997公里。</w:t>
      </w:r>
    </w:p>
    <w:p>
      <w:pPr>
        <w:spacing w:line="360" w:lineRule="auto"/>
        <w:ind w:firstLine="420" w:firstLineChars="200"/>
        <w:rPr>
          <w:rFonts w:ascii="宋体" w:hAnsi="宋体"/>
          <w:szCs w:val="21"/>
        </w:rPr>
      </w:pPr>
      <w:r>
        <w:rPr>
          <w:rFonts w:hint="eastAsia" w:ascii="宋体" w:hAnsi="宋体"/>
          <w:szCs w:val="21"/>
        </w:rPr>
        <w:t>项目采用二级公路标准，设计速度80公里/小时，路基宽度采用12米（行车道2*3.75米，硬路肩宽度2*1.5米，土路肩宽2*0.75米），其中，大通乡段（K144+600～K145+300</w:t>
      </w:r>
      <w:r>
        <w:rPr>
          <w:rFonts w:ascii="宋体" w:hAnsi="宋体"/>
          <w:szCs w:val="21"/>
        </w:rPr>
        <w:t>）</w:t>
      </w:r>
      <w:r>
        <w:rPr>
          <w:rFonts w:hint="eastAsia" w:ascii="宋体" w:hAnsi="宋体"/>
          <w:szCs w:val="21"/>
        </w:rPr>
        <w:t>路基宽度16米（行车道2*3.75米，慢车道2*3.50米，土路肩宽度2*0.75米）。利用桥梁5座，涵洞15道，平面交叉99处，港湾式停车站台7对，停车区1处。</w:t>
      </w:r>
    </w:p>
    <w:p>
      <w:pPr>
        <w:spacing w:line="360" w:lineRule="auto"/>
        <w:ind w:firstLine="422" w:firstLineChars="200"/>
        <w:rPr>
          <w:rFonts w:ascii="Calibri" w:hAnsi="Calibri"/>
          <w:b/>
          <w:szCs w:val="21"/>
          <w:lang w:bidi="zh-TW"/>
        </w:rPr>
      </w:pPr>
      <w:r>
        <w:rPr>
          <w:rFonts w:hint="eastAsia" w:ascii="Calibri" w:hAnsi="Calibri"/>
          <w:b/>
          <w:szCs w:val="21"/>
          <w:lang w:bidi="zh-TW"/>
        </w:rPr>
        <w:t>2</w:t>
      </w:r>
      <w:r>
        <w:rPr>
          <w:rFonts w:ascii="Calibri" w:hAnsi="Calibri"/>
          <w:b/>
          <w:szCs w:val="21"/>
          <w:lang w:bidi="zh-TW"/>
        </w:rPr>
        <w:t xml:space="preserve">.3 </w:t>
      </w:r>
      <w:r>
        <w:rPr>
          <w:rFonts w:hint="eastAsia" w:ascii="Calibri" w:hAnsi="Calibri"/>
          <w:b/>
          <w:szCs w:val="21"/>
          <w:lang w:bidi="zh-TW"/>
        </w:rPr>
        <w:t>勘察设计服务期限：</w:t>
      </w:r>
    </w:p>
    <w:p>
      <w:pPr>
        <w:spacing w:line="360" w:lineRule="auto"/>
        <w:ind w:firstLine="420" w:firstLineChars="200"/>
        <w:rPr>
          <w:rFonts w:ascii="Calibri" w:hAnsi="Calibri"/>
          <w:szCs w:val="21"/>
          <w:lang w:bidi="zh-TW"/>
        </w:rPr>
      </w:pPr>
      <w:r>
        <w:rPr>
          <w:rFonts w:hint="eastAsia" w:ascii="Calibri" w:hAnsi="Calibri"/>
          <w:szCs w:val="21"/>
          <w:lang w:bidi="zh-TW"/>
        </w:rPr>
        <w:t>签订合同后</w:t>
      </w:r>
      <w:r>
        <w:rPr>
          <w:rFonts w:ascii="Calibri" w:hAnsi="Calibri"/>
          <w:szCs w:val="21"/>
          <w:lang w:bidi="zh-TW"/>
        </w:rPr>
        <w:t>30</w:t>
      </w:r>
      <w:r>
        <w:rPr>
          <w:rFonts w:hint="eastAsia" w:ascii="Calibri" w:hAnsi="Calibri"/>
          <w:szCs w:val="21"/>
          <w:lang w:bidi="zh-TW"/>
        </w:rPr>
        <w:t>天完成本项目一阶段施工图设计及预算文件编制等全部勘察设计阶段工作，并经招标人审查后报上级主管部门审批，后续服务期至工程竣工验收结束。</w:t>
      </w:r>
    </w:p>
    <w:p>
      <w:pPr>
        <w:spacing w:line="360" w:lineRule="auto"/>
        <w:ind w:firstLine="422" w:firstLineChars="200"/>
        <w:rPr>
          <w:rFonts w:ascii="Calibri" w:hAnsi="Calibri"/>
          <w:b/>
          <w:szCs w:val="21"/>
          <w:lang w:bidi="zh-TW"/>
        </w:rPr>
      </w:pPr>
      <w:r>
        <w:rPr>
          <w:rFonts w:hint="eastAsia" w:ascii="Calibri" w:hAnsi="Calibri"/>
          <w:b/>
          <w:szCs w:val="21"/>
          <w:lang w:bidi="zh-TW"/>
        </w:rPr>
        <w:t>2</w:t>
      </w:r>
      <w:r>
        <w:rPr>
          <w:rFonts w:ascii="Calibri" w:hAnsi="Calibri"/>
          <w:b/>
          <w:szCs w:val="21"/>
          <w:lang w:bidi="zh-TW"/>
        </w:rPr>
        <w:t xml:space="preserve">.4 </w:t>
      </w:r>
      <w:r>
        <w:rPr>
          <w:rFonts w:hint="eastAsia" w:ascii="Calibri" w:hAnsi="Calibri"/>
          <w:b/>
          <w:szCs w:val="21"/>
          <w:lang w:bidi="zh-TW"/>
        </w:rPr>
        <w:t>招标范围：</w:t>
      </w:r>
    </w:p>
    <w:p>
      <w:pPr>
        <w:snapToGrid w:val="0"/>
        <w:spacing w:line="360" w:lineRule="auto"/>
        <w:ind w:firstLine="420" w:firstLineChars="200"/>
        <w:rPr>
          <w:rFonts w:ascii="宋体" w:hAnsi="宋体"/>
          <w:szCs w:val="21"/>
        </w:rPr>
      </w:pPr>
      <w:r>
        <w:rPr>
          <w:rFonts w:hint="eastAsia" w:ascii="宋体" w:hAnsi="宋体"/>
          <w:szCs w:val="21"/>
        </w:rPr>
        <w:t>一阶段施工图勘察设计，包括详勘、定测、施工图设计、技术交底与施工配合、设计变更、后续服务等；按施工标段编制工程量清单、清单预算、最高投标限价等，配合招标人完成施工招标服务工作。</w:t>
      </w:r>
    </w:p>
    <w:p>
      <w:pPr>
        <w:spacing w:line="360" w:lineRule="auto"/>
        <w:ind w:firstLine="422" w:firstLineChars="200"/>
        <w:rPr>
          <w:rFonts w:ascii="Calibri" w:hAnsi="Calibri"/>
          <w:szCs w:val="21"/>
          <w:lang w:bidi="zh-TW"/>
        </w:rPr>
      </w:pPr>
      <w:r>
        <w:rPr>
          <w:rFonts w:hint="eastAsia" w:ascii="Calibri" w:hAnsi="Calibri"/>
          <w:b/>
          <w:szCs w:val="21"/>
          <w:lang w:bidi="zh-TW"/>
        </w:rPr>
        <w:t>2</w:t>
      </w:r>
      <w:r>
        <w:rPr>
          <w:rFonts w:ascii="Calibri" w:hAnsi="Calibri"/>
          <w:b/>
          <w:szCs w:val="21"/>
          <w:lang w:bidi="zh-TW"/>
        </w:rPr>
        <w:t xml:space="preserve">.5 </w:t>
      </w:r>
      <w:r>
        <w:rPr>
          <w:rFonts w:hint="eastAsia" w:ascii="Calibri" w:hAnsi="Calibri"/>
          <w:b/>
          <w:szCs w:val="21"/>
          <w:lang w:bidi="zh-TW"/>
        </w:rPr>
        <w:t>标段划分：</w:t>
      </w:r>
    </w:p>
    <w:p>
      <w:pPr>
        <w:snapToGrid w:val="0"/>
        <w:spacing w:line="360" w:lineRule="auto"/>
        <w:ind w:firstLine="420" w:firstLineChars="200"/>
        <w:rPr>
          <w:rFonts w:ascii="宋体" w:hAnsi="宋体"/>
          <w:szCs w:val="21"/>
        </w:rPr>
      </w:pPr>
      <w:r>
        <w:rPr>
          <w:rFonts w:hint="eastAsia" w:ascii="宋体" w:hAnsi="宋体"/>
          <w:szCs w:val="21"/>
        </w:rPr>
        <w:t>本项目招标划分为1个标段</w:t>
      </w:r>
      <w:r>
        <w:rPr>
          <w:rFonts w:hint="eastAsia" w:ascii="宋体" w:hAnsi="宋体"/>
          <w:szCs w:val="21"/>
          <w:lang w:eastAsia="zh-CN"/>
        </w:rPr>
        <w:t>：即</w:t>
      </w:r>
      <w:r>
        <w:rPr>
          <w:rFonts w:hint="eastAsia" w:ascii="宋体" w:hAnsi="宋体"/>
          <w:szCs w:val="21"/>
        </w:rPr>
        <w:t>ZT</w:t>
      </w:r>
      <w:r>
        <w:rPr>
          <w:rFonts w:ascii="宋体" w:hAnsi="宋体"/>
          <w:szCs w:val="21"/>
        </w:rPr>
        <w:t>SJ01</w:t>
      </w:r>
      <w:r>
        <w:rPr>
          <w:rFonts w:hint="eastAsia" w:ascii="宋体" w:hAnsi="宋体"/>
          <w:szCs w:val="21"/>
          <w:lang w:eastAsia="zh-CN"/>
        </w:rPr>
        <w:t>标段</w:t>
      </w:r>
      <w:r>
        <w:rPr>
          <w:rFonts w:hint="eastAsia" w:ascii="宋体" w:hAnsi="宋体"/>
          <w:szCs w:val="21"/>
        </w:rPr>
        <w:t>。</w:t>
      </w:r>
      <w:bookmarkEnd w:id="13"/>
    </w:p>
    <w:p>
      <w:pPr>
        <w:snapToGrid w:val="0"/>
        <w:spacing w:beforeLines="50" w:afterLines="50" w:line="360" w:lineRule="auto"/>
        <w:jc w:val="left"/>
        <w:rPr>
          <w:rFonts w:ascii="黑体" w:hAnsi="黑体" w:eastAsia="黑体"/>
          <w:b/>
          <w:sz w:val="24"/>
          <w:szCs w:val="24"/>
        </w:rPr>
      </w:pPr>
      <w:bookmarkStart w:id="14" w:name="_Toc327432499"/>
      <w:r>
        <w:rPr>
          <w:rFonts w:hint="eastAsia" w:ascii="黑体" w:hAnsi="黑体" w:eastAsia="黑体"/>
          <w:b/>
          <w:sz w:val="24"/>
          <w:szCs w:val="24"/>
        </w:rPr>
        <w:t>3.投标人资格要求</w:t>
      </w:r>
      <w:bookmarkEnd w:id="14"/>
    </w:p>
    <w:p>
      <w:pPr>
        <w:snapToGrid w:val="0"/>
        <w:spacing w:line="360" w:lineRule="auto"/>
        <w:ind w:firstLine="420" w:firstLineChars="200"/>
        <w:rPr>
          <w:rFonts w:ascii="宋体" w:hAnsi="宋体"/>
          <w:szCs w:val="21"/>
        </w:rPr>
      </w:pPr>
      <w:r>
        <w:rPr>
          <w:rFonts w:hint="eastAsia" w:ascii="宋体" w:hAnsi="宋体"/>
          <w:szCs w:val="21"/>
        </w:rPr>
        <w:t>3.1 本次招标要求投标人须同时满足以下资质和业绩的最低要求，并在人员等方面具有相应的勘察设计能力：</w:t>
      </w:r>
    </w:p>
    <w:p>
      <w:pPr>
        <w:snapToGrid w:val="0"/>
        <w:spacing w:line="360" w:lineRule="auto"/>
        <w:ind w:firstLine="420" w:firstLineChars="200"/>
        <w:rPr>
          <w:rFonts w:ascii="宋体" w:hAnsi="宋体"/>
          <w:szCs w:val="21"/>
        </w:rPr>
      </w:pPr>
      <w:r>
        <w:rPr>
          <w:rFonts w:hint="eastAsia" w:ascii="宋体" w:hAnsi="宋体"/>
          <w:szCs w:val="21"/>
        </w:rPr>
        <w:t>（1）工程勘察资质：具备建设主管部门颁发的工程勘察（工程测量）专业甲级、工程勘察（岩土工程勘察）专业乙级资质；</w:t>
      </w:r>
    </w:p>
    <w:p>
      <w:pPr>
        <w:snapToGrid w:val="0"/>
        <w:spacing w:line="360" w:lineRule="auto"/>
        <w:ind w:firstLine="420" w:firstLineChars="200"/>
        <w:rPr>
          <w:rFonts w:ascii="宋体" w:hAnsi="宋体"/>
          <w:szCs w:val="21"/>
        </w:rPr>
      </w:pPr>
      <w:r>
        <w:rPr>
          <w:rFonts w:hint="eastAsia" w:ascii="宋体" w:hAnsi="宋体"/>
          <w:szCs w:val="21"/>
        </w:rPr>
        <w:t>（2）工程设计资质：具备建设主管部门颁发的公路行业（公路）专业乙级设计资质。</w:t>
      </w:r>
    </w:p>
    <w:p>
      <w:pPr>
        <w:snapToGrid w:val="0"/>
        <w:spacing w:line="360" w:lineRule="auto"/>
        <w:ind w:firstLine="420" w:firstLineChars="200"/>
        <w:rPr>
          <w:rFonts w:ascii="宋体" w:hAnsi="宋体"/>
          <w:szCs w:val="21"/>
        </w:rPr>
      </w:pPr>
      <w:r>
        <w:rPr>
          <w:rFonts w:hint="eastAsia" w:ascii="宋体" w:hAnsi="宋体"/>
          <w:szCs w:val="21"/>
        </w:rPr>
        <w:t>（3）业绩要求：投标人（以联合体形式参与投标的，指联合体牵头人）近5年内（指2015年1月1日至投标截止时间，以施工图设计批复时间为准）至少完成过一项（一个合同为一项）里程长度25公里的二级或二级以上新建（或改扩建）公路的施工图设计业绩。</w:t>
      </w:r>
    </w:p>
    <w:p>
      <w:pPr>
        <w:snapToGrid w:val="0"/>
        <w:spacing w:line="360" w:lineRule="auto"/>
        <w:ind w:firstLine="420" w:firstLineChars="200"/>
        <w:rPr>
          <w:rFonts w:ascii="宋体" w:hAnsi="宋体"/>
          <w:szCs w:val="21"/>
        </w:rPr>
      </w:pPr>
      <w:r>
        <w:rPr>
          <w:rFonts w:hint="eastAsia" w:ascii="宋体" w:hAnsi="宋体"/>
          <w:szCs w:val="21"/>
        </w:rPr>
        <w:t>投标人（仅指公路工程</w:t>
      </w:r>
      <w:r>
        <w:rPr>
          <w:rFonts w:ascii="宋体" w:hAnsi="宋体"/>
          <w:szCs w:val="21"/>
        </w:rPr>
        <w:t>设计甲级</w:t>
      </w:r>
      <w:r>
        <w:rPr>
          <w:rFonts w:hint="eastAsia" w:ascii="宋体" w:hAnsi="宋体"/>
          <w:szCs w:val="21"/>
        </w:rPr>
        <w:t>或</w:t>
      </w:r>
      <w:r>
        <w:rPr>
          <w:rFonts w:ascii="宋体" w:hAnsi="宋体"/>
          <w:szCs w:val="21"/>
        </w:rPr>
        <w:t>乙级资质</w:t>
      </w:r>
      <w:r>
        <w:rPr>
          <w:rFonts w:hint="eastAsia" w:ascii="宋体" w:hAnsi="宋体"/>
          <w:szCs w:val="21"/>
        </w:rPr>
        <w:t>的</w:t>
      </w:r>
      <w:r>
        <w:rPr>
          <w:rFonts w:ascii="宋体" w:hAnsi="宋体"/>
          <w:szCs w:val="21"/>
        </w:rPr>
        <w:t>投标人）</w:t>
      </w:r>
      <w:r>
        <w:rPr>
          <w:rFonts w:hint="eastAsia" w:ascii="宋体" w:hAnsi="宋体"/>
          <w:szCs w:val="21"/>
        </w:rPr>
        <w:t>应进入交通运输部“全国公路建设市场信用信息管理系统（https://glxy.mot.gov.cn）”中的公路工程设计企业名录，且投标人名称和资质与该名录中的相应的企业名称和资质完全一致。</w:t>
      </w:r>
    </w:p>
    <w:p>
      <w:pPr>
        <w:snapToGrid w:val="0"/>
        <w:spacing w:line="360" w:lineRule="auto"/>
        <w:ind w:firstLine="420" w:firstLineChars="200"/>
        <w:rPr>
          <w:rFonts w:ascii="宋体" w:hAnsi="宋体"/>
          <w:szCs w:val="21"/>
        </w:rPr>
      </w:pPr>
      <w:r>
        <w:rPr>
          <w:rFonts w:hint="eastAsia" w:ascii="宋体" w:hAnsi="宋体"/>
          <w:szCs w:val="21"/>
        </w:rPr>
        <w:t>3.2</w:t>
      </w:r>
      <w:r>
        <w:rPr>
          <w:rFonts w:ascii="宋体" w:hAnsi="宋体"/>
          <w:szCs w:val="21"/>
        </w:rPr>
        <w:t xml:space="preserve"> </w:t>
      </w:r>
      <w:r>
        <w:rPr>
          <w:rFonts w:hint="eastAsia" w:ascii="宋体" w:hAnsi="宋体"/>
          <w:szCs w:val="21"/>
        </w:rPr>
        <w:t>本次招标</w:t>
      </w:r>
      <w:r>
        <w:rPr>
          <w:rFonts w:hint="eastAsia" w:ascii="宋体" w:hAnsi="宋体"/>
          <w:szCs w:val="21"/>
          <w:u w:val="single"/>
        </w:rPr>
        <w:t xml:space="preserve">  接受 </w:t>
      </w:r>
      <w:r>
        <w:rPr>
          <w:rFonts w:hint="eastAsia" w:ascii="宋体" w:hAnsi="宋体"/>
          <w:szCs w:val="21"/>
        </w:rPr>
        <w:t>联合体投标，</w:t>
      </w:r>
      <w:r>
        <w:rPr>
          <w:rFonts w:ascii="宋体" w:hAnsi="宋体"/>
          <w:szCs w:val="21"/>
        </w:rPr>
        <w:t>联合体投标的，应满足下列要求：</w:t>
      </w:r>
    </w:p>
    <w:p>
      <w:pPr>
        <w:snapToGrid w:val="0"/>
        <w:spacing w:line="360" w:lineRule="auto"/>
        <w:ind w:firstLine="420" w:firstLineChars="200"/>
        <w:rPr>
          <w:rFonts w:ascii="宋体" w:hAnsi="宋体"/>
          <w:szCs w:val="21"/>
        </w:rPr>
      </w:pPr>
      <w:r>
        <w:rPr>
          <w:rFonts w:ascii="宋体" w:hAnsi="宋体"/>
          <w:szCs w:val="21"/>
        </w:rPr>
        <w:t xml:space="preserve">联合体所有成员数量不得超过 </w:t>
      </w:r>
      <w:r>
        <w:rPr>
          <w:rFonts w:hint="eastAsia" w:ascii="宋体" w:hAnsi="宋体"/>
          <w:szCs w:val="21"/>
        </w:rPr>
        <w:t>3</w:t>
      </w:r>
      <w:r>
        <w:rPr>
          <w:rFonts w:ascii="宋体" w:hAnsi="宋体"/>
          <w:szCs w:val="21"/>
        </w:rPr>
        <w:t xml:space="preserve"> 家，联合体牵头人应</w:t>
      </w:r>
      <w:r>
        <w:rPr>
          <w:rFonts w:hint="eastAsia" w:ascii="宋体" w:hAnsi="宋体"/>
          <w:szCs w:val="21"/>
        </w:rPr>
        <w:t>至少具备</w:t>
      </w:r>
      <w:r>
        <w:rPr>
          <w:rFonts w:ascii="宋体" w:hAnsi="宋体"/>
          <w:szCs w:val="21"/>
        </w:rPr>
        <w:t>公路行业（公路）专业乙级（含乙级）以上设计资质，承担施工图设计工作内容。</w:t>
      </w:r>
    </w:p>
    <w:p>
      <w:pPr>
        <w:snapToGrid w:val="0"/>
        <w:spacing w:line="360" w:lineRule="auto"/>
        <w:ind w:firstLine="420" w:firstLineChars="200"/>
        <w:rPr>
          <w:rFonts w:ascii="宋体" w:hAnsi="宋体"/>
          <w:szCs w:val="21"/>
        </w:rPr>
      </w:pPr>
      <w:r>
        <w:rPr>
          <w:rFonts w:hint="eastAsia" w:ascii="宋体" w:hAnsi="宋体"/>
          <w:szCs w:val="21"/>
        </w:rPr>
        <w:t>3</w:t>
      </w:r>
      <w:r>
        <w:rPr>
          <w:rFonts w:ascii="宋体" w:hAnsi="宋体"/>
          <w:szCs w:val="21"/>
        </w:rPr>
        <w:t xml:space="preserve">.3 </w:t>
      </w:r>
      <w:r>
        <w:rPr>
          <w:rFonts w:hint="eastAsia" w:ascii="宋体" w:hAnsi="宋体"/>
          <w:szCs w:val="21"/>
        </w:rPr>
        <w:t>与招标人存在利害关系可能影响招标公正性的单位，不得参加投标。单位负责人为同一人或者存在控股、管理关系的不同单位，不得参加同一标段投标，否则，相关投标均无效。</w:t>
      </w:r>
    </w:p>
    <w:p>
      <w:pPr>
        <w:snapToGrid w:val="0"/>
        <w:spacing w:line="360" w:lineRule="auto"/>
        <w:ind w:firstLine="420" w:firstLineChars="200"/>
        <w:rPr>
          <w:rFonts w:ascii="宋体" w:hAnsi="宋体"/>
          <w:szCs w:val="21"/>
        </w:rPr>
      </w:pPr>
      <w:r>
        <w:rPr>
          <w:rFonts w:hint="eastAsia" w:ascii="宋体" w:hAnsi="宋体"/>
          <w:szCs w:val="21"/>
        </w:rPr>
        <w:t>3</w:t>
      </w:r>
      <w:r>
        <w:rPr>
          <w:rFonts w:ascii="宋体" w:hAnsi="宋体"/>
          <w:szCs w:val="21"/>
        </w:rPr>
        <w:t xml:space="preserve">.4 </w:t>
      </w:r>
      <w:r>
        <w:rPr>
          <w:rFonts w:hint="eastAsia" w:ascii="宋体" w:hAnsi="宋体"/>
          <w:szCs w:val="21"/>
        </w:rPr>
        <w:t>在“信用中国”网站（http://www.creditchina.gov.cn/）中被列入失信被执行人名单的投标人，不得参加投标。</w:t>
      </w:r>
    </w:p>
    <w:p>
      <w:pPr>
        <w:tabs>
          <w:tab w:val="left" w:pos="540"/>
        </w:tabs>
        <w:spacing w:line="400" w:lineRule="exact"/>
        <w:rPr>
          <w:rFonts w:ascii="宋体" w:hAnsi="宋体" w:cs="宋体"/>
          <w:szCs w:val="21"/>
        </w:rPr>
      </w:pPr>
    </w:p>
    <w:p>
      <w:pPr>
        <w:spacing w:beforeLines="50" w:afterLines="50" w:line="400" w:lineRule="exact"/>
        <w:rPr>
          <w:rFonts w:ascii="方正超粗黑简体" w:eastAsia="方正超粗黑简体"/>
          <w:sz w:val="30"/>
          <w:szCs w:val="30"/>
        </w:rPr>
      </w:pPr>
      <w:r>
        <w:rPr>
          <w:rFonts w:ascii="Calibri" w:hAnsi="Calibri"/>
          <w:szCs w:val="21"/>
        </w:rPr>
        <w:br w:type="page"/>
      </w:r>
      <w:r>
        <w:rPr>
          <w:rFonts w:ascii="宋体" w:hAnsi="宋体"/>
          <w:b/>
          <w:szCs w:val="21"/>
        </w:rPr>
        <w:t>4</w:t>
      </w:r>
      <w:r>
        <w:rPr>
          <w:rFonts w:hint="eastAsia" w:ascii="宋体" w:hAnsi="宋体"/>
          <w:b/>
          <w:szCs w:val="21"/>
        </w:rPr>
        <w:t>、</w:t>
      </w:r>
      <w:bookmarkEnd w:id="11"/>
      <w:bookmarkStart w:id="15" w:name="_Toc197950682"/>
      <w:bookmarkStart w:id="16" w:name="_Toc197950803"/>
      <w:bookmarkStart w:id="17" w:name="_Toc197951588"/>
      <w:bookmarkStart w:id="18" w:name="_Toc197960493"/>
      <w:bookmarkStart w:id="19" w:name="_Toc197960545"/>
      <w:bookmarkStart w:id="20" w:name="_Toc197965597"/>
      <w:bookmarkStart w:id="21" w:name="_Toc197967118"/>
      <w:bookmarkStart w:id="22" w:name="_Toc197967266"/>
      <w:bookmarkStart w:id="23" w:name="_Toc4586948"/>
      <w:r>
        <w:rPr>
          <w:rFonts w:ascii="宋体" w:hAnsi="宋体"/>
          <w:b/>
          <w:szCs w:val="21"/>
        </w:rPr>
        <w:t>投标人须知前附表</w:t>
      </w:r>
      <w:bookmarkEnd w:id="15"/>
      <w:bookmarkEnd w:id="16"/>
      <w:bookmarkEnd w:id="17"/>
      <w:bookmarkEnd w:id="18"/>
      <w:bookmarkEnd w:id="19"/>
      <w:bookmarkEnd w:id="20"/>
      <w:bookmarkEnd w:id="21"/>
      <w:bookmarkEnd w:id="22"/>
      <w:bookmarkEnd w:id="23"/>
    </w:p>
    <w:tbl>
      <w:tblPr>
        <w:tblStyle w:val="43"/>
        <w:tblW w:w="4710" w:type="pct"/>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autofit"/>
        <w:tblCellMar>
          <w:top w:w="85" w:type="dxa"/>
          <w:left w:w="85" w:type="dxa"/>
          <w:bottom w:w="85" w:type="dxa"/>
          <w:right w:w="85" w:type="dxa"/>
        </w:tblCellMar>
      </w:tblPr>
      <w:tblGrid>
        <w:gridCol w:w="928"/>
        <w:gridCol w:w="1956"/>
        <w:gridCol w:w="634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tblHeader/>
          <w:jc w:val="center"/>
        </w:trPr>
        <w:tc>
          <w:tcPr>
            <w:tcW w:w="503" w:type="pct"/>
            <w:vAlign w:val="center"/>
          </w:tcPr>
          <w:p>
            <w:pPr>
              <w:spacing w:line="291" w:lineRule="exact"/>
              <w:jc w:val="center"/>
              <w:rPr>
                <w:szCs w:val="21"/>
              </w:rPr>
            </w:pPr>
            <w:r>
              <w:rPr>
                <w:rFonts w:hint="eastAsia" w:hAnsi="宋体"/>
                <w:szCs w:val="21"/>
              </w:rPr>
              <w:t>条款号</w:t>
            </w:r>
          </w:p>
        </w:tc>
        <w:tc>
          <w:tcPr>
            <w:tcW w:w="1059" w:type="pct"/>
            <w:vAlign w:val="center"/>
          </w:tcPr>
          <w:p>
            <w:pPr>
              <w:spacing w:line="291" w:lineRule="exact"/>
              <w:jc w:val="center"/>
              <w:rPr>
                <w:szCs w:val="21"/>
              </w:rPr>
            </w:pPr>
            <w:r>
              <w:rPr>
                <w:rFonts w:hint="eastAsia" w:hAnsi="宋体"/>
                <w:szCs w:val="21"/>
              </w:rPr>
              <w:t>条款名称</w:t>
            </w:r>
          </w:p>
        </w:tc>
        <w:tc>
          <w:tcPr>
            <w:tcW w:w="3438" w:type="pct"/>
            <w:vAlign w:val="center"/>
          </w:tcPr>
          <w:p>
            <w:pPr>
              <w:spacing w:line="291" w:lineRule="exact"/>
              <w:jc w:val="center"/>
              <w:rPr>
                <w:szCs w:val="21"/>
              </w:rPr>
            </w:pPr>
            <w:r>
              <w:rPr>
                <w:rFonts w:hint="eastAsia" w:hAnsi="宋体"/>
                <w:szCs w:val="21"/>
              </w:rPr>
              <w:t>编列内容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1.1.2</w:t>
            </w:r>
          </w:p>
        </w:tc>
        <w:tc>
          <w:tcPr>
            <w:tcW w:w="1059" w:type="pct"/>
            <w:vAlign w:val="center"/>
          </w:tcPr>
          <w:p>
            <w:pPr>
              <w:spacing w:line="291" w:lineRule="exact"/>
              <w:jc w:val="center"/>
              <w:rPr>
                <w:rFonts w:ascii="Batang" w:hAnsi="Batang" w:eastAsia="Batang"/>
                <w:szCs w:val="21"/>
              </w:rPr>
            </w:pPr>
            <w:r>
              <w:rPr>
                <w:rFonts w:hint="eastAsia" w:ascii="Batang" w:hAnsi="Batang"/>
                <w:szCs w:val="21"/>
              </w:rPr>
              <w:t>招</w:t>
            </w:r>
            <w:r>
              <w:rPr>
                <w:rFonts w:hint="eastAsia" w:ascii="Batang" w:hAnsi="宋体"/>
                <w:szCs w:val="21"/>
              </w:rPr>
              <w:t>标</w:t>
            </w:r>
            <w:r>
              <w:rPr>
                <w:rFonts w:hint="eastAsia" w:ascii="Batang" w:hAnsi="Batang"/>
                <w:szCs w:val="21"/>
              </w:rPr>
              <w:t>人</w:t>
            </w:r>
          </w:p>
        </w:tc>
        <w:tc>
          <w:tcPr>
            <w:tcW w:w="3438" w:type="pct"/>
            <w:vAlign w:val="center"/>
          </w:tcPr>
          <w:p>
            <w:pPr>
              <w:spacing w:line="291" w:lineRule="exact"/>
              <w:rPr>
                <w:rFonts w:ascii="宋体"/>
                <w:kern w:val="0"/>
                <w:szCs w:val="21"/>
              </w:rPr>
            </w:pPr>
            <w:r>
              <w:rPr>
                <w:rFonts w:hint="eastAsia" w:ascii="宋体" w:hAnsi="宋体" w:cs="宋体"/>
                <w:kern w:val="0"/>
                <w:szCs w:val="21"/>
              </w:rPr>
              <w:t>名  称：</w:t>
            </w:r>
            <w:r>
              <w:rPr>
                <w:rFonts w:hint="eastAsia" w:ascii="黑体" w:hAnsi="黑体" w:eastAsia="黑体" w:cs="宋体"/>
                <w:kern w:val="0"/>
                <w:szCs w:val="21"/>
              </w:rPr>
              <w:t>白城市公路工程建设办公室</w:t>
            </w:r>
          </w:p>
          <w:p>
            <w:pPr>
              <w:spacing w:line="291" w:lineRule="exact"/>
              <w:rPr>
                <w:rFonts w:ascii="宋体" w:hAnsi="宋体" w:cs="宋体"/>
                <w:kern w:val="0"/>
                <w:szCs w:val="21"/>
              </w:rPr>
            </w:pPr>
            <w:r>
              <w:rPr>
                <w:rFonts w:hint="eastAsia" w:ascii="宋体" w:hAnsi="宋体" w:cs="宋体"/>
                <w:kern w:val="0"/>
                <w:szCs w:val="21"/>
              </w:rPr>
              <w:t xml:space="preserve">地 </w:t>
            </w:r>
            <w:r>
              <w:rPr>
                <w:rFonts w:ascii="宋体" w:hAnsi="宋体" w:cs="宋体"/>
                <w:kern w:val="0"/>
                <w:szCs w:val="21"/>
              </w:rPr>
              <w:t xml:space="preserve"> </w:t>
            </w:r>
            <w:r>
              <w:rPr>
                <w:rFonts w:hint="eastAsia" w:ascii="宋体" w:hAnsi="宋体" w:cs="宋体"/>
                <w:kern w:val="0"/>
                <w:szCs w:val="21"/>
              </w:rPr>
              <w:t>址：白城市幸福南大街84号</w:t>
            </w:r>
          </w:p>
          <w:p>
            <w:pPr>
              <w:spacing w:line="291" w:lineRule="exact"/>
              <w:rPr>
                <w:rFonts w:ascii="宋体" w:hAnsi="宋体" w:cs="宋体"/>
                <w:kern w:val="0"/>
                <w:szCs w:val="21"/>
              </w:rPr>
            </w:pPr>
            <w:r>
              <w:rPr>
                <w:rFonts w:hint="eastAsia" w:ascii="宋体" w:hAnsi="宋体" w:cs="宋体"/>
                <w:kern w:val="0"/>
                <w:szCs w:val="21"/>
              </w:rPr>
              <w:t>联系人：霍光</w:t>
            </w:r>
          </w:p>
          <w:p>
            <w:pPr>
              <w:spacing w:line="291" w:lineRule="exact"/>
              <w:rPr>
                <w:rFonts w:ascii="宋体"/>
                <w:szCs w:val="21"/>
                <w:u w:val="single"/>
              </w:rPr>
            </w:pPr>
            <w:r>
              <w:rPr>
                <w:rFonts w:hint="eastAsia" w:ascii="宋体" w:hAnsi="宋体" w:cs="宋体"/>
                <w:kern w:val="0"/>
                <w:szCs w:val="21"/>
              </w:rPr>
              <w:t xml:space="preserve">电 </w:t>
            </w:r>
            <w:r>
              <w:rPr>
                <w:rFonts w:ascii="宋体" w:hAnsi="宋体" w:cs="宋体"/>
                <w:kern w:val="0"/>
                <w:szCs w:val="21"/>
              </w:rPr>
              <w:t xml:space="preserve"> </w:t>
            </w:r>
            <w:r>
              <w:rPr>
                <w:rFonts w:hint="eastAsia" w:ascii="宋体" w:hAnsi="宋体" w:cs="宋体"/>
                <w:kern w:val="0"/>
                <w:szCs w:val="21"/>
              </w:rPr>
              <w:t>话：</w:t>
            </w:r>
            <w:r>
              <w:rPr>
                <w:rFonts w:ascii="宋体" w:hAnsi="宋体" w:cs="宋体"/>
                <w:kern w:val="0"/>
                <w:szCs w:val="21"/>
              </w:rPr>
              <w:t>0436-3671563</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1.1.3</w:t>
            </w:r>
          </w:p>
        </w:tc>
        <w:tc>
          <w:tcPr>
            <w:tcW w:w="1059" w:type="pct"/>
            <w:vAlign w:val="center"/>
          </w:tcPr>
          <w:p>
            <w:pPr>
              <w:spacing w:line="291" w:lineRule="exact"/>
              <w:jc w:val="center"/>
              <w:rPr>
                <w:rFonts w:eastAsia="Batang"/>
                <w:szCs w:val="21"/>
              </w:rPr>
            </w:pPr>
            <w:r>
              <w:rPr>
                <w:rFonts w:hint="eastAsia" w:hAnsi="Batang"/>
                <w:szCs w:val="21"/>
              </w:rPr>
              <w:t>招</w:t>
            </w:r>
            <w:r>
              <w:rPr>
                <w:rFonts w:hint="eastAsia"/>
                <w:szCs w:val="21"/>
              </w:rPr>
              <w:t>标</w:t>
            </w:r>
            <w:r>
              <w:rPr>
                <w:rFonts w:hint="eastAsia" w:hAnsi="Batang"/>
                <w:szCs w:val="21"/>
              </w:rPr>
              <w:t>代理机</w:t>
            </w:r>
            <w:r>
              <w:rPr>
                <w:rFonts w:hint="eastAsia"/>
                <w:szCs w:val="21"/>
              </w:rPr>
              <w:t>构</w:t>
            </w:r>
          </w:p>
        </w:tc>
        <w:tc>
          <w:tcPr>
            <w:tcW w:w="3438" w:type="pct"/>
            <w:vAlign w:val="center"/>
          </w:tcPr>
          <w:p>
            <w:pPr>
              <w:autoSpaceDE w:val="0"/>
              <w:autoSpaceDN w:val="0"/>
              <w:adjustRightInd w:val="0"/>
              <w:spacing w:line="291" w:lineRule="exact"/>
              <w:jc w:val="left"/>
              <w:rPr>
                <w:rFonts w:ascii="黑体" w:hAnsi="黑体" w:eastAsia="黑体" w:cs="宋体"/>
                <w:kern w:val="0"/>
                <w:szCs w:val="21"/>
              </w:rPr>
            </w:pPr>
            <w:r>
              <w:rPr>
                <w:rFonts w:hint="eastAsia"/>
                <w:kern w:val="0"/>
                <w:szCs w:val="21"/>
                <w:lang w:val="zh-CN"/>
              </w:rPr>
              <w:t xml:space="preserve">名 </w:t>
            </w:r>
            <w:r>
              <w:rPr>
                <w:kern w:val="0"/>
                <w:szCs w:val="21"/>
                <w:lang w:val="zh-CN"/>
              </w:rPr>
              <w:t xml:space="preserve"> </w:t>
            </w:r>
            <w:r>
              <w:rPr>
                <w:rFonts w:hint="eastAsia"/>
                <w:kern w:val="0"/>
                <w:szCs w:val="21"/>
                <w:lang w:val="zh-CN"/>
              </w:rPr>
              <w:t>称：</w:t>
            </w:r>
            <w:r>
              <w:rPr>
                <w:rFonts w:hint="eastAsia" w:ascii="黑体" w:hAnsi="黑体" w:eastAsia="黑体" w:cs="宋体"/>
                <w:kern w:val="0"/>
                <w:szCs w:val="21"/>
              </w:rPr>
              <w:t>吉林省常利工程信息咨询有限公司</w:t>
            </w:r>
          </w:p>
          <w:p>
            <w:pPr>
              <w:autoSpaceDE w:val="0"/>
              <w:autoSpaceDN w:val="0"/>
              <w:adjustRightInd w:val="0"/>
              <w:spacing w:line="291" w:lineRule="exact"/>
              <w:rPr>
                <w:szCs w:val="21"/>
                <w:lang w:val="zh-CN"/>
              </w:rPr>
            </w:pPr>
            <w:r>
              <w:rPr>
                <w:rFonts w:hint="eastAsia"/>
                <w:szCs w:val="21"/>
                <w:lang w:val="zh-CN"/>
              </w:rPr>
              <w:t xml:space="preserve">地 </w:t>
            </w:r>
            <w:r>
              <w:rPr>
                <w:szCs w:val="21"/>
                <w:lang w:val="zh-CN"/>
              </w:rPr>
              <w:t xml:space="preserve"> </w:t>
            </w:r>
            <w:r>
              <w:rPr>
                <w:rFonts w:hint="eastAsia"/>
                <w:szCs w:val="21"/>
                <w:lang w:val="zh-CN"/>
              </w:rPr>
              <w:t>址：长春市高新技术产业开发区超越大街与越达路交汇长春高新越达科技产业园5栋三层</w:t>
            </w:r>
          </w:p>
          <w:p>
            <w:pPr>
              <w:autoSpaceDE w:val="0"/>
              <w:autoSpaceDN w:val="0"/>
              <w:adjustRightInd w:val="0"/>
              <w:spacing w:line="291" w:lineRule="exact"/>
              <w:rPr>
                <w:szCs w:val="21"/>
                <w:lang w:val="zh-CN"/>
              </w:rPr>
            </w:pPr>
            <w:r>
              <w:rPr>
                <w:rFonts w:hint="eastAsia"/>
                <w:szCs w:val="21"/>
                <w:lang w:val="zh-CN"/>
              </w:rPr>
              <w:t>联系人：祝佳美</w:t>
            </w:r>
          </w:p>
          <w:p>
            <w:pPr>
              <w:spacing w:line="291" w:lineRule="exact"/>
              <w:rPr>
                <w:szCs w:val="21"/>
              </w:rPr>
            </w:pPr>
            <w:r>
              <w:rPr>
                <w:rFonts w:hint="eastAsia"/>
                <w:szCs w:val="21"/>
                <w:lang w:val="zh-CN"/>
              </w:rPr>
              <w:t xml:space="preserve">电 </w:t>
            </w:r>
            <w:r>
              <w:rPr>
                <w:szCs w:val="21"/>
                <w:lang w:val="zh-CN"/>
              </w:rPr>
              <w:t xml:space="preserve"> </w:t>
            </w:r>
            <w:r>
              <w:rPr>
                <w:rFonts w:hint="eastAsia"/>
                <w:szCs w:val="21"/>
                <w:lang w:val="zh-CN"/>
              </w:rPr>
              <w:t>话：</w:t>
            </w:r>
            <w:r>
              <w:rPr>
                <w:rFonts w:ascii="宋体" w:hAnsi="宋体"/>
                <w:szCs w:val="21"/>
                <w:lang w:val="zh-CN"/>
              </w:rPr>
              <w:t>0431-81902477</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1.1.4</w:t>
            </w:r>
          </w:p>
        </w:tc>
        <w:tc>
          <w:tcPr>
            <w:tcW w:w="1059" w:type="pct"/>
            <w:vAlign w:val="center"/>
          </w:tcPr>
          <w:p>
            <w:pPr>
              <w:spacing w:line="291" w:lineRule="exact"/>
              <w:jc w:val="center"/>
              <w:rPr>
                <w:szCs w:val="21"/>
              </w:rPr>
            </w:pPr>
            <w:r>
              <w:rPr>
                <w:rFonts w:hint="eastAsia" w:hAnsi="宋体"/>
                <w:szCs w:val="21"/>
              </w:rPr>
              <w:t>项目名称</w:t>
            </w:r>
          </w:p>
        </w:tc>
        <w:tc>
          <w:tcPr>
            <w:tcW w:w="3438" w:type="pct"/>
            <w:vAlign w:val="center"/>
          </w:tcPr>
          <w:p>
            <w:pPr>
              <w:spacing w:line="291" w:lineRule="exact"/>
              <w:jc w:val="left"/>
              <w:rPr>
                <w:szCs w:val="21"/>
              </w:rPr>
            </w:pPr>
            <w:r>
              <w:rPr>
                <w:rFonts w:hint="eastAsia" w:hAnsi="宋体"/>
                <w:szCs w:val="21"/>
              </w:rPr>
              <w:t>省道扎突公路洮南西出口至军马场段改建工程项目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1.1.5</w:t>
            </w:r>
          </w:p>
        </w:tc>
        <w:tc>
          <w:tcPr>
            <w:tcW w:w="1059" w:type="pct"/>
            <w:vAlign w:val="center"/>
          </w:tcPr>
          <w:p>
            <w:pPr>
              <w:spacing w:line="291" w:lineRule="exact"/>
              <w:jc w:val="center"/>
              <w:rPr>
                <w:szCs w:val="21"/>
              </w:rPr>
            </w:pPr>
            <w:r>
              <w:rPr>
                <w:rFonts w:hint="eastAsia" w:hAnsi="宋体"/>
                <w:szCs w:val="21"/>
              </w:rPr>
              <w:t>标段建设地点</w:t>
            </w:r>
          </w:p>
        </w:tc>
        <w:tc>
          <w:tcPr>
            <w:tcW w:w="3438" w:type="pct"/>
            <w:vAlign w:val="center"/>
          </w:tcPr>
          <w:p>
            <w:pPr>
              <w:spacing w:line="291" w:lineRule="exact"/>
              <w:rPr>
                <w:rFonts w:ascii="宋体"/>
                <w:szCs w:val="21"/>
              </w:rPr>
            </w:pPr>
            <w:r>
              <w:rPr>
                <w:rFonts w:hint="eastAsia" w:ascii="宋体" w:hAnsi="宋体" w:cs="宋体"/>
                <w:szCs w:val="21"/>
              </w:rPr>
              <w:t>吉林省洮南市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1.1.</w:t>
            </w:r>
            <w:r>
              <w:rPr>
                <w:rFonts w:hint="eastAsia" w:ascii="宋体" w:hAnsi="宋体"/>
                <w:szCs w:val="21"/>
              </w:rPr>
              <w:t>6</w:t>
            </w:r>
          </w:p>
        </w:tc>
        <w:tc>
          <w:tcPr>
            <w:tcW w:w="1059" w:type="pct"/>
            <w:vAlign w:val="center"/>
          </w:tcPr>
          <w:p>
            <w:pPr>
              <w:spacing w:line="291" w:lineRule="exact"/>
              <w:jc w:val="center"/>
              <w:rPr>
                <w:rFonts w:hAnsi="宋体"/>
                <w:szCs w:val="21"/>
              </w:rPr>
            </w:pPr>
            <w:r>
              <w:rPr>
                <w:rFonts w:hint="eastAsia" w:hAnsi="宋体"/>
                <w:szCs w:val="21"/>
              </w:rPr>
              <w:t>标段建设规模</w:t>
            </w:r>
          </w:p>
        </w:tc>
        <w:tc>
          <w:tcPr>
            <w:tcW w:w="3438" w:type="pct"/>
            <w:vAlign w:val="center"/>
          </w:tcPr>
          <w:p>
            <w:pPr>
              <w:spacing w:line="291" w:lineRule="exact"/>
              <w:rPr>
                <w:rFonts w:ascii="宋体" w:hAnsi="宋体" w:cs="宋体"/>
                <w:szCs w:val="21"/>
              </w:rPr>
            </w:pPr>
            <w:r>
              <w:rPr>
                <w:rFonts w:hint="eastAsia" w:ascii="宋体" w:hAnsi="宋体" w:cs="宋体"/>
                <w:szCs w:val="21"/>
              </w:rPr>
              <w:t>见招标公告。</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1.2.1</w:t>
            </w:r>
          </w:p>
        </w:tc>
        <w:tc>
          <w:tcPr>
            <w:tcW w:w="1059" w:type="pct"/>
            <w:vAlign w:val="center"/>
          </w:tcPr>
          <w:p>
            <w:pPr>
              <w:spacing w:line="291" w:lineRule="exact"/>
              <w:jc w:val="center"/>
              <w:rPr>
                <w:rFonts w:ascii="宋体" w:hAnsi="宋体"/>
                <w:szCs w:val="21"/>
              </w:rPr>
            </w:pPr>
            <w:r>
              <w:rPr>
                <w:rFonts w:hint="eastAsia" w:ascii="宋体" w:hAnsi="宋体"/>
                <w:szCs w:val="21"/>
              </w:rPr>
              <w:t>资金来源及</w:t>
            </w:r>
            <w:r>
              <w:rPr>
                <w:rFonts w:hint="eastAsia" w:hAnsi="宋体"/>
                <w:szCs w:val="21"/>
              </w:rPr>
              <w:t>比例</w:t>
            </w:r>
          </w:p>
        </w:tc>
        <w:tc>
          <w:tcPr>
            <w:tcW w:w="3438" w:type="pct"/>
            <w:vAlign w:val="center"/>
          </w:tcPr>
          <w:p>
            <w:pPr>
              <w:spacing w:line="291" w:lineRule="exact"/>
              <w:rPr>
                <w:rFonts w:ascii="宋体" w:hAnsi="宋体"/>
                <w:szCs w:val="21"/>
              </w:rPr>
            </w:pPr>
            <w:r>
              <w:rPr>
                <w:rFonts w:hint="eastAsia" w:ascii="宋体" w:hAnsi="宋体" w:cs="宋体"/>
                <w:szCs w:val="21"/>
              </w:rPr>
              <w:t>见招标公告。</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hint="eastAsia" w:ascii="宋体" w:hAnsi="宋体"/>
                <w:szCs w:val="21"/>
              </w:rPr>
              <w:t>1.2.2</w:t>
            </w:r>
          </w:p>
        </w:tc>
        <w:tc>
          <w:tcPr>
            <w:tcW w:w="1059" w:type="pct"/>
            <w:vAlign w:val="center"/>
          </w:tcPr>
          <w:p>
            <w:pPr>
              <w:spacing w:line="291" w:lineRule="exact"/>
              <w:jc w:val="center"/>
              <w:rPr>
                <w:rFonts w:hAnsi="宋体"/>
                <w:szCs w:val="21"/>
              </w:rPr>
            </w:pPr>
            <w:r>
              <w:rPr>
                <w:rFonts w:hint="eastAsia" w:hAnsi="宋体"/>
                <w:szCs w:val="21"/>
              </w:rPr>
              <w:t>资金落实情况</w:t>
            </w:r>
          </w:p>
        </w:tc>
        <w:tc>
          <w:tcPr>
            <w:tcW w:w="3438" w:type="pct"/>
            <w:vAlign w:val="center"/>
          </w:tcPr>
          <w:p>
            <w:pPr>
              <w:spacing w:line="291" w:lineRule="exact"/>
              <w:rPr>
                <w:rFonts w:ascii="宋体" w:hAnsi="宋体"/>
                <w:szCs w:val="21"/>
              </w:rPr>
            </w:pPr>
            <w:r>
              <w:rPr>
                <w:rFonts w:hint="eastAsia" w:ascii="宋体" w:hAnsi="宋体" w:cs="宋体"/>
                <w:szCs w:val="21"/>
                <w:lang w:val="zh-CN"/>
              </w:rPr>
              <w:t>已落实。</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1.3.1</w:t>
            </w:r>
          </w:p>
        </w:tc>
        <w:tc>
          <w:tcPr>
            <w:tcW w:w="1059" w:type="pct"/>
            <w:vAlign w:val="center"/>
          </w:tcPr>
          <w:p>
            <w:pPr>
              <w:spacing w:line="291" w:lineRule="exact"/>
              <w:jc w:val="center"/>
              <w:rPr>
                <w:szCs w:val="21"/>
              </w:rPr>
            </w:pPr>
            <w:r>
              <w:rPr>
                <w:rFonts w:hint="eastAsia" w:hAnsi="宋体"/>
                <w:szCs w:val="21"/>
              </w:rPr>
              <w:t>招标范围</w:t>
            </w:r>
          </w:p>
        </w:tc>
        <w:tc>
          <w:tcPr>
            <w:tcW w:w="3438" w:type="pct"/>
            <w:vAlign w:val="center"/>
          </w:tcPr>
          <w:p>
            <w:pPr>
              <w:spacing w:line="291" w:lineRule="exact"/>
              <w:rPr>
                <w:szCs w:val="21"/>
              </w:rPr>
            </w:pPr>
            <w:r>
              <w:rPr>
                <w:rFonts w:hint="eastAsia" w:ascii="宋体" w:hAnsi="宋体"/>
                <w:kern w:val="0"/>
                <w:szCs w:val="21"/>
              </w:rPr>
              <w:t>见招标公告。</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1.3.2</w:t>
            </w:r>
          </w:p>
        </w:tc>
        <w:tc>
          <w:tcPr>
            <w:tcW w:w="1059" w:type="pct"/>
            <w:vAlign w:val="center"/>
          </w:tcPr>
          <w:p>
            <w:pPr>
              <w:spacing w:line="291" w:lineRule="exact"/>
              <w:jc w:val="center"/>
              <w:rPr>
                <w:rFonts w:hAnsi="宋体"/>
                <w:szCs w:val="21"/>
              </w:rPr>
            </w:pPr>
            <w:r>
              <w:rPr>
                <w:rFonts w:hint="eastAsia" w:hAnsi="宋体"/>
                <w:szCs w:val="21"/>
              </w:rPr>
              <w:t>勘察设计服务期限</w:t>
            </w:r>
          </w:p>
        </w:tc>
        <w:tc>
          <w:tcPr>
            <w:tcW w:w="3438" w:type="pct"/>
            <w:vAlign w:val="center"/>
          </w:tcPr>
          <w:p>
            <w:pPr>
              <w:spacing w:line="291" w:lineRule="exact"/>
              <w:rPr>
                <w:szCs w:val="21"/>
              </w:rPr>
            </w:pPr>
            <w:r>
              <w:rPr>
                <w:rFonts w:hint="eastAsia" w:ascii="宋体" w:hAnsi="宋体"/>
                <w:szCs w:val="21"/>
              </w:rPr>
              <w:t>见招标公告。</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1.3.3</w:t>
            </w:r>
          </w:p>
        </w:tc>
        <w:tc>
          <w:tcPr>
            <w:tcW w:w="1059" w:type="pct"/>
            <w:vAlign w:val="center"/>
          </w:tcPr>
          <w:p>
            <w:pPr>
              <w:spacing w:line="291" w:lineRule="exact"/>
              <w:jc w:val="center"/>
              <w:rPr>
                <w:szCs w:val="21"/>
              </w:rPr>
            </w:pPr>
            <w:r>
              <w:rPr>
                <w:rFonts w:hint="eastAsia" w:hAnsi="宋体"/>
                <w:szCs w:val="21"/>
              </w:rPr>
              <w:t>质量要求</w:t>
            </w:r>
          </w:p>
        </w:tc>
        <w:tc>
          <w:tcPr>
            <w:tcW w:w="3438" w:type="pct"/>
            <w:vAlign w:val="center"/>
          </w:tcPr>
          <w:p>
            <w:pPr>
              <w:spacing w:line="291" w:lineRule="exact"/>
              <w:rPr>
                <w:szCs w:val="21"/>
              </w:rPr>
            </w:pPr>
            <w:r>
              <w:rPr>
                <w:rFonts w:hint="eastAsia" w:ascii="宋体" w:hAnsi="宋体"/>
                <w:kern w:val="0"/>
                <w:szCs w:val="21"/>
              </w:rPr>
              <w:t>符合国家、交通运输部及吉林省关于公路工程勘察设计方面的文件、规定，满足勘察外业验收和设计审批标准。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trHeight w:val="480" w:hRule="atLeast"/>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1.3.4</w:t>
            </w:r>
          </w:p>
        </w:tc>
        <w:tc>
          <w:tcPr>
            <w:tcW w:w="1059" w:type="pct"/>
            <w:vAlign w:val="center"/>
          </w:tcPr>
          <w:p>
            <w:pPr>
              <w:adjustRightInd w:val="0"/>
              <w:snapToGrid w:val="0"/>
              <w:spacing w:before="100" w:beforeAutospacing="1" w:after="100" w:afterAutospacing="1" w:line="291" w:lineRule="exact"/>
              <w:jc w:val="center"/>
              <w:rPr>
                <w:rFonts w:ascii="宋体" w:hAnsi="宋体"/>
                <w:szCs w:val="21"/>
              </w:rPr>
            </w:pPr>
            <w:r>
              <w:rPr>
                <w:rFonts w:hint="eastAsia" w:ascii="宋体" w:hAnsi="宋体"/>
                <w:szCs w:val="21"/>
              </w:rPr>
              <w:t>安全目标</w:t>
            </w:r>
          </w:p>
        </w:tc>
        <w:tc>
          <w:tcPr>
            <w:tcW w:w="3438" w:type="pct"/>
            <w:vAlign w:val="center"/>
          </w:tcPr>
          <w:p>
            <w:pPr>
              <w:spacing w:line="291" w:lineRule="exact"/>
              <w:rPr>
                <w:szCs w:val="21"/>
              </w:rPr>
            </w:pPr>
            <w:r>
              <w:rPr>
                <w:rFonts w:hint="eastAsia"/>
                <w:szCs w:val="21"/>
              </w:rPr>
              <w:t>杜绝发生一般及以上等级生产安全事故。</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1.4.1</w:t>
            </w:r>
          </w:p>
        </w:tc>
        <w:tc>
          <w:tcPr>
            <w:tcW w:w="1059" w:type="pct"/>
            <w:vAlign w:val="center"/>
          </w:tcPr>
          <w:p>
            <w:pPr>
              <w:spacing w:line="291" w:lineRule="exact"/>
              <w:jc w:val="center"/>
              <w:rPr>
                <w:rFonts w:hAnsi="宋体"/>
                <w:szCs w:val="21"/>
              </w:rPr>
            </w:pPr>
            <w:r>
              <w:rPr>
                <w:rFonts w:hint="eastAsia" w:hAnsi="宋体"/>
                <w:szCs w:val="21"/>
              </w:rPr>
              <w:t>投标人资格条件、</w:t>
            </w:r>
          </w:p>
          <w:p>
            <w:pPr>
              <w:spacing w:line="291" w:lineRule="exact"/>
              <w:jc w:val="center"/>
              <w:rPr>
                <w:rFonts w:hAnsi="宋体"/>
                <w:szCs w:val="21"/>
              </w:rPr>
            </w:pPr>
            <w:r>
              <w:rPr>
                <w:rFonts w:hint="eastAsia" w:hAnsi="宋体"/>
                <w:szCs w:val="21"/>
              </w:rPr>
              <w:t>能力和信誉</w:t>
            </w:r>
          </w:p>
        </w:tc>
        <w:tc>
          <w:tcPr>
            <w:tcW w:w="3438" w:type="pct"/>
            <w:vAlign w:val="center"/>
          </w:tcPr>
          <w:p>
            <w:pPr>
              <w:spacing w:line="291" w:lineRule="exact"/>
              <w:rPr>
                <w:rFonts w:ascii="宋体" w:hAnsi="宋体"/>
                <w:szCs w:val="21"/>
              </w:rPr>
            </w:pPr>
            <w:r>
              <w:rPr>
                <w:rFonts w:hint="eastAsia"/>
                <w:szCs w:val="21"/>
              </w:rPr>
              <w:t>资格条件：</w:t>
            </w:r>
            <w:r>
              <w:rPr>
                <w:rFonts w:hint="eastAsia" w:ascii="宋体" w:hAnsi="宋体"/>
                <w:szCs w:val="21"/>
              </w:rPr>
              <w:t>见附录1</w:t>
            </w:r>
          </w:p>
          <w:p>
            <w:pPr>
              <w:spacing w:line="291" w:lineRule="exact"/>
              <w:rPr>
                <w:rFonts w:ascii="宋体" w:hAnsi="宋体"/>
                <w:szCs w:val="21"/>
              </w:rPr>
            </w:pPr>
            <w:r>
              <w:rPr>
                <w:rFonts w:hint="eastAsia" w:ascii="宋体" w:hAnsi="宋体"/>
                <w:szCs w:val="21"/>
              </w:rPr>
              <w:t>业绩要求：见附录2</w:t>
            </w:r>
          </w:p>
          <w:p>
            <w:pPr>
              <w:spacing w:line="291" w:lineRule="exact"/>
              <w:rPr>
                <w:rFonts w:ascii="宋体" w:hAnsi="宋体"/>
                <w:szCs w:val="21"/>
              </w:rPr>
            </w:pPr>
            <w:r>
              <w:rPr>
                <w:rFonts w:hint="eastAsia" w:ascii="宋体" w:hAnsi="宋体"/>
                <w:szCs w:val="21"/>
              </w:rPr>
              <w:t>信誉要求：见附录3</w:t>
            </w:r>
          </w:p>
          <w:p>
            <w:pPr>
              <w:spacing w:line="291" w:lineRule="exact"/>
              <w:rPr>
                <w:rFonts w:ascii="宋体" w:hAnsi="宋体"/>
                <w:szCs w:val="21"/>
              </w:rPr>
            </w:pPr>
            <w:r>
              <w:rPr>
                <w:rFonts w:hint="eastAsia" w:ascii="宋体" w:hAnsi="宋体"/>
                <w:szCs w:val="21"/>
              </w:rPr>
              <w:t>项目负责人资格：见附录4</w:t>
            </w:r>
          </w:p>
          <w:p>
            <w:pPr>
              <w:spacing w:line="291" w:lineRule="exact"/>
              <w:rPr>
                <w:rFonts w:ascii="宋体" w:hAnsi="宋体"/>
                <w:szCs w:val="21"/>
              </w:rPr>
            </w:pPr>
            <w:r>
              <w:rPr>
                <w:rFonts w:hint="eastAsia" w:ascii="宋体" w:hAnsi="宋体"/>
                <w:szCs w:val="21"/>
              </w:rPr>
              <w:t>其他要求：无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1.4.2</w:t>
            </w:r>
          </w:p>
        </w:tc>
        <w:tc>
          <w:tcPr>
            <w:tcW w:w="1059" w:type="pct"/>
            <w:vAlign w:val="center"/>
          </w:tcPr>
          <w:p>
            <w:pPr>
              <w:spacing w:line="291" w:lineRule="exact"/>
              <w:jc w:val="center"/>
              <w:rPr>
                <w:szCs w:val="21"/>
              </w:rPr>
            </w:pPr>
            <w:r>
              <w:rPr>
                <w:rFonts w:hint="eastAsia"/>
                <w:szCs w:val="21"/>
              </w:rPr>
              <w:t>是否接受</w:t>
            </w:r>
          </w:p>
          <w:p>
            <w:pPr>
              <w:spacing w:line="291" w:lineRule="exact"/>
              <w:jc w:val="center"/>
              <w:rPr>
                <w:szCs w:val="21"/>
              </w:rPr>
            </w:pPr>
            <w:r>
              <w:rPr>
                <w:rFonts w:hint="eastAsia"/>
                <w:szCs w:val="21"/>
              </w:rPr>
              <w:t>联合体投标</w:t>
            </w:r>
          </w:p>
        </w:tc>
        <w:tc>
          <w:tcPr>
            <w:tcW w:w="3438" w:type="pct"/>
            <w:vAlign w:val="center"/>
          </w:tcPr>
          <w:p>
            <w:pPr>
              <w:spacing w:line="291" w:lineRule="exact"/>
              <w:rPr>
                <w:szCs w:val="21"/>
              </w:rPr>
            </w:pPr>
            <w:r>
              <w:rPr>
                <w:rFonts w:hint="eastAsia" w:ascii="宋体" w:hAnsi="宋体" w:cs="宋体"/>
                <w:kern w:val="0"/>
                <w:szCs w:val="21"/>
                <w:lang w:val="zh-CN"/>
              </w:rPr>
              <w:t>□</w:t>
            </w:r>
            <w:r>
              <w:rPr>
                <w:rFonts w:hint="eastAsia"/>
                <w:szCs w:val="21"/>
              </w:rPr>
              <w:t>不接受</w:t>
            </w:r>
          </w:p>
          <w:p>
            <w:pPr>
              <w:snapToGrid w:val="0"/>
              <w:spacing w:beforeLines="15" w:afterLines="15"/>
              <w:rPr>
                <w:rFonts w:ascii="宋体" w:hAnsi="宋体"/>
                <w:szCs w:val="21"/>
              </w:rPr>
            </w:pPr>
            <w:r>
              <w:rPr>
                <w:rFonts w:ascii="宋体" w:hAnsi="宋体" w:cs="宋体"/>
                <w:kern w:val="0"/>
                <w:szCs w:val="21"/>
                <w:lang w:val="zh-CN"/>
              </w:rPr>
              <w:fldChar w:fldCharType="begin"/>
            </w:r>
            <w:r>
              <w:rPr>
                <w:rFonts w:hint="eastAsia" w:ascii="宋体" w:hAnsi="宋体" w:cs="宋体"/>
                <w:kern w:val="0"/>
                <w:szCs w:val="21"/>
                <w:lang w:val="zh-CN"/>
              </w:rPr>
              <w:instrText xml:space="preserve">eq \o\ac(□,√)</w:instrText>
            </w:r>
            <w:r>
              <w:rPr>
                <w:rFonts w:ascii="宋体" w:hAnsi="宋体" w:cs="宋体"/>
                <w:kern w:val="0"/>
                <w:szCs w:val="21"/>
                <w:lang w:val="zh-CN"/>
              </w:rPr>
              <w:fldChar w:fldCharType="end"/>
            </w:r>
            <w:r>
              <w:rPr>
                <w:rFonts w:hint="eastAsia"/>
                <w:szCs w:val="21"/>
              </w:rPr>
              <w:t>接受，</w:t>
            </w:r>
            <w:r>
              <w:rPr>
                <w:rFonts w:hint="eastAsia" w:ascii="宋体" w:hAnsi="宋体"/>
                <w:szCs w:val="21"/>
              </w:rPr>
              <w:t>应满足下列要求：</w:t>
            </w:r>
          </w:p>
          <w:p>
            <w:pPr>
              <w:snapToGrid w:val="0"/>
              <w:spacing w:beforeLines="15" w:afterLines="15"/>
              <w:rPr>
                <w:rFonts w:ascii="宋体" w:hAnsi="宋体"/>
                <w:szCs w:val="21"/>
              </w:rPr>
            </w:pPr>
            <w:r>
              <w:rPr>
                <w:rFonts w:hint="eastAsia" w:ascii="宋体" w:hAnsi="宋体"/>
                <w:szCs w:val="21"/>
              </w:rPr>
              <w:t>（1）联合体所有成员数量不得超过3家；</w:t>
            </w:r>
          </w:p>
          <w:p>
            <w:pPr>
              <w:snapToGrid w:val="0"/>
              <w:spacing w:line="440" w:lineRule="exact"/>
              <w:jc w:val="left"/>
              <w:rPr>
                <w:szCs w:val="21"/>
              </w:rPr>
            </w:pPr>
            <w:r>
              <w:rPr>
                <w:rFonts w:hint="eastAsia" w:ascii="宋体" w:hAnsi="宋体"/>
                <w:szCs w:val="21"/>
              </w:rPr>
              <w:t>（2）</w:t>
            </w:r>
            <w:r>
              <w:rPr>
                <w:rFonts w:ascii="宋体" w:hAnsi="宋体"/>
                <w:szCs w:val="21"/>
              </w:rPr>
              <w:t>联合体牵头人应</w:t>
            </w:r>
            <w:r>
              <w:rPr>
                <w:rFonts w:hint="eastAsia" w:ascii="宋体" w:hAnsi="宋体"/>
                <w:szCs w:val="21"/>
              </w:rPr>
              <w:t>至少具备</w:t>
            </w:r>
            <w:r>
              <w:rPr>
                <w:rFonts w:ascii="宋体" w:hAnsi="宋体"/>
                <w:szCs w:val="21"/>
              </w:rPr>
              <w:t>公路行业（公路）专业乙级（含乙级）以上设计资质，承担施工图设计工作内容。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1.4.</w:t>
            </w:r>
            <w:r>
              <w:rPr>
                <w:rFonts w:hint="eastAsia" w:ascii="宋体" w:hAnsi="宋体"/>
                <w:szCs w:val="21"/>
              </w:rPr>
              <w:t>3</w:t>
            </w:r>
          </w:p>
        </w:tc>
        <w:tc>
          <w:tcPr>
            <w:tcW w:w="1059" w:type="pct"/>
            <w:vAlign w:val="center"/>
          </w:tcPr>
          <w:p>
            <w:pPr>
              <w:pStyle w:val="74"/>
              <w:keepNext/>
              <w:shd w:val="clear" w:color="auto" w:fill="auto"/>
              <w:spacing w:line="291" w:lineRule="exact"/>
              <w:ind w:firstLine="0"/>
              <w:jc w:val="center"/>
              <w:rPr>
                <w:rFonts w:ascii="Times New Roman" w:hAnsi="Times New Roman" w:cs="Times New Roman"/>
                <w:kern w:val="2"/>
                <w:sz w:val="21"/>
                <w:szCs w:val="21"/>
                <w:lang w:val="en-US" w:bidi="ar-SA"/>
              </w:rPr>
            </w:pPr>
            <w:r>
              <w:rPr>
                <w:rFonts w:ascii="Times New Roman" w:hAnsi="Times New Roman" w:cs="Times New Roman"/>
                <w:kern w:val="2"/>
                <w:sz w:val="21"/>
                <w:szCs w:val="21"/>
                <w:lang w:val="en-US" w:bidi="ar-SA"/>
              </w:rPr>
              <w:t>投标人不得存在的</w:t>
            </w:r>
          </w:p>
          <w:p>
            <w:pPr>
              <w:spacing w:line="291" w:lineRule="exact"/>
              <w:jc w:val="center"/>
              <w:rPr>
                <w:szCs w:val="21"/>
              </w:rPr>
            </w:pPr>
            <w:r>
              <w:rPr>
                <w:szCs w:val="21"/>
              </w:rPr>
              <w:t>其他关联情形</w:t>
            </w:r>
          </w:p>
        </w:tc>
        <w:tc>
          <w:tcPr>
            <w:tcW w:w="3438" w:type="pct"/>
            <w:vAlign w:val="center"/>
          </w:tcPr>
          <w:p>
            <w:pPr>
              <w:spacing w:line="291" w:lineRule="exact"/>
              <w:rPr>
                <w:rFonts w:ascii="宋体" w:hAnsi="宋体" w:cs="宋体"/>
                <w:kern w:val="0"/>
                <w:szCs w:val="21"/>
                <w:lang w:val="zh-CN"/>
              </w:rPr>
            </w:pP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szCs w:val="21"/>
              </w:rPr>
            </w:pPr>
            <w:r>
              <w:rPr>
                <w:rFonts w:hint="eastAsia" w:ascii="宋体" w:hAnsi="宋体"/>
                <w:szCs w:val="21"/>
              </w:rPr>
              <w:t>1.4.4</w:t>
            </w:r>
          </w:p>
        </w:tc>
        <w:tc>
          <w:tcPr>
            <w:tcW w:w="1059" w:type="pct"/>
            <w:vAlign w:val="center"/>
          </w:tcPr>
          <w:p>
            <w:pPr>
              <w:pStyle w:val="74"/>
              <w:keepNext/>
              <w:shd w:val="clear" w:color="auto" w:fill="auto"/>
              <w:spacing w:line="291" w:lineRule="exact"/>
              <w:ind w:firstLine="0"/>
              <w:jc w:val="center"/>
              <w:rPr>
                <w:rFonts w:ascii="Times New Roman" w:hAnsi="Times New Roman" w:cs="Times New Roman"/>
                <w:kern w:val="2"/>
                <w:sz w:val="21"/>
                <w:szCs w:val="21"/>
                <w:lang w:val="en-US" w:bidi="ar-SA"/>
              </w:rPr>
            </w:pPr>
            <w:r>
              <w:rPr>
                <w:rFonts w:hint="eastAsia" w:ascii="Times New Roman" w:hAnsi="Times New Roman" w:cs="Times New Roman"/>
                <w:kern w:val="2"/>
                <w:sz w:val="21"/>
                <w:szCs w:val="21"/>
                <w:lang w:val="en-US" w:bidi="ar-SA"/>
              </w:rPr>
              <w:t>投标人不得存在的</w:t>
            </w:r>
          </w:p>
          <w:p>
            <w:pPr>
              <w:pStyle w:val="74"/>
              <w:keepNext/>
              <w:shd w:val="clear" w:color="auto" w:fill="auto"/>
              <w:spacing w:line="291" w:lineRule="exact"/>
              <w:ind w:firstLine="0"/>
              <w:jc w:val="center"/>
              <w:rPr>
                <w:sz w:val="21"/>
                <w:szCs w:val="21"/>
              </w:rPr>
            </w:pPr>
            <w:r>
              <w:rPr>
                <w:rFonts w:hint="eastAsia" w:ascii="Times New Roman" w:hAnsi="Times New Roman" w:cs="Times New Roman"/>
                <w:kern w:val="2"/>
                <w:sz w:val="21"/>
                <w:szCs w:val="21"/>
                <w:lang w:val="en-US" w:bidi="ar-SA"/>
              </w:rPr>
              <w:t>其他不良状况或不良信用记录</w:t>
            </w:r>
          </w:p>
        </w:tc>
        <w:tc>
          <w:tcPr>
            <w:tcW w:w="3438" w:type="pct"/>
            <w:vAlign w:val="center"/>
          </w:tcPr>
          <w:p>
            <w:pPr>
              <w:autoSpaceDE w:val="0"/>
              <w:autoSpaceDN w:val="0"/>
              <w:adjustRightInd w:val="0"/>
              <w:spacing w:line="320" w:lineRule="exact"/>
              <w:rPr>
                <w:rFonts w:ascii="宋体" w:hAnsi="宋体"/>
                <w:szCs w:val="21"/>
              </w:rPr>
            </w:pPr>
            <w:r>
              <w:rPr>
                <w:rFonts w:ascii="宋体" w:hAnsi="宋体"/>
                <w:szCs w:val="21"/>
              </w:rPr>
              <w:t>本款内容第（</w:t>
            </w:r>
            <w:r>
              <w:rPr>
                <w:rFonts w:hint="eastAsia" w:ascii="宋体" w:hAnsi="宋体"/>
                <w:szCs w:val="21"/>
              </w:rPr>
              <w:t>6</w:t>
            </w:r>
            <w:r>
              <w:rPr>
                <w:rFonts w:ascii="宋体" w:hAnsi="宋体"/>
                <w:szCs w:val="21"/>
              </w:rPr>
              <w:t>）</w:t>
            </w:r>
            <w:r>
              <w:rPr>
                <w:rFonts w:hint="eastAsia" w:ascii="宋体" w:hAnsi="宋体"/>
                <w:szCs w:val="21"/>
              </w:rPr>
              <w:t>条修改为</w:t>
            </w:r>
            <w:r>
              <w:rPr>
                <w:rFonts w:ascii="宋体" w:hAnsi="宋体"/>
                <w:szCs w:val="21"/>
              </w:rPr>
              <w:t>：</w:t>
            </w:r>
          </w:p>
          <w:p>
            <w:pPr>
              <w:spacing w:line="291" w:lineRule="exact"/>
              <w:rPr>
                <w:rFonts w:ascii="Calibri" w:hAnsi="Calibri"/>
                <w:szCs w:val="21"/>
              </w:rPr>
            </w:pPr>
            <w:r>
              <w:rPr>
                <w:rFonts w:ascii="宋体" w:hAnsi="宋体"/>
                <w:kern w:val="0"/>
                <w:szCs w:val="21"/>
                <w:lang w:val="zh-CN"/>
              </w:rPr>
              <w:t xml:space="preserve">  （</w:t>
            </w:r>
            <w:r>
              <w:rPr>
                <w:rFonts w:hint="eastAsia" w:ascii="宋体" w:hAnsi="宋体"/>
                <w:kern w:val="0"/>
                <w:szCs w:val="21"/>
                <w:lang w:val="zh-CN"/>
              </w:rPr>
              <w:t>6</w:t>
            </w:r>
            <w:r>
              <w:rPr>
                <w:rFonts w:ascii="宋体" w:hAnsi="宋体"/>
                <w:kern w:val="0"/>
                <w:szCs w:val="21"/>
                <w:lang w:val="zh-CN"/>
              </w:rPr>
              <w:t>）</w:t>
            </w:r>
            <w:r>
              <w:rPr>
                <w:rFonts w:hint="eastAsia" w:ascii="宋体" w:hAnsi="宋体"/>
                <w:szCs w:val="21"/>
              </w:rPr>
              <w:t>投标人或其法定代表人、拟委任的项目负责人在近三年内有行贿犯罪行为的。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jc w:val="center"/>
              <w:rPr>
                <w:rFonts w:ascii="宋体" w:hAnsi="宋体"/>
                <w:szCs w:val="21"/>
              </w:rPr>
            </w:pPr>
            <w:r>
              <w:rPr>
                <w:rFonts w:hint="eastAsia" w:ascii="宋体" w:hAnsi="宋体"/>
                <w:szCs w:val="21"/>
              </w:rPr>
              <w:t>1.4.5</w:t>
            </w:r>
          </w:p>
        </w:tc>
        <w:tc>
          <w:tcPr>
            <w:tcW w:w="1059" w:type="pct"/>
            <w:vAlign w:val="center"/>
          </w:tcPr>
          <w:p>
            <w:pPr>
              <w:jc w:val="center"/>
              <w:rPr>
                <w:rFonts w:ascii="宋体" w:hAnsi="宋体"/>
                <w:szCs w:val="21"/>
              </w:rPr>
            </w:pPr>
            <w:r>
              <w:rPr>
                <w:rFonts w:hint="eastAsia" w:ascii="宋体" w:hAnsi="宋体"/>
                <w:szCs w:val="21"/>
              </w:rPr>
              <w:t>企业名称和资质</w:t>
            </w:r>
          </w:p>
        </w:tc>
        <w:tc>
          <w:tcPr>
            <w:tcW w:w="3438" w:type="pct"/>
            <w:vAlign w:val="center"/>
          </w:tcPr>
          <w:p>
            <w:pPr>
              <w:ind w:left="105" w:leftChars="50" w:right="113"/>
              <w:rPr>
                <w:rFonts w:ascii="宋体" w:hAnsi="宋体"/>
                <w:szCs w:val="21"/>
              </w:rPr>
            </w:pPr>
            <w:r>
              <w:rPr>
                <w:rFonts w:hint="eastAsia" w:ascii="宋体" w:hAnsi="宋体"/>
                <w:szCs w:val="21"/>
              </w:rPr>
              <w:t>本条修改为：</w:t>
            </w:r>
          </w:p>
          <w:p>
            <w:pPr>
              <w:ind w:left="105" w:leftChars="50" w:right="113"/>
              <w:jc w:val="left"/>
              <w:rPr>
                <w:rFonts w:ascii="宋体" w:hAnsi="宋体"/>
                <w:szCs w:val="21"/>
              </w:rPr>
            </w:pPr>
            <w:r>
              <w:rPr>
                <w:rFonts w:hint="eastAsia" w:ascii="宋体" w:hAnsi="宋体"/>
                <w:szCs w:val="21"/>
              </w:rPr>
              <w:t>投标人（仅指公路工程设计甲级或乙级资质的投标人）应进入交通运输部“全国公路建设市场信用信息管理系统（https://glxy.mot.gov.cn）”中的公路工程设计企业名录，且投标人名称和资质与该名录中的相应的企业名称和资质完全一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Merge w:val="restart"/>
            <w:vAlign w:val="center"/>
          </w:tcPr>
          <w:p>
            <w:pPr>
              <w:adjustRightInd w:val="0"/>
              <w:snapToGrid w:val="0"/>
              <w:spacing w:before="100" w:beforeAutospacing="1" w:after="100" w:afterAutospacing="1" w:line="291" w:lineRule="exact"/>
              <w:jc w:val="center"/>
              <w:rPr>
                <w:szCs w:val="21"/>
              </w:rPr>
            </w:pPr>
            <w:r>
              <w:rPr>
                <w:rFonts w:ascii="宋体" w:hAnsi="宋体"/>
                <w:szCs w:val="21"/>
              </w:rPr>
              <w:t>1.10.2</w:t>
            </w:r>
          </w:p>
        </w:tc>
        <w:tc>
          <w:tcPr>
            <w:tcW w:w="1059" w:type="pct"/>
            <w:vMerge w:val="restart"/>
            <w:vAlign w:val="center"/>
          </w:tcPr>
          <w:p>
            <w:pPr>
              <w:spacing w:line="291" w:lineRule="exact"/>
              <w:jc w:val="center"/>
              <w:rPr>
                <w:szCs w:val="21"/>
              </w:rPr>
            </w:pPr>
            <w:r>
              <w:rPr>
                <w:rFonts w:cs="宋体"/>
                <w:szCs w:val="21"/>
              </w:rPr>
              <w:t>投标人在投标预备会前提出问题</w:t>
            </w:r>
          </w:p>
        </w:tc>
        <w:tc>
          <w:tcPr>
            <w:tcW w:w="3438" w:type="pct"/>
            <w:vAlign w:val="center"/>
          </w:tcPr>
          <w:p>
            <w:pPr>
              <w:spacing w:line="291" w:lineRule="exact"/>
              <w:rPr>
                <w:szCs w:val="21"/>
              </w:rPr>
            </w:pPr>
            <w:r>
              <w:rPr>
                <w:szCs w:val="21"/>
              </w:rPr>
              <w:t>时间</w:t>
            </w:r>
            <w:r>
              <w:rPr>
                <w:rFonts w:hint="eastAsia"/>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Merge w:val="continue"/>
            <w:vAlign w:val="center"/>
          </w:tcPr>
          <w:p>
            <w:pPr>
              <w:adjustRightInd w:val="0"/>
              <w:snapToGrid w:val="0"/>
              <w:spacing w:before="100" w:beforeAutospacing="1" w:after="100" w:afterAutospacing="1" w:line="291" w:lineRule="exact"/>
              <w:jc w:val="center"/>
              <w:rPr>
                <w:rFonts w:ascii="宋体" w:hAnsi="宋体"/>
                <w:szCs w:val="21"/>
              </w:rPr>
            </w:pPr>
          </w:p>
        </w:tc>
        <w:tc>
          <w:tcPr>
            <w:tcW w:w="1059" w:type="pct"/>
            <w:vMerge w:val="continue"/>
            <w:vAlign w:val="center"/>
          </w:tcPr>
          <w:p>
            <w:pPr>
              <w:pStyle w:val="74"/>
              <w:keepNext/>
              <w:shd w:val="clear" w:color="auto" w:fill="auto"/>
              <w:spacing w:line="291" w:lineRule="exact"/>
              <w:ind w:firstLine="0"/>
              <w:jc w:val="center"/>
              <w:rPr>
                <w:rFonts w:ascii="Times New Roman" w:hAnsi="Times New Roman" w:cs="Times New Roman"/>
                <w:kern w:val="2"/>
                <w:sz w:val="21"/>
                <w:szCs w:val="21"/>
                <w:lang w:val="en-US" w:bidi="ar-SA"/>
              </w:rPr>
            </w:pPr>
          </w:p>
        </w:tc>
        <w:tc>
          <w:tcPr>
            <w:tcW w:w="3438" w:type="pct"/>
            <w:vAlign w:val="center"/>
          </w:tcPr>
          <w:p>
            <w:pPr>
              <w:autoSpaceDE w:val="0"/>
              <w:autoSpaceDN w:val="0"/>
              <w:adjustRightInd w:val="0"/>
              <w:spacing w:line="291" w:lineRule="exact"/>
              <w:rPr>
                <w:rFonts w:ascii="宋体" w:hAnsi="宋体"/>
                <w:b/>
                <w:bCs/>
                <w:kern w:val="0"/>
                <w:szCs w:val="21"/>
              </w:rPr>
            </w:pPr>
            <w:r>
              <w:rPr>
                <w:rFonts w:ascii="宋体"/>
                <w:szCs w:val="21"/>
              </w:rPr>
              <w:t>形式</w:t>
            </w:r>
            <w:r>
              <w:rPr>
                <w:rFonts w:hint="eastAsia" w:ascii="宋体"/>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1.11</w:t>
            </w:r>
            <w:r>
              <w:rPr>
                <w:rFonts w:hint="eastAsia" w:ascii="宋体" w:hAnsi="宋体"/>
                <w:szCs w:val="21"/>
              </w:rPr>
              <w:t>.1</w:t>
            </w:r>
          </w:p>
        </w:tc>
        <w:tc>
          <w:tcPr>
            <w:tcW w:w="1059" w:type="pct"/>
            <w:vAlign w:val="center"/>
          </w:tcPr>
          <w:p>
            <w:pPr>
              <w:spacing w:line="291" w:lineRule="exact"/>
              <w:jc w:val="center"/>
              <w:rPr>
                <w:szCs w:val="21"/>
              </w:rPr>
            </w:pPr>
            <w:r>
              <w:rPr>
                <w:rFonts w:hint="eastAsia" w:hAnsi="宋体"/>
                <w:szCs w:val="21"/>
              </w:rPr>
              <w:t>分包</w:t>
            </w:r>
          </w:p>
        </w:tc>
        <w:tc>
          <w:tcPr>
            <w:tcW w:w="3438" w:type="pct"/>
          </w:tcPr>
          <w:p>
            <w:pPr>
              <w:autoSpaceDE w:val="0"/>
              <w:autoSpaceDN w:val="0"/>
              <w:adjustRightInd w:val="0"/>
              <w:spacing w:line="291" w:lineRule="exact"/>
              <w:rPr>
                <w:kern w:val="0"/>
                <w:szCs w:val="21"/>
                <w:lang w:val="zh-CN"/>
              </w:rPr>
            </w:pPr>
            <w:r>
              <w:rPr>
                <w:rFonts w:hint="eastAsia" w:ascii="宋体" w:hAnsi="宋体"/>
                <w:szCs w:val="21"/>
              </w:rPr>
              <w:t>□</w:t>
            </w:r>
            <w:r>
              <w:rPr>
                <w:rFonts w:hint="eastAsia" w:hAnsi="宋体"/>
                <w:kern w:val="0"/>
                <w:szCs w:val="21"/>
                <w:lang w:val="zh-CN"/>
              </w:rPr>
              <w:t>不允许</w:t>
            </w:r>
          </w:p>
          <w:p>
            <w:pPr>
              <w:spacing w:line="291" w:lineRule="exact"/>
              <w:rPr>
                <w:rFonts w:hAnsi="宋体"/>
                <w:kern w:val="0"/>
                <w:szCs w:val="21"/>
                <w:lang w:val="zh-CN"/>
              </w:rPr>
            </w:pPr>
            <w:r>
              <w:rPr>
                <w:rFonts w:ascii="宋体" w:hAnsi="宋体" w:cs="宋体"/>
                <w:kern w:val="0"/>
                <w:szCs w:val="21"/>
                <w:lang w:val="zh-CN"/>
              </w:rPr>
              <w:fldChar w:fldCharType="begin"/>
            </w:r>
            <w:r>
              <w:rPr>
                <w:rFonts w:hint="eastAsia" w:ascii="宋体" w:hAnsi="宋体" w:cs="宋体"/>
                <w:kern w:val="0"/>
                <w:szCs w:val="21"/>
                <w:lang w:val="zh-CN"/>
              </w:rPr>
              <w:instrText xml:space="preserve">eq \o\ac(□,√)</w:instrText>
            </w:r>
            <w:r>
              <w:rPr>
                <w:rFonts w:ascii="宋体" w:hAnsi="宋体" w:cs="宋体"/>
                <w:kern w:val="0"/>
                <w:szCs w:val="21"/>
                <w:lang w:val="zh-CN"/>
              </w:rPr>
              <w:fldChar w:fldCharType="end"/>
            </w:r>
            <w:r>
              <w:rPr>
                <w:rFonts w:hint="eastAsia" w:hAnsi="宋体"/>
                <w:kern w:val="0"/>
                <w:szCs w:val="21"/>
                <w:lang w:val="zh-CN"/>
              </w:rPr>
              <w:t>允许</w:t>
            </w:r>
          </w:p>
          <w:p>
            <w:pPr>
              <w:spacing w:line="291" w:lineRule="exact"/>
              <w:rPr>
                <w:rFonts w:hAnsi="宋体"/>
                <w:kern w:val="0"/>
                <w:szCs w:val="21"/>
                <w:lang w:val="zh-CN"/>
              </w:rPr>
            </w:pPr>
            <w:r>
              <w:rPr>
                <w:rFonts w:hint="eastAsia" w:hAnsi="宋体"/>
                <w:kern w:val="0"/>
                <w:szCs w:val="21"/>
                <w:lang w:val="zh-CN"/>
              </w:rPr>
              <w:t>允许分包的工程：本项目公路管理、养护、服务设施工程。</w:t>
            </w:r>
          </w:p>
          <w:p>
            <w:pPr>
              <w:spacing w:line="291" w:lineRule="exact"/>
              <w:rPr>
                <w:szCs w:val="21"/>
              </w:rPr>
            </w:pPr>
            <w:r>
              <w:rPr>
                <w:rFonts w:hint="eastAsia" w:hAnsi="宋体"/>
                <w:kern w:val="0"/>
                <w:szCs w:val="21"/>
                <w:lang w:val="zh-CN"/>
              </w:rPr>
              <w:t>对分包人的资格要求：分包人的资格能力应与其分包工程的标准和规模相适应。</w:t>
            </w:r>
            <w:r>
              <w:rPr>
                <w:rFonts w:hAnsi="宋体"/>
                <w:kern w:val="0"/>
                <w:szCs w:val="21"/>
                <w:lang w:val="zh-CN"/>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2.1</w:t>
            </w:r>
          </w:p>
        </w:tc>
        <w:tc>
          <w:tcPr>
            <w:tcW w:w="1059" w:type="pct"/>
            <w:vAlign w:val="center"/>
          </w:tcPr>
          <w:p>
            <w:pPr>
              <w:spacing w:line="291" w:lineRule="exact"/>
              <w:jc w:val="center"/>
              <w:rPr>
                <w:rFonts w:hAnsi="宋体"/>
                <w:szCs w:val="21"/>
              </w:rPr>
            </w:pPr>
            <w:r>
              <w:rPr>
                <w:rFonts w:hint="eastAsia" w:hAnsi="宋体"/>
                <w:szCs w:val="21"/>
              </w:rPr>
              <w:t>构成招标文件的</w:t>
            </w:r>
          </w:p>
          <w:p>
            <w:pPr>
              <w:spacing w:line="291" w:lineRule="exact"/>
              <w:jc w:val="center"/>
              <w:rPr>
                <w:szCs w:val="21"/>
              </w:rPr>
            </w:pPr>
            <w:r>
              <w:rPr>
                <w:rFonts w:hint="eastAsia" w:hAnsi="宋体"/>
                <w:szCs w:val="21"/>
              </w:rPr>
              <w:t>其他材料</w:t>
            </w:r>
          </w:p>
        </w:tc>
        <w:tc>
          <w:tcPr>
            <w:tcW w:w="3438" w:type="pct"/>
            <w:vAlign w:val="center"/>
          </w:tcPr>
          <w:p>
            <w:pPr>
              <w:spacing w:line="291" w:lineRule="exact"/>
              <w:rPr>
                <w:rFonts w:ascii="黑体" w:eastAsia="黑体"/>
                <w:b/>
                <w:szCs w:val="21"/>
              </w:rPr>
            </w:pPr>
            <w:r>
              <w:rPr>
                <w:rFonts w:ascii="宋体"/>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Merge w:val="restar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2.2.1</w:t>
            </w:r>
          </w:p>
        </w:tc>
        <w:tc>
          <w:tcPr>
            <w:tcW w:w="1059" w:type="pct"/>
            <w:vMerge w:val="restart"/>
            <w:vAlign w:val="center"/>
          </w:tcPr>
          <w:p>
            <w:pPr>
              <w:spacing w:line="291" w:lineRule="exact"/>
              <w:jc w:val="center"/>
              <w:rPr>
                <w:rFonts w:hAnsi="宋体"/>
                <w:szCs w:val="21"/>
              </w:rPr>
            </w:pPr>
            <w:r>
              <w:rPr>
                <w:rFonts w:hint="eastAsia" w:hAnsi="宋体"/>
                <w:szCs w:val="21"/>
              </w:rPr>
              <w:t>投标人要求澄清</w:t>
            </w:r>
          </w:p>
          <w:p>
            <w:pPr>
              <w:spacing w:line="291" w:lineRule="exact"/>
              <w:jc w:val="center"/>
              <w:rPr>
                <w:szCs w:val="21"/>
              </w:rPr>
            </w:pPr>
            <w:r>
              <w:rPr>
                <w:rFonts w:hint="eastAsia" w:hAnsi="宋体"/>
                <w:szCs w:val="21"/>
              </w:rPr>
              <w:t>招标文件</w:t>
            </w:r>
          </w:p>
        </w:tc>
        <w:tc>
          <w:tcPr>
            <w:tcW w:w="3438" w:type="pct"/>
            <w:vAlign w:val="center"/>
          </w:tcPr>
          <w:p>
            <w:pPr>
              <w:spacing w:line="291" w:lineRule="exact"/>
              <w:rPr>
                <w:rFonts w:hAnsi="宋体"/>
                <w:szCs w:val="21"/>
              </w:rPr>
            </w:pPr>
            <w:r>
              <w:rPr>
                <w:rFonts w:hint="eastAsia" w:hAnsi="宋体"/>
                <w:szCs w:val="21"/>
              </w:rPr>
              <w:t>时间：递交投标文件截止之日</w:t>
            </w:r>
            <w:r>
              <w:rPr>
                <w:rFonts w:hAnsi="宋体"/>
                <w:szCs w:val="21"/>
              </w:rPr>
              <w:t>1</w:t>
            </w:r>
            <w:r>
              <w:rPr>
                <w:rFonts w:hint="eastAsia" w:hAnsi="宋体"/>
                <w:szCs w:val="21"/>
              </w:rPr>
              <w:t>0天前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Merge w:val="continue"/>
            <w:vAlign w:val="center"/>
          </w:tcPr>
          <w:p>
            <w:pPr>
              <w:adjustRightInd w:val="0"/>
              <w:snapToGrid w:val="0"/>
              <w:spacing w:before="100" w:beforeAutospacing="1" w:after="100" w:afterAutospacing="1" w:line="291" w:lineRule="exact"/>
              <w:jc w:val="center"/>
              <w:rPr>
                <w:rFonts w:ascii="宋体" w:hAnsi="宋体"/>
                <w:szCs w:val="21"/>
              </w:rPr>
            </w:pPr>
          </w:p>
        </w:tc>
        <w:tc>
          <w:tcPr>
            <w:tcW w:w="1059" w:type="pct"/>
            <w:vMerge w:val="continue"/>
            <w:vAlign w:val="center"/>
          </w:tcPr>
          <w:p>
            <w:pPr>
              <w:spacing w:line="291" w:lineRule="exact"/>
              <w:jc w:val="center"/>
              <w:rPr>
                <w:rFonts w:hAnsi="宋体"/>
                <w:szCs w:val="21"/>
              </w:rPr>
            </w:pPr>
          </w:p>
        </w:tc>
        <w:tc>
          <w:tcPr>
            <w:tcW w:w="3438" w:type="pct"/>
            <w:vAlign w:val="center"/>
          </w:tcPr>
          <w:p>
            <w:pPr>
              <w:spacing w:line="291" w:lineRule="exact"/>
              <w:rPr>
                <w:rFonts w:hAnsi="宋体"/>
                <w:szCs w:val="21"/>
              </w:rPr>
            </w:pPr>
            <w:r>
              <w:rPr>
                <w:rFonts w:hint="eastAsia" w:hAnsi="宋体"/>
                <w:szCs w:val="21"/>
              </w:rPr>
              <w:t>形式：发送邮件至招标代理机构邮箱。</w:t>
            </w:r>
          </w:p>
          <w:p>
            <w:pPr>
              <w:spacing w:line="291" w:lineRule="exact"/>
              <w:rPr>
                <w:rFonts w:hAnsi="宋体"/>
                <w:szCs w:val="21"/>
              </w:rPr>
            </w:pPr>
            <w:r>
              <w:rPr>
                <w:rFonts w:hint="eastAsia" w:hAnsi="宋体"/>
                <w:szCs w:val="21"/>
              </w:rPr>
              <w:t>招标代理机构邮箱：</w:t>
            </w:r>
            <w:r>
              <w:rPr>
                <w:rFonts w:hAnsi="宋体"/>
                <w:szCs w:val="21"/>
              </w:rPr>
              <w:t>clgczx2018@163.com</w:t>
            </w:r>
            <w:r>
              <w:rPr>
                <w:rFonts w:hint="eastAsia"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2.2.2</w:t>
            </w:r>
          </w:p>
        </w:tc>
        <w:tc>
          <w:tcPr>
            <w:tcW w:w="1059" w:type="pct"/>
            <w:vAlign w:val="center"/>
          </w:tcPr>
          <w:p>
            <w:pPr>
              <w:spacing w:line="291" w:lineRule="exact"/>
              <w:jc w:val="center"/>
              <w:rPr>
                <w:szCs w:val="21"/>
              </w:rPr>
            </w:pPr>
            <w:r>
              <w:rPr>
                <w:rFonts w:hint="eastAsia"/>
                <w:szCs w:val="21"/>
              </w:rPr>
              <w:t>招标文件澄清</w:t>
            </w:r>
          </w:p>
          <w:p>
            <w:pPr>
              <w:spacing w:line="291" w:lineRule="exact"/>
              <w:jc w:val="center"/>
              <w:rPr>
                <w:szCs w:val="21"/>
              </w:rPr>
            </w:pPr>
            <w:r>
              <w:rPr>
                <w:rFonts w:hint="eastAsia"/>
                <w:szCs w:val="21"/>
              </w:rPr>
              <w:t>发出的形式</w:t>
            </w:r>
          </w:p>
        </w:tc>
        <w:tc>
          <w:tcPr>
            <w:tcW w:w="3438" w:type="pct"/>
            <w:vAlign w:val="center"/>
          </w:tcPr>
          <w:p>
            <w:pPr>
              <w:spacing w:line="291" w:lineRule="exact"/>
              <w:rPr>
                <w:rFonts w:hAnsi="宋体"/>
                <w:szCs w:val="21"/>
              </w:rPr>
            </w:pPr>
            <w:r>
              <w:rPr>
                <w:rFonts w:hint="eastAsia" w:hAnsi="宋体"/>
                <w:szCs w:val="21"/>
              </w:rPr>
              <w:t>以书面的形式发送至changlizixun@163.com（密码：20171127），由投标人自行下载。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Merge w:val="restar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2.2.3</w:t>
            </w:r>
          </w:p>
        </w:tc>
        <w:tc>
          <w:tcPr>
            <w:tcW w:w="1059" w:type="pct"/>
            <w:vMerge w:val="restart"/>
            <w:vAlign w:val="center"/>
          </w:tcPr>
          <w:p>
            <w:pPr>
              <w:spacing w:line="291" w:lineRule="exact"/>
              <w:jc w:val="center"/>
              <w:rPr>
                <w:rFonts w:hAnsi="宋体"/>
                <w:szCs w:val="21"/>
              </w:rPr>
            </w:pPr>
            <w:r>
              <w:rPr>
                <w:rFonts w:hint="eastAsia" w:hAnsi="宋体"/>
                <w:szCs w:val="21"/>
              </w:rPr>
              <w:t>投标人确认收到</w:t>
            </w:r>
          </w:p>
          <w:p>
            <w:pPr>
              <w:spacing w:line="291" w:lineRule="exact"/>
              <w:jc w:val="center"/>
              <w:rPr>
                <w:szCs w:val="21"/>
              </w:rPr>
            </w:pPr>
            <w:r>
              <w:rPr>
                <w:rFonts w:hint="eastAsia" w:hAnsi="宋体"/>
                <w:szCs w:val="21"/>
              </w:rPr>
              <w:t>招标文件澄清</w:t>
            </w:r>
          </w:p>
        </w:tc>
        <w:tc>
          <w:tcPr>
            <w:tcW w:w="3438" w:type="pct"/>
            <w:vAlign w:val="center"/>
          </w:tcPr>
          <w:p>
            <w:pPr>
              <w:spacing w:line="291" w:lineRule="exact"/>
              <w:rPr>
                <w:rFonts w:hAnsi="宋体"/>
                <w:szCs w:val="21"/>
              </w:rPr>
            </w:pPr>
            <w:r>
              <w:rPr>
                <w:rFonts w:hint="eastAsia" w:hAnsi="宋体"/>
                <w:szCs w:val="21"/>
              </w:rPr>
              <w:t>时间：收到澄清后24小时内（以发出时间为准）。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Merge w:val="continue"/>
            <w:vAlign w:val="center"/>
          </w:tcPr>
          <w:p>
            <w:pPr>
              <w:adjustRightInd w:val="0"/>
              <w:snapToGrid w:val="0"/>
              <w:spacing w:before="100" w:beforeAutospacing="1" w:after="100" w:afterAutospacing="1" w:line="291" w:lineRule="exact"/>
              <w:jc w:val="center"/>
              <w:rPr>
                <w:rFonts w:ascii="宋体" w:hAnsi="宋体"/>
                <w:szCs w:val="21"/>
              </w:rPr>
            </w:pPr>
          </w:p>
        </w:tc>
        <w:tc>
          <w:tcPr>
            <w:tcW w:w="1059" w:type="pct"/>
            <w:vMerge w:val="continue"/>
            <w:vAlign w:val="center"/>
          </w:tcPr>
          <w:p>
            <w:pPr>
              <w:spacing w:line="291" w:lineRule="exact"/>
              <w:jc w:val="center"/>
              <w:rPr>
                <w:rFonts w:hAnsi="宋体"/>
                <w:szCs w:val="21"/>
              </w:rPr>
            </w:pPr>
          </w:p>
        </w:tc>
        <w:tc>
          <w:tcPr>
            <w:tcW w:w="3438" w:type="pct"/>
            <w:vAlign w:val="center"/>
          </w:tcPr>
          <w:p>
            <w:pPr>
              <w:spacing w:line="291" w:lineRule="exact"/>
              <w:rPr>
                <w:rFonts w:hAnsi="宋体"/>
                <w:szCs w:val="21"/>
              </w:rPr>
            </w:pPr>
            <w:r>
              <w:rPr>
                <w:rFonts w:hint="eastAsia" w:hAnsi="宋体"/>
                <w:szCs w:val="21"/>
              </w:rPr>
              <w:t>形式：发送邮件至招标代理机构邮箱。</w:t>
            </w:r>
          </w:p>
          <w:p>
            <w:pPr>
              <w:spacing w:line="291" w:lineRule="exact"/>
              <w:rPr>
                <w:rFonts w:hAnsi="宋体"/>
                <w:szCs w:val="21"/>
              </w:rPr>
            </w:pPr>
            <w:r>
              <w:rPr>
                <w:rFonts w:hint="eastAsia" w:hAnsi="宋体"/>
                <w:szCs w:val="21"/>
              </w:rPr>
              <w:t>招标代理机构邮箱：clgczx2018@163.com。</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2.3.1</w:t>
            </w:r>
          </w:p>
        </w:tc>
        <w:tc>
          <w:tcPr>
            <w:tcW w:w="1059" w:type="pct"/>
            <w:vAlign w:val="center"/>
          </w:tcPr>
          <w:p>
            <w:pPr>
              <w:autoSpaceDE w:val="0"/>
              <w:autoSpaceDN w:val="0"/>
              <w:adjustRightInd w:val="0"/>
              <w:spacing w:line="291" w:lineRule="exact"/>
              <w:jc w:val="center"/>
              <w:rPr>
                <w:bCs/>
                <w:szCs w:val="21"/>
                <w:lang w:val="zh-CN"/>
              </w:rPr>
            </w:pPr>
            <w:r>
              <w:rPr>
                <w:bCs/>
                <w:szCs w:val="21"/>
                <w:lang w:val="zh-CN"/>
              </w:rPr>
              <w:t>招标文件的修改</w:t>
            </w:r>
          </w:p>
          <w:p>
            <w:pPr>
              <w:autoSpaceDE w:val="0"/>
              <w:autoSpaceDN w:val="0"/>
              <w:adjustRightInd w:val="0"/>
              <w:spacing w:line="291" w:lineRule="exact"/>
              <w:jc w:val="center"/>
              <w:rPr>
                <w:bCs/>
                <w:szCs w:val="21"/>
                <w:lang w:val="zh-CN"/>
              </w:rPr>
            </w:pPr>
            <w:r>
              <w:rPr>
                <w:rFonts w:hint="eastAsia"/>
                <w:bCs/>
                <w:szCs w:val="21"/>
                <w:lang w:val="zh-CN"/>
              </w:rPr>
              <w:t>发出的形式</w:t>
            </w:r>
          </w:p>
        </w:tc>
        <w:tc>
          <w:tcPr>
            <w:tcW w:w="3438" w:type="pct"/>
            <w:vAlign w:val="center"/>
          </w:tcPr>
          <w:p>
            <w:pPr>
              <w:spacing w:line="291" w:lineRule="exact"/>
              <w:rPr>
                <w:rFonts w:hAnsi="宋体"/>
                <w:szCs w:val="21"/>
              </w:rPr>
            </w:pPr>
            <w:r>
              <w:rPr>
                <w:rFonts w:hint="eastAsia" w:hAnsi="宋体"/>
                <w:szCs w:val="21"/>
              </w:rPr>
              <w:t>以书面的形式发送至changlizixun@163.com（密码：20171127），由投标人自行下载。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Merge w:val="restar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2.3.2</w:t>
            </w:r>
          </w:p>
        </w:tc>
        <w:tc>
          <w:tcPr>
            <w:tcW w:w="1059" w:type="pct"/>
            <w:vMerge w:val="restart"/>
            <w:vAlign w:val="center"/>
          </w:tcPr>
          <w:p>
            <w:pPr>
              <w:spacing w:line="291" w:lineRule="exact"/>
              <w:jc w:val="center"/>
              <w:rPr>
                <w:rFonts w:hAnsi="宋体"/>
                <w:szCs w:val="21"/>
              </w:rPr>
            </w:pPr>
            <w:r>
              <w:rPr>
                <w:rFonts w:hint="eastAsia" w:hAnsi="宋体"/>
                <w:szCs w:val="21"/>
              </w:rPr>
              <w:t>投标人确认收到</w:t>
            </w:r>
          </w:p>
          <w:p>
            <w:pPr>
              <w:spacing w:line="291" w:lineRule="exact"/>
              <w:jc w:val="center"/>
              <w:rPr>
                <w:szCs w:val="21"/>
              </w:rPr>
            </w:pPr>
            <w:r>
              <w:rPr>
                <w:rFonts w:hint="eastAsia" w:hAnsi="宋体"/>
                <w:szCs w:val="21"/>
              </w:rPr>
              <w:t>招标文件修改</w:t>
            </w:r>
          </w:p>
        </w:tc>
        <w:tc>
          <w:tcPr>
            <w:tcW w:w="3438" w:type="pct"/>
            <w:vAlign w:val="center"/>
          </w:tcPr>
          <w:p>
            <w:pPr>
              <w:spacing w:line="291" w:lineRule="exact"/>
              <w:rPr>
                <w:rFonts w:hAnsi="宋体"/>
                <w:szCs w:val="21"/>
              </w:rPr>
            </w:pPr>
            <w:r>
              <w:rPr>
                <w:rFonts w:hint="eastAsia" w:hAnsi="宋体"/>
                <w:szCs w:val="21"/>
              </w:rPr>
              <w:t>时间：收到修改后24小时内（以发出时间为准）。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Merge w:val="continue"/>
            <w:vAlign w:val="center"/>
          </w:tcPr>
          <w:p>
            <w:pPr>
              <w:adjustRightInd w:val="0"/>
              <w:snapToGrid w:val="0"/>
              <w:spacing w:before="100" w:beforeAutospacing="1" w:after="100" w:afterAutospacing="1" w:line="291" w:lineRule="exact"/>
              <w:jc w:val="center"/>
              <w:rPr>
                <w:rFonts w:ascii="宋体" w:hAnsi="宋体"/>
                <w:szCs w:val="21"/>
              </w:rPr>
            </w:pPr>
          </w:p>
        </w:tc>
        <w:tc>
          <w:tcPr>
            <w:tcW w:w="1059" w:type="pct"/>
            <w:vMerge w:val="continue"/>
            <w:vAlign w:val="center"/>
          </w:tcPr>
          <w:p>
            <w:pPr>
              <w:spacing w:line="291" w:lineRule="exact"/>
              <w:jc w:val="center"/>
              <w:rPr>
                <w:rFonts w:hAnsi="宋体"/>
                <w:szCs w:val="21"/>
              </w:rPr>
            </w:pPr>
          </w:p>
        </w:tc>
        <w:tc>
          <w:tcPr>
            <w:tcW w:w="3438" w:type="pct"/>
            <w:vAlign w:val="center"/>
          </w:tcPr>
          <w:p>
            <w:pPr>
              <w:spacing w:line="291" w:lineRule="exact"/>
              <w:rPr>
                <w:rFonts w:hAnsi="宋体"/>
                <w:szCs w:val="21"/>
              </w:rPr>
            </w:pPr>
            <w:r>
              <w:rPr>
                <w:rFonts w:hint="eastAsia" w:hAnsi="宋体"/>
                <w:szCs w:val="21"/>
              </w:rPr>
              <w:t>形式：发送邮件至招标代理机构邮箱。</w:t>
            </w:r>
          </w:p>
          <w:p>
            <w:pPr>
              <w:spacing w:line="291" w:lineRule="exact"/>
              <w:rPr>
                <w:rFonts w:hAnsi="宋体"/>
                <w:szCs w:val="21"/>
              </w:rPr>
            </w:pPr>
            <w:r>
              <w:rPr>
                <w:rFonts w:hint="eastAsia" w:hAnsi="宋体"/>
                <w:szCs w:val="21"/>
              </w:rPr>
              <w:t>招标代理机构邮箱：clgczx2018@163.com。</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trHeight w:val="1093" w:hRule="atLeast"/>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3.1.1</w:t>
            </w:r>
          </w:p>
        </w:tc>
        <w:tc>
          <w:tcPr>
            <w:tcW w:w="1059" w:type="pct"/>
            <w:vAlign w:val="center"/>
          </w:tcPr>
          <w:p>
            <w:pPr>
              <w:spacing w:line="291" w:lineRule="exact"/>
              <w:jc w:val="center"/>
              <w:rPr>
                <w:rFonts w:hAnsi="宋体"/>
                <w:szCs w:val="21"/>
              </w:rPr>
            </w:pPr>
            <w:r>
              <w:rPr>
                <w:rFonts w:hint="eastAsia" w:hAnsi="宋体"/>
                <w:szCs w:val="21"/>
              </w:rPr>
              <w:t>构成投标文件的</w:t>
            </w:r>
          </w:p>
          <w:p>
            <w:pPr>
              <w:spacing w:line="291" w:lineRule="exact"/>
              <w:jc w:val="center"/>
              <w:rPr>
                <w:szCs w:val="21"/>
              </w:rPr>
            </w:pPr>
            <w:r>
              <w:rPr>
                <w:rFonts w:hint="eastAsia" w:hAnsi="宋体"/>
                <w:szCs w:val="21"/>
              </w:rPr>
              <w:t>其他材料</w:t>
            </w:r>
          </w:p>
        </w:tc>
        <w:tc>
          <w:tcPr>
            <w:tcW w:w="3438" w:type="pct"/>
            <w:vAlign w:val="center"/>
          </w:tcPr>
          <w:p>
            <w:pPr>
              <w:spacing w:line="291" w:lineRule="exact"/>
              <w:rPr>
                <w:rFonts w:ascii="宋体" w:hAnsi="宋体" w:cs="宋体"/>
                <w:szCs w:val="21"/>
              </w:rPr>
            </w:pPr>
            <w:r>
              <w:rPr>
                <w:rFonts w:hint="eastAsia" w:ascii="黑体" w:hAnsi="黑体" w:eastAsia="黑体"/>
                <w:szCs w:val="21"/>
              </w:rPr>
              <w:t>投标人随同投标文件同时递交“投标人须知附件七：投标文件公示内容格式”可编辑的word文档电子版，载体为U盘（可读），应与投标文件第二个信封（报价文件）密封在一个封套中递交</w:t>
            </w:r>
            <w:r>
              <w:rPr>
                <w:rFonts w:hint="eastAsia"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trHeight w:val="718" w:hRule="atLeast"/>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3.2.1</w:t>
            </w:r>
          </w:p>
        </w:tc>
        <w:tc>
          <w:tcPr>
            <w:tcW w:w="1059" w:type="pct"/>
            <w:vAlign w:val="center"/>
          </w:tcPr>
          <w:p>
            <w:pPr>
              <w:spacing w:line="291" w:lineRule="exact"/>
              <w:jc w:val="center"/>
              <w:rPr>
                <w:rFonts w:hAnsi="宋体"/>
                <w:szCs w:val="21"/>
              </w:rPr>
            </w:pPr>
            <w:r>
              <w:rPr>
                <w:rFonts w:hAnsi="宋体"/>
                <w:szCs w:val="21"/>
              </w:rPr>
              <w:t>增值税税金的</w:t>
            </w:r>
          </w:p>
          <w:p>
            <w:pPr>
              <w:spacing w:line="291" w:lineRule="exact"/>
              <w:jc w:val="center"/>
              <w:rPr>
                <w:rFonts w:hAnsi="宋体"/>
                <w:szCs w:val="21"/>
              </w:rPr>
            </w:pPr>
            <w:r>
              <w:rPr>
                <w:rFonts w:hAnsi="宋体"/>
                <w:szCs w:val="21"/>
              </w:rPr>
              <w:t>计算方法</w:t>
            </w:r>
          </w:p>
        </w:tc>
        <w:tc>
          <w:tcPr>
            <w:tcW w:w="3438" w:type="pct"/>
            <w:vAlign w:val="center"/>
          </w:tcPr>
          <w:p>
            <w:pPr>
              <w:adjustRightInd w:val="0"/>
              <w:snapToGrid w:val="0"/>
              <w:spacing w:before="100" w:beforeAutospacing="1" w:after="100" w:afterAutospacing="1" w:line="291" w:lineRule="exact"/>
              <w:jc w:val="left"/>
              <w:rPr>
                <w:rFonts w:ascii="宋体" w:hAnsi="宋体"/>
                <w:szCs w:val="21"/>
              </w:rPr>
            </w:pPr>
            <w:r>
              <w:rPr>
                <w:rFonts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3.2.3</w:t>
            </w:r>
          </w:p>
        </w:tc>
        <w:tc>
          <w:tcPr>
            <w:tcW w:w="1059"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报价方式</w:t>
            </w:r>
          </w:p>
        </w:tc>
        <w:tc>
          <w:tcPr>
            <w:tcW w:w="3438" w:type="pct"/>
            <w:vAlign w:val="center"/>
          </w:tcPr>
          <w:p>
            <w:pPr>
              <w:autoSpaceDE w:val="0"/>
              <w:autoSpaceDN w:val="0"/>
              <w:adjustRightInd w:val="0"/>
              <w:spacing w:line="291" w:lineRule="exact"/>
              <w:rPr>
                <w:kern w:val="0"/>
                <w:szCs w:val="21"/>
                <w:lang w:val="zh-CN"/>
              </w:rPr>
            </w:pPr>
            <w:r>
              <w:rPr>
                <w:rFonts w:ascii="宋体" w:hAnsi="宋体" w:cs="宋体"/>
                <w:kern w:val="0"/>
                <w:szCs w:val="21"/>
                <w:lang w:val="zh-CN"/>
              </w:rPr>
              <w:fldChar w:fldCharType="begin"/>
            </w:r>
            <w:r>
              <w:rPr>
                <w:rFonts w:hint="eastAsia" w:ascii="宋体" w:hAnsi="宋体" w:cs="宋体"/>
                <w:kern w:val="0"/>
                <w:szCs w:val="21"/>
                <w:lang w:val="zh-CN"/>
              </w:rPr>
              <w:instrText xml:space="preserve">eq \o\ac(□,√)</w:instrText>
            </w:r>
            <w:r>
              <w:rPr>
                <w:rFonts w:ascii="宋体" w:hAnsi="宋体" w:cs="宋体"/>
                <w:kern w:val="0"/>
                <w:szCs w:val="21"/>
                <w:lang w:val="zh-CN"/>
              </w:rPr>
              <w:fldChar w:fldCharType="end"/>
            </w:r>
            <w:r>
              <w:rPr>
                <w:rFonts w:hint="eastAsia" w:hAnsi="宋体"/>
                <w:kern w:val="0"/>
                <w:szCs w:val="21"/>
                <w:lang w:val="zh-CN"/>
              </w:rPr>
              <w:t>总价</w:t>
            </w:r>
          </w:p>
          <w:p>
            <w:pPr>
              <w:pStyle w:val="74"/>
              <w:shd w:val="clear" w:color="auto" w:fill="auto"/>
              <w:spacing w:line="291" w:lineRule="exact"/>
              <w:ind w:firstLine="0"/>
              <w:jc w:val="both"/>
              <w:rPr>
                <w:sz w:val="21"/>
                <w:szCs w:val="21"/>
              </w:rPr>
            </w:pPr>
            <w:r>
              <w:rPr>
                <w:rFonts w:hint="eastAsia"/>
                <w:sz w:val="21"/>
                <w:szCs w:val="21"/>
              </w:rPr>
              <w:t>□单价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hint="eastAsia" w:ascii="宋体" w:hAnsi="宋体"/>
                <w:szCs w:val="21"/>
              </w:rPr>
              <w:t>3.2.4</w:t>
            </w:r>
          </w:p>
        </w:tc>
        <w:tc>
          <w:tcPr>
            <w:tcW w:w="1059" w:type="pct"/>
            <w:vAlign w:val="center"/>
          </w:tcPr>
          <w:p>
            <w:pPr>
              <w:spacing w:line="291" w:lineRule="exact"/>
              <w:jc w:val="center"/>
              <w:rPr>
                <w:rFonts w:ascii="宋体" w:hAnsi="宋体"/>
                <w:szCs w:val="21"/>
              </w:rPr>
            </w:pPr>
            <w:r>
              <w:rPr>
                <w:rFonts w:ascii="宋体" w:hAnsi="宋体"/>
                <w:szCs w:val="21"/>
                <w:lang w:bidi="en-US"/>
              </w:rPr>
              <w:t>最高投标限价</w:t>
            </w:r>
          </w:p>
        </w:tc>
        <w:tc>
          <w:tcPr>
            <w:tcW w:w="3438" w:type="pct"/>
            <w:vAlign w:val="center"/>
          </w:tcPr>
          <w:p>
            <w:pPr>
              <w:spacing w:line="291" w:lineRule="exact"/>
              <w:rPr>
                <w:szCs w:val="21"/>
              </w:rPr>
            </w:pPr>
            <w:r>
              <w:rPr>
                <w:szCs w:val="21"/>
              </w:rPr>
              <w:t>无</w:t>
            </w:r>
          </w:p>
          <w:p>
            <w:pPr>
              <w:spacing w:line="291" w:lineRule="exact"/>
              <w:rPr>
                <w:szCs w:val="21"/>
              </w:rPr>
            </w:pPr>
            <w:r>
              <w:rPr>
                <w:szCs w:val="21"/>
              </w:rPr>
              <w:fldChar w:fldCharType="begin"/>
            </w:r>
            <w:r>
              <w:rPr>
                <w:rFonts w:hint="eastAsia"/>
                <w:szCs w:val="21"/>
              </w:rPr>
              <w:instrText xml:space="preserve">eq \o\ac(□,√)</w:instrText>
            </w:r>
            <w:r>
              <w:rPr>
                <w:szCs w:val="21"/>
              </w:rPr>
              <w:fldChar w:fldCharType="end"/>
            </w:r>
            <w:r>
              <w:rPr>
                <w:rFonts w:hint="eastAsia"/>
                <w:szCs w:val="21"/>
              </w:rPr>
              <w:t>有，</w:t>
            </w:r>
            <w:r>
              <w:rPr>
                <w:rFonts w:ascii="宋体" w:hAnsi="宋体"/>
                <w:szCs w:val="21"/>
                <w:lang w:bidi="en-US"/>
              </w:rPr>
              <w:t>最高投标限价</w:t>
            </w:r>
            <w:r>
              <w:rPr>
                <w:rFonts w:hint="eastAsia" w:ascii="宋体" w:hAnsi="宋体"/>
                <w:szCs w:val="21"/>
                <w:u w:val="single"/>
                <w:lang w:bidi="en-US"/>
              </w:rPr>
              <w:t xml:space="preserve">  3026100   </w:t>
            </w:r>
            <w:r>
              <w:rPr>
                <w:rFonts w:hint="eastAsia"/>
                <w:szCs w:val="21"/>
              </w:rPr>
              <w:t>元（其中含暂列金额</w:t>
            </w:r>
            <w:r>
              <w:rPr>
                <w:rFonts w:hint="eastAsia"/>
                <w:szCs w:val="21"/>
                <w:u w:val="single"/>
              </w:rPr>
              <w:t>0</w:t>
            </w:r>
            <w:r>
              <w:rPr>
                <w:rFonts w:hint="eastAsia"/>
                <w:szCs w:val="21"/>
              </w:rPr>
              <w:t>元）。</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40" w:lineRule="exact"/>
              <w:jc w:val="center"/>
              <w:rPr>
                <w:rFonts w:hAnsi="宋体"/>
                <w:szCs w:val="21"/>
              </w:rPr>
            </w:pPr>
            <w:r>
              <w:rPr>
                <w:rFonts w:ascii="宋体" w:hAnsi="宋体"/>
                <w:szCs w:val="21"/>
              </w:rPr>
              <w:t>3.2.</w:t>
            </w:r>
            <w:r>
              <w:rPr>
                <w:rFonts w:hint="eastAsia" w:ascii="宋体" w:hAnsi="宋体"/>
                <w:szCs w:val="21"/>
              </w:rPr>
              <w:t>5</w:t>
            </w:r>
          </w:p>
        </w:tc>
        <w:tc>
          <w:tcPr>
            <w:tcW w:w="1059" w:type="pct"/>
            <w:vAlign w:val="center"/>
          </w:tcPr>
          <w:p>
            <w:pPr>
              <w:spacing w:line="240" w:lineRule="exact"/>
              <w:jc w:val="center"/>
              <w:rPr>
                <w:rFonts w:hAnsi="宋体"/>
                <w:szCs w:val="21"/>
              </w:rPr>
            </w:pPr>
            <w:r>
              <w:rPr>
                <w:rFonts w:hAnsi="宋体"/>
                <w:szCs w:val="21"/>
              </w:rPr>
              <w:t>投标报价的</w:t>
            </w:r>
          </w:p>
          <w:p>
            <w:pPr>
              <w:spacing w:line="240" w:lineRule="exact"/>
              <w:jc w:val="center"/>
              <w:rPr>
                <w:rFonts w:hAnsi="宋体"/>
                <w:szCs w:val="21"/>
              </w:rPr>
            </w:pPr>
            <w:r>
              <w:rPr>
                <w:rFonts w:hAnsi="宋体"/>
                <w:szCs w:val="21"/>
              </w:rPr>
              <w:t>其他要求</w:t>
            </w:r>
          </w:p>
        </w:tc>
        <w:tc>
          <w:tcPr>
            <w:tcW w:w="3438" w:type="pct"/>
            <w:vAlign w:val="center"/>
          </w:tcPr>
          <w:p>
            <w:pPr>
              <w:spacing w:line="240" w:lineRule="exact"/>
              <w:rPr>
                <w:rFonts w:hAnsi="宋体"/>
                <w:szCs w:val="21"/>
              </w:rPr>
            </w:pPr>
            <w:r>
              <w:rPr>
                <w:rFonts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3.3.1</w:t>
            </w:r>
          </w:p>
        </w:tc>
        <w:tc>
          <w:tcPr>
            <w:tcW w:w="1059" w:type="pct"/>
            <w:vAlign w:val="center"/>
          </w:tcPr>
          <w:p>
            <w:pPr>
              <w:spacing w:line="291" w:lineRule="exact"/>
              <w:jc w:val="center"/>
              <w:rPr>
                <w:szCs w:val="21"/>
              </w:rPr>
            </w:pPr>
            <w:r>
              <w:rPr>
                <w:rFonts w:hint="eastAsia" w:hAnsi="宋体"/>
                <w:szCs w:val="21"/>
              </w:rPr>
              <w:t>投标有效期</w:t>
            </w:r>
          </w:p>
        </w:tc>
        <w:tc>
          <w:tcPr>
            <w:tcW w:w="3438" w:type="pct"/>
            <w:vAlign w:val="center"/>
          </w:tcPr>
          <w:p>
            <w:pPr>
              <w:spacing w:line="291" w:lineRule="exact"/>
              <w:rPr>
                <w:szCs w:val="21"/>
              </w:rPr>
            </w:pP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3.4.1</w:t>
            </w:r>
          </w:p>
        </w:tc>
        <w:tc>
          <w:tcPr>
            <w:tcW w:w="1059" w:type="pct"/>
            <w:vAlign w:val="center"/>
          </w:tcPr>
          <w:p>
            <w:pPr>
              <w:spacing w:line="291" w:lineRule="exact"/>
              <w:jc w:val="center"/>
              <w:rPr>
                <w:rFonts w:hAnsi="宋体"/>
                <w:szCs w:val="21"/>
              </w:rPr>
            </w:pPr>
            <w:r>
              <w:rPr>
                <w:rFonts w:hint="eastAsia" w:hAnsi="宋体"/>
                <w:szCs w:val="21"/>
              </w:rPr>
              <w:t>投标保证金</w:t>
            </w:r>
          </w:p>
        </w:tc>
        <w:tc>
          <w:tcPr>
            <w:tcW w:w="3438" w:type="pct"/>
          </w:tcPr>
          <w:p>
            <w:pPr>
              <w:spacing w:line="291" w:lineRule="exact"/>
              <w:rPr>
                <w:rFonts w:hAnsi="宋体"/>
                <w:szCs w:val="21"/>
              </w:rPr>
            </w:pPr>
            <w:r>
              <w:rPr>
                <w:rFonts w:hint="eastAsia" w:hAnsi="宋体"/>
                <w:szCs w:val="21"/>
              </w:rPr>
              <w:t>投标保证金的金额：</w:t>
            </w:r>
            <w:r>
              <w:rPr>
                <w:rFonts w:hint="eastAsia" w:ascii="黑体" w:hAnsi="黑体" w:eastAsia="黑体"/>
                <w:szCs w:val="21"/>
                <w:u w:val="single"/>
              </w:rPr>
              <w:t>3万元/投标人</w:t>
            </w:r>
            <w:r>
              <w:rPr>
                <w:rFonts w:hint="eastAsia" w:hAnsi="宋体"/>
                <w:szCs w:val="21"/>
              </w:rPr>
              <w:t>。</w:t>
            </w:r>
          </w:p>
          <w:p>
            <w:pPr>
              <w:spacing w:line="291" w:lineRule="exact"/>
              <w:rPr>
                <w:rFonts w:hAnsi="宋体"/>
                <w:szCs w:val="21"/>
              </w:rPr>
            </w:pPr>
            <w:r>
              <w:rPr>
                <w:rFonts w:hint="eastAsia" w:hAnsi="宋体"/>
                <w:szCs w:val="21"/>
              </w:rPr>
              <w:t>投标保证金的形式：</w:t>
            </w:r>
            <w:r>
              <w:rPr>
                <w:rFonts w:hint="eastAsia" w:ascii="黑体" w:hAnsi="黑体" w:eastAsia="黑体"/>
                <w:szCs w:val="21"/>
                <w:u w:val="single"/>
              </w:rPr>
              <w:t>现金、支票或银行保函。</w:t>
            </w:r>
          </w:p>
          <w:p>
            <w:pPr>
              <w:spacing w:line="291" w:lineRule="exact"/>
              <w:rPr>
                <w:rFonts w:hAnsi="宋体"/>
                <w:szCs w:val="21"/>
              </w:rPr>
            </w:pPr>
            <w:r>
              <w:rPr>
                <w:rFonts w:hint="eastAsia" w:hAnsi="宋体"/>
                <w:szCs w:val="21"/>
              </w:rPr>
              <w:t>（1）若采用现金或支票形式的：</w:t>
            </w:r>
            <w:r>
              <w:rPr>
                <w:rFonts w:hAnsi="宋体"/>
                <w:szCs w:val="21"/>
              </w:rPr>
              <w:t>投标人应在</w:t>
            </w:r>
            <w:r>
              <w:rPr>
                <w:rFonts w:hint="eastAsia" w:ascii="黑体" w:hAnsi="黑体" w:eastAsia="黑体"/>
                <w:szCs w:val="21"/>
              </w:rPr>
              <w:t>投标截止时间前</w:t>
            </w:r>
            <w:r>
              <w:rPr>
                <w:rFonts w:hAnsi="宋体"/>
                <w:szCs w:val="21"/>
              </w:rPr>
              <w:t>，将投标保证金由投标人的基本账户一次性转入并到达招标人指定账户，否则视为投标保证金无效。</w:t>
            </w:r>
          </w:p>
          <w:p>
            <w:pPr>
              <w:spacing w:line="291" w:lineRule="exact"/>
              <w:rPr>
                <w:rFonts w:hAnsi="宋体"/>
                <w:szCs w:val="21"/>
              </w:rPr>
            </w:pPr>
            <w:r>
              <w:rPr>
                <w:rFonts w:hAnsi="宋体"/>
                <w:szCs w:val="21"/>
              </w:rPr>
              <w:t>招标人指定的开户银行及账号如下：</w:t>
            </w:r>
          </w:p>
          <w:p>
            <w:pPr>
              <w:spacing w:line="291" w:lineRule="exact"/>
              <w:ind w:firstLine="420" w:firstLineChars="200"/>
              <w:rPr>
                <w:rFonts w:hAnsi="宋体"/>
                <w:szCs w:val="21"/>
              </w:rPr>
            </w:pPr>
            <w:r>
              <w:rPr>
                <w:rFonts w:hint="eastAsia" w:hAnsi="宋体"/>
                <w:szCs w:val="21"/>
              </w:rPr>
              <w:t>招标代理机构开户名称：</w:t>
            </w:r>
            <w:r>
              <w:rPr>
                <w:rFonts w:hint="eastAsia" w:ascii="黑体" w:hAnsi="黑体" w:eastAsia="黑体"/>
                <w:szCs w:val="21"/>
                <w:u w:val="single"/>
              </w:rPr>
              <w:t>吉林省常利工程信息咨询有限公司</w:t>
            </w:r>
          </w:p>
          <w:p>
            <w:pPr>
              <w:spacing w:line="291" w:lineRule="exact"/>
              <w:ind w:firstLine="420" w:firstLineChars="200"/>
              <w:rPr>
                <w:rFonts w:hAnsi="宋体"/>
                <w:szCs w:val="21"/>
              </w:rPr>
            </w:pPr>
            <w:r>
              <w:rPr>
                <w:rFonts w:hint="eastAsia" w:hAnsi="宋体"/>
                <w:szCs w:val="21"/>
              </w:rPr>
              <w:t>开户银行：</w:t>
            </w:r>
            <w:r>
              <w:rPr>
                <w:rFonts w:hint="eastAsia" w:ascii="黑体" w:hAnsi="黑体" w:eastAsia="黑体"/>
                <w:szCs w:val="21"/>
                <w:u w:val="single"/>
              </w:rPr>
              <w:t>中国建设银行股份有限公司长春高新技术产业开发区支行</w:t>
            </w:r>
            <w:r>
              <w:rPr>
                <w:rFonts w:ascii="黑体" w:hAnsi="黑体" w:eastAsia="黑体"/>
                <w:szCs w:val="21"/>
                <w:u w:val="single"/>
              </w:rPr>
              <w:t xml:space="preserve"> </w:t>
            </w:r>
          </w:p>
          <w:p>
            <w:pPr>
              <w:spacing w:line="291" w:lineRule="exact"/>
              <w:ind w:firstLine="420" w:firstLineChars="200"/>
              <w:rPr>
                <w:rFonts w:hAnsi="宋体"/>
                <w:szCs w:val="21"/>
              </w:rPr>
            </w:pPr>
            <w:r>
              <w:rPr>
                <w:rFonts w:hint="eastAsia" w:hAnsi="宋体"/>
                <w:szCs w:val="21"/>
              </w:rPr>
              <w:t>银行账号：</w:t>
            </w:r>
            <w:r>
              <w:rPr>
                <w:rFonts w:ascii="黑体" w:hAnsi="黑体" w:eastAsia="黑体"/>
                <w:szCs w:val="21"/>
                <w:u w:val="single"/>
              </w:rPr>
              <w:t>22050137010000000974</w:t>
            </w:r>
            <w:r>
              <w:rPr>
                <w:rFonts w:hint="eastAsia" w:ascii="黑体" w:hAnsi="黑体" w:eastAsia="黑体"/>
                <w:szCs w:val="21"/>
              </w:rPr>
              <w:t>（电汇及转账方式）</w:t>
            </w:r>
          </w:p>
          <w:p>
            <w:pPr>
              <w:spacing w:line="291" w:lineRule="exact"/>
              <w:ind w:firstLine="420" w:firstLineChars="200"/>
              <w:rPr>
                <w:rFonts w:hAnsi="宋体"/>
                <w:szCs w:val="21"/>
              </w:rPr>
            </w:pPr>
            <w:r>
              <w:rPr>
                <w:rFonts w:hint="eastAsia" w:hAnsi="宋体"/>
                <w:szCs w:val="21"/>
              </w:rPr>
              <w:t>联 系 人：</w:t>
            </w:r>
            <w:r>
              <w:rPr>
                <w:rFonts w:hint="eastAsia" w:ascii="黑体" w:hAnsi="黑体" w:eastAsia="黑体"/>
                <w:szCs w:val="21"/>
              </w:rPr>
              <w:t>徐爽</w:t>
            </w:r>
            <w:r>
              <w:rPr>
                <w:rFonts w:hint="eastAsia" w:hAnsi="宋体"/>
                <w:szCs w:val="21"/>
              </w:rPr>
              <w:t xml:space="preserve">      咨询电话：</w:t>
            </w:r>
            <w:r>
              <w:rPr>
                <w:rFonts w:ascii="黑体" w:hAnsi="黑体" w:eastAsia="黑体"/>
                <w:szCs w:val="21"/>
              </w:rPr>
              <w:t>0431-81902477</w:t>
            </w:r>
          </w:p>
          <w:p>
            <w:pPr>
              <w:spacing w:line="291" w:lineRule="exact"/>
              <w:ind w:firstLine="420" w:firstLineChars="200"/>
              <w:rPr>
                <w:rFonts w:hAnsi="宋体"/>
                <w:szCs w:val="21"/>
              </w:rPr>
            </w:pPr>
            <w:r>
              <w:rPr>
                <w:rFonts w:hAnsi="宋体"/>
                <w:szCs w:val="21"/>
              </w:rPr>
              <w:t>银行转账业务备注一栏可填写：</w:t>
            </w:r>
            <w:r>
              <w:rPr>
                <w:rFonts w:hint="eastAsia" w:hAnsi="宋体"/>
                <w:szCs w:val="21"/>
              </w:rPr>
              <w:t>“</w:t>
            </w:r>
            <w:r>
              <w:rPr>
                <w:rFonts w:hint="eastAsia" w:ascii="黑体" w:hAnsi="黑体" w:eastAsia="黑体"/>
                <w:szCs w:val="21"/>
                <w:u w:val="single"/>
              </w:rPr>
              <w:t>扎突设计投标保证金</w:t>
            </w:r>
            <w:r>
              <w:rPr>
                <w:rFonts w:hint="eastAsia" w:hAnsi="宋体"/>
                <w:szCs w:val="21"/>
              </w:rPr>
              <w:t>”</w:t>
            </w:r>
          </w:p>
          <w:p>
            <w:pPr>
              <w:spacing w:line="291" w:lineRule="exact"/>
              <w:rPr>
                <w:rFonts w:hAnsi="宋体"/>
                <w:szCs w:val="21"/>
              </w:rPr>
            </w:pPr>
            <w:r>
              <w:rPr>
                <w:rFonts w:hint="eastAsia" w:hAnsi="宋体"/>
                <w:szCs w:val="21"/>
              </w:rPr>
              <w:t>（2）</w:t>
            </w:r>
            <w:r>
              <w:rPr>
                <w:rFonts w:hAnsi="宋体"/>
                <w:szCs w:val="21"/>
              </w:rPr>
              <w:t>若采用银行保函，则应由国有商业银行或全国性商业银行开具， 银行应为地市级分、支行以上级别，并采用招标文件提供的格式</w:t>
            </w:r>
            <w:r>
              <w:rPr>
                <w:rFonts w:hint="eastAsia" w:hAnsi="宋体"/>
                <w:szCs w:val="21"/>
              </w:rPr>
              <w:t>，</w:t>
            </w:r>
            <w:r>
              <w:rPr>
                <w:rFonts w:hAnsi="宋体"/>
                <w:szCs w:val="21"/>
              </w:rPr>
              <w:t>银行保函复印件装订在投标文件内</w:t>
            </w:r>
            <w:r>
              <w:rPr>
                <w:rFonts w:ascii="黑体" w:hAnsi="黑体" w:eastAsia="黑体"/>
                <w:szCs w:val="21"/>
              </w:rPr>
              <w:t>。</w:t>
            </w:r>
          </w:p>
          <w:p>
            <w:pPr>
              <w:spacing w:line="291" w:lineRule="exact"/>
              <w:rPr>
                <w:rFonts w:hAnsi="宋体"/>
                <w:szCs w:val="21"/>
              </w:rPr>
            </w:pPr>
            <w:r>
              <w:rPr>
                <w:rFonts w:hAnsi="宋体"/>
                <w:szCs w:val="21"/>
              </w:rPr>
              <w:t>无论采取何种形式的投标保证金，投标保证金有效期均应与投标有效期一致。招标人如果按本章第 3.3.2 项的规定延长了投标有效期，则投标保证金的有效期也相应延长。</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3.4.3</w:t>
            </w:r>
          </w:p>
        </w:tc>
        <w:tc>
          <w:tcPr>
            <w:tcW w:w="1059" w:type="pct"/>
            <w:vAlign w:val="center"/>
          </w:tcPr>
          <w:p>
            <w:pPr>
              <w:spacing w:line="291" w:lineRule="exact"/>
              <w:jc w:val="center"/>
              <w:rPr>
                <w:rFonts w:ascii="宋体" w:hAnsi="宋体"/>
                <w:szCs w:val="21"/>
              </w:rPr>
            </w:pPr>
            <w:r>
              <w:rPr>
                <w:rFonts w:ascii="宋体" w:hAnsi="宋体"/>
                <w:szCs w:val="21"/>
              </w:rPr>
              <w:t>投标保证金的</w:t>
            </w:r>
          </w:p>
          <w:p>
            <w:pPr>
              <w:spacing w:line="291" w:lineRule="exact"/>
              <w:jc w:val="center"/>
              <w:rPr>
                <w:rFonts w:hAnsi="宋体"/>
                <w:szCs w:val="21"/>
              </w:rPr>
            </w:pPr>
            <w:r>
              <w:rPr>
                <w:rFonts w:ascii="宋体" w:hAnsi="宋体"/>
                <w:szCs w:val="21"/>
              </w:rPr>
              <w:t>利息计算原则</w:t>
            </w:r>
          </w:p>
        </w:tc>
        <w:tc>
          <w:tcPr>
            <w:tcW w:w="3438" w:type="pct"/>
            <w:vAlign w:val="center"/>
          </w:tcPr>
          <w:p>
            <w:pPr>
              <w:adjustRightInd w:val="0"/>
              <w:snapToGrid w:val="0"/>
              <w:spacing w:line="291" w:lineRule="exact"/>
              <w:jc w:val="left"/>
              <w:rPr>
                <w:rFonts w:ascii="宋体" w:hAnsi="宋体"/>
                <w:szCs w:val="21"/>
              </w:rPr>
            </w:pPr>
            <w:r>
              <w:rPr>
                <w:rFonts w:hint="eastAsia"/>
                <w:szCs w:val="21"/>
              </w:rPr>
              <w:t>（1）</w:t>
            </w:r>
            <w:r>
              <w:rPr>
                <w:szCs w:val="21"/>
              </w:rPr>
              <w:t>计算利息的起始日期为投标截止当日，终止日期为招标人退还投标保证金日期的前一日；</w:t>
            </w:r>
          </w:p>
          <w:p>
            <w:pPr>
              <w:adjustRightInd w:val="0"/>
              <w:snapToGrid w:val="0"/>
              <w:spacing w:line="291" w:lineRule="exact"/>
              <w:jc w:val="left"/>
              <w:rPr>
                <w:rFonts w:ascii="宋体" w:hAnsi="宋体"/>
                <w:szCs w:val="21"/>
              </w:rPr>
            </w:pPr>
            <w:r>
              <w:rPr>
                <w:rFonts w:hint="eastAsia"/>
                <w:szCs w:val="21"/>
              </w:rPr>
              <w:t>（2）</w:t>
            </w:r>
            <w:r>
              <w:rPr>
                <w:szCs w:val="21"/>
              </w:rPr>
              <w:t>投标保证金的利息按照第</w:t>
            </w:r>
            <w:r>
              <w:rPr>
                <w:rFonts w:hint="eastAsia"/>
                <w:szCs w:val="21"/>
              </w:rPr>
              <w:t>（1）</w:t>
            </w:r>
            <w:r>
              <w:rPr>
                <w:szCs w:val="21"/>
              </w:rPr>
              <w:t>款所述计息时间段内招标人指定汇入银行公告的活期存款利率计付，并扣除招标人汇款手续费</w:t>
            </w:r>
            <w:r>
              <w:rPr>
                <w:rFonts w:hint="eastAsia"/>
                <w:szCs w:val="21"/>
              </w:rPr>
              <w:t>；</w:t>
            </w:r>
          </w:p>
          <w:p>
            <w:pPr>
              <w:tabs>
                <w:tab w:val="left" w:pos="410"/>
              </w:tabs>
              <w:spacing w:line="291" w:lineRule="exact"/>
              <w:jc w:val="left"/>
              <w:rPr>
                <w:rFonts w:ascii="宋体" w:hAnsi="宋体" w:cs="宋体"/>
                <w:szCs w:val="21"/>
              </w:rPr>
            </w:pPr>
            <w:r>
              <w:rPr>
                <w:rFonts w:hint="eastAsia"/>
                <w:szCs w:val="21"/>
              </w:rPr>
              <w:t>（3）</w:t>
            </w:r>
            <w:r>
              <w:rPr>
                <w:szCs w:val="21"/>
              </w:rPr>
              <w:t>利息金额计算至分位，分以下尾数四舍五入。</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60" w:lineRule="exact"/>
              <w:jc w:val="center"/>
              <w:rPr>
                <w:rFonts w:ascii="宋体" w:hAnsi="宋体"/>
                <w:szCs w:val="21"/>
              </w:rPr>
            </w:pPr>
            <w:r>
              <w:rPr>
                <w:rFonts w:ascii="宋体" w:hAnsi="宋体"/>
                <w:szCs w:val="21"/>
              </w:rPr>
              <w:t>3.4.</w:t>
            </w:r>
            <w:r>
              <w:rPr>
                <w:rFonts w:hint="eastAsia" w:ascii="宋体" w:hAnsi="宋体"/>
                <w:szCs w:val="21"/>
              </w:rPr>
              <w:t>3</w:t>
            </w:r>
          </w:p>
        </w:tc>
        <w:tc>
          <w:tcPr>
            <w:tcW w:w="1059" w:type="pct"/>
            <w:vAlign w:val="center"/>
          </w:tcPr>
          <w:p>
            <w:pPr>
              <w:spacing w:line="260" w:lineRule="exact"/>
              <w:jc w:val="center"/>
              <w:rPr>
                <w:rFonts w:ascii="宋体" w:hAnsi="宋体"/>
                <w:szCs w:val="21"/>
              </w:rPr>
            </w:pPr>
            <w:r>
              <w:rPr>
                <w:rFonts w:hint="eastAsia" w:ascii="宋体" w:hAnsi="宋体"/>
                <w:szCs w:val="21"/>
              </w:rPr>
              <w:t>投标保证金的退还</w:t>
            </w:r>
          </w:p>
        </w:tc>
        <w:tc>
          <w:tcPr>
            <w:tcW w:w="3438" w:type="pct"/>
            <w:vAlign w:val="center"/>
          </w:tcPr>
          <w:p>
            <w:pPr>
              <w:adjustRightInd w:val="0"/>
              <w:snapToGrid w:val="0"/>
              <w:spacing w:line="260" w:lineRule="exact"/>
              <w:jc w:val="left"/>
              <w:rPr>
                <w:szCs w:val="21"/>
              </w:rPr>
            </w:pPr>
            <w:r>
              <w:rPr>
                <w:rFonts w:hint="eastAsia"/>
                <w:szCs w:val="21"/>
              </w:rPr>
              <w:t>招标代理机构在中标通知书发出后5日内向中标候选人以外的其他投标人退还投标保证金，与中标人签订书面合同后5日内向中标人和其他中标候选人退还投标保证金，投标保证金退还至投标人的基本账户。</w:t>
            </w:r>
          </w:p>
          <w:p>
            <w:pPr>
              <w:adjustRightInd w:val="0"/>
              <w:snapToGrid w:val="0"/>
              <w:spacing w:line="260" w:lineRule="exact"/>
              <w:jc w:val="left"/>
              <w:rPr>
                <w:szCs w:val="21"/>
              </w:rPr>
            </w:pPr>
            <w:r>
              <w:rPr>
                <w:szCs w:val="21"/>
              </w:rPr>
              <w:t>如投标人单位名称发生变化，需在</w:t>
            </w:r>
            <w:r>
              <w:rPr>
                <w:rFonts w:hint="eastAsia"/>
                <w:szCs w:val="21"/>
              </w:rPr>
              <w:t>变化后</w:t>
            </w:r>
            <w:r>
              <w:rPr>
                <w:szCs w:val="21"/>
              </w:rPr>
              <w:t>5个工作日内提交工商局出具的相关证明；如投标人开户行发生变化，需在</w:t>
            </w:r>
            <w:r>
              <w:rPr>
                <w:rFonts w:hint="eastAsia"/>
                <w:szCs w:val="21"/>
              </w:rPr>
              <w:t>变化后</w:t>
            </w:r>
            <w:r>
              <w:rPr>
                <w:szCs w:val="21"/>
              </w:rPr>
              <w:t>5个工作日内提交新开户行出具的</w:t>
            </w:r>
            <w:r>
              <w:rPr>
                <w:rFonts w:hint="eastAsia"/>
                <w:szCs w:val="21"/>
              </w:rPr>
              <w:t>基本账户开户许可证或基本账户开户银行开具的证明</w:t>
            </w:r>
            <w:r>
              <w:rPr>
                <w:szCs w:val="21"/>
              </w:rPr>
              <w:t>。</w:t>
            </w:r>
          </w:p>
          <w:p>
            <w:pPr>
              <w:adjustRightInd w:val="0"/>
              <w:snapToGrid w:val="0"/>
              <w:spacing w:line="260" w:lineRule="exact"/>
              <w:jc w:val="left"/>
              <w:rPr>
                <w:szCs w:val="21"/>
              </w:rPr>
            </w:pPr>
            <w:r>
              <w:rPr>
                <w:rFonts w:hint="eastAsia"/>
                <w:szCs w:val="21"/>
              </w:rPr>
              <w:t>招标代理机构财务部门联系方式：</w:t>
            </w:r>
          </w:p>
          <w:p>
            <w:pPr>
              <w:adjustRightInd w:val="0"/>
              <w:snapToGrid w:val="0"/>
              <w:spacing w:line="260" w:lineRule="exact"/>
              <w:jc w:val="left"/>
              <w:rPr>
                <w:rFonts w:ascii="黑体" w:hAnsi="黑体" w:eastAsia="黑体"/>
                <w:szCs w:val="21"/>
              </w:rPr>
            </w:pPr>
            <w:r>
              <w:rPr>
                <w:szCs w:val="21"/>
              </w:rPr>
              <w:t>名</w:t>
            </w:r>
            <w:r>
              <w:rPr>
                <w:rFonts w:hint="eastAsia"/>
                <w:szCs w:val="21"/>
              </w:rPr>
              <w:t xml:space="preserve"> </w:t>
            </w:r>
            <w:r>
              <w:rPr>
                <w:szCs w:val="21"/>
              </w:rPr>
              <w:t xml:space="preserve"> 称：</w:t>
            </w:r>
            <w:r>
              <w:rPr>
                <w:rFonts w:hint="eastAsia" w:ascii="黑体" w:hAnsi="黑体" w:eastAsia="黑体"/>
                <w:szCs w:val="21"/>
              </w:rPr>
              <w:t>吉林省常利工程信息咨询有限公司</w:t>
            </w:r>
          </w:p>
          <w:p>
            <w:pPr>
              <w:adjustRightInd w:val="0"/>
              <w:snapToGrid w:val="0"/>
              <w:spacing w:line="260" w:lineRule="exact"/>
              <w:jc w:val="left"/>
              <w:rPr>
                <w:rFonts w:ascii="黑体" w:hAnsi="黑体" w:eastAsia="黑体"/>
                <w:szCs w:val="21"/>
              </w:rPr>
            </w:pPr>
            <w:r>
              <w:rPr>
                <w:szCs w:val="21"/>
              </w:rPr>
              <w:t>地</w:t>
            </w:r>
            <w:r>
              <w:rPr>
                <w:rFonts w:hint="eastAsia"/>
                <w:szCs w:val="21"/>
              </w:rPr>
              <w:t xml:space="preserve"> </w:t>
            </w:r>
            <w:r>
              <w:rPr>
                <w:szCs w:val="21"/>
              </w:rPr>
              <w:t xml:space="preserve"> 址：</w:t>
            </w:r>
            <w:r>
              <w:rPr>
                <w:rFonts w:ascii="黑体" w:hAnsi="黑体" w:eastAsia="黑体"/>
                <w:szCs w:val="21"/>
              </w:rPr>
              <w:t>长春市高新技术产业开发区超越大街与越达路交汇长春高新越达科技产业园5栋三层</w:t>
            </w:r>
          </w:p>
          <w:p>
            <w:pPr>
              <w:adjustRightInd w:val="0"/>
              <w:snapToGrid w:val="0"/>
              <w:spacing w:line="260" w:lineRule="exact"/>
              <w:jc w:val="left"/>
              <w:rPr>
                <w:rFonts w:ascii="黑体" w:hAnsi="宋体" w:eastAsia="黑体"/>
                <w:szCs w:val="21"/>
              </w:rPr>
            </w:pPr>
            <w:r>
              <w:rPr>
                <w:szCs w:val="21"/>
              </w:rPr>
              <w:t>邮</w:t>
            </w:r>
            <w:r>
              <w:rPr>
                <w:rFonts w:hint="eastAsia"/>
                <w:szCs w:val="21"/>
              </w:rPr>
              <w:t xml:space="preserve"> </w:t>
            </w:r>
            <w:r>
              <w:rPr>
                <w:szCs w:val="21"/>
              </w:rPr>
              <w:t xml:space="preserve"> 编：</w:t>
            </w:r>
            <w:r>
              <w:rPr>
                <w:rFonts w:ascii="黑体" w:hAnsi="黑体" w:eastAsia="黑体"/>
                <w:szCs w:val="21"/>
              </w:rPr>
              <w:t xml:space="preserve">130015   </w:t>
            </w:r>
            <w:r>
              <w:rPr>
                <w:szCs w:val="21"/>
              </w:rPr>
              <w:t>电</w:t>
            </w:r>
            <w:r>
              <w:rPr>
                <w:rFonts w:hint="eastAsia"/>
                <w:szCs w:val="21"/>
              </w:rPr>
              <w:t xml:space="preserve"> </w:t>
            </w:r>
            <w:r>
              <w:rPr>
                <w:szCs w:val="21"/>
              </w:rPr>
              <w:t xml:space="preserve"> 话：</w:t>
            </w:r>
            <w:r>
              <w:rPr>
                <w:rFonts w:ascii="黑体" w:hAnsi="黑体" w:eastAsia="黑体"/>
                <w:szCs w:val="21"/>
              </w:rPr>
              <w:t xml:space="preserve">0431-81902477   </w:t>
            </w:r>
            <w:r>
              <w:rPr>
                <w:szCs w:val="21"/>
              </w:rPr>
              <w:t>联系人：</w:t>
            </w:r>
            <w:r>
              <w:rPr>
                <w:rFonts w:hint="eastAsia" w:ascii="黑体" w:hAnsi="黑体" w:eastAsia="黑体"/>
                <w:szCs w:val="21"/>
              </w:rPr>
              <w:t>徐爽</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3.4.4</w:t>
            </w:r>
          </w:p>
        </w:tc>
        <w:tc>
          <w:tcPr>
            <w:tcW w:w="1059" w:type="pct"/>
            <w:vAlign w:val="center"/>
          </w:tcPr>
          <w:p>
            <w:pPr>
              <w:spacing w:line="291" w:lineRule="exact"/>
              <w:jc w:val="center"/>
              <w:rPr>
                <w:szCs w:val="21"/>
              </w:rPr>
            </w:pPr>
            <w:r>
              <w:rPr>
                <w:rFonts w:hint="eastAsia" w:ascii="宋体" w:hAnsi="宋体"/>
                <w:szCs w:val="21"/>
              </w:rPr>
              <w:t>其他可以不予退还投标保证金的情形</w:t>
            </w:r>
          </w:p>
        </w:tc>
        <w:tc>
          <w:tcPr>
            <w:tcW w:w="3438" w:type="pct"/>
            <w:vAlign w:val="center"/>
          </w:tcPr>
          <w:p>
            <w:pPr>
              <w:spacing w:line="291" w:lineRule="exact"/>
              <w:rPr>
                <w:szCs w:val="21"/>
              </w:rPr>
            </w:pPr>
            <w:r>
              <w:rPr>
                <w:rFonts w:hint="eastAsia" w:ascii="黑体" w:hAnsi="宋体" w:eastAsia="黑体"/>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hint="eastAsia" w:ascii="宋体" w:hAnsi="宋体"/>
                <w:szCs w:val="21"/>
              </w:rPr>
              <w:t>3.5</w:t>
            </w:r>
          </w:p>
        </w:tc>
        <w:tc>
          <w:tcPr>
            <w:tcW w:w="1059" w:type="pct"/>
            <w:vAlign w:val="center"/>
          </w:tcPr>
          <w:p>
            <w:pPr>
              <w:spacing w:line="291" w:lineRule="exact"/>
              <w:jc w:val="center"/>
              <w:rPr>
                <w:rFonts w:ascii="宋体" w:hAnsi="宋体"/>
                <w:szCs w:val="21"/>
              </w:rPr>
            </w:pPr>
            <w:r>
              <w:rPr>
                <w:rFonts w:hint="eastAsia" w:ascii="宋体" w:hAnsi="宋体"/>
                <w:szCs w:val="21"/>
              </w:rPr>
              <w:t>资格审查资料</w:t>
            </w:r>
          </w:p>
        </w:tc>
        <w:tc>
          <w:tcPr>
            <w:tcW w:w="3438" w:type="pct"/>
            <w:vAlign w:val="center"/>
          </w:tcPr>
          <w:p>
            <w:pPr>
              <w:spacing w:line="291" w:lineRule="exact"/>
              <w:rPr>
                <w:szCs w:val="21"/>
              </w:rPr>
            </w:pPr>
            <w:r>
              <w:rPr>
                <w:rFonts w:hint="eastAsia"/>
                <w:szCs w:val="21"/>
              </w:rPr>
              <w:t>投标人须按招标文件第六章“投标文件格式”中规定的表格内容填写资格审查表，并按具体要求提供相关证明材料。</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hint="eastAsia" w:ascii="宋体" w:hAnsi="宋体"/>
                <w:szCs w:val="21"/>
              </w:rPr>
              <w:t>3</w:t>
            </w:r>
            <w:r>
              <w:rPr>
                <w:rFonts w:ascii="宋体" w:hAnsi="宋体"/>
                <w:szCs w:val="21"/>
              </w:rPr>
              <w:t>.5.1</w:t>
            </w:r>
          </w:p>
        </w:tc>
        <w:tc>
          <w:tcPr>
            <w:tcW w:w="1059" w:type="pct"/>
            <w:vAlign w:val="center"/>
          </w:tcPr>
          <w:p>
            <w:pPr>
              <w:spacing w:line="291" w:lineRule="exact"/>
              <w:jc w:val="center"/>
              <w:rPr>
                <w:rFonts w:ascii="宋体" w:hAnsi="宋体"/>
                <w:szCs w:val="21"/>
              </w:rPr>
            </w:pPr>
            <w:r>
              <w:rPr>
                <w:rFonts w:hint="eastAsia" w:ascii="宋体" w:hAnsi="宋体"/>
                <w:szCs w:val="21"/>
              </w:rPr>
              <w:t>投标人基本情况表应附材料</w:t>
            </w:r>
          </w:p>
        </w:tc>
        <w:tc>
          <w:tcPr>
            <w:tcW w:w="3438" w:type="pct"/>
            <w:vAlign w:val="center"/>
          </w:tcPr>
          <w:p>
            <w:pPr>
              <w:spacing w:line="291" w:lineRule="exact"/>
              <w:rPr>
                <w:b/>
                <w:kern w:val="0"/>
                <w:szCs w:val="21"/>
                <w:lang w:val="zh-CN"/>
              </w:rPr>
            </w:pPr>
            <w:r>
              <w:rPr>
                <w:rFonts w:hint="eastAsia"/>
                <w:b/>
                <w:kern w:val="0"/>
                <w:szCs w:val="21"/>
                <w:lang w:val="zh-CN"/>
              </w:rPr>
              <w:t>本款修改为：</w:t>
            </w:r>
          </w:p>
          <w:p>
            <w:pPr>
              <w:spacing w:line="291" w:lineRule="exact"/>
              <w:rPr>
                <w:szCs w:val="21"/>
              </w:rPr>
            </w:pPr>
            <w:r>
              <w:rPr>
                <w:rFonts w:hint="eastAsia"/>
                <w:szCs w:val="21"/>
              </w:rPr>
              <w:t>应附企业法人营业执照副本和组织机构代码证副本 （按照“三证合一”或“五证合一”登记制度进行登记的，可仅提供营业执照副本，下同）勘察资质证书副本、设计资质证书副本、基本账户开户证明（基本账户开户许可证或其他有效的基本账户开户证明）的复印件，投标人在交通运输部“全国公路建设市场信用信息管理系统”公路工程设计资质企业名录中的网页截图复印件，以及投标人在国家企业信用信息公示系统中基础信息（体现股东及出资详细信息）的网页截图复印件。</w:t>
            </w:r>
          </w:p>
          <w:p>
            <w:pPr>
              <w:spacing w:line="291" w:lineRule="exact"/>
              <w:rPr>
                <w:szCs w:val="21"/>
              </w:rPr>
            </w:pPr>
            <w:r>
              <w:rPr>
                <w:rFonts w:hint="eastAsia"/>
                <w:szCs w:val="21"/>
              </w:rPr>
              <w:t>企业法人营业执照副本和组织机构代码证副本、勘察资质证书副本、设计资质证书副本、基本账户开户证明（基本账户开户许可证或其他有效的基本账户开户证明）的复印件应提供全本（证书封面、封底、空白页除外），应包括投标人名称、投标人其他相关信息、颁发机构名称、投标人信息变更情况等关键页在内，并逐页加盖投标人单位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3.5.</w:t>
            </w:r>
            <w:r>
              <w:rPr>
                <w:rFonts w:hint="eastAsia" w:ascii="宋体" w:hAnsi="宋体"/>
                <w:szCs w:val="21"/>
              </w:rPr>
              <w:t>2</w:t>
            </w:r>
          </w:p>
        </w:tc>
        <w:tc>
          <w:tcPr>
            <w:tcW w:w="1059" w:type="pct"/>
            <w:vAlign w:val="center"/>
          </w:tcPr>
          <w:p>
            <w:pPr>
              <w:spacing w:line="291" w:lineRule="exact"/>
              <w:jc w:val="center"/>
              <w:rPr>
                <w:szCs w:val="21"/>
              </w:rPr>
            </w:pPr>
            <w:r>
              <w:rPr>
                <w:rFonts w:hint="eastAsia"/>
                <w:szCs w:val="21"/>
              </w:rPr>
              <w:t>近年完成的类似项目情况的时间要求</w:t>
            </w:r>
          </w:p>
        </w:tc>
        <w:tc>
          <w:tcPr>
            <w:tcW w:w="3438" w:type="pct"/>
            <w:vAlign w:val="center"/>
          </w:tcPr>
          <w:p>
            <w:pPr>
              <w:spacing w:line="291" w:lineRule="exact"/>
              <w:rPr>
                <w:szCs w:val="21"/>
              </w:rPr>
            </w:pPr>
            <w:r>
              <w:rPr>
                <w:rFonts w:hint="eastAsia"/>
                <w:szCs w:val="21"/>
              </w:rPr>
              <w:t>201</w:t>
            </w:r>
            <w:r>
              <w:rPr>
                <w:szCs w:val="21"/>
              </w:rPr>
              <w:t>5</w:t>
            </w:r>
            <w:r>
              <w:rPr>
                <w:rFonts w:hint="eastAsia"/>
                <w:szCs w:val="21"/>
              </w:rPr>
              <w:t>年1月1日～投标截止时间</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3.5.2</w:t>
            </w:r>
          </w:p>
        </w:tc>
        <w:tc>
          <w:tcPr>
            <w:tcW w:w="1059" w:type="pct"/>
            <w:vAlign w:val="center"/>
          </w:tcPr>
          <w:p>
            <w:pPr>
              <w:spacing w:line="300" w:lineRule="exact"/>
              <w:jc w:val="center"/>
              <w:rPr>
                <w:rFonts w:ascii="宋体" w:hAnsi="宋体"/>
                <w:color w:val="000000"/>
                <w:szCs w:val="21"/>
              </w:rPr>
            </w:pPr>
            <w:r>
              <w:rPr>
                <w:rFonts w:hint="eastAsia" w:ascii="宋体" w:hAnsi="宋体"/>
                <w:color w:val="000000"/>
                <w:szCs w:val="21"/>
              </w:rPr>
              <w:t>近年完成的类似</w:t>
            </w:r>
          </w:p>
          <w:p>
            <w:pPr>
              <w:spacing w:line="291" w:lineRule="exact"/>
              <w:jc w:val="center"/>
              <w:rPr>
                <w:szCs w:val="21"/>
              </w:rPr>
            </w:pPr>
            <w:r>
              <w:rPr>
                <w:rFonts w:hint="eastAsia" w:ascii="宋体" w:hAnsi="宋体"/>
                <w:color w:val="000000"/>
                <w:szCs w:val="21"/>
              </w:rPr>
              <w:t>项目应附资料</w:t>
            </w:r>
          </w:p>
        </w:tc>
        <w:tc>
          <w:tcPr>
            <w:tcW w:w="3438" w:type="pct"/>
            <w:vAlign w:val="center"/>
          </w:tcPr>
          <w:p>
            <w:pPr>
              <w:autoSpaceDE w:val="0"/>
              <w:autoSpaceDN w:val="0"/>
              <w:adjustRightInd w:val="0"/>
              <w:spacing w:line="300" w:lineRule="exact"/>
              <w:rPr>
                <w:b/>
                <w:kern w:val="0"/>
                <w:szCs w:val="21"/>
              </w:rPr>
            </w:pPr>
            <w:r>
              <w:rPr>
                <w:rFonts w:hint="eastAsia"/>
                <w:b/>
                <w:kern w:val="0"/>
                <w:szCs w:val="21"/>
                <w:lang w:val="zh-CN"/>
              </w:rPr>
              <w:t>本条款后增加</w:t>
            </w:r>
            <w:r>
              <w:rPr>
                <w:rFonts w:hint="eastAsia"/>
                <w:b/>
                <w:kern w:val="0"/>
                <w:szCs w:val="21"/>
              </w:rPr>
              <w:t>：</w:t>
            </w:r>
          </w:p>
          <w:p>
            <w:pPr>
              <w:spacing w:line="300" w:lineRule="exact"/>
              <w:rPr>
                <w:b/>
                <w:kern w:val="0"/>
                <w:szCs w:val="21"/>
              </w:rPr>
            </w:pPr>
            <w:r>
              <w:rPr>
                <w:rFonts w:hint="eastAsia"/>
                <w:b/>
                <w:kern w:val="0"/>
                <w:szCs w:val="21"/>
                <w:lang w:val="zh-CN"/>
              </w:rPr>
              <w:t>如不能在交通运输部</w:t>
            </w:r>
            <w:r>
              <w:rPr>
                <w:rFonts w:hint="eastAsia"/>
                <w:b/>
                <w:kern w:val="0"/>
                <w:szCs w:val="21"/>
              </w:rPr>
              <w:t>“</w:t>
            </w:r>
            <w:r>
              <w:rPr>
                <w:rFonts w:hint="eastAsia"/>
                <w:b/>
                <w:kern w:val="0"/>
                <w:szCs w:val="21"/>
                <w:lang w:val="zh-CN"/>
              </w:rPr>
              <w:t>全国公路建设市场信用信息管理系统</w:t>
            </w:r>
            <w:r>
              <w:rPr>
                <w:rFonts w:hint="eastAsia"/>
                <w:b/>
                <w:kern w:val="0"/>
                <w:szCs w:val="21"/>
              </w:rPr>
              <w:t>（</w:t>
            </w:r>
            <w:r>
              <w:rPr>
                <w:rFonts w:hint="eastAsia" w:ascii="宋体" w:hAnsi="宋体"/>
                <w:szCs w:val="21"/>
              </w:rPr>
              <w:t>https://glxy.mot.gov.cn</w:t>
            </w:r>
            <w:r>
              <w:rPr>
                <w:rFonts w:hint="eastAsia"/>
                <w:b/>
                <w:kern w:val="0"/>
                <w:szCs w:val="21"/>
              </w:rPr>
              <w:t>）”</w:t>
            </w:r>
            <w:r>
              <w:rPr>
                <w:rFonts w:hint="eastAsia"/>
                <w:b/>
                <w:kern w:val="0"/>
                <w:szCs w:val="21"/>
                <w:lang w:val="zh-CN"/>
              </w:rPr>
              <w:t>和省级交通运输主管部门</w:t>
            </w:r>
            <w:r>
              <w:rPr>
                <w:rFonts w:hint="eastAsia"/>
                <w:b/>
                <w:kern w:val="0"/>
                <w:szCs w:val="21"/>
              </w:rPr>
              <w:t>“</w:t>
            </w:r>
            <w:r>
              <w:rPr>
                <w:rFonts w:hint="eastAsia"/>
                <w:b/>
                <w:kern w:val="0"/>
                <w:szCs w:val="21"/>
                <w:lang w:val="zh-CN"/>
              </w:rPr>
              <w:t>公路建设市场信用信息管理系统</w:t>
            </w:r>
            <w:r>
              <w:rPr>
                <w:rFonts w:hint="eastAsia"/>
                <w:b/>
                <w:kern w:val="0"/>
                <w:szCs w:val="21"/>
              </w:rPr>
              <w:t>”</w:t>
            </w:r>
            <w:r>
              <w:rPr>
                <w:rFonts w:hint="eastAsia"/>
                <w:b/>
                <w:kern w:val="0"/>
                <w:szCs w:val="21"/>
                <w:lang w:val="zh-CN"/>
              </w:rPr>
              <w:t>中查询的业绩</w:t>
            </w:r>
            <w:r>
              <w:rPr>
                <w:rFonts w:hint="eastAsia"/>
                <w:b/>
                <w:kern w:val="0"/>
                <w:szCs w:val="21"/>
              </w:rPr>
              <w:t>，</w:t>
            </w:r>
            <w:r>
              <w:rPr>
                <w:rFonts w:hint="eastAsia"/>
                <w:b/>
                <w:kern w:val="0"/>
                <w:szCs w:val="21"/>
                <w:lang w:val="zh-CN"/>
              </w:rPr>
              <w:t>要求如下</w:t>
            </w:r>
            <w:r>
              <w:rPr>
                <w:rFonts w:hint="eastAsia"/>
                <w:b/>
                <w:kern w:val="0"/>
                <w:szCs w:val="21"/>
              </w:rPr>
              <w:t>：</w:t>
            </w:r>
          </w:p>
          <w:p>
            <w:pPr>
              <w:autoSpaceDE w:val="0"/>
              <w:autoSpaceDN w:val="0"/>
              <w:adjustRightInd w:val="0"/>
              <w:spacing w:line="300" w:lineRule="exact"/>
              <w:rPr>
                <w:rFonts w:ascii="宋体" w:hAnsi="宋体"/>
                <w:b/>
                <w:kern w:val="0"/>
                <w:szCs w:val="21"/>
                <w:lang w:val="zh-CN"/>
              </w:rPr>
            </w:pPr>
            <w:r>
              <w:rPr>
                <w:rFonts w:hint="eastAsia" w:ascii="宋体" w:hAnsi="宋体"/>
                <w:szCs w:val="21"/>
              </w:rPr>
              <w:t>应附项目法人与投标人签订的合同协议书和施工图设计批复文件。如所提供的证明材料中的信息无法证实投标人满足招标文件规定的资格审查条件（业绩最低要求），投标人应补充相应的项目法人或项目法人上级行政主管部门出具的证明材料，否则该项目业绩不予认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340" w:lineRule="exact"/>
              <w:jc w:val="center"/>
              <w:rPr>
                <w:rFonts w:ascii="宋体" w:hAnsi="宋体"/>
                <w:szCs w:val="21"/>
              </w:rPr>
            </w:pPr>
            <w:r>
              <w:rPr>
                <w:rFonts w:ascii="宋体" w:hAnsi="宋体"/>
                <w:szCs w:val="21"/>
              </w:rPr>
              <w:t>3.5.3</w:t>
            </w:r>
          </w:p>
        </w:tc>
        <w:tc>
          <w:tcPr>
            <w:tcW w:w="1059" w:type="pct"/>
            <w:vAlign w:val="center"/>
          </w:tcPr>
          <w:p>
            <w:pPr>
              <w:adjustRightInd w:val="0"/>
              <w:snapToGrid w:val="0"/>
              <w:spacing w:line="340" w:lineRule="exact"/>
              <w:jc w:val="center"/>
              <w:rPr>
                <w:rFonts w:hAnsi="宋体"/>
                <w:szCs w:val="21"/>
              </w:rPr>
            </w:pPr>
            <w:r>
              <w:rPr>
                <w:rFonts w:hint="eastAsia" w:hAnsi="宋体"/>
                <w:szCs w:val="21"/>
              </w:rPr>
              <w:t>投标人信誉情况</w:t>
            </w:r>
          </w:p>
          <w:p>
            <w:pPr>
              <w:spacing w:line="340" w:lineRule="exact"/>
              <w:jc w:val="center"/>
              <w:rPr>
                <w:szCs w:val="21"/>
              </w:rPr>
            </w:pPr>
            <w:r>
              <w:rPr>
                <w:rFonts w:hint="eastAsia" w:hAnsi="宋体"/>
                <w:szCs w:val="21"/>
              </w:rPr>
              <w:t>应附资料</w:t>
            </w:r>
          </w:p>
        </w:tc>
        <w:tc>
          <w:tcPr>
            <w:tcW w:w="3438" w:type="pct"/>
            <w:vAlign w:val="center"/>
          </w:tcPr>
          <w:p>
            <w:pPr>
              <w:autoSpaceDE w:val="0"/>
              <w:autoSpaceDN w:val="0"/>
              <w:adjustRightInd w:val="0"/>
              <w:spacing w:line="340" w:lineRule="exact"/>
              <w:rPr>
                <w:rFonts w:ascii="宋体" w:hAnsi="宋体"/>
                <w:b/>
                <w:kern w:val="0"/>
                <w:szCs w:val="21"/>
                <w:lang w:val="zh-CN"/>
              </w:rPr>
            </w:pPr>
            <w:r>
              <w:rPr>
                <w:rFonts w:hint="eastAsia" w:ascii="宋体" w:hAnsi="宋体"/>
                <w:b/>
                <w:kern w:val="0"/>
                <w:szCs w:val="21"/>
                <w:lang w:val="zh-CN"/>
              </w:rPr>
              <w:t>本款内容修改为：</w:t>
            </w:r>
          </w:p>
          <w:p>
            <w:pPr>
              <w:spacing w:line="340" w:lineRule="exact"/>
              <w:ind w:firstLine="420" w:firstLineChars="200"/>
              <w:rPr>
                <w:szCs w:val="21"/>
              </w:rPr>
            </w:pPr>
            <w:r>
              <w:rPr>
                <w:rFonts w:hint="eastAsia" w:hAnsi="宋体"/>
                <w:szCs w:val="21"/>
              </w:rPr>
              <w:t>应附投标人（以联合体投标的为联合体各成员）在国家企业信用信息公示系统中未被列入严重违法失信企业名单、在“信用中国”网站中未被列入失信被执行人名单的网页截图复印件，以及近三年内投标人及其法定代表人、拟委任的项目负责人（如有）无行贿犯罪行为承诺书原件。</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3.5.4</w:t>
            </w:r>
          </w:p>
        </w:tc>
        <w:tc>
          <w:tcPr>
            <w:tcW w:w="1059" w:type="pct"/>
            <w:vAlign w:val="center"/>
          </w:tcPr>
          <w:p>
            <w:pPr>
              <w:spacing w:line="291" w:lineRule="exact"/>
              <w:jc w:val="center"/>
              <w:rPr>
                <w:szCs w:val="21"/>
              </w:rPr>
            </w:pPr>
            <w:r>
              <w:rPr>
                <w:rFonts w:hint="eastAsia"/>
                <w:szCs w:val="21"/>
              </w:rPr>
              <w:t>拟委任的项目</w:t>
            </w:r>
          </w:p>
          <w:p>
            <w:pPr>
              <w:spacing w:line="291" w:lineRule="exact"/>
              <w:jc w:val="center"/>
              <w:rPr>
                <w:szCs w:val="21"/>
              </w:rPr>
            </w:pPr>
            <w:r>
              <w:rPr>
                <w:rFonts w:hint="eastAsia"/>
                <w:szCs w:val="21"/>
              </w:rPr>
              <w:t>负责人资历表</w:t>
            </w:r>
          </w:p>
        </w:tc>
        <w:tc>
          <w:tcPr>
            <w:tcW w:w="3438" w:type="pct"/>
            <w:vAlign w:val="center"/>
          </w:tcPr>
          <w:p>
            <w:pPr>
              <w:autoSpaceDE w:val="0"/>
              <w:autoSpaceDN w:val="0"/>
              <w:adjustRightInd w:val="0"/>
              <w:spacing w:line="300" w:lineRule="exact"/>
              <w:rPr>
                <w:rFonts w:hAnsi="宋体"/>
                <w:szCs w:val="21"/>
              </w:rPr>
            </w:pPr>
            <w:r>
              <w:rPr>
                <w:rFonts w:hint="eastAsia" w:ascii="宋体" w:hAnsi="宋体"/>
                <w:b/>
                <w:kern w:val="0"/>
                <w:szCs w:val="21"/>
                <w:lang w:val="zh-CN"/>
              </w:rPr>
              <w:t>本款内容修改为：</w:t>
            </w:r>
          </w:p>
          <w:p>
            <w:pPr>
              <w:spacing w:line="291" w:lineRule="exact"/>
              <w:ind w:firstLine="420" w:firstLineChars="200"/>
              <w:rPr>
                <w:rFonts w:hAnsi="宋体"/>
                <w:szCs w:val="21"/>
              </w:rPr>
            </w:pPr>
            <w:r>
              <w:rPr>
                <w:rFonts w:hint="eastAsia" w:hAnsi="宋体"/>
                <w:szCs w:val="21"/>
              </w:rPr>
              <w:t>“拟委任的项目负责人资历表”应附项目负责人的身份证、职称资格证书和资格审查条件所要求的其他相关证书的复印件，以及投标人在社保系统打印的本单位人员（拟委任的项目负责人）缴费明细。</w:t>
            </w:r>
          </w:p>
          <w:p>
            <w:pPr>
              <w:spacing w:line="291" w:lineRule="exact"/>
              <w:ind w:firstLine="420" w:firstLineChars="200"/>
              <w:rPr>
                <w:rFonts w:ascii="宋体" w:hAnsi="宋体"/>
                <w:b/>
                <w:kern w:val="0"/>
                <w:szCs w:val="21"/>
                <w:lang w:val="zh-CN"/>
              </w:rPr>
            </w:pPr>
            <w:r>
              <w:rPr>
                <w:rFonts w:hint="eastAsia" w:hAnsi="宋体"/>
                <w:szCs w:val="21"/>
              </w:rPr>
              <w:t>“拟委任的项目负责人资历表”还应附交通运输部“全国公路建设市场信用信息管理系统”中载明的、能够证明项目负责人具有相关业绩的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并注明查询路径。如相关业绩网页截图中的信息无法证实投标人满足招标文件规定的资格审查条件（项目负责人最低要求），则该业绩不予认定。</w:t>
            </w:r>
          </w:p>
          <w:p>
            <w:pPr>
              <w:autoSpaceDE w:val="0"/>
              <w:autoSpaceDN w:val="0"/>
              <w:adjustRightInd w:val="0"/>
              <w:spacing w:line="300" w:lineRule="exact"/>
              <w:ind w:firstLine="517" w:firstLineChars="245"/>
              <w:rPr>
                <w:rFonts w:ascii="宋体" w:hAnsi="宋体"/>
                <w:b/>
                <w:kern w:val="0"/>
                <w:szCs w:val="21"/>
                <w:lang w:val="zh-CN"/>
              </w:rPr>
            </w:pPr>
            <w:r>
              <w:rPr>
                <w:rFonts w:hint="eastAsia" w:ascii="宋体" w:hAnsi="宋体"/>
                <w:b/>
                <w:kern w:val="0"/>
                <w:szCs w:val="21"/>
                <w:lang w:val="zh-CN"/>
              </w:rPr>
              <w:t>若项目负责人</w:t>
            </w:r>
            <w:r>
              <w:rPr>
                <w:rFonts w:hint="eastAsia" w:ascii="宋体" w:hAnsi="宋体"/>
                <w:b/>
                <w:color w:val="000000"/>
                <w:szCs w:val="21"/>
              </w:rPr>
              <w:t>相关业绩</w:t>
            </w:r>
            <w:r>
              <w:rPr>
                <w:rFonts w:hint="eastAsia" w:ascii="宋体" w:hAnsi="宋体"/>
                <w:b/>
                <w:kern w:val="0"/>
                <w:szCs w:val="21"/>
                <w:lang w:val="zh-CN"/>
              </w:rPr>
              <w:t>在交通运输部“全国公路建设市场信用信息管理系统（</w:t>
            </w:r>
            <w:r>
              <w:rPr>
                <w:rFonts w:ascii="宋体" w:hAnsi="宋体"/>
                <w:b/>
                <w:kern w:val="0"/>
                <w:szCs w:val="21"/>
                <w:lang w:val="zh-CN"/>
              </w:rPr>
              <w:t>https://glxy.mot.gov.cn</w:t>
            </w:r>
            <w:r>
              <w:rPr>
                <w:rFonts w:hint="eastAsia" w:ascii="宋体" w:hAnsi="宋体"/>
                <w:b/>
                <w:kern w:val="0"/>
                <w:szCs w:val="21"/>
                <w:lang w:val="zh-CN"/>
              </w:rPr>
              <w:t>）”</w:t>
            </w:r>
            <w:r>
              <w:rPr>
                <w:rFonts w:hint="eastAsia"/>
                <w:b/>
                <w:kern w:val="0"/>
                <w:szCs w:val="21"/>
                <w:lang w:val="zh-CN"/>
              </w:rPr>
              <w:t xml:space="preserve"> 和省级交通运输主管部门“公路建设市场信用信息管理系统”中</w:t>
            </w:r>
            <w:r>
              <w:rPr>
                <w:rFonts w:hint="eastAsia" w:ascii="宋体" w:hAnsi="宋体"/>
                <w:b/>
                <w:kern w:val="0"/>
                <w:szCs w:val="21"/>
                <w:lang w:val="zh-CN"/>
              </w:rPr>
              <w:t>未载明，要求如下：</w:t>
            </w:r>
          </w:p>
          <w:p>
            <w:pPr>
              <w:spacing w:line="291" w:lineRule="exact"/>
              <w:ind w:firstLine="420" w:firstLineChars="200"/>
              <w:rPr>
                <w:szCs w:val="21"/>
              </w:rPr>
            </w:pPr>
            <w:r>
              <w:rPr>
                <w:rFonts w:hint="eastAsia" w:ascii="宋体" w:hAnsi="宋体"/>
                <w:color w:val="000000"/>
                <w:szCs w:val="21"/>
              </w:rPr>
              <w:t>“拟委任的项目负责人资历表”还应附</w:t>
            </w:r>
            <w:r>
              <w:rPr>
                <w:rFonts w:hint="eastAsia" w:hAnsi="宋体"/>
                <w:szCs w:val="21"/>
              </w:rPr>
              <w:t>能够证明</w:t>
            </w:r>
            <w:r>
              <w:rPr>
                <w:rFonts w:hint="eastAsia" w:ascii="宋体" w:hAnsi="宋体"/>
                <w:color w:val="000000"/>
                <w:szCs w:val="21"/>
              </w:rPr>
              <w:t>项目负责人满足资格审查条件（项目负责人最低要求）要求业绩的合同协议书。</w:t>
            </w:r>
            <w:r>
              <w:rPr>
                <w:rFonts w:hint="eastAsia" w:ascii="宋体" w:hAnsi="宋体"/>
                <w:szCs w:val="21"/>
              </w:rPr>
              <w:t>如所提供的证明材料中的信息无法</w:t>
            </w:r>
            <w:r>
              <w:rPr>
                <w:rFonts w:hint="eastAsia" w:hAnsi="宋体"/>
                <w:szCs w:val="21"/>
              </w:rPr>
              <w:t>证明</w:t>
            </w:r>
            <w:r>
              <w:rPr>
                <w:rFonts w:hint="eastAsia" w:ascii="宋体" w:hAnsi="宋体"/>
                <w:color w:val="000000"/>
                <w:szCs w:val="21"/>
              </w:rPr>
              <w:t>项目负责人</w:t>
            </w:r>
            <w:r>
              <w:rPr>
                <w:rFonts w:hint="eastAsia" w:ascii="宋体" w:hAnsi="宋体"/>
                <w:szCs w:val="21"/>
              </w:rPr>
              <w:t>满足招标文件规定的资格审查条件，投标人应补充相应的项目法人或项目法人上级行政主管部门出具的任职证明，否则该业绩不予认定。</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3.6</w:t>
            </w:r>
            <w:r>
              <w:rPr>
                <w:rFonts w:hint="eastAsia" w:ascii="宋体" w:hAnsi="宋体"/>
                <w:szCs w:val="21"/>
              </w:rPr>
              <w:t>.1</w:t>
            </w:r>
          </w:p>
        </w:tc>
        <w:tc>
          <w:tcPr>
            <w:tcW w:w="1059" w:type="pct"/>
            <w:vAlign w:val="center"/>
          </w:tcPr>
          <w:p>
            <w:pPr>
              <w:spacing w:line="291" w:lineRule="exact"/>
              <w:jc w:val="center"/>
              <w:rPr>
                <w:rFonts w:hAnsi="宋体"/>
                <w:szCs w:val="21"/>
              </w:rPr>
            </w:pPr>
            <w:r>
              <w:rPr>
                <w:rFonts w:hint="eastAsia" w:hAnsi="宋体"/>
                <w:szCs w:val="21"/>
              </w:rPr>
              <w:t>是否允许递交备选</w:t>
            </w:r>
          </w:p>
          <w:p>
            <w:pPr>
              <w:spacing w:line="291" w:lineRule="exact"/>
              <w:jc w:val="center"/>
              <w:rPr>
                <w:szCs w:val="21"/>
              </w:rPr>
            </w:pPr>
            <w:r>
              <w:rPr>
                <w:rFonts w:hint="eastAsia" w:hAnsi="宋体"/>
                <w:szCs w:val="21"/>
              </w:rPr>
              <w:t>投标方案</w:t>
            </w:r>
          </w:p>
        </w:tc>
        <w:tc>
          <w:tcPr>
            <w:tcW w:w="3438" w:type="pct"/>
            <w:vAlign w:val="center"/>
          </w:tcPr>
          <w:p>
            <w:pPr>
              <w:autoSpaceDE w:val="0"/>
              <w:autoSpaceDN w:val="0"/>
              <w:adjustRightInd w:val="0"/>
              <w:spacing w:line="291" w:lineRule="exact"/>
              <w:rPr>
                <w:kern w:val="0"/>
                <w:szCs w:val="21"/>
                <w:lang w:val="zh-CN"/>
              </w:rPr>
            </w:pPr>
            <w:r>
              <w:rPr>
                <w:rFonts w:ascii="宋体" w:hAnsi="宋体" w:cs="宋体"/>
                <w:kern w:val="0"/>
                <w:szCs w:val="21"/>
                <w:lang w:val="zh-CN"/>
              </w:rPr>
              <w:fldChar w:fldCharType="begin"/>
            </w:r>
            <w:r>
              <w:rPr>
                <w:rFonts w:hint="eastAsia" w:ascii="宋体" w:hAnsi="宋体" w:cs="宋体"/>
                <w:kern w:val="0"/>
                <w:szCs w:val="21"/>
                <w:lang w:val="zh-CN"/>
              </w:rPr>
              <w:instrText xml:space="preserve">eq \o\ac(□,√)</w:instrText>
            </w:r>
            <w:r>
              <w:rPr>
                <w:rFonts w:ascii="宋体" w:hAnsi="宋体" w:cs="宋体"/>
                <w:kern w:val="0"/>
                <w:szCs w:val="21"/>
                <w:lang w:val="zh-CN"/>
              </w:rPr>
              <w:fldChar w:fldCharType="end"/>
            </w:r>
            <w:r>
              <w:rPr>
                <w:rFonts w:hint="eastAsia" w:hAnsi="宋体"/>
                <w:kern w:val="0"/>
                <w:szCs w:val="21"/>
                <w:lang w:val="zh-CN"/>
              </w:rPr>
              <w:t>不允许</w:t>
            </w:r>
          </w:p>
          <w:p>
            <w:pPr>
              <w:spacing w:line="291" w:lineRule="exact"/>
              <w:rPr>
                <w:szCs w:val="21"/>
              </w:rPr>
            </w:pPr>
            <w:r>
              <w:rPr>
                <w:rFonts w:hint="eastAsia" w:ascii="宋体" w:hAnsi="宋体"/>
                <w:szCs w:val="21"/>
              </w:rPr>
              <w:t>□</w:t>
            </w:r>
            <w:r>
              <w:rPr>
                <w:rFonts w:hint="eastAsia" w:hAnsi="宋体"/>
                <w:kern w:val="0"/>
                <w:szCs w:val="21"/>
                <w:lang w:val="zh-CN"/>
              </w:rPr>
              <w:t>允许</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3.7.4</w:t>
            </w:r>
          </w:p>
        </w:tc>
        <w:tc>
          <w:tcPr>
            <w:tcW w:w="1059" w:type="pct"/>
            <w:vAlign w:val="center"/>
          </w:tcPr>
          <w:p>
            <w:pPr>
              <w:spacing w:line="291" w:lineRule="exact"/>
              <w:jc w:val="center"/>
              <w:rPr>
                <w:rFonts w:hAnsi="宋体"/>
                <w:szCs w:val="21"/>
              </w:rPr>
            </w:pPr>
            <w:r>
              <w:rPr>
                <w:rFonts w:hint="eastAsia" w:hAnsi="宋体"/>
                <w:szCs w:val="21"/>
              </w:rPr>
              <w:t>投标文件副本份数</w:t>
            </w:r>
          </w:p>
          <w:p>
            <w:pPr>
              <w:spacing w:line="291" w:lineRule="exact"/>
              <w:jc w:val="center"/>
              <w:rPr>
                <w:szCs w:val="21"/>
              </w:rPr>
            </w:pPr>
            <w:r>
              <w:rPr>
                <w:rFonts w:hint="eastAsia" w:hAnsi="宋体"/>
                <w:szCs w:val="21"/>
              </w:rPr>
              <w:t>及其他要求</w:t>
            </w:r>
          </w:p>
        </w:tc>
        <w:tc>
          <w:tcPr>
            <w:tcW w:w="3438" w:type="pct"/>
            <w:vAlign w:val="center"/>
          </w:tcPr>
          <w:p>
            <w:pPr>
              <w:pStyle w:val="28"/>
              <w:pBdr>
                <w:bottom w:val="none" w:color="auto" w:sz="0" w:space="0"/>
              </w:pBdr>
              <w:tabs>
                <w:tab w:val="clear" w:pos="4153"/>
                <w:tab w:val="clear" w:pos="8306"/>
              </w:tabs>
              <w:autoSpaceDE w:val="0"/>
              <w:autoSpaceDN w:val="0"/>
              <w:adjustRightInd w:val="0"/>
              <w:spacing w:beforeLines="15" w:afterLines="15"/>
              <w:ind w:firstLine="210" w:firstLineChars="100"/>
              <w:jc w:val="both"/>
              <w:rPr>
                <w:rFonts w:ascii="宋体" w:hAnsi="宋体"/>
                <w:sz w:val="21"/>
                <w:szCs w:val="21"/>
              </w:rPr>
            </w:pPr>
            <w:r>
              <w:rPr>
                <w:rFonts w:ascii="宋体" w:hAnsi="宋体"/>
                <w:sz w:val="21"/>
                <w:szCs w:val="21"/>
              </w:rPr>
              <w:t>投标文件副本份数：</w:t>
            </w:r>
            <w:r>
              <w:rPr>
                <w:rFonts w:hint="eastAsia" w:ascii="宋体" w:hAnsi="宋体"/>
                <w:sz w:val="21"/>
                <w:szCs w:val="21"/>
              </w:rPr>
              <w:t>2份；</w:t>
            </w:r>
          </w:p>
          <w:p>
            <w:pPr>
              <w:snapToGrid w:val="0"/>
              <w:spacing w:beforeLines="15" w:afterLines="15"/>
              <w:ind w:firstLine="210" w:firstLineChars="100"/>
              <w:rPr>
                <w:rFonts w:ascii="宋体" w:hAnsi="宋体"/>
                <w:szCs w:val="21"/>
              </w:rPr>
            </w:pPr>
            <w:r>
              <w:rPr>
                <w:rFonts w:hint="eastAsia" w:ascii="宋体" w:hAnsi="宋体"/>
                <w:szCs w:val="21"/>
              </w:rPr>
              <w:t>是否要求提交电子版文件：须提供</w:t>
            </w:r>
            <w:r>
              <w:rPr>
                <w:rFonts w:hint="eastAsia" w:cs="宋体"/>
                <w:szCs w:val="21"/>
              </w:rPr>
              <w:t>递交“投标人须知附件七：投标文件公示内容格式”可编辑的word文档电子版，载体为U盘；</w:t>
            </w:r>
          </w:p>
          <w:p>
            <w:pPr>
              <w:spacing w:line="291" w:lineRule="exact"/>
              <w:ind w:firstLine="233" w:firstLineChars="111"/>
              <w:rPr>
                <w:rFonts w:cs="宋体"/>
                <w:szCs w:val="21"/>
              </w:rPr>
            </w:pPr>
            <w:r>
              <w:rPr>
                <w:rFonts w:hint="eastAsia" w:ascii="宋体" w:hAnsi="宋体"/>
                <w:szCs w:val="21"/>
              </w:rPr>
              <w:t>其他要求：无。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3.7.5</w:t>
            </w:r>
          </w:p>
        </w:tc>
        <w:tc>
          <w:tcPr>
            <w:tcW w:w="1059" w:type="pct"/>
            <w:vAlign w:val="center"/>
          </w:tcPr>
          <w:p>
            <w:pPr>
              <w:spacing w:line="291" w:lineRule="exact"/>
              <w:jc w:val="center"/>
              <w:rPr>
                <w:szCs w:val="21"/>
              </w:rPr>
            </w:pPr>
            <w:r>
              <w:rPr>
                <w:rFonts w:hint="eastAsia" w:hAnsi="宋体"/>
                <w:szCs w:val="21"/>
              </w:rPr>
              <w:t>装订的其他要求</w:t>
            </w:r>
          </w:p>
        </w:tc>
        <w:tc>
          <w:tcPr>
            <w:tcW w:w="3438" w:type="pct"/>
            <w:vAlign w:val="center"/>
          </w:tcPr>
          <w:p>
            <w:pPr>
              <w:spacing w:line="291" w:lineRule="exact"/>
              <w:rPr>
                <w:rFonts w:ascii="黑体" w:eastAsia="黑体"/>
                <w:szCs w:val="21"/>
              </w:rPr>
            </w:pPr>
            <w:r>
              <w:rPr>
                <w:rFonts w:ascii="宋体" w:hAnsi="宋体"/>
                <w:szCs w:val="21"/>
              </w:rPr>
              <w:t>投标文件第一个信封（商务及技术文件）书脊上应明确标注</w:t>
            </w:r>
            <w:r>
              <w:rPr>
                <w:rFonts w:hint="eastAsia" w:ascii="宋体" w:hAnsi="宋体"/>
                <w:szCs w:val="21"/>
              </w:rPr>
              <w:t>项目名称、标段和投标人名称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Merge w:val="restart"/>
            <w:vAlign w:val="center"/>
          </w:tcPr>
          <w:p>
            <w:pPr>
              <w:adjustRightInd w:val="0"/>
              <w:snapToGrid w:val="0"/>
              <w:spacing w:before="100" w:beforeAutospacing="1" w:after="100" w:afterAutospacing="1" w:line="291" w:lineRule="exact"/>
              <w:jc w:val="center"/>
              <w:rPr>
                <w:rFonts w:ascii="宋体" w:hAnsi="宋体"/>
                <w:szCs w:val="21"/>
              </w:rPr>
            </w:pPr>
            <w:r>
              <w:rPr>
                <w:rFonts w:hint="eastAsia" w:ascii="宋体" w:hAnsi="宋体"/>
                <w:szCs w:val="21"/>
              </w:rPr>
              <w:t>4.1.2</w:t>
            </w:r>
          </w:p>
        </w:tc>
        <w:tc>
          <w:tcPr>
            <w:tcW w:w="1059" w:type="pct"/>
            <w:vMerge w:val="restart"/>
            <w:vAlign w:val="center"/>
          </w:tcPr>
          <w:p>
            <w:pPr>
              <w:adjustRightInd w:val="0"/>
              <w:snapToGrid w:val="0"/>
              <w:spacing w:before="100" w:beforeAutospacing="1" w:after="100" w:afterAutospacing="1" w:line="291" w:lineRule="exact"/>
              <w:jc w:val="center"/>
              <w:rPr>
                <w:rFonts w:ascii="宋体" w:hAnsi="宋体"/>
                <w:szCs w:val="21"/>
              </w:rPr>
            </w:pPr>
            <w:r>
              <w:rPr>
                <w:rFonts w:hint="eastAsia" w:ascii="宋体" w:hAnsi="宋体"/>
                <w:szCs w:val="21"/>
              </w:rPr>
              <w:t>封套上写明</w:t>
            </w:r>
          </w:p>
        </w:tc>
        <w:tc>
          <w:tcPr>
            <w:tcW w:w="3438" w:type="pct"/>
            <w:vAlign w:val="center"/>
          </w:tcPr>
          <w:p>
            <w:pPr>
              <w:adjustRightInd w:val="0"/>
              <w:snapToGrid w:val="0"/>
              <w:spacing w:line="291" w:lineRule="exact"/>
              <w:jc w:val="left"/>
              <w:rPr>
                <w:rFonts w:ascii="黑体" w:hAnsi="黑体" w:eastAsia="黑体" w:cs="宋体"/>
                <w:b/>
                <w:kern w:val="0"/>
                <w:szCs w:val="21"/>
              </w:rPr>
            </w:pPr>
            <w:r>
              <w:rPr>
                <w:rFonts w:hint="eastAsia" w:ascii="黑体" w:hAnsi="黑体" w:eastAsia="黑体" w:cs="宋体"/>
                <w:b/>
                <w:kern w:val="0"/>
                <w:szCs w:val="21"/>
              </w:rPr>
              <w:t>投标文件第一个信封（商务及技术文件）封套：</w:t>
            </w:r>
          </w:p>
          <w:p>
            <w:pPr>
              <w:adjustRightInd w:val="0"/>
              <w:snapToGrid w:val="0"/>
              <w:spacing w:line="291" w:lineRule="exact"/>
              <w:rPr>
                <w:rFonts w:ascii="宋体" w:hAnsi="宋体"/>
                <w:szCs w:val="21"/>
                <w:u w:val="single"/>
              </w:rPr>
            </w:pPr>
            <w:r>
              <w:rPr>
                <w:rFonts w:hint="eastAsia" w:ascii="宋体" w:hAnsi="宋体" w:cs="宋体"/>
                <w:szCs w:val="21"/>
              </w:rPr>
              <w:t>招标人名称：</w:t>
            </w:r>
            <w:r>
              <w:rPr>
                <w:rFonts w:hint="eastAsia" w:ascii="宋体" w:hAnsi="宋体" w:cs="宋体"/>
                <w:szCs w:val="21"/>
                <w:u w:val="single"/>
              </w:rPr>
              <w:t xml:space="preserve">                      </w:t>
            </w:r>
          </w:p>
          <w:p>
            <w:pPr>
              <w:adjustRightInd w:val="0"/>
              <w:snapToGrid w:val="0"/>
              <w:spacing w:line="291" w:lineRule="exact"/>
              <w:rPr>
                <w:rFonts w:ascii="宋体"/>
                <w:szCs w:val="21"/>
              </w:rPr>
            </w:pPr>
            <w:r>
              <w:rPr>
                <w:rFonts w:hint="eastAsia" w:ascii="宋体" w:hAnsi="宋体" w:cs="宋体"/>
                <w:szCs w:val="21"/>
              </w:rPr>
              <w:t>招标人地址：</w:t>
            </w:r>
            <w:r>
              <w:rPr>
                <w:rFonts w:hint="eastAsia" w:ascii="宋体" w:hAnsi="宋体" w:cs="宋体"/>
                <w:szCs w:val="21"/>
                <w:u w:val="single"/>
              </w:rPr>
              <w:t xml:space="preserve">                      </w:t>
            </w:r>
          </w:p>
          <w:p>
            <w:pPr>
              <w:adjustRightInd w:val="0"/>
              <w:snapToGrid w:val="0"/>
              <w:spacing w:line="291" w:lineRule="exac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（项目名称）</w:t>
            </w:r>
            <w:r>
              <w:rPr>
                <w:rFonts w:hint="eastAsia" w:ascii="宋体" w:hAnsi="宋体" w:cs="宋体"/>
                <w:szCs w:val="21"/>
                <w:u w:val="single"/>
              </w:rPr>
              <w:t xml:space="preserve">   </w:t>
            </w:r>
            <w:r>
              <w:rPr>
                <w:rFonts w:hint="eastAsia" w:ascii="宋体" w:hAnsi="宋体" w:cs="宋体"/>
                <w:szCs w:val="21"/>
              </w:rPr>
              <w:t>标段勘察设计招标第一个信封（商务及技术文件）投标文件</w:t>
            </w:r>
          </w:p>
          <w:p>
            <w:pPr>
              <w:adjustRightInd w:val="0"/>
              <w:snapToGrid w:val="0"/>
              <w:spacing w:line="291" w:lineRule="exact"/>
              <w:rPr>
                <w:rFonts w:ascii="宋体" w:hAnsi="宋体"/>
                <w:szCs w:val="21"/>
              </w:rPr>
            </w:pPr>
            <w:r>
              <w:rPr>
                <w:rStyle w:val="164"/>
                <w:rFonts w:ascii="宋体" w:hAnsi="宋体" w:eastAsia="宋体"/>
                <w:szCs w:val="21"/>
                <w:shd w:val="clear" w:color="auto" w:fill="auto"/>
              </w:rPr>
              <w:t>招标项目编号：</w:t>
            </w:r>
            <w:r>
              <w:rPr>
                <w:rFonts w:hint="eastAsia" w:ascii="宋体" w:hAnsi="宋体" w:cs="宋体"/>
                <w:szCs w:val="21"/>
                <w:u w:val="single"/>
              </w:rPr>
              <w:t xml:space="preserve">                      </w:t>
            </w:r>
          </w:p>
          <w:p>
            <w:pPr>
              <w:adjustRightInd w:val="0"/>
              <w:snapToGrid w:val="0"/>
              <w:spacing w:line="291" w:lineRule="exact"/>
              <w:rPr>
                <w:rFonts w:ascii="宋体"/>
                <w:szCs w:val="21"/>
              </w:rPr>
            </w:pPr>
            <w:r>
              <w:rPr>
                <w:rFonts w:hint="eastAsia" w:ascii="宋体" w:hAnsi="宋体" w:cs="宋体"/>
                <w:szCs w:val="21"/>
              </w:rPr>
              <w:t>在</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rPr>
              <w:t>分（第一个信封开标时间）前不得开启</w:t>
            </w:r>
          </w:p>
          <w:p>
            <w:pPr>
              <w:adjustRightInd w:val="0"/>
              <w:snapToGrid w:val="0"/>
              <w:spacing w:line="291" w:lineRule="exact"/>
              <w:rPr>
                <w:rFonts w:ascii="宋体" w:hAnsi="宋体"/>
                <w:szCs w:val="21"/>
              </w:rPr>
            </w:pPr>
            <w:r>
              <w:rPr>
                <w:rFonts w:hint="eastAsia" w:ascii="宋体" w:hAnsi="宋体" w:cs="宋体"/>
                <w:szCs w:val="21"/>
              </w:rPr>
              <w:t>投标人名称：</w:t>
            </w:r>
            <w:r>
              <w:rPr>
                <w:rFonts w:hint="eastAsia" w:ascii="宋体" w:hAnsi="宋体" w:cs="宋体"/>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Merge w:val="continue"/>
            <w:vAlign w:val="center"/>
          </w:tcPr>
          <w:p>
            <w:pPr>
              <w:adjustRightInd w:val="0"/>
              <w:snapToGrid w:val="0"/>
              <w:spacing w:before="100" w:beforeAutospacing="1" w:after="100" w:afterAutospacing="1" w:line="291" w:lineRule="exact"/>
              <w:jc w:val="center"/>
              <w:rPr>
                <w:rFonts w:ascii="宋体" w:hAnsi="宋体"/>
                <w:szCs w:val="21"/>
              </w:rPr>
            </w:pPr>
          </w:p>
        </w:tc>
        <w:tc>
          <w:tcPr>
            <w:tcW w:w="1059" w:type="pct"/>
            <w:vMerge w:val="continue"/>
            <w:vAlign w:val="center"/>
          </w:tcPr>
          <w:p>
            <w:pPr>
              <w:adjustRightInd w:val="0"/>
              <w:snapToGrid w:val="0"/>
              <w:spacing w:before="100" w:beforeAutospacing="1" w:after="100" w:afterAutospacing="1" w:line="291" w:lineRule="exact"/>
              <w:jc w:val="center"/>
              <w:rPr>
                <w:rFonts w:ascii="宋体" w:hAnsi="宋体"/>
                <w:szCs w:val="21"/>
              </w:rPr>
            </w:pPr>
          </w:p>
        </w:tc>
        <w:tc>
          <w:tcPr>
            <w:tcW w:w="3438" w:type="pct"/>
            <w:vAlign w:val="center"/>
          </w:tcPr>
          <w:p>
            <w:pPr>
              <w:adjustRightInd w:val="0"/>
              <w:snapToGrid w:val="0"/>
              <w:spacing w:line="291" w:lineRule="exact"/>
              <w:jc w:val="left"/>
              <w:rPr>
                <w:rFonts w:ascii="黑体" w:hAnsi="黑体" w:eastAsia="黑体" w:cs="宋体"/>
                <w:b/>
                <w:kern w:val="0"/>
                <w:szCs w:val="21"/>
              </w:rPr>
            </w:pPr>
            <w:r>
              <w:rPr>
                <w:rFonts w:hint="eastAsia" w:ascii="黑体" w:hAnsi="黑体" w:eastAsia="黑体" w:cs="宋体"/>
                <w:b/>
                <w:kern w:val="0"/>
                <w:szCs w:val="21"/>
              </w:rPr>
              <w:t>投标文件第二个信封（报价文件）封套：</w:t>
            </w:r>
          </w:p>
          <w:p>
            <w:pPr>
              <w:adjustRightInd w:val="0"/>
              <w:snapToGrid w:val="0"/>
              <w:spacing w:line="291" w:lineRule="exact"/>
              <w:rPr>
                <w:rFonts w:ascii="宋体" w:hAnsi="宋体"/>
                <w:szCs w:val="21"/>
              </w:rPr>
            </w:pPr>
            <w:r>
              <w:rPr>
                <w:rFonts w:hint="eastAsia" w:ascii="宋体" w:hAnsi="宋体"/>
                <w:szCs w:val="21"/>
              </w:rPr>
              <w:t>招标人名称：</w:t>
            </w:r>
            <w:r>
              <w:rPr>
                <w:rFonts w:hint="eastAsia" w:ascii="宋体" w:hAnsi="宋体" w:cs="宋体"/>
                <w:szCs w:val="21"/>
                <w:u w:val="single"/>
              </w:rPr>
              <w:t xml:space="preserve">                      </w:t>
            </w:r>
          </w:p>
          <w:p>
            <w:pPr>
              <w:adjustRightInd w:val="0"/>
              <w:snapToGrid w:val="0"/>
              <w:spacing w:line="291" w:lineRule="exact"/>
              <w:rPr>
                <w:rFonts w:ascii="宋体" w:hAnsi="宋体"/>
                <w:szCs w:val="21"/>
              </w:rPr>
            </w:pPr>
            <w:r>
              <w:rPr>
                <w:rFonts w:hint="eastAsia" w:ascii="宋体" w:hAnsi="宋体"/>
                <w:szCs w:val="21"/>
              </w:rPr>
              <w:t>招标人地址：</w:t>
            </w:r>
            <w:r>
              <w:rPr>
                <w:rFonts w:hint="eastAsia" w:ascii="宋体" w:hAnsi="宋体" w:cs="宋体"/>
                <w:szCs w:val="21"/>
                <w:u w:val="single"/>
              </w:rPr>
              <w:t xml:space="preserve">                      </w:t>
            </w:r>
          </w:p>
          <w:p>
            <w:pPr>
              <w:adjustRightInd w:val="0"/>
              <w:snapToGrid w:val="0"/>
              <w:spacing w:line="291" w:lineRule="exact"/>
              <w:rPr>
                <w:rFonts w:ascii="宋体" w:hAnsi="宋体"/>
                <w:szCs w:val="21"/>
              </w:rPr>
            </w:pPr>
            <w:r>
              <w:rPr>
                <w:rFonts w:hint="eastAsia" w:ascii="宋体" w:hAnsi="宋体" w:cs="宋体"/>
                <w:szCs w:val="21"/>
                <w:u w:val="single"/>
              </w:rPr>
              <w:t xml:space="preserve">                      </w:t>
            </w:r>
            <w:r>
              <w:rPr>
                <w:rFonts w:hint="eastAsia" w:ascii="宋体" w:hAnsi="宋体"/>
                <w:szCs w:val="21"/>
              </w:rPr>
              <w:t>（项目名称）</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标段勘察设计招标第二个信封（报价文件）投标文件</w:t>
            </w:r>
          </w:p>
          <w:p>
            <w:pPr>
              <w:adjustRightInd w:val="0"/>
              <w:snapToGrid w:val="0"/>
              <w:spacing w:line="291" w:lineRule="exact"/>
              <w:rPr>
                <w:rFonts w:ascii="宋体" w:hAnsi="宋体"/>
                <w:szCs w:val="21"/>
              </w:rPr>
            </w:pPr>
            <w:r>
              <w:rPr>
                <w:rFonts w:hint="eastAsia" w:ascii="宋体" w:hAnsi="宋体"/>
                <w:szCs w:val="21"/>
              </w:rPr>
              <w:t>招标项目编号：</w:t>
            </w:r>
            <w:r>
              <w:rPr>
                <w:rFonts w:ascii="宋体" w:hAnsi="宋体"/>
                <w:spacing w:val="-2"/>
                <w:szCs w:val="21"/>
                <w:u w:val="single"/>
              </w:rPr>
              <w:t xml:space="preserve">                    </w:t>
            </w:r>
          </w:p>
          <w:p>
            <w:pPr>
              <w:adjustRightInd w:val="0"/>
              <w:snapToGrid w:val="0"/>
              <w:spacing w:line="291" w:lineRule="exact"/>
              <w:rPr>
                <w:rFonts w:ascii="宋体" w:hAnsi="宋体"/>
                <w:szCs w:val="21"/>
              </w:rPr>
            </w:pPr>
            <w:r>
              <w:rPr>
                <w:rFonts w:hint="eastAsia" w:ascii="宋体" w:hAnsi="宋体"/>
                <w:szCs w:val="21"/>
              </w:rPr>
              <w:t>在</w:t>
            </w:r>
            <w:r>
              <w:rPr>
                <w:rFonts w:hint="eastAsia" w:ascii="宋体" w:hAnsi="宋体" w:cs="宋体"/>
                <w:szCs w:val="21"/>
              </w:rPr>
              <w:t>投标文件第二个信封（报价文件）开标</w:t>
            </w:r>
            <w:r>
              <w:rPr>
                <w:rFonts w:hint="eastAsia" w:ascii="宋体" w:hAnsi="宋体"/>
                <w:szCs w:val="21"/>
              </w:rPr>
              <w:t>前不得开启</w:t>
            </w:r>
          </w:p>
          <w:p>
            <w:pPr>
              <w:adjustRightInd w:val="0"/>
              <w:snapToGrid w:val="0"/>
              <w:spacing w:line="291" w:lineRule="exact"/>
              <w:rPr>
                <w:rFonts w:ascii="宋体" w:hAnsi="宋体"/>
                <w:szCs w:val="21"/>
              </w:rPr>
            </w:pPr>
            <w:r>
              <w:rPr>
                <w:rFonts w:hint="eastAsia" w:ascii="宋体" w:hAnsi="宋体"/>
                <w:szCs w:val="21"/>
              </w:rPr>
              <w:t>投标人名称：</w:t>
            </w:r>
            <w:r>
              <w:rPr>
                <w:rFonts w:hint="eastAsia" w:ascii="宋体" w:hAnsi="宋体" w:cs="宋体"/>
                <w:szCs w:val="21"/>
                <w:u w:val="single"/>
              </w:rPr>
              <w:t xml:space="preserve">                      </w:t>
            </w:r>
          </w:p>
          <w:p>
            <w:pPr>
              <w:adjustRightInd w:val="0"/>
              <w:snapToGrid w:val="0"/>
              <w:spacing w:line="291" w:lineRule="exact"/>
              <w:rPr>
                <w:rFonts w:ascii="黑体" w:hAnsi="黑体" w:eastAsia="黑体" w:cs="宋体"/>
                <w:b/>
                <w:kern w:val="0"/>
                <w:szCs w:val="21"/>
              </w:rPr>
            </w:pPr>
            <w:r>
              <w:rPr>
                <w:rFonts w:hint="eastAsia" w:ascii="宋体" w:hAnsi="宋体"/>
                <w:szCs w:val="21"/>
              </w:rPr>
              <w:t>投标人地址：</w:t>
            </w:r>
            <w:r>
              <w:rPr>
                <w:rFonts w:hint="eastAsia" w:ascii="宋体" w:hAnsi="宋体" w:cs="宋体"/>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Merge w:val="continue"/>
            <w:vAlign w:val="center"/>
          </w:tcPr>
          <w:p>
            <w:pPr>
              <w:adjustRightInd w:val="0"/>
              <w:snapToGrid w:val="0"/>
              <w:spacing w:before="100" w:beforeAutospacing="1" w:after="100" w:afterAutospacing="1" w:line="291" w:lineRule="exact"/>
              <w:jc w:val="center"/>
              <w:rPr>
                <w:rFonts w:ascii="宋体" w:hAnsi="宋体"/>
                <w:szCs w:val="21"/>
              </w:rPr>
            </w:pPr>
          </w:p>
        </w:tc>
        <w:tc>
          <w:tcPr>
            <w:tcW w:w="1059" w:type="pct"/>
            <w:vMerge w:val="continue"/>
            <w:vAlign w:val="center"/>
          </w:tcPr>
          <w:p>
            <w:pPr>
              <w:adjustRightInd w:val="0"/>
              <w:snapToGrid w:val="0"/>
              <w:spacing w:before="100" w:beforeAutospacing="1" w:after="100" w:afterAutospacing="1" w:line="291" w:lineRule="exact"/>
              <w:jc w:val="center"/>
              <w:rPr>
                <w:rFonts w:ascii="宋体" w:hAnsi="宋体"/>
                <w:szCs w:val="21"/>
              </w:rPr>
            </w:pPr>
          </w:p>
        </w:tc>
        <w:tc>
          <w:tcPr>
            <w:tcW w:w="3438" w:type="pct"/>
            <w:vAlign w:val="center"/>
          </w:tcPr>
          <w:p>
            <w:pPr>
              <w:adjustRightInd w:val="0"/>
              <w:snapToGrid w:val="0"/>
              <w:spacing w:line="291" w:lineRule="exact"/>
              <w:jc w:val="left"/>
              <w:rPr>
                <w:rFonts w:ascii="黑体" w:hAnsi="黑体" w:eastAsia="黑体" w:cs="宋体"/>
                <w:b/>
                <w:kern w:val="0"/>
                <w:szCs w:val="21"/>
              </w:rPr>
            </w:pPr>
            <w:r>
              <w:rPr>
                <w:rFonts w:hint="eastAsia" w:ascii="黑体" w:hAnsi="黑体" w:eastAsia="黑体" w:cs="宋体"/>
                <w:b/>
                <w:kern w:val="0"/>
                <w:szCs w:val="21"/>
              </w:rPr>
              <w:t>银行保函封套：</w:t>
            </w:r>
          </w:p>
          <w:p>
            <w:pPr>
              <w:adjustRightInd w:val="0"/>
              <w:snapToGrid w:val="0"/>
              <w:spacing w:beforeLines="15" w:afterLines="15"/>
              <w:jc w:val="left"/>
              <w:rPr>
                <w:rFonts w:ascii="宋体" w:hAnsi="宋体"/>
                <w:szCs w:val="21"/>
              </w:rPr>
            </w:pPr>
            <w:r>
              <w:rPr>
                <w:rFonts w:hint="eastAsia" w:ascii="宋体" w:hAnsi="宋体"/>
                <w:spacing w:val="-2"/>
                <w:szCs w:val="21"/>
              </w:rPr>
              <w:t>招标人名称</w:t>
            </w:r>
            <w:r>
              <w:rPr>
                <w:rFonts w:hint="eastAsia" w:ascii="宋体" w:hAnsi="宋体"/>
                <w:szCs w:val="21"/>
              </w:rPr>
              <w:t>：</w:t>
            </w:r>
            <w:r>
              <w:rPr>
                <w:rFonts w:ascii="宋体" w:hAnsi="宋体"/>
                <w:spacing w:val="-2"/>
                <w:szCs w:val="21"/>
                <w:u w:val="single"/>
              </w:rPr>
              <w:t xml:space="preserve">                                        </w:t>
            </w:r>
          </w:p>
          <w:p>
            <w:pPr>
              <w:adjustRightInd w:val="0"/>
              <w:snapToGrid w:val="0"/>
              <w:spacing w:beforeLines="15" w:afterLines="15"/>
              <w:jc w:val="left"/>
              <w:rPr>
                <w:rFonts w:ascii="宋体" w:hAnsi="宋体"/>
                <w:szCs w:val="21"/>
              </w:rPr>
            </w:pPr>
            <w:r>
              <w:rPr>
                <w:rFonts w:hint="eastAsia" w:ascii="宋体" w:hAnsi="宋体"/>
                <w:szCs w:val="21"/>
              </w:rPr>
              <w:t>招标人地址：</w:t>
            </w:r>
            <w:r>
              <w:rPr>
                <w:rFonts w:ascii="宋体" w:hAnsi="宋体"/>
                <w:spacing w:val="-2"/>
                <w:szCs w:val="21"/>
                <w:u w:val="single"/>
              </w:rPr>
              <w:t xml:space="preserve">                                        </w:t>
            </w:r>
          </w:p>
          <w:p>
            <w:pPr>
              <w:snapToGrid w:val="0"/>
              <w:spacing w:beforeLines="15" w:afterLines="15"/>
              <w:jc w:val="left"/>
              <w:rPr>
                <w:rFonts w:ascii="宋体" w:hAnsi="宋体"/>
                <w:szCs w:val="21"/>
              </w:rPr>
            </w:pP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项目名称）</w:t>
            </w:r>
            <w:r>
              <w:rPr>
                <w:rFonts w:ascii="宋体" w:hAnsi="宋体"/>
                <w:szCs w:val="21"/>
                <w:u w:val="single"/>
              </w:rPr>
              <w:t xml:space="preserve">        </w:t>
            </w:r>
            <w:r>
              <w:rPr>
                <w:rFonts w:hint="eastAsia" w:ascii="宋体" w:hAnsi="宋体"/>
                <w:szCs w:val="21"/>
              </w:rPr>
              <w:t>标段勘察设计招标</w:t>
            </w:r>
          </w:p>
          <w:p>
            <w:pPr>
              <w:snapToGrid w:val="0"/>
              <w:spacing w:beforeLines="15" w:afterLines="15"/>
              <w:jc w:val="left"/>
              <w:rPr>
                <w:rFonts w:ascii="宋体" w:hAnsi="宋体"/>
                <w:szCs w:val="21"/>
              </w:rPr>
            </w:pPr>
            <w:r>
              <w:rPr>
                <w:rFonts w:hint="eastAsia" w:ascii="宋体" w:hAnsi="宋体"/>
                <w:szCs w:val="21"/>
              </w:rPr>
              <w:t>投标保证金（银行保函原件）</w:t>
            </w:r>
          </w:p>
          <w:p>
            <w:pPr>
              <w:adjustRightInd w:val="0"/>
              <w:snapToGrid w:val="0"/>
              <w:spacing w:beforeLines="15" w:afterLines="15"/>
              <w:jc w:val="left"/>
              <w:rPr>
                <w:rFonts w:ascii="宋体" w:hAnsi="宋体"/>
                <w:szCs w:val="21"/>
              </w:rPr>
            </w:pPr>
            <w:r>
              <w:rPr>
                <w:rFonts w:hint="eastAsia" w:ascii="宋体" w:hAnsi="宋体"/>
                <w:szCs w:val="21"/>
              </w:rPr>
              <w:t>招标项目编号：</w:t>
            </w:r>
            <w:r>
              <w:rPr>
                <w:rFonts w:ascii="宋体" w:hAnsi="宋体"/>
                <w:spacing w:val="-2"/>
                <w:szCs w:val="21"/>
                <w:u w:val="single"/>
              </w:rPr>
              <w:t xml:space="preserve">                    </w:t>
            </w:r>
          </w:p>
          <w:p>
            <w:pPr>
              <w:adjustRightInd w:val="0"/>
              <w:snapToGrid w:val="0"/>
              <w:spacing w:line="291" w:lineRule="exact"/>
              <w:jc w:val="left"/>
              <w:rPr>
                <w:rFonts w:ascii="黑体" w:hAnsi="宋体" w:eastAsia="黑体" w:cs="黑体"/>
                <w:b/>
                <w:bCs/>
                <w:kern w:val="0"/>
                <w:szCs w:val="21"/>
              </w:rPr>
            </w:pPr>
            <w:r>
              <w:rPr>
                <w:rFonts w:hint="eastAsia" w:ascii="宋体" w:hAnsi="宋体"/>
                <w:spacing w:val="-2"/>
                <w:szCs w:val="21"/>
              </w:rPr>
              <w:t>投标人名称：</w:t>
            </w:r>
            <w:r>
              <w:rPr>
                <w:rFonts w:ascii="宋体" w:hAnsi="宋体"/>
                <w:spacing w:val="-2"/>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4.2.3</w:t>
            </w:r>
          </w:p>
        </w:tc>
        <w:tc>
          <w:tcPr>
            <w:tcW w:w="1059" w:type="pct"/>
            <w:vAlign w:val="center"/>
          </w:tcPr>
          <w:p>
            <w:pPr>
              <w:spacing w:line="291" w:lineRule="exact"/>
              <w:jc w:val="center"/>
              <w:rPr>
                <w:szCs w:val="21"/>
              </w:rPr>
            </w:pPr>
            <w:r>
              <w:rPr>
                <w:rFonts w:hint="eastAsia" w:hAnsi="宋体"/>
                <w:szCs w:val="21"/>
              </w:rPr>
              <w:t>是否退还投标文件</w:t>
            </w:r>
          </w:p>
        </w:tc>
        <w:tc>
          <w:tcPr>
            <w:tcW w:w="3438" w:type="pct"/>
            <w:vAlign w:val="center"/>
          </w:tcPr>
          <w:p>
            <w:pPr>
              <w:autoSpaceDE w:val="0"/>
              <w:autoSpaceDN w:val="0"/>
              <w:adjustRightInd w:val="0"/>
              <w:spacing w:line="291" w:lineRule="exact"/>
              <w:rPr>
                <w:rFonts w:ascii="宋体" w:hAnsi="宋体"/>
                <w:szCs w:val="21"/>
              </w:rPr>
            </w:pPr>
            <w:r>
              <w:rPr>
                <w:rFonts w:hint="eastAsia" w:ascii="宋体" w:hAnsi="宋体"/>
                <w:szCs w:val="21"/>
              </w:rPr>
              <w:t>□</w:t>
            </w:r>
            <w:r>
              <w:rPr>
                <w:rFonts w:ascii="宋体" w:hAnsi="宋体"/>
                <w:szCs w:val="21"/>
              </w:rPr>
              <w:t>否</w:t>
            </w:r>
          </w:p>
          <w:p>
            <w:pPr>
              <w:spacing w:line="291" w:lineRule="exact"/>
              <w:rPr>
                <w:szCs w:val="21"/>
              </w:rPr>
            </w:pPr>
            <w:r>
              <w:rPr>
                <w:rFonts w:ascii="宋体" w:hAnsi="宋体" w:cs="宋体"/>
                <w:kern w:val="0"/>
                <w:szCs w:val="21"/>
                <w:lang w:val="zh-CN"/>
              </w:rPr>
              <w:fldChar w:fldCharType="begin"/>
            </w:r>
            <w:r>
              <w:rPr>
                <w:rFonts w:hint="eastAsia" w:ascii="宋体" w:hAnsi="宋体" w:cs="宋体"/>
                <w:kern w:val="0"/>
                <w:szCs w:val="21"/>
                <w:lang w:val="zh-CN"/>
              </w:rPr>
              <w:instrText xml:space="preserve">eq \o\ac(□,√)</w:instrText>
            </w:r>
            <w:r>
              <w:rPr>
                <w:rFonts w:ascii="宋体" w:hAnsi="宋体" w:cs="宋体"/>
                <w:kern w:val="0"/>
                <w:szCs w:val="21"/>
                <w:lang w:val="zh-CN"/>
              </w:rPr>
              <w:fldChar w:fldCharType="end"/>
            </w:r>
            <w:r>
              <w:rPr>
                <w:rFonts w:ascii="宋体" w:hAnsi="宋体"/>
                <w:szCs w:val="21"/>
              </w:rPr>
              <w:t>是</w:t>
            </w:r>
            <w:r>
              <w:rPr>
                <w:rFonts w:hint="eastAsia" w:ascii="宋体" w:hAnsi="宋体"/>
                <w:szCs w:val="21"/>
              </w:rPr>
              <w:t>。将未</w:t>
            </w:r>
            <w:r>
              <w:rPr>
                <w:rFonts w:ascii="宋体" w:hAnsi="宋体"/>
                <w:szCs w:val="21"/>
              </w:rPr>
              <w:t>通过第一信封评审</w:t>
            </w:r>
            <w:r>
              <w:rPr>
                <w:rFonts w:hint="eastAsia" w:ascii="宋体" w:hAnsi="宋体"/>
                <w:szCs w:val="21"/>
              </w:rPr>
              <w:t>的投标人其</w:t>
            </w:r>
            <w:r>
              <w:rPr>
                <w:rFonts w:ascii="宋体" w:hAnsi="宋体"/>
                <w:szCs w:val="21"/>
              </w:rPr>
              <w:t>第二</w:t>
            </w:r>
            <w:r>
              <w:rPr>
                <w:rFonts w:hint="eastAsia" w:ascii="宋体" w:hAnsi="宋体"/>
                <w:szCs w:val="21"/>
              </w:rPr>
              <w:t>信封</w:t>
            </w:r>
            <w:r>
              <w:rPr>
                <w:rFonts w:ascii="宋体" w:hAnsi="宋体"/>
                <w:szCs w:val="21"/>
              </w:rPr>
              <w:t>退回给投标人</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hint="eastAsia" w:ascii="宋体" w:hAnsi="宋体"/>
                <w:szCs w:val="21"/>
              </w:rPr>
              <w:t>5.1</w:t>
            </w:r>
          </w:p>
        </w:tc>
        <w:tc>
          <w:tcPr>
            <w:tcW w:w="1059" w:type="pct"/>
            <w:vAlign w:val="center"/>
          </w:tcPr>
          <w:p>
            <w:pPr>
              <w:adjustRightInd w:val="0"/>
              <w:snapToGrid w:val="0"/>
              <w:spacing w:before="100" w:beforeAutospacing="1" w:after="100" w:afterAutospacing="1" w:line="291" w:lineRule="exact"/>
              <w:jc w:val="center"/>
              <w:rPr>
                <w:rFonts w:ascii="宋体" w:hAnsi="宋体"/>
                <w:szCs w:val="21"/>
              </w:rPr>
            </w:pPr>
            <w:r>
              <w:rPr>
                <w:rFonts w:hint="eastAsia" w:ascii="宋体" w:hAnsi="宋体"/>
                <w:szCs w:val="21"/>
              </w:rPr>
              <w:t>开标时间和地点</w:t>
            </w:r>
          </w:p>
        </w:tc>
        <w:tc>
          <w:tcPr>
            <w:tcW w:w="3438" w:type="pct"/>
            <w:vAlign w:val="center"/>
          </w:tcPr>
          <w:p>
            <w:pPr>
              <w:adjustRightInd w:val="0"/>
              <w:snapToGrid w:val="0"/>
              <w:spacing w:line="291" w:lineRule="exact"/>
              <w:rPr>
                <w:rFonts w:ascii="宋体" w:hAnsi="宋体"/>
                <w:szCs w:val="21"/>
              </w:rPr>
            </w:pPr>
            <w:r>
              <w:rPr>
                <w:rFonts w:ascii="宋体" w:hAnsi="宋体"/>
                <w:szCs w:val="21"/>
              </w:rPr>
              <w:t>投标文件第一个信封（商务及技术文件）开标时间：</w:t>
            </w:r>
          </w:p>
          <w:p>
            <w:pPr>
              <w:adjustRightInd w:val="0"/>
              <w:snapToGrid w:val="0"/>
              <w:spacing w:line="291" w:lineRule="exact"/>
              <w:rPr>
                <w:rFonts w:ascii="宋体" w:hAnsi="宋体"/>
                <w:szCs w:val="21"/>
              </w:rPr>
            </w:pPr>
            <w:r>
              <w:rPr>
                <w:rFonts w:ascii="宋体" w:hAnsi="宋体"/>
                <w:szCs w:val="21"/>
              </w:rPr>
              <w:t>同投标截止时间</w:t>
            </w:r>
            <w:r>
              <w:rPr>
                <w:rFonts w:hint="eastAsia" w:ascii="宋体" w:hAnsi="宋体"/>
                <w:szCs w:val="21"/>
              </w:rPr>
              <w:t>。</w:t>
            </w:r>
          </w:p>
          <w:p>
            <w:pPr>
              <w:adjustRightInd w:val="0"/>
              <w:snapToGrid w:val="0"/>
              <w:spacing w:line="291" w:lineRule="exact"/>
              <w:rPr>
                <w:rFonts w:ascii="宋体" w:hAnsi="宋体"/>
                <w:szCs w:val="21"/>
              </w:rPr>
            </w:pPr>
            <w:r>
              <w:rPr>
                <w:rFonts w:ascii="宋体" w:hAnsi="宋体"/>
                <w:szCs w:val="21"/>
              </w:rPr>
              <w:t>投标文件第一个信封（商务及技术文件）开标地点：</w:t>
            </w:r>
          </w:p>
          <w:p>
            <w:pPr>
              <w:adjustRightInd w:val="0"/>
              <w:snapToGrid w:val="0"/>
              <w:spacing w:line="291" w:lineRule="exact"/>
              <w:rPr>
                <w:rFonts w:ascii="宋体" w:hAnsi="宋体"/>
                <w:szCs w:val="21"/>
              </w:rPr>
            </w:pPr>
            <w:r>
              <w:rPr>
                <w:rFonts w:hint="eastAsia" w:ascii="宋体" w:hAnsi="宋体"/>
                <w:szCs w:val="21"/>
              </w:rPr>
              <w:t>同递交投标文件地点。</w:t>
            </w:r>
          </w:p>
          <w:p>
            <w:pPr>
              <w:adjustRightInd w:val="0"/>
              <w:snapToGrid w:val="0"/>
              <w:spacing w:line="291" w:lineRule="exact"/>
              <w:rPr>
                <w:rFonts w:ascii="宋体" w:hAnsi="宋体"/>
                <w:szCs w:val="21"/>
              </w:rPr>
            </w:pPr>
            <w:r>
              <w:rPr>
                <w:rFonts w:ascii="宋体" w:hAnsi="宋体"/>
                <w:szCs w:val="21"/>
              </w:rPr>
              <w:t>投标文件第二个信封（</w:t>
            </w:r>
            <w:r>
              <w:rPr>
                <w:rFonts w:hint="eastAsia" w:ascii="宋体" w:hAnsi="宋体"/>
                <w:szCs w:val="21"/>
              </w:rPr>
              <w:t>报价文件</w:t>
            </w:r>
            <w:r>
              <w:rPr>
                <w:rFonts w:ascii="宋体" w:hAnsi="宋体"/>
                <w:szCs w:val="21"/>
              </w:rPr>
              <w:t>）开标时间：</w:t>
            </w:r>
          </w:p>
          <w:p>
            <w:pPr>
              <w:snapToGrid w:val="0"/>
              <w:spacing w:beforeLines="15" w:afterLines="15"/>
              <w:ind w:leftChars="-23" w:hanging="48" w:hangingChars="23"/>
              <w:jc w:val="left"/>
              <w:rPr>
                <w:rFonts w:ascii="宋体" w:hAnsi="宋体"/>
                <w:szCs w:val="21"/>
              </w:rPr>
            </w:pPr>
            <w:r>
              <w:rPr>
                <w:rFonts w:hint="eastAsia" w:ascii="宋体" w:hAnsi="宋体"/>
                <w:szCs w:val="21"/>
              </w:rPr>
              <w:t>2020年11月4日14时00分。</w:t>
            </w:r>
          </w:p>
          <w:p>
            <w:pPr>
              <w:adjustRightInd w:val="0"/>
              <w:snapToGrid w:val="0"/>
              <w:spacing w:line="291" w:lineRule="exact"/>
              <w:rPr>
                <w:rFonts w:ascii="宋体" w:hAnsi="宋体"/>
                <w:szCs w:val="21"/>
              </w:rPr>
            </w:pPr>
            <w:r>
              <w:rPr>
                <w:rFonts w:ascii="宋体" w:hAnsi="宋体"/>
                <w:szCs w:val="21"/>
              </w:rPr>
              <w:t>投标文件第</w:t>
            </w:r>
            <w:r>
              <w:rPr>
                <w:rFonts w:hint="eastAsia" w:ascii="宋体" w:hAnsi="宋体"/>
                <w:szCs w:val="21"/>
              </w:rPr>
              <w:t>二</w:t>
            </w:r>
            <w:r>
              <w:rPr>
                <w:rFonts w:ascii="宋体" w:hAnsi="宋体"/>
                <w:szCs w:val="21"/>
              </w:rPr>
              <w:t>个信封（</w:t>
            </w:r>
            <w:r>
              <w:rPr>
                <w:rFonts w:hint="eastAsia" w:ascii="宋体" w:hAnsi="宋体"/>
                <w:szCs w:val="21"/>
              </w:rPr>
              <w:t>报价文件</w:t>
            </w:r>
            <w:r>
              <w:rPr>
                <w:rFonts w:ascii="宋体" w:hAnsi="宋体"/>
                <w:szCs w:val="21"/>
              </w:rPr>
              <w:t>）开标地点：</w:t>
            </w:r>
          </w:p>
          <w:p>
            <w:pPr>
              <w:adjustRightInd w:val="0"/>
              <w:snapToGrid w:val="0"/>
              <w:spacing w:line="291" w:lineRule="exact"/>
              <w:rPr>
                <w:rFonts w:ascii="宋体" w:hAnsi="宋体"/>
                <w:szCs w:val="21"/>
              </w:rPr>
            </w:pPr>
            <w:r>
              <w:rPr>
                <w:rFonts w:hint="eastAsia" w:ascii="黑体" w:hAnsi="黑体" w:eastAsia="黑体"/>
                <w:szCs w:val="21"/>
              </w:rPr>
              <w:t>吉林省公共资源交易中心四楼开标室（吉林省人民政府政务大厅楼内，长春市人民大街9999号）。</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hint="eastAsia" w:ascii="宋体" w:hAnsi="宋体"/>
                <w:szCs w:val="21"/>
              </w:rPr>
              <w:t>5.2.1</w:t>
            </w:r>
          </w:p>
        </w:tc>
        <w:tc>
          <w:tcPr>
            <w:tcW w:w="1059" w:type="pct"/>
            <w:vAlign w:val="center"/>
          </w:tcPr>
          <w:p>
            <w:pPr>
              <w:spacing w:line="291" w:lineRule="exact"/>
              <w:jc w:val="center"/>
              <w:rPr>
                <w:rFonts w:ascii="宋体" w:hAnsi="宋体"/>
                <w:szCs w:val="21"/>
              </w:rPr>
            </w:pPr>
            <w:r>
              <w:rPr>
                <w:rFonts w:hint="eastAsia" w:ascii="宋体" w:hAnsi="宋体"/>
                <w:szCs w:val="21"/>
              </w:rPr>
              <w:t>第一个信封</w:t>
            </w:r>
          </w:p>
          <w:p>
            <w:pPr>
              <w:spacing w:line="291" w:lineRule="exact"/>
              <w:jc w:val="center"/>
              <w:rPr>
                <w:rFonts w:ascii="宋体" w:hAnsi="宋体"/>
                <w:spacing w:val="-10"/>
                <w:szCs w:val="21"/>
              </w:rPr>
            </w:pPr>
            <w:r>
              <w:rPr>
                <w:rFonts w:hint="eastAsia" w:ascii="宋体" w:hAnsi="宋体"/>
                <w:spacing w:val="-10"/>
                <w:szCs w:val="21"/>
              </w:rPr>
              <w:t>（商务及技术文件）</w:t>
            </w:r>
          </w:p>
          <w:p>
            <w:pPr>
              <w:spacing w:line="291" w:lineRule="exact"/>
              <w:jc w:val="center"/>
              <w:rPr>
                <w:rFonts w:ascii="宋体" w:hAnsi="宋体"/>
                <w:szCs w:val="21"/>
              </w:rPr>
            </w:pPr>
            <w:r>
              <w:rPr>
                <w:rFonts w:hint="eastAsia" w:ascii="宋体" w:hAnsi="宋体"/>
                <w:szCs w:val="21"/>
              </w:rPr>
              <w:t>开标程序</w:t>
            </w:r>
          </w:p>
        </w:tc>
        <w:tc>
          <w:tcPr>
            <w:tcW w:w="3438" w:type="pct"/>
            <w:vAlign w:val="center"/>
          </w:tcPr>
          <w:p>
            <w:pPr>
              <w:adjustRightInd w:val="0"/>
              <w:snapToGrid w:val="0"/>
              <w:spacing w:line="291" w:lineRule="exact"/>
              <w:rPr>
                <w:rFonts w:ascii="宋体" w:hAnsi="宋体"/>
                <w:szCs w:val="21"/>
              </w:rPr>
            </w:pPr>
            <w:r>
              <w:rPr>
                <w:rFonts w:hint="eastAsia" w:ascii="宋体" w:hAnsi="宋体"/>
                <w:szCs w:val="21"/>
              </w:rPr>
              <w:t>（4）</w:t>
            </w:r>
            <w:r>
              <w:rPr>
                <w:rFonts w:ascii="宋体" w:hAnsi="宋体"/>
                <w:szCs w:val="21"/>
              </w:rPr>
              <w:t>由投标人代表检查投标文件的密封情况</w:t>
            </w:r>
            <w:r>
              <w:rPr>
                <w:rFonts w:hint="eastAsia" w:ascii="宋体" w:hAnsi="宋体"/>
                <w:szCs w:val="21"/>
              </w:rPr>
              <w:t>：检查商务及技术文件是否存在提前开启情况</w:t>
            </w:r>
            <w:r>
              <w:rPr>
                <w:rFonts w:ascii="宋体" w:hAnsi="宋体"/>
                <w:szCs w:val="21"/>
              </w:rPr>
              <w:t>；</w:t>
            </w:r>
          </w:p>
          <w:p>
            <w:pPr>
              <w:adjustRightInd w:val="0"/>
              <w:snapToGrid w:val="0"/>
              <w:spacing w:line="291" w:lineRule="exact"/>
              <w:rPr>
                <w:rFonts w:ascii="宋体" w:hAnsi="宋体"/>
                <w:szCs w:val="21"/>
              </w:rPr>
            </w:pPr>
            <w:r>
              <w:rPr>
                <w:rFonts w:hint="eastAsia" w:ascii="宋体" w:hAnsi="宋体"/>
                <w:szCs w:val="21"/>
              </w:rPr>
              <w:t>（5）按照投标人名称的汉语拼音升序（以Microsoft Office自动排序为准）的开标顺序开标。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trHeight w:val="1365" w:hRule="atLeast"/>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hint="eastAsia" w:ascii="宋体" w:hAnsi="宋体"/>
                <w:szCs w:val="21"/>
              </w:rPr>
              <w:t>5.2.3</w:t>
            </w:r>
          </w:p>
        </w:tc>
        <w:tc>
          <w:tcPr>
            <w:tcW w:w="1059" w:type="pct"/>
            <w:vAlign w:val="center"/>
          </w:tcPr>
          <w:p>
            <w:pPr>
              <w:spacing w:line="291" w:lineRule="exact"/>
              <w:jc w:val="center"/>
              <w:rPr>
                <w:rFonts w:ascii="宋体" w:hAnsi="宋体"/>
                <w:szCs w:val="21"/>
              </w:rPr>
            </w:pPr>
            <w:r>
              <w:rPr>
                <w:rFonts w:hint="eastAsia" w:ascii="宋体" w:hAnsi="宋体"/>
                <w:szCs w:val="21"/>
              </w:rPr>
              <w:t>第二个信封</w:t>
            </w:r>
          </w:p>
          <w:p>
            <w:pPr>
              <w:spacing w:line="291" w:lineRule="exact"/>
              <w:jc w:val="center"/>
              <w:rPr>
                <w:rFonts w:ascii="宋体" w:hAnsi="宋体"/>
                <w:szCs w:val="21"/>
              </w:rPr>
            </w:pPr>
            <w:r>
              <w:rPr>
                <w:rFonts w:hint="eastAsia" w:ascii="宋体" w:hAnsi="宋体"/>
                <w:szCs w:val="21"/>
              </w:rPr>
              <w:t>（报价文件）</w:t>
            </w:r>
          </w:p>
          <w:p>
            <w:pPr>
              <w:spacing w:line="291" w:lineRule="exact"/>
              <w:jc w:val="center"/>
              <w:rPr>
                <w:rFonts w:ascii="宋体" w:hAnsi="宋体"/>
                <w:szCs w:val="21"/>
              </w:rPr>
            </w:pPr>
            <w:r>
              <w:rPr>
                <w:rFonts w:hint="eastAsia" w:ascii="宋体" w:hAnsi="宋体"/>
                <w:szCs w:val="21"/>
              </w:rPr>
              <w:t>开标程序</w:t>
            </w:r>
          </w:p>
        </w:tc>
        <w:tc>
          <w:tcPr>
            <w:tcW w:w="3438" w:type="pct"/>
          </w:tcPr>
          <w:p>
            <w:pPr>
              <w:adjustRightInd w:val="0"/>
              <w:snapToGrid w:val="0"/>
              <w:spacing w:line="291" w:lineRule="exact"/>
              <w:rPr>
                <w:rFonts w:ascii="宋体" w:hAnsi="宋体"/>
                <w:szCs w:val="21"/>
              </w:rPr>
            </w:pPr>
            <w:r>
              <w:rPr>
                <w:rFonts w:hint="eastAsia" w:ascii="宋体" w:hAnsi="宋体"/>
                <w:szCs w:val="21"/>
              </w:rPr>
              <w:t>（4）</w:t>
            </w:r>
            <w:r>
              <w:rPr>
                <w:rFonts w:ascii="宋体" w:hAnsi="宋体"/>
                <w:szCs w:val="21"/>
              </w:rPr>
              <w:t>由投标人代表检查投标文件的密封情况</w:t>
            </w:r>
            <w:r>
              <w:rPr>
                <w:rFonts w:hint="eastAsia" w:ascii="宋体" w:hAnsi="宋体"/>
                <w:szCs w:val="21"/>
              </w:rPr>
              <w:t>：检查报价文件是否存在提前开启情况</w:t>
            </w:r>
            <w:r>
              <w:rPr>
                <w:rFonts w:ascii="宋体" w:hAnsi="宋体"/>
                <w:szCs w:val="21"/>
              </w:rPr>
              <w:t>；</w:t>
            </w:r>
          </w:p>
          <w:p>
            <w:pPr>
              <w:adjustRightInd w:val="0"/>
              <w:snapToGrid w:val="0"/>
              <w:spacing w:line="291" w:lineRule="exact"/>
              <w:rPr>
                <w:szCs w:val="21"/>
              </w:rPr>
            </w:pPr>
            <w:r>
              <w:rPr>
                <w:rFonts w:hint="eastAsia" w:ascii="宋体" w:hAnsi="宋体"/>
                <w:szCs w:val="21"/>
              </w:rPr>
              <w:t>（5）按照投标人名称的汉语拼音升序（以Microsoft Office自动排序为准）的开标顺序开标。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6.1.1</w:t>
            </w:r>
          </w:p>
        </w:tc>
        <w:tc>
          <w:tcPr>
            <w:tcW w:w="1059" w:type="pct"/>
            <w:vAlign w:val="center"/>
          </w:tcPr>
          <w:p>
            <w:pPr>
              <w:spacing w:line="291" w:lineRule="exact"/>
              <w:jc w:val="center"/>
              <w:rPr>
                <w:szCs w:val="21"/>
              </w:rPr>
            </w:pPr>
            <w:r>
              <w:rPr>
                <w:rFonts w:hint="eastAsia" w:hAnsi="宋体"/>
                <w:szCs w:val="21"/>
              </w:rPr>
              <w:t>评标委员会的组建</w:t>
            </w:r>
          </w:p>
        </w:tc>
        <w:tc>
          <w:tcPr>
            <w:tcW w:w="3438" w:type="pct"/>
            <w:vAlign w:val="center"/>
          </w:tcPr>
          <w:p>
            <w:pPr>
              <w:spacing w:line="291" w:lineRule="exact"/>
              <w:rPr>
                <w:rFonts w:ascii="宋体" w:hAnsi="宋体"/>
                <w:szCs w:val="21"/>
              </w:rPr>
            </w:pPr>
            <w:r>
              <w:rPr>
                <w:rFonts w:hint="eastAsia" w:ascii="宋体" w:hAnsi="宋体"/>
                <w:szCs w:val="21"/>
              </w:rPr>
              <w:t>评标委员会构成：</w:t>
            </w:r>
            <w:r>
              <w:rPr>
                <w:rFonts w:hint="eastAsia" w:ascii="宋体" w:hAnsi="宋体"/>
                <w:szCs w:val="21"/>
                <w:u w:val="single"/>
              </w:rPr>
              <w:t>5</w:t>
            </w:r>
            <w:r>
              <w:rPr>
                <w:rFonts w:hint="eastAsia" w:ascii="宋体" w:hAnsi="宋体"/>
                <w:szCs w:val="21"/>
              </w:rPr>
              <w:t>人，其中招标人代表</w:t>
            </w:r>
            <w:r>
              <w:rPr>
                <w:rFonts w:ascii="宋体" w:hAnsi="宋体"/>
                <w:szCs w:val="21"/>
                <w:u w:val="single"/>
              </w:rPr>
              <w:t>1</w:t>
            </w:r>
            <w:r>
              <w:rPr>
                <w:rFonts w:hint="eastAsia" w:ascii="宋体" w:hAnsi="宋体"/>
                <w:szCs w:val="21"/>
              </w:rPr>
              <w:t>人，专家</w:t>
            </w:r>
            <w:r>
              <w:rPr>
                <w:rFonts w:hint="eastAsia" w:ascii="宋体" w:hAnsi="宋体"/>
                <w:szCs w:val="21"/>
                <w:u w:val="single"/>
              </w:rPr>
              <w:t>4</w:t>
            </w:r>
            <w:r>
              <w:rPr>
                <w:rFonts w:hint="eastAsia" w:ascii="宋体" w:hAnsi="宋体"/>
                <w:szCs w:val="21"/>
              </w:rPr>
              <w:t>人；</w:t>
            </w:r>
          </w:p>
          <w:p>
            <w:pPr>
              <w:spacing w:line="291" w:lineRule="exact"/>
              <w:rPr>
                <w:szCs w:val="21"/>
              </w:rPr>
            </w:pPr>
            <w:r>
              <w:rPr>
                <w:rFonts w:hint="eastAsia" w:ascii="宋体" w:hAnsi="宋体"/>
                <w:szCs w:val="21"/>
              </w:rPr>
              <w:t>评标专家确定方式：依法从吉林省公共资源交易中心相应评标专家库中随机抽取。</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hint="eastAsia" w:ascii="宋体" w:hAnsi="宋体"/>
                <w:szCs w:val="21"/>
              </w:rPr>
              <w:t>6.3.2</w:t>
            </w:r>
          </w:p>
        </w:tc>
        <w:tc>
          <w:tcPr>
            <w:tcW w:w="1059" w:type="pct"/>
          </w:tcPr>
          <w:p>
            <w:pPr>
              <w:spacing w:line="291" w:lineRule="exact"/>
              <w:jc w:val="center"/>
              <w:rPr>
                <w:rFonts w:hAnsi="宋体"/>
                <w:szCs w:val="21"/>
              </w:rPr>
            </w:pPr>
            <w:r>
              <w:rPr>
                <w:rFonts w:hint="eastAsia" w:hAnsi="宋体"/>
                <w:szCs w:val="21"/>
              </w:rPr>
              <w:t>评标委员会推荐</w:t>
            </w:r>
          </w:p>
          <w:p>
            <w:pPr>
              <w:spacing w:line="291" w:lineRule="exact"/>
              <w:jc w:val="center"/>
              <w:rPr>
                <w:rFonts w:hAnsi="宋体"/>
                <w:szCs w:val="21"/>
              </w:rPr>
            </w:pPr>
            <w:r>
              <w:rPr>
                <w:rFonts w:hint="eastAsia" w:hAnsi="宋体"/>
                <w:szCs w:val="21"/>
              </w:rPr>
              <w:t>中标候选人的人数</w:t>
            </w:r>
          </w:p>
        </w:tc>
        <w:tc>
          <w:tcPr>
            <w:tcW w:w="3438" w:type="pct"/>
            <w:vAlign w:val="center"/>
          </w:tcPr>
          <w:p>
            <w:pPr>
              <w:spacing w:line="291" w:lineRule="exact"/>
              <w:rPr>
                <w:rFonts w:ascii="宋体" w:hAnsi="宋体"/>
                <w:szCs w:val="21"/>
              </w:rPr>
            </w:pPr>
            <w:r>
              <w:rPr>
                <w:rFonts w:hint="eastAsia" w:ascii="宋体" w:hAnsi="宋体"/>
                <w:szCs w:val="21"/>
              </w:rPr>
              <w:t>1名</w:t>
            </w:r>
            <w:r>
              <w:rPr>
                <w:rFonts w:hint="eastAsia"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hint="eastAsia" w:ascii="宋体" w:hAnsi="宋体"/>
                <w:szCs w:val="21"/>
              </w:rPr>
              <w:t>7.1</w:t>
            </w:r>
          </w:p>
        </w:tc>
        <w:tc>
          <w:tcPr>
            <w:tcW w:w="1059" w:type="pct"/>
            <w:vAlign w:val="center"/>
          </w:tcPr>
          <w:p>
            <w:pPr>
              <w:jc w:val="center"/>
              <w:rPr>
                <w:rFonts w:hAnsi="宋体"/>
                <w:szCs w:val="21"/>
              </w:rPr>
            </w:pPr>
            <w:r>
              <w:rPr>
                <w:rFonts w:hint="eastAsia" w:hAnsi="宋体"/>
                <w:szCs w:val="21"/>
              </w:rPr>
              <w:t>中标候选人公示</w:t>
            </w:r>
          </w:p>
          <w:p>
            <w:pPr>
              <w:jc w:val="center"/>
              <w:rPr>
                <w:rFonts w:hAnsi="宋体"/>
                <w:szCs w:val="21"/>
              </w:rPr>
            </w:pPr>
            <w:r>
              <w:rPr>
                <w:rFonts w:hint="eastAsia" w:hAnsi="宋体"/>
                <w:szCs w:val="21"/>
              </w:rPr>
              <w:t>媒介及期限</w:t>
            </w:r>
          </w:p>
        </w:tc>
        <w:tc>
          <w:tcPr>
            <w:tcW w:w="3438" w:type="pct"/>
            <w:vAlign w:val="center"/>
          </w:tcPr>
          <w:p>
            <w:pPr>
              <w:adjustRightInd w:val="0"/>
              <w:snapToGrid w:val="0"/>
              <w:rPr>
                <w:rFonts w:ascii="宋体" w:hAnsi="宋体"/>
                <w:szCs w:val="21"/>
              </w:rPr>
            </w:pPr>
            <w:r>
              <w:rPr>
                <w:rFonts w:hint="eastAsia" w:ascii="宋体" w:hAnsi="宋体"/>
                <w:szCs w:val="21"/>
              </w:rPr>
              <w:t>公告媒介：中国招标投标公共服务平台、吉林省公共资源交易中心网、吉林省交通运输厅、白城市交通运输局</w:t>
            </w:r>
          </w:p>
          <w:p>
            <w:pPr>
              <w:autoSpaceDE w:val="0"/>
              <w:autoSpaceDN w:val="0"/>
              <w:adjustRightInd w:val="0"/>
              <w:rPr>
                <w:rFonts w:ascii="宋体" w:hAnsi="宋体"/>
                <w:szCs w:val="21"/>
              </w:rPr>
            </w:pPr>
            <w:r>
              <w:rPr>
                <w:rFonts w:hint="eastAsia" w:ascii="宋体" w:hAnsi="宋体"/>
                <w:szCs w:val="21"/>
              </w:rPr>
              <w:t xml:space="preserve">公告期限：3日    </w:t>
            </w:r>
          </w:p>
          <w:p>
            <w:pPr>
              <w:autoSpaceDE w:val="0"/>
              <w:autoSpaceDN w:val="0"/>
              <w:adjustRightInd w:val="0"/>
              <w:rPr>
                <w:rFonts w:hAnsi="宋体"/>
                <w:szCs w:val="21"/>
              </w:rPr>
            </w:pPr>
            <w:r>
              <w:rPr>
                <w:rFonts w:hint="eastAsia" w:ascii="宋体" w:hAnsi="宋体"/>
                <w:szCs w:val="21"/>
              </w:rPr>
              <w:t>公告的其他内容：/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hint="eastAsia" w:ascii="宋体" w:hAnsi="宋体"/>
                <w:szCs w:val="21"/>
              </w:rPr>
              <w:t>7.4</w:t>
            </w:r>
          </w:p>
        </w:tc>
        <w:tc>
          <w:tcPr>
            <w:tcW w:w="1059" w:type="pct"/>
            <w:vAlign w:val="center"/>
          </w:tcPr>
          <w:p>
            <w:pPr>
              <w:spacing w:line="291" w:lineRule="exact"/>
              <w:jc w:val="center"/>
              <w:rPr>
                <w:rFonts w:hAnsi="宋体"/>
                <w:szCs w:val="21"/>
              </w:rPr>
            </w:pPr>
            <w:r>
              <w:rPr>
                <w:rFonts w:hint="eastAsia" w:hAnsi="宋体"/>
                <w:szCs w:val="21"/>
              </w:rPr>
              <w:t>是否授权评标委员会确定中标人</w:t>
            </w:r>
          </w:p>
        </w:tc>
        <w:tc>
          <w:tcPr>
            <w:tcW w:w="3438" w:type="pct"/>
            <w:vAlign w:val="center"/>
          </w:tcPr>
          <w:p>
            <w:pPr>
              <w:autoSpaceDE w:val="0"/>
              <w:autoSpaceDN w:val="0"/>
              <w:adjustRightInd w:val="0"/>
              <w:spacing w:line="291" w:lineRule="exact"/>
              <w:rPr>
                <w:rFonts w:hAnsi="宋体"/>
                <w:szCs w:val="21"/>
              </w:rPr>
            </w:pPr>
            <w:r>
              <w:rPr>
                <w:rFonts w:hint="eastAsia" w:hAnsi="宋体"/>
                <w:szCs w:val="21"/>
              </w:rPr>
              <w:t>□是</w:t>
            </w:r>
          </w:p>
          <w:p>
            <w:pPr>
              <w:autoSpaceDE w:val="0"/>
              <w:autoSpaceDN w:val="0"/>
              <w:adjustRightInd w:val="0"/>
              <w:spacing w:line="291" w:lineRule="exact"/>
              <w:rPr>
                <w:rFonts w:hAnsi="宋体"/>
                <w:szCs w:val="21"/>
              </w:rPr>
            </w:pPr>
            <w:r>
              <w:rPr>
                <w:rFonts w:hAnsi="宋体"/>
                <w:szCs w:val="21"/>
              </w:rPr>
              <w:fldChar w:fldCharType="begin"/>
            </w:r>
            <w:r>
              <w:rPr>
                <w:rFonts w:hint="eastAsia" w:hAnsi="宋体"/>
                <w:szCs w:val="21"/>
              </w:rPr>
              <w:instrText xml:space="preserve">eq \o\ac(□,√)</w:instrText>
            </w:r>
            <w:r>
              <w:rPr>
                <w:rFonts w:hAnsi="宋体"/>
                <w:szCs w:val="21"/>
              </w:rPr>
              <w:fldChar w:fldCharType="end"/>
            </w:r>
            <w:r>
              <w:rPr>
                <w:rFonts w:hint="eastAsia" w:hAnsi="宋体"/>
                <w:szCs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hint="eastAsia" w:ascii="宋体" w:hAnsi="宋体"/>
                <w:szCs w:val="21"/>
              </w:rPr>
              <w:t>7.5</w:t>
            </w:r>
          </w:p>
        </w:tc>
        <w:tc>
          <w:tcPr>
            <w:tcW w:w="1059" w:type="pct"/>
            <w:vAlign w:val="center"/>
          </w:tcPr>
          <w:p>
            <w:pPr>
              <w:spacing w:line="291" w:lineRule="exact"/>
              <w:jc w:val="center"/>
              <w:rPr>
                <w:rFonts w:hAnsi="宋体"/>
                <w:szCs w:val="21"/>
              </w:rPr>
            </w:pPr>
            <w:r>
              <w:rPr>
                <w:rFonts w:hint="eastAsia" w:hAnsi="宋体"/>
                <w:szCs w:val="21"/>
              </w:rPr>
              <w:t>中标通知书和中标结果通知书发出的形式</w:t>
            </w:r>
          </w:p>
        </w:tc>
        <w:tc>
          <w:tcPr>
            <w:tcW w:w="3438" w:type="pct"/>
            <w:vAlign w:val="center"/>
          </w:tcPr>
          <w:p>
            <w:pPr>
              <w:autoSpaceDE w:val="0"/>
              <w:autoSpaceDN w:val="0"/>
              <w:adjustRightInd w:val="0"/>
              <w:spacing w:line="291" w:lineRule="exact"/>
              <w:rPr>
                <w:rFonts w:hAnsi="宋体"/>
                <w:szCs w:val="21"/>
              </w:rPr>
            </w:pPr>
            <w:r>
              <w:rPr>
                <w:rFonts w:hAnsi="宋体"/>
                <w:szCs w:val="21"/>
              </w:rPr>
              <w:t>招标人以书面形式向中标人发出中标通知书</w:t>
            </w:r>
            <w:r>
              <w:rPr>
                <w:rFonts w:hint="eastAsia" w:hAnsi="宋体"/>
                <w:szCs w:val="21"/>
              </w:rPr>
              <w:t>，</w:t>
            </w:r>
            <w:r>
              <w:rPr>
                <w:rFonts w:hAnsi="宋体"/>
                <w:szCs w:val="21"/>
              </w:rPr>
              <w:t>同时</w:t>
            </w:r>
            <w:r>
              <w:rPr>
                <w:rFonts w:hint="eastAsia" w:hAnsi="宋体"/>
                <w:szCs w:val="21"/>
              </w:rPr>
              <w:t>采用将中标人公示在发布公告的媒介上代中标通知公告。</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7.</w:t>
            </w:r>
            <w:r>
              <w:rPr>
                <w:rFonts w:hint="eastAsia" w:ascii="宋体" w:hAnsi="宋体"/>
                <w:szCs w:val="21"/>
              </w:rPr>
              <w:t>6</w:t>
            </w:r>
          </w:p>
        </w:tc>
        <w:tc>
          <w:tcPr>
            <w:tcW w:w="1059" w:type="pct"/>
            <w:vAlign w:val="center"/>
          </w:tcPr>
          <w:p>
            <w:pPr>
              <w:spacing w:line="291" w:lineRule="exact"/>
              <w:jc w:val="center"/>
              <w:rPr>
                <w:rFonts w:hAnsi="宋体" w:cs="宋体"/>
                <w:szCs w:val="21"/>
                <w:lang w:bidi="zh-CN"/>
              </w:rPr>
            </w:pPr>
            <w:r>
              <w:rPr>
                <w:rFonts w:hAnsi="宋体" w:cs="宋体"/>
                <w:szCs w:val="21"/>
                <w:lang w:bidi="zh-CN"/>
              </w:rPr>
              <w:t>中标结果</w:t>
            </w:r>
          </w:p>
          <w:p>
            <w:pPr>
              <w:spacing w:line="291" w:lineRule="exact"/>
              <w:jc w:val="center"/>
              <w:rPr>
                <w:rFonts w:hAnsi="宋体"/>
                <w:szCs w:val="21"/>
              </w:rPr>
            </w:pPr>
            <w:r>
              <w:rPr>
                <w:rFonts w:hAnsi="宋体" w:cs="宋体"/>
                <w:szCs w:val="21"/>
                <w:lang w:bidi="zh-CN"/>
              </w:rPr>
              <w:t>公告媒介及期限</w:t>
            </w:r>
          </w:p>
        </w:tc>
        <w:tc>
          <w:tcPr>
            <w:tcW w:w="3438" w:type="pct"/>
            <w:vAlign w:val="center"/>
          </w:tcPr>
          <w:p>
            <w:pPr>
              <w:adjustRightInd w:val="0"/>
              <w:snapToGrid w:val="0"/>
              <w:spacing w:line="291" w:lineRule="exact"/>
              <w:rPr>
                <w:rFonts w:ascii="宋体" w:hAnsi="宋体"/>
                <w:szCs w:val="21"/>
              </w:rPr>
            </w:pPr>
            <w:r>
              <w:rPr>
                <w:rFonts w:hint="eastAsia" w:ascii="宋体" w:hAnsi="宋体"/>
                <w:szCs w:val="21"/>
              </w:rPr>
              <w:t>公告媒介：中国招标投标公共服务平台、吉林省交通运输厅、白城市交通运输局</w:t>
            </w:r>
          </w:p>
          <w:p>
            <w:pPr>
              <w:adjustRightInd w:val="0"/>
              <w:snapToGrid w:val="0"/>
              <w:spacing w:line="291" w:lineRule="exact"/>
              <w:rPr>
                <w:rFonts w:ascii="宋体" w:hAnsi="宋体"/>
                <w:szCs w:val="21"/>
              </w:rPr>
            </w:pPr>
            <w:r>
              <w:rPr>
                <w:rFonts w:hint="eastAsia" w:ascii="宋体" w:hAnsi="宋体"/>
                <w:szCs w:val="21"/>
              </w:rPr>
              <w:t xml:space="preserve">公告期限：3日    </w:t>
            </w:r>
          </w:p>
          <w:p>
            <w:pPr>
              <w:adjustRightInd w:val="0"/>
              <w:snapToGrid w:val="0"/>
              <w:spacing w:line="291" w:lineRule="exact"/>
              <w:rPr>
                <w:rFonts w:ascii="宋体" w:hAnsi="宋体"/>
                <w:szCs w:val="21"/>
              </w:rPr>
            </w:pPr>
            <w:r>
              <w:rPr>
                <w:rFonts w:hint="eastAsia" w:ascii="宋体" w:hAnsi="宋体"/>
                <w:szCs w:val="21"/>
              </w:rPr>
              <w:t>公告的其他内容：/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hint="eastAsia" w:ascii="宋体" w:hAnsi="宋体"/>
                <w:szCs w:val="21"/>
              </w:rPr>
              <w:t>7.7</w:t>
            </w:r>
          </w:p>
        </w:tc>
        <w:tc>
          <w:tcPr>
            <w:tcW w:w="1059" w:type="pct"/>
            <w:vAlign w:val="center"/>
          </w:tcPr>
          <w:p>
            <w:pPr>
              <w:spacing w:line="291" w:lineRule="exact"/>
              <w:jc w:val="center"/>
              <w:rPr>
                <w:rFonts w:hAnsi="宋体" w:cs="宋体"/>
                <w:szCs w:val="21"/>
                <w:lang w:bidi="zh-CN"/>
              </w:rPr>
            </w:pPr>
            <w:r>
              <w:rPr>
                <w:rFonts w:hAnsi="宋体" w:cs="宋体"/>
                <w:szCs w:val="21"/>
                <w:lang w:bidi="zh-CN"/>
              </w:rPr>
              <w:t>技术成果经济补偿</w:t>
            </w:r>
          </w:p>
        </w:tc>
        <w:tc>
          <w:tcPr>
            <w:tcW w:w="3438" w:type="pct"/>
            <w:vAlign w:val="center"/>
          </w:tcPr>
          <w:p>
            <w:pPr>
              <w:autoSpaceDE w:val="0"/>
              <w:autoSpaceDN w:val="0"/>
              <w:adjustRightInd w:val="0"/>
              <w:spacing w:line="291" w:lineRule="exact"/>
              <w:rPr>
                <w:rFonts w:hAnsi="宋体"/>
                <w:szCs w:val="21"/>
              </w:rPr>
            </w:pPr>
            <w:r>
              <w:rPr>
                <w:rFonts w:hAnsi="宋体"/>
                <w:szCs w:val="21"/>
              </w:rPr>
              <w:fldChar w:fldCharType="begin"/>
            </w:r>
            <w:r>
              <w:rPr>
                <w:rFonts w:hint="eastAsia" w:hAnsi="宋体"/>
                <w:szCs w:val="21"/>
              </w:rPr>
              <w:instrText xml:space="preserve">eq \o\ac(□,√)</w:instrText>
            </w:r>
            <w:r>
              <w:rPr>
                <w:rFonts w:hAnsi="宋体"/>
                <w:szCs w:val="21"/>
              </w:rPr>
              <w:fldChar w:fldCharType="end"/>
            </w:r>
            <w:r>
              <w:rPr>
                <w:rFonts w:hint="eastAsia" w:hAnsi="宋体"/>
                <w:szCs w:val="21"/>
              </w:rPr>
              <w:t>不补偿</w:t>
            </w:r>
          </w:p>
          <w:p>
            <w:pPr>
              <w:adjustRightInd w:val="0"/>
              <w:snapToGrid w:val="0"/>
              <w:spacing w:line="291" w:lineRule="exact"/>
              <w:rPr>
                <w:rFonts w:ascii="宋体" w:hAnsi="宋体"/>
                <w:szCs w:val="21"/>
              </w:rPr>
            </w:pPr>
            <w:r>
              <w:rPr>
                <w:rFonts w:hint="eastAsia" w:hAnsi="宋体"/>
                <w:szCs w:val="21"/>
              </w:rPr>
              <w:t>□补偿，补偿标准：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ascii="宋体" w:hAnsi="宋体"/>
                <w:szCs w:val="21"/>
              </w:rPr>
              <w:t>7.</w:t>
            </w:r>
            <w:r>
              <w:rPr>
                <w:rFonts w:hint="eastAsia" w:ascii="宋体" w:hAnsi="宋体"/>
                <w:szCs w:val="21"/>
              </w:rPr>
              <w:t>8</w:t>
            </w:r>
            <w:r>
              <w:rPr>
                <w:rFonts w:ascii="宋体" w:hAnsi="宋体"/>
                <w:szCs w:val="21"/>
              </w:rPr>
              <w:t>.1</w:t>
            </w:r>
          </w:p>
        </w:tc>
        <w:tc>
          <w:tcPr>
            <w:tcW w:w="1059" w:type="pct"/>
            <w:vAlign w:val="center"/>
          </w:tcPr>
          <w:p>
            <w:pPr>
              <w:spacing w:line="291" w:lineRule="exact"/>
              <w:jc w:val="center"/>
              <w:rPr>
                <w:szCs w:val="21"/>
              </w:rPr>
            </w:pPr>
            <w:r>
              <w:rPr>
                <w:rFonts w:hint="eastAsia" w:hAnsi="宋体"/>
                <w:szCs w:val="21"/>
              </w:rPr>
              <w:t>履约保证金</w:t>
            </w:r>
          </w:p>
        </w:tc>
        <w:tc>
          <w:tcPr>
            <w:tcW w:w="3438" w:type="pct"/>
            <w:vAlign w:val="center"/>
          </w:tcPr>
          <w:p>
            <w:pPr>
              <w:adjustRightInd w:val="0"/>
              <w:snapToGrid w:val="0"/>
              <w:spacing w:line="291" w:lineRule="exact"/>
              <w:rPr>
                <w:rFonts w:ascii="宋体" w:hAnsi="宋体" w:cs="Calibri"/>
                <w:szCs w:val="21"/>
              </w:rPr>
            </w:pPr>
            <w:r>
              <w:rPr>
                <w:rFonts w:hint="eastAsia" w:ascii="宋体" w:hAnsi="宋体" w:cs="Calibri"/>
                <w:szCs w:val="21"/>
              </w:rPr>
              <w:t>履约担保形式：现金、支票或银行保函形式；</w:t>
            </w:r>
          </w:p>
          <w:p>
            <w:pPr>
              <w:adjustRightInd w:val="0"/>
              <w:snapToGrid w:val="0"/>
              <w:spacing w:line="291" w:lineRule="exact"/>
              <w:rPr>
                <w:rFonts w:ascii="宋体" w:hAnsi="宋体" w:cs="Calibri"/>
                <w:szCs w:val="21"/>
              </w:rPr>
            </w:pPr>
            <w:r>
              <w:rPr>
                <w:rFonts w:hint="eastAsia" w:ascii="宋体" w:hAnsi="宋体" w:cs="Calibri"/>
                <w:szCs w:val="21"/>
              </w:rPr>
              <w:t>履约担保金额：5%的签约合同价。</w:t>
            </w:r>
          </w:p>
          <w:p>
            <w:pPr>
              <w:adjustRightInd w:val="0"/>
              <w:snapToGrid w:val="0"/>
              <w:spacing w:line="291" w:lineRule="exact"/>
              <w:rPr>
                <w:rFonts w:ascii="宋体" w:hAnsi="宋体" w:cs="Calibri"/>
                <w:szCs w:val="21"/>
              </w:rPr>
            </w:pPr>
            <w:r>
              <w:rPr>
                <w:rFonts w:hint="eastAsia" w:ascii="宋体" w:hAnsi="宋体"/>
                <w:szCs w:val="21"/>
              </w:rPr>
              <w:t>（</w:t>
            </w:r>
            <w:r>
              <w:rPr>
                <w:rFonts w:hint="eastAsia" w:ascii="宋体" w:hAnsi="宋体" w:cs="Calibri"/>
                <w:szCs w:val="21"/>
              </w:rPr>
              <w:t>1）采用现金、支票形式时，应由中标人的基本账户汇入发包人指定账户；</w:t>
            </w:r>
          </w:p>
          <w:p>
            <w:pPr>
              <w:adjustRightInd w:val="0"/>
              <w:snapToGrid w:val="0"/>
              <w:spacing w:line="291" w:lineRule="exact"/>
              <w:rPr>
                <w:rFonts w:ascii="宋体" w:hAnsi="宋体" w:cs="Calibri"/>
                <w:szCs w:val="21"/>
              </w:rPr>
            </w:pPr>
            <w:r>
              <w:rPr>
                <w:rFonts w:hint="eastAsia" w:ascii="宋体" w:hAnsi="宋体" w:cs="Calibri"/>
                <w:szCs w:val="21"/>
              </w:rPr>
              <w:t>（2）采用银行保函时，应按招标文件第四章“合同条款及格式”规定的履约担保格式出具，应由信誉良好的国有或股份制商业银行支行及以上级别开具，所需的费用由中标人承担，中标人应保证银行保函有效。</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spacing w:line="291" w:lineRule="exact"/>
              <w:jc w:val="center"/>
              <w:rPr>
                <w:rFonts w:ascii="宋体" w:hAnsi="宋体"/>
                <w:szCs w:val="21"/>
              </w:rPr>
            </w:pPr>
            <w:r>
              <w:rPr>
                <w:rFonts w:hint="eastAsia" w:ascii="宋体" w:hAnsi="宋体"/>
                <w:szCs w:val="21"/>
              </w:rPr>
              <w:t>8.5.1</w:t>
            </w:r>
          </w:p>
        </w:tc>
        <w:tc>
          <w:tcPr>
            <w:tcW w:w="1059" w:type="pct"/>
            <w:vAlign w:val="center"/>
          </w:tcPr>
          <w:p>
            <w:pPr>
              <w:spacing w:line="291" w:lineRule="exact"/>
              <w:jc w:val="center"/>
              <w:rPr>
                <w:rFonts w:ascii="宋体" w:hAnsi="宋体"/>
                <w:szCs w:val="21"/>
              </w:rPr>
            </w:pPr>
            <w:r>
              <w:rPr>
                <w:rFonts w:ascii="宋体" w:hAnsi="宋体"/>
                <w:szCs w:val="21"/>
              </w:rPr>
              <w:t>监督部门</w:t>
            </w:r>
          </w:p>
        </w:tc>
        <w:tc>
          <w:tcPr>
            <w:tcW w:w="3438" w:type="pct"/>
          </w:tcPr>
          <w:p>
            <w:pPr>
              <w:spacing w:line="36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行政监督：白城市交通运输局</w:t>
            </w:r>
          </w:p>
          <w:p>
            <w:pPr>
              <w:spacing w:line="36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地    址：幸福大街84号</w:t>
            </w:r>
          </w:p>
          <w:p>
            <w:pPr>
              <w:spacing w:line="36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电　　话：0436-3668767</w:t>
            </w:r>
          </w:p>
          <w:p>
            <w:pPr>
              <w:spacing w:line="360" w:lineRule="exact"/>
              <w:rPr>
                <w:rFonts w:hAnsi="宋体"/>
                <w:szCs w:val="21"/>
              </w:rPr>
            </w:pPr>
            <w:r>
              <w:rPr>
                <w:rFonts w:hint="eastAsia" w:asciiTheme="minorEastAsia" w:hAnsiTheme="minorEastAsia" w:eastAsiaTheme="minorEastAsia" w:cstheme="minorEastAsia"/>
                <w:bCs/>
                <w:szCs w:val="21"/>
              </w:rPr>
              <w:t>邮    编：137000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line="291" w:lineRule="exact"/>
              <w:jc w:val="center"/>
              <w:rPr>
                <w:rFonts w:ascii="宋体" w:hAnsi="宋体"/>
                <w:szCs w:val="21"/>
              </w:rPr>
            </w:pPr>
            <w:r>
              <w:rPr>
                <w:rFonts w:hint="eastAsia" w:ascii="宋体" w:hAnsi="宋体"/>
                <w:szCs w:val="21"/>
              </w:rPr>
              <w:t>9</w:t>
            </w:r>
          </w:p>
        </w:tc>
        <w:tc>
          <w:tcPr>
            <w:tcW w:w="1059" w:type="pct"/>
            <w:vAlign w:val="center"/>
          </w:tcPr>
          <w:p>
            <w:pPr>
              <w:adjustRightInd w:val="0"/>
              <w:snapToGrid w:val="0"/>
              <w:spacing w:line="291" w:lineRule="exact"/>
              <w:jc w:val="center"/>
              <w:rPr>
                <w:rFonts w:ascii="宋体" w:hAnsi="宋体"/>
                <w:szCs w:val="21"/>
              </w:rPr>
            </w:pPr>
            <w:r>
              <w:rPr>
                <w:rFonts w:hint="eastAsia" w:ascii="宋体" w:hAnsi="宋体"/>
                <w:szCs w:val="21"/>
              </w:rPr>
              <w:t>是否采用</w:t>
            </w:r>
          </w:p>
          <w:p>
            <w:pPr>
              <w:adjustRightInd w:val="0"/>
              <w:snapToGrid w:val="0"/>
              <w:spacing w:line="291" w:lineRule="exact"/>
              <w:jc w:val="center"/>
              <w:rPr>
                <w:rFonts w:ascii="宋体" w:hAnsi="宋体"/>
                <w:szCs w:val="21"/>
              </w:rPr>
            </w:pPr>
            <w:r>
              <w:rPr>
                <w:rFonts w:hint="eastAsia" w:ascii="宋体" w:hAnsi="宋体"/>
                <w:szCs w:val="21"/>
              </w:rPr>
              <w:t>电子招标投标</w:t>
            </w:r>
          </w:p>
        </w:tc>
        <w:tc>
          <w:tcPr>
            <w:tcW w:w="3438" w:type="pct"/>
            <w:vAlign w:val="center"/>
          </w:tcPr>
          <w:p>
            <w:pPr>
              <w:adjustRightInd w:val="0"/>
              <w:snapToGrid w:val="0"/>
              <w:spacing w:line="291" w:lineRule="exact"/>
              <w:rPr>
                <w:rFonts w:ascii="宋体" w:hAnsi="宋体" w:cs="宋体"/>
                <w:kern w:val="0"/>
                <w:szCs w:val="21"/>
              </w:rPr>
            </w:pPr>
            <w:r>
              <w:rPr>
                <w:rFonts w:hint="eastAsia" w:ascii="宋体" w:hAnsi="宋体" w:cs="宋体"/>
                <w:kern w:val="0"/>
                <w:szCs w:val="21"/>
              </w:rPr>
              <w:t>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jc w:val="center"/>
        </w:trPr>
        <w:tc>
          <w:tcPr>
            <w:tcW w:w="503" w:type="pct"/>
            <w:vAlign w:val="center"/>
          </w:tcPr>
          <w:p>
            <w:pPr>
              <w:adjustRightInd w:val="0"/>
              <w:snapToGrid w:val="0"/>
              <w:spacing w:before="100" w:beforeAutospacing="1" w:after="100" w:afterAutospacing="1" w:line="291" w:lineRule="exact"/>
              <w:jc w:val="center"/>
              <w:rPr>
                <w:rFonts w:ascii="宋体" w:hAnsi="宋体"/>
                <w:szCs w:val="21"/>
              </w:rPr>
            </w:pPr>
            <w:r>
              <w:rPr>
                <w:rFonts w:hint="eastAsia" w:ascii="宋体" w:hAnsi="宋体"/>
                <w:szCs w:val="21"/>
              </w:rPr>
              <w:t>10</w:t>
            </w:r>
          </w:p>
        </w:tc>
        <w:tc>
          <w:tcPr>
            <w:tcW w:w="4497" w:type="pct"/>
            <w:gridSpan w:val="2"/>
            <w:vAlign w:val="center"/>
          </w:tcPr>
          <w:p>
            <w:pPr>
              <w:spacing w:line="291" w:lineRule="exact"/>
              <w:rPr>
                <w:rFonts w:hAnsi="宋体"/>
                <w:szCs w:val="21"/>
              </w:rPr>
            </w:pPr>
            <w:r>
              <w:rPr>
                <w:rFonts w:hint="eastAsia" w:hAnsi="宋体"/>
                <w:szCs w:val="21"/>
              </w:rPr>
              <w:t>需要补充的其他内容：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85" w:type="dxa"/>
            <w:left w:w="85" w:type="dxa"/>
            <w:bottom w:w="85" w:type="dxa"/>
            <w:right w:w="85" w:type="dxa"/>
          </w:tblCellMar>
        </w:tblPrEx>
        <w:trPr>
          <w:trHeight w:val="5991" w:hRule="atLeast"/>
          <w:jc w:val="center"/>
        </w:trPr>
        <w:tc>
          <w:tcPr>
            <w:tcW w:w="503" w:type="pct"/>
            <w:vAlign w:val="center"/>
          </w:tcPr>
          <w:p>
            <w:pPr>
              <w:adjustRightInd w:val="0"/>
              <w:snapToGrid w:val="0"/>
              <w:spacing w:line="291" w:lineRule="exact"/>
              <w:jc w:val="center"/>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2</w:t>
            </w:r>
          </w:p>
        </w:tc>
        <w:tc>
          <w:tcPr>
            <w:tcW w:w="1059" w:type="pct"/>
            <w:vAlign w:val="center"/>
          </w:tcPr>
          <w:p>
            <w:pPr>
              <w:autoSpaceDE w:val="0"/>
              <w:autoSpaceDN w:val="0"/>
              <w:adjustRightInd w:val="0"/>
              <w:snapToGrid w:val="0"/>
              <w:spacing w:beforeLines="50" w:afterLines="50" w:line="291" w:lineRule="exact"/>
              <w:jc w:val="center"/>
              <w:rPr>
                <w:rFonts w:ascii="宋体" w:hAnsi="宋体"/>
                <w:szCs w:val="21"/>
              </w:rPr>
            </w:pPr>
            <w:r>
              <w:rPr>
                <w:rFonts w:hint="eastAsia" w:ascii="宋体" w:hAnsi="宋体"/>
                <w:szCs w:val="21"/>
              </w:rPr>
              <w:t>招标代理费</w:t>
            </w:r>
          </w:p>
        </w:tc>
        <w:tc>
          <w:tcPr>
            <w:tcW w:w="3438" w:type="pct"/>
            <w:vAlign w:val="center"/>
          </w:tcPr>
          <w:p>
            <w:pPr>
              <w:spacing w:line="291" w:lineRule="exact"/>
              <w:rPr>
                <w:szCs w:val="21"/>
              </w:rPr>
            </w:pPr>
            <w:r>
              <w:rPr>
                <w:rFonts w:hint="eastAsia"/>
                <w:szCs w:val="21"/>
              </w:rPr>
              <w:t>招标代理服务费由中标人交纳，采用下表费率以差额定率累进法计算，按中标人的中标金额为基数分段乘以相应费率后累加计算招标代理服务收费基准价格，然后乘以0.8折扣系数为实际招标代理服务费金额。中标人应在中标通知书发放时一次性将招标代理费汇入招标代理基本账户。</w:t>
            </w:r>
          </w:p>
          <w:p>
            <w:pPr>
              <w:spacing w:line="291" w:lineRule="exact"/>
              <w:rPr>
                <w:szCs w:val="21"/>
              </w:rPr>
            </w:pPr>
          </w:p>
          <w:p>
            <w:pPr>
              <w:ind w:firstLine="2100" w:firstLineChars="1000"/>
              <w:rPr>
                <w:szCs w:val="21"/>
              </w:rPr>
            </w:pPr>
            <w:r>
              <w:rPr>
                <w:rFonts w:hint="eastAsia"/>
                <w:szCs w:val="21"/>
              </w:rPr>
              <w:t>招标代理服务收费标准</w:t>
            </w:r>
          </w:p>
          <w:p>
            <w:pPr>
              <w:jc w:val="center"/>
              <w:rPr>
                <w:szCs w:val="21"/>
              </w:rPr>
            </w:pPr>
          </w:p>
          <w:tbl>
            <w:tblPr>
              <w:tblStyle w:val="43"/>
              <w:tblW w:w="4786" w:type="dxa"/>
              <w:tblInd w:w="6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6"/>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2376" w:type="dxa"/>
                  <w:vAlign w:val="center"/>
                </w:tcPr>
                <w:p>
                  <w:pPr>
                    <w:jc w:val="center"/>
                    <w:rPr>
                      <w:rFonts w:ascii="宋体" w:hAnsi="宋体"/>
                      <w:szCs w:val="21"/>
                    </w:rPr>
                  </w:pPr>
                  <w:r>
                    <w:rPr>
                      <w:rFonts w:hint="eastAsia" w:ascii="宋体" w:hAnsi="宋体"/>
                      <w:szCs w:val="21"/>
                    </w:rPr>
                    <w:t>中标金额（万元）</w:t>
                  </w:r>
                </w:p>
              </w:tc>
              <w:tc>
                <w:tcPr>
                  <w:tcW w:w="2410" w:type="dxa"/>
                  <w:vAlign w:val="center"/>
                </w:tcPr>
                <w:p>
                  <w:pPr>
                    <w:jc w:val="center"/>
                    <w:rPr>
                      <w:rFonts w:ascii="宋体" w:hAnsi="宋体"/>
                      <w:szCs w:val="21"/>
                    </w:rPr>
                  </w:pPr>
                  <w:r>
                    <w:rPr>
                      <w:rFonts w:hint="eastAsia" w:ascii="宋体" w:hAnsi="宋体"/>
                      <w:szCs w:val="21"/>
                    </w:rPr>
                    <w:t>服务招标费率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rFonts w:ascii="宋体" w:hAnsi="宋体"/>
                      <w:szCs w:val="21"/>
                    </w:rPr>
                  </w:pPr>
                  <w:r>
                    <w:rPr>
                      <w:rFonts w:hint="eastAsia" w:ascii="宋体" w:hAnsi="宋体"/>
                      <w:szCs w:val="21"/>
                    </w:rPr>
                    <w:t>100以下</w:t>
                  </w:r>
                </w:p>
              </w:tc>
              <w:tc>
                <w:tcPr>
                  <w:tcW w:w="2410" w:type="dxa"/>
                </w:tcPr>
                <w:p>
                  <w:pPr>
                    <w:jc w:val="center"/>
                    <w:rPr>
                      <w:rFonts w:ascii="宋体" w:hAnsi="宋体"/>
                      <w:szCs w:val="21"/>
                    </w:rPr>
                  </w:pPr>
                  <w:r>
                    <w:rPr>
                      <w:rFonts w:hint="eastAsia" w:ascii="宋体" w:hAnsi="宋体"/>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rFonts w:ascii="宋体" w:hAnsi="宋体"/>
                      <w:szCs w:val="21"/>
                    </w:rPr>
                  </w:pPr>
                  <w:r>
                    <w:rPr>
                      <w:rFonts w:hint="eastAsia" w:ascii="宋体" w:hAnsi="宋体"/>
                      <w:szCs w:val="21"/>
                    </w:rPr>
                    <w:t>100-500</w:t>
                  </w:r>
                </w:p>
              </w:tc>
              <w:tc>
                <w:tcPr>
                  <w:tcW w:w="2410" w:type="dxa"/>
                </w:tcPr>
                <w:p>
                  <w:pPr>
                    <w:jc w:val="center"/>
                    <w:rPr>
                      <w:rFonts w:ascii="宋体" w:hAnsi="宋体"/>
                      <w:szCs w:val="21"/>
                    </w:rPr>
                  </w:pPr>
                  <w:r>
                    <w:rPr>
                      <w:rFonts w:hint="eastAsia" w:ascii="宋体" w:hAnsi="宋体"/>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rFonts w:ascii="宋体" w:hAnsi="宋体"/>
                      <w:szCs w:val="21"/>
                    </w:rPr>
                  </w:pPr>
                  <w:r>
                    <w:rPr>
                      <w:rFonts w:hint="eastAsia" w:ascii="宋体" w:hAnsi="宋体"/>
                      <w:szCs w:val="21"/>
                    </w:rPr>
                    <w:t>500-1000</w:t>
                  </w:r>
                </w:p>
              </w:tc>
              <w:tc>
                <w:tcPr>
                  <w:tcW w:w="2410" w:type="dxa"/>
                </w:tcPr>
                <w:p>
                  <w:pPr>
                    <w:jc w:val="center"/>
                    <w:rPr>
                      <w:rFonts w:ascii="宋体" w:hAnsi="宋体"/>
                      <w:szCs w:val="21"/>
                    </w:rPr>
                  </w:pPr>
                  <w:r>
                    <w:rPr>
                      <w:rFonts w:hint="eastAsia" w:ascii="宋体" w:hAnsi="宋体"/>
                      <w:szCs w:val="21"/>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rFonts w:ascii="宋体" w:hAnsi="宋体"/>
                      <w:szCs w:val="21"/>
                    </w:rPr>
                  </w:pPr>
                  <w:r>
                    <w:rPr>
                      <w:rFonts w:hint="eastAsia" w:ascii="宋体" w:hAnsi="宋体"/>
                      <w:szCs w:val="21"/>
                    </w:rPr>
                    <w:t>1000-5000</w:t>
                  </w:r>
                </w:p>
              </w:tc>
              <w:tc>
                <w:tcPr>
                  <w:tcW w:w="2410" w:type="dxa"/>
                </w:tcPr>
                <w:p>
                  <w:pPr>
                    <w:jc w:val="center"/>
                    <w:rPr>
                      <w:rFonts w:ascii="宋体" w:hAnsi="宋体"/>
                      <w:szCs w:val="21"/>
                    </w:rPr>
                  </w:pPr>
                  <w:r>
                    <w:rPr>
                      <w:rFonts w:hint="eastAsia" w:ascii="宋体" w:hAnsi="宋体"/>
                      <w:szCs w:val="21"/>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rFonts w:ascii="宋体" w:hAnsi="宋体"/>
                      <w:szCs w:val="21"/>
                    </w:rPr>
                  </w:pPr>
                  <w:r>
                    <w:rPr>
                      <w:rFonts w:hint="eastAsia" w:ascii="宋体" w:hAnsi="宋体"/>
                      <w:szCs w:val="21"/>
                    </w:rPr>
                    <w:t>5000-10000</w:t>
                  </w:r>
                </w:p>
              </w:tc>
              <w:tc>
                <w:tcPr>
                  <w:tcW w:w="2410" w:type="dxa"/>
                </w:tcPr>
                <w:p>
                  <w:pPr>
                    <w:jc w:val="center"/>
                    <w:rPr>
                      <w:rFonts w:ascii="宋体" w:hAnsi="宋体"/>
                      <w:szCs w:val="21"/>
                    </w:rPr>
                  </w:pPr>
                  <w:r>
                    <w:rPr>
                      <w:rFonts w:hint="eastAsia" w:ascii="宋体" w:hAnsi="宋体"/>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rFonts w:ascii="宋体" w:hAnsi="宋体"/>
                      <w:szCs w:val="21"/>
                    </w:rPr>
                  </w:pPr>
                  <w:r>
                    <w:rPr>
                      <w:rFonts w:hint="eastAsia" w:ascii="宋体" w:hAnsi="宋体"/>
                      <w:szCs w:val="21"/>
                    </w:rPr>
                    <w:t>10000-100000</w:t>
                  </w:r>
                </w:p>
              </w:tc>
              <w:tc>
                <w:tcPr>
                  <w:tcW w:w="2410" w:type="dxa"/>
                </w:tcPr>
                <w:p>
                  <w:pPr>
                    <w:jc w:val="center"/>
                    <w:rPr>
                      <w:rFonts w:ascii="宋体" w:hAnsi="宋体"/>
                      <w:szCs w:val="21"/>
                    </w:rPr>
                  </w:pPr>
                  <w:r>
                    <w:rPr>
                      <w:rFonts w:hint="eastAsia" w:ascii="宋体" w:hAnsi="宋体"/>
                      <w:szCs w:val="21"/>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6" w:type="dxa"/>
                </w:tcPr>
                <w:p>
                  <w:pPr>
                    <w:jc w:val="center"/>
                    <w:rPr>
                      <w:rFonts w:ascii="宋体" w:hAnsi="宋体"/>
                      <w:szCs w:val="21"/>
                    </w:rPr>
                  </w:pPr>
                  <w:r>
                    <w:rPr>
                      <w:rFonts w:hint="eastAsia" w:ascii="宋体" w:hAnsi="宋体"/>
                      <w:szCs w:val="21"/>
                    </w:rPr>
                    <w:t>1000000以上</w:t>
                  </w:r>
                </w:p>
              </w:tc>
              <w:tc>
                <w:tcPr>
                  <w:tcW w:w="2410" w:type="dxa"/>
                </w:tcPr>
                <w:p>
                  <w:pPr>
                    <w:jc w:val="center"/>
                    <w:rPr>
                      <w:rFonts w:ascii="宋体" w:hAnsi="宋体"/>
                      <w:szCs w:val="21"/>
                    </w:rPr>
                  </w:pPr>
                  <w:r>
                    <w:rPr>
                      <w:rFonts w:hint="eastAsia" w:ascii="宋体" w:hAnsi="宋体"/>
                      <w:szCs w:val="21"/>
                    </w:rPr>
                    <w:t>0.01%</w:t>
                  </w:r>
                </w:p>
              </w:tc>
            </w:tr>
          </w:tbl>
          <w:p>
            <w:pPr>
              <w:spacing w:line="291" w:lineRule="exact"/>
              <w:rPr>
                <w:szCs w:val="21"/>
              </w:rPr>
            </w:pPr>
          </w:p>
        </w:tc>
      </w:tr>
    </w:tbl>
    <w:p>
      <w:pPr>
        <w:spacing w:line="320" w:lineRule="exact"/>
        <w:rPr>
          <w:rFonts w:hAnsi="宋体"/>
        </w:rPr>
      </w:pPr>
      <w:bookmarkStart w:id="24" w:name="_Toc346800722"/>
    </w:p>
    <w:p>
      <w:pPr>
        <w:spacing w:before="100" w:beforeAutospacing="1"/>
        <w:jc w:val="center"/>
        <w:outlineLvl w:val="2"/>
        <w:rPr>
          <w:rFonts w:ascii="方正超粗黑简体" w:eastAsia="方正超粗黑简体"/>
          <w:sz w:val="28"/>
          <w:szCs w:val="28"/>
        </w:rPr>
      </w:pPr>
      <w:r>
        <w:rPr>
          <w:rFonts w:ascii="宋体" w:hAnsi="宋体"/>
        </w:rPr>
        <w:br w:type="page"/>
      </w:r>
      <w:bookmarkEnd w:id="24"/>
      <w:bookmarkStart w:id="25" w:name="_Toc52105674"/>
      <w:r>
        <w:rPr>
          <w:rFonts w:hint="eastAsia" w:ascii="方正超粗黑简体" w:eastAsia="方正超粗黑简体"/>
          <w:sz w:val="28"/>
          <w:szCs w:val="28"/>
        </w:rPr>
        <w:t>附录</w:t>
      </w:r>
      <w:r>
        <w:rPr>
          <w:rFonts w:ascii="方正超粗黑简体" w:eastAsia="方正超粗黑简体"/>
          <w:sz w:val="28"/>
          <w:szCs w:val="28"/>
        </w:rPr>
        <w:t>1</w:t>
      </w:r>
      <w:r>
        <w:rPr>
          <w:rFonts w:hint="eastAsia" w:ascii="方正超粗黑简体" w:eastAsia="方正超粗黑简体"/>
          <w:sz w:val="28"/>
          <w:szCs w:val="28"/>
        </w:rPr>
        <w:t>资格审查条件（资格最低要求）</w:t>
      </w:r>
      <w:bookmarkEnd w:id="25"/>
    </w:p>
    <w:tbl>
      <w:tblPr>
        <w:tblStyle w:val="43"/>
        <w:tblW w:w="952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142" w:type="dxa"/>
          <w:left w:w="108" w:type="dxa"/>
          <w:bottom w:w="142" w:type="dxa"/>
          <w:right w:w="108" w:type="dxa"/>
        </w:tblCellMar>
      </w:tblPr>
      <w:tblGrid>
        <w:gridCol w:w="95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42" w:type="dxa"/>
            <w:left w:w="108" w:type="dxa"/>
            <w:bottom w:w="142" w:type="dxa"/>
            <w:right w:w="108" w:type="dxa"/>
          </w:tblCellMar>
        </w:tblPrEx>
        <w:trPr>
          <w:jc w:val="center"/>
        </w:trPr>
        <w:tc>
          <w:tcPr>
            <w:tcW w:w="9524" w:type="dxa"/>
            <w:vAlign w:val="center"/>
          </w:tcPr>
          <w:p>
            <w:pPr>
              <w:spacing w:line="240" w:lineRule="exact"/>
              <w:jc w:val="center"/>
              <w:rPr>
                <w:rFonts w:ascii="宋体" w:hAnsi="宋体"/>
                <w:szCs w:val="21"/>
              </w:rPr>
            </w:pPr>
            <w:r>
              <w:rPr>
                <w:rFonts w:hint="eastAsia" w:ascii="宋体" w:hAnsi="宋体"/>
                <w:szCs w:val="21"/>
              </w:rPr>
              <w:t>勘察设计企业资质等级要求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42" w:type="dxa"/>
            <w:left w:w="108" w:type="dxa"/>
            <w:bottom w:w="142" w:type="dxa"/>
            <w:right w:w="108" w:type="dxa"/>
          </w:tblCellMar>
        </w:tblPrEx>
        <w:trPr>
          <w:jc w:val="center"/>
        </w:trPr>
        <w:tc>
          <w:tcPr>
            <w:tcW w:w="9524" w:type="dxa"/>
            <w:vAlign w:val="center"/>
          </w:tcPr>
          <w:p>
            <w:pPr>
              <w:snapToGrid w:val="0"/>
              <w:ind w:firstLine="210" w:firstLineChars="100"/>
              <w:rPr>
                <w:rFonts w:ascii="宋体" w:hAnsi="宋体"/>
                <w:szCs w:val="21"/>
              </w:rPr>
            </w:pPr>
            <w:r>
              <w:rPr>
                <w:rFonts w:hint="eastAsia" w:ascii="宋体" w:hAnsi="宋体"/>
                <w:szCs w:val="21"/>
              </w:rPr>
              <w:t>投标人须同时满足以下资质要求：</w:t>
            </w:r>
          </w:p>
          <w:p>
            <w:pPr>
              <w:snapToGrid w:val="0"/>
              <w:ind w:firstLine="420" w:firstLineChars="200"/>
              <w:rPr>
                <w:rFonts w:ascii="宋体" w:hAnsi="宋体"/>
                <w:szCs w:val="21"/>
              </w:rPr>
            </w:pPr>
            <w:r>
              <w:rPr>
                <w:rFonts w:hint="eastAsia" w:ascii="宋体" w:hAnsi="宋体"/>
                <w:szCs w:val="21"/>
              </w:rPr>
              <w:t>（1）工程勘察资质：具备建设主管部门颁发的工程勘察（工程测量）专业甲级、工程勘察（岩土工程勘察）专业乙级资质；</w:t>
            </w:r>
          </w:p>
          <w:p>
            <w:pPr>
              <w:snapToGrid w:val="0"/>
              <w:ind w:firstLine="420" w:firstLineChars="200"/>
            </w:pPr>
            <w:r>
              <w:rPr>
                <w:rFonts w:hint="eastAsia" w:ascii="宋体" w:hAnsi="宋体"/>
                <w:szCs w:val="21"/>
              </w:rPr>
              <w:t>（2）设计资质：具备建设主管部门颁发的公路行业（公路）专业乙级设计资质。</w:t>
            </w:r>
          </w:p>
        </w:tc>
      </w:tr>
    </w:tbl>
    <w:p>
      <w:pPr>
        <w:spacing w:before="100" w:beforeAutospacing="1"/>
        <w:jc w:val="center"/>
        <w:outlineLvl w:val="2"/>
        <w:rPr>
          <w:rFonts w:ascii="方正超粗黑简体" w:eastAsia="方正超粗黑简体"/>
          <w:sz w:val="28"/>
          <w:szCs w:val="28"/>
        </w:rPr>
      </w:pPr>
      <w:bookmarkStart w:id="26" w:name="_Toc52105675"/>
      <w:r>
        <w:rPr>
          <w:rFonts w:hint="eastAsia" w:ascii="方正超粗黑简体" w:eastAsia="方正超粗黑简体"/>
          <w:sz w:val="28"/>
          <w:szCs w:val="28"/>
        </w:rPr>
        <w:t>附录2资格审查条件（业绩最低要求）</w:t>
      </w:r>
      <w:bookmarkEnd w:id="26"/>
    </w:p>
    <w:tbl>
      <w:tblPr>
        <w:tblStyle w:val="43"/>
        <w:tblW w:w="9551"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142" w:type="dxa"/>
          <w:left w:w="108" w:type="dxa"/>
          <w:bottom w:w="142" w:type="dxa"/>
          <w:right w:w="108" w:type="dxa"/>
        </w:tblCellMar>
      </w:tblPr>
      <w:tblGrid>
        <w:gridCol w:w="955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42" w:type="dxa"/>
            <w:left w:w="108" w:type="dxa"/>
            <w:bottom w:w="142" w:type="dxa"/>
            <w:right w:w="108" w:type="dxa"/>
          </w:tblCellMar>
        </w:tblPrEx>
        <w:trPr>
          <w:jc w:val="center"/>
        </w:trPr>
        <w:tc>
          <w:tcPr>
            <w:tcW w:w="9551" w:type="dxa"/>
            <w:tcBorders>
              <w:bottom w:val="single" w:color="auto" w:sz="4" w:space="0"/>
            </w:tcBorders>
            <w:vAlign w:val="center"/>
          </w:tcPr>
          <w:p>
            <w:pPr>
              <w:spacing w:line="240" w:lineRule="exact"/>
              <w:jc w:val="center"/>
              <w:rPr>
                <w:rFonts w:ascii="宋体" w:hAnsi="宋体"/>
                <w:szCs w:val="21"/>
              </w:rPr>
            </w:pPr>
            <w:r>
              <w:rPr>
                <w:rFonts w:hint="eastAsia" w:ascii="宋体" w:hAnsi="宋体"/>
                <w:szCs w:val="21"/>
              </w:rPr>
              <w:t>业绩要求</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142" w:type="dxa"/>
            <w:left w:w="108" w:type="dxa"/>
            <w:bottom w:w="142" w:type="dxa"/>
            <w:right w:w="108" w:type="dxa"/>
          </w:tblCellMar>
        </w:tblPrEx>
        <w:trPr>
          <w:jc w:val="center"/>
        </w:trPr>
        <w:tc>
          <w:tcPr>
            <w:tcW w:w="9551" w:type="dxa"/>
            <w:tcBorders>
              <w:top w:val="single" w:color="auto" w:sz="4" w:space="0"/>
            </w:tcBorders>
            <w:vAlign w:val="center"/>
          </w:tcPr>
          <w:p>
            <w:pPr>
              <w:ind w:firstLine="420" w:firstLineChars="200"/>
              <w:jc w:val="left"/>
              <w:rPr>
                <w:rFonts w:ascii="宋体" w:hAnsi="宋体"/>
                <w:szCs w:val="21"/>
                <w:highlight w:val="red"/>
              </w:rPr>
            </w:pPr>
            <w:r>
              <w:rPr>
                <w:rFonts w:hint="eastAsia" w:ascii="宋体" w:hAnsi="宋体"/>
                <w:szCs w:val="21"/>
              </w:rPr>
              <w:t>投标人（以联合体形式参与投标的，指联合体牵头人）近5年内（指2015年1月1日至投标截止时间，以施工图设计批复时间为准）至少完成过一项（一个合同为一项）里程长度25公里的二级或二级以上新建（或改扩建）公路的施工图设计业绩。</w:t>
            </w:r>
          </w:p>
        </w:tc>
      </w:tr>
    </w:tbl>
    <w:p>
      <w:pPr>
        <w:spacing w:before="100" w:beforeAutospacing="1"/>
        <w:jc w:val="center"/>
        <w:outlineLvl w:val="2"/>
        <w:rPr>
          <w:rFonts w:ascii="方正超粗黑简体" w:eastAsia="方正超粗黑简体"/>
          <w:sz w:val="28"/>
          <w:szCs w:val="28"/>
        </w:rPr>
      </w:pPr>
      <w:bookmarkStart w:id="27" w:name="_Toc52105676"/>
      <w:r>
        <w:rPr>
          <w:rFonts w:hint="eastAsia" w:ascii="方正超粗黑简体" w:eastAsia="方正超粗黑简体"/>
          <w:sz w:val="28"/>
          <w:szCs w:val="28"/>
        </w:rPr>
        <w:t>附录</w:t>
      </w:r>
      <w:r>
        <w:rPr>
          <w:rFonts w:ascii="方正超粗黑简体" w:eastAsia="方正超粗黑简体"/>
          <w:sz w:val="28"/>
          <w:szCs w:val="28"/>
        </w:rPr>
        <w:t>3</w:t>
      </w:r>
      <w:r>
        <w:rPr>
          <w:rFonts w:hint="eastAsia" w:ascii="方正超粗黑简体" w:eastAsia="方正超粗黑简体"/>
          <w:sz w:val="28"/>
          <w:szCs w:val="28"/>
        </w:rPr>
        <w:t>资格审查条件（信誉最低要求）</w:t>
      </w:r>
      <w:bookmarkEnd w:id="27"/>
    </w:p>
    <w:tbl>
      <w:tblPr>
        <w:tblStyle w:val="43"/>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42" w:type="dxa"/>
          <w:left w:w="108" w:type="dxa"/>
          <w:bottom w:w="142" w:type="dxa"/>
          <w:right w:w="108" w:type="dxa"/>
        </w:tblCellMar>
      </w:tblPr>
      <w:tblGrid>
        <w:gridCol w:w="9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08" w:type="dxa"/>
            <w:bottom w:w="142" w:type="dxa"/>
            <w:right w:w="108" w:type="dxa"/>
          </w:tblCellMar>
        </w:tblPrEx>
        <w:trPr>
          <w:jc w:val="center"/>
        </w:trPr>
        <w:tc>
          <w:tcPr>
            <w:tcW w:w="9540" w:type="dxa"/>
            <w:tcBorders>
              <w:top w:val="single" w:color="auto" w:sz="12" w:space="0"/>
              <w:left w:val="single" w:color="auto" w:sz="12" w:space="0"/>
              <w:right w:val="single" w:color="auto" w:sz="12" w:space="0"/>
            </w:tcBorders>
            <w:vAlign w:val="center"/>
          </w:tcPr>
          <w:p>
            <w:pPr>
              <w:spacing w:line="240" w:lineRule="exact"/>
              <w:jc w:val="center"/>
              <w:rPr>
                <w:rFonts w:ascii="宋体" w:hAnsi="宋体"/>
                <w:szCs w:val="21"/>
              </w:rPr>
            </w:pPr>
            <w:r>
              <w:rPr>
                <w:rFonts w:hint="eastAsia" w:ascii="宋体" w:hAnsi="宋体"/>
                <w:szCs w:val="21"/>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2" w:type="dxa"/>
            <w:left w:w="108" w:type="dxa"/>
            <w:bottom w:w="142" w:type="dxa"/>
            <w:right w:w="108" w:type="dxa"/>
          </w:tblCellMar>
        </w:tblPrEx>
        <w:trPr>
          <w:jc w:val="center"/>
        </w:trPr>
        <w:tc>
          <w:tcPr>
            <w:tcW w:w="9540" w:type="dxa"/>
            <w:tcBorders>
              <w:left w:val="single" w:color="auto" w:sz="12" w:space="0"/>
              <w:bottom w:val="single" w:color="auto" w:sz="12" w:space="0"/>
              <w:right w:val="single" w:color="auto" w:sz="12" w:space="0"/>
            </w:tcBorders>
            <w:vAlign w:val="center"/>
          </w:tcPr>
          <w:p>
            <w:pPr>
              <w:spacing w:line="300" w:lineRule="exact"/>
              <w:jc w:val="left"/>
            </w:pPr>
            <w:r>
              <w:rPr>
                <w:rFonts w:hint="eastAsia"/>
              </w:rPr>
              <w:t>投标人不得存在以下规定的任何一种情形：</w:t>
            </w:r>
            <w:r>
              <w:t xml:space="preserve"> </w:t>
            </w:r>
          </w:p>
          <w:p>
            <w:pPr>
              <w:spacing w:line="300" w:lineRule="exact"/>
              <w:jc w:val="left"/>
            </w:pPr>
            <w:r>
              <w:rPr>
                <w:rFonts w:hint="eastAsia"/>
              </w:rPr>
              <w:t>（1）财务被接管或冻结；</w:t>
            </w:r>
          </w:p>
          <w:p>
            <w:pPr>
              <w:spacing w:line="300" w:lineRule="exact"/>
              <w:jc w:val="left"/>
              <w:rPr>
                <w:rFonts w:ascii="宋体" w:hAnsi="宋体"/>
                <w:szCs w:val="21"/>
              </w:rPr>
            </w:pPr>
            <w:r>
              <w:rPr>
                <w:rFonts w:hint="eastAsia"/>
              </w:rPr>
              <w:t>（2）经评标委员会认定会对承担本项目造成重大影响的正在诉讼的案件。</w:t>
            </w:r>
          </w:p>
        </w:tc>
      </w:tr>
    </w:tbl>
    <w:p>
      <w:pPr>
        <w:spacing w:before="100" w:beforeAutospacing="1"/>
        <w:jc w:val="center"/>
        <w:outlineLvl w:val="2"/>
        <w:rPr>
          <w:rFonts w:ascii="方正超粗黑简体" w:eastAsia="方正超粗黑简体"/>
          <w:sz w:val="28"/>
          <w:szCs w:val="28"/>
        </w:rPr>
      </w:pPr>
      <w:bookmarkStart w:id="28" w:name="_Toc52105677"/>
      <w:bookmarkStart w:id="29" w:name="_Toc411418983"/>
      <w:r>
        <w:rPr>
          <w:rFonts w:hint="eastAsia" w:ascii="方正超粗黑简体" w:eastAsia="方正超粗黑简体"/>
          <w:sz w:val="28"/>
          <w:szCs w:val="28"/>
        </w:rPr>
        <w:t>附录</w:t>
      </w:r>
      <w:r>
        <w:rPr>
          <w:rFonts w:ascii="方正超粗黑简体" w:eastAsia="方正超粗黑简体"/>
          <w:sz w:val="28"/>
          <w:szCs w:val="28"/>
        </w:rPr>
        <w:t>4</w:t>
      </w:r>
      <w:r>
        <w:rPr>
          <w:rFonts w:hint="eastAsia" w:ascii="方正超粗黑简体" w:eastAsia="方正超粗黑简体"/>
          <w:sz w:val="28"/>
          <w:szCs w:val="28"/>
        </w:rPr>
        <w:t>资格审查条件（项目负责人最低要求）</w:t>
      </w:r>
      <w:bookmarkEnd w:id="28"/>
      <w:bookmarkEnd w:id="29"/>
    </w:p>
    <w:tbl>
      <w:tblPr>
        <w:tblStyle w:val="43"/>
        <w:tblW w:w="4942"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142" w:type="dxa"/>
          <w:left w:w="108" w:type="dxa"/>
          <w:bottom w:w="142" w:type="dxa"/>
          <w:right w:w="108" w:type="dxa"/>
        </w:tblCellMar>
      </w:tblPr>
      <w:tblGrid>
        <w:gridCol w:w="1764"/>
        <w:gridCol w:w="1199"/>
        <w:gridCol w:w="677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42" w:type="dxa"/>
            <w:left w:w="108" w:type="dxa"/>
            <w:bottom w:w="142" w:type="dxa"/>
            <w:right w:w="108" w:type="dxa"/>
          </w:tblCellMar>
        </w:tblPrEx>
        <w:trPr>
          <w:jc w:val="center"/>
        </w:trPr>
        <w:tc>
          <w:tcPr>
            <w:tcW w:w="906" w:type="pct"/>
            <w:vAlign w:val="center"/>
          </w:tcPr>
          <w:p>
            <w:pPr>
              <w:spacing w:line="300" w:lineRule="exact"/>
              <w:jc w:val="center"/>
              <w:rPr>
                <w:rFonts w:ascii="宋体" w:hAnsi="宋体"/>
                <w:szCs w:val="21"/>
              </w:rPr>
            </w:pPr>
            <w:r>
              <w:rPr>
                <w:rFonts w:hint="eastAsia" w:ascii="宋体" w:hAnsi="宋体"/>
                <w:szCs w:val="21"/>
              </w:rPr>
              <w:t>人员</w:t>
            </w:r>
          </w:p>
        </w:tc>
        <w:tc>
          <w:tcPr>
            <w:tcW w:w="616" w:type="pct"/>
            <w:vAlign w:val="center"/>
          </w:tcPr>
          <w:p>
            <w:pPr>
              <w:spacing w:line="300" w:lineRule="exact"/>
              <w:jc w:val="center"/>
              <w:rPr>
                <w:rFonts w:hAnsi="宋体"/>
                <w:szCs w:val="21"/>
              </w:rPr>
            </w:pPr>
            <w:r>
              <w:rPr>
                <w:rFonts w:hint="eastAsia" w:hAnsi="宋体"/>
                <w:szCs w:val="21"/>
              </w:rPr>
              <w:t>数量</w:t>
            </w:r>
          </w:p>
        </w:tc>
        <w:tc>
          <w:tcPr>
            <w:tcW w:w="3478" w:type="pct"/>
            <w:vAlign w:val="center"/>
          </w:tcPr>
          <w:p>
            <w:pPr>
              <w:widowControl/>
              <w:spacing w:line="300" w:lineRule="exact"/>
              <w:jc w:val="center"/>
              <w:rPr>
                <w:rFonts w:ascii="宋体" w:hAnsi="宋体"/>
                <w:szCs w:val="21"/>
              </w:rPr>
            </w:pPr>
            <w:r>
              <w:rPr>
                <w:rFonts w:hint="eastAsia" w:ascii="宋体" w:hAnsi="宋体"/>
                <w:szCs w:val="21"/>
              </w:rPr>
              <w:t>资格要求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42" w:type="dxa"/>
            <w:left w:w="108" w:type="dxa"/>
            <w:bottom w:w="142" w:type="dxa"/>
            <w:right w:w="108" w:type="dxa"/>
          </w:tblCellMar>
        </w:tblPrEx>
        <w:trPr>
          <w:jc w:val="center"/>
        </w:trPr>
        <w:tc>
          <w:tcPr>
            <w:tcW w:w="906" w:type="pct"/>
            <w:vAlign w:val="center"/>
          </w:tcPr>
          <w:p>
            <w:pPr>
              <w:spacing w:line="300" w:lineRule="exact"/>
              <w:jc w:val="center"/>
              <w:rPr>
                <w:szCs w:val="21"/>
              </w:rPr>
            </w:pPr>
            <w:r>
              <w:rPr>
                <w:szCs w:val="21"/>
              </w:rPr>
              <w:t>项目负责人</w:t>
            </w:r>
          </w:p>
        </w:tc>
        <w:tc>
          <w:tcPr>
            <w:tcW w:w="616" w:type="pct"/>
            <w:vAlign w:val="center"/>
          </w:tcPr>
          <w:p>
            <w:pPr>
              <w:spacing w:line="300" w:lineRule="exact"/>
              <w:jc w:val="center"/>
              <w:rPr>
                <w:rFonts w:hAnsi="宋体"/>
                <w:szCs w:val="21"/>
              </w:rPr>
            </w:pPr>
            <w:r>
              <w:rPr>
                <w:rFonts w:hAnsi="宋体"/>
                <w:szCs w:val="21"/>
              </w:rPr>
              <w:t>1</w:t>
            </w:r>
          </w:p>
        </w:tc>
        <w:tc>
          <w:tcPr>
            <w:tcW w:w="3478" w:type="pct"/>
            <w:vAlign w:val="center"/>
          </w:tcPr>
          <w:p>
            <w:pPr>
              <w:widowControl/>
              <w:tabs>
                <w:tab w:val="left" w:pos="624"/>
                <w:tab w:val="left" w:pos="909"/>
              </w:tabs>
              <w:spacing w:line="320" w:lineRule="exact"/>
              <w:jc w:val="left"/>
              <w:rPr>
                <w:rFonts w:ascii="宋体" w:hAnsi="宋体"/>
                <w:szCs w:val="21"/>
              </w:rPr>
            </w:pPr>
            <w:r>
              <w:rPr>
                <w:rFonts w:hint="eastAsia" w:ascii="宋体" w:hAnsi="宋体"/>
                <w:szCs w:val="21"/>
              </w:rPr>
              <w:t>（1）投标人（以联合体形式参与投标的，指联合体牵头人）自有人员；</w:t>
            </w:r>
          </w:p>
          <w:p>
            <w:pPr>
              <w:widowControl/>
              <w:tabs>
                <w:tab w:val="left" w:pos="624"/>
                <w:tab w:val="left" w:pos="909"/>
              </w:tabs>
              <w:spacing w:line="320" w:lineRule="exact"/>
              <w:jc w:val="left"/>
              <w:rPr>
                <w:rFonts w:ascii="宋体" w:hAnsi="宋体"/>
                <w:szCs w:val="21"/>
              </w:rPr>
            </w:pPr>
            <w:r>
              <w:rPr>
                <w:rFonts w:hint="eastAsia" w:ascii="宋体" w:hAnsi="宋体"/>
                <w:szCs w:val="21"/>
              </w:rPr>
              <w:t>（2）具有道桥相关专业高级技术职称；</w:t>
            </w:r>
          </w:p>
          <w:p>
            <w:pPr>
              <w:autoSpaceDE w:val="0"/>
              <w:autoSpaceDN w:val="0"/>
              <w:adjustRightInd w:val="0"/>
              <w:spacing w:line="300" w:lineRule="exact"/>
              <w:jc w:val="left"/>
              <w:rPr>
                <w:bCs/>
                <w:szCs w:val="21"/>
              </w:rPr>
            </w:pPr>
            <w:r>
              <w:rPr>
                <w:rFonts w:hint="eastAsia" w:ascii="宋体" w:hAnsi="宋体"/>
                <w:szCs w:val="21"/>
              </w:rPr>
              <w:t>（3）担任过一项二级或二级以上新建（或改扩建）公路的施工图设计项目的项目负责人。</w:t>
            </w:r>
          </w:p>
        </w:tc>
      </w:tr>
    </w:tbl>
    <w:p>
      <w:pPr>
        <w:spacing w:line="340" w:lineRule="exact"/>
        <w:ind w:firstLine="420" w:firstLineChars="200"/>
        <w:jc w:val="left"/>
        <w:rPr>
          <w:rFonts w:ascii="宋体" w:hAnsi="宋体" w:cs="宋体"/>
          <w:szCs w:val="21"/>
          <w:lang w:val="zh-CN"/>
        </w:rPr>
      </w:pPr>
      <w:r>
        <w:rPr>
          <w:rFonts w:hint="eastAsia"/>
        </w:rPr>
        <w:t>注：</w:t>
      </w:r>
      <w:bookmarkStart w:id="30" w:name="OLE_LINK77"/>
      <w:bookmarkStart w:id="31" w:name="OLE_LINK76"/>
      <w:r>
        <w:rPr>
          <w:rFonts w:hint="eastAsia" w:ascii="宋体" w:hAnsi="宋体" w:cs="宋体"/>
          <w:szCs w:val="21"/>
          <w:lang w:val="zh-CN"/>
        </w:rPr>
        <w:t>（1）“投标人自有人员”指在投标人处缴纳社保的人员，提供在社保系统打印的本单位人员缴费明细，且缴费截止时间为2020年至开标前。如果投标人属事业法人单位、学校或军队企业，则不需提供社保证明，但需提供所在单位上级人事主管部门的人事证明材料复印件。</w:t>
      </w:r>
    </w:p>
    <w:p>
      <w:pPr>
        <w:spacing w:line="340" w:lineRule="exact"/>
        <w:ind w:firstLine="420" w:firstLineChars="200"/>
        <w:jc w:val="left"/>
      </w:pPr>
      <w:r>
        <w:rPr>
          <w:rFonts w:hint="eastAsia"/>
        </w:rPr>
        <w:t>（2）道桥相关专业职称道桥、路桥、公路工程、交通土建、桥梁、土木工程、交通工程等与道桥相关的专业，如职称证上无专业，</w:t>
      </w:r>
      <w:bookmarkEnd w:id="30"/>
      <w:bookmarkEnd w:id="31"/>
      <w:r>
        <w:rPr>
          <w:rFonts w:hint="eastAsia"/>
        </w:rPr>
        <w:t>则在投标文件中必须附毕业证，且毕业证上的专业为道桥、路桥、公路工程、交通土建、桥梁、土木工程、交通工程等与道桥相关的专业。</w:t>
      </w:r>
    </w:p>
    <w:p>
      <w:pPr>
        <w:spacing w:line="340" w:lineRule="exact"/>
        <w:ind w:firstLine="420" w:firstLineChars="200"/>
        <w:jc w:val="left"/>
      </w:pPr>
    </w:p>
    <w:p>
      <w:pPr>
        <w:rPr>
          <w:rFonts w:hint="eastAsia" w:ascii="宋体" w:hAnsi="宋体"/>
          <w:b/>
          <w:szCs w:val="21"/>
        </w:rPr>
      </w:pPr>
      <w:r>
        <w:rPr>
          <w:rFonts w:ascii="宋体" w:hAnsi="宋体"/>
          <w:b/>
          <w:szCs w:val="21"/>
        </w:rPr>
        <w:br w:type="page"/>
      </w:r>
      <w:r>
        <w:rPr>
          <w:rFonts w:ascii="宋体" w:hAnsi="宋体"/>
          <w:b/>
          <w:szCs w:val="21"/>
        </w:rPr>
        <w:t>5</w:t>
      </w:r>
      <w:r>
        <w:rPr>
          <w:rFonts w:hint="eastAsia" w:ascii="宋体" w:hAnsi="宋体"/>
          <w:b/>
          <w:szCs w:val="21"/>
        </w:rPr>
        <w:t>、</w:t>
      </w:r>
      <w:bookmarkStart w:id="32" w:name="_Toc508010058"/>
      <w:bookmarkStart w:id="33" w:name="_Toc4586956"/>
      <w:r>
        <w:rPr>
          <w:rFonts w:ascii="宋体" w:hAnsi="宋体"/>
          <w:b/>
          <w:szCs w:val="21"/>
        </w:rPr>
        <w:t>评标办法</w:t>
      </w:r>
      <w:bookmarkEnd w:id="32"/>
      <w:bookmarkEnd w:id="33"/>
    </w:p>
    <w:p>
      <w:pPr>
        <w:rPr>
          <w:rFonts w:ascii="宋体" w:hAnsi="宋体"/>
          <w:b/>
          <w:szCs w:val="21"/>
        </w:rPr>
      </w:pPr>
      <w:r>
        <w:rPr>
          <w:rFonts w:ascii="宋体" w:hAnsi="宋体"/>
          <w:b/>
          <w:szCs w:val="21"/>
        </w:rPr>
        <w:t>（一）评标办法前附表</w:t>
      </w:r>
    </w:p>
    <w:tbl>
      <w:tblPr>
        <w:tblStyle w:val="43"/>
        <w:tblW w:w="526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85" w:type="dxa"/>
          <w:left w:w="108" w:type="dxa"/>
          <w:bottom w:w="85" w:type="dxa"/>
          <w:right w:w="108" w:type="dxa"/>
        </w:tblCellMar>
      </w:tblPr>
      <w:tblGrid>
        <w:gridCol w:w="1089"/>
        <w:gridCol w:w="1638"/>
        <w:gridCol w:w="7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blHeader/>
          <w:jc w:val="center"/>
        </w:trPr>
        <w:tc>
          <w:tcPr>
            <w:tcW w:w="1314" w:type="pct"/>
            <w:gridSpan w:val="2"/>
            <w:shd w:val="clear" w:color="auto" w:fill="auto"/>
            <w:vAlign w:val="center"/>
          </w:tcPr>
          <w:p>
            <w:pPr>
              <w:spacing w:line="324" w:lineRule="exact"/>
              <w:jc w:val="center"/>
              <w:rPr>
                <w:rFonts w:ascii="宋体" w:hAnsi="宋体"/>
                <w:szCs w:val="21"/>
              </w:rPr>
            </w:pPr>
            <w:bookmarkStart w:id="34" w:name="_Hlk36539816"/>
            <w:r>
              <w:rPr>
                <w:rFonts w:hint="eastAsia" w:ascii="宋体" w:hAnsi="宋体"/>
                <w:szCs w:val="21"/>
              </w:rPr>
              <w:t>条款号</w:t>
            </w:r>
          </w:p>
        </w:tc>
        <w:tc>
          <w:tcPr>
            <w:tcW w:w="3686" w:type="pct"/>
            <w:shd w:val="clear" w:color="auto" w:fill="auto"/>
            <w:vAlign w:val="center"/>
          </w:tcPr>
          <w:p>
            <w:pPr>
              <w:tabs>
                <w:tab w:val="left" w:pos="735"/>
              </w:tabs>
              <w:spacing w:line="324" w:lineRule="exact"/>
              <w:jc w:val="center"/>
              <w:rPr>
                <w:rFonts w:ascii="宋体" w:hAnsi="宋体"/>
                <w:szCs w:val="21"/>
              </w:rPr>
            </w:pPr>
            <w:r>
              <w:rPr>
                <w:rFonts w:ascii="宋体" w:hAnsi="宋体"/>
                <w:bCs/>
                <w:szCs w:val="21"/>
              </w:rPr>
              <w:t>评审因素与评审标准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jc w:val="center"/>
        </w:trPr>
        <w:tc>
          <w:tcPr>
            <w:tcW w:w="525" w:type="pct"/>
            <w:shd w:val="clear" w:color="auto" w:fill="auto"/>
            <w:vAlign w:val="center"/>
          </w:tcPr>
          <w:p>
            <w:pPr>
              <w:spacing w:line="324" w:lineRule="exact"/>
              <w:jc w:val="center"/>
              <w:rPr>
                <w:rFonts w:ascii="宋体" w:hAnsi="宋体"/>
                <w:szCs w:val="21"/>
              </w:rPr>
            </w:pPr>
            <w:r>
              <w:rPr>
                <w:rFonts w:hint="eastAsia" w:ascii="宋体" w:hAnsi="宋体"/>
                <w:szCs w:val="21"/>
              </w:rPr>
              <w:t>1</w:t>
            </w:r>
          </w:p>
        </w:tc>
        <w:tc>
          <w:tcPr>
            <w:tcW w:w="789" w:type="pct"/>
            <w:shd w:val="clear" w:color="auto" w:fill="auto"/>
            <w:vAlign w:val="center"/>
          </w:tcPr>
          <w:p>
            <w:pPr>
              <w:tabs>
                <w:tab w:val="left" w:pos="735"/>
              </w:tabs>
              <w:spacing w:line="324" w:lineRule="exact"/>
              <w:jc w:val="center"/>
              <w:rPr>
                <w:rFonts w:ascii="宋体" w:hAnsi="宋体"/>
                <w:szCs w:val="21"/>
              </w:rPr>
            </w:pPr>
            <w:r>
              <w:rPr>
                <w:rFonts w:ascii="宋体" w:hAnsi="宋体"/>
                <w:szCs w:val="21"/>
              </w:rPr>
              <w:t>评标方法</w:t>
            </w:r>
          </w:p>
        </w:tc>
        <w:tc>
          <w:tcPr>
            <w:tcW w:w="3686" w:type="pct"/>
            <w:shd w:val="clear" w:color="auto" w:fill="auto"/>
          </w:tcPr>
          <w:p>
            <w:pPr>
              <w:tabs>
                <w:tab w:val="left" w:pos="735"/>
              </w:tabs>
              <w:spacing w:line="340" w:lineRule="exact"/>
              <w:ind w:firstLine="420" w:firstLineChars="200"/>
              <w:jc w:val="left"/>
              <w:rPr>
                <w:rFonts w:ascii="宋体" w:hAnsi="宋体"/>
                <w:kern w:val="0"/>
                <w:szCs w:val="21"/>
              </w:rPr>
            </w:pPr>
            <w:r>
              <w:rPr>
                <w:rFonts w:ascii="宋体" w:hAnsi="宋体"/>
                <w:kern w:val="0"/>
                <w:szCs w:val="21"/>
              </w:rPr>
              <w:t>综合评分相等时</w:t>
            </w:r>
            <w:r>
              <w:rPr>
                <w:rFonts w:hint="eastAsia" w:ascii="宋体" w:hAnsi="宋体"/>
                <w:kern w:val="0"/>
                <w:szCs w:val="21"/>
              </w:rPr>
              <w:t>，</w:t>
            </w:r>
            <w:r>
              <w:rPr>
                <w:rFonts w:ascii="宋体" w:hAnsi="宋体"/>
                <w:kern w:val="0"/>
                <w:szCs w:val="21"/>
              </w:rPr>
              <w:t>评标委员会依次按照以下优先顺序推荐中标候选人或确定中标人：</w:t>
            </w:r>
          </w:p>
          <w:p>
            <w:pPr>
              <w:tabs>
                <w:tab w:val="left" w:pos="735"/>
                <w:tab w:val="left" w:pos="1070"/>
              </w:tabs>
              <w:spacing w:line="340" w:lineRule="exact"/>
              <w:ind w:firstLine="210" w:firstLineChars="100"/>
              <w:rPr>
                <w:rFonts w:ascii="宋体" w:hAnsi="宋体"/>
                <w:kern w:val="0"/>
                <w:szCs w:val="21"/>
              </w:rPr>
            </w:pPr>
            <w:r>
              <w:rPr>
                <w:rFonts w:hint="eastAsia" w:ascii="宋体" w:hAnsi="宋体"/>
                <w:kern w:val="0"/>
                <w:szCs w:val="21"/>
              </w:rPr>
              <w:t>（1）</w:t>
            </w:r>
            <w:r>
              <w:rPr>
                <w:rFonts w:ascii="宋体" w:hAnsi="宋体"/>
                <w:kern w:val="0"/>
                <w:szCs w:val="21"/>
              </w:rPr>
              <w:t>评标价低的投标人优先；</w:t>
            </w:r>
          </w:p>
          <w:p>
            <w:pPr>
              <w:tabs>
                <w:tab w:val="left" w:pos="735"/>
                <w:tab w:val="left" w:pos="1078"/>
              </w:tabs>
              <w:spacing w:line="340" w:lineRule="exact"/>
              <w:ind w:firstLine="210" w:firstLineChars="100"/>
              <w:rPr>
                <w:rFonts w:ascii="宋体" w:hAnsi="宋体"/>
                <w:kern w:val="0"/>
                <w:szCs w:val="21"/>
              </w:rPr>
            </w:pPr>
            <w:r>
              <w:rPr>
                <w:rFonts w:hint="eastAsia" w:ascii="宋体" w:hAnsi="宋体"/>
                <w:kern w:val="0"/>
                <w:szCs w:val="21"/>
              </w:rPr>
              <w:t>（2）第一个信封（商务及技术文件）评审得分排序在先的投标人优先</w:t>
            </w:r>
            <w:r>
              <w:rPr>
                <w:rFonts w:ascii="宋体" w:hAnsi="宋体"/>
                <w:kern w:val="0"/>
                <w:szCs w:val="21"/>
              </w:rPr>
              <w:t>；</w:t>
            </w:r>
          </w:p>
          <w:p>
            <w:pPr>
              <w:tabs>
                <w:tab w:val="left" w:pos="735"/>
              </w:tabs>
              <w:spacing w:line="340" w:lineRule="exact"/>
              <w:ind w:firstLine="210" w:firstLineChars="100"/>
              <w:rPr>
                <w:rFonts w:ascii="宋体" w:hAnsi="宋体"/>
                <w:bCs/>
                <w:szCs w:val="21"/>
              </w:rPr>
            </w:pPr>
            <w:r>
              <w:rPr>
                <w:rFonts w:hint="eastAsia" w:ascii="宋体" w:hAnsi="宋体"/>
                <w:kern w:val="0"/>
                <w:szCs w:val="21"/>
              </w:rPr>
              <w:t>（</w:t>
            </w:r>
            <w:r>
              <w:rPr>
                <w:rFonts w:ascii="宋体" w:hAnsi="宋体"/>
                <w:kern w:val="0"/>
                <w:szCs w:val="21"/>
              </w:rPr>
              <w:t>3</w:t>
            </w:r>
            <w:r>
              <w:rPr>
                <w:rFonts w:hint="eastAsia" w:ascii="宋体" w:hAnsi="宋体"/>
                <w:kern w:val="0"/>
                <w:szCs w:val="21"/>
              </w:rPr>
              <w:t>）评标委员会投票决定。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jc w:val="center"/>
        </w:trPr>
        <w:tc>
          <w:tcPr>
            <w:tcW w:w="525" w:type="pct"/>
            <w:shd w:val="clear" w:color="auto" w:fill="auto"/>
            <w:vAlign w:val="center"/>
          </w:tcPr>
          <w:p>
            <w:pPr>
              <w:spacing w:line="324" w:lineRule="exact"/>
              <w:jc w:val="center"/>
              <w:rPr>
                <w:rFonts w:ascii="宋体" w:hAnsi="宋体"/>
                <w:szCs w:val="21"/>
              </w:rPr>
            </w:pPr>
            <w:r>
              <w:rPr>
                <w:rFonts w:hint="eastAsia" w:ascii="宋体" w:hAnsi="宋体"/>
                <w:szCs w:val="21"/>
              </w:rPr>
              <w:t>2.1.1</w:t>
            </w:r>
          </w:p>
          <w:p>
            <w:pPr>
              <w:spacing w:line="324" w:lineRule="exact"/>
              <w:jc w:val="center"/>
              <w:rPr>
                <w:rFonts w:ascii="宋体" w:hAnsi="宋体"/>
                <w:szCs w:val="21"/>
              </w:rPr>
            </w:pPr>
            <w:r>
              <w:rPr>
                <w:rFonts w:hint="eastAsia" w:ascii="宋体" w:hAnsi="宋体"/>
                <w:szCs w:val="21"/>
              </w:rPr>
              <w:t>2.1.3</w:t>
            </w:r>
          </w:p>
        </w:tc>
        <w:tc>
          <w:tcPr>
            <w:tcW w:w="789" w:type="pct"/>
            <w:shd w:val="clear" w:color="auto" w:fill="auto"/>
            <w:vAlign w:val="center"/>
          </w:tcPr>
          <w:p>
            <w:pPr>
              <w:tabs>
                <w:tab w:val="left" w:pos="735"/>
              </w:tabs>
              <w:spacing w:line="324" w:lineRule="exact"/>
              <w:jc w:val="center"/>
              <w:rPr>
                <w:rFonts w:ascii="宋体" w:hAnsi="宋体"/>
                <w:szCs w:val="21"/>
              </w:rPr>
            </w:pPr>
            <w:r>
              <w:rPr>
                <w:rFonts w:ascii="宋体" w:hAnsi="宋体"/>
                <w:szCs w:val="21"/>
              </w:rPr>
              <w:t>形式评审与 响应性</w:t>
            </w:r>
          </w:p>
          <w:p>
            <w:pPr>
              <w:tabs>
                <w:tab w:val="left" w:pos="735"/>
              </w:tabs>
              <w:spacing w:line="324" w:lineRule="exact"/>
              <w:jc w:val="center"/>
              <w:rPr>
                <w:rFonts w:ascii="宋体" w:hAnsi="宋体"/>
                <w:szCs w:val="21"/>
              </w:rPr>
            </w:pPr>
            <w:r>
              <w:rPr>
                <w:rFonts w:ascii="宋体" w:hAnsi="宋体"/>
                <w:szCs w:val="21"/>
              </w:rPr>
              <w:t>评审标准</w:t>
            </w:r>
          </w:p>
        </w:tc>
        <w:tc>
          <w:tcPr>
            <w:tcW w:w="3686" w:type="pct"/>
            <w:shd w:val="clear" w:color="auto" w:fill="auto"/>
          </w:tcPr>
          <w:p>
            <w:pPr>
              <w:tabs>
                <w:tab w:val="left" w:pos="735"/>
                <w:tab w:val="left" w:pos="948"/>
              </w:tabs>
              <w:spacing w:line="340" w:lineRule="exact"/>
              <w:ind w:firstLine="210" w:firstLineChars="100"/>
              <w:rPr>
                <w:rFonts w:ascii="宋体" w:hAnsi="宋体"/>
                <w:kern w:val="0"/>
                <w:szCs w:val="21"/>
              </w:rPr>
            </w:pPr>
            <w:r>
              <w:rPr>
                <w:rFonts w:ascii="宋体" w:hAnsi="宋体"/>
                <w:kern w:val="0"/>
                <w:szCs w:val="21"/>
              </w:rPr>
              <w:t>第一个信封（商务及技术文件）评审标准：</w:t>
            </w:r>
          </w:p>
          <w:p>
            <w:pPr>
              <w:tabs>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（1）</w:t>
            </w:r>
            <w:r>
              <w:rPr>
                <w:rFonts w:ascii="宋体" w:hAnsi="宋体"/>
                <w:kern w:val="0"/>
                <w:szCs w:val="21"/>
              </w:rPr>
              <w:t>投标文件按照招标文件规定的格式</w:t>
            </w:r>
            <w:r>
              <w:rPr>
                <w:rFonts w:hint="eastAsia" w:ascii="宋体" w:hAnsi="宋体"/>
                <w:kern w:val="0"/>
                <w:szCs w:val="21"/>
              </w:rPr>
              <w:t>、</w:t>
            </w:r>
            <w:r>
              <w:rPr>
                <w:rFonts w:ascii="宋体" w:hAnsi="宋体"/>
                <w:kern w:val="0"/>
                <w:szCs w:val="21"/>
              </w:rPr>
              <w:t>内容填写，字迹清晰</w:t>
            </w:r>
            <w:r>
              <w:rPr>
                <w:rFonts w:hint="eastAsia" w:ascii="宋体" w:hAnsi="宋体"/>
                <w:kern w:val="0"/>
                <w:szCs w:val="21"/>
              </w:rPr>
              <w:t>可</w:t>
            </w:r>
            <w:r>
              <w:rPr>
                <w:rFonts w:ascii="宋体" w:hAnsi="宋体"/>
                <w:kern w:val="0"/>
                <w:szCs w:val="21"/>
              </w:rPr>
              <w:t>辨：</w:t>
            </w:r>
          </w:p>
          <w:p>
            <w:pPr>
              <w:tabs>
                <w:tab w:val="left" w:pos="566"/>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a.</w:t>
            </w:r>
            <w:r>
              <w:rPr>
                <w:rFonts w:ascii="宋体" w:hAnsi="宋体"/>
                <w:kern w:val="0"/>
                <w:szCs w:val="21"/>
              </w:rPr>
              <w:t>投标函按招标文件规定填报了项目名称、标段号、补遗书编号（如有）、</w:t>
            </w:r>
            <w:r>
              <w:rPr>
                <w:rFonts w:hint="eastAsia" w:ascii="宋体" w:hAnsi="宋体"/>
                <w:kern w:val="0"/>
                <w:szCs w:val="21"/>
              </w:rPr>
              <w:t>勘察设计服务期限</w:t>
            </w:r>
            <w:r>
              <w:rPr>
                <w:rFonts w:ascii="宋体" w:hAnsi="宋体"/>
                <w:kern w:val="0"/>
                <w:szCs w:val="21"/>
              </w:rPr>
              <w:t>、工程质量要求及安全目标；</w:t>
            </w:r>
          </w:p>
          <w:p>
            <w:pPr>
              <w:tabs>
                <w:tab w:val="left" w:pos="168"/>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b.</w:t>
            </w:r>
            <w:r>
              <w:rPr>
                <w:rFonts w:ascii="宋体" w:hAnsi="宋体"/>
                <w:kern w:val="0"/>
                <w:szCs w:val="21"/>
              </w:rPr>
              <w:t>投标文件组成齐全完整，内容均按规定填写。</w:t>
            </w:r>
          </w:p>
          <w:p>
            <w:pPr>
              <w:tabs>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（2）</w:t>
            </w:r>
            <w:r>
              <w:rPr>
                <w:rFonts w:ascii="宋体" w:hAnsi="宋体"/>
                <w:kern w:val="0"/>
                <w:szCs w:val="21"/>
              </w:rPr>
              <w:t>投标文件上法定代表人或其委托代理人的签字、投标人的单位章盖章齐全，符合招标文件规定。</w:t>
            </w:r>
          </w:p>
          <w:p>
            <w:pPr>
              <w:tabs>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（3）</w:t>
            </w:r>
            <w:r>
              <w:rPr>
                <w:rFonts w:ascii="宋体" w:hAnsi="宋体"/>
                <w:kern w:val="0"/>
                <w:szCs w:val="21"/>
              </w:rPr>
              <w:t>投标人按照招标文件的规定提供了投标保证金：</w:t>
            </w:r>
          </w:p>
          <w:p>
            <w:pPr>
              <w:tabs>
                <w:tab w:val="left" w:pos="168"/>
                <w:tab w:val="left" w:pos="735"/>
                <w:tab w:val="left" w:pos="948"/>
              </w:tabs>
              <w:spacing w:line="340" w:lineRule="exact"/>
              <w:ind w:firstLine="210" w:firstLineChars="100"/>
              <w:rPr>
                <w:rFonts w:ascii="宋体" w:hAnsi="宋体"/>
                <w:kern w:val="0"/>
                <w:szCs w:val="21"/>
              </w:rPr>
            </w:pPr>
            <w:r>
              <w:rPr>
                <w:rFonts w:ascii="宋体" w:hAnsi="宋体"/>
                <w:kern w:val="0"/>
                <w:szCs w:val="21"/>
              </w:rPr>
              <w:t>a.投标保证金金额符合招标文件规定的金额，且投标保证金有效期不少于投标有效期；</w:t>
            </w:r>
          </w:p>
          <w:p>
            <w:pPr>
              <w:tabs>
                <w:tab w:val="left" w:pos="168"/>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b.</w:t>
            </w:r>
            <w:r>
              <w:rPr>
                <w:rFonts w:ascii="宋体" w:hAnsi="宋体"/>
                <w:kern w:val="0"/>
                <w:szCs w:val="21"/>
              </w:rPr>
              <w:t>若投标保证金采用现金或支票形式提交，投标人应在招标文件规定的递交截止时间之前，</w:t>
            </w:r>
            <w:r>
              <w:rPr>
                <w:rFonts w:hint="eastAsia" w:ascii="宋体" w:hAnsi="宋体"/>
                <w:kern w:val="0"/>
                <w:szCs w:val="21"/>
              </w:rPr>
              <w:t>将投标保证金一次性由投标人的基本账户转入并到达招标人指定账户；</w:t>
            </w:r>
          </w:p>
          <w:p>
            <w:pPr>
              <w:tabs>
                <w:tab w:val="left" w:pos="168"/>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c</w:t>
            </w:r>
            <w:r>
              <w:rPr>
                <w:rFonts w:ascii="宋体" w:hAnsi="宋体"/>
                <w:kern w:val="0"/>
                <w:szCs w:val="21"/>
              </w:rPr>
              <w:t>.若投标保证金采用银行保函形式提交，银行保函的格式、开具保函的银行均满足招标文件要求，且</w:t>
            </w:r>
            <w:r>
              <w:rPr>
                <w:rFonts w:hint="eastAsia" w:ascii="宋体" w:hAnsi="宋体"/>
                <w:kern w:val="0"/>
                <w:szCs w:val="21"/>
              </w:rPr>
              <w:t>按招标文件</w:t>
            </w:r>
            <w:r>
              <w:rPr>
                <w:rFonts w:ascii="宋体" w:hAnsi="宋体"/>
                <w:kern w:val="0"/>
                <w:szCs w:val="21"/>
              </w:rPr>
              <w:t>规定提交了银行保函原件。</w:t>
            </w:r>
          </w:p>
          <w:p>
            <w:pPr>
              <w:tabs>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（4）</w:t>
            </w:r>
            <w:r>
              <w:rPr>
                <w:rFonts w:ascii="宋体" w:hAnsi="宋体"/>
                <w:kern w:val="0"/>
                <w:szCs w:val="21"/>
              </w:rPr>
              <w:t>投标人法定代表人授权委托代理人签署投标文件的，须提交授权委托书，且授权人和被授权人均在授权委托书上签名，未使用印章、签名章或其他电子制版签名代替。</w:t>
            </w:r>
          </w:p>
          <w:p>
            <w:pPr>
              <w:tabs>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（5）</w:t>
            </w:r>
            <w:r>
              <w:rPr>
                <w:rFonts w:ascii="宋体" w:hAnsi="宋体"/>
                <w:kern w:val="0"/>
                <w:szCs w:val="21"/>
              </w:rPr>
              <w:t>投标人法定代表人亲自签署投标文件的，提供了法定代表人身份证明，且法定代表人在法定代表人身份证明上签名，未使用印章、签名章或其他电子制版签名代替。</w:t>
            </w:r>
          </w:p>
          <w:p>
            <w:pPr>
              <w:snapToGrid w:val="0"/>
              <w:spacing w:line="380" w:lineRule="exact"/>
              <w:ind w:firstLine="210" w:firstLineChars="100"/>
              <w:rPr>
                <w:rFonts w:ascii="宋体" w:hAnsi="宋体"/>
                <w:szCs w:val="21"/>
              </w:rPr>
            </w:pPr>
            <w:r>
              <w:rPr>
                <w:rFonts w:hint="eastAsia" w:ascii="宋体" w:hAnsi="宋体"/>
                <w:kern w:val="0"/>
                <w:szCs w:val="21"/>
              </w:rPr>
              <w:t>（6）</w:t>
            </w:r>
            <w:r>
              <w:rPr>
                <w:rFonts w:hint="eastAsia" w:ascii="宋体" w:hAnsi="宋体"/>
                <w:szCs w:val="21"/>
              </w:rPr>
              <w:t>投标人以联合体形式投标时，联合体满足招标文件的要求：投标人按照招标文件提供的格式签订了联合体协议书，明确各方承担连带责任，并明确了联合体牵头人。</w:t>
            </w:r>
          </w:p>
          <w:p>
            <w:pPr>
              <w:tabs>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（7）投标人如有分包计划，符合招标文件第二章“投标人须知”第1.11款规定，且按招标文件第六章“投标文件格式”的要求填写了“拟分包项目情况表”。</w:t>
            </w:r>
          </w:p>
          <w:p>
            <w:pPr>
              <w:tabs>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（8）</w:t>
            </w:r>
            <w:r>
              <w:rPr>
                <w:rFonts w:ascii="宋体" w:hAnsi="宋体"/>
                <w:kern w:val="0"/>
                <w:szCs w:val="21"/>
              </w:rPr>
              <w:t>同一投标人未提交两个以上不同的投标文件，但招标文件要求提交备选投标的除外。</w:t>
            </w:r>
          </w:p>
          <w:p>
            <w:pPr>
              <w:tabs>
                <w:tab w:val="left" w:pos="735"/>
                <w:tab w:val="left" w:pos="948"/>
                <w:tab w:val="left" w:pos="1181"/>
              </w:tabs>
              <w:spacing w:line="340" w:lineRule="exact"/>
              <w:ind w:firstLine="210" w:firstLineChars="100"/>
              <w:rPr>
                <w:rFonts w:ascii="宋体" w:hAnsi="宋体"/>
                <w:kern w:val="0"/>
                <w:szCs w:val="21"/>
              </w:rPr>
            </w:pPr>
            <w:r>
              <w:rPr>
                <w:rFonts w:hint="eastAsia" w:ascii="宋体" w:hAnsi="宋体"/>
                <w:kern w:val="0"/>
                <w:szCs w:val="21"/>
              </w:rPr>
              <w:t>（9）</w:t>
            </w:r>
            <w:r>
              <w:rPr>
                <w:rFonts w:ascii="宋体" w:hAnsi="宋体"/>
                <w:kern w:val="0"/>
                <w:szCs w:val="21"/>
              </w:rPr>
              <w:t>投标文件中未出现有关投标报价的内容。</w:t>
            </w:r>
          </w:p>
          <w:p>
            <w:pPr>
              <w:tabs>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（10）</w:t>
            </w:r>
            <w:r>
              <w:rPr>
                <w:rFonts w:ascii="宋体" w:hAnsi="宋体"/>
                <w:kern w:val="0"/>
                <w:szCs w:val="21"/>
              </w:rPr>
              <w:t>投标文件载明的招标项目完成期限未超过招标文件规定的时限。</w:t>
            </w:r>
          </w:p>
          <w:p>
            <w:pPr>
              <w:tabs>
                <w:tab w:val="left" w:pos="735"/>
                <w:tab w:val="left" w:pos="948"/>
                <w:tab w:val="left" w:pos="1181"/>
              </w:tabs>
              <w:spacing w:line="340" w:lineRule="exact"/>
              <w:ind w:firstLine="210" w:firstLineChars="100"/>
              <w:rPr>
                <w:rFonts w:ascii="宋体" w:hAnsi="宋体"/>
                <w:kern w:val="0"/>
                <w:szCs w:val="21"/>
              </w:rPr>
            </w:pPr>
            <w:r>
              <w:rPr>
                <w:rFonts w:hint="eastAsia" w:ascii="宋体" w:hAnsi="宋体"/>
                <w:kern w:val="0"/>
                <w:szCs w:val="21"/>
              </w:rPr>
              <w:t>（11）</w:t>
            </w:r>
            <w:r>
              <w:rPr>
                <w:rFonts w:ascii="宋体" w:hAnsi="宋体"/>
                <w:kern w:val="0"/>
                <w:szCs w:val="21"/>
              </w:rPr>
              <w:t>投标文件对招标文件的实质性要求和条件作出响应。</w:t>
            </w:r>
          </w:p>
          <w:p>
            <w:pPr>
              <w:tabs>
                <w:tab w:val="left" w:pos="735"/>
                <w:tab w:val="left" w:pos="948"/>
                <w:tab w:val="left" w:pos="1176"/>
              </w:tabs>
              <w:spacing w:line="340" w:lineRule="exact"/>
              <w:ind w:firstLine="210" w:firstLineChars="100"/>
              <w:rPr>
                <w:rFonts w:ascii="宋体" w:hAnsi="宋体"/>
                <w:kern w:val="0"/>
                <w:szCs w:val="21"/>
              </w:rPr>
            </w:pPr>
            <w:r>
              <w:rPr>
                <w:rFonts w:hint="eastAsia" w:ascii="宋体" w:hAnsi="宋体"/>
                <w:kern w:val="0"/>
                <w:szCs w:val="21"/>
              </w:rPr>
              <w:t>（12）</w:t>
            </w:r>
            <w:r>
              <w:rPr>
                <w:rFonts w:ascii="宋体" w:hAnsi="宋体"/>
                <w:kern w:val="0"/>
                <w:szCs w:val="21"/>
              </w:rPr>
              <w:t>权利义务符合招标文件规定：</w:t>
            </w:r>
          </w:p>
          <w:p>
            <w:pPr>
              <w:tabs>
                <w:tab w:val="left" w:pos="168"/>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a.</w:t>
            </w:r>
            <w:r>
              <w:rPr>
                <w:rFonts w:ascii="宋体" w:hAnsi="宋体"/>
                <w:kern w:val="0"/>
                <w:szCs w:val="21"/>
              </w:rPr>
              <w:t>投标人应接受招标文件规定的风险划分原则，未提出新的风险划分办法；</w:t>
            </w:r>
          </w:p>
          <w:p>
            <w:pPr>
              <w:tabs>
                <w:tab w:val="left" w:pos="168"/>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b.</w:t>
            </w:r>
            <w:r>
              <w:rPr>
                <w:rFonts w:ascii="宋体" w:hAnsi="宋体"/>
                <w:kern w:val="0"/>
                <w:szCs w:val="21"/>
              </w:rPr>
              <w:t>投标人未增加发包人的责任范围，或减少投标人义务；</w:t>
            </w:r>
          </w:p>
          <w:p>
            <w:pPr>
              <w:tabs>
                <w:tab w:val="left" w:pos="168"/>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c.</w:t>
            </w:r>
            <w:r>
              <w:rPr>
                <w:rFonts w:ascii="宋体" w:hAnsi="宋体"/>
                <w:kern w:val="0"/>
                <w:szCs w:val="21"/>
              </w:rPr>
              <w:t>投标人未提出不同的支付办法；</w:t>
            </w:r>
          </w:p>
          <w:p>
            <w:pPr>
              <w:tabs>
                <w:tab w:val="left" w:pos="168"/>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d.</w:t>
            </w:r>
            <w:r>
              <w:rPr>
                <w:rFonts w:ascii="宋体" w:hAnsi="宋体"/>
                <w:kern w:val="0"/>
                <w:szCs w:val="21"/>
              </w:rPr>
              <w:t>投标人对合同纠纷、事故处理办法未提出异议；</w:t>
            </w:r>
          </w:p>
          <w:p>
            <w:pPr>
              <w:tabs>
                <w:tab w:val="left" w:pos="168"/>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e.</w:t>
            </w:r>
            <w:r>
              <w:rPr>
                <w:rFonts w:ascii="宋体" w:hAnsi="宋体"/>
                <w:kern w:val="0"/>
                <w:szCs w:val="21"/>
              </w:rPr>
              <w:t>投标人在投标活动中无欺诈行为；</w:t>
            </w:r>
          </w:p>
          <w:p>
            <w:pPr>
              <w:tabs>
                <w:tab w:val="left" w:pos="168"/>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f.</w:t>
            </w:r>
            <w:r>
              <w:rPr>
                <w:rFonts w:ascii="宋体" w:hAnsi="宋体"/>
                <w:kern w:val="0"/>
                <w:szCs w:val="21"/>
              </w:rPr>
              <w:t>投标人未对合同条款有重要保留。</w:t>
            </w:r>
          </w:p>
          <w:p>
            <w:pPr>
              <w:tabs>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（13）</w:t>
            </w:r>
            <w:r>
              <w:rPr>
                <w:rFonts w:ascii="宋体" w:hAnsi="宋体"/>
                <w:kern w:val="0"/>
                <w:szCs w:val="21"/>
              </w:rPr>
              <w:t>投标文件正、副本份数符合招标文件第二章“投标人须知”第3.7.4项规定。</w:t>
            </w:r>
          </w:p>
          <w:p>
            <w:pPr>
              <w:tabs>
                <w:tab w:val="left" w:pos="735"/>
                <w:tab w:val="left" w:pos="948"/>
              </w:tabs>
              <w:spacing w:line="340" w:lineRule="exact"/>
              <w:ind w:firstLine="210" w:firstLineChars="100"/>
              <w:rPr>
                <w:rFonts w:ascii="宋体" w:hAnsi="宋体"/>
                <w:kern w:val="0"/>
                <w:szCs w:val="21"/>
              </w:rPr>
            </w:pPr>
            <w:r>
              <w:rPr>
                <w:rFonts w:ascii="宋体" w:hAnsi="宋体"/>
                <w:kern w:val="0"/>
                <w:szCs w:val="21"/>
              </w:rPr>
              <w:t>第二个信封（报价文件）评审标准：</w:t>
            </w:r>
          </w:p>
          <w:p>
            <w:pPr>
              <w:tabs>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（1）</w:t>
            </w:r>
            <w:r>
              <w:rPr>
                <w:rFonts w:ascii="宋体" w:hAnsi="宋体"/>
                <w:kern w:val="0"/>
                <w:szCs w:val="21"/>
              </w:rPr>
              <w:t>投标文件按照招标文件规定的格式、内容填写，字迹清晰可辨，内容齐全完整：</w:t>
            </w:r>
          </w:p>
          <w:p>
            <w:pPr>
              <w:tabs>
                <w:tab w:val="left" w:pos="168"/>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a.</w:t>
            </w:r>
            <w:r>
              <w:rPr>
                <w:rFonts w:ascii="宋体" w:hAnsi="宋体"/>
                <w:kern w:val="0"/>
                <w:szCs w:val="21"/>
              </w:rPr>
              <w:t>投标函按招标文件规定填报了项目名称、标段号、补遗书编号（如有）、投标</w:t>
            </w:r>
            <w:r>
              <w:rPr>
                <w:rFonts w:hint="eastAsia" w:ascii="宋体" w:hAnsi="宋体"/>
                <w:kern w:val="0"/>
                <w:szCs w:val="21"/>
              </w:rPr>
              <w:t>价</w:t>
            </w:r>
            <w:r>
              <w:rPr>
                <w:rFonts w:ascii="宋体" w:hAnsi="宋体"/>
                <w:kern w:val="0"/>
                <w:szCs w:val="21"/>
              </w:rPr>
              <w:t>（包括大写金额和小写金额）；</w:t>
            </w:r>
          </w:p>
          <w:p>
            <w:pPr>
              <w:snapToGrid w:val="0"/>
              <w:spacing w:line="380" w:lineRule="exact"/>
              <w:ind w:firstLine="525" w:firstLineChars="250"/>
              <w:rPr>
                <w:rFonts w:ascii="宋体" w:hAnsi="宋体"/>
                <w:szCs w:val="21"/>
              </w:rPr>
            </w:pPr>
            <w:r>
              <w:rPr>
                <w:rFonts w:hint="eastAsia" w:ascii="宋体" w:hAnsi="宋体"/>
                <w:szCs w:val="21"/>
              </w:rPr>
              <w:t>b.已标价报价清单说明文字与招标文件规定一致，未进行实质性修改和删减；</w:t>
            </w:r>
          </w:p>
          <w:p>
            <w:pPr>
              <w:snapToGrid w:val="0"/>
              <w:spacing w:line="380" w:lineRule="exact"/>
              <w:ind w:firstLine="525" w:firstLineChars="250"/>
              <w:rPr>
                <w:rFonts w:ascii="宋体" w:hAnsi="宋体"/>
                <w:szCs w:val="21"/>
              </w:rPr>
            </w:pPr>
            <w:r>
              <w:rPr>
                <w:rFonts w:hint="eastAsia" w:ascii="宋体" w:hAnsi="宋体"/>
                <w:szCs w:val="21"/>
              </w:rPr>
              <w:t>c.投标文件组成齐全完整，内容均按规定填写。</w:t>
            </w:r>
          </w:p>
          <w:p>
            <w:pPr>
              <w:tabs>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（2）</w:t>
            </w:r>
            <w:r>
              <w:rPr>
                <w:rFonts w:ascii="宋体" w:hAnsi="宋体"/>
                <w:kern w:val="0"/>
                <w:szCs w:val="21"/>
              </w:rPr>
              <w:t>投标文件上法定代表人或其委托代理人的签字、投标人的单位章盖章齐全，符合招标文件规定。</w:t>
            </w:r>
          </w:p>
          <w:p>
            <w:pPr>
              <w:tabs>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（3）</w:t>
            </w:r>
            <w:r>
              <w:rPr>
                <w:rFonts w:ascii="宋体" w:hAnsi="宋体"/>
                <w:kern w:val="0"/>
                <w:szCs w:val="21"/>
              </w:rPr>
              <w:t>投标报价未超过招标文件设定的最高投标限价。</w:t>
            </w:r>
          </w:p>
          <w:p>
            <w:pPr>
              <w:tabs>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（4）</w:t>
            </w:r>
            <w:r>
              <w:rPr>
                <w:rFonts w:ascii="宋体" w:hAnsi="宋体"/>
                <w:kern w:val="0"/>
                <w:szCs w:val="21"/>
              </w:rPr>
              <w:t>投标报价的大写金额能够确定具体数值。</w:t>
            </w:r>
          </w:p>
          <w:p>
            <w:pPr>
              <w:tabs>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（5）</w:t>
            </w:r>
            <w:r>
              <w:rPr>
                <w:rFonts w:ascii="宋体" w:hAnsi="宋体"/>
                <w:kern w:val="0"/>
                <w:szCs w:val="21"/>
              </w:rPr>
              <w:t>同一投标人未提交两个以上不同的投标报价。</w:t>
            </w:r>
          </w:p>
          <w:p>
            <w:pPr>
              <w:tabs>
                <w:tab w:val="left" w:pos="735"/>
                <w:tab w:val="left" w:pos="948"/>
              </w:tabs>
              <w:spacing w:line="340" w:lineRule="exact"/>
              <w:ind w:firstLine="210" w:firstLineChars="100"/>
              <w:rPr>
                <w:rFonts w:ascii="宋体" w:hAnsi="宋体"/>
                <w:kern w:val="0"/>
                <w:szCs w:val="21"/>
              </w:rPr>
            </w:pPr>
            <w:r>
              <w:rPr>
                <w:rFonts w:hint="eastAsia" w:ascii="宋体" w:hAnsi="宋体"/>
                <w:kern w:val="0"/>
                <w:szCs w:val="21"/>
              </w:rPr>
              <w:t>（6）</w:t>
            </w:r>
            <w:r>
              <w:rPr>
                <w:rFonts w:ascii="宋体" w:hAnsi="宋体"/>
                <w:kern w:val="0"/>
                <w:szCs w:val="21"/>
              </w:rPr>
              <w:t>投标文件正、副本份数符合招标文件第二章“投标人须知”第3.7.4项规定。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4797" w:hRule="atLeast"/>
          <w:jc w:val="center"/>
        </w:trPr>
        <w:tc>
          <w:tcPr>
            <w:tcW w:w="525" w:type="pct"/>
            <w:shd w:val="clear" w:color="auto" w:fill="auto"/>
            <w:vAlign w:val="center"/>
          </w:tcPr>
          <w:p>
            <w:pPr>
              <w:spacing w:line="324" w:lineRule="exact"/>
              <w:jc w:val="center"/>
              <w:rPr>
                <w:rFonts w:ascii="宋体" w:hAnsi="宋体"/>
                <w:kern w:val="20"/>
                <w:szCs w:val="21"/>
              </w:rPr>
            </w:pPr>
            <w:r>
              <w:rPr>
                <w:rFonts w:hint="eastAsia" w:ascii="宋体" w:hAnsi="宋体"/>
                <w:kern w:val="20"/>
                <w:szCs w:val="21"/>
              </w:rPr>
              <w:t>2.1.2</w:t>
            </w:r>
          </w:p>
        </w:tc>
        <w:tc>
          <w:tcPr>
            <w:tcW w:w="789" w:type="pct"/>
            <w:shd w:val="clear" w:color="auto" w:fill="auto"/>
            <w:vAlign w:val="center"/>
          </w:tcPr>
          <w:p>
            <w:pPr>
              <w:spacing w:line="324" w:lineRule="exact"/>
              <w:jc w:val="center"/>
              <w:rPr>
                <w:rFonts w:ascii="宋体" w:hAnsi="宋体"/>
                <w:kern w:val="20"/>
                <w:szCs w:val="21"/>
              </w:rPr>
            </w:pPr>
            <w:r>
              <w:rPr>
                <w:rFonts w:hint="eastAsia" w:ascii="宋体" w:hAnsi="宋体"/>
                <w:kern w:val="20"/>
                <w:szCs w:val="21"/>
              </w:rPr>
              <w:t>资格</w:t>
            </w:r>
          </w:p>
          <w:p>
            <w:pPr>
              <w:spacing w:line="324" w:lineRule="exact"/>
              <w:jc w:val="center"/>
              <w:rPr>
                <w:rFonts w:ascii="宋体" w:hAnsi="宋体"/>
                <w:kern w:val="20"/>
                <w:szCs w:val="21"/>
              </w:rPr>
            </w:pPr>
            <w:r>
              <w:rPr>
                <w:rFonts w:hint="eastAsia" w:ascii="宋体" w:hAnsi="宋体"/>
                <w:kern w:val="20"/>
                <w:szCs w:val="21"/>
              </w:rPr>
              <w:t>评审标准</w:t>
            </w:r>
          </w:p>
        </w:tc>
        <w:tc>
          <w:tcPr>
            <w:tcW w:w="3686" w:type="pct"/>
            <w:shd w:val="clear" w:color="auto" w:fill="auto"/>
          </w:tcPr>
          <w:p>
            <w:pPr>
              <w:tabs>
                <w:tab w:val="left" w:pos="735"/>
              </w:tabs>
              <w:spacing w:line="330" w:lineRule="exact"/>
              <w:ind w:firstLine="210" w:firstLineChars="100"/>
              <w:rPr>
                <w:rFonts w:ascii="宋体" w:hAnsi="宋体" w:cs="MingLiU"/>
                <w:szCs w:val="21"/>
                <w:lang w:val="zh-TW" w:eastAsia="zh-TW" w:bidi="zh-TW"/>
              </w:rPr>
            </w:pPr>
            <w:r>
              <w:rPr>
                <w:rFonts w:hint="eastAsia" w:ascii="宋体" w:hAnsi="宋体" w:cs="MingLiU"/>
                <w:szCs w:val="21"/>
                <w:lang w:val="zh-TW" w:eastAsia="zh-TW" w:bidi="zh-TW"/>
              </w:rPr>
              <w:t>（1）</w:t>
            </w:r>
            <w:r>
              <w:rPr>
                <w:rFonts w:ascii="宋体" w:hAnsi="宋体" w:cs="MingLiU"/>
                <w:szCs w:val="21"/>
                <w:lang w:val="zh-TW" w:eastAsia="zh-TW" w:bidi="zh-TW"/>
              </w:rPr>
              <w:t>投标人具备有效的营业执照</w:t>
            </w:r>
            <w:r>
              <w:rPr>
                <w:rFonts w:hint="eastAsia" w:ascii="宋体" w:hAnsi="宋体" w:cs="MingLiU"/>
                <w:szCs w:val="21"/>
                <w:lang w:val="zh-TW" w:eastAsia="zh-TW" w:bidi="zh-TW"/>
              </w:rPr>
              <w:t>、组织机构代码证</w:t>
            </w:r>
            <w:r>
              <w:rPr>
                <w:rFonts w:hint="eastAsia" w:ascii="宋体" w:hAnsi="宋体" w:cs="MingLiU"/>
                <w:szCs w:val="21"/>
                <w:lang w:val="zh-TW" w:bidi="zh-TW"/>
              </w:rPr>
              <w:t>（</w:t>
            </w:r>
            <w:r>
              <w:rPr>
                <w:rFonts w:hint="eastAsia" w:ascii="宋体" w:hAnsi="宋体" w:cs="MingLiU"/>
                <w:szCs w:val="21"/>
                <w:lang w:val="zh-TW" w:eastAsia="zh-TW" w:bidi="zh-TW"/>
              </w:rPr>
              <w:t>按照“三证合一”或“五证合一”登记制度进行登记的，可仅提供营业执照副本</w:t>
            </w:r>
            <w:r>
              <w:rPr>
                <w:rFonts w:hint="eastAsia" w:ascii="宋体" w:hAnsi="宋体" w:cs="MingLiU"/>
                <w:szCs w:val="21"/>
                <w:lang w:val="zh-TW" w:bidi="zh-TW"/>
              </w:rPr>
              <w:t>）</w:t>
            </w:r>
            <w:r>
              <w:rPr>
                <w:rFonts w:hint="eastAsia" w:ascii="宋体" w:hAnsi="宋体" w:cs="MingLiU"/>
                <w:szCs w:val="21"/>
                <w:lang w:val="zh-TW" w:eastAsia="zh-TW" w:bidi="zh-TW"/>
              </w:rPr>
              <w:t>、勘察资质证书、设计资质证书、基本账户开户证明（基本账户开户许可证或其他有效的基本账户开户证明）</w:t>
            </w:r>
            <w:r>
              <w:rPr>
                <w:rFonts w:ascii="宋体" w:hAnsi="宋体" w:cs="MingLiU"/>
                <w:szCs w:val="21"/>
                <w:lang w:val="zh-TW" w:eastAsia="zh-TW" w:bidi="zh-TW"/>
              </w:rPr>
              <w:t>。</w:t>
            </w:r>
          </w:p>
          <w:p>
            <w:pPr>
              <w:tabs>
                <w:tab w:val="left" w:pos="735"/>
              </w:tabs>
              <w:spacing w:line="330" w:lineRule="exact"/>
              <w:ind w:firstLine="210" w:firstLineChars="100"/>
              <w:rPr>
                <w:rFonts w:ascii="宋体" w:hAnsi="宋体" w:eastAsia="PMingLiU" w:cs="MingLiU"/>
                <w:szCs w:val="21"/>
                <w:lang w:val="zh-TW" w:eastAsia="zh-TW" w:bidi="zh-TW"/>
              </w:rPr>
            </w:pPr>
            <w:r>
              <w:rPr>
                <w:rFonts w:hint="eastAsia" w:ascii="宋体" w:hAnsi="宋体" w:cs="MingLiU"/>
                <w:szCs w:val="21"/>
                <w:lang w:val="zh-TW" w:eastAsia="zh-TW" w:bidi="zh-TW"/>
              </w:rPr>
              <w:t>（2）</w:t>
            </w:r>
            <w:r>
              <w:rPr>
                <w:rFonts w:ascii="宋体" w:hAnsi="宋体" w:cs="MingLiU"/>
                <w:szCs w:val="21"/>
                <w:lang w:val="zh-TW" w:eastAsia="zh-TW" w:bidi="zh-TW"/>
              </w:rPr>
              <w:t>投标人的</w:t>
            </w:r>
            <w:r>
              <w:rPr>
                <w:rFonts w:hint="eastAsia" w:ascii="宋体" w:hAnsi="宋体" w:cs="MingLiU"/>
                <w:szCs w:val="21"/>
                <w:lang w:val="zh-TW" w:eastAsia="zh-TW" w:bidi="zh-TW"/>
              </w:rPr>
              <w:t>资质等级</w:t>
            </w:r>
            <w:r>
              <w:rPr>
                <w:rFonts w:ascii="宋体" w:hAnsi="宋体" w:cs="MingLiU"/>
                <w:szCs w:val="21"/>
                <w:lang w:val="zh-TW" w:eastAsia="zh-TW" w:bidi="zh-TW"/>
              </w:rPr>
              <w:t>符合招标文件规定。</w:t>
            </w:r>
          </w:p>
          <w:p>
            <w:pPr>
              <w:tabs>
                <w:tab w:val="left" w:pos="735"/>
              </w:tabs>
              <w:spacing w:line="330" w:lineRule="exact"/>
              <w:ind w:firstLine="210" w:firstLineChars="100"/>
              <w:rPr>
                <w:rFonts w:ascii="宋体" w:hAnsi="宋体" w:cs="MingLiU"/>
                <w:szCs w:val="21"/>
                <w:lang w:val="zh-TW" w:eastAsia="zh-TW" w:bidi="zh-TW"/>
              </w:rPr>
            </w:pPr>
            <w:r>
              <w:rPr>
                <w:rFonts w:hint="eastAsia" w:ascii="宋体" w:hAnsi="宋体" w:cs="MingLiU"/>
                <w:szCs w:val="21"/>
                <w:lang w:val="zh-TW" w:eastAsia="zh-TW" w:bidi="zh-TW"/>
              </w:rPr>
              <w:t>（3）</w:t>
            </w:r>
            <w:r>
              <w:rPr>
                <w:rFonts w:ascii="宋体" w:hAnsi="宋体" w:cs="MingLiU"/>
                <w:szCs w:val="21"/>
                <w:lang w:val="zh-TW" w:eastAsia="zh-TW" w:bidi="zh-TW"/>
              </w:rPr>
              <w:t>投标人的类似项目业绩符合招标文件规定。</w:t>
            </w:r>
          </w:p>
          <w:p>
            <w:pPr>
              <w:tabs>
                <w:tab w:val="left" w:pos="735"/>
              </w:tabs>
              <w:spacing w:line="330" w:lineRule="exact"/>
              <w:ind w:firstLine="210" w:firstLineChars="100"/>
              <w:rPr>
                <w:rFonts w:ascii="宋体" w:hAnsi="宋体" w:cs="MingLiU"/>
                <w:szCs w:val="21"/>
                <w:lang w:val="zh-TW" w:eastAsia="zh-TW" w:bidi="zh-TW"/>
              </w:rPr>
            </w:pPr>
            <w:r>
              <w:rPr>
                <w:rFonts w:hint="eastAsia" w:ascii="宋体" w:hAnsi="宋体" w:cs="MingLiU"/>
                <w:szCs w:val="21"/>
                <w:lang w:val="zh-TW" w:eastAsia="zh-TW" w:bidi="zh-TW"/>
              </w:rPr>
              <w:t>（4）</w:t>
            </w:r>
            <w:r>
              <w:rPr>
                <w:rFonts w:ascii="宋体" w:hAnsi="宋体" w:cs="MingLiU"/>
                <w:szCs w:val="21"/>
                <w:lang w:val="zh-TW" w:eastAsia="zh-TW" w:bidi="zh-TW"/>
              </w:rPr>
              <w:t>投标人的信誉符合招标文件规定。</w:t>
            </w:r>
          </w:p>
          <w:p>
            <w:pPr>
              <w:tabs>
                <w:tab w:val="left" w:pos="735"/>
              </w:tabs>
              <w:spacing w:line="330" w:lineRule="exact"/>
              <w:ind w:firstLine="210" w:firstLineChars="100"/>
              <w:rPr>
                <w:rFonts w:ascii="宋体" w:hAnsi="宋体" w:cs="MingLiU"/>
                <w:szCs w:val="21"/>
                <w:lang w:val="zh-TW" w:eastAsia="zh-TW" w:bidi="zh-TW"/>
              </w:rPr>
            </w:pPr>
            <w:r>
              <w:rPr>
                <w:rFonts w:hint="eastAsia" w:ascii="宋体" w:hAnsi="宋体" w:cs="MingLiU"/>
                <w:szCs w:val="21"/>
                <w:lang w:val="zh-TW" w:eastAsia="zh-TW" w:bidi="zh-TW"/>
              </w:rPr>
              <w:t>（5）</w:t>
            </w:r>
            <w:r>
              <w:rPr>
                <w:rFonts w:ascii="宋体" w:hAnsi="宋体" w:cs="MingLiU"/>
                <w:szCs w:val="21"/>
                <w:lang w:val="zh-TW" w:eastAsia="zh-TW" w:bidi="zh-TW"/>
              </w:rPr>
              <w:t>投标人的项目负责人资格符合招标文件规定。</w:t>
            </w:r>
          </w:p>
          <w:p>
            <w:pPr>
              <w:tabs>
                <w:tab w:val="left" w:pos="735"/>
              </w:tabs>
              <w:spacing w:line="330" w:lineRule="exact"/>
              <w:ind w:firstLine="210" w:firstLineChars="100"/>
              <w:rPr>
                <w:rFonts w:ascii="宋体" w:hAnsi="宋体" w:eastAsia="PMingLiU" w:cs="MingLiU"/>
                <w:szCs w:val="21"/>
                <w:lang w:val="zh-TW" w:eastAsia="zh-TW" w:bidi="zh-TW"/>
              </w:rPr>
            </w:pPr>
            <w:r>
              <w:rPr>
                <w:rFonts w:hint="eastAsia" w:ascii="宋体" w:hAnsi="宋体" w:cs="MingLiU"/>
                <w:szCs w:val="21"/>
                <w:lang w:val="zh-TW" w:eastAsia="zh-TW" w:bidi="zh-TW"/>
              </w:rPr>
              <w:t>（6）</w:t>
            </w:r>
            <w:r>
              <w:rPr>
                <w:rFonts w:ascii="宋体" w:hAnsi="宋体" w:cs="MingLiU"/>
                <w:szCs w:val="21"/>
                <w:lang w:val="zh-TW" w:eastAsia="zh-TW" w:bidi="zh-TW"/>
              </w:rPr>
              <w:t>投标人不存在第二章“投标人须知”第1.4.3项或第1.4.4项规定的任何一种情形。</w:t>
            </w:r>
          </w:p>
          <w:p>
            <w:pPr>
              <w:tabs>
                <w:tab w:val="left" w:pos="735"/>
              </w:tabs>
              <w:spacing w:line="330" w:lineRule="exact"/>
              <w:ind w:firstLine="210" w:firstLineChars="100"/>
              <w:rPr>
                <w:rFonts w:ascii="宋体" w:hAnsi="宋体" w:eastAsia="PMingLiU" w:cs="MingLiU"/>
                <w:szCs w:val="21"/>
                <w:lang w:val="zh-TW" w:eastAsia="zh-TW" w:bidi="zh-TW"/>
              </w:rPr>
            </w:pPr>
            <w:r>
              <w:rPr>
                <w:rFonts w:hint="eastAsia" w:ascii="宋体" w:hAnsi="宋体" w:cs="MingLiU"/>
                <w:szCs w:val="21"/>
                <w:lang w:val="zh-TW" w:eastAsia="zh-TW" w:bidi="zh-TW"/>
              </w:rPr>
              <w:t>（</w:t>
            </w:r>
            <w:r>
              <w:rPr>
                <w:rFonts w:hint="eastAsia" w:ascii="宋体" w:hAnsi="宋体" w:cs="MingLiU"/>
                <w:szCs w:val="21"/>
                <w:lang w:val="zh-TW" w:bidi="zh-TW"/>
              </w:rPr>
              <w:t>7</w:t>
            </w:r>
            <w:r>
              <w:rPr>
                <w:rFonts w:hint="eastAsia" w:ascii="宋体" w:hAnsi="宋体" w:cs="MingLiU"/>
                <w:szCs w:val="21"/>
                <w:lang w:val="zh-TW" w:eastAsia="zh-TW" w:bidi="zh-TW"/>
              </w:rPr>
              <w:t>）投标人不存在第二章“投标人须知”第1.4.</w:t>
            </w:r>
            <w:r>
              <w:rPr>
                <w:rFonts w:ascii="宋体" w:hAnsi="宋体" w:eastAsia="PMingLiU" w:cs="MingLiU"/>
                <w:szCs w:val="21"/>
                <w:lang w:val="zh-TW" w:eastAsia="zh-TW" w:bidi="zh-TW"/>
              </w:rPr>
              <w:t>5</w:t>
            </w:r>
            <w:r>
              <w:rPr>
                <w:rFonts w:hint="eastAsia" w:ascii="宋体" w:hAnsi="宋体" w:cs="MingLiU"/>
                <w:szCs w:val="21"/>
                <w:lang w:val="zh-TW" w:eastAsia="zh-TW" w:bidi="zh-TW"/>
              </w:rPr>
              <w:t>项规定。</w:t>
            </w:r>
          </w:p>
          <w:p>
            <w:pPr>
              <w:tabs>
                <w:tab w:val="left" w:pos="735"/>
              </w:tabs>
              <w:spacing w:line="330" w:lineRule="exact"/>
              <w:ind w:firstLine="210" w:firstLineChars="100"/>
              <w:rPr>
                <w:rFonts w:ascii="宋体" w:hAnsi="宋体" w:eastAsia="PMingLiU" w:cs="MingLiU"/>
                <w:szCs w:val="21"/>
                <w:lang w:val="zh-TW" w:eastAsia="zh-TW" w:bidi="zh-TW"/>
              </w:rPr>
            </w:pPr>
            <w:r>
              <w:rPr>
                <w:rFonts w:hint="eastAsia" w:ascii="宋体" w:hAnsi="宋体" w:cs="MingLiU"/>
                <w:szCs w:val="21"/>
                <w:lang w:val="zh-TW" w:eastAsia="zh-TW" w:bidi="zh-TW"/>
              </w:rPr>
              <w:t>（</w:t>
            </w:r>
            <w:r>
              <w:rPr>
                <w:rFonts w:hint="eastAsia" w:ascii="宋体" w:hAnsi="宋体" w:cs="MingLiU"/>
                <w:szCs w:val="21"/>
                <w:lang w:val="zh-TW" w:bidi="zh-TW"/>
              </w:rPr>
              <w:t>8</w:t>
            </w:r>
            <w:r>
              <w:rPr>
                <w:rFonts w:hint="eastAsia" w:ascii="宋体" w:hAnsi="宋体" w:cs="MingLiU"/>
                <w:szCs w:val="21"/>
                <w:lang w:val="zh-TW" w:eastAsia="zh-TW" w:bidi="zh-TW"/>
              </w:rPr>
              <w:t>）</w:t>
            </w:r>
            <w:r>
              <w:rPr>
                <w:rFonts w:hint="eastAsia" w:ascii="宋体" w:hAnsi="宋体"/>
                <w:szCs w:val="21"/>
              </w:rPr>
              <w:t>以联合体形式参与投标的，联合体各方均未再以自己名义单独或参加其他联合体在同一标段中投标；独立参与投标的，投标人未同时参加联合体在同一标段中投标。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jc w:val="center"/>
        </w:trPr>
        <w:tc>
          <w:tcPr>
            <w:tcW w:w="525" w:type="pct"/>
            <w:shd w:val="clear" w:color="auto" w:fill="auto"/>
            <w:vAlign w:val="center"/>
          </w:tcPr>
          <w:p>
            <w:pPr>
              <w:spacing w:line="324" w:lineRule="exact"/>
              <w:jc w:val="center"/>
            </w:pPr>
            <w:r>
              <w:rPr>
                <w:rFonts w:hint="eastAsia"/>
              </w:rPr>
              <w:t>条款号</w:t>
            </w:r>
          </w:p>
        </w:tc>
        <w:tc>
          <w:tcPr>
            <w:tcW w:w="789" w:type="pct"/>
            <w:shd w:val="clear" w:color="auto" w:fill="auto"/>
            <w:vAlign w:val="center"/>
          </w:tcPr>
          <w:p>
            <w:pPr>
              <w:spacing w:line="324" w:lineRule="exact"/>
              <w:jc w:val="center"/>
            </w:pPr>
            <w:r>
              <w:rPr>
                <w:rFonts w:hint="eastAsia"/>
              </w:rPr>
              <w:t>条款内容</w:t>
            </w:r>
          </w:p>
        </w:tc>
        <w:tc>
          <w:tcPr>
            <w:tcW w:w="3686" w:type="pct"/>
            <w:shd w:val="clear" w:color="auto" w:fill="auto"/>
            <w:vAlign w:val="center"/>
          </w:tcPr>
          <w:p>
            <w:pPr>
              <w:spacing w:line="324" w:lineRule="exact"/>
              <w:jc w:val="center"/>
            </w:pPr>
            <w:r>
              <w:rPr>
                <w:rFonts w:hint="eastAsia"/>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160" w:hRule="atLeast"/>
          <w:jc w:val="center"/>
        </w:trPr>
        <w:tc>
          <w:tcPr>
            <w:tcW w:w="525" w:type="pct"/>
            <w:shd w:val="clear" w:color="auto" w:fill="auto"/>
            <w:vAlign w:val="center"/>
          </w:tcPr>
          <w:p>
            <w:pPr>
              <w:spacing w:line="324" w:lineRule="exact"/>
              <w:jc w:val="center"/>
              <w:rPr>
                <w:rFonts w:ascii="宋体" w:hAnsi="宋体"/>
                <w:kern w:val="20"/>
                <w:szCs w:val="21"/>
              </w:rPr>
            </w:pPr>
            <w:r>
              <w:rPr>
                <w:rFonts w:hint="eastAsia" w:ascii="宋体" w:hAnsi="宋体"/>
                <w:kern w:val="20"/>
                <w:szCs w:val="21"/>
              </w:rPr>
              <w:t>2.2.1</w:t>
            </w:r>
          </w:p>
        </w:tc>
        <w:tc>
          <w:tcPr>
            <w:tcW w:w="789" w:type="pct"/>
            <w:shd w:val="clear" w:color="auto" w:fill="auto"/>
            <w:vAlign w:val="center"/>
          </w:tcPr>
          <w:p>
            <w:pPr>
              <w:spacing w:line="324" w:lineRule="exact"/>
              <w:jc w:val="center"/>
              <w:rPr>
                <w:rFonts w:ascii="宋体" w:hAnsi="宋体"/>
                <w:kern w:val="20"/>
                <w:szCs w:val="21"/>
              </w:rPr>
            </w:pPr>
            <w:r>
              <w:rPr>
                <w:rFonts w:ascii="宋体" w:hAnsi="宋体" w:cs="MingLiU"/>
                <w:bCs/>
                <w:szCs w:val="21"/>
                <w:lang w:val="zh-TW" w:eastAsia="zh-TW" w:bidi="zh-TW"/>
              </w:rPr>
              <w:t xml:space="preserve">分值构成 </w:t>
            </w:r>
            <w:r>
              <w:rPr>
                <w:rFonts w:hint="eastAsia" w:ascii="宋体" w:hAnsi="宋体" w:cs="MingLiU"/>
                <w:bCs/>
                <w:szCs w:val="21"/>
                <w:lang w:val="zh-TW" w:bidi="zh-TW"/>
              </w:rPr>
              <w:t>（</w:t>
            </w:r>
            <w:r>
              <w:rPr>
                <w:rFonts w:ascii="宋体" w:hAnsi="宋体" w:cs="MingLiU"/>
                <w:bCs/>
                <w:szCs w:val="21"/>
                <w:lang w:val="zh-TW" w:eastAsia="zh-TW" w:bidi="zh-TW"/>
              </w:rPr>
              <w:t>总分100分</w:t>
            </w:r>
            <w:r>
              <w:rPr>
                <w:rFonts w:hint="eastAsia" w:ascii="宋体" w:hAnsi="宋体" w:cs="MingLiU"/>
                <w:bCs/>
                <w:szCs w:val="21"/>
                <w:lang w:val="zh-TW" w:bidi="zh-TW"/>
              </w:rPr>
              <w:t>）</w:t>
            </w:r>
          </w:p>
        </w:tc>
        <w:tc>
          <w:tcPr>
            <w:tcW w:w="3686" w:type="pct"/>
            <w:shd w:val="clear" w:color="auto" w:fill="auto"/>
            <w:vAlign w:val="center"/>
          </w:tcPr>
          <w:p>
            <w:pPr>
              <w:spacing w:line="324" w:lineRule="exact"/>
              <w:rPr>
                <w:rFonts w:ascii="黑体" w:hAnsi="黑体" w:eastAsia="黑体" w:cs="MingLiU"/>
                <w:b/>
                <w:bCs/>
                <w:kern w:val="0"/>
                <w:szCs w:val="21"/>
                <w:lang w:val="zh-TW" w:eastAsia="zh-TW" w:bidi="zh-TW"/>
              </w:rPr>
            </w:pPr>
            <w:r>
              <w:rPr>
                <w:rFonts w:ascii="黑体" w:hAnsi="黑体" w:eastAsia="黑体" w:cs="MingLiU"/>
                <w:b/>
                <w:bCs/>
                <w:kern w:val="0"/>
                <w:szCs w:val="21"/>
                <w:lang w:val="zh-TW" w:eastAsia="zh-TW" w:bidi="zh-TW"/>
              </w:rPr>
              <w:t>第一个信封（商务及技术文件）评分分值构成：</w:t>
            </w:r>
          </w:p>
          <w:p>
            <w:pPr>
              <w:tabs>
                <w:tab w:val="left" w:pos="735"/>
              </w:tabs>
              <w:spacing w:line="324" w:lineRule="exact"/>
              <w:rPr>
                <w:rFonts w:ascii="宋体" w:hAnsi="宋体" w:cs="MingLiU"/>
                <w:bCs/>
                <w:szCs w:val="21"/>
                <w:lang w:val="zh-TW" w:eastAsia="zh-TW" w:bidi="zh-TW"/>
              </w:rPr>
            </w:pPr>
            <w:bookmarkStart w:id="35" w:name="_Hlk530984597"/>
            <w:r>
              <w:rPr>
                <w:rFonts w:hint="eastAsia" w:ascii="宋体" w:hAnsi="宋体" w:cs="MingLiU"/>
                <w:bCs/>
                <w:szCs w:val="21"/>
                <w:lang w:val="zh-TW" w:eastAsia="zh-TW" w:bidi="zh-TW"/>
              </w:rPr>
              <w:t>技术建议书：</w:t>
            </w:r>
            <w:r>
              <w:rPr>
                <w:rFonts w:ascii="宋体" w:hAnsi="宋体" w:eastAsia="PMingLiU" w:cs="MingLiU"/>
                <w:bCs/>
                <w:szCs w:val="21"/>
                <w:lang w:val="zh-TW" w:eastAsia="zh-TW" w:bidi="zh-TW"/>
              </w:rPr>
              <w:t>40</w:t>
            </w:r>
            <w:r>
              <w:rPr>
                <w:rFonts w:hint="eastAsia" w:ascii="宋体" w:hAnsi="宋体" w:cs="MingLiU"/>
                <w:bCs/>
                <w:szCs w:val="21"/>
                <w:lang w:val="zh-TW" w:eastAsia="zh-TW" w:bidi="zh-TW"/>
              </w:rPr>
              <w:t>分</w:t>
            </w:r>
          </w:p>
          <w:p>
            <w:pPr>
              <w:tabs>
                <w:tab w:val="left" w:pos="735"/>
              </w:tabs>
              <w:spacing w:line="324" w:lineRule="exact"/>
              <w:rPr>
                <w:rFonts w:ascii="宋体" w:hAnsi="宋体" w:cs="MingLiU"/>
                <w:bCs/>
                <w:szCs w:val="21"/>
                <w:lang w:val="zh-TW" w:eastAsia="zh-TW" w:bidi="zh-TW"/>
              </w:rPr>
            </w:pPr>
            <w:r>
              <w:rPr>
                <w:rFonts w:hint="eastAsia" w:ascii="宋体" w:hAnsi="宋体" w:cs="MingLiU"/>
                <w:bCs/>
                <w:szCs w:val="21"/>
                <w:lang w:val="zh-TW" w:eastAsia="zh-TW" w:bidi="zh-TW"/>
              </w:rPr>
              <w:t>主要人员：</w:t>
            </w:r>
            <w:r>
              <w:rPr>
                <w:rFonts w:ascii="宋体" w:hAnsi="宋体" w:eastAsia="PMingLiU" w:cs="MingLiU"/>
                <w:bCs/>
                <w:szCs w:val="21"/>
                <w:lang w:val="zh-TW" w:eastAsia="zh-TW" w:bidi="zh-TW"/>
              </w:rPr>
              <w:t>25</w:t>
            </w:r>
            <w:r>
              <w:rPr>
                <w:rFonts w:hint="eastAsia" w:ascii="宋体" w:hAnsi="宋体" w:cs="MingLiU"/>
                <w:bCs/>
                <w:szCs w:val="21"/>
                <w:lang w:val="zh-TW" w:eastAsia="zh-TW" w:bidi="zh-TW"/>
              </w:rPr>
              <w:t>分</w:t>
            </w:r>
          </w:p>
          <w:p>
            <w:pPr>
              <w:tabs>
                <w:tab w:val="left" w:pos="735"/>
              </w:tabs>
              <w:spacing w:line="324" w:lineRule="exact"/>
              <w:rPr>
                <w:rFonts w:ascii="宋体" w:hAnsi="宋体" w:eastAsia="PMingLiU" w:cs="MingLiU"/>
                <w:bCs/>
                <w:szCs w:val="21"/>
                <w:lang w:val="zh-TW" w:eastAsia="zh-TW" w:bidi="zh-TW"/>
              </w:rPr>
            </w:pPr>
            <w:r>
              <w:rPr>
                <w:rFonts w:hint="eastAsia" w:ascii="宋体" w:hAnsi="宋体" w:cs="MingLiU"/>
                <w:bCs/>
                <w:szCs w:val="21"/>
                <w:lang w:val="zh-TW" w:eastAsia="zh-TW" w:bidi="zh-TW"/>
              </w:rPr>
              <w:t xml:space="preserve">业 </w:t>
            </w:r>
            <w:r>
              <w:rPr>
                <w:rFonts w:ascii="宋体" w:hAnsi="宋体" w:cs="MingLiU"/>
                <w:bCs/>
                <w:szCs w:val="21"/>
                <w:lang w:val="zh-TW" w:eastAsia="zh-TW" w:bidi="zh-TW"/>
              </w:rPr>
              <w:t xml:space="preserve">   </w:t>
            </w:r>
            <w:r>
              <w:rPr>
                <w:rFonts w:hint="eastAsia" w:ascii="宋体" w:hAnsi="宋体" w:cs="MingLiU"/>
                <w:bCs/>
                <w:szCs w:val="21"/>
                <w:lang w:val="zh-TW" w:eastAsia="zh-TW" w:bidi="zh-TW"/>
              </w:rPr>
              <w:t>绩：</w:t>
            </w:r>
            <w:r>
              <w:rPr>
                <w:rFonts w:ascii="宋体" w:hAnsi="宋体" w:eastAsia="PMingLiU" w:cs="MingLiU"/>
                <w:bCs/>
                <w:szCs w:val="21"/>
                <w:lang w:val="zh-TW" w:eastAsia="zh-TW" w:bidi="zh-TW"/>
              </w:rPr>
              <w:t>20</w:t>
            </w:r>
            <w:r>
              <w:rPr>
                <w:rFonts w:hint="eastAsia" w:ascii="宋体" w:hAnsi="宋体" w:cs="MingLiU"/>
                <w:bCs/>
                <w:szCs w:val="21"/>
                <w:lang w:val="zh-TW" w:eastAsia="zh-TW" w:bidi="zh-TW"/>
              </w:rPr>
              <w:t>分</w:t>
            </w:r>
          </w:p>
          <w:p>
            <w:pPr>
              <w:tabs>
                <w:tab w:val="left" w:pos="735"/>
              </w:tabs>
              <w:spacing w:line="324" w:lineRule="exact"/>
              <w:rPr>
                <w:rFonts w:ascii="宋体" w:hAnsi="宋体" w:cs="MingLiU"/>
                <w:bCs/>
                <w:szCs w:val="21"/>
                <w:lang w:val="zh-TW" w:bidi="zh-TW"/>
              </w:rPr>
            </w:pPr>
            <w:r>
              <w:rPr>
                <w:rFonts w:hint="eastAsia" w:ascii="宋体" w:hAnsi="宋体" w:cs="MingLiU"/>
                <w:bCs/>
                <w:szCs w:val="21"/>
                <w:lang w:val="zh-TW" w:eastAsia="zh-TW" w:bidi="zh-TW"/>
              </w:rPr>
              <w:t>履约信誉：</w:t>
            </w:r>
            <w:r>
              <w:rPr>
                <w:rFonts w:hint="eastAsia" w:ascii="宋体" w:hAnsi="宋体" w:cs="MingLiU"/>
                <w:bCs/>
                <w:szCs w:val="21"/>
                <w:lang w:val="zh-TW" w:bidi="zh-TW"/>
              </w:rPr>
              <w:t xml:space="preserve"> 5分</w:t>
            </w:r>
          </w:p>
          <w:bookmarkEnd w:id="35"/>
          <w:p>
            <w:pPr>
              <w:spacing w:line="324" w:lineRule="exact"/>
              <w:rPr>
                <w:rFonts w:ascii="黑体" w:hAnsi="黑体" w:eastAsia="黑体" w:cs="MingLiU"/>
                <w:b/>
                <w:bCs/>
                <w:kern w:val="0"/>
                <w:szCs w:val="21"/>
                <w:lang w:val="zh-TW" w:eastAsia="zh-TW" w:bidi="zh-TW"/>
              </w:rPr>
            </w:pPr>
            <w:r>
              <w:rPr>
                <w:rFonts w:ascii="黑体" w:hAnsi="黑体" w:eastAsia="黑体" w:cs="MingLiU"/>
                <w:b/>
                <w:bCs/>
                <w:kern w:val="0"/>
                <w:szCs w:val="21"/>
                <w:lang w:val="zh-TW" w:eastAsia="zh-TW" w:bidi="zh-TW"/>
              </w:rPr>
              <w:t>第二个信封（报价文件）评分分值构成：</w:t>
            </w:r>
          </w:p>
          <w:p>
            <w:pPr>
              <w:tabs>
                <w:tab w:val="left" w:pos="735"/>
              </w:tabs>
              <w:spacing w:line="324" w:lineRule="exact"/>
              <w:rPr>
                <w:rFonts w:ascii="宋体" w:hAnsi="宋体" w:eastAsia="PMingLiU"/>
                <w:kern w:val="20"/>
                <w:szCs w:val="21"/>
              </w:rPr>
            </w:pPr>
            <w:r>
              <w:rPr>
                <w:rFonts w:ascii="宋体" w:hAnsi="宋体" w:cs="MingLiU"/>
                <w:szCs w:val="21"/>
                <w:lang w:val="zh-TW" w:eastAsia="zh-TW" w:bidi="zh-TW"/>
              </w:rPr>
              <w:t>评标价</w:t>
            </w:r>
            <w:r>
              <w:rPr>
                <w:rFonts w:hint="eastAsia" w:ascii="宋体" w:hAnsi="宋体" w:cs="MingLiU"/>
                <w:szCs w:val="21"/>
                <w:lang w:val="zh-TW" w:eastAsia="zh-TW" w:bidi="zh-TW"/>
              </w:rPr>
              <w:t>：10</w:t>
            </w:r>
            <w:r>
              <w:rPr>
                <w:rFonts w:ascii="宋体" w:hAnsi="宋体" w:cs="MingLiU"/>
                <w:szCs w:val="21"/>
                <w:lang w:val="zh-TW" w:eastAsia="zh-TW" w:bidi="zh-TW"/>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377" w:hRule="atLeast"/>
          <w:jc w:val="center"/>
        </w:trPr>
        <w:tc>
          <w:tcPr>
            <w:tcW w:w="525" w:type="pct"/>
            <w:shd w:val="clear" w:color="auto" w:fill="auto"/>
            <w:vAlign w:val="center"/>
          </w:tcPr>
          <w:p>
            <w:pPr>
              <w:spacing w:line="324" w:lineRule="exact"/>
              <w:jc w:val="center"/>
              <w:rPr>
                <w:rFonts w:ascii="宋体" w:hAnsi="宋体"/>
                <w:kern w:val="20"/>
                <w:szCs w:val="21"/>
              </w:rPr>
            </w:pPr>
            <w:r>
              <w:rPr>
                <w:rFonts w:hint="eastAsia" w:ascii="宋体" w:hAnsi="宋体"/>
                <w:kern w:val="20"/>
                <w:szCs w:val="21"/>
              </w:rPr>
              <w:t>2.2.2</w:t>
            </w:r>
          </w:p>
        </w:tc>
        <w:tc>
          <w:tcPr>
            <w:tcW w:w="789" w:type="pct"/>
            <w:shd w:val="clear" w:color="auto" w:fill="auto"/>
            <w:vAlign w:val="center"/>
          </w:tcPr>
          <w:p>
            <w:pPr>
              <w:spacing w:line="324" w:lineRule="exact"/>
              <w:jc w:val="center"/>
              <w:rPr>
                <w:rFonts w:ascii="宋体" w:hAnsi="宋体" w:eastAsia="PMingLiU" w:cs="MingLiU"/>
                <w:bCs/>
                <w:szCs w:val="21"/>
                <w:lang w:val="zh-TW" w:eastAsia="zh-TW" w:bidi="zh-TW"/>
              </w:rPr>
            </w:pPr>
            <w:r>
              <w:rPr>
                <w:rFonts w:ascii="宋体" w:hAnsi="宋体" w:cs="MingLiU"/>
                <w:bCs/>
                <w:szCs w:val="21"/>
                <w:lang w:val="zh-TW" w:eastAsia="zh-TW" w:bidi="zh-TW"/>
              </w:rPr>
              <w:t>评标基准价</w:t>
            </w:r>
          </w:p>
          <w:p>
            <w:pPr>
              <w:spacing w:line="324" w:lineRule="exact"/>
              <w:jc w:val="center"/>
              <w:rPr>
                <w:rFonts w:ascii="宋体" w:hAnsi="宋体"/>
                <w:kern w:val="20"/>
                <w:szCs w:val="21"/>
              </w:rPr>
            </w:pPr>
            <w:r>
              <w:rPr>
                <w:rFonts w:ascii="宋体" w:hAnsi="宋体" w:cs="MingLiU"/>
                <w:bCs/>
                <w:szCs w:val="21"/>
                <w:lang w:val="zh-TW" w:eastAsia="zh-TW" w:bidi="zh-TW"/>
              </w:rPr>
              <w:t>计算方法</w:t>
            </w:r>
          </w:p>
        </w:tc>
        <w:tc>
          <w:tcPr>
            <w:tcW w:w="3686" w:type="pct"/>
            <w:shd w:val="clear" w:color="auto" w:fill="auto"/>
          </w:tcPr>
          <w:p>
            <w:pPr>
              <w:spacing w:line="324" w:lineRule="exact"/>
              <w:jc w:val="left"/>
              <w:rPr>
                <w:rFonts w:ascii="黑体" w:hAnsi="黑体" w:eastAsia="黑体" w:cs="MingLiU"/>
                <w:b/>
                <w:bCs/>
                <w:kern w:val="0"/>
                <w:szCs w:val="21"/>
                <w:lang w:val="zh-TW" w:eastAsia="zh-TW" w:bidi="zh-TW"/>
              </w:rPr>
            </w:pPr>
            <w:r>
              <w:rPr>
                <w:rFonts w:ascii="黑体" w:hAnsi="黑体" w:eastAsia="黑体" w:cs="MingLiU"/>
                <w:b/>
                <w:bCs/>
                <w:kern w:val="0"/>
                <w:szCs w:val="21"/>
                <w:lang w:val="zh-TW" w:eastAsia="zh-TW" w:bidi="zh-TW"/>
              </w:rPr>
              <w:t>评标基准价的计算：</w:t>
            </w:r>
          </w:p>
          <w:p>
            <w:pPr>
              <w:tabs>
                <w:tab w:val="left" w:pos="735"/>
              </w:tabs>
              <w:spacing w:line="324" w:lineRule="exact"/>
              <w:rPr>
                <w:rFonts w:ascii="宋体" w:hAnsi="宋体" w:cs="MingLiU"/>
                <w:bCs/>
                <w:szCs w:val="21"/>
                <w:lang w:val="zh-TW" w:eastAsia="zh-TW" w:bidi="zh-TW"/>
              </w:rPr>
            </w:pPr>
            <w:r>
              <w:rPr>
                <w:rFonts w:ascii="宋体" w:hAnsi="宋体" w:cs="MingLiU"/>
                <w:bCs/>
                <w:szCs w:val="21"/>
                <w:lang w:val="zh-TW" w:eastAsia="zh-TW" w:bidi="zh-TW"/>
              </w:rPr>
              <w:t>在开标现场，招标人将当场计算并宣布评标基准价。</w:t>
            </w:r>
          </w:p>
          <w:p>
            <w:pPr>
              <w:tabs>
                <w:tab w:val="left" w:pos="735"/>
              </w:tabs>
              <w:spacing w:line="324" w:lineRule="exact"/>
              <w:rPr>
                <w:rFonts w:ascii="宋体" w:hAnsi="宋体" w:eastAsia="PMingLiU" w:cs="MingLiU"/>
                <w:bCs/>
                <w:szCs w:val="21"/>
                <w:lang w:val="zh-TW" w:eastAsia="zh-TW" w:bidi="zh-TW"/>
              </w:rPr>
            </w:pPr>
            <w:r>
              <w:rPr>
                <w:rFonts w:hint="eastAsia" w:ascii="宋体" w:hAnsi="宋体" w:cs="MingLiU"/>
                <w:bCs/>
                <w:szCs w:val="21"/>
                <w:lang w:val="zh-TW" w:eastAsia="zh-TW" w:bidi="zh-TW"/>
              </w:rPr>
              <w:t>（1）</w:t>
            </w:r>
            <w:r>
              <w:rPr>
                <w:rFonts w:ascii="宋体" w:hAnsi="宋体" w:cs="MingLiU"/>
                <w:bCs/>
                <w:szCs w:val="21"/>
                <w:lang w:val="zh-TW" w:eastAsia="zh-TW" w:bidi="zh-TW"/>
              </w:rPr>
              <w:t>评标价的确定：</w:t>
            </w:r>
          </w:p>
          <w:p>
            <w:pPr>
              <w:tabs>
                <w:tab w:val="left" w:pos="735"/>
              </w:tabs>
              <w:spacing w:line="324" w:lineRule="exact"/>
              <w:ind w:firstLine="420" w:firstLineChars="200"/>
              <w:rPr>
                <w:rFonts w:ascii="宋体" w:hAnsi="宋体" w:cs="MingLiU"/>
                <w:bCs/>
                <w:szCs w:val="21"/>
                <w:lang w:val="zh-TW" w:eastAsia="zh-TW" w:bidi="zh-TW"/>
              </w:rPr>
            </w:pPr>
            <w:r>
              <w:rPr>
                <w:rFonts w:ascii="宋体" w:hAnsi="宋体" w:cs="MingLiU"/>
                <w:bCs/>
                <w:szCs w:val="21"/>
                <w:lang w:val="zh-TW" w:eastAsia="zh-TW" w:bidi="zh-TW"/>
              </w:rPr>
              <w:t>评标价=投标函文字报价</w:t>
            </w:r>
          </w:p>
          <w:p>
            <w:pPr>
              <w:tabs>
                <w:tab w:val="left" w:pos="735"/>
              </w:tabs>
              <w:spacing w:line="324" w:lineRule="exact"/>
              <w:rPr>
                <w:rFonts w:ascii="宋体" w:hAnsi="宋体" w:cs="MingLiU"/>
                <w:bCs/>
                <w:szCs w:val="21"/>
                <w:lang w:val="zh-TW" w:eastAsia="zh-TW" w:bidi="zh-TW"/>
              </w:rPr>
            </w:pPr>
            <w:r>
              <w:rPr>
                <w:rFonts w:hint="eastAsia" w:ascii="宋体" w:hAnsi="宋体" w:cs="MingLiU"/>
                <w:bCs/>
                <w:szCs w:val="21"/>
                <w:lang w:val="zh-TW" w:eastAsia="zh-TW" w:bidi="zh-TW"/>
              </w:rPr>
              <w:t>（2）</w:t>
            </w:r>
            <w:r>
              <w:rPr>
                <w:rFonts w:ascii="宋体" w:hAnsi="宋体" w:cs="MingLiU"/>
                <w:bCs/>
                <w:szCs w:val="21"/>
                <w:lang w:val="zh-TW" w:eastAsia="zh-TW" w:bidi="zh-TW"/>
              </w:rPr>
              <w:t>评标价平均值的计算</w:t>
            </w:r>
            <w:r>
              <w:rPr>
                <w:rFonts w:hint="eastAsia" w:ascii="宋体" w:hAnsi="宋体" w:cs="MingLiU"/>
                <w:bCs/>
                <w:szCs w:val="21"/>
                <w:lang w:val="zh-TW" w:eastAsia="zh-TW" w:bidi="zh-TW"/>
              </w:rPr>
              <w:t>：</w:t>
            </w:r>
          </w:p>
          <w:p>
            <w:pPr>
              <w:tabs>
                <w:tab w:val="left" w:pos="735"/>
              </w:tabs>
              <w:spacing w:line="324" w:lineRule="exact"/>
              <w:ind w:firstLine="420" w:firstLineChars="200"/>
              <w:rPr>
                <w:rFonts w:ascii="宋体" w:hAnsi="宋体" w:cs="MingLiU"/>
                <w:bCs/>
                <w:szCs w:val="21"/>
                <w:lang w:val="zh-TW" w:eastAsia="zh-TW" w:bidi="zh-TW"/>
              </w:rPr>
            </w:pPr>
            <w:r>
              <w:rPr>
                <w:rFonts w:ascii="宋体" w:hAnsi="宋体" w:cs="MingLiU"/>
                <w:bCs/>
                <w:szCs w:val="21"/>
                <w:lang w:val="zh-TW" w:eastAsia="zh-TW" w:bidi="zh-TW"/>
              </w:rPr>
              <w:t>按第一个信封（商务及技术文件）评审得分由高到低的顺序选取前三名（若不足</w:t>
            </w:r>
            <w:r>
              <w:rPr>
                <w:rFonts w:hint="eastAsia" w:ascii="宋体" w:hAnsi="宋体" w:cs="MingLiU"/>
                <w:bCs/>
                <w:szCs w:val="21"/>
                <w:lang w:val="zh-TW" w:eastAsia="zh-TW" w:bidi="zh-TW"/>
              </w:rPr>
              <w:t>三</w:t>
            </w:r>
            <w:r>
              <w:rPr>
                <w:rFonts w:ascii="宋体" w:hAnsi="宋体" w:cs="MingLiU"/>
                <w:bCs/>
                <w:szCs w:val="21"/>
                <w:lang w:val="zh-TW" w:eastAsia="zh-TW" w:bidi="zh-TW"/>
              </w:rPr>
              <w:t>名，则选取相应数量），对其第二个信封(报价文件</w:t>
            </w:r>
            <w:r>
              <w:rPr>
                <w:rFonts w:hint="eastAsia" w:ascii="宋体" w:hAnsi="宋体" w:cs="MingLiU"/>
                <w:bCs/>
                <w:szCs w:val="21"/>
                <w:lang w:val="zh-TW" w:eastAsia="zh-TW" w:bidi="zh-TW"/>
              </w:rPr>
              <w:t>)</w:t>
            </w:r>
            <w:r>
              <w:rPr>
                <w:rFonts w:ascii="宋体" w:hAnsi="宋体" w:cs="MingLiU"/>
                <w:bCs/>
                <w:szCs w:val="21"/>
                <w:lang w:val="zh-TW" w:eastAsia="zh-TW" w:bidi="zh-TW"/>
              </w:rPr>
              <w:t>的评标价作算术平均（根据第二章“投标人须知”第5.2.4项规定在开标现场被宣布为不进入评标基准价计算的投标报价数除外），将该平均值作为评标价平均值</w:t>
            </w:r>
            <w:r>
              <w:rPr>
                <w:rFonts w:hint="eastAsia" w:ascii="宋体" w:hAnsi="宋体" w:cs="MingLiU"/>
                <w:bCs/>
                <w:szCs w:val="21"/>
                <w:lang w:val="zh-TW" w:eastAsia="zh-TW" w:bidi="zh-TW"/>
              </w:rPr>
              <w:t>（评标价平均值计算保留至个位，小数点后第一位“四舍五入”）。</w:t>
            </w:r>
          </w:p>
          <w:p>
            <w:pPr>
              <w:tabs>
                <w:tab w:val="left" w:pos="735"/>
              </w:tabs>
              <w:spacing w:line="324" w:lineRule="exact"/>
              <w:rPr>
                <w:rFonts w:ascii="宋体" w:hAnsi="宋体" w:cs="MingLiU"/>
                <w:bCs/>
                <w:szCs w:val="21"/>
                <w:lang w:val="zh-TW" w:eastAsia="zh-TW" w:bidi="zh-TW"/>
              </w:rPr>
            </w:pPr>
            <w:r>
              <w:rPr>
                <w:rFonts w:hint="eastAsia" w:ascii="宋体" w:hAnsi="宋体" w:cs="MingLiU"/>
                <w:bCs/>
                <w:szCs w:val="21"/>
                <w:lang w:val="zh-TW" w:eastAsia="zh-TW" w:bidi="zh-TW"/>
              </w:rPr>
              <w:t>（3）</w:t>
            </w:r>
            <w:r>
              <w:rPr>
                <w:rFonts w:ascii="宋体" w:hAnsi="宋体" w:cs="MingLiU"/>
                <w:bCs/>
                <w:szCs w:val="21"/>
                <w:lang w:val="zh-TW" w:eastAsia="zh-TW" w:bidi="zh-TW"/>
              </w:rPr>
              <w:t>评标基准价的确定</w:t>
            </w:r>
            <w:r>
              <w:rPr>
                <w:rFonts w:hint="eastAsia" w:ascii="宋体" w:hAnsi="宋体" w:cs="MingLiU"/>
                <w:bCs/>
                <w:szCs w:val="21"/>
                <w:lang w:val="zh-TW" w:eastAsia="zh-TW" w:bidi="zh-TW"/>
              </w:rPr>
              <w:t>：</w:t>
            </w:r>
            <w:r>
              <w:rPr>
                <w:rFonts w:ascii="宋体" w:hAnsi="宋体" w:cs="MingLiU"/>
                <w:bCs/>
                <w:szCs w:val="21"/>
                <w:lang w:val="zh-TW" w:eastAsia="zh-TW" w:bidi="zh-TW"/>
              </w:rPr>
              <w:t>将评标价平均值直接作为评标基准价。</w:t>
            </w:r>
          </w:p>
          <w:p>
            <w:pPr>
              <w:tabs>
                <w:tab w:val="left" w:pos="735"/>
              </w:tabs>
              <w:spacing w:line="324" w:lineRule="exact"/>
              <w:ind w:firstLine="420" w:firstLineChars="200"/>
              <w:rPr>
                <w:rFonts w:ascii="宋体" w:hAnsi="宋体"/>
                <w:kern w:val="20"/>
                <w:szCs w:val="21"/>
              </w:rPr>
            </w:pPr>
            <w:r>
              <w:rPr>
                <w:rFonts w:ascii="宋体" w:hAnsi="宋体" w:cs="MingLiU"/>
                <w:bCs/>
                <w:szCs w:val="21"/>
                <w:lang w:val="zh-TW" w:eastAsia="zh-TW" w:bidi="zh-TW"/>
              </w:rPr>
              <w:t>在评标过程中，评标委员会应对招标人计算的评标基准价进行复核，存在计算错误的应予以修正并在评标报告中作出说明。除此之外，评标基准价在整个评标期间保持不变，不随任何因素发生变化</w:t>
            </w:r>
            <w:r>
              <w:rPr>
                <w:rFonts w:hint="eastAsia" w:ascii="宋体" w:hAnsi="宋体" w:cs="MingLiU"/>
                <w:bCs/>
                <w:szCs w:val="21"/>
                <w:lang w:val="zh-TW" w:eastAsia="zh-TW" w:bidi="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2038" w:hRule="atLeast"/>
          <w:jc w:val="center"/>
        </w:trPr>
        <w:tc>
          <w:tcPr>
            <w:tcW w:w="525" w:type="pct"/>
            <w:shd w:val="clear" w:color="auto" w:fill="auto"/>
            <w:vAlign w:val="center"/>
          </w:tcPr>
          <w:p>
            <w:pPr>
              <w:spacing w:line="324" w:lineRule="exact"/>
              <w:jc w:val="center"/>
              <w:rPr>
                <w:rFonts w:ascii="宋体" w:hAnsi="宋体"/>
                <w:szCs w:val="21"/>
              </w:rPr>
            </w:pPr>
            <w:r>
              <w:rPr>
                <w:rFonts w:hint="eastAsia" w:ascii="宋体" w:hAnsi="宋体"/>
                <w:kern w:val="20"/>
                <w:szCs w:val="21"/>
              </w:rPr>
              <w:t>2.2.3</w:t>
            </w:r>
          </w:p>
        </w:tc>
        <w:tc>
          <w:tcPr>
            <w:tcW w:w="789" w:type="pct"/>
            <w:shd w:val="clear" w:color="auto" w:fill="auto"/>
            <w:vAlign w:val="center"/>
          </w:tcPr>
          <w:p>
            <w:pPr>
              <w:spacing w:line="324" w:lineRule="exact"/>
              <w:jc w:val="center"/>
              <w:rPr>
                <w:rFonts w:ascii="宋体" w:hAnsi="宋体" w:cs="MingLiU"/>
                <w:bCs/>
                <w:szCs w:val="21"/>
                <w:lang w:val="zh-TW" w:eastAsia="zh-TW" w:bidi="zh-TW"/>
              </w:rPr>
            </w:pPr>
            <w:r>
              <w:rPr>
                <w:rFonts w:ascii="宋体" w:hAnsi="宋体" w:cs="MingLiU"/>
                <w:szCs w:val="21"/>
                <w:lang w:val="zh-TW" w:eastAsia="zh-TW" w:bidi="zh-TW"/>
              </w:rPr>
              <w:t>评标价偏差率计算公式</w:t>
            </w:r>
          </w:p>
        </w:tc>
        <w:tc>
          <w:tcPr>
            <w:tcW w:w="3686" w:type="pct"/>
            <w:shd w:val="clear" w:color="auto" w:fill="auto"/>
            <w:vAlign w:val="center"/>
          </w:tcPr>
          <w:p>
            <w:pPr>
              <w:spacing w:line="324" w:lineRule="exact"/>
              <w:rPr>
                <w:rFonts w:ascii="宋体" w:hAnsi="宋体" w:cs="MingLiU"/>
                <w:szCs w:val="21"/>
                <w:lang w:val="zh-TW" w:bidi="zh-TW"/>
              </w:rPr>
            </w:pPr>
            <w:r>
              <w:rPr>
                <w:rFonts w:ascii="宋体" w:hAnsi="宋体" w:cs="MingLiU"/>
                <w:szCs w:val="21"/>
                <w:lang w:val="zh-TW" w:eastAsia="zh-TW" w:bidi="zh-TW"/>
              </w:rPr>
              <w:t xml:space="preserve">偏差率=100% </w:t>
            </w:r>
            <w:r>
              <w:rPr>
                <w:rFonts w:hint="eastAsia" w:ascii="宋体" w:hAnsi="宋体" w:cs="MingLiU"/>
                <w:szCs w:val="21"/>
                <w:lang w:bidi="en-US"/>
              </w:rPr>
              <w:t>×</w:t>
            </w:r>
            <w:r>
              <w:rPr>
                <w:rFonts w:ascii="宋体" w:hAnsi="宋体" w:cs="MingLiU"/>
                <w:szCs w:val="21"/>
                <w:lang w:val="zh-TW" w:eastAsia="zh-TW" w:bidi="en-US"/>
              </w:rPr>
              <w:t>(</w:t>
            </w:r>
            <w:r>
              <w:rPr>
                <w:rFonts w:ascii="宋体" w:hAnsi="宋体" w:cs="MingLiU"/>
                <w:szCs w:val="21"/>
                <w:lang w:val="zh-TW" w:eastAsia="zh-TW" w:bidi="zh-TW"/>
              </w:rPr>
              <w:t>投标人评标价</w:t>
            </w:r>
            <w:r>
              <w:rPr>
                <w:rFonts w:hint="eastAsia" w:ascii="宋体" w:hAnsi="宋体" w:cs="MingLiU"/>
                <w:szCs w:val="21"/>
                <w:lang w:val="zh-TW" w:bidi="zh-TW"/>
              </w:rPr>
              <w:t>-</w:t>
            </w:r>
            <w:r>
              <w:rPr>
                <w:rFonts w:ascii="宋体" w:hAnsi="宋体" w:cs="MingLiU"/>
                <w:szCs w:val="21"/>
                <w:lang w:val="zh-TW" w:eastAsia="zh-TW" w:bidi="zh-TW"/>
              </w:rPr>
              <w:t>评标基准价</w:t>
            </w:r>
            <w:r>
              <w:rPr>
                <w:rFonts w:hint="eastAsia" w:ascii="宋体" w:hAnsi="宋体" w:cs="MingLiU"/>
                <w:szCs w:val="21"/>
                <w:lang w:val="zh-TW" w:eastAsia="zh-TW" w:bidi="en-US"/>
              </w:rPr>
              <w:t>)</w:t>
            </w:r>
            <w:r>
              <w:rPr>
                <w:rFonts w:ascii="宋体" w:hAnsi="宋体" w:cs="MingLiU"/>
                <w:szCs w:val="21"/>
                <w:lang w:val="zh-TW" w:eastAsia="zh-TW" w:bidi="en-US"/>
              </w:rPr>
              <w:t>/</w:t>
            </w:r>
            <w:r>
              <w:rPr>
                <w:rFonts w:ascii="宋体" w:hAnsi="宋体" w:cs="MingLiU"/>
                <w:szCs w:val="21"/>
                <w:lang w:val="zh-TW" w:eastAsia="zh-TW" w:bidi="zh-TW"/>
              </w:rPr>
              <w:t>评标基准价</w:t>
            </w:r>
          </w:p>
          <w:p>
            <w:pPr>
              <w:spacing w:line="324" w:lineRule="exact"/>
              <w:rPr>
                <w:rFonts w:ascii="宋体" w:hAnsi="宋体" w:cs="MingLiU"/>
                <w:bCs/>
                <w:kern w:val="0"/>
                <w:szCs w:val="21"/>
                <w:lang w:val="zh-TW" w:bidi="zh-TW"/>
              </w:rPr>
            </w:pPr>
            <w:r>
              <w:rPr>
                <w:rFonts w:hint="eastAsia" w:ascii="宋体" w:hAnsi="宋体"/>
                <w:szCs w:val="21"/>
              </w:rPr>
              <w:t>偏差率保留两位小数（示例：偏差率=**.**%），小数点后第三位“四舍五入”。</w:t>
            </w:r>
          </w:p>
        </w:tc>
      </w:tr>
    </w:tbl>
    <w:p/>
    <w:p>
      <w:pPr>
        <w:widowControl/>
        <w:jc w:val="left"/>
      </w:pPr>
    </w:p>
    <w:p>
      <w:pPr>
        <w:widowControl/>
        <w:jc w:val="left"/>
      </w:pPr>
      <w:r>
        <w:br w:type="page"/>
      </w:r>
    </w:p>
    <w:p>
      <w:pPr>
        <w:widowControl/>
        <w:jc w:val="left"/>
      </w:pPr>
    </w:p>
    <w:tbl>
      <w:tblPr>
        <w:tblStyle w:val="43"/>
        <w:tblpPr w:leftFromText="180" w:rightFromText="180" w:vertAnchor="text" w:horzAnchor="margin" w:tblpY="169"/>
        <w:tblW w:w="525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384"/>
        <w:gridCol w:w="1353"/>
        <w:gridCol w:w="994"/>
        <w:gridCol w:w="2011"/>
        <w:gridCol w:w="909"/>
        <w:gridCol w:w="3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blHeader/>
        </w:trPr>
        <w:tc>
          <w:tcPr>
            <w:tcW w:w="3211" w:type="pct"/>
            <w:gridSpan w:val="5"/>
            <w:shd w:val="clear" w:color="auto" w:fill="auto"/>
            <w:vAlign w:val="center"/>
          </w:tcPr>
          <w:p>
            <w:pPr>
              <w:spacing w:line="320" w:lineRule="exact"/>
              <w:jc w:val="center"/>
              <w:rPr>
                <w:rFonts w:ascii="宋体" w:hAnsi="宋体"/>
                <w:kern w:val="20"/>
                <w:szCs w:val="21"/>
              </w:rPr>
            </w:pPr>
            <w:r>
              <w:rPr>
                <w:rFonts w:hint="eastAsia" w:ascii="宋体" w:hAnsi="宋体"/>
                <w:kern w:val="20"/>
                <w:szCs w:val="21"/>
              </w:rPr>
              <w:t>评分因素与权重分值</w:t>
            </w:r>
            <w:r>
              <w:rPr>
                <w:rFonts w:ascii="宋体" w:hAnsi="宋体"/>
                <w:kern w:val="20"/>
                <w:szCs w:val="21"/>
                <w:vertAlign w:val="superscript"/>
              </w:rPr>
              <w:footnoteReference w:id="0"/>
            </w:r>
          </w:p>
        </w:tc>
        <w:tc>
          <w:tcPr>
            <w:tcW w:w="1788" w:type="pct"/>
            <w:vMerge w:val="restart"/>
            <w:shd w:val="clear" w:color="auto" w:fill="auto"/>
            <w:vAlign w:val="center"/>
          </w:tcPr>
          <w:p>
            <w:pPr>
              <w:spacing w:line="320" w:lineRule="exact"/>
              <w:jc w:val="center"/>
              <w:rPr>
                <w:rFonts w:ascii="宋体" w:hAnsi="宋体"/>
                <w:kern w:val="20"/>
                <w:szCs w:val="21"/>
              </w:rPr>
            </w:pPr>
            <w:r>
              <w:rPr>
                <w:rFonts w:hint="eastAsia" w:ascii="宋体" w:hAnsi="宋体"/>
                <w:kern w:val="2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blHeader/>
        </w:trPr>
        <w:tc>
          <w:tcPr>
            <w:tcW w:w="668" w:type="pct"/>
            <w:shd w:val="clear" w:color="auto" w:fill="auto"/>
            <w:vAlign w:val="center"/>
          </w:tcPr>
          <w:p>
            <w:pPr>
              <w:spacing w:line="320" w:lineRule="exact"/>
              <w:jc w:val="center"/>
              <w:rPr>
                <w:rFonts w:ascii="宋体" w:hAnsi="宋体"/>
                <w:kern w:val="20"/>
                <w:szCs w:val="21"/>
              </w:rPr>
            </w:pPr>
            <w:r>
              <w:rPr>
                <w:rFonts w:hint="eastAsia" w:ascii="宋体" w:hAnsi="宋体"/>
                <w:kern w:val="20"/>
                <w:szCs w:val="21"/>
              </w:rPr>
              <w:t>条款号</w:t>
            </w:r>
          </w:p>
        </w:tc>
        <w:tc>
          <w:tcPr>
            <w:tcW w:w="653" w:type="pct"/>
            <w:shd w:val="clear" w:color="auto" w:fill="auto"/>
            <w:vAlign w:val="center"/>
          </w:tcPr>
          <w:p>
            <w:pPr>
              <w:spacing w:line="320" w:lineRule="exact"/>
              <w:jc w:val="center"/>
              <w:rPr>
                <w:rFonts w:ascii="宋体" w:hAnsi="宋体"/>
                <w:kern w:val="20"/>
                <w:szCs w:val="21"/>
              </w:rPr>
            </w:pPr>
            <w:r>
              <w:rPr>
                <w:rFonts w:hint="eastAsia" w:ascii="宋体" w:hAnsi="宋体"/>
                <w:kern w:val="20"/>
                <w:szCs w:val="21"/>
              </w:rPr>
              <w:t>评分因素</w:t>
            </w:r>
          </w:p>
        </w:tc>
        <w:tc>
          <w:tcPr>
            <w:tcW w:w="480" w:type="pct"/>
            <w:shd w:val="clear" w:color="auto" w:fill="auto"/>
            <w:vAlign w:val="center"/>
          </w:tcPr>
          <w:p>
            <w:pPr>
              <w:spacing w:line="320" w:lineRule="exact"/>
              <w:jc w:val="center"/>
              <w:rPr>
                <w:rFonts w:ascii="宋体" w:hAnsi="宋体"/>
                <w:kern w:val="20"/>
                <w:szCs w:val="21"/>
              </w:rPr>
            </w:pPr>
            <w:r>
              <w:rPr>
                <w:rFonts w:hint="eastAsia" w:ascii="宋体" w:hAnsi="宋体"/>
                <w:kern w:val="20"/>
                <w:szCs w:val="21"/>
              </w:rPr>
              <w:t>评分因素权重分值</w:t>
            </w:r>
          </w:p>
        </w:tc>
        <w:tc>
          <w:tcPr>
            <w:tcW w:w="971" w:type="pct"/>
            <w:shd w:val="clear" w:color="auto" w:fill="auto"/>
            <w:vAlign w:val="center"/>
          </w:tcPr>
          <w:p>
            <w:pPr>
              <w:spacing w:line="320" w:lineRule="exact"/>
              <w:jc w:val="center"/>
              <w:rPr>
                <w:rFonts w:ascii="宋体" w:hAnsi="宋体"/>
                <w:kern w:val="20"/>
                <w:szCs w:val="21"/>
              </w:rPr>
            </w:pPr>
            <w:r>
              <w:rPr>
                <w:rFonts w:hint="eastAsia" w:ascii="宋体" w:hAnsi="宋体"/>
                <w:kern w:val="20"/>
                <w:szCs w:val="21"/>
              </w:rPr>
              <w:t>各评分因素细分项</w:t>
            </w:r>
          </w:p>
        </w:tc>
        <w:tc>
          <w:tcPr>
            <w:tcW w:w="437" w:type="pct"/>
            <w:shd w:val="clear" w:color="auto" w:fill="auto"/>
            <w:vAlign w:val="center"/>
          </w:tcPr>
          <w:p>
            <w:pPr>
              <w:spacing w:line="320" w:lineRule="exact"/>
              <w:jc w:val="center"/>
              <w:rPr>
                <w:rFonts w:ascii="宋体" w:hAnsi="宋体"/>
                <w:kern w:val="20"/>
                <w:szCs w:val="21"/>
              </w:rPr>
            </w:pPr>
            <w:r>
              <w:rPr>
                <w:rFonts w:hint="eastAsia" w:ascii="宋体" w:hAnsi="宋体"/>
                <w:kern w:val="20"/>
                <w:szCs w:val="21"/>
              </w:rPr>
              <w:t>分值</w:t>
            </w:r>
          </w:p>
        </w:tc>
        <w:tc>
          <w:tcPr>
            <w:tcW w:w="1788" w:type="pct"/>
            <w:vMerge w:val="continue"/>
            <w:shd w:val="clear" w:color="auto" w:fill="auto"/>
          </w:tcPr>
          <w:p>
            <w:pPr>
              <w:spacing w:line="320" w:lineRule="exact"/>
              <w:rPr>
                <w:rFonts w:ascii="宋体" w:hAnsi="宋体"/>
                <w:kern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668" w:type="pct"/>
            <w:vMerge w:val="restart"/>
            <w:shd w:val="clear" w:color="auto" w:fill="auto"/>
            <w:vAlign w:val="center"/>
          </w:tcPr>
          <w:p>
            <w:pPr>
              <w:spacing w:line="320" w:lineRule="exact"/>
              <w:jc w:val="center"/>
              <w:rPr>
                <w:rFonts w:ascii="宋体" w:hAnsi="宋体"/>
                <w:kern w:val="20"/>
                <w:szCs w:val="21"/>
              </w:rPr>
            </w:pPr>
            <w:r>
              <w:rPr>
                <w:rFonts w:ascii="宋体" w:hAnsi="宋体" w:cs="MingLiU"/>
                <w:szCs w:val="21"/>
                <w:lang w:val="zh-TW" w:eastAsia="zh-TW" w:bidi="zh-TW"/>
              </w:rPr>
              <w:t>2.2.4</w:t>
            </w:r>
            <w:r>
              <w:rPr>
                <w:rFonts w:hint="eastAsia" w:ascii="宋体" w:hAnsi="宋体" w:cs="MingLiU"/>
                <w:szCs w:val="21"/>
                <w:lang w:val="zh-TW" w:bidi="zh-TW"/>
              </w:rPr>
              <w:t>（</w:t>
            </w:r>
            <w:r>
              <w:rPr>
                <w:rFonts w:ascii="宋体" w:hAnsi="宋体" w:cs="MingLiU"/>
                <w:szCs w:val="21"/>
                <w:lang w:val="zh-TW" w:eastAsia="zh-TW" w:bidi="zh-TW"/>
              </w:rPr>
              <w:t>1</w:t>
            </w:r>
            <w:r>
              <w:rPr>
                <w:rFonts w:hint="eastAsia" w:ascii="宋体" w:hAnsi="宋体" w:cs="MingLiU"/>
                <w:szCs w:val="21"/>
                <w:lang w:val="zh-TW" w:bidi="zh-TW"/>
              </w:rPr>
              <w:t>）</w:t>
            </w:r>
          </w:p>
        </w:tc>
        <w:tc>
          <w:tcPr>
            <w:tcW w:w="653" w:type="pct"/>
            <w:vMerge w:val="restart"/>
            <w:shd w:val="clear" w:color="auto" w:fill="auto"/>
            <w:vAlign w:val="center"/>
          </w:tcPr>
          <w:p>
            <w:pPr>
              <w:spacing w:line="320" w:lineRule="exact"/>
              <w:jc w:val="center"/>
              <w:rPr>
                <w:rFonts w:ascii="宋体" w:hAnsi="宋体" w:eastAsia="PMingLiU" w:cs="MingLiU"/>
                <w:szCs w:val="21"/>
                <w:lang w:val="zh-TW" w:eastAsia="zh-TW" w:bidi="zh-TW"/>
              </w:rPr>
            </w:pPr>
            <w:r>
              <w:rPr>
                <w:rFonts w:ascii="宋体" w:hAnsi="宋体" w:cs="MingLiU"/>
                <w:szCs w:val="21"/>
                <w:lang w:val="zh-TW" w:eastAsia="zh-TW" w:bidi="zh-TW"/>
              </w:rPr>
              <w:t>技术建议书</w:t>
            </w:r>
          </w:p>
        </w:tc>
        <w:tc>
          <w:tcPr>
            <w:tcW w:w="480" w:type="pct"/>
            <w:vMerge w:val="restart"/>
            <w:shd w:val="clear" w:color="auto" w:fill="auto"/>
            <w:vAlign w:val="center"/>
          </w:tcPr>
          <w:p>
            <w:pPr>
              <w:spacing w:line="320" w:lineRule="exact"/>
              <w:jc w:val="center"/>
              <w:rPr>
                <w:rFonts w:ascii="宋体" w:hAnsi="宋体"/>
                <w:kern w:val="20"/>
                <w:szCs w:val="21"/>
              </w:rPr>
            </w:pPr>
            <w:r>
              <w:rPr>
                <w:rFonts w:hint="eastAsia" w:ascii="宋体" w:hAnsi="宋体"/>
                <w:kern w:val="20"/>
                <w:szCs w:val="21"/>
                <w:u w:val="single"/>
              </w:rPr>
              <w:t xml:space="preserve"> </w:t>
            </w:r>
            <w:r>
              <w:rPr>
                <w:rFonts w:ascii="宋体" w:hAnsi="宋体"/>
                <w:kern w:val="20"/>
                <w:szCs w:val="21"/>
                <w:u w:val="single"/>
              </w:rPr>
              <w:t>40</w:t>
            </w:r>
            <w:r>
              <w:rPr>
                <w:rFonts w:hint="eastAsia" w:ascii="宋体" w:hAnsi="宋体"/>
                <w:kern w:val="20"/>
                <w:szCs w:val="21"/>
                <w:u w:val="single"/>
              </w:rPr>
              <w:t xml:space="preserve"> </w:t>
            </w:r>
            <w:r>
              <w:rPr>
                <w:rFonts w:hint="eastAsia" w:ascii="宋体" w:hAnsi="宋体"/>
                <w:kern w:val="20"/>
                <w:szCs w:val="21"/>
              </w:rPr>
              <w:t>分</w:t>
            </w:r>
          </w:p>
        </w:tc>
        <w:tc>
          <w:tcPr>
            <w:tcW w:w="971" w:type="pct"/>
            <w:shd w:val="clear" w:color="auto" w:fill="auto"/>
            <w:vAlign w:val="center"/>
          </w:tcPr>
          <w:p>
            <w:pPr>
              <w:spacing w:line="320" w:lineRule="exact"/>
              <w:rPr>
                <w:rFonts w:ascii="宋体" w:hAnsi="宋体"/>
                <w:kern w:val="20"/>
                <w:szCs w:val="21"/>
              </w:rPr>
            </w:pPr>
            <w:r>
              <w:rPr>
                <w:rFonts w:ascii="宋体" w:hAnsi="宋体" w:cs="MingLiU"/>
                <w:szCs w:val="21"/>
                <w:lang w:val="zh-TW" w:eastAsia="zh-TW" w:bidi="zh-TW"/>
              </w:rPr>
              <w:t>对招标项目的理解和总体</w:t>
            </w:r>
            <w:r>
              <w:rPr>
                <w:rFonts w:hint="eastAsia" w:ascii="宋体" w:hAnsi="宋体" w:cs="MingLiU"/>
                <w:szCs w:val="21"/>
                <w:lang w:val="zh-TW" w:eastAsia="zh-TW" w:bidi="zh-TW"/>
              </w:rPr>
              <w:t>勘察设计</w:t>
            </w:r>
            <w:r>
              <w:rPr>
                <w:rFonts w:ascii="宋体" w:hAnsi="宋体" w:cs="MingLiU"/>
                <w:szCs w:val="21"/>
                <w:lang w:val="zh-TW" w:eastAsia="zh-TW" w:bidi="zh-TW"/>
              </w:rPr>
              <w:t>思路</w:t>
            </w:r>
          </w:p>
        </w:tc>
        <w:tc>
          <w:tcPr>
            <w:tcW w:w="437" w:type="pct"/>
            <w:shd w:val="clear" w:color="auto" w:fill="auto"/>
            <w:vAlign w:val="center"/>
          </w:tcPr>
          <w:p>
            <w:pPr>
              <w:spacing w:line="320" w:lineRule="exact"/>
              <w:jc w:val="center"/>
              <w:rPr>
                <w:rFonts w:ascii="宋体" w:hAnsi="宋体"/>
                <w:kern w:val="20"/>
                <w:szCs w:val="21"/>
              </w:rPr>
            </w:pPr>
            <w:r>
              <w:rPr>
                <w:rFonts w:hint="eastAsia" w:ascii="宋体" w:hAnsi="宋体"/>
                <w:kern w:val="20"/>
                <w:szCs w:val="21"/>
                <w:u w:val="single"/>
              </w:rPr>
              <w:t xml:space="preserve"> </w:t>
            </w:r>
            <w:r>
              <w:rPr>
                <w:rFonts w:ascii="宋体" w:hAnsi="宋体"/>
                <w:kern w:val="20"/>
                <w:szCs w:val="21"/>
                <w:u w:val="single"/>
              </w:rPr>
              <w:t>15</w:t>
            </w:r>
            <w:r>
              <w:rPr>
                <w:rFonts w:hint="eastAsia" w:ascii="宋体" w:hAnsi="宋体"/>
                <w:kern w:val="20"/>
                <w:szCs w:val="21"/>
                <w:u w:val="single"/>
              </w:rPr>
              <w:t xml:space="preserve"> </w:t>
            </w:r>
            <w:r>
              <w:rPr>
                <w:rFonts w:hint="eastAsia" w:ascii="宋体" w:hAnsi="宋体"/>
                <w:kern w:val="20"/>
                <w:szCs w:val="21"/>
              </w:rPr>
              <w:t>分</w:t>
            </w:r>
          </w:p>
        </w:tc>
        <w:tc>
          <w:tcPr>
            <w:tcW w:w="1788" w:type="pct"/>
            <w:shd w:val="clear" w:color="auto" w:fill="auto"/>
            <w:vAlign w:val="center"/>
          </w:tcPr>
          <w:p>
            <w:pPr>
              <w:adjustRightInd w:val="0"/>
              <w:spacing w:line="320" w:lineRule="exact"/>
              <w:textAlignment w:val="baseline"/>
              <w:rPr>
                <w:rFonts w:ascii="宋体" w:hAnsi="宋体" w:cs="宋体"/>
              </w:rPr>
            </w:pPr>
            <w:r>
              <w:rPr>
                <w:rFonts w:hint="eastAsia" w:ascii="宋体" w:hAnsi="宋体" w:cs="宋体"/>
              </w:rPr>
              <w:t>对招标项目的理解和总体思路正确、符合实际情况得</w:t>
            </w:r>
            <w:r>
              <w:rPr>
                <w:rFonts w:ascii="宋体" w:hAnsi="宋体" w:cs="宋体"/>
              </w:rPr>
              <w:t>9.0</w:t>
            </w:r>
            <w:r>
              <w:rPr>
                <w:rFonts w:hint="eastAsia" w:ascii="宋体" w:hAnsi="宋体" w:cs="宋体"/>
              </w:rPr>
              <w:t>分；</w:t>
            </w:r>
          </w:p>
          <w:p>
            <w:pPr>
              <w:adjustRightInd w:val="0"/>
              <w:spacing w:line="320" w:lineRule="exact"/>
              <w:textAlignment w:val="baseline"/>
              <w:rPr>
                <w:rFonts w:ascii="宋体"/>
              </w:rPr>
            </w:pPr>
            <w:r>
              <w:rPr>
                <w:rFonts w:hint="eastAsia" w:ascii="宋体" w:hAnsi="宋体" w:cs="宋体"/>
              </w:rPr>
              <w:t>理解深刻、思路清晰、认识全面且有独到见解的加分，最高加</w:t>
            </w:r>
            <w:r>
              <w:rPr>
                <w:rFonts w:ascii="宋体" w:hAnsi="宋体" w:cs="宋体"/>
              </w:rPr>
              <w:t>6.0</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668" w:type="pct"/>
            <w:vMerge w:val="continue"/>
            <w:shd w:val="clear" w:color="auto" w:fill="auto"/>
            <w:vAlign w:val="center"/>
          </w:tcPr>
          <w:p>
            <w:pPr>
              <w:spacing w:line="320" w:lineRule="exact"/>
              <w:jc w:val="center"/>
              <w:rPr>
                <w:rFonts w:ascii="宋体" w:hAnsi="宋体" w:cs="MingLiU"/>
                <w:szCs w:val="21"/>
                <w:lang w:val="zh-TW" w:eastAsia="zh-TW" w:bidi="zh-TW"/>
              </w:rPr>
            </w:pPr>
          </w:p>
        </w:tc>
        <w:tc>
          <w:tcPr>
            <w:tcW w:w="653" w:type="pct"/>
            <w:vMerge w:val="continue"/>
            <w:shd w:val="clear" w:color="auto" w:fill="auto"/>
            <w:vAlign w:val="center"/>
          </w:tcPr>
          <w:p>
            <w:pPr>
              <w:spacing w:line="320" w:lineRule="exact"/>
              <w:jc w:val="center"/>
              <w:rPr>
                <w:rFonts w:ascii="宋体" w:hAnsi="宋体" w:cs="MingLiU"/>
                <w:szCs w:val="21"/>
                <w:lang w:val="zh-TW" w:eastAsia="zh-TW" w:bidi="zh-TW"/>
              </w:rPr>
            </w:pPr>
          </w:p>
        </w:tc>
        <w:tc>
          <w:tcPr>
            <w:tcW w:w="480" w:type="pct"/>
            <w:vMerge w:val="continue"/>
            <w:shd w:val="clear" w:color="auto" w:fill="auto"/>
            <w:vAlign w:val="center"/>
          </w:tcPr>
          <w:p>
            <w:pPr>
              <w:spacing w:line="320" w:lineRule="exact"/>
              <w:jc w:val="center"/>
              <w:rPr>
                <w:rFonts w:ascii="宋体" w:hAnsi="宋体"/>
                <w:kern w:val="20"/>
                <w:szCs w:val="21"/>
                <w:u w:val="single"/>
              </w:rPr>
            </w:pPr>
          </w:p>
        </w:tc>
        <w:tc>
          <w:tcPr>
            <w:tcW w:w="971" w:type="pct"/>
            <w:shd w:val="clear" w:color="auto" w:fill="auto"/>
            <w:vAlign w:val="center"/>
          </w:tcPr>
          <w:p>
            <w:pPr>
              <w:spacing w:line="320" w:lineRule="exact"/>
              <w:rPr>
                <w:rFonts w:ascii="宋体"/>
              </w:rPr>
            </w:pPr>
            <w:r>
              <w:rPr>
                <w:rFonts w:hint="eastAsia" w:ascii="宋体" w:hAnsi="宋体" w:cs="MingLiU"/>
                <w:szCs w:val="21"/>
                <w:lang w:val="zh-TW" w:eastAsia="zh-TW" w:bidi="zh-TW"/>
              </w:rPr>
              <w:t>对招标项目的特点、关键技术问题的认识及其对策措施</w:t>
            </w:r>
          </w:p>
        </w:tc>
        <w:tc>
          <w:tcPr>
            <w:tcW w:w="437" w:type="pct"/>
            <w:shd w:val="clear" w:color="auto" w:fill="auto"/>
            <w:vAlign w:val="center"/>
          </w:tcPr>
          <w:p>
            <w:pPr>
              <w:spacing w:line="320" w:lineRule="exact"/>
              <w:jc w:val="center"/>
              <w:rPr>
                <w:rFonts w:ascii="宋体" w:hAnsi="宋体"/>
                <w:kern w:val="20"/>
                <w:szCs w:val="21"/>
                <w:u w:val="single"/>
              </w:rPr>
            </w:pPr>
            <w:r>
              <w:rPr>
                <w:rFonts w:hint="eastAsia" w:ascii="宋体" w:hAnsi="宋体"/>
                <w:kern w:val="20"/>
                <w:szCs w:val="21"/>
                <w:u w:val="single"/>
              </w:rPr>
              <w:t xml:space="preserve"> </w:t>
            </w:r>
            <w:r>
              <w:rPr>
                <w:rFonts w:ascii="宋体" w:hAnsi="宋体"/>
                <w:kern w:val="20"/>
                <w:szCs w:val="21"/>
                <w:u w:val="single"/>
              </w:rPr>
              <w:t>10</w:t>
            </w:r>
            <w:r>
              <w:rPr>
                <w:rFonts w:hint="eastAsia" w:ascii="宋体" w:hAnsi="宋体"/>
                <w:kern w:val="20"/>
                <w:szCs w:val="21"/>
                <w:u w:val="single"/>
              </w:rPr>
              <w:t xml:space="preserve"> </w:t>
            </w:r>
            <w:r>
              <w:rPr>
                <w:rFonts w:hint="eastAsia" w:ascii="宋体" w:hAnsi="宋体"/>
                <w:kern w:val="20"/>
                <w:szCs w:val="21"/>
              </w:rPr>
              <w:t>分</w:t>
            </w:r>
          </w:p>
        </w:tc>
        <w:tc>
          <w:tcPr>
            <w:tcW w:w="1788" w:type="pct"/>
            <w:shd w:val="clear" w:color="auto" w:fill="auto"/>
            <w:vAlign w:val="center"/>
          </w:tcPr>
          <w:p>
            <w:pPr>
              <w:adjustRightInd w:val="0"/>
              <w:spacing w:line="320" w:lineRule="exact"/>
              <w:textAlignment w:val="baseline"/>
              <w:rPr>
                <w:rFonts w:ascii="宋体" w:hAnsi="宋体" w:cs="宋体"/>
              </w:rPr>
            </w:pPr>
            <w:r>
              <w:rPr>
                <w:rFonts w:hint="eastAsia" w:ascii="宋体" w:hAnsi="宋体" w:cs="宋体"/>
              </w:rPr>
              <w:t>对招标项目特点、关键技术问题认识及其对策措施准确得</w:t>
            </w:r>
            <w:r>
              <w:rPr>
                <w:rFonts w:ascii="宋体" w:hAnsi="宋体" w:cs="宋体"/>
              </w:rPr>
              <w:t>6.0</w:t>
            </w:r>
            <w:r>
              <w:rPr>
                <w:rFonts w:hint="eastAsia" w:ascii="宋体" w:hAnsi="宋体" w:cs="宋体"/>
              </w:rPr>
              <w:t>分；</w:t>
            </w:r>
          </w:p>
          <w:p>
            <w:pPr>
              <w:adjustRightInd w:val="0"/>
              <w:spacing w:line="320" w:lineRule="exact"/>
              <w:textAlignment w:val="baseline"/>
              <w:rPr>
                <w:rFonts w:ascii="宋体" w:hAnsi="宋体" w:cs="宋体"/>
              </w:rPr>
            </w:pPr>
            <w:r>
              <w:rPr>
                <w:rFonts w:hint="eastAsia" w:ascii="宋体" w:hAnsi="宋体" w:cs="宋体"/>
              </w:rPr>
              <w:t>非常准确且认识全面的加分，最高加</w:t>
            </w:r>
            <w:r>
              <w:rPr>
                <w:rFonts w:ascii="宋体" w:hAnsi="宋体" w:cs="宋体"/>
              </w:rPr>
              <w:t>4.0</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668" w:type="pct"/>
            <w:vMerge w:val="continue"/>
            <w:shd w:val="clear" w:color="auto" w:fill="auto"/>
            <w:vAlign w:val="center"/>
          </w:tcPr>
          <w:p>
            <w:pPr>
              <w:spacing w:line="320" w:lineRule="exact"/>
              <w:jc w:val="center"/>
              <w:rPr>
                <w:rFonts w:ascii="宋体" w:hAnsi="宋体" w:cs="MingLiU"/>
                <w:szCs w:val="21"/>
                <w:lang w:val="zh-TW" w:eastAsia="zh-TW" w:bidi="zh-TW"/>
              </w:rPr>
            </w:pPr>
          </w:p>
        </w:tc>
        <w:tc>
          <w:tcPr>
            <w:tcW w:w="653" w:type="pct"/>
            <w:vMerge w:val="continue"/>
            <w:shd w:val="clear" w:color="auto" w:fill="auto"/>
            <w:vAlign w:val="center"/>
          </w:tcPr>
          <w:p>
            <w:pPr>
              <w:spacing w:line="320" w:lineRule="exact"/>
              <w:jc w:val="center"/>
              <w:rPr>
                <w:rFonts w:ascii="宋体" w:hAnsi="宋体" w:cs="MingLiU"/>
                <w:szCs w:val="21"/>
                <w:lang w:val="zh-TW" w:eastAsia="zh-TW" w:bidi="zh-TW"/>
              </w:rPr>
            </w:pPr>
          </w:p>
        </w:tc>
        <w:tc>
          <w:tcPr>
            <w:tcW w:w="480" w:type="pct"/>
            <w:vMerge w:val="continue"/>
            <w:shd w:val="clear" w:color="auto" w:fill="auto"/>
            <w:vAlign w:val="center"/>
          </w:tcPr>
          <w:p>
            <w:pPr>
              <w:spacing w:line="320" w:lineRule="exact"/>
              <w:jc w:val="center"/>
              <w:rPr>
                <w:rFonts w:ascii="宋体" w:hAnsi="宋体"/>
                <w:kern w:val="20"/>
                <w:szCs w:val="21"/>
                <w:u w:val="single"/>
              </w:rPr>
            </w:pPr>
          </w:p>
        </w:tc>
        <w:tc>
          <w:tcPr>
            <w:tcW w:w="971" w:type="pct"/>
            <w:shd w:val="clear" w:color="auto" w:fill="auto"/>
            <w:vAlign w:val="center"/>
          </w:tcPr>
          <w:p>
            <w:pPr>
              <w:spacing w:line="320" w:lineRule="exact"/>
              <w:rPr>
                <w:rFonts w:ascii="宋体"/>
              </w:rPr>
            </w:pPr>
            <w:r>
              <w:rPr>
                <w:rFonts w:hint="eastAsia" w:ascii="宋体" w:hAnsi="宋体" w:cs="宋体"/>
              </w:rPr>
              <w:t>工作量及计划安排</w:t>
            </w:r>
          </w:p>
        </w:tc>
        <w:tc>
          <w:tcPr>
            <w:tcW w:w="437" w:type="pct"/>
            <w:shd w:val="clear" w:color="auto" w:fill="auto"/>
            <w:vAlign w:val="center"/>
          </w:tcPr>
          <w:p>
            <w:pPr>
              <w:spacing w:line="320" w:lineRule="exact"/>
              <w:jc w:val="center"/>
              <w:rPr>
                <w:rFonts w:ascii="宋体" w:hAnsi="宋体"/>
                <w:kern w:val="20"/>
                <w:szCs w:val="21"/>
                <w:u w:val="single"/>
              </w:rPr>
            </w:pPr>
            <w:r>
              <w:rPr>
                <w:rFonts w:hint="eastAsia" w:ascii="宋体" w:hAnsi="宋体"/>
                <w:kern w:val="20"/>
                <w:szCs w:val="21"/>
                <w:u w:val="single"/>
              </w:rPr>
              <w:t xml:space="preserve"> </w:t>
            </w:r>
            <w:r>
              <w:rPr>
                <w:rFonts w:ascii="宋体" w:hAnsi="宋体"/>
                <w:kern w:val="20"/>
                <w:szCs w:val="21"/>
                <w:u w:val="single"/>
              </w:rPr>
              <w:t>5</w:t>
            </w:r>
            <w:r>
              <w:rPr>
                <w:rFonts w:hint="eastAsia" w:ascii="宋体" w:hAnsi="宋体"/>
                <w:kern w:val="20"/>
                <w:szCs w:val="21"/>
                <w:u w:val="single"/>
              </w:rPr>
              <w:t xml:space="preserve"> </w:t>
            </w:r>
            <w:r>
              <w:rPr>
                <w:rFonts w:hint="eastAsia" w:ascii="宋体" w:hAnsi="宋体"/>
                <w:kern w:val="20"/>
                <w:szCs w:val="21"/>
              </w:rPr>
              <w:t>分</w:t>
            </w:r>
          </w:p>
        </w:tc>
        <w:tc>
          <w:tcPr>
            <w:tcW w:w="1788" w:type="pct"/>
            <w:shd w:val="clear" w:color="auto" w:fill="auto"/>
            <w:vAlign w:val="center"/>
          </w:tcPr>
          <w:p>
            <w:pPr>
              <w:adjustRightInd w:val="0"/>
              <w:spacing w:line="320" w:lineRule="exact"/>
              <w:textAlignment w:val="baseline"/>
              <w:rPr>
                <w:rFonts w:ascii="宋体" w:hAnsi="宋体" w:cs="宋体"/>
              </w:rPr>
            </w:pPr>
            <w:r>
              <w:rPr>
                <w:rFonts w:hint="eastAsia" w:ascii="宋体" w:hAnsi="宋体" w:cs="宋体"/>
              </w:rPr>
              <w:t>工作量及计划安排可行得3.0分；</w:t>
            </w:r>
          </w:p>
          <w:p>
            <w:pPr>
              <w:adjustRightInd w:val="0"/>
              <w:spacing w:line="320" w:lineRule="exact"/>
              <w:textAlignment w:val="baseline"/>
              <w:rPr>
                <w:rFonts w:ascii="宋体" w:hAnsi="宋体" w:cs="宋体"/>
              </w:rPr>
            </w:pPr>
            <w:r>
              <w:rPr>
                <w:rFonts w:hint="eastAsia" w:ascii="宋体" w:hAnsi="宋体" w:cs="宋体"/>
              </w:rPr>
              <w:t>工作计划安排合理加分，最高加2.0分。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668" w:type="pct"/>
            <w:vMerge w:val="continue"/>
            <w:shd w:val="clear" w:color="auto" w:fill="auto"/>
            <w:vAlign w:val="center"/>
          </w:tcPr>
          <w:p>
            <w:pPr>
              <w:spacing w:line="320" w:lineRule="exact"/>
              <w:jc w:val="center"/>
              <w:rPr>
                <w:rFonts w:ascii="宋体" w:hAnsi="宋体"/>
                <w:kern w:val="20"/>
                <w:szCs w:val="21"/>
              </w:rPr>
            </w:pPr>
          </w:p>
        </w:tc>
        <w:tc>
          <w:tcPr>
            <w:tcW w:w="653" w:type="pct"/>
            <w:vMerge w:val="continue"/>
            <w:shd w:val="clear" w:color="auto" w:fill="auto"/>
            <w:vAlign w:val="center"/>
          </w:tcPr>
          <w:p>
            <w:pPr>
              <w:spacing w:line="320" w:lineRule="exact"/>
              <w:jc w:val="center"/>
              <w:rPr>
                <w:rFonts w:ascii="宋体" w:hAnsi="宋体"/>
                <w:kern w:val="20"/>
                <w:szCs w:val="21"/>
              </w:rPr>
            </w:pPr>
          </w:p>
        </w:tc>
        <w:tc>
          <w:tcPr>
            <w:tcW w:w="480" w:type="pct"/>
            <w:vMerge w:val="continue"/>
            <w:shd w:val="clear" w:color="auto" w:fill="auto"/>
            <w:vAlign w:val="center"/>
          </w:tcPr>
          <w:p>
            <w:pPr>
              <w:spacing w:line="320" w:lineRule="exact"/>
              <w:jc w:val="center"/>
              <w:rPr>
                <w:rFonts w:ascii="宋体" w:hAnsi="宋体"/>
                <w:kern w:val="20"/>
                <w:szCs w:val="21"/>
              </w:rPr>
            </w:pPr>
          </w:p>
        </w:tc>
        <w:tc>
          <w:tcPr>
            <w:tcW w:w="971" w:type="pct"/>
            <w:shd w:val="clear" w:color="auto" w:fill="auto"/>
            <w:vAlign w:val="center"/>
          </w:tcPr>
          <w:p>
            <w:pPr>
              <w:spacing w:line="320" w:lineRule="exact"/>
              <w:rPr>
                <w:rFonts w:ascii="宋体" w:hAnsi="宋体" w:cs="MingLiU"/>
                <w:szCs w:val="21"/>
                <w:lang w:val="zh-TW" w:eastAsia="zh-TW" w:bidi="zh-TW"/>
              </w:rPr>
            </w:pPr>
            <w:r>
              <w:rPr>
                <w:rFonts w:hint="eastAsia" w:ascii="宋体" w:hAnsi="宋体" w:cs="MingLiU"/>
                <w:szCs w:val="21"/>
                <w:lang w:val="zh-TW" w:eastAsia="zh-TW" w:bidi="zh-TW"/>
              </w:rPr>
              <w:t>质量保证措施、进度保证措施、安全保证措施</w:t>
            </w:r>
          </w:p>
        </w:tc>
        <w:tc>
          <w:tcPr>
            <w:tcW w:w="437" w:type="pct"/>
            <w:shd w:val="clear" w:color="auto" w:fill="auto"/>
            <w:vAlign w:val="center"/>
          </w:tcPr>
          <w:p>
            <w:pPr>
              <w:spacing w:line="320" w:lineRule="exact"/>
              <w:jc w:val="center"/>
              <w:rPr>
                <w:rFonts w:ascii="宋体" w:hAnsi="宋体"/>
                <w:kern w:val="20"/>
                <w:szCs w:val="21"/>
              </w:rPr>
            </w:pPr>
            <w:r>
              <w:rPr>
                <w:rFonts w:hint="eastAsia" w:ascii="宋体" w:hAnsi="宋体"/>
                <w:kern w:val="20"/>
                <w:szCs w:val="21"/>
                <w:u w:val="single"/>
              </w:rPr>
              <w:t xml:space="preserve"> 5 </w:t>
            </w:r>
            <w:r>
              <w:rPr>
                <w:rFonts w:hint="eastAsia" w:ascii="宋体" w:hAnsi="宋体"/>
                <w:kern w:val="20"/>
                <w:szCs w:val="21"/>
              </w:rPr>
              <w:t>分</w:t>
            </w:r>
          </w:p>
        </w:tc>
        <w:tc>
          <w:tcPr>
            <w:tcW w:w="1788" w:type="pct"/>
            <w:shd w:val="clear" w:color="auto" w:fill="auto"/>
            <w:vAlign w:val="center"/>
          </w:tcPr>
          <w:p>
            <w:pPr>
              <w:adjustRightInd w:val="0"/>
              <w:spacing w:line="320" w:lineRule="exact"/>
              <w:textAlignment w:val="baseline"/>
              <w:rPr>
                <w:rFonts w:ascii="宋体" w:hAnsi="宋体" w:cs="宋体"/>
              </w:rPr>
            </w:pPr>
            <w:r>
              <w:rPr>
                <w:rFonts w:hint="eastAsia" w:ascii="宋体" w:hAnsi="宋体" w:cs="宋体"/>
              </w:rPr>
              <w:t>质量保证措施、进度保证措施、安全保证措施准确得</w:t>
            </w:r>
            <w:r>
              <w:rPr>
                <w:rFonts w:ascii="宋体" w:hAnsi="宋体" w:cs="宋体"/>
              </w:rPr>
              <w:t>3</w:t>
            </w:r>
            <w:r>
              <w:rPr>
                <w:rFonts w:hint="eastAsia" w:ascii="宋体" w:hAnsi="宋体" w:cs="宋体"/>
              </w:rPr>
              <w:t>.0分；</w:t>
            </w:r>
          </w:p>
          <w:p>
            <w:pPr>
              <w:adjustRightInd w:val="0"/>
              <w:spacing w:line="320" w:lineRule="exact"/>
              <w:textAlignment w:val="baseline"/>
              <w:rPr>
                <w:rFonts w:ascii="宋体" w:hAnsi="宋体" w:cs="宋体"/>
              </w:rPr>
            </w:pPr>
            <w:r>
              <w:rPr>
                <w:rFonts w:hint="eastAsia" w:ascii="宋体" w:hAnsi="宋体" w:cs="宋体"/>
              </w:rPr>
              <w:t>非常准确且措施先进、可行的加分，最高加</w:t>
            </w:r>
            <w:r>
              <w:rPr>
                <w:rFonts w:ascii="宋体" w:hAnsi="宋体" w:cs="宋体"/>
              </w:rPr>
              <w:t>2</w:t>
            </w:r>
            <w:r>
              <w:rPr>
                <w:rFonts w:hint="eastAsia" w:ascii="宋体" w:hAnsi="宋体" w:cs="宋体"/>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668" w:type="pct"/>
            <w:vMerge w:val="continue"/>
            <w:shd w:val="clear" w:color="auto" w:fill="auto"/>
            <w:vAlign w:val="center"/>
          </w:tcPr>
          <w:p>
            <w:pPr>
              <w:spacing w:line="320" w:lineRule="exact"/>
              <w:jc w:val="center"/>
              <w:rPr>
                <w:rFonts w:ascii="宋体" w:hAnsi="宋体"/>
                <w:kern w:val="20"/>
                <w:szCs w:val="21"/>
              </w:rPr>
            </w:pPr>
          </w:p>
        </w:tc>
        <w:tc>
          <w:tcPr>
            <w:tcW w:w="653" w:type="pct"/>
            <w:vMerge w:val="continue"/>
            <w:shd w:val="clear" w:color="auto" w:fill="auto"/>
            <w:vAlign w:val="center"/>
          </w:tcPr>
          <w:p>
            <w:pPr>
              <w:spacing w:line="320" w:lineRule="exact"/>
              <w:jc w:val="center"/>
              <w:rPr>
                <w:rFonts w:ascii="宋体" w:hAnsi="宋体"/>
                <w:kern w:val="20"/>
                <w:szCs w:val="21"/>
              </w:rPr>
            </w:pPr>
          </w:p>
        </w:tc>
        <w:tc>
          <w:tcPr>
            <w:tcW w:w="480" w:type="pct"/>
            <w:vMerge w:val="continue"/>
            <w:shd w:val="clear" w:color="auto" w:fill="auto"/>
            <w:vAlign w:val="center"/>
          </w:tcPr>
          <w:p>
            <w:pPr>
              <w:spacing w:line="320" w:lineRule="exact"/>
              <w:jc w:val="center"/>
              <w:rPr>
                <w:rFonts w:ascii="宋体" w:hAnsi="宋体"/>
                <w:kern w:val="20"/>
                <w:szCs w:val="21"/>
              </w:rPr>
            </w:pPr>
          </w:p>
        </w:tc>
        <w:tc>
          <w:tcPr>
            <w:tcW w:w="971" w:type="pct"/>
            <w:shd w:val="clear" w:color="auto" w:fill="auto"/>
            <w:vAlign w:val="center"/>
          </w:tcPr>
          <w:p>
            <w:pPr>
              <w:spacing w:line="320" w:lineRule="exact"/>
              <w:rPr>
                <w:rFonts w:ascii="宋体" w:hAnsi="宋体"/>
                <w:kern w:val="20"/>
                <w:szCs w:val="21"/>
              </w:rPr>
            </w:pPr>
            <w:r>
              <w:rPr>
                <w:rFonts w:ascii="宋体" w:hAnsi="宋体" w:cs="MingLiU"/>
                <w:szCs w:val="21"/>
                <w:lang w:val="zh-TW" w:eastAsia="zh-TW" w:bidi="zh-TW"/>
              </w:rPr>
              <w:t>后续服务的安排及保证措施</w:t>
            </w:r>
            <w:r>
              <w:rPr>
                <w:rFonts w:hint="eastAsia" w:ascii="宋体" w:hAnsi="宋体" w:cs="MingLiU"/>
                <w:szCs w:val="21"/>
                <w:lang w:val="zh-TW" w:bidi="zh-TW"/>
              </w:rPr>
              <w:t xml:space="preserve"> </w:t>
            </w:r>
          </w:p>
        </w:tc>
        <w:tc>
          <w:tcPr>
            <w:tcW w:w="437" w:type="pct"/>
            <w:shd w:val="clear" w:color="auto" w:fill="auto"/>
            <w:vAlign w:val="center"/>
          </w:tcPr>
          <w:p>
            <w:pPr>
              <w:spacing w:line="320" w:lineRule="exact"/>
              <w:jc w:val="center"/>
              <w:rPr>
                <w:rFonts w:ascii="宋体" w:hAnsi="宋体"/>
                <w:kern w:val="20"/>
                <w:szCs w:val="21"/>
              </w:rPr>
            </w:pPr>
            <w:r>
              <w:rPr>
                <w:rFonts w:hint="eastAsia" w:ascii="宋体" w:hAnsi="宋体"/>
                <w:kern w:val="20"/>
                <w:szCs w:val="21"/>
                <w:u w:val="single"/>
              </w:rPr>
              <w:t xml:space="preserve"> 5 </w:t>
            </w:r>
            <w:r>
              <w:rPr>
                <w:rFonts w:hint="eastAsia" w:ascii="宋体" w:hAnsi="宋体"/>
                <w:kern w:val="20"/>
                <w:szCs w:val="21"/>
              </w:rPr>
              <w:t>分</w:t>
            </w:r>
          </w:p>
        </w:tc>
        <w:tc>
          <w:tcPr>
            <w:tcW w:w="1788" w:type="pct"/>
            <w:shd w:val="clear" w:color="auto" w:fill="auto"/>
            <w:vAlign w:val="center"/>
          </w:tcPr>
          <w:p>
            <w:pPr>
              <w:adjustRightInd w:val="0"/>
              <w:spacing w:line="320" w:lineRule="exact"/>
              <w:textAlignment w:val="baseline"/>
              <w:rPr>
                <w:rFonts w:ascii="宋体" w:hAnsi="宋体" w:cs="宋体"/>
              </w:rPr>
            </w:pPr>
            <w:r>
              <w:rPr>
                <w:rFonts w:hint="eastAsia" w:ascii="宋体" w:hAnsi="宋体" w:cs="宋体"/>
              </w:rPr>
              <w:t>后续服务的安排及保证措施可行得</w:t>
            </w:r>
            <w:r>
              <w:rPr>
                <w:rFonts w:ascii="宋体" w:hAnsi="宋体" w:cs="宋体"/>
              </w:rPr>
              <w:t>3.0</w:t>
            </w:r>
            <w:r>
              <w:rPr>
                <w:rFonts w:hint="eastAsia" w:ascii="宋体" w:hAnsi="宋体" w:cs="宋体"/>
              </w:rPr>
              <w:t>分；</w:t>
            </w:r>
          </w:p>
          <w:p>
            <w:pPr>
              <w:adjustRightInd w:val="0"/>
              <w:spacing w:line="320" w:lineRule="exact"/>
              <w:textAlignment w:val="baseline"/>
              <w:rPr>
                <w:rFonts w:ascii="宋体" w:hAnsi="宋体" w:cs="宋体"/>
              </w:rPr>
            </w:pPr>
            <w:r>
              <w:rPr>
                <w:rFonts w:hint="eastAsia" w:ascii="宋体" w:hAnsi="宋体" w:cs="宋体"/>
              </w:rPr>
              <w:t>可行且提出了具体的人员、设备安排，保证措施有力的加分，最高加</w:t>
            </w:r>
            <w:r>
              <w:rPr>
                <w:rFonts w:ascii="宋体" w:hAnsi="宋体" w:cs="宋体"/>
              </w:rPr>
              <w:t>2.0</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668" w:type="pct"/>
            <w:shd w:val="clear" w:color="auto" w:fill="auto"/>
            <w:vAlign w:val="center"/>
          </w:tcPr>
          <w:p>
            <w:pPr>
              <w:spacing w:line="320" w:lineRule="exact"/>
              <w:jc w:val="center"/>
              <w:rPr>
                <w:rFonts w:ascii="宋体" w:hAnsi="宋体"/>
                <w:kern w:val="20"/>
                <w:szCs w:val="21"/>
              </w:rPr>
            </w:pPr>
            <w:r>
              <w:rPr>
                <w:rFonts w:ascii="宋体" w:hAnsi="宋体" w:cs="MingLiU"/>
                <w:szCs w:val="21"/>
                <w:lang w:val="zh-TW" w:eastAsia="zh-TW" w:bidi="zh-TW"/>
              </w:rPr>
              <w:t>2.2.4</w:t>
            </w:r>
            <w:r>
              <w:rPr>
                <w:rFonts w:hint="eastAsia" w:ascii="宋体" w:hAnsi="宋体" w:cs="MingLiU"/>
                <w:szCs w:val="21"/>
                <w:lang w:val="zh-TW" w:bidi="zh-TW"/>
              </w:rPr>
              <w:t>（</w:t>
            </w:r>
            <w:r>
              <w:rPr>
                <w:rFonts w:ascii="宋体" w:hAnsi="宋体" w:eastAsia="PMingLiU" w:cs="MingLiU"/>
                <w:szCs w:val="21"/>
                <w:lang w:val="zh-TW" w:eastAsia="zh-TW" w:bidi="zh-TW"/>
              </w:rPr>
              <w:t>2</w:t>
            </w:r>
            <w:r>
              <w:rPr>
                <w:rFonts w:hint="eastAsia" w:ascii="宋体" w:hAnsi="宋体" w:cs="MingLiU"/>
                <w:szCs w:val="21"/>
                <w:lang w:val="zh-TW" w:bidi="zh-TW"/>
              </w:rPr>
              <w:t>）</w:t>
            </w:r>
          </w:p>
        </w:tc>
        <w:tc>
          <w:tcPr>
            <w:tcW w:w="653" w:type="pct"/>
            <w:shd w:val="clear" w:color="auto" w:fill="auto"/>
            <w:vAlign w:val="center"/>
          </w:tcPr>
          <w:p>
            <w:pPr>
              <w:spacing w:line="320" w:lineRule="exact"/>
              <w:jc w:val="center"/>
              <w:rPr>
                <w:rFonts w:ascii="宋体" w:hAnsi="宋体"/>
                <w:kern w:val="20"/>
                <w:szCs w:val="21"/>
              </w:rPr>
            </w:pPr>
            <w:r>
              <w:rPr>
                <w:rFonts w:ascii="宋体" w:hAnsi="宋体" w:cs="MingLiU"/>
                <w:szCs w:val="21"/>
                <w:lang w:val="zh-TW" w:eastAsia="zh-TW" w:bidi="zh-TW"/>
              </w:rPr>
              <w:t>主要人员</w:t>
            </w:r>
          </w:p>
        </w:tc>
        <w:tc>
          <w:tcPr>
            <w:tcW w:w="480" w:type="pct"/>
            <w:shd w:val="clear" w:color="auto" w:fill="auto"/>
            <w:vAlign w:val="center"/>
          </w:tcPr>
          <w:p>
            <w:pPr>
              <w:spacing w:line="320" w:lineRule="exact"/>
              <w:jc w:val="center"/>
              <w:rPr>
                <w:rFonts w:ascii="宋体" w:hAnsi="宋体"/>
                <w:kern w:val="20"/>
                <w:szCs w:val="21"/>
              </w:rPr>
            </w:pPr>
            <w:r>
              <w:rPr>
                <w:rFonts w:hint="eastAsia" w:ascii="宋体" w:hAnsi="宋体"/>
                <w:kern w:val="20"/>
                <w:szCs w:val="21"/>
                <w:u w:val="single"/>
              </w:rPr>
              <w:t xml:space="preserve"> </w:t>
            </w:r>
            <w:r>
              <w:rPr>
                <w:rFonts w:ascii="宋体" w:hAnsi="宋体"/>
                <w:kern w:val="20"/>
                <w:szCs w:val="21"/>
                <w:u w:val="single"/>
              </w:rPr>
              <w:t>25</w:t>
            </w:r>
            <w:r>
              <w:rPr>
                <w:rFonts w:hint="eastAsia" w:ascii="宋体" w:hAnsi="宋体"/>
                <w:kern w:val="20"/>
                <w:szCs w:val="21"/>
                <w:u w:val="single"/>
              </w:rPr>
              <w:t xml:space="preserve"> </w:t>
            </w:r>
            <w:r>
              <w:rPr>
                <w:rFonts w:hint="eastAsia" w:ascii="宋体" w:hAnsi="宋体"/>
                <w:kern w:val="20"/>
                <w:szCs w:val="21"/>
              </w:rPr>
              <w:t>分</w:t>
            </w:r>
          </w:p>
        </w:tc>
        <w:tc>
          <w:tcPr>
            <w:tcW w:w="971" w:type="pct"/>
            <w:shd w:val="clear" w:color="auto" w:fill="auto"/>
            <w:vAlign w:val="center"/>
          </w:tcPr>
          <w:p>
            <w:pPr>
              <w:spacing w:line="320" w:lineRule="exact"/>
              <w:rPr>
                <w:rFonts w:ascii="宋体" w:hAnsi="宋体"/>
                <w:kern w:val="20"/>
                <w:szCs w:val="21"/>
              </w:rPr>
            </w:pPr>
            <w:r>
              <w:rPr>
                <w:rFonts w:ascii="宋体" w:hAnsi="宋体" w:cs="MingLiU"/>
                <w:szCs w:val="21"/>
                <w:lang w:val="zh-TW" w:eastAsia="zh-TW" w:bidi="zh-TW"/>
              </w:rPr>
              <w:t>项目负责人任职资格与业绩</w:t>
            </w:r>
          </w:p>
        </w:tc>
        <w:tc>
          <w:tcPr>
            <w:tcW w:w="437" w:type="pct"/>
            <w:shd w:val="clear" w:color="auto" w:fill="auto"/>
            <w:vAlign w:val="center"/>
          </w:tcPr>
          <w:p>
            <w:pPr>
              <w:spacing w:line="320" w:lineRule="exact"/>
              <w:jc w:val="center"/>
              <w:rPr>
                <w:rFonts w:ascii="宋体" w:hAnsi="宋体"/>
                <w:kern w:val="20"/>
                <w:szCs w:val="21"/>
              </w:rPr>
            </w:pPr>
            <w:r>
              <w:rPr>
                <w:rFonts w:hint="eastAsia" w:ascii="宋体" w:hAnsi="宋体"/>
                <w:kern w:val="20"/>
                <w:szCs w:val="21"/>
                <w:u w:val="single"/>
              </w:rPr>
              <w:t xml:space="preserve"> </w:t>
            </w:r>
            <w:r>
              <w:rPr>
                <w:rFonts w:ascii="宋体" w:hAnsi="宋体"/>
                <w:kern w:val="20"/>
                <w:szCs w:val="21"/>
                <w:u w:val="single"/>
              </w:rPr>
              <w:t>25</w:t>
            </w:r>
            <w:r>
              <w:rPr>
                <w:rFonts w:hint="eastAsia" w:ascii="宋体" w:hAnsi="宋体"/>
                <w:kern w:val="20"/>
                <w:szCs w:val="21"/>
                <w:u w:val="single"/>
              </w:rPr>
              <w:t xml:space="preserve"> </w:t>
            </w:r>
            <w:r>
              <w:rPr>
                <w:rFonts w:hint="eastAsia" w:ascii="宋体" w:hAnsi="宋体"/>
                <w:kern w:val="20"/>
                <w:szCs w:val="21"/>
              </w:rPr>
              <w:t>分</w:t>
            </w:r>
          </w:p>
        </w:tc>
        <w:tc>
          <w:tcPr>
            <w:tcW w:w="1788" w:type="pct"/>
            <w:shd w:val="clear" w:color="auto" w:fill="auto"/>
            <w:vAlign w:val="center"/>
          </w:tcPr>
          <w:p>
            <w:pPr>
              <w:spacing w:line="320" w:lineRule="exact"/>
              <w:jc w:val="left"/>
              <w:rPr>
                <w:rFonts w:ascii="宋体" w:hAnsi="宋体" w:cs="宋体"/>
              </w:rPr>
            </w:pPr>
            <w:r>
              <w:rPr>
                <w:rFonts w:hint="eastAsia" w:ascii="宋体" w:hAnsi="宋体" w:cs="宋体"/>
              </w:rPr>
              <w:t>满足</w:t>
            </w:r>
            <w:r>
              <w:rPr>
                <w:rFonts w:hint="eastAsia" w:ascii="宋体" w:hAnsi="宋体"/>
              </w:rPr>
              <w:t>项目负责人</w:t>
            </w:r>
            <w:r>
              <w:rPr>
                <w:rFonts w:hint="eastAsia" w:ascii="宋体" w:hAnsi="宋体" w:cs="宋体"/>
              </w:rPr>
              <w:t>最低资格条件得</w:t>
            </w:r>
            <w:r>
              <w:rPr>
                <w:rFonts w:ascii="宋体" w:hAnsi="宋体" w:cs="宋体"/>
              </w:rPr>
              <w:t>15.0</w:t>
            </w:r>
            <w:r>
              <w:rPr>
                <w:rFonts w:hint="eastAsia" w:ascii="宋体" w:hAnsi="宋体" w:cs="宋体"/>
              </w:rPr>
              <w:t>分</w:t>
            </w:r>
            <w:r>
              <w:rPr>
                <w:rFonts w:ascii="宋体" w:hAnsi="宋体" w:cs="宋体"/>
              </w:rPr>
              <w:t>,</w:t>
            </w:r>
          </w:p>
          <w:p>
            <w:pPr>
              <w:spacing w:line="320" w:lineRule="exact"/>
              <w:jc w:val="left"/>
              <w:rPr>
                <w:rFonts w:ascii="宋体" w:hAnsi="宋体"/>
                <w:kern w:val="20"/>
                <w:szCs w:val="21"/>
              </w:rPr>
            </w:pPr>
            <w:r>
              <w:rPr>
                <w:rFonts w:hint="eastAsia" w:ascii="宋体" w:hAnsi="宋体"/>
                <w:kern w:val="20"/>
                <w:szCs w:val="21"/>
              </w:rPr>
              <w:t>每增加一项担任过二级或二级以上新建（或改扩建）公路的施工图设计项目的项目负责人业绩加</w:t>
            </w:r>
            <w:r>
              <w:rPr>
                <w:rFonts w:ascii="宋体" w:hAnsi="宋体"/>
                <w:kern w:val="20"/>
                <w:szCs w:val="21"/>
              </w:rPr>
              <w:t>10</w:t>
            </w:r>
            <w:r>
              <w:rPr>
                <w:rFonts w:hint="eastAsia" w:ascii="宋体" w:hAnsi="宋体"/>
                <w:kern w:val="20"/>
                <w:szCs w:val="21"/>
              </w:rPr>
              <w:t>分，最多加</w:t>
            </w:r>
            <w:r>
              <w:rPr>
                <w:rFonts w:ascii="宋体" w:hAnsi="宋体"/>
                <w:kern w:val="20"/>
                <w:szCs w:val="21"/>
              </w:rPr>
              <w:t>10</w:t>
            </w:r>
            <w:r>
              <w:rPr>
                <w:rFonts w:hint="eastAsia" w:ascii="宋体" w:hAnsi="宋体"/>
                <w:kern w:val="20"/>
                <w:szCs w:val="21"/>
              </w:rPr>
              <w:t>分。</w:t>
            </w:r>
          </w:p>
        </w:tc>
      </w:tr>
    </w:tbl>
    <w:p/>
    <w:tbl>
      <w:tblPr>
        <w:tblStyle w:val="43"/>
        <w:tblpPr w:leftFromText="180" w:rightFromText="180" w:vertAnchor="text" w:horzAnchor="margin" w:tblpY="1"/>
        <w:tblW w:w="525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383"/>
        <w:gridCol w:w="449"/>
        <w:gridCol w:w="903"/>
        <w:gridCol w:w="994"/>
        <w:gridCol w:w="2011"/>
        <w:gridCol w:w="905"/>
        <w:gridCol w:w="3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98" w:hRule="atLeast"/>
        </w:trPr>
        <w:tc>
          <w:tcPr>
            <w:tcW w:w="668" w:type="pct"/>
            <w:shd w:val="clear" w:color="auto" w:fill="auto"/>
            <w:vAlign w:val="center"/>
          </w:tcPr>
          <w:p>
            <w:pPr>
              <w:spacing w:line="320" w:lineRule="exact"/>
              <w:jc w:val="center"/>
              <w:rPr>
                <w:rFonts w:ascii="宋体" w:hAnsi="宋体" w:cs="MingLiU"/>
                <w:szCs w:val="21"/>
                <w:lang w:val="zh-TW" w:eastAsia="zh-TW" w:bidi="zh-TW"/>
              </w:rPr>
            </w:pPr>
            <w:r>
              <w:rPr>
                <w:rFonts w:ascii="宋体" w:hAnsi="宋体" w:cs="MingLiU"/>
                <w:szCs w:val="21"/>
                <w:lang w:val="zh-TW" w:eastAsia="zh-TW" w:bidi="zh-TW"/>
              </w:rPr>
              <w:t>2.2.4(</w:t>
            </w:r>
            <w:r>
              <w:rPr>
                <w:rFonts w:ascii="宋体" w:hAnsi="宋体" w:eastAsia="PMingLiU" w:cs="MingLiU"/>
                <w:szCs w:val="21"/>
                <w:lang w:val="zh-TW" w:eastAsia="zh-TW" w:bidi="zh-TW"/>
              </w:rPr>
              <w:t>3</w:t>
            </w:r>
            <w:r>
              <w:rPr>
                <w:rFonts w:ascii="宋体" w:hAnsi="宋体" w:cs="MingLiU"/>
                <w:szCs w:val="21"/>
                <w:lang w:val="zh-TW" w:eastAsia="zh-TW" w:bidi="zh-TW"/>
              </w:rPr>
              <w:t>)</w:t>
            </w:r>
          </w:p>
        </w:tc>
        <w:tc>
          <w:tcPr>
            <w:tcW w:w="653" w:type="pct"/>
            <w:gridSpan w:val="2"/>
            <w:shd w:val="clear" w:color="auto" w:fill="auto"/>
            <w:vAlign w:val="center"/>
          </w:tcPr>
          <w:p>
            <w:pPr>
              <w:spacing w:line="320" w:lineRule="exact"/>
              <w:jc w:val="center"/>
              <w:rPr>
                <w:rFonts w:ascii="宋体" w:hAnsi="宋体" w:cs="MingLiU"/>
                <w:szCs w:val="21"/>
                <w:lang w:val="zh-TW" w:eastAsia="zh-TW" w:bidi="zh-TW"/>
              </w:rPr>
            </w:pPr>
            <w:r>
              <w:rPr>
                <w:rFonts w:hint="eastAsia" w:ascii="宋体" w:hAnsi="宋体" w:cs="MingLiU"/>
                <w:szCs w:val="21"/>
                <w:lang w:val="zh-TW" w:eastAsia="zh-TW" w:bidi="zh-TW"/>
              </w:rPr>
              <w:t>评标价</w:t>
            </w:r>
          </w:p>
        </w:tc>
        <w:tc>
          <w:tcPr>
            <w:tcW w:w="480" w:type="pct"/>
            <w:shd w:val="clear" w:color="auto" w:fill="auto"/>
            <w:vAlign w:val="center"/>
          </w:tcPr>
          <w:p>
            <w:pPr>
              <w:spacing w:line="320" w:lineRule="exact"/>
              <w:jc w:val="center"/>
              <w:rPr>
                <w:rFonts w:ascii="宋体" w:hAnsi="宋体"/>
                <w:kern w:val="20"/>
                <w:szCs w:val="21"/>
                <w:u w:val="single"/>
              </w:rPr>
            </w:pPr>
            <w:r>
              <w:rPr>
                <w:rFonts w:hint="eastAsia" w:ascii="宋体" w:hAnsi="宋体"/>
                <w:kern w:val="20"/>
                <w:szCs w:val="21"/>
                <w:u w:val="single"/>
              </w:rPr>
              <w:t xml:space="preserve"> 10 </w:t>
            </w:r>
            <w:r>
              <w:rPr>
                <w:rFonts w:hint="eastAsia" w:ascii="宋体" w:hAnsi="宋体"/>
                <w:kern w:val="20"/>
                <w:szCs w:val="21"/>
              </w:rPr>
              <w:t>分</w:t>
            </w:r>
          </w:p>
        </w:tc>
        <w:tc>
          <w:tcPr>
            <w:tcW w:w="3199" w:type="pct"/>
            <w:gridSpan w:val="3"/>
            <w:shd w:val="clear" w:color="auto" w:fill="auto"/>
            <w:vAlign w:val="center"/>
          </w:tcPr>
          <w:p>
            <w:pPr>
              <w:spacing w:line="320" w:lineRule="exact"/>
              <w:jc w:val="left"/>
              <w:rPr>
                <w:rFonts w:ascii="宋体" w:hAnsi="宋体" w:cs="宋体"/>
              </w:rPr>
            </w:pPr>
            <w:r>
              <w:rPr>
                <w:rFonts w:hint="eastAsia" w:ascii="宋体" w:hAnsi="宋体" w:cs="宋体"/>
              </w:rPr>
              <w:t>投标价得分计算公式示例：</w:t>
            </w:r>
          </w:p>
          <w:p>
            <w:pPr>
              <w:spacing w:line="320" w:lineRule="exact"/>
              <w:jc w:val="left"/>
              <w:rPr>
                <w:rFonts w:ascii="宋体" w:hAnsi="宋体" w:cs="宋体"/>
              </w:rPr>
            </w:pPr>
            <w:r>
              <w:rPr>
                <w:rFonts w:hint="eastAsia" w:ascii="宋体" w:hAnsi="宋体" w:cs="宋体"/>
              </w:rPr>
              <w:t>（1）如果投标人的评标价＞评标基准价，则评标价得分=F-偏差率×100×E1；</w:t>
            </w:r>
          </w:p>
          <w:p>
            <w:pPr>
              <w:spacing w:line="320" w:lineRule="exact"/>
              <w:jc w:val="left"/>
              <w:rPr>
                <w:rFonts w:ascii="宋体" w:hAnsi="宋体" w:cs="宋体"/>
              </w:rPr>
            </w:pPr>
            <w:r>
              <w:rPr>
                <w:rFonts w:hint="eastAsia" w:ascii="宋体" w:hAnsi="宋体" w:cs="宋体"/>
              </w:rPr>
              <w:t>（2）如果投标人的评标价≤评标基准价，则评标价得分=F+偏差率×100×E2；</w:t>
            </w:r>
          </w:p>
          <w:p>
            <w:pPr>
              <w:spacing w:line="320" w:lineRule="exact"/>
              <w:jc w:val="left"/>
              <w:rPr>
                <w:rFonts w:ascii="宋体" w:hAnsi="宋体" w:cs="宋体"/>
              </w:rPr>
            </w:pPr>
            <w:r>
              <w:rPr>
                <w:rFonts w:hint="eastAsia" w:ascii="宋体" w:hAnsi="宋体" w:cs="宋体"/>
              </w:rPr>
              <w:t>其中，F：投标价所占的评分满分值10分；</w:t>
            </w:r>
          </w:p>
          <w:p>
            <w:pPr>
              <w:spacing w:line="320" w:lineRule="exact"/>
              <w:jc w:val="left"/>
              <w:rPr>
                <w:rFonts w:ascii="宋体" w:hAnsi="宋体" w:cs="宋体"/>
              </w:rPr>
            </w:pPr>
            <w:r>
              <w:rPr>
                <w:rFonts w:hint="eastAsia" w:ascii="宋体" w:hAnsi="宋体" w:cs="宋体"/>
              </w:rPr>
              <w:t>E1：投标价每高于评标基准价一个百分点的扣分值0.2分；</w:t>
            </w:r>
          </w:p>
          <w:p>
            <w:pPr>
              <w:spacing w:line="320" w:lineRule="exact"/>
              <w:jc w:val="left"/>
              <w:rPr>
                <w:rFonts w:ascii="宋体" w:hAnsi="宋体" w:cs="宋体"/>
              </w:rPr>
            </w:pPr>
            <w:r>
              <w:rPr>
                <w:rFonts w:hint="eastAsia" w:ascii="宋体" w:hAnsi="宋体" w:cs="宋体"/>
              </w:rPr>
              <w:t>E2：投标价每低于评标基准价一个百分点的扣分值0.1分；</w:t>
            </w:r>
          </w:p>
          <w:p>
            <w:pPr>
              <w:spacing w:line="320" w:lineRule="exact"/>
              <w:jc w:val="left"/>
              <w:rPr>
                <w:rFonts w:ascii="宋体" w:hAnsi="宋体" w:cs="宋体"/>
              </w:rPr>
            </w:pPr>
            <w:r>
              <w:rPr>
                <w:rFonts w:hint="eastAsia" w:ascii="宋体" w:hAnsi="宋体"/>
                <w:szCs w:val="21"/>
              </w:rPr>
              <w:t>评标价得分最低扣至0分。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668" w:type="pct"/>
            <w:vMerge w:val="restart"/>
            <w:shd w:val="clear" w:color="auto" w:fill="auto"/>
            <w:vAlign w:val="center"/>
          </w:tcPr>
          <w:p>
            <w:pPr>
              <w:spacing w:line="320" w:lineRule="exact"/>
              <w:jc w:val="center"/>
              <w:rPr>
                <w:rFonts w:ascii="宋体" w:hAnsi="宋体" w:cs="MingLiU"/>
                <w:szCs w:val="21"/>
                <w:lang w:val="zh-TW" w:bidi="zh-TW"/>
              </w:rPr>
            </w:pPr>
            <w:r>
              <w:rPr>
                <w:rFonts w:hint="eastAsia" w:ascii="宋体" w:hAnsi="宋体"/>
                <w:kern w:val="20"/>
                <w:szCs w:val="21"/>
              </w:rPr>
              <w:t>2.2.4（</w:t>
            </w:r>
            <w:r>
              <w:rPr>
                <w:rFonts w:ascii="宋体" w:hAnsi="宋体"/>
                <w:kern w:val="20"/>
                <w:szCs w:val="21"/>
              </w:rPr>
              <w:t>4</w:t>
            </w:r>
            <w:r>
              <w:rPr>
                <w:rFonts w:hint="eastAsia" w:ascii="宋体" w:hAnsi="宋体"/>
                <w:kern w:val="20"/>
                <w:szCs w:val="21"/>
              </w:rPr>
              <w:t>）</w:t>
            </w:r>
          </w:p>
        </w:tc>
        <w:tc>
          <w:tcPr>
            <w:tcW w:w="217" w:type="pct"/>
            <w:vMerge w:val="restart"/>
            <w:shd w:val="clear" w:color="auto" w:fill="auto"/>
            <w:vAlign w:val="center"/>
          </w:tcPr>
          <w:p>
            <w:pPr>
              <w:spacing w:line="320" w:lineRule="exact"/>
              <w:jc w:val="center"/>
              <w:rPr>
                <w:rFonts w:ascii="宋体" w:hAnsi="宋体"/>
                <w:kern w:val="20"/>
                <w:szCs w:val="21"/>
              </w:rPr>
            </w:pPr>
            <w:r>
              <w:rPr>
                <w:rFonts w:hint="eastAsia" w:ascii="宋体" w:hAnsi="宋体"/>
                <w:kern w:val="20"/>
                <w:szCs w:val="21"/>
              </w:rPr>
              <w:t>其他评分因素</w:t>
            </w:r>
          </w:p>
        </w:tc>
        <w:tc>
          <w:tcPr>
            <w:tcW w:w="436" w:type="pct"/>
            <w:shd w:val="clear" w:color="auto" w:fill="auto"/>
            <w:vAlign w:val="center"/>
          </w:tcPr>
          <w:p>
            <w:pPr>
              <w:spacing w:line="320" w:lineRule="exact"/>
              <w:jc w:val="center"/>
              <w:rPr>
                <w:rFonts w:ascii="宋体" w:hAnsi="宋体"/>
                <w:kern w:val="20"/>
                <w:szCs w:val="21"/>
              </w:rPr>
            </w:pPr>
            <w:r>
              <w:rPr>
                <w:rFonts w:hint="eastAsia" w:ascii="宋体" w:hAnsi="宋体"/>
                <w:kern w:val="20"/>
                <w:szCs w:val="21"/>
              </w:rPr>
              <w:t>业绩</w:t>
            </w:r>
          </w:p>
        </w:tc>
        <w:tc>
          <w:tcPr>
            <w:tcW w:w="480" w:type="pct"/>
            <w:shd w:val="clear" w:color="auto" w:fill="auto"/>
            <w:vAlign w:val="center"/>
          </w:tcPr>
          <w:p>
            <w:pPr>
              <w:spacing w:line="320" w:lineRule="exact"/>
              <w:jc w:val="center"/>
              <w:rPr>
                <w:rFonts w:ascii="宋体" w:hAnsi="宋体"/>
                <w:kern w:val="20"/>
                <w:szCs w:val="21"/>
              </w:rPr>
            </w:pPr>
            <w:r>
              <w:rPr>
                <w:rFonts w:hint="eastAsia" w:ascii="宋体" w:hAnsi="宋体"/>
                <w:kern w:val="20"/>
                <w:szCs w:val="21"/>
                <w:u w:val="single"/>
              </w:rPr>
              <w:t xml:space="preserve"> </w:t>
            </w:r>
            <w:r>
              <w:rPr>
                <w:rFonts w:ascii="宋体" w:hAnsi="宋体"/>
                <w:kern w:val="20"/>
                <w:szCs w:val="21"/>
                <w:u w:val="single"/>
              </w:rPr>
              <w:t>20</w:t>
            </w:r>
            <w:r>
              <w:rPr>
                <w:rFonts w:hint="eastAsia" w:ascii="宋体" w:hAnsi="宋体"/>
                <w:kern w:val="20"/>
                <w:szCs w:val="21"/>
                <w:u w:val="single"/>
              </w:rPr>
              <w:t xml:space="preserve"> </w:t>
            </w:r>
            <w:r>
              <w:rPr>
                <w:rFonts w:hint="eastAsia" w:ascii="宋体" w:hAnsi="宋体"/>
                <w:kern w:val="20"/>
                <w:szCs w:val="21"/>
              </w:rPr>
              <w:t>分</w:t>
            </w:r>
          </w:p>
        </w:tc>
        <w:tc>
          <w:tcPr>
            <w:tcW w:w="971" w:type="pct"/>
            <w:shd w:val="clear" w:color="auto" w:fill="auto"/>
            <w:vAlign w:val="center"/>
          </w:tcPr>
          <w:p>
            <w:pPr>
              <w:spacing w:line="320" w:lineRule="exact"/>
              <w:jc w:val="center"/>
              <w:rPr>
                <w:rFonts w:ascii="宋体" w:hAnsi="宋体"/>
                <w:kern w:val="20"/>
                <w:szCs w:val="21"/>
              </w:rPr>
            </w:pPr>
            <w:r>
              <w:rPr>
                <w:rFonts w:hint="eastAsia" w:ascii="宋体" w:hAnsi="宋体"/>
                <w:kern w:val="20"/>
                <w:szCs w:val="21"/>
              </w:rPr>
              <w:t>企业业绩</w:t>
            </w:r>
          </w:p>
        </w:tc>
        <w:tc>
          <w:tcPr>
            <w:tcW w:w="437" w:type="pct"/>
            <w:shd w:val="clear" w:color="auto" w:fill="auto"/>
            <w:vAlign w:val="center"/>
          </w:tcPr>
          <w:p>
            <w:pPr>
              <w:spacing w:line="320" w:lineRule="exact"/>
              <w:jc w:val="center"/>
              <w:rPr>
                <w:rFonts w:ascii="宋体" w:hAnsi="宋体"/>
                <w:kern w:val="20"/>
                <w:szCs w:val="21"/>
              </w:rPr>
            </w:pPr>
            <w:r>
              <w:rPr>
                <w:rFonts w:hint="eastAsia" w:ascii="宋体" w:hAnsi="宋体"/>
                <w:kern w:val="20"/>
                <w:szCs w:val="21"/>
                <w:u w:val="single"/>
              </w:rPr>
              <w:t xml:space="preserve"> </w:t>
            </w:r>
            <w:r>
              <w:rPr>
                <w:rFonts w:ascii="宋体" w:hAnsi="宋体"/>
                <w:kern w:val="20"/>
                <w:szCs w:val="21"/>
                <w:u w:val="single"/>
              </w:rPr>
              <w:t>20</w:t>
            </w:r>
            <w:r>
              <w:rPr>
                <w:rFonts w:hint="eastAsia" w:ascii="宋体" w:hAnsi="宋体"/>
                <w:kern w:val="20"/>
                <w:szCs w:val="21"/>
                <w:u w:val="single"/>
              </w:rPr>
              <w:t xml:space="preserve"> </w:t>
            </w:r>
            <w:r>
              <w:rPr>
                <w:rFonts w:hint="eastAsia" w:ascii="宋体" w:hAnsi="宋体"/>
                <w:kern w:val="20"/>
                <w:szCs w:val="21"/>
              </w:rPr>
              <w:t>分</w:t>
            </w:r>
          </w:p>
        </w:tc>
        <w:tc>
          <w:tcPr>
            <w:tcW w:w="1791" w:type="pct"/>
            <w:shd w:val="clear" w:color="auto" w:fill="auto"/>
            <w:vAlign w:val="center"/>
          </w:tcPr>
          <w:p>
            <w:pPr>
              <w:spacing w:line="320" w:lineRule="exact"/>
              <w:jc w:val="left"/>
              <w:rPr>
                <w:rFonts w:ascii="宋体" w:hAnsi="宋体" w:cs="宋体"/>
              </w:rPr>
            </w:pPr>
            <w:r>
              <w:rPr>
                <w:rFonts w:hint="eastAsia" w:ascii="宋体" w:hAnsi="宋体" w:cs="宋体"/>
              </w:rPr>
              <w:t>满足最低资格条件得12</w:t>
            </w:r>
            <w:r>
              <w:rPr>
                <w:rFonts w:ascii="宋体" w:hAnsi="宋体" w:cs="宋体"/>
              </w:rPr>
              <w:t>.0</w:t>
            </w:r>
            <w:r>
              <w:rPr>
                <w:rFonts w:hint="eastAsia" w:ascii="宋体" w:hAnsi="宋体" w:cs="宋体"/>
              </w:rPr>
              <w:t>分；</w:t>
            </w:r>
          </w:p>
          <w:p>
            <w:pPr>
              <w:spacing w:line="320" w:lineRule="exact"/>
              <w:jc w:val="left"/>
              <w:rPr>
                <w:rFonts w:ascii="宋体" w:hAnsi="宋体"/>
                <w:kern w:val="20"/>
                <w:szCs w:val="21"/>
              </w:rPr>
            </w:pPr>
            <w:r>
              <w:rPr>
                <w:rFonts w:hint="eastAsia" w:ascii="宋体" w:hAnsi="宋体" w:cs="宋体"/>
                <w:szCs w:val="21"/>
              </w:rPr>
              <w:t>近5年内（指2015年1月1日至投标截止时间，以施工图设计批复时间为准）每增加一项（一个合同为一项）二级或二级以上新建（或改扩建）公路的施工图设计业绩加8分，最多加8分。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c>
          <w:tcPr>
            <w:tcW w:w="668" w:type="pct"/>
            <w:vMerge w:val="continue"/>
            <w:shd w:val="clear" w:color="auto" w:fill="auto"/>
            <w:vAlign w:val="center"/>
          </w:tcPr>
          <w:p>
            <w:pPr>
              <w:spacing w:line="320" w:lineRule="exact"/>
              <w:jc w:val="center"/>
              <w:rPr>
                <w:rFonts w:ascii="宋体" w:hAnsi="宋体"/>
                <w:kern w:val="20"/>
                <w:szCs w:val="21"/>
              </w:rPr>
            </w:pPr>
          </w:p>
        </w:tc>
        <w:tc>
          <w:tcPr>
            <w:tcW w:w="217" w:type="pct"/>
            <w:vMerge w:val="continue"/>
            <w:shd w:val="clear" w:color="auto" w:fill="auto"/>
            <w:vAlign w:val="center"/>
          </w:tcPr>
          <w:p>
            <w:pPr>
              <w:spacing w:line="320" w:lineRule="exact"/>
              <w:jc w:val="center"/>
              <w:rPr>
                <w:rFonts w:ascii="宋体" w:hAnsi="宋体"/>
                <w:kern w:val="20"/>
                <w:szCs w:val="21"/>
              </w:rPr>
            </w:pPr>
          </w:p>
        </w:tc>
        <w:tc>
          <w:tcPr>
            <w:tcW w:w="436" w:type="pct"/>
            <w:shd w:val="clear" w:color="auto" w:fill="auto"/>
            <w:vAlign w:val="center"/>
          </w:tcPr>
          <w:p>
            <w:pPr>
              <w:spacing w:line="320" w:lineRule="exact"/>
              <w:jc w:val="center"/>
              <w:rPr>
                <w:rFonts w:ascii="宋体" w:hAnsi="宋体"/>
                <w:kern w:val="20"/>
                <w:szCs w:val="21"/>
              </w:rPr>
            </w:pPr>
            <w:r>
              <w:rPr>
                <w:rFonts w:hint="eastAsia" w:ascii="宋体" w:hAnsi="宋体"/>
                <w:kern w:val="20"/>
                <w:szCs w:val="21"/>
              </w:rPr>
              <w:t>履约</w:t>
            </w:r>
          </w:p>
          <w:p>
            <w:pPr>
              <w:spacing w:line="320" w:lineRule="exact"/>
              <w:jc w:val="center"/>
              <w:rPr>
                <w:rFonts w:ascii="宋体" w:hAnsi="宋体"/>
                <w:kern w:val="20"/>
                <w:szCs w:val="21"/>
              </w:rPr>
            </w:pPr>
            <w:r>
              <w:rPr>
                <w:rFonts w:hint="eastAsia" w:ascii="宋体" w:hAnsi="宋体"/>
                <w:kern w:val="20"/>
                <w:szCs w:val="21"/>
              </w:rPr>
              <w:t>信誉</w:t>
            </w:r>
          </w:p>
        </w:tc>
        <w:tc>
          <w:tcPr>
            <w:tcW w:w="480" w:type="pct"/>
            <w:shd w:val="clear" w:color="auto" w:fill="auto"/>
            <w:vAlign w:val="center"/>
          </w:tcPr>
          <w:p>
            <w:pPr>
              <w:spacing w:line="320" w:lineRule="exact"/>
              <w:jc w:val="center"/>
              <w:rPr>
                <w:rFonts w:ascii="宋体" w:hAnsi="宋体"/>
                <w:kern w:val="20"/>
                <w:szCs w:val="21"/>
                <w:u w:val="single"/>
              </w:rPr>
            </w:pPr>
            <w:r>
              <w:rPr>
                <w:rFonts w:ascii="宋体" w:hAnsi="宋体"/>
                <w:kern w:val="20"/>
                <w:szCs w:val="21"/>
                <w:u w:val="single"/>
              </w:rPr>
              <w:t xml:space="preserve"> </w:t>
            </w:r>
            <w:r>
              <w:rPr>
                <w:rFonts w:hint="eastAsia" w:ascii="宋体" w:hAnsi="宋体"/>
                <w:kern w:val="20"/>
                <w:szCs w:val="21"/>
                <w:u w:val="single"/>
              </w:rPr>
              <w:t>5</w:t>
            </w:r>
            <w:r>
              <w:rPr>
                <w:rFonts w:ascii="宋体" w:hAnsi="宋体"/>
                <w:kern w:val="20"/>
                <w:szCs w:val="21"/>
                <w:u w:val="single"/>
              </w:rPr>
              <w:t xml:space="preserve"> </w:t>
            </w:r>
            <w:r>
              <w:rPr>
                <w:rFonts w:hint="eastAsia" w:ascii="宋体" w:hAnsi="宋体"/>
                <w:kern w:val="20"/>
                <w:szCs w:val="21"/>
              </w:rPr>
              <w:t>分</w:t>
            </w:r>
          </w:p>
        </w:tc>
        <w:tc>
          <w:tcPr>
            <w:tcW w:w="971" w:type="pct"/>
            <w:shd w:val="clear" w:color="auto" w:fill="auto"/>
            <w:vAlign w:val="center"/>
          </w:tcPr>
          <w:p>
            <w:pPr>
              <w:spacing w:line="320" w:lineRule="exact"/>
              <w:jc w:val="center"/>
              <w:rPr>
                <w:rFonts w:ascii="宋体" w:hAnsi="宋体"/>
                <w:kern w:val="20"/>
                <w:szCs w:val="21"/>
              </w:rPr>
            </w:pPr>
            <w:r>
              <w:rPr>
                <w:rFonts w:hint="eastAsia" w:ascii="宋体" w:hAnsi="宋体"/>
                <w:kern w:val="20"/>
                <w:szCs w:val="21"/>
              </w:rPr>
              <w:t>履约信誉</w:t>
            </w:r>
          </w:p>
        </w:tc>
        <w:tc>
          <w:tcPr>
            <w:tcW w:w="437" w:type="pct"/>
            <w:shd w:val="clear" w:color="auto" w:fill="auto"/>
            <w:vAlign w:val="center"/>
          </w:tcPr>
          <w:p>
            <w:pPr>
              <w:spacing w:line="320" w:lineRule="exact"/>
              <w:jc w:val="center"/>
              <w:rPr>
                <w:rFonts w:ascii="宋体" w:hAnsi="宋体"/>
                <w:kern w:val="20"/>
                <w:szCs w:val="21"/>
                <w:u w:val="single"/>
              </w:rPr>
            </w:pPr>
            <w:r>
              <w:rPr>
                <w:rFonts w:ascii="宋体" w:hAnsi="宋体"/>
                <w:kern w:val="20"/>
                <w:szCs w:val="21"/>
                <w:u w:val="single"/>
              </w:rPr>
              <w:t xml:space="preserve"> </w:t>
            </w:r>
            <w:r>
              <w:rPr>
                <w:rFonts w:hint="eastAsia" w:ascii="宋体" w:hAnsi="宋体"/>
                <w:kern w:val="20"/>
                <w:szCs w:val="21"/>
                <w:u w:val="single"/>
              </w:rPr>
              <w:t>5</w:t>
            </w:r>
            <w:r>
              <w:rPr>
                <w:rFonts w:ascii="宋体" w:hAnsi="宋体"/>
                <w:kern w:val="20"/>
                <w:szCs w:val="21"/>
                <w:u w:val="single"/>
              </w:rPr>
              <w:t xml:space="preserve"> </w:t>
            </w:r>
            <w:r>
              <w:rPr>
                <w:rFonts w:hint="eastAsia" w:ascii="宋体" w:hAnsi="宋体"/>
                <w:kern w:val="20"/>
                <w:szCs w:val="21"/>
              </w:rPr>
              <w:t>分</w:t>
            </w:r>
          </w:p>
        </w:tc>
        <w:tc>
          <w:tcPr>
            <w:tcW w:w="1791" w:type="pct"/>
            <w:shd w:val="clear" w:color="auto" w:fill="auto"/>
            <w:vAlign w:val="center"/>
          </w:tcPr>
          <w:p>
            <w:pPr>
              <w:spacing w:line="320" w:lineRule="exact"/>
              <w:jc w:val="left"/>
              <w:rPr>
                <w:rFonts w:ascii="宋体" w:hAnsi="宋体" w:cs="宋体"/>
                <w:szCs w:val="21"/>
              </w:rPr>
            </w:pPr>
            <w:r>
              <w:rPr>
                <w:rFonts w:hint="eastAsia" w:ascii="宋体" w:hAnsi="宋体" w:cs="宋体"/>
                <w:szCs w:val="21"/>
              </w:rPr>
              <w:t>企业信用评价依次按照以下顺序进行采用：</w:t>
            </w:r>
          </w:p>
          <w:p>
            <w:pPr>
              <w:spacing w:line="320" w:lineRule="exact"/>
              <w:jc w:val="left"/>
              <w:rPr>
                <w:rFonts w:ascii="宋体" w:hAnsi="宋体" w:cs="宋体"/>
                <w:szCs w:val="21"/>
              </w:rPr>
            </w:pPr>
            <w:r>
              <w:rPr>
                <w:rFonts w:hint="eastAsia"/>
              </w:rPr>
              <w:t>（</w:t>
            </w:r>
            <w:r>
              <w:rPr>
                <w:rFonts w:hint="eastAsia" w:ascii="宋体" w:hAnsi="宋体" w:cs="宋体"/>
                <w:szCs w:val="21"/>
              </w:rPr>
              <w:t>1</w:t>
            </w:r>
            <w:r>
              <w:rPr>
                <w:rFonts w:ascii="宋体" w:hAnsi="宋体" w:cs="宋体"/>
                <w:szCs w:val="21"/>
              </w:rPr>
              <w:t>）</w:t>
            </w:r>
            <w:r>
              <w:rPr>
                <w:rFonts w:hint="eastAsia" w:ascii="宋体" w:hAnsi="宋体" w:cs="宋体"/>
                <w:szCs w:val="21"/>
              </w:rPr>
              <w:t>投标人2019年吉林省公路设计企业省级信用评价信用等级或2019年度公路设计企业全国综合信用评价信用等级，投标人同时具有2019年吉林省公路设计企业省级信用评价信用等级或2019年度公路设计企业全国综合信用评价信用等级，采用企业信用等级低的参加评分；</w:t>
            </w:r>
            <w:r>
              <w:rPr>
                <w:rFonts w:ascii="宋体" w:hAnsi="宋体" w:cs="宋体"/>
                <w:szCs w:val="21"/>
              </w:rPr>
              <w:t xml:space="preserve"> </w:t>
            </w:r>
          </w:p>
          <w:p>
            <w:pPr>
              <w:spacing w:line="320" w:lineRule="exact"/>
              <w:jc w:val="left"/>
              <w:rPr>
                <w:rFonts w:ascii="宋体" w:hAnsi="宋体" w:cs="宋体"/>
                <w:szCs w:val="21"/>
              </w:rPr>
            </w:pPr>
            <w:r>
              <w:rPr>
                <w:rFonts w:hint="eastAsia" w:ascii="宋体" w:hAnsi="宋体" w:cs="宋体"/>
                <w:szCs w:val="21"/>
              </w:rPr>
              <w:t>（2）投标人无以上的企业信用等级时，若在“全国公路建设市场信用信息管理系统”无不良信用记录，按A 级评分。若有不良信用记录的，按B级或以下等级评分。</w:t>
            </w:r>
          </w:p>
          <w:p>
            <w:pPr>
              <w:spacing w:line="320" w:lineRule="exact"/>
              <w:jc w:val="left"/>
              <w:rPr>
                <w:rFonts w:ascii="宋体" w:hAnsi="宋体" w:cs="宋体"/>
                <w:szCs w:val="21"/>
              </w:rPr>
            </w:pPr>
            <w:r>
              <w:rPr>
                <w:rFonts w:hint="eastAsia" w:ascii="宋体" w:hAnsi="宋体" w:cs="宋体"/>
                <w:szCs w:val="21"/>
              </w:rPr>
              <w:t>（3）以联合体形式参与投标的，其信用等级以联合体牵头人信用等级为准。</w:t>
            </w:r>
          </w:p>
          <w:p>
            <w:pPr>
              <w:spacing w:line="320" w:lineRule="exact"/>
              <w:jc w:val="left"/>
              <w:rPr>
                <w:rFonts w:ascii="宋体" w:hAnsi="宋体" w:cs="宋体"/>
                <w:szCs w:val="21"/>
              </w:rPr>
            </w:pPr>
            <w:r>
              <w:rPr>
                <w:rFonts w:hint="eastAsia" w:ascii="宋体" w:hAnsi="宋体" w:cs="宋体"/>
                <w:szCs w:val="21"/>
              </w:rPr>
              <w:t xml:space="preserve">AA级     </w:t>
            </w:r>
            <w:r>
              <w:rPr>
                <w:rFonts w:ascii="宋体" w:hAnsi="宋体" w:cs="宋体"/>
                <w:szCs w:val="21"/>
              </w:rPr>
              <w:t xml:space="preserve">       5</w:t>
            </w:r>
            <w:r>
              <w:rPr>
                <w:rFonts w:hint="eastAsia" w:ascii="宋体" w:hAnsi="宋体" w:cs="宋体"/>
                <w:szCs w:val="21"/>
              </w:rPr>
              <w:t>分</w:t>
            </w:r>
          </w:p>
          <w:p>
            <w:pPr>
              <w:spacing w:line="320" w:lineRule="exact"/>
              <w:jc w:val="left"/>
              <w:rPr>
                <w:rFonts w:ascii="宋体" w:hAnsi="宋体" w:cs="宋体"/>
                <w:szCs w:val="21"/>
              </w:rPr>
            </w:pPr>
            <w:r>
              <w:rPr>
                <w:rFonts w:hint="eastAsia" w:ascii="宋体" w:hAnsi="宋体" w:cs="宋体"/>
                <w:szCs w:val="21"/>
              </w:rPr>
              <w:t>A级             4分</w:t>
            </w:r>
          </w:p>
          <w:p>
            <w:pPr>
              <w:spacing w:line="320" w:lineRule="exact"/>
              <w:jc w:val="left"/>
              <w:rPr>
                <w:rFonts w:ascii="宋体" w:hAnsi="宋体" w:cs="宋体"/>
                <w:szCs w:val="21"/>
              </w:rPr>
            </w:pPr>
            <w:r>
              <w:rPr>
                <w:rFonts w:hint="eastAsia" w:ascii="宋体" w:hAnsi="宋体" w:cs="宋体"/>
                <w:szCs w:val="21"/>
              </w:rPr>
              <w:t xml:space="preserve">B级             </w:t>
            </w:r>
            <w:r>
              <w:rPr>
                <w:rFonts w:ascii="宋体" w:hAnsi="宋体" w:cs="宋体"/>
                <w:szCs w:val="21"/>
              </w:rPr>
              <w:t>3</w:t>
            </w:r>
            <w:r>
              <w:rPr>
                <w:rFonts w:hint="eastAsia" w:ascii="宋体" w:hAnsi="宋体" w:cs="宋体"/>
                <w:szCs w:val="21"/>
              </w:rPr>
              <w:t>分</w:t>
            </w:r>
          </w:p>
          <w:p>
            <w:pPr>
              <w:spacing w:line="320" w:lineRule="exact"/>
              <w:jc w:val="left"/>
              <w:rPr>
                <w:rFonts w:ascii="宋体" w:hAnsi="宋体" w:cs="宋体"/>
              </w:rPr>
            </w:pPr>
            <w:r>
              <w:rPr>
                <w:rFonts w:hint="eastAsia" w:ascii="宋体" w:hAnsi="宋体" w:cs="宋体"/>
                <w:szCs w:val="21"/>
              </w:rPr>
              <w:t>C、D等级        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43" w:hRule="atLeast"/>
        </w:trPr>
        <w:tc>
          <w:tcPr>
            <w:tcW w:w="5000" w:type="pct"/>
            <w:gridSpan w:val="7"/>
            <w:shd w:val="clear" w:color="auto" w:fill="auto"/>
            <w:vAlign w:val="center"/>
          </w:tcPr>
          <w:p>
            <w:pPr>
              <w:snapToGrid w:val="0"/>
              <w:spacing w:line="320" w:lineRule="exact"/>
              <w:rPr>
                <w:rFonts w:ascii="宋体" w:hAnsi="宋体"/>
              </w:rPr>
            </w:pPr>
            <w:r>
              <w:rPr>
                <w:rFonts w:hint="eastAsia" w:ascii="宋体" w:hAnsi="宋体"/>
                <w:kern w:val="20"/>
                <w:szCs w:val="21"/>
              </w:rPr>
              <w:t>需要补充的其他内容：</w:t>
            </w:r>
            <w:r>
              <w:rPr>
                <w:rFonts w:ascii="宋体" w:hAnsi="宋体"/>
              </w:rPr>
              <w:t xml:space="preserve"> </w:t>
            </w:r>
          </w:p>
          <w:p>
            <w:pPr>
              <w:snapToGrid w:val="0"/>
              <w:spacing w:line="320" w:lineRule="exact"/>
              <w:ind w:firstLine="420"/>
              <w:rPr>
                <w:rFonts w:ascii="宋体" w:hAnsi="宋体"/>
                <w:szCs w:val="21"/>
              </w:rPr>
            </w:pPr>
            <w:r>
              <w:rPr>
                <w:rFonts w:hint="eastAsia" w:ascii="宋体" w:hAnsi="宋体"/>
              </w:rPr>
              <w:t>3</w:t>
            </w:r>
            <w:r>
              <w:rPr>
                <w:rFonts w:ascii="宋体" w:hAnsi="宋体"/>
              </w:rPr>
              <w:t xml:space="preserve">.2.4 </w:t>
            </w:r>
            <w:r>
              <w:rPr>
                <w:rFonts w:hint="eastAsia" w:ascii="宋体" w:hAnsi="宋体"/>
                <w:szCs w:val="21"/>
              </w:rPr>
              <w:t>各投标人的第一个信封（商务及技术文件）评审得分确定后，评标委员会对投标人的第一个信封（商务及技术文件）评审得分由高到低的顺序进行排名。如第一个信封（商务及技术文件）评审得分相等，则依次按照以下优先顺序进行排名：</w:t>
            </w:r>
          </w:p>
          <w:p>
            <w:pPr>
              <w:snapToGrid w:val="0"/>
              <w:spacing w:line="320" w:lineRule="exact"/>
              <w:ind w:firstLine="420"/>
              <w:rPr>
                <w:rFonts w:ascii="宋体" w:hAnsi="宋体"/>
                <w:szCs w:val="21"/>
              </w:rPr>
            </w:pPr>
            <w:r>
              <w:rPr>
                <w:rFonts w:hint="eastAsia" w:ascii="宋体" w:hAnsi="宋体"/>
                <w:szCs w:val="21"/>
              </w:rPr>
              <w:t>（</w:t>
            </w:r>
            <w:r>
              <w:rPr>
                <w:rFonts w:ascii="宋体" w:hAnsi="宋体"/>
                <w:szCs w:val="21"/>
              </w:rPr>
              <w:t>1</w:t>
            </w:r>
            <w:r>
              <w:rPr>
                <w:rFonts w:hint="eastAsia" w:ascii="宋体" w:hAnsi="宋体"/>
                <w:szCs w:val="21"/>
              </w:rPr>
              <w:t>）履约信誉得分较高的投标人优先；</w:t>
            </w:r>
          </w:p>
          <w:p>
            <w:pPr>
              <w:snapToGrid w:val="0"/>
              <w:spacing w:line="320" w:lineRule="exact"/>
              <w:ind w:firstLine="420"/>
              <w:rPr>
                <w:rFonts w:ascii="宋体" w:hAnsi="宋体"/>
                <w:szCs w:val="21"/>
              </w:rPr>
            </w:pPr>
            <w:r>
              <w:rPr>
                <w:rFonts w:hint="eastAsia" w:ascii="宋体" w:hAnsi="宋体"/>
                <w:szCs w:val="21"/>
              </w:rPr>
              <w:t>（</w:t>
            </w:r>
            <w:r>
              <w:rPr>
                <w:rFonts w:ascii="宋体" w:hAnsi="宋体"/>
                <w:szCs w:val="21"/>
              </w:rPr>
              <w:t>2</w:t>
            </w:r>
            <w:r>
              <w:rPr>
                <w:rFonts w:hint="eastAsia" w:ascii="宋体" w:hAnsi="宋体"/>
                <w:szCs w:val="21"/>
              </w:rPr>
              <w:t>）技术建议书得分较高的投标人优先；</w:t>
            </w:r>
          </w:p>
          <w:p>
            <w:pPr>
              <w:snapToGrid w:val="0"/>
              <w:spacing w:line="320" w:lineRule="exact"/>
              <w:ind w:firstLine="420"/>
              <w:rPr>
                <w:rFonts w:ascii="宋体" w:hAnsi="宋体"/>
                <w:szCs w:val="21"/>
              </w:rPr>
            </w:pPr>
            <w:r>
              <w:rPr>
                <w:rFonts w:hint="eastAsia" w:ascii="宋体" w:hAnsi="宋体"/>
                <w:szCs w:val="21"/>
              </w:rPr>
              <w:t>（3）主要人员得分较高的投标人优先；</w:t>
            </w:r>
          </w:p>
          <w:p>
            <w:pPr>
              <w:spacing w:line="320" w:lineRule="exact"/>
              <w:ind w:firstLine="420" w:firstLineChars="200"/>
              <w:jc w:val="left"/>
              <w:rPr>
                <w:rFonts w:ascii="宋体" w:hAnsi="宋体"/>
                <w:kern w:val="20"/>
                <w:szCs w:val="21"/>
              </w:rPr>
            </w:pPr>
            <w:r>
              <w:rPr>
                <w:rFonts w:hint="eastAsia" w:ascii="宋体" w:hAnsi="宋体"/>
                <w:szCs w:val="21"/>
              </w:rPr>
              <w:t>（4）评标委员会按照少数服从多数的原则确定优先顺序。</w:t>
            </w:r>
          </w:p>
        </w:tc>
      </w:tr>
    </w:tbl>
    <w:p>
      <w:pPr>
        <w:ind w:right="420"/>
        <w:jc w:val="right"/>
        <w:rPr>
          <w:rFonts w:ascii="宋体" w:hAnsi="宋体"/>
          <w:kern w:val="20"/>
          <w:szCs w:val="21"/>
        </w:rPr>
      </w:pPr>
    </w:p>
    <w:p>
      <w:pPr>
        <w:rPr>
          <w:rFonts w:hint="eastAsia" w:ascii="宋体" w:hAnsi="宋体"/>
          <w:b/>
          <w:szCs w:val="21"/>
        </w:rPr>
      </w:pPr>
      <w:r>
        <w:rPr>
          <w:rFonts w:ascii="宋体" w:hAnsi="宋体"/>
          <w:kern w:val="20"/>
          <w:szCs w:val="21"/>
        </w:rPr>
        <w:br w:type="page"/>
      </w:r>
      <w:bookmarkEnd w:id="34"/>
      <w:bookmarkStart w:id="36" w:name="bookmark91"/>
      <w:r>
        <w:rPr>
          <w:rFonts w:ascii="宋体" w:hAnsi="宋体"/>
          <w:b/>
          <w:szCs w:val="21"/>
        </w:rPr>
        <w:t>（二）评标方法正文</w:t>
      </w:r>
    </w:p>
    <w:p>
      <w:pPr>
        <w:rPr>
          <w:b/>
          <w:bCs/>
        </w:rPr>
      </w:pPr>
      <w:r>
        <w:rPr>
          <w:rFonts w:hint="eastAsia"/>
          <w:b/>
          <w:bCs/>
        </w:rPr>
        <w:t>1.</w:t>
      </w:r>
      <w:r>
        <w:rPr>
          <w:b/>
          <w:bCs/>
        </w:rPr>
        <w:t>评标方法</w:t>
      </w:r>
      <w:bookmarkEnd w:id="36"/>
    </w:p>
    <w:p>
      <w:pPr>
        <w:pStyle w:val="59"/>
        <w:shd w:val="clear" w:color="auto" w:fill="auto"/>
        <w:spacing w:before="0" w:line="360" w:lineRule="auto"/>
        <w:ind w:firstLine="499"/>
        <w:jc w:val="both"/>
        <w:rPr>
          <w:snapToGrid w:val="0"/>
          <w:sz w:val="21"/>
          <w:szCs w:val="21"/>
        </w:rPr>
      </w:pPr>
      <w:r>
        <w:rPr>
          <w:snapToGrid w:val="0"/>
          <w:sz w:val="21"/>
          <w:szCs w:val="21"/>
        </w:rPr>
        <w:t>本次评标采用综合评估法。评标委员会对满足招标文件实质性要求的投标文件，按照本章第</w:t>
      </w:r>
      <w:r>
        <w:rPr>
          <w:snapToGrid w:val="0"/>
          <w:sz w:val="21"/>
          <w:szCs w:val="21"/>
          <w:lang w:bidi="en-US"/>
        </w:rPr>
        <w:t>2.2</w:t>
      </w:r>
      <w:r>
        <w:rPr>
          <w:snapToGrid w:val="0"/>
          <w:sz w:val="21"/>
          <w:szCs w:val="21"/>
        </w:rPr>
        <w:t>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rPr>
          <w:b/>
          <w:bCs/>
        </w:rPr>
      </w:pPr>
      <w:bookmarkStart w:id="37" w:name="bookmark92"/>
      <w:r>
        <w:rPr>
          <w:rFonts w:hint="eastAsia"/>
          <w:b/>
          <w:bCs/>
        </w:rPr>
        <w:t>2.</w:t>
      </w:r>
      <w:r>
        <w:rPr>
          <w:b/>
          <w:bCs/>
        </w:rPr>
        <w:t>评审标准</w:t>
      </w:r>
      <w:bookmarkEnd w:id="37"/>
    </w:p>
    <w:p>
      <w:pPr>
        <w:rPr>
          <w:b/>
          <w:bCs/>
        </w:rPr>
      </w:pPr>
      <w:r>
        <w:rPr>
          <w:b/>
          <w:bCs/>
        </w:rPr>
        <w:t>2.1初步评审标准</w:t>
      </w:r>
    </w:p>
    <w:p>
      <w:pPr>
        <w:pStyle w:val="59"/>
        <w:shd w:val="clear" w:color="auto" w:fill="auto"/>
        <w:spacing w:before="0" w:line="360" w:lineRule="auto"/>
        <w:ind w:firstLine="500"/>
        <w:jc w:val="both"/>
        <w:rPr>
          <w:sz w:val="21"/>
          <w:szCs w:val="21"/>
        </w:rPr>
      </w:pPr>
      <w:r>
        <w:rPr>
          <w:rStyle w:val="68"/>
          <w:sz w:val="21"/>
          <w:szCs w:val="21"/>
          <w:lang w:eastAsia="zh-CN"/>
        </w:rPr>
        <w:t>2</w:t>
      </w:r>
      <w:r>
        <w:rPr>
          <w:rStyle w:val="185"/>
          <w:rFonts w:ascii="宋体" w:hAnsi="宋体" w:eastAsia="宋体"/>
          <w:color w:val="auto"/>
          <w:sz w:val="21"/>
          <w:szCs w:val="21"/>
          <w:shd w:val="clear" w:color="auto" w:fill="auto"/>
          <w:lang w:eastAsia="zh-CN"/>
        </w:rPr>
        <w:t>.</w:t>
      </w:r>
      <w:r>
        <w:rPr>
          <w:rStyle w:val="68"/>
          <w:sz w:val="21"/>
          <w:szCs w:val="21"/>
          <w:lang w:eastAsia="zh-CN"/>
        </w:rPr>
        <w:t>1.1</w:t>
      </w:r>
      <w:r>
        <w:rPr>
          <w:sz w:val="21"/>
          <w:szCs w:val="21"/>
        </w:rPr>
        <w:t>形式评审标准：见评标办法前附表。</w:t>
      </w:r>
    </w:p>
    <w:p>
      <w:pPr>
        <w:pStyle w:val="59"/>
        <w:shd w:val="clear" w:color="auto" w:fill="auto"/>
        <w:spacing w:before="0" w:line="360" w:lineRule="auto"/>
        <w:ind w:firstLine="500"/>
        <w:jc w:val="both"/>
        <w:rPr>
          <w:sz w:val="21"/>
          <w:szCs w:val="21"/>
        </w:rPr>
      </w:pPr>
      <w:r>
        <w:rPr>
          <w:rStyle w:val="68"/>
          <w:sz w:val="21"/>
          <w:szCs w:val="21"/>
          <w:lang w:eastAsia="zh-CN"/>
        </w:rPr>
        <w:t>2</w:t>
      </w:r>
      <w:r>
        <w:rPr>
          <w:rStyle w:val="185"/>
          <w:rFonts w:ascii="宋体" w:hAnsi="宋体" w:eastAsia="宋体"/>
          <w:color w:val="auto"/>
          <w:sz w:val="21"/>
          <w:szCs w:val="21"/>
          <w:shd w:val="clear" w:color="auto" w:fill="auto"/>
          <w:lang w:eastAsia="zh-CN"/>
        </w:rPr>
        <w:t>.</w:t>
      </w:r>
      <w:r>
        <w:rPr>
          <w:rStyle w:val="68"/>
          <w:sz w:val="21"/>
          <w:szCs w:val="21"/>
          <w:lang w:eastAsia="zh-CN"/>
        </w:rPr>
        <w:t>1.2</w:t>
      </w:r>
      <w:r>
        <w:rPr>
          <w:sz w:val="21"/>
          <w:szCs w:val="21"/>
        </w:rPr>
        <w:t>资格评审标准：见评标办法前附表（适用于未进行资格预审的）。</w:t>
      </w:r>
    </w:p>
    <w:p>
      <w:pPr>
        <w:pStyle w:val="59"/>
        <w:shd w:val="clear" w:color="auto" w:fill="auto"/>
        <w:spacing w:before="0" w:line="360" w:lineRule="auto"/>
        <w:ind w:firstLine="500"/>
        <w:jc w:val="both"/>
        <w:rPr>
          <w:sz w:val="21"/>
          <w:szCs w:val="21"/>
        </w:rPr>
      </w:pPr>
      <w:r>
        <w:rPr>
          <w:rStyle w:val="68"/>
          <w:sz w:val="21"/>
          <w:szCs w:val="21"/>
          <w:lang w:eastAsia="zh-CN"/>
        </w:rPr>
        <w:t>2</w:t>
      </w:r>
      <w:r>
        <w:rPr>
          <w:rStyle w:val="185"/>
          <w:rFonts w:ascii="宋体" w:hAnsi="宋体" w:eastAsia="宋体"/>
          <w:color w:val="auto"/>
          <w:sz w:val="21"/>
          <w:szCs w:val="21"/>
          <w:shd w:val="clear" w:color="auto" w:fill="auto"/>
          <w:lang w:eastAsia="zh-CN"/>
        </w:rPr>
        <w:t>.</w:t>
      </w:r>
      <w:r>
        <w:rPr>
          <w:rStyle w:val="68"/>
          <w:sz w:val="21"/>
          <w:szCs w:val="21"/>
          <w:lang w:eastAsia="zh-CN"/>
        </w:rPr>
        <w:t>1.2</w:t>
      </w:r>
      <w:r>
        <w:rPr>
          <w:sz w:val="21"/>
          <w:szCs w:val="21"/>
        </w:rPr>
        <w:t>资格评审标准：见资格预审文件第三章“资格审查办法”详细审查标准（适用于</w:t>
      </w:r>
      <w:r>
        <w:rPr>
          <w:rFonts w:hint="eastAsia"/>
          <w:sz w:val="21"/>
          <w:szCs w:val="21"/>
        </w:rPr>
        <w:t>已</w:t>
      </w:r>
      <w:r>
        <w:rPr>
          <w:sz w:val="21"/>
          <w:szCs w:val="21"/>
        </w:rPr>
        <w:t>进行资格预审的）。</w:t>
      </w:r>
    </w:p>
    <w:p>
      <w:pPr>
        <w:pStyle w:val="59"/>
        <w:shd w:val="clear" w:color="auto" w:fill="auto"/>
        <w:spacing w:before="0" w:line="360" w:lineRule="auto"/>
        <w:ind w:firstLine="500"/>
        <w:jc w:val="both"/>
        <w:rPr>
          <w:sz w:val="21"/>
          <w:szCs w:val="21"/>
        </w:rPr>
      </w:pPr>
      <w:r>
        <w:rPr>
          <w:rStyle w:val="68"/>
          <w:sz w:val="21"/>
          <w:szCs w:val="21"/>
          <w:lang w:eastAsia="zh-CN"/>
        </w:rPr>
        <w:t>2.1.3</w:t>
      </w:r>
      <w:r>
        <w:rPr>
          <w:sz w:val="21"/>
          <w:szCs w:val="21"/>
        </w:rPr>
        <w:t>响应性评审标准：见评标办法前附表。</w:t>
      </w:r>
    </w:p>
    <w:p>
      <w:pPr>
        <w:rPr>
          <w:b/>
          <w:bCs/>
          <w:szCs w:val="21"/>
        </w:rPr>
      </w:pPr>
      <w:r>
        <w:rPr>
          <w:rFonts w:hint="eastAsia"/>
          <w:b/>
          <w:bCs/>
        </w:rPr>
        <w:t>2.</w:t>
      </w:r>
      <w:r>
        <w:rPr>
          <w:b/>
          <w:bCs/>
        </w:rPr>
        <w:t>2分值构成与评分标准</w:t>
      </w:r>
    </w:p>
    <w:p>
      <w:pPr>
        <w:pStyle w:val="188"/>
        <w:shd w:val="clear" w:color="auto" w:fill="auto"/>
        <w:spacing w:line="360" w:lineRule="auto"/>
        <w:ind w:firstLine="500"/>
        <w:jc w:val="both"/>
        <w:rPr>
          <w:rFonts w:ascii="宋体" w:hAnsi="宋体" w:eastAsia="宋体"/>
          <w:b/>
          <w:sz w:val="21"/>
          <w:szCs w:val="21"/>
        </w:rPr>
      </w:pPr>
      <w:r>
        <w:rPr>
          <w:rStyle w:val="68"/>
          <w:rFonts w:ascii="宋体" w:hAnsi="宋体" w:eastAsia="宋体"/>
          <w:b w:val="0"/>
          <w:sz w:val="21"/>
          <w:szCs w:val="21"/>
          <w:lang w:eastAsia="zh-CN"/>
        </w:rPr>
        <w:t>2</w:t>
      </w:r>
      <w:r>
        <w:rPr>
          <w:rStyle w:val="185"/>
          <w:rFonts w:ascii="宋体" w:hAnsi="宋体" w:eastAsia="宋体"/>
          <w:b/>
          <w:color w:val="auto"/>
          <w:sz w:val="21"/>
          <w:szCs w:val="21"/>
          <w:shd w:val="clear" w:color="auto" w:fill="auto"/>
          <w:lang w:eastAsia="zh-CN"/>
        </w:rPr>
        <w:t>.</w:t>
      </w:r>
      <w:r>
        <w:rPr>
          <w:rStyle w:val="68"/>
          <w:rFonts w:ascii="宋体" w:hAnsi="宋体" w:eastAsia="宋体"/>
          <w:b w:val="0"/>
          <w:sz w:val="21"/>
          <w:szCs w:val="21"/>
          <w:lang w:eastAsia="zh-CN"/>
        </w:rPr>
        <w:t>2.1</w:t>
      </w:r>
      <w:r>
        <w:rPr>
          <w:rStyle w:val="190"/>
          <w:rFonts w:ascii="宋体" w:hAnsi="宋体" w:eastAsia="宋体"/>
          <w:color w:val="auto"/>
          <w:sz w:val="21"/>
          <w:szCs w:val="21"/>
          <w:shd w:val="clear" w:color="auto" w:fill="auto"/>
        </w:rPr>
        <w:t>分值构成</w:t>
      </w:r>
    </w:p>
    <w:p>
      <w:pPr>
        <w:pStyle w:val="59"/>
        <w:numPr>
          <w:ilvl w:val="0"/>
          <w:numId w:val="3"/>
        </w:numPr>
        <w:shd w:val="clear" w:color="auto" w:fill="auto"/>
        <w:tabs>
          <w:tab w:val="left" w:pos="1166"/>
        </w:tabs>
        <w:spacing w:before="0" w:line="360" w:lineRule="auto"/>
        <w:ind w:left="640"/>
        <w:jc w:val="both"/>
        <w:rPr>
          <w:sz w:val="21"/>
          <w:szCs w:val="21"/>
        </w:rPr>
      </w:pPr>
      <w:r>
        <w:rPr>
          <w:sz w:val="21"/>
          <w:szCs w:val="21"/>
        </w:rPr>
        <w:t>技术建议书：见评标办法前附表；</w:t>
      </w:r>
    </w:p>
    <w:p>
      <w:pPr>
        <w:pStyle w:val="59"/>
        <w:numPr>
          <w:ilvl w:val="0"/>
          <w:numId w:val="3"/>
        </w:numPr>
        <w:shd w:val="clear" w:color="auto" w:fill="auto"/>
        <w:tabs>
          <w:tab w:val="left" w:pos="1169"/>
        </w:tabs>
        <w:spacing w:before="0" w:line="360" w:lineRule="auto"/>
        <w:ind w:left="640"/>
        <w:jc w:val="both"/>
        <w:rPr>
          <w:sz w:val="21"/>
          <w:szCs w:val="21"/>
        </w:rPr>
      </w:pPr>
      <w:r>
        <w:rPr>
          <w:sz w:val="21"/>
          <w:szCs w:val="21"/>
        </w:rPr>
        <w:t>主要人员：见评标办法前附表；</w:t>
      </w:r>
    </w:p>
    <w:p>
      <w:pPr>
        <w:pStyle w:val="59"/>
        <w:numPr>
          <w:ilvl w:val="0"/>
          <w:numId w:val="3"/>
        </w:numPr>
        <w:shd w:val="clear" w:color="auto" w:fill="auto"/>
        <w:tabs>
          <w:tab w:val="left" w:pos="1169"/>
        </w:tabs>
        <w:spacing w:before="0" w:line="360" w:lineRule="auto"/>
        <w:ind w:left="640"/>
        <w:jc w:val="both"/>
        <w:rPr>
          <w:sz w:val="21"/>
          <w:szCs w:val="21"/>
        </w:rPr>
      </w:pPr>
      <w:r>
        <w:rPr>
          <w:rFonts w:hint="eastAsia"/>
          <w:sz w:val="21"/>
          <w:szCs w:val="21"/>
        </w:rPr>
        <w:t>评 标 价：见评标办法前附表；</w:t>
      </w:r>
    </w:p>
    <w:p>
      <w:pPr>
        <w:pStyle w:val="59"/>
        <w:numPr>
          <w:ilvl w:val="0"/>
          <w:numId w:val="3"/>
        </w:numPr>
        <w:shd w:val="clear" w:color="auto" w:fill="auto"/>
        <w:tabs>
          <w:tab w:val="left" w:pos="1169"/>
        </w:tabs>
        <w:spacing w:before="0" w:line="360" w:lineRule="auto"/>
        <w:ind w:left="640"/>
        <w:jc w:val="both"/>
        <w:rPr>
          <w:sz w:val="21"/>
          <w:szCs w:val="21"/>
        </w:rPr>
      </w:pPr>
      <w:r>
        <w:rPr>
          <w:rFonts w:hint="eastAsia"/>
          <w:sz w:val="21"/>
          <w:szCs w:val="21"/>
        </w:rPr>
        <w:t>其他评分因素</w:t>
      </w:r>
      <w:r>
        <w:rPr>
          <w:sz w:val="21"/>
          <w:szCs w:val="21"/>
        </w:rPr>
        <w:t>：见评标办法前附表</w:t>
      </w:r>
      <w:r>
        <w:rPr>
          <w:rFonts w:hint="eastAsia"/>
          <w:sz w:val="21"/>
          <w:szCs w:val="21"/>
        </w:rPr>
        <w:t>。</w:t>
      </w:r>
    </w:p>
    <w:p>
      <w:pPr>
        <w:pStyle w:val="188"/>
        <w:shd w:val="clear" w:color="auto" w:fill="auto"/>
        <w:spacing w:line="360" w:lineRule="auto"/>
        <w:ind w:firstLine="500"/>
        <w:jc w:val="both"/>
        <w:rPr>
          <w:rFonts w:ascii="宋体" w:hAnsi="宋体" w:eastAsia="宋体"/>
          <w:b/>
          <w:sz w:val="21"/>
          <w:szCs w:val="21"/>
        </w:rPr>
      </w:pPr>
      <w:r>
        <w:rPr>
          <w:rStyle w:val="68"/>
          <w:rFonts w:ascii="宋体" w:hAnsi="宋体" w:eastAsia="宋体"/>
          <w:b w:val="0"/>
          <w:sz w:val="21"/>
          <w:szCs w:val="21"/>
          <w:lang w:eastAsia="zh-CN"/>
        </w:rPr>
        <w:t>2</w:t>
      </w:r>
      <w:r>
        <w:rPr>
          <w:rStyle w:val="185"/>
          <w:rFonts w:ascii="宋体" w:hAnsi="宋体" w:eastAsia="宋体"/>
          <w:b/>
          <w:color w:val="auto"/>
          <w:sz w:val="21"/>
          <w:szCs w:val="21"/>
          <w:shd w:val="clear" w:color="auto" w:fill="auto"/>
          <w:lang w:eastAsia="zh-CN"/>
        </w:rPr>
        <w:t>.</w:t>
      </w:r>
      <w:r>
        <w:rPr>
          <w:rStyle w:val="68"/>
          <w:rFonts w:ascii="宋体" w:hAnsi="宋体" w:eastAsia="宋体"/>
          <w:b w:val="0"/>
          <w:sz w:val="21"/>
          <w:szCs w:val="21"/>
          <w:lang w:eastAsia="zh-CN"/>
        </w:rPr>
        <w:t>2.2</w:t>
      </w:r>
      <w:r>
        <w:rPr>
          <w:rStyle w:val="190"/>
          <w:rFonts w:ascii="宋体" w:hAnsi="宋体" w:eastAsia="宋体"/>
          <w:color w:val="auto"/>
          <w:sz w:val="21"/>
          <w:szCs w:val="21"/>
          <w:shd w:val="clear" w:color="auto" w:fill="auto"/>
        </w:rPr>
        <w:t>评标基准价计算</w:t>
      </w:r>
    </w:p>
    <w:p>
      <w:pPr>
        <w:pStyle w:val="59"/>
        <w:shd w:val="clear" w:color="auto" w:fill="auto"/>
        <w:spacing w:before="0" w:line="360" w:lineRule="auto"/>
        <w:ind w:firstLine="500"/>
        <w:jc w:val="both"/>
        <w:rPr>
          <w:sz w:val="21"/>
          <w:szCs w:val="21"/>
        </w:rPr>
      </w:pPr>
      <w:r>
        <w:rPr>
          <w:sz w:val="21"/>
          <w:szCs w:val="21"/>
        </w:rPr>
        <w:t>评标基准价计算方法：见评标办法前附表。</w:t>
      </w:r>
    </w:p>
    <w:p>
      <w:pPr>
        <w:pStyle w:val="188"/>
        <w:shd w:val="clear" w:color="auto" w:fill="auto"/>
        <w:spacing w:line="360" w:lineRule="auto"/>
        <w:ind w:firstLine="500"/>
        <w:jc w:val="both"/>
        <w:rPr>
          <w:rFonts w:ascii="宋体" w:hAnsi="宋体" w:eastAsia="宋体"/>
          <w:b/>
          <w:sz w:val="21"/>
          <w:szCs w:val="21"/>
        </w:rPr>
      </w:pPr>
      <w:r>
        <w:rPr>
          <w:rStyle w:val="68"/>
          <w:rFonts w:ascii="宋体" w:hAnsi="宋体" w:eastAsia="宋体"/>
          <w:b w:val="0"/>
          <w:sz w:val="21"/>
          <w:szCs w:val="21"/>
          <w:lang w:eastAsia="zh-CN"/>
        </w:rPr>
        <w:t>2.2.3</w:t>
      </w:r>
      <w:r>
        <w:rPr>
          <w:rStyle w:val="190"/>
          <w:rFonts w:ascii="宋体" w:hAnsi="宋体" w:eastAsia="宋体"/>
          <w:color w:val="auto"/>
          <w:sz w:val="21"/>
          <w:szCs w:val="21"/>
          <w:shd w:val="clear" w:color="auto" w:fill="auto"/>
        </w:rPr>
        <w:t>评标价系数的偏差率计算</w:t>
      </w:r>
    </w:p>
    <w:p>
      <w:pPr>
        <w:pStyle w:val="59"/>
        <w:shd w:val="clear" w:color="auto" w:fill="auto"/>
        <w:spacing w:before="0" w:line="360" w:lineRule="auto"/>
        <w:ind w:firstLine="500"/>
        <w:jc w:val="both"/>
        <w:rPr>
          <w:sz w:val="21"/>
          <w:szCs w:val="21"/>
        </w:rPr>
      </w:pPr>
      <w:r>
        <w:rPr>
          <w:sz w:val="21"/>
          <w:szCs w:val="21"/>
        </w:rPr>
        <w:t>评标价系数的偏差率计算公式：见评标办法前附表。</w:t>
      </w:r>
    </w:p>
    <w:p>
      <w:pPr>
        <w:pStyle w:val="188"/>
        <w:shd w:val="clear" w:color="auto" w:fill="auto"/>
        <w:spacing w:line="360" w:lineRule="auto"/>
        <w:ind w:firstLine="500"/>
        <w:jc w:val="both"/>
        <w:rPr>
          <w:rFonts w:ascii="宋体" w:hAnsi="宋体" w:eastAsia="宋体"/>
          <w:b/>
          <w:sz w:val="21"/>
          <w:szCs w:val="21"/>
        </w:rPr>
      </w:pPr>
      <w:r>
        <w:rPr>
          <w:rStyle w:val="68"/>
          <w:rFonts w:ascii="宋体" w:hAnsi="宋体" w:eastAsia="宋体"/>
          <w:b w:val="0"/>
          <w:sz w:val="21"/>
          <w:szCs w:val="21"/>
        </w:rPr>
        <w:t>2.2.4</w:t>
      </w:r>
      <w:r>
        <w:rPr>
          <w:rStyle w:val="190"/>
          <w:rFonts w:ascii="宋体" w:hAnsi="宋体" w:eastAsia="宋体"/>
          <w:color w:val="auto"/>
          <w:sz w:val="21"/>
          <w:szCs w:val="21"/>
          <w:shd w:val="clear" w:color="auto" w:fill="auto"/>
        </w:rPr>
        <w:t>评分标准</w:t>
      </w:r>
    </w:p>
    <w:p>
      <w:pPr>
        <w:pStyle w:val="59"/>
        <w:numPr>
          <w:ilvl w:val="0"/>
          <w:numId w:val="4"/>
        </w:numPr>
        <w:shd w:val="clear" w:color="auto" w:fill="auto"/>
        <w:tabs>
          <w:tab w:val="left" w:pos="1166"/>
        </w:tabs>
        <w:spacing w:before="0" w:line="360" w:lineRule="auto"/>
        <w:ind w:left="640"/>
        <w:jc w:val="both"/>
        <w:rPr>
          <w:sz w:val="21"/>
          <w:szCs w:val="21"/>
        </w:rPr>
      </w:pPr>
      <w:bookmarkStart w:id="38" w:name="bookmark93"/>
      <w:r>
        <w:rPr>
          <w:sz w:val="21"/>
          <w:szCs w:val="21"/>
        </w:rPr>
        <w:t>技术建议书：见评标办法前附表；</w:t>
      </w:r>
    </w:p>
    <w:p>
      <w:pPr>
        <w:pStyle w:val="59"/>
        <w:numPr>
          <w:ilvl w:val="0"/>
          <w:numId w:val="4"/>
        </w:numPr>
        <w:shd w:val="clear" w:color="auto" w:fill="auto"/>
        <w:tabs>
          <w:tab w:val="left" w:pos="1169"/>
        </w:tabs>
        <w:spacing w:before="0" w:line="360" w:lineRule="auto"/>
        <w:ind w:left="640"/>
        <w:jc w:val="both"/>
        <w:rPr>
          <w:sz w:val="21"/>
          <w:szCs w:val="21"/>
        </w:rPr>
      </w:pPr>
      <w:r>
        <w:rPr>
          <w:sz w:val="21"/>
          <w:szCs w:val="21"/>
        </w:rPr>
        <w:t>主要人员：见评标办法前附表；</w:t>
      </w:r>
    </w:p>
    <w:p>
      <w:pPr>
        <w:pStyle w:val="59"/>
        <w:numPr>
          <w:ilvl w:val="0"/>
          <w:numId w:val="4"/>
        </w:numPr>
        <w:shd w:val="clear" w:color="auto" w:fill="auto"/>
        <w:tabs>
          <w:tab w:val="left" w:pos="1169"/>
        </w:tabs>
        <w:spacing w:before="0" w:line="360" w:lineRule="auto"/>
        <w:ind w:left="640"/>
        <w:jc w:val="both"/>
        <w:rPr>
          <w:sz w:val="21"/>
          <w:szCs w:val="21"/>
        </w:rPr>
      </w:pPr>
      <w:r>
        <w:rPr>
          <w:rFonts w:hint="eastAsia"/>
          <w:sz w:val="21"/>
          <w:szCs w:val="21"/>
        </w:rPr>
        <w:t xml:space="preserve">业 </w:t>
      </w:r>
      <w:r>
        <w:rPr>
          <w:sz w:val="21"/>
          <w:szCs w:val="21"/>
        </w:rPr>
        <w:t xml:space="preserve">   </w:t>
      </w:r>
      <w:r>
        <w:rPr>
          <w:rFonts w:hint="eastAsia"/>
          <w:sz w:val="21"/>
          <w:szCs w:val="21"/>
        </w:rPr>
        <w:t>绩：见评标办法前附表；</w:t>
      </w:r>
    </w:p>
    <w:p>
      <w:pPr>
        <w:pStyle w:val="59"/>
        <w:numPr>
          <w:ilvl w:val="0"/>
          <w:numId w:val="4"/>
        </w:numPr>
        <w:shd w:val="clear" w:color="auto" w:fill="auto"/>
        <w:tabs>
          <w:tab w:val="left" w:pos="1169"/>
        </w:tabs>
        <w:spacing w:before="0" w:line="360" w:lineRule="auto"/>
        <w:ind w:left="640"/>
        <w:jc w:val="both"/>
      </w:pPr>
      <w:r>
        <w:rPr>
          <w:sz w:val="21"/>
          <w:szCs w:val="21"/>
        </w:rPr>
        <w:t>评标价系数：见评标办法前附表</w:t>
      </w:r>
      <w:r>
        <w:rPr>
          <w:rFonts w:hint="eastAsia"/>
          <w:sz w:val="21"/>
          <w:szCs w:val="21"/>
        </w:rPr>
        <w:t>。</w:t>
      </w:r>
    </w:p>
    <w:p>
      <w:pPr>
        <w:rPr>
          <w:b/>
          <w:bCs/>
          <w:szCs w:val="21"/>
        </w:rPr>
      </w:pPr>
      <w:r>
        <w:rPr>
          <w:rFonts w:hint="eastAsia"/>
          <w:b/>
          <w:bCs/>
          <w:szCs w:val="21"/>
        </w:rPr>
        <w:t>3.</w:t>
      </w:r>
      <w:r>
        <w:rPr>
          <w:b/>
          <w:bCs/>
          <w:szCs w:val="21"/>
        </w:rPr>
        <w:t>评标程序</w:t>
      </w:r>
      <w:bookmarkEnd w:id="38"/>
    </w:p>
    <w:p>
      <w:pPr>
        <w:rPr>
          <w:b/>
          <w:bCs/>
          <w:szCs w:val="21"/>
        </w:rPr>
      </w:pPr>
      <w:bookmarkStart w:id="39" w:name="bookmark94"/>
      <w:r>
        <w:rPr>
          <w:rFonts w:hint="eastAsia"/>
          <w:b/>
          <w:bCs/>
          <w:szCs w:val="21"/>
        </w:rPr>
        <w:t>3.1</w:t>
      </w:r>
      <w:r>
        <w:rPr>
          <w:b/>
          <w:bCs/>
          <w:szCs w:val="21"/>
        </w:rPr>
        <w:t>第一个信封初步评审</w:t>
      </w:r>
      <w:bookmarkEnd w:id="39"/>
    </w:p>
    <w:p>
      <w:pPr>
        <w:pStyle w:val="59"/>
        <w:shd w:val="clear" w:color="auto" w:fill="auto"/>
        <w:spacing w:before="0" w:line="360" w:lineRule="auto"/>
        <w:ind w:firstLine="520"/>
        <w:jc w:val="both"/>
        <w:rPr>
          <w:sz w:val="21"/>
          <w:szCs w:val="21"/>
        </w:rPr>
      </w:pPr>
      <w:r>
        <w:rPr>
          <w:sz w:val="21"/>
          <w:szCs w:val="21"/>
          <w:lang w:bidi="en-US"/>
        </w:rPr>
        <w:t>3.1.1</w:t>
      </w:r>
      <w:r>
        <w:rPr>
          <w:sz w:val="21"/>
          <w:szCs w:val="21"/>
        </w:rPr>
        <w:t>评标委员会可以要求投标人提交第二章“投标人须知”第</w:t>
      </w:r>
      <w:r>
        <w:rPr>
          <w:rFonts w:hint="eastAsia"/>
          <w:sz w:val="21"/>
          <w:szCs w:val="21"/>
          <w:lang w:bidi="en-US"/>
        </w:rPr>
        <w:t>3.</w:t>
      </w:r>
      <w:r>
        <w:rPr>
          <w:sz w:val="21"/>
          <w:szCs w:val="21"/>
          <w:lang w:bidi="en-US"/>
        </w:rPr>
        <w:t>5.1</w:t>
      </w:r>
      <w:r>
        <w:rPr>
          <w:sz w:val="21"/>
          <w:szCs w:val="21"/>
        </w:rPr>
        <w:t>项至第</w:t>
      </w:r>
      <w:r>
        <w:rPr>
          <w:sz w:val="21"/>
          <w:szCs w:val="21"/>
          <w:lang w:bidi="en-US"/>
        </w:rPr>
        <w:t xml:space="preserve">3.5.5 </w:t>
      </w:r>
      <w:r>
        <w:rPr>
          <w:sz w:val="21"/>
          <w:szCs w:val="21"/>
        </w:rPr>
        <w:t>项规定的有关证明和证件的原件，以便核验。评标委员会依据本章第</w:t>
      </w:r>
      <w:r>
        <w:rPr>
          <w:sz w:val="21"/>
          <w:szCs w:val="21"/>
          <w:lang w:bidi="en-US"/>
        </w:rPr>
        <w:t>2.1</w:t>
      </w:r>
      <w:r>
        <w:rPr>
          <w:sz w:val="21"/>
          <w:szCs w:val="21"/>
        </w:rPr>
        <w:t>款规定的标准对投标文件第一个信封（商务及技术文件）进行初步评审。有一项不符合评审标准的，评标委员会应否决其投标。（适用于未进行资格预审的）</w:t>
      </w:r>
    </w:p>
    <w:p>
      <w:pPr>
        <w:pStyle w:val="59"/>
        <w:shd w:val="clear" w:color="auto" w:fill="auto"/>
        <w:spacing w:before="0" w:line="360" w:lineRule="auto"/>
        <w:ind w:firstLine="520"/>
        <w:jc w:val="both"/>
        <w:rPr>
          <w:sz w:val="21"/>
          <w:szCs w:val="21"/>
        </w:rPr>
      </w:pPr>
      <w:r>
        <w:rPr>
          <w:sz w:val="21"/>
          <w:szCs w:val="21"/>
          <w:lang w:bidi="en-US"/>
        </w:rPr>
        <w:t>3.1.1</w:t>
      </w:r>
      <w:r>
        <w:rPr>
          <w:sz w:val="21"/>
          <w:szCs w:val="21"/>
        </w:rPr>
        <w:t>评标委员会依据本章第</w:t>
      </w:r>
      <w:r>
        <w:rPr>
          <w:sz w:val="21"/>
          <w:szCs w:val="21"/>
          <w:lang w:bidi="en-US"/>
        </w:rPr>
        <w:t>2.1.1</w:t>
      </w:r>
      <w:r>
        <w:rPr>
          <w:sz w:val="21"/>
          <w:szCs w:val="21"/>
        </w:rPr>
        <w:t>项、第</w:t>
      </w:r>
      <w:r>
        <w:rPr>
          <w:sz w:val="21"/>
          <w:szCs w:val="21"/>
          <w:lang w:bidi="en-US"/>
        </w:rPr>
        <w:t>2.1.3</w:t>
      </w:r>
      <w:r>
        <w:rPr>
          <w:sz w:val="21"/>
          <w:szCs w:val="21"/>
        </w:rPr>
        <w:t>项规定的评审标准对投标文件第一个信封（商务及技术文件）进行初步评审。有一项不符合评审标准的，评标委员会应否决其投标。当投标人资格预审申请文件的内容发生重大变化时，评标委员会依据本章第</w:t>
      </w:r>
      <w:r>
        <w:rPr>
          <w:sz w:val="21"/>
          <w:szCs w:val="21"/>
          <w:lang w:bidi="en-US"/>
        </w:rPr>
        <w:t>2.1.2</w:t>
      </w:r>
      <w:r>
        <w:rPr>
          <w:sz w:val="21"/>
          <w:szCs w:val="21"/>
        </w:rPr>
        <w:t>项规定的标准对其更新资料进行评审。（适用于已进行资格预审的</w:t>
      </w:r>
      <w:r>
        <w:rPr>
          <w:rFonts w:hint="eastAsia"/>
          <w:sz w:val="21"/>
          <w:szCs w:val="21"/>
        </w:rPr>
        <w:t>）</w:t>
      </w:r>
    </w:p>
    <w:p>
      <w:pPr>
        <w:rPr>
          <w:b/>
          <w:bCs/>
          <w:szCs w:val="21"/>
        </w:rPr>
      </w:pPr>
      <w:bookmarkStart w:id="40" w:name="bookmark95"/>
      <w:r>
        <w:rPr>
          <w:rFonts w:hint="eastAsia"/>
          <w:b/>
          <w:bCs/>
          <w:szCs w:val="21"/>
        </w:rPr>
        <w:t>3.2</w:t>
      </w:r>
      <w:r>
        <w:rPr>
          <w:b/>
          <w:bCs/>
          <w:szCs w:val="21"/>
        </w:rPr>
        <w:t>第一个信封详细评审</w:t>
      </w:r>
      <w:bookmarkEnd w:id="40"/>
    </w:p>
    <w:p>
      <w:pPr>
        <w:pStyle w:val="59"/>
        <w:shd w:val="clear" w:color="auto" w:fill="auto"/>
        <w:spacing w:before="0" w:line="360" w:lineRule="auto"/>
        <w:ind w:firstLine="520"/>
        <w:jc w:val="both"/>
        <w:rPr>
          <w:sz w:val="21"/>
          <w:szCs w:val="21"/>
        </w:rPr>
      </w:pPr>
      <w:r>
        <w:rPr>
          <w:sz w:val="21"/>
          <w:szCs w:val="21"/>
          <w:lang w:bidi="en-US"/>
        </w:rPr>
        <w:t>3.2.1</w:t>
      </w:r>
      <w:r>
        <w:rPr>
          <w:sz w:val="21"/>
          <w:szCs w:val="21"/>
        </w:rPr>
        <w:t>评标委员会按本章第</w:t>
      </w:r>
      <w:r>
        <w:rPr>
          <w:sz w:val="21"/>
          <w:szCs w:val="21"/>
          <w:lang w:bidi="en-US"/>
        </w:rPr>
        <w:t>2.2</w:t>
      </w:r>
      <w:r>
        <w:rPr>
          <w:sz w:val="21"/>
          <w:szCs w:val="21"/>
        </w:rPr>
        <w:t>款规定的量化因素和分值进行打分，并计算出各投标人的商务和技术得分。</w:t>
      </w:r>
    </w:p>
    <w:p>
      <w:pPr>
        <w:pStyle w:val="59"/>
        <w:numPr>
          <w:ilvl w:val="0"/>
          <w:numId w:val="5"/>
        </w:numPr>
        <w:shd w:val="clear" w:color="auto" w:fill="auto"/>
        <w:tabs>
          <w:tab w:val="left" w:pos="1136"/>
        </w:tabs>
        <w:spacing w:before="0" w:line="360" w:lineRule="auto"/>
        <w:ind w:firstLine="640"/>
        <w:jc w:val="left"/>
        <w:rPr>
          <w:sz w:val="21"/>
          <w:szCs w:val="21"/>
        </w:rPr>
      </w:pPr>
      <w:r>
        <w:rPr>
          <w:sz w:val="21"/>
          <w:szCs w:val="21"/>
        </w:rPr>
        <w:t>按本章第</w:t>
      </w:r>
      <w:r>
        <w:rPr>
          <w:sz w:val="21"/>
          <w:szCs w:val="21"/>
          <w:lang w:bidi="en-US"/>
        </w:rPr>
        <w:t>2.2.4</w:t>
      </w:r>
      <w:r>
        <w:rPr>
          <w:sz w:val="21"/>
          <w:szCs w:val="21"/>
        </w:rPr>
        <w:t>项</w:t>
      </w:r>
      <w:r>
        <w:rPr>
          <w:rFonts w:hint="eastAsia"/>
          <w:sz w:val="21"/>
          <w:szCs w:val="21"/>
        </w:rPr>
        <w:t>（1）</w:t>
      </w:r>
      <w:r>
        <w:rPr>
          <w:sz w:val="21"/>
          <w:szCs w:val="21"/>
        </w:rPr>
        <w:t>目规定的评审因素和分值对技术建议书部分计算出得分</w:t>
      </w:r>
      <w:r>
        <w:rPr>
          <w:rStyle w:val="68"/>
          <w:sz w:val="21"/>
          <w:szCs w:val="21"/>
          <w:lang w:eastAsia="zh-CN"/>
        </w:rPr>
        <w:t>A</w:t>
      </w:r>
      <w:r>
        <w:rPr>
          <w:rFonts w:hint="eastAsia"/>
          <w:sz w:val="21"/>
          <w:szCs w:val="21"/>
          <w:lang w:bidi="en-US"/>
        </w:rPr>
        <w:t>；</w:t>
      </w:r>
    </w:p>
    <w:p>
      <w:pPr>
        <w:pStyle w:val="59"/>
        <w:numPr>
          <w:ilvl w:val="0"/>
          <w:numId w:val="5"/>
        </w:numPr>
        <w:shd w:val="clear" w:color="auto" w:fill="auto"/>
        <w:tabs>
          <w:tab w:val="left" w:pos="1169"/>
        </w:tabs>
        <w:spacing w:before="0" w:line="360" w:lineRule="auto"/>
        <w:ind w:left="640"/>
        <w:jc w:val="both"/>
        <w:rPr>
          <w:sz w:val="21"/>
          <w:szCs w:val="21"/>
        </w:rPr>
      </w:pPr>
      <w:r>
        <w:rPr>
          <w:sz w:val="21"/>
          <w:szCs w:val="21"/>
        </w:rPr>
        <w:t>按本章第</w:t>
      </w:r>
      <w:r>
        <w:rPr>
          <w:sz w:val="21"/>
          <w:szCs w:val="21"/>
          <w:lang w:bidi="en-US"/>
        </w:rPr>
        <w:t>2.2.4</w:t>
      </w:r>
      <w:r>
        <w:rPr>
          <w:sz w:val="21"/>
          <w:szCs w:val="21"/>
        </w:rPr>
        <w:t>项</w:t>
      </w:r>
      <w:r>
        <w:rPr>
          <w:rFonts w:hint="eastAsia"/>
          <w:sz w:val="21"/>
          <w:szCs w:val="21"/>
        </w:rPr>
        <w:t>（</w:t>
      </w:r>
      <w:r>
        <w:rPr>
          <w:sz w:val="21"/>
          <w:szCs w:val="21"/>
        </w:rPr>
        <w:t>2</w:t>
      </w:r>
      <w:r>
        <w:rPr>
          <w:rFonts w:hint="eastAsia"/>
          <w:sz w:val="21"/>
          <w:szCs w:val="21"/>
        </w:rPr>
        <w:t>）</w:t>
      </w:r>
      <w:r>
        <w:rPr>
          <w:sz w:val="21"/>
          <w:szCs w:val="21"/>
        </w:rPr>
        <w:t>目规定的评审因素和分值对主要人员部分计算出得分</w:t>
      </w:r>
      <w:r>
        <w:rPr>
          <w:rStyle w:val="68"/>
          <w:sz w:val="21"/>
          <w:szCs w:val="21"/>
          <w:lang w:eastAsia="zh-CN"/>
        </w:rPr>
        <w:t>B</w:t>
      </w:r>
      <w:r>
        <w:rPr>
          <w:rFonts w:hint="eastAsia"/>
          <w:sz w:val="21"/>
          <w:szCs w:val="21"/>
          <w:lang w:bidi="en-US"/>
        </w:rPr>
        <w:t>；</w:t>
      </w:r>
    </w:p>
    <w:p>
      <w:pPr>
        <w:pStyle w:val="59"/>
        <w:numPr>
          <w:ilvl w:val="0"/>
          <w:numId w:val="5"/>
        </w:numPr>
        <w:shd w:val="clear" w:color="auto" w:fill="auto"/>
        <w:tabs>
          <w:tab w:val="left" w:pos="1176"/>
        </w:tabs>
        <w:spacing w:before="0" w:line="360" w:lineRule="auto"/>
        <w:ind w:left="520" w:firstLine="120"/>
        <w:jc w:val="left"/>
        <w:rPr>
          <w:sz w:val="21"/>
          <w:szCs w:val="21"/>
        </w:rPr>
      </w:pPr>
      <w:r>
        <w:rPr>
          <w:sz w:val="21"/>
          <w:szCs w:val="21"/>
        </w:rPr>
        <w:t>按本章第</w:t>
      </w:r>
      <w:r>
        <w:rPr>
          <w:sz w:val="21"/>
          <w:szCs w:val="21"/>
          <w:lang w:bidi="en-US"/>
        </w:rPr>
        <w:t>2.2.4</w:t>
      </w:r>
      <w:r>
        <w:rPr>
          <w:sz w:val="21"/>
          <w:szCs w:val="21"/>
        </w:rPr>
        <w:t>项</w:t>
      </w:r>
      <w:r>
        <w:rPr>
          <w:rFonts w:hint="eastAsia"/>
          <w:sz w:val="21"/>
          <w:szCs w:val="21"/>
        </w:rPr>
        <w:t>（</w:t>
      </w:r>
      <w:r>
        <w:rPr>
          <w:sz w:val="21"/>
          <w:szCs w:val="21"/>
        </w:rPr>
        <w:t>4</w:t>
      </w:r>
      <w:r>
        <w:rPr>
          <w:rFonts w:hint="eastAsia"/>
          <w:sz w:val="21"/>
          <w:szCs w:val="21"/>
        </w:rPr>
        <w:t>）</w:t>
      </w:r>
      <w:r>
        <w:rPr>
          <w:sz w:val="21"/>
          <w:szCs w:val="21"/>
        </w:rPr>
        <w:t>目规定的评审因素和分值对其他部分计算出得分</w:t>
      </w:r>
      <w:r>
        <w:rPr>
          <w:rStyle w:val="68"/>
          <w:sz w:val="21"/>
          <w:szCs w:val="21"/>
          <w:lang w:eastAsia="zh-CN"/>
        </w:rPr>
        <w:t>D</w:t>
      </w:r>
      <w:r>
        <w:rPr>
          <w:sz w:val="21"/>
          <w:szCs w:val="21"/>
          <w:lang w:bidi="en-US"/>
        </w:rPr>
        <w:t xml:space="preserve">。 </w:t>
      </w:r>
    </w:p>
    <w:p>
      <w:pPr>
        <w:pStyle w:val="59"/>
        <w:shd w:val="clear" w:color="auto" w:fill="auto"/>
        <w:spacing w:before="0" w:line="360" w:lineRule="auto"/>
        <w:ind w:firstLine="520"/>
        <w:jc w:val="both"/>
        <w:rPr>
          <w:sz w:val="21"/>
          <w:szCs w:val="21"/>
          <w:lang w:bidi="en-US"/>
        </w:rPr>
      </w:pPr>
      <w:r>
        <w:rPr>
          <w:sz w:val="21"/>
          <w:szCs w:val="21"/>
          <w:lang w:bidi="en-US"/>
        </w:rPr>
        <w:t>3.2.2投标人的商务和技术得分分值计算保留小数点后两位，小数点后第三位“四舍五入”。</w:t>
      </w:r>
    </w:p>
    <w:p>
      <w:pPr>
        <w:pStyle w:val="59"/>
        <w:shd w:val="clear" w:color="auto" w:fill="auto"/>
        <w:spacing w:before="0" w:line="360" w:lineRule="auto"/>
        <w:ind w:firstLine="520"/>
        <w:jc w:val="both"/>
        <w:rPr>
          <w:sz w:val="21"/>
          <w:szCs w:val="21"/>
        </w:rPr>
      </w:pPr>
      <w:r>
        <w:rPr>
          <w:sz w:val="21"/>
          <w:szCs w:val="21"/>
          <w:lang w:bidi="en-US"/>
        </w:rPr>
        <w:t>3.2.3</w:t>
      </w:r>
      <w:r>
        <w:rPr>
          <w:sz w:val="21"/>
          <w:szCs w:val="21"/>
        </w:rPr>
        <w:t>投标人的商务和技术得分</w:t>
      </w:r>
      <w:r>
        <w:rPr>
          <w:sz w:val="21"/>
          <w:szCs w:val="21"/>
          <w:lang w:bidi="en-US"/>
        </w:rPr>
        <w:t>=</w:t>
      </w:r>
      <w:r>
        <w:rPr>
          <w:rStyle w:val="68"/>
          <w:sz w:val="21"/>
          <w:szCs w:val="21"/>
          <w:lang w:eastAsia="zh-CN"/>
        </w:rPr>
        <w:t>A</w:t>
      </w:r>
      <w:r>
        <w:rPr>
          <w:sz w:val="21"/>
          <w:szCs w:val="21"/>
          <w:lang w:bidi="en-US"/>
        </w:rPr>
        <w:t>+</w:t>
      </w:r>
      <w:r>
        <w:rPr>
          <w:rStyle w:val="68"/>
          <w:sz w:val="21"/>
          <w:szCs w:val="21"/>
          <w:lang w:eastAsia="zh-CN"/>
        </w:rPr>
        <w:t>B</w:t>
      </w:r>
      <w:r>
        <w:rPr>
          <w:sz w:val="21"/>
          <w:szCs w:val="21"/>
          <w:lang w:bidi="en-US"/>
        </w:rPr>
        <w:t>+</w:t>
      </w:r>
      <w:r>
        <w:rPr>
          <w:rStyle w:val="68"/>
          <w:sz w:val="21"/>
          <w:szCs w:val="21"/>
          <w:lang w:eastAsia="zh-CN"/>
        </w:rPr>
        <w:t>D</w:t>
      </w:r>
      <w:r>
        <w:rPr>
          <w:sz w:val="21"/>
          <w:szCs w:val="21"/>
          <w:lang w:bidi="en-US"/>
        </w:rPr>
        <w:t>。</w:t>
      </w:r>
    </w:p>
    <w:p>
      <w:pPr>
        <w:rPr>
          <w:b/>
          <w:bCs/>
          <w:szCs w:val="21"/>
        </w:rPr>
      </w:pPr>
      <w:bookmarkStart w:id="41" w:name="bookmark96"/>
      <w:r>
        <w:rPr>
          <w:rFonts w:hint="eastAsia"/>
          <w:b/>
          <w:bCs/>
          <w:szCs w:val="21"/>
        </w:rPr>
        <w:t>3.3</w:t>
      </w:r>
      <w:r>
        <w:rPr>
          <w:b/>
          <w:bCs/>
          <w:szCs w:val="21"/>
        </w:rPr>
        <w:t>第二个信封开标</w:t>
      </w:r>
      <w:bookmarkEnd w:id="41"/>
    </w:p>
    <w:p>
      <w:pPr>
        <w:pStyle w:val="59"/>
        <w:shd w:val="clear" w:color="auto" w:fill="auto"/>
        <w:spacing w:before="0" w:line="360" w:lineRule="auto"/>
        <w:ind w:firstLine="520"/>
        <w:jc w:val="both"/>
        <w:rPr>
          <w:sz w:val="21"/>
          <w:szCs w:val="21"/>
        </w:rPr>
      </w:pPr>
      <w:r>
        <w:rPr>
          <w:sz w:val="21"/>
          <w:szCs w:val="21"/>
        </w:rPr>
        <w:t>第一个信封（商务及技术文件）评审结束后，招标人将按照第二章“投标人须知”第</w:t>
      </w:r>
      <w:r>
        <w:rPr>
          <w:sz w:val="21"/>
          <w:szCs w:val="21"/>
          <w:lang w:bidi="en-US"/>
        </w:rPr>
        <w:t>5.1</w:t>
      </w:r>
      <w:r>
        <w:rPr>
          <w:sz w:val="21"/>
          <w:szCs w:val="21"/>
        </w:rPr>
        <w:t>款规定的时间和地点对通过投标文件第一个信封（商务及技术文件）评审的投标文件第二个信封（报价文件）进行开标。</w:t>
      </w:r>
    </w:p>
    <w:p>
      <w:pPr>
        <w:rPr>
          <w:b/>
          <w:bCs/>
          <w:szCs w:val="21"/>
        </w:rPr>
      </w:pPr>
      <w:bookmarkStart w:id="42" w:name="bookmark97"/>
      <w:r>
        <w:rPr>
          <w:rFonts w:hint="eastAsia"/>
          <w:b/>
          <w:bCs/>
          <w:szCs w:val="21"/>
        </w:rPr>
        <w:t>3.4</w:t>
      </w:r>
      <w:r>
        <w:rPr>
          <w:b/>
          <w:bCs/>
          <w:szCs w:val="21"/>
        </w:rPr>
        <w:t>第二个信封初步评审</w:t>
      </w:r>
      <w:bookmarkEnd w:id="42"/>
    </w:p>
    <w:p>
      <w:pPr>
        <w:pStyle w:val="59"/>
        <w:shd w:val="clear" w:color="auto" w:fill="auto"/>
        <w:spacing w:before="0" w:line="360" w:lineRule="auto"/>
        <w:ind w:firstLine="520"/>
        <w:jc w:val="both"/>
        <w:rPr>
          <w:sz w:val="21"/>
          <w:szCs w:val="21"/>
          <w:lang w:bidi="en-US"/>
        </w:rPr>
      </w:pPr>
      <w:r>
        <w:rPr>
          <w:rFonts w:hint="eastAsia"/>
          <w:sz w:val="21"/>
          <w:szCs w:val="21"/>
          <w:lang w:bidi="en-US"/>
        </w:rPr>
        <w:t>3.4.1评标委员会依据本章第2.1.1项、第2.1.3项规定的评审标准对投标文件第二个信封（报价文件）进行初步评审。有一项不符合评审标准的，评标委员会应否决其投标。</w:t>
      </w:r>
    </w:p>
    <w:p>
      <w:pPr>
        <w:pStyle w:val="59"/>
        <w:shd w:val="clear" w:color="auto" w:fill="auto"/>
        <w:spacing w:before="0" w:line="360" w:lineRule="auto"/>
        <w:ind w:firstLine="520"/>
        <w:jc w:val="both"/>
        <w:rPr>
          <w:sz w:val="21"/>
          <w:szCs w:val="21"/>
          <w:lang w:bidi="en-US"/>
        </w:rPr>
      </w:pPr>
      <w:r>
        <w:rPr>
          <w:rFonts w:hint="eastAsia"/>
          <w:sz w:val="21"/>
          <w:szCs w:val="21"/>
          <w:lang w:bidi="en-US"/>
        </w:rPr>
        <w:t>3.4.2投标报价有算术错误的，评标委员会按以下原则对投标报价进行修正，修正的价格经投标人书面确认后具有约束力。投标人不接受修正价格的，评标委员会应否决其投标。</w:t>
      </w:r>
    </w:p>
    <w:p>
      <w:pPr>
        <w:pStyle w:val="59"/>
        <w:shd w:val="clear" w:color="auto" w:fill="auto"/>
        <w:spacing w:before="0" w:line="360" w:lineRule="auto"/>
        <w:ind w:firstLine="520"/>
        <w:jc w:val="both"/>
        <w:rPr>
          <w:sz w:val="21"/>
          <w:szCs w:val="21"/>
          <w:lang w:bidi="en-US"/>
        </w:rPr>
      </w:pPr>
      <w:r>
        <w:rPr>
          <w:rFonts w:hint="eastAsia"/>
          <w:sz w:val="21"/>
          <w:szCs w:val="21"/>
          <w:lang w:bidi="en-US"/>
        </w:rPr>
        <w:t>（1）投标文件中的大写金额与小写金额不一致的，以大写金额为准；</w:t>
      </w:r>
    </w:p>
    <w:p>
      <w:pPr>
        <w:pStyle w:val="59"/>
        <w:shd w:val="clear" w:color="auto" w:fill="auto"/>
        <w:spacing w:before="0" w:line="360" w:lineRule="auto"/>
        <w:ind w:firstLine="520"/>
        <w:jc w:val="both"/>
        <w:rPr>
          <w:sz w:val="21"/>
          <w:szCs w:val="21"/>
          <w:lang w:bidi="en-US"/>
        </w:rPr>
      </w:pPr>
      <w:r>
        <w:rPr>
          <w:rFonts w:hint="eastAsia"/>
          <w:sz w:val="21"/>
          <w:szCs w:val="21"/>
          <w:lang w:bidi="en-US"/>
        </w:rPr>
        <w:t>（2）总价金额与依据单价计算出的结果不一致的，以单价金额为准修正总价，但单价金额小数点有明显错误的除外；</w:t>
      </w:r>
    </w:p>
    <w:p>
      <w:pPr>
        <w:pStyle w:val="59"/>
        <w:shd w:val="clear" w:color="auto" w:fill="auto"/>
        <w:spacing w:before="0" w:line="360" w:lineRule="auto"/>
        <w:ind w:firstLine="520"/>
        <w:jc w:val="both"/>
        <w:rPr>
          <w:sz w:val="21"/>
          <w:szCs w:val="21"/>
          <w:lang w:bidi="en-US"/>
        </w:rPr>
      </w:pPr>
      <w:r>
        <w:rPr>
          <w:rFonts w:hint="eastAsia"/>
          <w:sz w:val="21"/>
          <w:szCs w:val="21"/>
          <w:lang w:bidi="en-US"/>
        </w:rPr>
        <w:t>（3）当单价与数量相乘不等于合价时，以单价计算为准，如果单价有明显的小数点位置差错，应以标出的合价为准，同时对单价予以修正；</w:t>
      </w:r>
    </w:p>
    <w:p>
      <w:pPr>
        <w:pStyle w:val="59"/>
        <w:shd w:val="clear" w:color="auto" w:fill="auto"/>
        <w:spacing w:before="0" w:line="360" w:lineRule="auto"/>
        <w:ind w:firstLine="520"/>
        <w:jc w:val="both"/>
        <w:rPr>
          <w:sz w:val="21"/>
          <w:szCs w:val="21"/>
          <w:lang w:bidi="en-US"/>
        </w:rPr>
      </w:pPr>
      <w:r>
        <w:rPr>
          <w:rFonts w:hint="eastAsia"/>
          <w:sz w:val="21"/>
          <w:szCs w:val="21"/>
          <w:lang w:bidi="en-US"/>
        </w:rPr>
        <w:t>（4）当各子目的合价累计不等于总价时，应以各子目合价累计数为准，修正总价。</w:t>
      </w:r>
    </w:p>
    <w:p>
      <w:pPr>
        <w:pStyle w:val="59"/>
        <w:shd w:val="clear" w:color="auto" w:fill="auto"/>
        <w:spacing w:before="0" w:line="360" w:lineRule="auto"/>
        <w:ind w:firstLine="520"/>
        <w:jc w:val="both"/>
        <w:rPr>
          <w:sz w:val="21"/>
          <w:szCs w:val="21"/>
          <w:lang w:bidi="en-US"/>
        </w:rPr>
      </w:pPr>
      <w:r>
        <w:rPr>
          <w:rFonts w:hint="eastAsia"/>
          <w:sz w:val="21"/>
          <w:szCs w:val="21"/>
          <w:lang w:bidi="en-US"/>
        </w:rPr>
        <w:t>3.4.3修正后的最终投标报价若超过最高投标限价（如有），评标委员会应否决其投标。</w:t>
      </w:r>
    </w:p>
    <w:p>
      <w:pPr>
        <w:pStyle w:val="59"/>
        <w:shd w:val="clear" w:color="auto" w:fill="auto"/>
        <w:spacing w:before="0" w:line="360" w:lineRule="auto"/>
        <w:ind w:firstLine="520"/>
        <w:jc w:val="both"/>
        <w:rPr>
          <w:sz w:val="21"/>
          <w:szCs w:val="21"/>
          <w:lang w:bidi="en-US"/>
        </w:rPr>
      </w:pPr>
      <w:r>
        <w:rPr>
          <w:rFonts w:hint="eastAsia"/>
          <w:sz w:val="21"/>
          <w:szCs w:val="21"/>
          <w:lang w:bidi="en-US"/>
        </w:rPr>
        <w:t>3.4.4修正后的最终投标报价仅作为签订合同的一个依据，不参与评标价得分的计算。</w:t>
      </w:r>
    </w:p>
    <w:p>
      <w:pPr>
        <w:rPr>
          <w:b/>
          <w:bCs/>
          <w:szCs w:val="21"/>
        </w:rPr>
      </w:pPr>
      <w:bookmarkStart w:id="43" w:name="bookmark98"/>
      <w:r>
        <w:rPr>
          <w:rFonts w:hint="eastAsia"/>
          <w:b/>
          <w:bCs/>
          <w:szCs w:val="21"/>
        </w:rPr>
        <w:t>3.5</w:t>
      </w:r>
      <w:r>
        <w:rPr>
          <w:b/>
          <w:bCs/>
          <w:szCs w:val="21"/>
        </w:rPr>
        <w:t>第二个信封详细评审</w:t>
      </w:r>
      <w:bookmarkEnd w:id="43"/>
    </w:p>
    <w:p>
      <w:pPr>
        <w:pStyle w:val="59"/>
        <w:shd w:val="clear" w:color="auto" w:fill="auto"/>
        <w:spacing w:before="0" w:line="360" w:lineRule="auto"/>
        <w:ind w:firstLine="520"/>
        <w:jc w:val="left"/>
        <w:rPr>
          <w:sz w:val="21"/>
          <w:szCs w:val="21"/>
        </w:rPr>
      </w:pPr>
      <w:r>
        <w:rPr>
          <w:sz w:val="21"/>
          <w:szCs w:val="21"/>
          <w:lang w:bidi="en-US"/>
        </w:rPr>
        <w:t>3.5.1</w:t>
      </w:r>
      <w:r>
        <w:rPr>
          <w:sz w:val="21"/>
          <w:szCs w:val="21"/>
        </w:rPr>
        <w:t>评标委员会按本章第</w:t>
      </w:r>
      <w:r>
        <w:rPr>
          <w:sz w:val="21"/>
          <w:szCs w:val="21"/>
          <w:lang w:bidi="en-US"/>
        </w:rPr>
        <w:t>2.2.4</w:t>
      </w:r>
      <w:r>
        <w:rPr>
          <w:sz w:val="21"/>
          <w:szCs w:val="21"/>
        </w:rPr>
        <w:t>项</w:t>
      </w:r>
      <w:r>
        <w:rPr>
          <w:sz w:val="21"/>
          <w:szCs w:val="21"/>
          <w:lang w:bidi="en-US"/>
        </w:rPr>
        <w:t>（3</w:t>
      </w:r>
      <w:r>
        <w:rPr>
          <w:rFonts w:hint="eastAsia"/>
          <w:sz w:val="21"/>
          <w:szCs w:val="21"/>
          <w:lang w:bidi="en-US"/>
        </w:rPr>
        <w:t>）</w:t>
      </w:r>
      <w:r>
        <w:rPr>
          <w:sz w:val="21"/>
          <w:szCs w:val="21"/>
        </w:rPr>
        <w:t>目规定的评审因素和分值对评标价系数计算出得分</w:t>
      </w:r>
      <w:r>
        <w:rPr>
          <w:rStyle w:val="68"/>
          <w:sz w:val="21"/>
          <w:szCs w:val="21"/>
          <w:lang w:eastAsia="zh-CN"/>
        </w:rPr>
        <w:t>C</w:t>
      </w:r>
      <w:r>
        <w:rPr>
          <w:sz w:val="21"/>
          <w:szCs w:val="21"/>
          <w:lang w:bidi="en-US"/>
        </w:rPr>
        <w:t>。</w:t>
      </w:r>
      <w:r>
        <w:rPr>
          <w:sz w:val="21"/>
          <w:szCs w:val="21"/>
        </w:rPr>
        <w:t xml:space="preserve">评标价得分分值计算保留小数点后两位，小数点后第三位“四舍五入”。 </w:t>
      </w:r>
    </w:p>
    <w:p>
      <w:pPr>
        <w:pStyle w:val="59"/>
        <w:shd w:val="clear" w:color="auto" w:fill="auto"/>
        <w:spacing w:before="0" w:line="360" w:lineRule="auto"/>
        <w:ind w:firstLine="520"/>
        <w:jc w:val="left"/>
        <w:rPr>
          <w:sz w:val="21"/>
          <w:szCs w:val="21"/>
        </w:rPr>
      </w:pPr>
      <w:r>
        <w:rPr>
          <w:sz w:val="21"/>
          <w:szCs w:val="21"/>
          <w:lang w:bidi="en-US"/>
        </w:rPr>
        <w:t>3.5.2</w:t>
      </w:r>
      <w:r>
        <w:rPr>
          <w:sz w:val="21"/>
          <w:szCs w:val="21"/>
        </w:rPr>
        <w:t>投标人综合得分=投标人的商务和技术得分</w:t>
      </w:r>
      <w:r>
        <w:rPr>
          <w:sz w:val="21"/>
          <w:szCs w:val="21"/>
          <w:lang w:bidi="en-US"/>
        </w:rPr>
        <w:t>+</w:t>
      </w:r>
      <w:r>
        <w:rPr>
          <w:rStyle w:val="68"/>
          <w:sz w:val="21"/>
          <w:szCs w:val="21"/>
          <w:lang w:eastAsia="zh-CN"/>
        </w:rPr>
        <w:t>C</w:t>
      </w:r>
      <w:r>
        <w:rPr>
          <w:sz w:val="21"/>
          <w:szCs w:val="21"/>
          <w:lang w:bidi="en-US"/>
        </w:rPr>
        <w:t>。</w:t>
      </w:r>
    </w:p>
    <w:p>
      <w:pPr>
        <w:pStyle w:val="59"/>
        <w:shd w:val="clear" w:color="auto" w:fill="auto"/>
        <w:spacing w:before="0" w:line="360" w:lineRule="auto"/>
        <w:ind w:firstLine="520"/>
        <w:jc w:val="both"/>
        <w:rPr>
          <w:sz w:val="21"/>
          <w:szCs w:val="21"/>
        </w:rPr>
      </w:pPr>
      <w:r>
        <w:rPr>
          <w:sz w:val="21"/>
          <w:szCs w:val="21"/>
          <w:lang w:bidi="en-US"/>
        </w:rPr>
        <w:t>3.5.3</w:t>
      </w:r>
      <w:r>
        <w:rPr>
          <w:sz w:val="21"/>
          <w:szCs w:val="21"/>
        </w:rPr>
        <w:t>评标委员会发现投标人的报价明显低于其他投标报价，使得其投标报价可能低于其个别成本的，应要求该投标人作出书面说明并提供相应的证明材料。投标人不能合理说明或不能提供相应证明材料的，评标委员会应认定该投标人以低于成本报价竞标，并否决其投标。</w:t>
      </w:r>
    </w:p>
    <w:p>
      <w:pPr>
        <w:rPr>
          <w:b/>
          <w:bCs/>
          <w:szCs w:val="21"/>
        </w:rPr>
      </w:pPr>
      <w:bookmarkStart w:id="44" w:name="bookmark99"/>
      <w:r>
        <w:rPr>
          <w:rFonts w:hint="eastAsia"/>
          <w:b/>
          <w:bCs/>
          <w:szCs w:val="21"/>
        </w:rPr>
        <w:t>3.6</w:t>
      </w:r>
      <w:r>
        <w:rPr>
          <w:b/>
          <w:bCs/>
          <w:szCs w:val="21"/>
        </w:rPr>
        <w:t>投标文件相关信息的核查</w:t>
      </w:r>
      <w:bookmarkEnd w:id="44"/>
    </w:p>
    <w:p>
      <w:pPr>
        <w:pStyle w:val="59"/>
        <w:shd w:val="clear" w:color="auto" w:fill="auto"/>
        <w:spacing w:before="0" w:line="360" w:lineRule="auto"/>
        <w:ind w:firstLine="520"/>
        <w:jc w:val="left"/>
        <w:rPr>
          <w:sz w:val="21"/>
          <w:szCs w:val="21"/>
        </w:rPr>
      </w:pPr>
      <w:r>
        <w:rPr>
          <w:sz w:val="21"/>
          <w:szCs w:val="21"/>
          <w:lang w:bidi="en-US"/>
        </w:rPr>
        <w:t>3.6.1</w:t>
      </w:r>
      <w:r>
        <w:rPr>
          <w:sz w:val="21"/>
          <w:szCs w:val="21"/>
        </w:rPr>
        <w:t>评标委员会应对在评标过程中发现的投标人与投标人之间、投标人与招标人之间存在的串通投标的情形进行评审和认定。投标人存在串通投标、弄虚作假、行贿等违法行为的，评标委员会应否决其投标。</w:t>
      </w:r>
    </w:p>
    <w:p>
      <w:pPr>
        <w:pStyle w:val="59"/>
        <w:shd w:val="clear" w:color="auto" w:fill="auto"/>
        <w:spacing w:before="0" w:line="360" w:lineRule="auto"/>
        <w:ind w:left="640"/>
        <w:jc w:val="both"/>
        <w:rPr>
          <w:sz w:val="21"/>
          <w:szCs w:val="21"/>
        </w:rPr>
      </w:pPr>
      <w:r>
        <w:rPr>
          <w:rFonts w:hint="eastAsia"/>
          <w:sz w:val="21"/>
          <w:szCs w:val="21"/>
          <w:lang w:bidi="en-US"/>
        </w:rPr>
        <w:t>（1）</w:t>
      </w:r>
      <w:r>
        <w:rPr>
          <w:sz w:val="21"/>
          <w:szCs w:val="21"/>
        </w:rPr>
        <w:t>有下列情形之一的，属于投标人相互串通投标：</w:t>
      </w:r>
    </w:p>
    <w:p>
      <w:pPr>
        <w:pStyle w:val="59"/>
        <w:numPr>
          <w:ilvl w:val="0"/>
          <w:numId w:val="6"/>
        </w:numPr>
        <w:shd w:val="clear" w:color="auto" w:fill="auto"/>
        <w:tabs>
          <w:tab w:val="left" w:pos="863"/>
        </w:tabs>
        <w:spacing w:before="0" w:line="360" w:lineRule="auto"/>
        <w:ind w:firstLine="500"/>
        <w:jc w:val="both"/>
        <w:rPr>
          <w:sz w:val="21"/>
          <w:szCs w:val="21"/>
        </w:rPr>
      </w:pPr>
      <w:r>
        <w:rPr>
          <w:sz w:val="21"/>
          <w:szCs w:val="21"/>
        </w:rPr>
        <w:t>投标人之间协商投标报价等投标文件的实质性内容；</w:t>
      </w:r>
    </w:p>
    <w:p>
      <w:pPr>
        <w:pStyle w:val="59"/>
        <w:numPr>
          <w:ilvl w:val="0"/>
          <w:numId w:val="6"/>
        </w:numPr>
        <w:shd w:val="clear" w:color="auto" w:fill="auto"/>
        <w:tabs>
          <w:tab w:val="left" w:pos="863"/>
        </w:tabs>
        <w:spacing w:before="0" w:line="360" w:lineRule="auto"/>
        <w:ind w:firstLine="500"/>
        <w:jc w:val="both"/>
        <w:rPr>
          <w:sz w:val="21"/>
          <w:szCs w:val="21"/>
        </w:rPr>
      </w:pPr>
      <w:r>
        <w:rPr>
          <w:sz w:val="21"/>
          <w:szCs w:val="21"/>
        </w:rPr>
        <w:t>投标人之间约定中标人；</w:t>
      </w:r>
    </w:p>
    <w:p>
      <w:pPr>
        <w:pStyle w:val="59"/>
        <w:numPr>
          <w:ilvl w:val="0"/>
          <w:numId w:val="6"/>
        </w:numPr>
        <w:shd w:val="clear" w:color="auto" w:fill="auto"/>
        <w:tabs>
          <w:tab w:val="left" w:pos="863"/>
        </w:tabs>
        <w:spacing w:before="0" w:line="360" w:lineRule="auto"/>
        <w:ind w:firstLine="500"/>
        <w:jc w:val="both"/>
        <w:rPr>
          <w:sz w:val="21"/>
          <w:szCs w:val="21"/>
        </w:rPr>
      </w:pPr>
      <w:r>
        <w:rPr>
          <w:sz w:val="21"/>
          <w:szCs w:val="21"/>
        </w:rPr>
        <w:t>投标人之间约定部分投标人放弃投标或中标；</w:t>
      </w:r>
    </w:p>
    <w:p>
      <w:pPr>
        <w:pStyle w:val="59"/>
        <w:numPr>
          <w:ilvl w:val="0"/>
          <w:numId w:val="6"/>
        </w:numPr>
        <w:shd w:val="clear" w:color="auto" w:fill="auto"/>
        <w:tabs>
          <w:tab w:val="left" w:pos="863"/>
        </w:tabs>
        <w:spacing w:before="0" w:line="360" w:lineRule="auto"/>
        <w:ind w:firstLine="500"/>
        <w:jc w:val="both"/>
        <w:rPr>
          <w:sz w:val="21"/>
          <w:szCs w:val="21"/>
        </w:rPr>
      </w:pPr>
      <w:r>
        <w:rPr>
          <w:sz w:val="21"/>
          <w:szCs w:val="21"/>
        </w:rPr>
        <w:t>属于同一集团、协会、商会等组织成员的投标人按照该组织要求协同投标</w:t>
      </w:r>
      <w:r>
        <w:rPr>
          <w:rFonts w:hint="eastAsia"/>
          <w:sz w:val="21"/>
          <w:szCs w:val="21"/>
        </w:rPr>
        <w:t>；</w:t>
      </w:r>
    </w:p>
    <w:p>
      <w:pPr>
        <w:pStyle w:val="59"/>
        <w:numPr>
          <w:ilvl w:val="0"/>
          <w:numId w:val="6"/>
        </w:numPr>
        <w:shd w:val="clear" w:color="auto" w:fill="auto"/>
        <w:tabs>
          <w:tab w:val="left" w:pos="863"/>
        </w:tabs>
        <w:spacing w:before="0" w:line="360" w:lineRule="auto"/>
        <w:ind w:firstLine="500"/>
        <w:jc w:val="both"/>
        <w:rPr>
          <w:sz w:val="21"/>
          <w:szCs w:val="21"/>
        </w:rPr>
      </w:pPr>
      <w:r>
        <w:rPr>
          <w:sz w:val="21"/>
          <w:szCs w:val="21"/>
        </w:rPr>
        <w:t>投标人之间为谋取中标或排斥特定投标人而采取的其他联合行动。</w:t>
      </w:r>
    </w:p>
    <w:p>
      <w:pPr>
        <w:pStyle w:val="59"/>
        <w:shd w:val="clear" w:color="auto" w:fill="auto"/>
        <w:spacing w:before="0" w:line="360" w:lineRule="auto"/>
        <w:ind w:left="640"/>
        <w:jc w:val="both"/>
        <w:rPr>
          <w:sz w:val="21"/>
          <w:szCs w:val="21"/>
          <w:lang w:bidi="en-US"/>
        </w:rPr>
      </w:pPr>
      <w:r>
        <w:rPr>
          <w:rFonts w:hint="eastAsia"/>
          <w:sz w:val="21"/>
          <w:szCs w:val="21"/>
          <w:lang w:bidi="en-US"/>
        </w:rPr>
        <w:t>（</w:t>
      </w:r>
      <w:r>
        <w:rPr>
          <w:sz w:val="21"/>
          <w:szCs w:val="21"/>
          <w:lang w:bidi="en-US"/>
        </w:rPr>
        <w:t>2</w:t>
      </w:r>
      <w:r>
        <w:rPr>
          <w:rFonts w:hint="eastAsia"/>
          <w:sz w:val="21"/>
          <w:szCs w:val="21"/>
          <w:lang w:bidi="en-US"/>
        </w:rPr>
        <w:t>）</w:t>
      </w:r>
      <w:r>
        <w:rPr>
          <w:sz w:val="21"/>
          <w:szCs w:val="21"/>
          <w:lang w:bidi="en-US"/>
        </w:rPr>
        <w:t>有下列情形之一的，视为投标人相互串通投标：</w:t>
      </w:r>
    </w:p>
    <w:p>
      <w:pPr>
        <w:pStyle w:val="59"/>
        <w:numPr>
          <w:ilvl w:val="0"/>
          <w:numId w:val="7"/>
        </w:numPr>
        <w:shd w:val="clear" w:color="auto" w:fill="auto"/>
        <w:tabs>
          <w:tab w:val="left" w:pos="839"/>
        </w:tabs>
        <w:spacing w:before="0" w:line="360" w:lineRule="auto"/>
        <w:ind w:firstLine="500"/>
        <w:jc w:val="both"/>
        <w:rPr>
          <w:sz w:val="21"/>
          <w:szCs w:val="21"/>
        </w:rPr>
      </w:pPr>
      <w:r>
        <w:rPr>
          <w:sz w:val="21"/>
          <w:szCs w:val="21"/>
        </w:rPr>
        <w:t>不同投标人的投标文件由同一单位或个人编制；</w:t>
      </w:r>
    </w:p>
    <w:p>
      <w:pPr>
        <w:pStyle w:val="59"/>
        <w:numPr>
          <w:ilvl w:val="0"/>
          <w:numId w:val="7"/>
        </w:numPr>
        <w:shd w:val="clear" w:color="auto" w:fill="auto"/>
        <w:tabs>
          <w:tab w:val="left" w:pos="863"/>
        </w:tabs>
        <w:spacing w:before="0" w:line="360" w:lineRule="auto"/>
        <w:ind w:firstLine="500"/>
        <w:jc w:val="both"/>
        <w:rPr>
          <w:sz w:val="21"/>
          <w:szCs w:val="21"/>
        </w:rPr>
      </w:pPr>
      <w:r>
        <w:rPr>
          <w:sz w:val="21"/>
          <w:szCs w:val="21"/>
        </w:rPr>
        <w:t>不同投标人委托同一单位或个人办理投标事宜；</w:t>
      </w:r>
    </w:p>
    <w:p>
      <w:pPr>
        <w:pStyle w:val="59"/>
        <w:numPr>
          <w:ilvl w:val="0"/>
          <w:numId w:val="7"/>
        </w:numPr>
        <w:shd w:val="clear" w:color="auto" w:fill="auto"/>
        <w:tabs>
          <w:tab w:val="left" w:pos="863"/>
        </w:tabs>
        <w:spacing w:before="0" w:line="360" w:lineRule="auto"/>
        <w:ind w:firstLine="500"/>
        <w:jc w:val="both"/>
        <w:rPr>
          <w:sz w:val="21"/>
          <w:szCs w:val="21"/>
        </w:rPr>
      </w:pPr>
      <w:r>
        <w:rPr>
          <w:sz w:val="21"/>
          <w:szCs w:val="21"/>
        </w:rPr>
        <w:t>不同投标人的投标文件载明的项目管理成员为同一人；</w:t>
      </w:r>
    </w:p>
    <w:p>
      <w:pPr>
        <w:pStyle w:val="59"/>
        <w:numPr>
          <w:ilvl w:val="0"/>
          <w:numId w:val="7"/>
        </w:numPr>
        <w:shd w:val="clear" w:color="auto" w:fill="auto"/>
        <w:tabs>
          <w:tab w:val="left" w:pos="863"/>
        </w:tabs>
        <w:spacing w:before="0" w:line="360" w:lineRule="auto"/>
        <w:ind w:firstLine="500"/>
        <w:jc w:val="both"/>
        <w:rPr>
          <w:sz w:val="21"/>
          <w:szCs w:val="21"/>
        </w:rPr>
      </w:pPr>
      <w:r>
        <w:rPr>
          <w:sz w:val="21"/>
          <w:szCs w:val="21"/>
        </w:rPr>
        <w:t>不同投标人的投标文件异常一致或投标报价呈规律性差异；</w:t>
      </w:r>
    </w:p>
    <w:p>
      <w:pPr>
        <w:pStyle w:val="59"/>
        <w:numPr>
          <w:ilvl w:val="0"/>
          <w:numId w:val="7"/>
        </w:numPr>
        <w:shd w:val="clear" w:color="auto" w:fill="auto"/>
        <w:tabs>
          <w:tab w:val="left" w:pos="863"/>
        </w:tabs>
        <w:spacing w:before="0" w:line="360" w:lineRule="auto"/>
        <w:ind w:firstLine="500"/>
        <w:jc w:val="both"/>
        <w:rPr>
          <w:sz w:val="21"/>
          <w:szCs w:val="21"/>
        </w:rPr>
      </w:pPr>
      <w:r>
        <w:rPr>
          <w:sz w:val="21"/>
          <w:szCs w:val="21"/>
        </w:rPr>
        <w:t>不同投标人的投标文件相互混装；</w:t>
      </w:r>
    </w:p>
    <w:p>
      <w:pPr>
        <w:pStyle w:val="59"/>
        <w:numPr>
          <w:ilvl w:val="0"/>
          <w:numId w:val="7"/>
        </w:numPr>
        <w:shd w:val="clear" w:color="auto" w:fill="auto"/>
        <w:tabs>
          <w:tab w:val="left" w:pos="863"/>
        </w:tabs>
        <w:spacing w:before="0" w:line="360" w:lineRule="auto"/>
        <w:ind w:firstLine="500"/>
        <w:jc w:val="both"/>
        <w:rPr>
          <w:sz w:val="21"/>
          <w:szCs w:val="21"/>
        </w:rPr>
      </w:pPr>
      <w:r>
        <w:rPr>
          <w:sz w:val="21"/>
          <w:szCs w:val="21"/>
        </w:rPr>
        <w:t>不同投标人的投标保证金从同一单位或个人的账户转出。</w:t>
      </w:r>
    </w:p>
    <w:p>
      <w:pPr>
        <w:pStyle w:val="59"/>
        <w:shd w:val="clear" w:color="auto" w:fill="auto"/>
        <w:tabs>
          <w:tab w:val="left" w:pos="1169"/>
        </w:tabs>
        <w:spacing w:before="0" w:line="360" w:lineRule="auto"/>
        <w:ind w:left="640"/>
        <w:jc w:val="both"/>
        <w:rPr>
          <w:sz w:val="21"/>
          <w:szCs w:val="21"/>
          <w:lang w:bidi="en-US"/>
        </w:rPr>
      </w:pPr>
      <w:r>
        <w:rPr>
          <w:rFonts w:hint="eastAsia"/>
          <w:sz w:val="21"/>
          <w:szCs w:val="21"/>
          <w:lang w:bidi="en-US"/>
        </w:rPr>
        <w:t>（3）</w:t>
      </w:r>
      <w:r>
        <w:rPr>
          <w:sz w:val="21"/>
          <w:szCs w:val="21"/>
          <w:lang w:bidi="en-US"/>
        </w:rPr>
        <w:t>有下列情形之一的，属于招标人与投标人串通投标：</w:t>
      </w:r>
    </w:p>
    <w:p>
      <w:pPr>
        <w:pStyle w:val="59"/>
        <w:numPr>
          <w:ilvl w:val="0"/>
          <w:numId w:val="8"/>
        </w:numPr>
        <w:shd w:val="clear" w:color="auto" w:fill="auto"/>
        <w:tabs>
          <w:tab w:val="left" w:pos="842"/>
        </w:tabs>
        <w:spacing w:before="0" w:line="360" w:lineRule="auto"/>
        <w:ind w:firstLine="500"/>
        <w:jc w:val="both"/>
        <w:rPr>
          <w:sz w:val="21"/>
          <w:szCs w:val="21"/>
        </w:rPr>
      </w:pPr>
      <w:r>
        <w:rPr>
          <w:sz w:val="21"/>
          <w:szCs w:val="21"/>
        </w:rPr>
        <w:t>招标人在开标前开启投标文件并将有关信息泄露给其他投标人；</w:t>
      </w:r>
    </w:p>
    <w:p>
      <w:pPr>
        <w:pStyle w:val="59"/>
        <w:numPr>
          <w:ilvl w:val="0"/>
          <w:numId w:val="8"/>
        </w:numPr>
        <w:shd w:val="clear" w:color="auto" w:fill="auto"/>
        <w:tabs>
          <w:tab w:val="left" w:pos="863"/>
        </w:tabs>
        <w:spacing w:before="0" w:line="360" w:lineRule="auto"/>
        <w:ind w:firstLine="500"/>
        <w:jc w:val="both"/>
        <w:rPr>
          <w:sz w:val="21"/>
          <w:szCs w:val="21"/>
        </w:rPr>
      </w:pPr>
      <w:r>
        <w:rPr>
          <w:sz w:val="21"/>
          <w:szCs w:val="21"/>
        </w:rPr>
        <w:t>招标人直接或间接向投标人泄露标底、评标委员会成员等信息；</w:t>
      </w:r>
    </w:p>
    <w:p>
      <w:pPr>
        <w:pStyle w:val="59"/>
        <w:numPr>
          <w:ilvl w:val="0"/>
          <w:numId w:val="8"/>
        </w:numPr>
        <w:shd w:val="clear" w:color="auto" w:fill="auto"/>
        <w:tabs>
          <w:tab w:val="left" w:pos="863"/>
        </w:tabs>
        <w:spacing w:before="0" w:line="360" w:lineRule="auto"/>
        <w:ind w:firstLine="500"/>
        <w:jc w:val="both"/>
        <w:rPr>
          <w:sz w:val="21"/>
          <w:szCs w:val="21"/>
        </w:rPr>
      </w:pPr>
      <w:r>
        <w:rPr>
          <w:sz w:val="21"/>
          <w:szCs w:val="21"/>
        </w:rPr>
        <w:t>招标人明示或暗示投标人压低或抬高投标报价；</w:t>
      </w:r>
    </w:p>
    <w:p>
      <w:pPr>
        <w:pStyle w:val="59"/>
        <w:numPr>
          <w:ilvl w:val="0"/>
          <w:numId w:val="8"/>
        </w:numPr>
        <w:shd w:val="clear" w:color="auto" w:fill="auto"/>
        <w:tabs>
          <w:tab w:val="left" w:pos="863"/>
        </w:tabs>
        <w:spacing w:before="0" w:line="360" w:lineRule="auto"/>
        <w:ind w:firstLine="500"/>
        <w:jc w:val="both"/>
        <w:rPr>
          <w:sz w:val="21"/>
          <w:szCs w:val="21"/>
        </w:rPr>
      </w:pPr>
      <w:r>
        <w:rPr>
          <w:sz w:val="21"/>
          <w:szCs w:val="21"/>
        </w:rPr>
        <w:t>招标人授意投标人撤换、修改投标文件；</w:t>
      </w:r>
    </w:p>
    <w:p>
      <w:pPr>
        <w:pStyle w:val="59"/>
        <w:numPr>
          <w:ilvl w:val="0"/>
          <w:numId w:val="8"/>
        </w:numPr>
        <w:shd w:val="clear" w:color="auto" w:fill="auto"/>
        <w:tabs>
          <w:tab w:val="left" w:pos="863"/>
        </w:tabs>
        <w:spacing w:before="0" w:line="360" w:lineRule="auto"/>
        <w:ind w:firstLine="500"/>
        <w:jc w:val="both"/>
        <w:rPr>
          <w:sz w:val="21"/>
          <w:szCs w:val="21"/>
        </w:rPr>
      </w:pPr>
      <w:r>
        <w:rPr>
          <w:sz w:val="21"/>
          <w:szCs w:val="21"/>
        </w:rPr>
        <w:t>招标人明示或暗示投标人为特定投标人中标提供方便；</w:t>
      </w:r>
    </w:p>
    <w:p>
      <w:pPr>
        <w:pStyle w:val="59"/>
        <w:numPr>
          <w:ilvl w:val="0"/>
          <w:numId w:val="8"/>
        </w:numPr>
        <w:shd w:val="clear" w:color="auto" w:fill="auto"/>
        <w:tabs>
          <w:tab w:val="left" w:pos="863"/>
        </w:tabs>
        <w:spacing w:before="0" w:line="360" w:lineRule="auto"/>
        <w:ind w:firstLine="500"/>
        <w:jc w:val="both"/>
        <w:rPr>
          <w:sz w:val="21"/>
          <w:szCs w:val="21"/>
        </w:rPr>
      </w:pPr>
      <w:r>
        <w:rPr>
          <w:sz w:val="21"/>
          <w:szCs w:val="21"/>
        </w:rPr>
        <w:t>招标人与投标人为谋求特定投标人中标而采取的其他串通行为。</w:t>
      </w:r>
    </w:p>
    <w:p>
      <w:pPr>
        <w:pStyle w:val="59"/>
        <w:shd w:val="clear" w:color="auto" w:fill="auto"/>
        <w:tabs>
          <w:tab w:val="left" w:pos="1169"/>
        </w:tabs>
        <w:spacing w:before="0" w:line="360" w:lineRule="auto"/>
        <w:ind w:left="640"/>
        <w:jc w:val="both"/>
        <w:rPr>
          <w:sz w:val="21"/>
          <w:szCs w:val="21"/>
        </w:rPr>
      </w:pPr>
      <w:r>
        <w:rPr>
          <w:rFonts w:hint="eastAsia"/>
          <w:sz w:val="21"/>
          <w:szCs w:val="21"/>
        </w:rPr>
        <w:t>（4）</w:t>
      </w:r>
      <w:r>
        <w:rPr>
          <w:sz w:val="21"/>
          <w:szCs w:val="21"/>
        </w:rPr>
        <w:t>投标人有下列情形之一的，属于弄虚作假的行为：</w:t>
      </w:r>
    </w:p>
    <w:p>
      <w:pPr>
        <w:pStyle w:val="59"/>
        <w:numPr>
          <w:ilvl w:val="0"/>
          <w:numId w:val="9"/>
        </w:numPr>
        <w:shd w:val="clear" w:color="auto" w:fill="auto"/>
        <w:tabs>
          <w:tab w:val="left" w:pos="842"/>
        </w:tabs>
        <w:spacing w:before="0" w:line="360" w:lineRule="auto"/>
        <w:ind w:firstLine="500"/>
        <w:jc w:val="both"/>
        <w:rPr>
          <w:sz w:val="21"/>
          <w:szCs w:val="21"/>
        </w:rPr>
      </w:pPr>
      <w:r>
        <w:rPr>
          <w:sz w:val="21"/>
          <w:szCs w:val="21"/>
        </w:rPr>
        <w:t>使用通过受让或租借等方式获取的资格、资格证书投标；</w:t>
      </w:r>
    </w:p>
    <w:p>
      <w:pPr>
        <w:pStyle w:val="59"/>
        <w:numPr>
          <w:ilvl w:val="0"/>
          <w:numId w:val="9"/>
        </w:numPr>
        <w:shd w:val="clear" w:color="auto" w:fill="auto"/>
        <w:tabs>
          <w:tab w:val="left" w:pos="863"/>
        </w:tabs>
        <w:spacing w:before="0" w:line="360" w:lineRule="auto"/>
        <w:ind w:firstLine="500"/>
        <w:jc w:val="both"/>
        <w:rPr>
          <w:sz w:val="21"/>
          <w:szCs w:val="21"/>
        </w:rPr>
      </w:pPr>
      <w:r>
        <w:rPr>
          <w:sz w:val="21"/>
          <w:szCs w:val="21"/>
        </w:rPr>
        <w:t>使用伪造、变造的许可证件；</w:t>
      </w:r>
    </w:p>
    <w:p>
      <w:pPr>
        <w:pStyle w:val="59"/>
        <w:numPr>
          <w:ilvl w:val="0"/>
          <w:numId w:val="9"/>
        </w:numPr>
        <w:shd w:val="clear" w:color="auto" w:fill="auto"/>
        <w:tabs>
          <w:tab w:val="left" w:pos="863"/>
        </w:tabs>
        <w:spacing w:before="0" w:line="360" w:lineRule="auto"/>
        <w:ind w:firstLine="500"/>
        <w:jc w:val="both"/>
        <w:rPr>
          <w:sz w:val="21"/>
          <w:szCs w:val="21"/>
        </w:rPr>
      </w:pPr>
      <w:r>
        <w:rPr>
          <w:sz w:val="21"/>
          <w:szCs w:val="21"/>
        </w:rPr>
        <w:t>提供虚假的业绩；</w:t>
      </w:r>
    </w:p>
    <w:p>
      <w:pPr>
        <w:pStyle w:val="59"/>
        <w:numPr>
          <w:ilvl w:val="0"/>
          <w:numId w:val="9"/>
        </w:numPr>
        <w:shd w:val="clear" w:color="auto" w:fill="auto"/>
        <w:tabs>
          <w:tab w:val="left" w:pos="863"/>
        </w:tabs>
        <w:spacing w:before="0" w:line="360" w:lineRule="auto"/>
        <w:ind w:firstLine="500"/>
        <w:jc w:val="both"/>
        <w:rPr>
          <w:sz w:val="21"/>
          <w:szCs w:val="21"/>
        </w:rPr>
      </w:pPr>
      <w:r>
        <w:rPr>
          <w:sz w:val="21"/>
          <w:szCs w:val="21"/>
        </w:rPr>
        <w:t>提供虚假的项目负责人或主要技术人员简历、劳动关系证明；</w:t>
      </w:r>
    </w:p>
    <w:p>
      <w:pPr>
        <w:pStyle w:val="59"/>
        <w:numPr>
          <w:ilvl w:val="0"/>
          <w:numId w:val="9"/>
        </w:numPr>
        <w:shd w:val="clear" w:color="auto" w:fill="auto"/>
        <w:tabs>
          <w:tab w:val="left" w:pos="863"/>
        </w:tabs>
        <w:spacing w:before="0" w:line="360" w:lineRule="auto"/>
        <w:ind w:firstLine="500"/>
        <w:jc w:val="both"/>
        <w:rPr>
          <w:sz w:val="21"/>
          <w:szCs w:val="21"/>
        </w:rPr>
      </w:pPr>
      <w:r>
        <w:rPr>
          <w:sz w:val="21"/>
          <w:szCs w:val="21"/>
        </w:rPr>
        <w:t>提供虚假的信用状况；</w:t>
      </w:r>
    </w:p>
    <w:p>
      <w:pPr>
        <w:pStyle w:val="59"/>
        <w:numPr>
          <w:ilvl w:val="0"/>
          <w:numId w:val="9"/>
        </w:numPr>
        <w:shd w:val="clear" w:color="auto" w:fill="auto"/>
        <w:tabs>
          <w:tab w:val="left" w:pos="863"/>
        </w:tabs>
        <w:spacing w:before="0" w:line="360" w:lineRule="auto"/>
        <w:ind w:firstLine="500"/>
        <w:jc w:val="both"/>
        <w:rPr>
          <w:rStyle w:val="68"/>
          <w:b w:val="0"/>
          <w:szCs w:val="21"/>
          <w:lang w:val="zh-TW" w:bidi="zh-TW"/>
        </w:rPr>
      </w:pPr>
      <w:r>
        <w:rPr>
          <w:sz w:val="21"/>
          <w:szCs w:val="21"/>
        </w:rPr>
        <w:t>其他弄虚作假的行为。</w:t>
      </w:r>
      <w:bookmarkStart w:id="45" w:name="bookmark100"/>
    </w:p>
    <w:p>
      <w:pPr>
        <w:rPr>
          <w:b/>
          <w:bCs/>
          <w:szCs w:val="21"/>
        </w:rPr>
      </w:pPr>
      <w:r>
        <w:rPr>
          <w:rFonts w:hint="eastAsia"/>
          <w:b/>
          <w:bCs/>
          <w:szCs w:val="21"/>
        </w:rPr>
        <w:t>3.</w:t>
      </w:r>
      <w:r>
        <w:rPr>
          <w:b/>
          <w:bCs/>
          <w:szCs w:val="21"/>
        </w:rPr>
        <w:t>7投标文件的澄清和说明</w:t>
      </w:r>
      <w:bookmarkEnd w:id="45"/>
    </w:p>
    <w:p>
      <w:pPr>
        <w:pStyle w:val="59"/>
        <w:shd w:val="clear" w:color="auto" w:fill="auto"/>
        <w:spacing w:before="0" w:line="360" w:lineRule="auto"/>
        <w:ind w:firstLine="500"/>
        <w:jc w:val="both"/>
        <w:rPr>
          <w:sz w:val="21"/>
          <w:szCs w:val="21"/>
        </w:rPr>
      </w:pPr>
      <w:r>
        <w:rPr>
          <w:sz w:val="21"/>
          <w:szCs w:val="21"/>
          <w:lang w:bidi="en-US"/>
        </w:rPr>
        <w:t>3.7.1</w:t>
      </w:r>
      <w:r>
        <w:rPr>
          <w:sz w:val="21"/>
          <w:szCs w:val="21"/>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pPr>
        <w:pStyle w:val="59"/>
        <w:shd w:val="clear" w:color="auto" w:fill="auto"/>
        <w:spacing w:before="0" w:line="360" w:lineRule="auto"/>
        <w:ind w:firstLine="500"/>
        <w:jc w:val="both"/>
        <w:rPr>
          <w:sz w:val="21"/>
          <w:szCs w:val="21"/>
        </w:rPr>
      </w:pPr>
      <w:r>
        <w:rPr>
          <w:sz w:val="21"/>
          <w:szCs w:val="21"/>
          <w:lang w:bidi="en-US"/>
        </w:rPr>
        <w:t>3.7.2</w:t>
      </w:r>
      <w:r>
        <w:rPr>
          <w:sz w:val="21"/>
          <w:szCs w:val="21"/>
        </w:rPr>
        <w:t>澄清和说明不得超出投标文件的范围或改变投标文件的实质性内容（算术性错误的修正除外）。投标人的书面澄清、说明属于投标文件的组成部分。</w:t>
      </w:r>
    </w:p>
    <w:p>
      <w:pPr>
        <w:pStyle w:val="59"/>
        <w:shd w:val="clear" w:color="auto" w:fill="auto"/>
        <w:spacing w:before="0" w:line="360" w:lineRule="auto"/>
        <w:ind w:firstLine="500"/>
        <w:jc w:val="both"/>
        <w:rPr>
          <w:sz w:val="21"/>
          <w:szCs w:val="21"/>
        </w:rPr>
      </w:pPr>
      <w:r>
        <w:rPr>
          <w:sz w:val="21"/>
          <w:szCs w:val="21"/>
          <w:lang w:bidi="en-US"/>
        </w:rPr>
        <w:t>3.7.3</w:t>
      </w:r>
      <w:r>
        <w:rPr>
          <w:sz w:val="21"/>
          <w:szCs w:val="21"/>
        </w:rPr>
        <w:t>评标委员会不得暗示或诱导投标人作出澄清、说明，对投标人提交的澄清、说明有疑问的，可以要求投标人进一步澄清或说明，直至满足评标委员会的要求。</w:t>
      </w:r>
    </w:p>
    <w:p>
      <w:pPr>
        <w:pStyle w:val="59"/>
        <w:shd w:val="clear" w:color="auto" w:fill="auto"/>
        <w:spacing w:before="0" w:line="360" w:lineRule="auto"/>
        <w:ind w:firstLine="520"/>
        <w:jc w:val="left"/>
        <w:rPr>
          <w:sz w:val="21"/>
          <w:szCs w:val="21"/>
        </w:rPr>
      </w:pPr>
      <w:r>
        <w:rPr>
          <w:sz w:val="21"/>
          <w:szCs w:val="21"/>
          <w:lang w:bidi="en-US"/>
        </w:rPr>
        <w:t>3.7.4</w:t>
      </w:r>
      <w:r>
        <w:rPr>
          <w:sz w:val="21"/>
          <w:szCs w:val="21"/>
        </w:rPr>
        <w:t>凡超出招标文件规定的或给发包人带来未曾要求的利益的变化、偏差或其他因素在评标时不予考虑。</w:t>
      </w:r>
    </w:p>
    <w:p>
      <w:pPr>
        <w:rPr>
          <w:b/>
          <w:szCs w:val="21"/>
        </w:rPr>
      </w:pPr>
      <w:r>
        <w:rPr>
          <w:rFonts w:hint="eastAsia"/>
          <w:b/>
          <w:szCs w:val="21"/>
        </w:rPr>
        <w:t>3.8</w:t>
      </w:r>
      <w:r>
        <w:rPr>
          <w:b/>
          <w:szCs w:val="21"/>
        </w:rPr>
        <w:t>不得否决投标的情形</w:t>
      </w:r>
    </w:p>
    <w:p>
      <w:pPr>
        <w:pStyle w:val="59"/>
        <w:shd w:val="clear" w:color="auto" w:fill="auto"/>
        <w:spacing w:before="0" w:line="360" w:lineRule="auto"/>
        <w:ind w:firstLine="420" w:firstLineChars="200"/>
        <w:jc w:val="left"/>
      </w:pPr>
      <w:r>
        <w:rPr>
          <w:sz w:val="21"/>
          <w:szCs w:val="21"/>
        </w:rPr>
        <w:t>投标文件存在第二章“投标人须知”第1.12.3项所列情形的，均视为细微偏差，评标委员会不得否决投标人的投标，应按照第二章“投标人须知”第1.12.4项规定的原则处理。</w:t>
      </w:r>
    </w:p>
    <w:p>
      <w:pPr>
        <w:rPr>
          <w:b/>
          <w:bCs/>
          <w:szCs w:val="21"/>
        </w:rPr>
      </w:pPr>
      <w:r>
        <w:rPr>
          <w:rFonts w:hint="eastAsia"/>
          <w:b/>
          <w:bCs/>
          <w:szCs w:val="21"/>
        </w:rPr>
        <w:t>3.9</w:t>
      </w:r>
      <w:r>
        <w:rPr>
          <w:b/>
          <w:bCs/>
          <w:szCs w:val="21"/>
        </w:rPr>
        <w:t>评标结果</w:t>
      </w:r>
    </w:p>
    <w:p>
      <w:pPr>
        <w:pStyle w:val="59"/>
        <w:shd w:val="clear" w:color="auto" w:fill="auto"/>
        <w:spacing w:before="0" w:line="360" w:lineRule="auto"/>
        <w:ind w:firstLine="420" w:firstLineChars="200"/>
        <w:jc w:val="left"/>
        <w:rPr>
          <w:sz w:val="21"/>
          <w:szCs w:val="21"/>
        </w:rPr>
      </w:pPr>
      <w:r>
        <w:rPr>
          <w:sz w:val="21"/>
          <w:szCs w:val="21"/>
        </w:rPr>
        <w:t>3.9.1除第二章“投标人须知”前附表授权直接确定中标人外，评标委员会按照得分由高到低的顺序推荐中标候选人，并标明排序。</w:t>
      </w:r>
    </w:p>
    <w:p>
      <w:pPr>
        <w:ind w:firstLine="424" w:firstLineChars="202"/>
        <w:jc w:val="left"/>
        <w:outlineLvl w:val="2"/>
        <w:rPr>
          <w:rFonts w:hint="eastAsia"/>
          <w:szCs w:val="21"/>
        </w:rPr>
      </w:pPr>
      <w:r>
        <w:rPr>
          <w:szCs w:val="21"/>
        </w:rPr>
        <w:t>3.9.2评标委员会完成评标后，应向招标人提交书面评标报告。</w:t>
      </w:r>
    </w:p>
    <w:p>
      <w:pPr>
        <w:spacing w:before="100" w:beforeAutospacing="1"/>
        <w:jc w:val="left"/>
        <w:outlineLvl w:val="2"/>
        <w:rPr>
          <w:rFonts w:ascii="宋体" w:hAnsi="宋体"/>
          <w:b/>
          <w:szCs w:val="21"/>
        </w:rPr>
      </w:pPr>
      <w:r>
        <w:rPr>
          <w:rFonts w:ascii="宋体" w:hAnsi="宋体"/>
          <w:b/>
          <w:szCs w:val="21"/>
        </w:rPr>
        <w:t>6</w:t>
      </w:r>
      <w:r>
        <w:rPr>
          <w:rFonts w:hint="eastAsia" w:ascii="宋体" w:hAnsi="宋体"/>
          <w:b/>
          <w:szCs w:val="21"/>
        </w:rPr>
        <w:t>. 公开时间</w:t>
      </w:r>
    </w:p>
    <w:p>
      <w:pPr>
        <w:snapToGrid w:val="0"/>
        <w:spacing w:line="400" w:lineRule="exact"/>
        <w:ind w:firstLine="420" w:firstLineChars="200"/>
        <w:rPr>
          <w:rFonts w:asciiTheme="minorEastAsia" w:hAnsiTheme="minorEastAsia" w:eastAsiaTheme="minorEastAsia"/>
          <w:color w:val="000000" w:themeColor="text1"/>
          <w:szCs w:val="21"/>
        </w:rPr>
      </w:pPr>
      <w:r>
        <w:rPr>
          <w:rFonts w:hint="eastAsia" w:asciiTheme="minorEastAsia" w:hAnsiTheme="minorEastAsia" w:eastAsiaTheme="minorEastAsia"/>
          <w:color w:val="000000" w:themeColor="text1"/>
          <w:szCs w:val="21"/>
        </w:rPr>
        <w:t>本次招标文件关键内容信息公开时间至2020年10月26日结束。</w:t>
      </w:r>
      <w:bookmarkStart w:id="46" w:name="_Toc455238563"/>
    </w:p>
    <w:p>
      <w:pPr>
        <w:spacing w:beforeLines="50" w:afterLines="50" w:line="400" w:lineRule="exact"/>
        <w:rPr>
          <w:rFonts w:ascii="宋体" w:hAnsi="宋体"/>
          <w:b/>
          <w:szCs w:val="21"/>
        </w:rPr>
      </w:pPr>
      <w:r>
        <w:rPr>
          <w:rFonts w:ascii="宋体" w:hAnsi="宋体"/>
          <w:b/>
          <w:szCs w:val="21"/>
        </w:rPr>
        <w:t>7</w:t>
      </w:r>
      <w:r>
        <w:rPr>
          <w:rFonts w:hint="eastAsia" w:ascii="宋体" w:hAnsi="宋体"/>
          <w:b/>
          <w:szCs w:val="21"/>
        </w:rPr>
        <w:t>.联系方式</w:t>
      </w:r>
      <w:bookmarkEnd w:id="46"/>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招 标 人: 白城市公路工程建设办公室</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地    址: 白城市幸福南大街84号</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邮    编: </w:t>
      </w:r>
      <w:r>
        <w:rPr>
          <w:rFonts w:asciiTheme="minorEastAsia" w:hAnsiTheme="minorEastAsia" w:eastAsiaTheme="minorEastAsia"/>
          <w:szCs w:val="21"/>
        </w:rPr>
        <w:t>137000</w:t>
      </w:r>
      <w:bookmarkStart w:id="47" w:name="_GoBack"/>
      <w:bookmarkEnd w:id="47"/>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联 系 人: 霍光</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电    话: </w:t>
      </w:r>
      <w:r>
        <w:rPr>
          <w:rFonts w:asciiTheme="minorEastAsia" w:hAnsiTheme="minorEastAsia" w:eastAsiaTheme="minorEastAsia"/>
          <w:szCs w:val="21"/>
        </w:rPr>
        <w:t>0436-3671563</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传    真:</w:t>
      </w:r>
      <w:r>
        <w:rPr>
          <w:rFonts w:asciiTheme="minorEastAsia" w:hAnsiTheme="minorEastAsia" w:eastAsiaTheme="minorEastAsia"/>
          <w:szCs w:val="21"/>
        </w:rPr>
        <w:t xml:space="preserve"> 0436-3671563</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招标代理机构</w:t>
      </w:r>
      <w:r>
        <w:rPr>
          <w:rFonts w:asciiTheme="minorEastAsia" w:hAnsiTheme="minorEastAsia" w:eastAsiaTheme="minorEastAsia"/>
          <w:szCs w:val="21"/>
        </w:rPr>
        <w:t xml:space="preserve">: </w:t>
      </w:r>
      <w:r>
        <w:rPr>
          <w:rFonts w:hint="eastAsia" w:asciiTheme="minorEastAsia" w:hAnsiTheme="minorEastAsia" w:eastAsiaTheme="minorEastAsia"/>
          <w:szCs w:val="21"/>
        </w:rPr>
        <w:t>吉林省常利工程信息咨询有限公司</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地</w:t>
      </w:r>
      <w:r>
        <w:rPr>
          <w:rFonts w:asciiTheme="minorEastAsia" w:hAnsiTheme="minorEastAsia" w:eastAsiaTheme="minorEastAsia"/>
          <w:szCs w:val="21"/>
        </w:rPr>
        <w:t xml:space="preserve">    </w:t>
      </w:r>
      <w:r>
        <w:rPr>
          <w:rFonts w:hint="eastAsia" w:asciiTheme="minorEastAsia" w:hAnsiTheme="minorEastAsia" w:eastAsiaTheme="minorEastAsia"/>
          <w:szCs w:val="21"/>
        </w:rPr>
        <w:t>址：</w:t>
      </w:r>
      <w:r>
        <w:rPr>
          <w:rFonts w:hint="eastAsia" w:asciiTheme="minorEastAsia" w:hAnsiTheme="minorEastAsia" w:eastAsiaTheme="minorEastAsia"/>
          <w:spacing w:val="-1"/>
          <w:szCs w:val="21"/>
        </w:rPr>
        <w:t>长春市高新技术产业开发区超越大街与越达路交汇长春高新越达科技产业园</w:t>
      </w:r>
      <w:r>
        <w:rPr>
          <w:rFonts w:asciiTheme="minorEastAsia" w:hAnsiTheme="minorEastAsia" w:eastAsiaTheme="minorEastAsia"/>
          <w:spacing w:val="-1"/>
          <w:szCs w:val="21"/>
        </w:rPr>
        <w:t>5</w:t>
      </w:r>
      <w:r>
        <w:rPr>
          <w:rFonts w:hint="eastAsia" w:asciiTheme="minorEastAsia" w:hAnsiTheme="minorEastAsia" w:eastAsiaTheme="minorEastAsia"/>
          <w:spacing w:val="-1"/>
          <w:szCs w:val="21"/>
        </w:rPr>
        <w:t>栋三层</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邮</w:t>
      </w:r>
      <w:r>
        <w:rPr>
          <w:rFonts w:asciiTheme="minorEastAsia" w:hAnsiTheme="minorEastAsia" w:eastAsiaTheme="minorEastAsia"/>
          <w:szCs w:val="21"/>
        </w:rPr>
        <w:t xml:space="preserve">    </w:t>
      </w:r>
      <w:r>
        <w:rPr>
          <w:rFonts w:hint="eastAsia" w:asciiTheme="minorEastAsia" w:hAnsiTheme="minorEastAsia" w:eastAsiaTheme="minorEastAsia"/>
          <w:szCs w:val="21"/>
        </w:rPr>
        <w:t>编：</w:t>
      </w:r>
      <w:r>
        <w:rPr>
          <w:rFonts w:asciiTheme="minorEastAsia" w:hAnsiTheme="minorEastAsia" w:eastAsiaTheme="minorEastAsia"/>
          <w:szCs w:val="21"/>
        </w:rPr>
        <w:t>130015</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联</w:t>
      </w:r>
      <w:r>
        <w:rPr>
          <w:rFonts w:asciiTheme="minorEastAsia" w:hAnsiTheme="minorEastAsia" w:eastAsiaTheme="minorEastAsia"/>
          <w:szCs w:val="21"/>
        </w:rPr>
        <w:t xml:space="preserve"> </w:t>
      </w:r>
      <w:r>
        <w:rPr>
          <w:rFonts w:hint="eastAsia" w:asciiTheme="minorEastAsia" w:hAnsiTheme="minorEastAsia" w:eastAsiaTheme="minorEastAsia"/>
          <w:szCs w:val="21"/>
        </w:rPr>
        <w:t>系</w:t>
      </w:r>
      <w:r>
        <w:rPr>
          <w:rFonts w:asciiTheme="minorEastAsia" w:hAnsiTheme="minorEastAsia" w:eastAsiaTheme="minorEastAsia"/>
          <w:szCs w:val="21"/>
        </w:rPr>
        <w:t xml:space="preserve"> </w:t>
      </w:r>
      <w:r>
        <w:rPr>
          <w:rFonts w:hint="eastAsia" w:asciiTheme="minorEastAsia" w:hAnsiTheme="minorEastAsia" w:eastAsiaTheme="minorEastAsia"/>
          <w:szCs w:val="21"/>
        </w:rPr>
        <w:t>人：祝佳美</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电</w:t>
      </w:r>
      <w:r>
        <w:rPr>
          <w:rFonts w:asciiTheme="minorEastAsia" w:hAnsiTheme="minorEastAsia" w:eastAsiaTheme="minorEastAsia"/>
          <w:szCs w:val="21"/>
        </w:rPr>
        <w:t xml:space="preserve">    </w:t>
      </w:r>
      <w:r>
        <w:rPr>
          <w:rFonts w:hint="eastAsia" w:asciiTheme="minorEastAsia" w:hAnsiTheme="minorEastAsia" w:eastAsiaTheme="minorEastAsia"/>
          <w:szCs w:val="21"/>
        </w:rPr>
        <w:t>话：</w:t>
      </w:r>
      <w:r>
        <w:rPr>
          <w:rFonts w:asciiTheme="minorEastAsia" w:hAnsiTheme="minorEastAsia" w:eastAsiaTheme="minorEastAsia"/>
          <w:szCs w:val="21"/>
        </w:rPr>
        <w:t>0431- 81902477</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传</w:t>
      </w:r>
      <w:r>
        <w:rPr>
          <w:rFonts w:asciiTheme="minorEastAsia" w:hAnsiTheme="minorEastAsia" w:eastAsiaTheme="minorEastAsia"/>
          <w:szCs w:val="21"/>
        </w:rPr>
        <w:t xml:space="preserve">    </w:t>
      </w:r>
      <w:r>
        <w:rPr>
          <w:rFonts w:hint="eastAsia" w:asciiTheme="minorEastAsia" w:hAnsiTheme="minorEastAsia" w:eastAsiaTheme="minorEastAsia"/>
          <w:szCs w:val="21"/>
        </w:rPr>
        <w:t>真：</w:t>
      </w:r>
      <w:r>
        <w:rPr>
          <w:rFonts w:asciiTheme="minorEastAsia" w:hAnsiTheme="minorEastAsia" w:eastAsiaTheme="minorEastAsia"/>
          <w:szCs w:val="21"/>
        </w:rPr>
        <w:t xml:space="preserve">0431- 81902477 </w:t>
      </w:r>
    </w:p>
    <w:p>
      <w:pPr>
        <w:spacing w:line="400" w:lineRule="exact"/>
        <w:ind w:firstLine="643" w:firstLineChars="200"/>
        <w:rPr>
          <w:rFonts w:ascii="黑体" w:hAnsi="黑体" w:eastAsia="黑体"/>
          <w:b/>
          <w:color w:val="000000" w:themeColor="text1"/>
          <w:sz w:val="32"/>
          <w:szCs w:val="32"/>
        </w:rPr>
      </w:pPr>
    </w:p>
    <w:sectPr>
      <w:footnotePr>
        <w:numFmt w:val="decimalEnclosedCircleChinese"/>
        <w:numRestart w:val="eachPage"/>
      </w:footnotePr>
      <w:pgSz w:w="11900" w:h="16840"/>
      <w:pgMar w:top="1134" w:right="1134" w:bottom="1134" w:left="1134" w:header="851" w:footer="851"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Lucida Sans Unicode">
    <w:panose1 w:val="020B0602030504020204"/>
    <w:charset w:val="00"/>
    <w:family w:val="swiss"/>
    <w:pitch w:val="default"/>
    <w:sig w:usb0="80001AFF" w:usb1="0000396B" w:usb2="00000000" w:usb3="00000000" w:csb0="200000BF" w:csb1="D7F70000"/>
  </w:font>
  <w:font w:name="Sylfaen">
    <w:panose1 w:val="010A0502050306030303"/>
    <w:charset w:val="00"/>
    <w:family w:val="roman"/>
    <w:pitch w:val="default"/>
    <w:sig w:usb0="040006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PMingLiU">
    <w:panose1 w:val="02020500000000000000"/>
    <w:charset w:val="88"/>
    <w:family w:val="auto"/>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CordiaUPC">
    <w:panose1 w:val="020B0304020202020204"/>
    <w:charset w:val="00"/>
    <w:family w:val="swiss"/>
    <w:pitch w:val="default"/>
    <w:sig w:usb0="81000003" w:usb1="00000000" w:usb2="00000000" w:usb3="00000000" w:csb0="00010001"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00" w:usb3="00000000" w:csb0="00040001" w:csb1="00000000"/>
  </w:font>
  <w:font w:name="David">
    <w:panose1 w:val="020E0502060401010101"/>
    <w:charset w:val="B1"/>
    <w:family w:val="swiss"/>
    <w:pitch w:val="default"/>
    <w:sig w:usb0="00000801" w:usb1="00000000" w:usb2="00000000" w:usb3="00000000" w:csb0="00000020" w:csb1="00200000"/>
  </w:font>
  <w:font w:name="方正超粗黑简体">
    <w:altName w:val="Arial Unicode MS"/>
    <w:panose1 w:val="00000000000000000000"/>
    <w:charset w:val="86"/>
    <w:family w:val="script"/>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2"/>
      </w:pPr>
      <w:r>
        <w:rPr>
          <w:rStyle w:val="53"/>
        </w:rPr>
        <w:footnoteRef/>
      </w:r>
      <w:r>
        <w:t>各评分因素</w:t>
      </w:r>
      <w:r>
        <w:rPr>
          <w:lang w:bidi="en-US"/>
        </w:rPr>
        <w:t>（</w:t>
      </w:r>
      <w:r>
        <w:t>评标价和履约信誉评分项除外）得分一般不得低于其权重分值的60%，且各评分因素得分应以评标委员会各成员的打分平均值确定。评标委员会成员对某一项评分因素的评分低于权重分值60%的</w:t>
      </w:r>
      <w:r>
        <w:rPr>
          <w:rFonts w:hint="eastAsia"/>
        </w:rPr>
        <w:t>，应在评标报告中做出说明。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4560"/>
    <w:multiLevelType w:val="multilevel"/>
    <w:tmpl w:val="1B344560"/>
    <w:lvl w:ilvl="0" w:tentative="0">
      <w:start w:val="1"/>
      <w:numFmt w:val="decimal"/>
      <w:pStyle w:val="368"/>
      <w:suff w:val="nothing"/>
      <w:lvlText w:val="（%1）"/>
      <w:lvlJc w:val="left"/>
      <w:pPr>
        <w:ind w:left="0" w:firstLine="40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
    <w:nsid w:val="1BC766A8"/>
    <w:multiLevelType w:val="multilevel"/>
    <w:tmpl w:val="1BC766A8"/>
    <w:lvl w:ilvl="0" w:tentative="0">
      <w:start w:val="1"/>
      <w:numFmt w:val="decimal"/>
      <w:lvlText w:val="(%1)"/>
      <w:lvlJc w:val="left"/>
      <w:rPr>
        <w:rFonts w:ascii="MingLiU" w:hAnsi="MingLiU" w:eastAsia="MingLiU" w:cs="MingLiU"/>
        <w:b w:val="0"/>
        <w:bCs w:val="0"/>
        <w:i w:val="0"/>
        <w:iCs w:val="0"/>
        <w:smallCaps w:val="0"/>
        <w:strike w:val="0"/>
        <w:color w:val="000000"/>
        <w:spacing w:val="0"/>
        <w:w w:val="100"/>
        <w:position w:val="0"/>
        <w:sz w:val="22"/>
        <w:szCs w:val="22"/>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22427E2F"/>
    <w:multiLevelType w:val="multilevel"/>
    <w:tmpl w:val="22427E2F"/>
    <w:lvl w:ilvl="0" w:tentative="0">
      <w:start w:val="1"/>
      <w:numFmt w:val="lowerLetter"/>
      <w:lvlText w:val="%1."/>
      <w:lvlJc w:val="left"/>
      <w:rPr>
        <w:rFonts w:ascii="David" w:hAnsi="David" w:eastAsia="David" w:cs="David"/>
        <w:b w:val="0"/>
        <w:bCs w:val="0"/>
        <w:i w:val="0"/>
        <w:iCs w:val="0"/>
        <w:smallCaps w:val="0"/>
        <w:strike w:val="0"/>
        <w:color w:val="000000"/>
        <w:spacing w:val="0"/>
        <w:w w:val="100"/>
        <w:position w:val="0"/>
        <w:sz w:val="24"/>
        <w:szCs w:val="24"/>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24ED472F"/>
    <w:multiLevelType w:val="multilevel"/>
    <w:tmpl w:val="24ED472F"/>
    <w:lvl w:ilvl="0" w:tentative="0">
      <w:start w:val="1"/>
      <w:numFmt w:val="decimal"/>
      <w:pStyle w:val="367"/>
      <w:suff w:val="nothing"/>
      <w:lvlText w:val="（%1）"/>
      <w:lvlJc w:val="left"/>
      <w:pPr>
        <w:ind w:left="0" w:firstLine="40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4">
    <w:nsid w:val="2747057B"/>
    <w:multiLevelType w:val="multilevel"/>
    <w:tmpl w:val="2747057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3"/>
        <w:szCs w:val="23"/>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57E94D7C"/>
    <w:multiLevelType w:val="multilevel"/>
    <w:tmpl w:val="57E94D7C"/>
    <w:lvl w:ilvl="0" w:tentative="0">
      <w:start w:val="1"/>
      <w:numFmt w:val="lowerLetter"/>
      <w:lvlText w:val="%1."/>
      <w:lvlJc w:val="left"/>
      <w:rPr>
        <w:rFonts w:ascii="David" w:hAnsi="David" w:eastAsia="David" w:cs="David"/>
        <w:b w:val="0"/>
        <w:bCs w:val="0"/>
        <w:i w:val="0"/>
        <w:iCs w:val="0"/>
        <w:smallCaps w:val="0"/>
        <w:strike w:val="0"/>
        <w:color w:val="000000"/>
        <w:spacing w:val="0"/>
        <w:w w:val="100"/>
        <w:position w:val="0"/>
        <w:sz w:val="24"/>
        <w:szCs w:val="24"/>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5BEB0397"/>
    <w:multiLevelType w:val="multilevel"/>
    <w:tmpl w:val="5BEB039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3"/>
        <w:szCs w:val="23"/>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7">
    <w:nsid w:val="616366E0"/>
    <w:multiLevelType w:val="multilevel"/>
    <w:tmpl w:val="616366E0"/>
    <w:lvl w:ilvl="0" w:tentative="0">
      <w:start w:val="1"/>
      <w:numFmt w:val="lowerLetter"/>
      <w:lvlText w:val="%1."/>
      <w:lvlJc w:val="left"/>
      <w:rPr>
        <w:rFonts w:ascii="David" w:hAnsi="David" w:eastAsia="David" w:cs="David"/>
        <w:b w:val="0"/>
        <w:bCs w:val="0"/>
        <w:i w:val="0"/>
        <w:iCs w:val="0"/>
        <w:smallCaps w:val="0"/>
        <w:strike w:val="0"/>
        <w:color w:val="000000"/>
        <w:spacing w:val="0"/>
        <w:w w:val="100"/>
        <w:position w:val="0"/>
        <w:sz w:val="24"/>
        <w:szCs w:val="24"/>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8">
    <w:nsid w:val="63A61BCE"/>
    <w:multiLevelType w:val="multilevel"/>
    <w:tmpl w:val="63A61BCE"/>
    <w:lvl w:ilvl="0" w:tentative="0">
      <w:start w:val="1"/>
      <w:numFmt w:val="lowerLetter"/>
      <w:lvlText w:val="%1."/>
      <w:lvlJc w:val="left"/>
      <w:rPr>
        <w:rFonts w:ascii="David" w:hAnsi="David" w:eastAsia="David" w:cs="David"/>
        <w:b w:val="0"/>
        <w:bCs w:val="0"/>
        <w:i w:val="0"/>
        <w:iCs w:val="0"/>
        <w:smallCaps w:val="0"/>
        <w:strike w:val="0"/>
        <w:color w:val="000000"/>
        <w:spacing w:val="0"/>
        <w:w w:val="100"/>
        <w:position w:val="0"/>
        <w:sz w:val="24"/>
        <w:szCs w:val="24"/>
        <w:u w:val="none"/>
        <w:lang w:val="en-US" w:eastAsia="en-US" w:bidi="en-U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3"/>
  </w:num>
  <w:num w:numId="2">
    <w:abstractNumId w:val="0"/>
  </w:num>
  <w:num w:numId="3">
    <w:abstractNumId w:val="4"/>
  </w:num>
  <w:num w:numId="4">
    <w:abstractNumId w:val="6"/>
  </w:num>
  <w:num w:numId="5">
    <w:abstractNumId w:val="1"/>
  </w:num>
  <w:num w:numId="6">
    <w:abstractNumId w:val="8"/>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hideSpellingErrors/>
  <w:doNotTrackMoves/>
  <w:documentProtection w:enforcement="0"/>
  <w:defaultTabStop w:val="720"/>
  <w:drawingGridHorizontalSpacing w:val="120"/>
  <w:drawingGridVerticalSpacing w:val="120"/>
  <w:doNotUseMarginsForDrawingGridOrigin w:val="1"/>
  <w:drawingGridHorizontalOrigin w:val="1800"/>
  <w:drawingGridVerticalOrigin w:val="1440"/>
  <w:doNotShadeFormData w:val="1"/>
  <w:noPunctuationKerning w:val="1"/>
  <w:characterSpacingControl w:val="compressPunctuation"/>
  <w:doNotValidateAgainstSchema/>
  <w:doNotDemarcateInvalidXml/>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22355"/>
    <w:rsid w:val="00000B9B"/>
    <w:rsid w:val="0000164E"/>
    <w:rsid w:val="00001854"/>
    <w:rsid w:val="00001EB2"/>
    <w:rsid w:val="00002670"/>
    <w:rsid w:val="00002CF2"/>
    <w:rsid w:val="00002D37"/>
    <w:rsid w:val="00003556"/>
    <w:rsid w:val="00003685"/>
    <w:rsid w:val="00003EBA"/>
    <w:rsid w:val="00004381"/>
    <w:rsid w:val="000055C5"/>
    <w:rsid w:val="00005739"/>
    <w:rsid w:val="000058E7"/>
    <w:rsid w:val="000062B2"/>
    <w:rsid w:val="000068D5"/>
    <w:rsid w:val="00010A3D"/>
    <w:rsid w:val="00010CA3"/>
    <w:rsid w:val="000111B0"/>
    <w:rsid w:val="00011388"/>
    <w:rsid w:val="00011480"/>
    <w:rsid w:val="0001261F"/>
    <w:rsid w:val="00012D41"/>
    <w:rsid w:val="00012EAF"/>
    <w:rsid w:val="0001355C"/>
    <w:rsid w:val="00013B9C"/>
    <w:rsid w:val="00014625"/>
    <w:rsid w:val="00014DEA"/>
    <w:rsid w:val="00015328"/>
    <w:rsid w:val="00015A90"/>
    <w:rsid w:val="00015DB8"/>
    <w:rsid w:val="0001651E"/>
    <w:rsid w:val="00016CDD"/>
    <w:rsid w:val="00017827"/>
    <w:rsid w:val="00017FBE"/>
    <w:rsid w:val="000203C5"/>
    <w:rsid w:val="00020684"/>
    <w:rsid w:val="000207BA"/>
    <w:rsid w:val="00020B18"/>
    <w:rsid w:val="0002185E"/>
    <w:rsid w:val="00021F4F"/>
    <w:rsid w:val="00022437"/>
    <w:rsid w:val="0002244B"/>
    <w:rsid w:val="000233EF"/>
    <w:rsid w:val="00023AA1"/>
    <w:rsid w:val="00023F1C"/>
    <w:rsid w:val="000240A3"/>
    <w:rsid w:val="000246DD"/>
    <w:rsid w:val="00024CAF"/>
    <w:rsid w:val="00025945"/>
    <w:rsid w:val="00025D97"/>
    <w:rsid w:val="0002642A"/>
    <w:rsid w:val="00026758"/>
    <w:rsid w:val="00026EDE"/>
    <w:rsid w:val="000276C7"/>
    <w:rsid w:val="00027CFB"/>
    <w:rsid w:val="00030B33"/>
    <w:rsid w:val="00030C58"/>
    <w:rsid w:val="00030CA0"/>
    <w:rsid w:val="0003163D"/>
    <w:rsid w:val="0003216C"/>
    <w:rsid w:val="000321CD"/>
    <w:rsid w:val="00033D43"/>
    <w:rsid w:val="000345CF"/>
    <w:rsid w:val="0003563D"/>
    <w:rsid w:val="00035782"/>
    <w:rsid w:val="00035B0E"/>
    <w:rsid w:val="00036DE6"/>
    <w:rsid w:val="00036FDC"/>
    <w:rsid w:val="0003787D"/>
    <w:rsid w:val="0004083E"/>
    <w:rsid w:val="00040C6A"/>
    <w:rsid w:val="000412D1"/>
    <w:rsid w:val="0004139F"/>
    <w:rsid w:val="000414C3"/>
    <w:rsid w:val="00042733"/>
    <w:rsid w:val="000435F0"/>
    <w:rsid w:val="000439F1"/>
    <w:rsid w:val="000443B5"/>
    <w:rsid w:val="00044E96"/>
    <w:rsid w:val="00044ED6"/>
    <w:rsid w:val="00045885"/>
    <w:rsid w:val="00045D64"/>
    <w:rsid w:val="0004660A"/>
    <w:rsid w:val="000466E5"/>
    <w:rsid w:val="00046751"/>
    <w:rsid w:val="00046D60"/>
    <w:rsid w:val="00047021"/>
    <w:rsid w:val="00047744"/>
    <w:rsid w:val="00047858"/>
    <w:rsid w:val="00047B78"/>
    <w:rsid w:val="0005070F"/>
    <w:rsid w:val="000509B5"/>
    <w:rsid w:val="0005207B"/>
    <w:rsid w:val="000522F1"/>
    <w:rsid w:val="00052D21"/>
    <w:rsid w:val="00052EC1"/>
    <w:rsid w:val="0005386B"/>
    <w:rsid w:val="00053966"/>
    <w:rsid w:val="00053BED"/>
    <w:rsid w:val="00053CBB"/>
    <w:rsid w:val="0005439D"/>
    <w:rsid w:val="00054423"/>
    <w:rsid w:val="0005479B"/>
    <w:rsid w:val="0005578C"/>
    <w:rsid w:val="00055EB7"/>
    <w:rsid w:val="0005680E"/>
    <w:rsid w:val="000574B5"/>
    <w:rsid w:val="000606E6"/>
    <w:rsid w:val="0006081B"/>
    <w:rsid w:val="00060927"/>
    <w:rsid w:val="00060AAD"/>
    <w:rsid w:val="0006119D"/>
    <w:rsid w:val="000613C2"/>
    <w:rsid w:val="000615E0"/>
    <w:rsid w:val="00062093"/>
    <w:rsid w:val="00062669"/>
    <w:rsid w:val="00062BA0"/>
    <w:rsid w:val="0006313A"/>
    <w:rsid w:val="000631D3"/>
    <w:rsid w:val="0006344F"/>
    <w:rsid w:val="000639E1"/>
    <w:rsid w:val="00063C68"/>
    <w:rsid w:val="000655D9"/>
    <w:rsid w:val="000656CC"/>
    <w:rsid w:val="0006580E"/>
    <w:rsid w:val="00065D5D"/>
    <w:rsid w:val="00065E5B"/>
    <w:rsid w:val="000670FF"/>
    <w:rsid w:val="00070427"/>
    <w:rsid w:val="00070FC5"/>
    <w:rsid w:val="00071C06"/>
    <w:rsid w:val="00072755"/>
    <w:rsid w:val="000727F1"/>
    <w:rsid w:val="00072932"/>
    <w:rsid w:val="0007315A"/>
    <w:rsid w:val="00073C91"/>
    <w:rsid w:val="0007479F"/>
    <w:rsid w:val="00074C0D"/>
    <w:rsid w:val="00074FD7"/>
    <w:rsid w:val="00075463"/>
    <w:rsid w:val="0007556A"/>
    <w:rsid w:val="00076C84"/>
    <w:rsid w:val="00076CEA"/>
    <w:rsid w:val="0007710A"/>
    <w:rsid w:val="000771CE"/>
    <w:rsid w:val="00077776"/>
    <w:rsid w:val="00077902"/>
    <w:rsid w:val="00080185"/>
    <w:rsid w:val="000806C2"/>
    <w:rsid w:val="000817BB"/>
    <w:rsid w:val="00081911"/>
    <w:rsid w:val="00081AB7"/>
    <w:rsid w:val="00081FA9"/>
    <w:rsid w:val="000823F5"/>
    <w:rsid w:val="00082571"/>
    <w:rsid w:val="00082E7C"/>
    <w:rsid w:val="00082ECE"/>
    <w:rsid w:val="0008332C"/>
    <w:rsid w:val="00083B53"/>
    <w:rsid w:val="00083C5B"/>
    <w:rsid w:val="000846AF"/>
    <w:rsid w:val="00084768"/>
    <w:rsid w:val="00084825"/>
    <w:rsid w:val="00084A3F"/>
    <w:rsid w:val="00086A94"/>
    <w:rsid w:val="00086F8E"/>
    <w:rsid w:val="00087060"/>
    <w:rsid w:val="0008707D"/>
    <w:rsid w:val="0008788F"/>
    <w:rsid w:val="00087CBE"/>
    <w:rsid w:val="0009019A"/>
    <w:rsid w:val="00090609"/>
    <w:rsid w:val="00091064"/>
    <w:rsid w:val="000911C9"/>
    <w:rsid w:val="000911D3"/>
    <w:rsid w:val="000915FA"/>
    <w:rsid w:val="00091A9D"/>
    <w:rsid w:val="00091C2F"/>
    <w:rsid w:val="00091EC3"/>
    <w:rsid w:val="00092FA6"/>
    <w:rsid w:val="0009309D"/>
    <w:rsid w:val="000932AD"/>
    <w:rsid w:val="0009360A"/>
    <w:rsid w:val="00094763"/>
    <w:rsid w:val="00094FE3"/>
    <w:rsid w:val="00095312"/>
    <w:rsid w:val="0009570A"/>
    <w:rsid w:val="00095B77"/>
    <w:rsid w:val="00095D2B"/>
    <w:rsid w:val="00095F52"/>
    <w:rsid w:val="000964C3"/>
    <w:rsid w:val="00096973"/>
    <w:rsid w:val="00096A6E"/>
    <w:rsid w:val="00096D0D"/>
    <w:rsid w:val="00097035"/>
    <w:rsid w:val="00097046"/>
    <w:rsid w:val="000979C9"/>
    <w:rsid w:val="00097ABD"/>
    <w:rsid w:val="00097BC4"/>
    <w:rsid w:val="000A04D7"/>
    <w:rsid w:val="000A081E"/>
    <w:rsid w:val="000A0843"/>
    <w:rsid w:val="000A08F0"/>
    <w:rsid w:val="000A0A7D"/>
    <w:rsid w:val="000A0D58"/>
    <w:rsid w:val="000A0EED"/>
    <w:rsid w:val="000A12A7"/>
    <w:rsid w:val="000A133F"/>
    <w:rsid w:val="000A1F24"/>
    <w:rsid w:val="000A22D7"/>
    <w:rsid w:val="000A282A"/>
    <w:rsid w:val="000A2B04"/>
    <w:rsid w:val="000A2B29"/>
    <w:rsid w:val="000A2E29"/>
    <w:rsid w:val="000A3325"/>
    <w:rsid w:val="000A3478"/>
    <w:rsid w:val="000A3487"/>
    <w:rsid w:val="000A39C9"/>
    <w:rsid w:val="000A3A37"/>
    <w:rsid w:val="000A41A9"/>
    <w:rsid w:val="000A46D3"/>
    <w:rsid w:val="000A4A6A"/>
    <w:rsid w:val="000A66CE"/>
    <w:rsid w:val="000A6C8B"/>
    <w:rsid w:val="000A6FA4"/>
    <w:rsid w:val="000A7BC8"/>
    <w:rsid w:val="000B059E"/>
    <w:rsid w:val="000B05D2"/>
    <w:rsid w:val="000B1499"/>
    <w:rsid w:val="000B1DEF"/>
    <w:rsid w:val="000B1F3B"/>
    <w:rsid w:val="000B2598"/>
    <w:rsid w:val="000B2C45"/>
    <w:rsid w:val="000B31D3"/>
    <w:rsid w:val="000B38B2"/>
    <w:rsid w:val="000B38B4"/>
    <w:rsid w:val="000B3D8D"/>
    <w:rsid w:val="000B43C1"/>
    <w:rsid w:val="000B577A"/>
    <w:rsid w:val="000B68B2"/>
    <w:rsid w:val="000B69B8"/>
    <w:rsid w:val="000B7483"/>
    <w:rsid w:val="000B7836"/>
    <w:rsid w:val="000B790F"/>
    <w:rsid w:val="000B794F"/>
    <w:rsid w:val="000B7AA8"/>
    <w:rsid w:val="000C01B4"/>
    <w:rsid w:val="000C0CE8"/>
    <w:rsid w:val="000C1111"/>
    <w:rsid w:val="000C177A"/>
    <w:rsid w:val="000C1828"/>
    <w:rsid w:val="000C201D"/>
    <w:rsid w:val="000C2657"/>
    <w:rsid w:val="000C26D3"/>
    <w:rsid w:val="000C2AFF"/>
    <w:rsid w:val="000C2E1B"/>
    <w:rsid w:val="000C3455"/>
    <w:rsid w:val="000C3501"/>
    <w:rsid w:val="000C3A43"/>
    <w:rsid w:val="000C46D8"/>
    <w:rsid w:val="000C4CD7"/>
    <w:rsid w:val="000C5100"/>
    <w:rsid w:val="000C53F3"/>
    <w:rsid w:val="000C54E2"/>
    <w:rsid w:val="000C5F63"/>
    <w:rsid w:val="000C6ED6"/>
    <w:rsid w:val="000C703E"/>
    <w:rsid w:val="000C730E"/>
    <w:rsid w:val="000C73F5"/>
    <w:rsid w:val="000C782E"/>
    <w:rsid w:val="000C7A2E"/>
    <w:rsid w:val="000C7EA2"/>
    <w:rsid w:val="000C7FC0"/>
    <w:rsid w:val="000D05FA"/>
    <w:rsid w:val="000D0B2A"/>
    <w:rsid w:val="000D1825"/>
    <w:rsid w:val="000D1A97"/>
    <w:rsid w:val="000D28D1"/>
    <w:rsid w:val="000D2925"/>
    <w:rsid w:val="000D2F97"/>
    <w:rsid w:val="000D3453"/>
    <w:rsid w:val="000D36FB"/>
    <w:rsid w:val="000D39B3"/>
    <w:rsid w:val="000D41EF"/>
    <w:rsid w:val="000D4386"/>
    <w:rsid w:val="000D4724"/>
    <w:rsid w:val="000D49A6"/>
    <w:rsid w:val="000D4BFA"/>
    <w:rsid w:val="000D4D2D"/>
    <w:rsid w:val="000D504E"/>
    <w:rsid w:val="000D525A"/>
    <w:rsid w:val="000D563E"/>
    <w:rsid w:val="000D5A8E"/>
    <w:rsid w:val="000D5B83"/>
    <w:rsid w:val="000D5D86"/>
    <w:rsid w:val="000D600E"/>
    <w:rsid w:val="000D667E"/>
    <w:rsid w:val="000D6848"/>
    <w:rsid w:val="000D6A87"/>
    <w:rsid w:val="000D6DCF"/>
    <w:rsid w:val="000D6F16"/>
    <w:rsid w:val="000D74D3"/>
    <w:rsid w:val="000D78EC"/>
    <w:rsid w:val="000D7B4C"/>
    <w:rsid w:val="000D7F1F"/>
    <w:rsid w:val="000E0673"/>
    <w:rsid w:val="000E080D"/>
    <w:rsid w:val="000E100D"/>
    <w:rsid w:val="000E181B"/>
    <w:rsid w:val="000E244B"/>
    <w:rsid w:val="000E3023"/>
    <w:rsid w:val="000E32C4"/>
    <w:rsid w:val="000E3368"/>
    <w:rsid w:val="000E3E37"/>
    <w:rsid w:val="000E4B1E"/>
    <w:rsid w:val="000E4BCB"/>
    <w:rsid w:val="000E5520"/>
    <w:rsid w:val="000E571C"/>
    <w:rsid w:val="000E571E"/>
    <w:rsid w:val="000E58CD"/>
    <w:rsid w:val="000E5EF1"/>
    <w:rsid w:val="000E64A8"/>
    <w:rsid w:val="000E6B45"/>
    <w:rsid w:val="000E6F18"/>
    <w:rsid w:val="000E7BA3"/>
    <w:rsid w:val="000F06EA"/>
    <w:rsid w:val="000F17C3"/>
    <w:rsid w:val="000F1AC1"/>
    <w:rsid w:val="000F1B64"/>
    <w:rsid w:val="000F26AF"/>
    <w:rsid w:val="000F2922"/>
    <w:rsid w:val="000F2D38"/>
    <w:rsid w:val="000F2D4E"/>
    <w:rsid w:val="000F3729"/>
    <w:rsid w:val="000F37E4"/>
    <w:rsid w:val="000F3ADE"/>
    <w:rsid w:val="000F3B6B"/>
    <w:rsid w:val="000F4181"/>
    <w:rsid w:val="000F426B"/>
    <w:rsid w:val="000F4514"/>
    <w:rsid w:val="000F520B"/>
    <w:rsid w:val="000F53F1"/>
    <w:rsid w:val="000F550F"/>
    <w:rsid w:val="000F5D10"/>
    <w:rsid w:val="000F5ECB"/>
    <w:rsid w:val="000F61AD"/>
    <w:rsid w:val="000F66CF"/>
    <w:rsid w:val="000F68AF"/>
    <w:rsid w:val="000F7074"/>
    <w:rsid w:val="000F7647"/>
    <w:rsid w:val="000F7766"/>
    <w:rsid w:val="000F7ACF"/>
    <w:rsid w:val="000F7F19"/>
    <w:rsid w:val="00100186"/>
    <w:rsid w:val="00100587"/>
    <w:rsid w:val="0010077E"/>
    <w:rsid w:val="001011BF"/>
    <w:rsid w:val="00102AE2"/>
    <w:rsid w:val="001047A6"/>
    <w:rsid w:val="00104A3C"/>
    <w:rsid w:val="00104AEB"/>
    <w:rsid w:val="001058DB"/>
    <w:rsid w:val="00105DEA"/>
    <w:rsid w:val="001077E7"/>
    <w:rsid w:val="0011028D"/>
    <w:rsid w:val="001105B9"/>
    <w:rsid w:val="00110690"/>
    <w:rsid w:val="00110CF9"/>
    <w:rsid w:val="00111820"/>
    <w:rsid w:val="0011184C"/>
    <w:rsid w:val="00111887"/>
    <w:rsid w:val="00111951"/>
    <w:rsid w:val="00111A4A"/>
    <w:rsid w:val="00111AB9"/>
    <w:rsid w:val="00111C2D"/>
    <w:rsid w:val="001125F6"/>
    <w:rsid w:val="001126A8"/>
    <w:rsid w:val="001129BB"/>
    <w:rsid w:val="00113FE3"/>
    <w:rsid w:val="00114197"/>
    <w:rsid w:val="00114986"/>
    <w:rsid w:val="00114A4D"/>
    <w:rsid w:val="00114CFC"/>
    <w:rsid w:val="00115738"/>
    <w:rsid w:val="00115BFD"/>
    <w:rsid w:val="001167B7"/>
    <w:rsid w:val="00116A43"/>
    <w:rsid w:val="00117180"/>
    <w:rsid w:val="0011753E"/>
    <w:rsid w:val="0011798E"/>
    <w:rsid w:val="00120AD6"/>
    <w:rsid w:val="001215FC"/>
    <w:rsid w:val="001219AE"/>
    <w:rsid w:val="00121A12"/>
    <w:rsid w:val="00121BC5"/>
    <w:rsid w:val="00122492"/>
    <w:rsid w:val="00123DBA"/>
    <w:rsid w:val="00123E43"/>
    <w:rsid w:val="00125C69"/>
    <w:rsid w:val="00125DBD"/>
    <w:rsid w:val="0012687C"/>
    <w:rsid w:val="001269F9"/>
    <w:rsid w:val="00127235"/>
    <w:rsid w:val="0012788D"/>
    <w:rsid w:val="0012795A"/>
    <w:rsid w:val="00127E03"/>
    <w:rsid w:val="00130528"/>
    <w:rsid w:val="001307F1"/>
    <w:rsid w:val="00131013"/>
    <w:rsid w:val="001310F7"/>
    <w:rsid w:val="001311A0"/>
    <w:rsid w:val="00131583"/>
    <w:rsid w:val="0013179E"/>
    <w:rsid w:val="00131BA0"/>
    <w:rsid w:val="001324BD"/>
    <w:rsid w:val="001336DC"/>
    <w:rsid w:val="00133DD3"/>
    <w:rsid w:val="00134416"/>
    <w:rsid w:val="00134439"/>
    <w:rsid w:val="00134797"/>
    <w:rsid w:val="00134C8E"/>
    <w:rsid w:val="00134C98"/>
    <w:rsid w:val="0013533C"/>
    <w:rsid w:val="00137624"/>
    <w:rsid w:val="00137660"/>
    <w:rsid w:val="00137768"/>
    <w:rsid w:val="001379EB"/>
    <w:rsid w:val="00137BD9"/>
    <w:rsid w:val="00137F26"/>
    <w:rsid w:val="001402D9"/>
    <w:rsid w:val="00141C93"/>
    <w:rsid w:val="00141FED"/>
    <w:rsid w:val="0014218B"/>
    <w:rsid w:val="00142912"/>
    <w:rsid w:val="001431B8"/>
    <w:rsid w:val="001436EF"/>
    <w:rsid w:val="00143A83"/>
    <w:rsid w:val="00143D28"/>
    <w:rsid w:val="00143EB0"/>
    <w:rsid w:val="0014423A"/>
    <w:rsid w:val="001449BD"/>
    <w:rsid w:val="00144BF3"/>
    <w:rsid w:val="00144D72"/>
    <w:rsid w:val="00145084"/>
    <w:rsid w:val="0014545A"/>
    <w:rsid w:val="001462A2"/>
    <w:rsid w:val="001466FB"/>
    <w:rsid w:val="001474F9"/>
    <w:rsid w:val="00150022"/>
    <w:rsid w:val="001508D1"/>
    <w:rsid w:val="00151444"/>
    <w:rsid w:val="0015398E"/>
    <w:rsid w:val="00153BD3"/>
    <w:rsid w:val="00153CBB"/>
    <w:rsid w:val="00154D17"/>
    <w:rsid w:val="001550A7"/>
    <w:rsid w:val="001555BF"/>
    <w:rsid w:val="00156859"/>
    <w:rsid w:val="0015685F"/>
    <w:rsid w:val="00157007"/>
    <w:rsid w:val="00157303"/>
    <w:rsid w:val="0015791D"/>
    <w:rsid w:val="00157AA1"/>
    <w:rsid w:val="00157CE6"/>
    <w:rsid w:val="0016068D"/>
    <w:rsid w:val="00160EA8"/>
    <w:rsid w:val="001617FE"/>
    <w:rsid w:val="00162114"/>
    <w:rsid w:val="001625CB"/>
    <w:rsid w:val="00162802"/>
    <w:rsid w:val="0016294E"/>
    <w:rsid w:val="00162B87"/>
    <w:rsid w:val="00162D6A"/>
    <w:rsid w:val="00163435"/>
    <w:rsid w:val="00163EF1"/>
    <w:rsid w:val="0016450C"/>
    <w:rsid w:val="0016506F"/>
    <w:rsid w:val="001650E5"/>
    <w:rsid w:val="00165DCF"/>
    <w:rsid w:val="001660B3"/>
    <w:rsid w:val="0016707A"/>
    <w:rsid w:val="00167B53"/>
    <w:rsid w:val="001701A0"/>
    <w:rsid w:val="001703D6"/>
    <w:rsid w:val="00170F05"/>
    <w:rsid w:val="00171834"/>
    <w:rsid w:val="00171C31"/>
    <w:rsid w:val="00171C36"/>
    <w:rsid w:val="00171D93"/>
    <w:rsid w:val="0017207C"/>
    <w:rsid w:val="00172277"/>
    <w:rsid w:val="001740C2"/>
    <w:rsid w:val="001743D5"/>
    <w:rsid w:val="00174836"/>
    <w:rsid w:val="00174BF4"/>
    <w:rsid w:val="00176472"/>
    <w:rsid w:val="00177814"/>
    <w:rsid w:val="00177DEE"/>
    <w:rsid w:val="00180082"/>
    <w:rsid w:val="00180709"/>
    <w:rsid w:val="00180778"/>
    <w:rsid w:val="001820F2"/>
    <w:rsid w:val="001821AB"/>
    <w:rsid w:val="00182251"/>
    <w:rsid w:val="00182324"/>
    <w:rsid w:val="001823E8"/>
    <w:rsid w:val="00182CDB"/>
    <w:rsid w:val="0018317D"/>
    <w:rsid w:val="0018361A"/>
    <w:rsid w:val="00183B51"/>
    <w:rsid w:val="0018403F"/>
    <w:rsid w:val="001840AD"/>
    <w:rsid w:val="001845E7"/>
    <w:rsid w:val="001847A1"/>
    <w:rsid w:val="00185023"/>
    <w:rsid w:val="00185465"/>
    <w:rsid w:val="0018579A"/>
    <w:rsid w:val="00186581"/>
    <w:rsid w:val="001869C7"/>
    <w:rsid w:val="00186D76"/>
    <w:rsid w:val="001870F1"/>
    <w:rsid w:val="0018728D"/>
    <w:rsid w:val="00187339"/>
    <w:rsid w:val="0018754D"/>
    <w:rsid w:val="00190D26"/>
    <w:rsid w:val="00190DA9"/>
    <w:rsid w:val="00190F58"/>
    <w:rsid w:val="001914CC"/>
    <w:rsid w:val="00191F94"/>
    <w:rsid w:val="001922FD"/>
    <w:rsid w:val="001926BD"/>
    <w:rsid w:val="0019346D"/>
    <w:rsid w:val="00193C85"/>
    <w:rsid w:val="00193CFF"/>
    <w:rsid w:val="00194185"/>
    <w:rsid w:val="00194312"/>
    <w:rsid w:val="0019442A"/>
    <w:rsid w:val="0019477D"/>
    <w:rsid w:val="00195160"/>
    <w:rsid w:val="00197072"/>
    <w:rsid w:val="0019746E"/>
    <w:rsid w:val="001978BF"/>
    <w:rsid w:val="00197E31"/>
    <w:rsid w:val="001A0345"/>
    <w:rsid w:val="001A130E"/>
    <w:rsid w:val="001A1B14"/>
    <w:rsid w:val="001A1B30"/>
    <w:rsid w:val="001A1E86"/>
    <w:rsid w:val="001A2006"/>
    <w:rsid w:val="001A2538"/>
    <w:rsid w:val="001A2AD4"/>
    <w:rsid w:val="001A362B"/>
    <w:rsid w:val="001A4023"/>
    <w:rsid w:val="001A42BD"/>
    <w:rsid w:val="001A575F"/>
    <w:rsid w:val="001A6F43"/>
    <w:rsid w:val="001B0F91"/>
    <w:rsid w:val="001B1CF2"/>
    <w:rsid w:val="001B1DE3"/>
    <w:rsid w:val="001B25CB"/>
    <w:rsid w:val="001B2D59"/>
    <w:rsid w:val="001B2DAC"/>
    <w:rsid w:val="001B30ED"/>
    <w:rsid w:val="001B37A6"/>
    <w:rsid w:val="001B37EC"/>
    <w:rsid w:val="001B4598"/>
    <w:rsid w:val="001B4686"/>
    <w:rsid w:val="001B4B8C"/>
    <w:rsid w:val="001B5036"/>
    <w:rsid w:val="001B5352"/>
    <w:rsid w:val="001B5B1B"/>
    <w:rsid w:val="001B5BCB"/>
    <w:rsid w:val="001B601A"/>
    <w:rsid w:val="001B6098"/>
    <w:rsid w:val="001B703F"/>
    <w:rsid w:val="001B77CD"/>
    <w:rsid w:val="001C12A4"/>
    <w:rsid w:val="001C1586"/>
    <w:rsid w:val="001C3382"/>
    <w:rsid w:val="001C3423"/>
    <w:rsid w:val="001C3A37"/>
    <w:rsid w:val="001C3DB3"/>
    <w:rsid w:val="001C455B"/>
    <w:rsid w:val="001C49DC"/>
    <w:rsid w:val="001C5832"/>
    <w:rsid w:val="001C6164"/>
    <w:rsid w:val="001C644E"/>
    <w:rsid w:val="001C6FE6"/>
    <w:rsid w:val="001D049F"/>
    <w:rsid w:val="001D0C95"/>
    <w:rsid w:val="001D0E1D"/>
    <w:rsid w:val="001D1530"/>
    <w:rsid w:val="001D1A1B"/>
    <w:rsid w:val="001D24EB"/>
    <w:rsid w:val="001D26EC"/>
    <w:rsid w:val="001D2BDA"/>
    <w:rsid w:val="001D2D75"/>
    <w:rsid w:val="001D2DE1"/>
    <w:rsid w:val="001D35A4"/>
    <w:rsid w:val="001D3C63"/>
    <w:rsid w:val="001D43F3"/>
    <w:rsid w:val="001D46F6"/>
    <w:rsid w:val="001D50BF"/>
    <w:rsid w:val="001D5A27"/>
    <w:rsid w:val="001D60DA"/>
    <w:rsid w:val="001D7345"/>
    <w:rsid w:val="001E16F3"/>
    <w:rsid w:val="001E18CC"/>
    <w:rsid w:val="001E19C3"/>
    <w:rsid w:val="001E1B16"/>
    <w:rsid w:val="001E2080"/>
    <w:rsid w:val="001E2148"/>
    <w:rsid w:val="001E2780"/>
    <w:rsid w:val="001E2B69"/>
    <w:rsid w:val="001E2C0C"/>
    <w:rsid w:val="001E3C4B"/>
    <w:rsid w:val="001E3FBF"/>
    <w:rsid w:val="001E4ABF"/>
    <w:rsid w:val="001E4EEB"/>
    <w:rsid w:val="001E54E1"/>
    <w:rsid w:val="001E5626"/>
    <w:rsid w:val="001E56C6"/>
    <w:rsid w:val="001E62A5"/>
    <w:rsid w:val="001E6AAD"/>
    <w:rsid w:val="001E76FE"/>
    <w:rsid w:val="001E7855"/>
    <w:rsid w:val="001E787C"/>
    <w:rsid w:val="001E79E4"/>
    <w:rsid w:val="001F0038"/>
    <w:rsid w:val="001F0353"/>
    <w:rsid w:val="001F0C32"/>
    <w:rsid w:val="001F0F85"/>
    <w:rsid w:val="001F15B3"/>
    <w:rsid w:val="001F1991"/>
    <w:rsid w:val="001F23B3"/>
    <w:rsid w:val="001F2A8E"/>
    <w:rsid w:val="001F30DD"/>
    <w:rsid w:val="001F35F1"/>
    <w:rsid w:val="001F387F"/>
    <w:rsid w:val="001F38FE"/>
    <w:rsid w:val="001F39AF"/>
    <w:rsid w:val="001F41B7"/>
    <w:rsid w:val="001F4347"/>
    <w:rsid w:val="001F4534"/>
    <w:rsid w:val="001F4C4A"/>
    <w:rsid w:val="001F4D90"/>
    <w:rsid w:val="001F50A0"/>
    <w:rsid w:val="001F5570"/>
    <w:rsid w:val="001F56E8"/>
    <w:rsid w:val="001F5777"/>
    <w:rsid w:val="001F5833"/>
    <w:rsid w:val="001F5BB3"/>
    <w:rsid w:val="001F5CCC"/>
    <w:rsid w:val="001F5D9E"/>
    <w:rsid w:val="001F60A7"/>
    <w:rsid w:val="001F6407"/>
    <w:rsid w:val="001F6594"/>
    <w:rsid w:val="001F668B"/>
    <w:rsid w:val="001F673A"/>
    <w:rsid w:val="001F7602"/>
    <w:rsid w:val="002000D5"/>
    <w:rsid w:val="002007AB"/>
    <w:rsid w:val="00200B2E"/>
    <w:rsid w:val="00201008"/>
    <w:rsid w:val="002024BF"/>
    <w:rsid w:val="00202553"/>
    <w:rsid w:val="00202692"/>
    <w:rsid w:val="0020270F"/>
    <w:rsid w:val="00202D77"/>
    <w:rsid w:val="002035F5"/>
    <w:rsid w:val="00203D40"/>
    <w:rsid w:val="0020455C"/>
    <w:rsid w:val="0020461C"/>
    <w:rsid w:val="0020486A"/>
    <w:rsid w:val="002052AA"/>
    <w:rsid w:val="00205530"/>
    <w:rsid w:val="0020571C"/>
    <w:rsid w:val="00205B1B"/>
    <w:rsid w:val="00205F48"/>
    <w:rsid w:val="00205F9E"/>
    <w:rsid w:val="00206682"/>
    <w:rsid w:val="0020685F"/>
    <w:rsid w:val="00206863"/>
    <w:rsid w:val="00206867"/>
    <w:rsid w:val="00206EE4"/>
    <w:rsid w:val="00206FD2"/>
    <w:rsid w:val="0020737F"/>
    <w:rsid w:val="002109E2"/>
    <w:rsid w:val="00210D35"/>
    <w:rsid w:val="00210FA2"/>
    <w:rsid w:val="00211279"/>
    <w:rsid w:val="00211EE3"/>
    <w:rsid w:val="00212DA1"/>
    <w:rsid w:val="002130B8"/>
    <w:rsid w:val="00214436"/>
    <w:rsid w:val="0021531F"/>
    <w:rsid w:val="00215FBC"/>
    <w:rsid w:val="00216930"/>
    <w:rsid w:val="002171A6"/>
    <w:rsid w:val="00217C7F"/>
    <w:rsid w:val="0022000C"/>
    <w:rsid w:val="00220279"/>
    <w:rsid w:val="00220729"/>
    <w:rsid w:val="002208FD"/>
    <w:rsid w:val="00220C36"/>
    <w:rsid w:val="00221DA9"/>
    <w:rsid w:val="002221A2"/>
    <w:rsid w:val="00222624"/>
    <w:rsid w:val="002230B5"/>
    <w:rsid w:val="00223855"/>
    <w:rsid w:val="002250AF"/>
    <w:rsid w:val="002253DB"/>
    <w:rsid w:val="002254EF"/>
    <w:rsid w:val="00226E28"/>
    <w:rsid w:val="002271EA"/>
    <w:rsid w:val="00227356"/>
    <w:rsid w:val="002276EA"/>
    <w:rsid w:val="00230027"/>
    <w:rsid w:val="0023056F"/>
    <w:rsid w:val="00230CDA"/>
    <w:rsid w:val="00230DCC"/>
    <w:rsid w:val="0023133F"/>
    <w:rsid w:val="00231677"/>
    <w:rsid w:val="00231EA0"/>
    <w:rsid w:val="00232138"/>
    <w:rsid w:val="00233324"/>
    <w:rsid w:val="00233701"/>
    <w:rsid w:val="00233BBA"/>
    <w:rsid w:val="0023418C"/>
    <w:rsid w:val="00234E4A"/>
    <w:rsid w:val="00235176"/>
    <w:rsid w:val="00235621"/>
    <w:rsid w:val="0023594C"/>
    <w:rsid w:val="002359CB"/>
    <w:rsid w:val="002360F9"/>
    <w:rsid w:val="002362E3"/>
    <w:rsid w:val="00236867"/>
    <w:rsid w:val="002371CF"/>
    <w:rsid w:val="002404D0"/>
    <w:rsid w:val="00240628"/>
    <w:rsid w:val="00241B43"/>
    <w:rsid w:val="002425D0"/>
    <w:rsid w:val="00242C82"/>
    <w:rsid w:val="00243146"/>
    <w:rsid w:val="00243B78"/>
    <w:rsid w:val="00244756"/>
    <w:rsid w:val="00245597"/>
    <w:rsid w:val="002458B3"/>
    <w:rsid w:val="0024662A"/>
    <w:rsid w:val="002468CD"/>
    <w:rsid w:val="00247186"/>
    <w:rsid w:val="002471B6"/>
    <w:rsid w:val="00247838"/>
    <w:rsid w:val="00247B1A"/>
    <w:rsid w:val="00247D45"/>
    <w:rsid w:val="00250196"/>
    <w:rsid w:val="002502BF"/>
    <w:rsid w:val="0025082A"/>
    <w:rsid w:val="002510EC"/>
    <w:rsid w:val="002512A7"/>
    <w:rsid w:val="00251E4A"/>
    <w:rsid w:val="00252276"/>
    <w:rsid w:val="0025266D"/>
    <w:rsid w:val="00252873"/>
    <w:rsid w:val="002528E1"/>
    <w:rsid w:val="00252F4E"/>
    <w:rsid w:val="00253187"/>
    <w:rsid w:val="00253499"/>
    <w:rsid w:val="0025531A"/>
    <w:rsid w:val="002560F7"/>
    <w:rsid w:val="0025631D"/>
    <w:rsid w:val="00256E1A"/>
    <w:rsid w:val="00257583"/>
    <w:rsid w:val="00257688"/>
    <w:rsid w:val="002577BF"/>
    <w:rsid w:val="0025788E"/>
    <w:rsid w:val="00257F5C"/>
    <w:rsid w:val="002603FA"/>
    <w:rsid w:val="00261024"/>
    <w:rsid w:val="00261058"/>
    <w:rsid w:val="0026118E"/>
    <w:rsid w:val="00261605"/>
    <w:rsid w:val="00261698"/>
    <w:rsid w:val="00262A6D"/>
    <w:rsid w:val="00262F7E"/>
    <w:rsid w:val="002636AA"/>
    <w:rsid w:val="00263912"/>
    <w:rsid w:val="00263D2C"/>
    <w:rsid w:val="00263D40"/>
    <w:rsid w:val="00264518"/>
    <w:rsid w:val="002646D2"/>
    <w:rsid w:val="002649DB"/>
    <w:rsid w:val="00265AE7"/>
    <w:rsid w:val="002662CC"/>
    <w:rsid w:val="00267658"/>
    <w:rsid w:val="00267734"/>
    <w:rsid w:val="00267E45"/>
    <w:rsid w:val="0027011F"/>
    <w:rsid w:val="002704F2"/>
    <w:rsid w:val="00270E17"/>
    <w:rsid w:val="00270E46"/>
    <w:rsid w:val="0027106E"/>
    <w:rsid w:val="0027143E"/>
    <w:rsid w:val="002714D2"/>
    <w:rsid w:val="00271504"/>
    <w:rsid w:val="00271EAD"/>
    <w:rsid w:val="002722D6"/>
    <w:rsid w:val="00272599"/>
    <w:rsid w:val="00273860"/>
    <w:rsid w:val="002738CE"/>
    <w:rsid w:val="00273D88"/>
    <w:rsid w:val="00274FCE"/>
    <w:rsid w:val="002759D7"/>
    <w:rsid w:val="00275BDF"/>
    <w:rsid w:val="0027615A"/>
    <w:rsid w:val="002767CA"/>
    <w:rsid w:val="00277165"/>
    <w:rsid w:val="00277E73"/>
    <w:rsid w:val="00277FAB"/>
    <w:rsid w:val="002800DE"/>
    <w:rsid w:val="0028033B"/>
    <w:rsid w:val="00280747"/>
    <w:rsid w:val="00280C76"/>
    <w:rsid w:val="00280FD0"/>
    <w:rsid w:val="0028148D"/>
    <w:rsid w:val="0028179F"/>
    <w:rsid w:val="00281969"/>
    <w:rsid w:val="002822F4"/>
    <w:rsid w:val="002830DB"/>
    <w:rsid w:val="002834BE"/>
    <w:rsid w:val="002846AE"/>
    <w:rsid w:val="0028483C"/>
    <w:rsid w:val="00284840"/>
    <w:rsid w:val="0028507F"/>
    <w:rsid w:val="00285773"/>
    <w:rsid w:val="002858C9"/>
    <w:rsid w:val="00285AAA"/>
    <w:rsid w:val="00286DB9"/>
    <w:rsid w:val="00286DC2"/>
    <w:rsid w:val="00291CFC"/>
    <w:rsid w:val="002925DE"/>
    <w:rsid w:val="00292750"/>
    <w:rsid w:val="002929F4"/>
    <w:rsid w:val="00292A9B"/>
    <w:rsid w:val="00292DE5"/>
    <w:rsid w:val="00292EE9"/>
    <w:rsid w:val="00293687"/>
    <w:rsid w:val="00293C43"/>
    <w:rsid w:val="0029454A"/>
    <w:rsid w:val="0029527C"/>
    <w:rsid w:val="00295988"/>
    <w:rsid w:val="00295CD6"/>
    <w:rsid w:val="002967E7"/>
    <w:rsid w:val="00296839"/>
    <w:rsid w:val="00297229"/>
    <w:rsid w:val="002973D8"/>
    <w:rsid w:val="00297695"/>
    <w:rsid w:val="00297945"/>
    <w:rsid w:val="00297A1E"/>
    <w:rsid w:val="00297A7C"/>
    <w:rsid w:val="002A08F2"/>
    <w:rsid w:val="002A1B42"/>
    <w:rsid w:val="002A1B78"/>
    <w:rsid w:val="002A1C5E"/>
    <w:rsid w:val="002A215E"/>
    <w:rsid w:val="002A2200"/>
    <w:rsid w:val="002A23F6"/>
    <w:rsid w:val="002A2D44"/>
    <w:rsid w:val="002A3D7B"/>
    <w:rsid w:val="002A4073"/>
    <w:rsid w:val="002A4F7A"/>
    <w:rsid w:val="002A5BDF"/>
    <w:rsid w:val="002A6B8B"/>
    <w:rsid w:val="002A6CAC"/>
    <w:rsid w:val="002A778A"/>
    <w:rsid w:val="002B12C3"/>
    <w:rsid w:val="002B1CFB"/>
    <w:rsid w:val="002B246E"/>
    <w:rsid w:val="002B29BE"/>
    <w:rsid w:val="002B2A63"/>
    <w:rsid w:val="002B2AB4"/>
    <w:rsid w:val="002B2EC8"/>
    <w:rsid w:val="002B31D2"/>
    <w:rsid w:val="002B31D9"/>
    <w:rsid w:val="002B3323"/>
    <w:rsid w:val="002B386E"/>
    <w:rsid w:val="002B3A54"/>
    <w:rsid w:val="002B3B9D"/>
    <w:rsid w:val="002B4E4E"/>
    <w:rsid w:val="002B4F4A"/>
    <w:rsid w:val="002B569E"/>
    <w:rsid w:val="002B6213"/>
    <w:rsid w:val="002B675C"/>
    <w:rsid w:val="002B6AEA"/>
    <w:rsid w:val="002B6C45"/>
    <w:rsid w:val="002B6C9A"/>
    <w:rsid w:val="002B78A8"/>
    <w:rsid w:val="002B7AF6"/>
    <w:rsid w:val="002B7F76"/>
    <w:rsid w:val="002C05A9"/>
    <w:rsid w:val="002C15F0"/>
    <w:rsid w:val="002C1A47"/>
    <w:rsid w:val="002C1B3E"/>
    <w:rsid w:val="002C1BC5"/>
    <w:rsid w:val="002C1D30"/>
    <w:rsid w:val="002C1D91"/>
    <w:rsid w:val="002C251E"/>
    <w:rsid w:val="002C3754"/>
    <w:rsid w:val="002C387F"/>
    <w:rsid w:val="002C4254"/>
    <w:rsid w:val="002C430B"/>
    <w:rsid w:val="002C4648"/>
    <w:rsid w:val="002C5225"/>
    <w:rsid w:val="002C5CD1"/>
    <w:rsid w:val="002C5FAC"/>
    <w:rsid w:val="002C65FA"/>
    <w:rsid w:val="002C6B8C"/>
    <w:rsid w:val="002C6F26"/>
    <w:rsid w:val="002C7869"/>
    <w:rsid w:val="002D05E1"/>
    <w:rsid w:val="002D158A"/>
    <w:rsid w:val="002D17CD"/>
    <w:rsid w:val="002D1C22"/>
    <w:rsid w:val="002D1C47"/>
    <w:rsid w:val="002D2BCE"/>
    <w:rsid w:val="002D32AA"/>
    <w:rsid w:val="002D33EE"/>
    <w:rsid w:val="002D3437"/>
    <w:rsid w:val="002D3D55"/>
    <w:rsid w:val="002D3E0F"/>
    <w:rsid w:val="002D410E"/>
    <w:rsid w:val="002D5070"/>
    <w:rsid w:val="002D5233"/>
    <w:rsid w:val="002D5A2A"/>
    <w:rsid w:val="002D66C2"/>
    <w:rsid w:val="002D6C73"/>
    <w:rsid w:val="002D71E8"/>
    <w:rsid w:val="002D7450"/>
    <w:rsid w:val="002D7846"/>
    <w:rsid w:val="002E0899"/>
    <w:rsid w:val="002E0F9D"/>
    <w:rsid w:val="002E1B89"/>
    <w:rsid w:val="002E20D5"/>
    <w:rsid w:val="002E2270"/>
    <w:rsid w:val="002E23FC"/>
    <w:rsid w:val="002E29A1"/>
    <w:rsid w:val="002E4A40"/>
    <w:rsid w:val="002E5427"/>
    <w:rsid w:val="002E5C2C"/>
    <w:rsid w:val="002E5DFD"/>
    <w:rsid w:val="002E66CF"/>
    <w:rsid w:val="002E6E59"/>
    <w:rsid w:val="002E76DF"/>
    <w:rsid w:val="002E7819"/>
    <w:rsid w:val="002F0CCD"/>
    <w:rsid w:val="002F0F99"/>
    <w:rsid w:val="002F14E0"/>
    <w:rsid w:val="002F172F"/>
    <w:rsid w:val="002F2006"/>
    <w:rsid w:val="002F2A4D"/>
    <w:rsid w:val="002F30A4"/>
    <w:rsid w:val="002F3F8A"/>
    <w:rsid w:val="002F4393"/>
    <w:rsid w:val="002F441F"/>
    <w:rsid w:val="002F4686"/>
    <w:rsid w:val="002F4FD5"/>
    <w:rsid w:val="002F645A"/>
    <w:rsid w:val="002F7134"/>
    <w:rsid w:val="002F71CE"/>
    <w:rsid w:val="002F71EE"/>
    <w:rsid w:val="002F7274"/>
    <w:rsid w:val="002F729E"/>
    <w:rsid w:val="0030010C"/>
    <w:rsid w:val="003008CD"/>
    <w:rsid w:val="00300BC3"/>
    <w:rsid w:val="00301387"/>
    <w:rsid w:val="00301394"/>
    <w:rsid w:val="00301513"/>
    <w:rsid w:val="0030198A"/>
    <w:rsid w:val="003019DD"/>
    <w:rsid w:val="00301BCC"/>
    <w:rsid w:val="00302080"/>
    <w:rsid w:val="00302133"/>
    <w:rsid w:val="00302257"/>
    <w:rsid w:val="00302440"/>
    <w:rsid w:val="00302ED7"/>
    <w:rsid w:val="003036DB"/>
    <w:rsid w:val="00303B2D"/>
    <w:rsid w:val="00303C6F"/>
    <w:rsid w:val="00304CF2"/>
    <w:rsid w:val="003064EB"/>
    <w:rsid w:val="00306A23"/>
    <w:rsid w:val="00306B34"/>
    <w:rsid w:val="003071C7"/>
    <w:rsid w:val="00307512"/>
    <w:rsid w:val="00307D6F"/>
    <w:rsid w:val="003101C2"/>
    <w:rsid w:val="00310203"/>
    <w:rsid w:val="003108AF"/>
    <w:rsid w:val="00310FC1"/>
    <w:rsid w:val="003115EB"/>
    <w:rsid w:val="00311C6A"/>
    <w:rsid w:val="003123E4"/>
    <w:rsid w:val="003126C9"/>
    <w:rsid w:val="003132E7"/>
    <w:rsid w:val="00313E1F"/>
    <w:rsid w:val="003143BD"/>
    <w:rsid w:val="0031457B"/>
    <w:rsid w:val="00314E8C"/>
    <w:rsid w:val="00314EDC"/>
    <w:rsid w:val="003151A0"/>
    <w:rsid w:val="00315F05"/>
    <w:rsid w:val="003160A8"/>
    <w:rsid w:val="00316615"/>
    <w:rsid w:val="0031692A"/>
    <w:rsid w:val="00316ABB"/>
    <w:rsid w:val="00316D46"/>
    <w:rsid w:val="00317866"/>
    <w:rsid w:val="00317983"/>
    <w:rsid w:val="00320103"/>
    <w:rsid w:val="00321084"/>
    <w:rsid w:val="00321E0E"/>
    <w:rsid w:val="00322ED0"/>
    <w:rsid w:val="00322FCC"/>
    <w:rsid w:val="0032376A"/>
    <w:rsid w:val="0032377E"/>
    <w:rsid w:val="00323D00"/>
    <w:rsid w:val="00323E3F"/>
    <w:rsid w:val="0032401E"/>
    <w:rsid w:val="00324059"/>
    <w:rsid w:val="00324333"/>
    <w:rsid w:val="00325624"/>
    <w:rsid w:val="00325771"/>
    <w:rsid w:val="00325B3A"/>
    <w:rsid w:val="0032622B"/>
    <w:rsid w:val="003263F4"/>
    <w:rsid w:val="00327427"/>
    <w:rsid w:val="003279A9"/>
    <w:rsid w:val="00327D17"/>
    <w:rsid w:val="0033001E"/>
    <w:rsid w:val="003313FF"/>
    <w:rsid w:val="00332464"/>
    <w:rsid w:val="0033249F"/>
    <w:rsid w:val="00332C36"/>
    <w:rsid w:val="00332E7F"/>
    <w:rsid w:val="003356E2"/>
    <w:rsid w:val="00335CCF"/>
    <w:rsid w:val="00336143"/>
    <w:rsid w:val="00336371"/>
    <w:rsid w:val="003365CF"/>
    <w:rsid w:val="00336F8D"/>
    <w:rsid w:val="003371EE"/>
    <w:rsid w:val="00337325"/>
    <w:rsid w:val="00337860"/>
    <w:rsid w:val="00337C93"/>
    <w:rsid w:val="00340B05"/>
    <w:rsid w:val="00340BD5"/>
    <w:rsid w:val="00340FAC"/>
    <w:rsid w:val="00341764"/>
    <w:rsid w:val="00341989"/>
    <w:rsid w:val="003420A5"/>
    <w:rsid w:val="00342236"/>
    <w:rsid w:val="00342566"/>
    <w:rsid w:val="00342A5C"/>
    <w:rsid w:val="00342AC0"/>
    <w:rsid w:val="00344CAB"/>
    <w:rsid w:val="003450BE"/>
    <w:rsid w:val="00345BB7"/>
    <w:rsid w:val="003460C9"/>
    <w:rsid w:val="0034629A"/>
    <w:rsid w:val="003469D2"/>
    <w:rsid w:val="00346F13"/>
    <w:rsid w:val="00347367"/>
    <w:rsid w:val="00347514"/>
    <w:rsid w:val="0034765F"/>
    <w:rsid w:val="00347A1C"/>
    <w:rsid w:val="00347AC2"/>
    <w:rsid w:val="00347E0F"/>
    <w:rsid w:val="00350565"/>
    <w:rsid w:val="0035088A"/>
    <w:rsid w:val="003510EE"/>
    <w:rsid w:val="00352910"/>
    <w:rsid w:val="00353962"/>
    <w:rsid w:val="00354E57"/>
    <w:rsid w:val="00355A92"/>
    <w:rsid w:val="00355AF0"/>
    <w:rsid w:val="00355F56"/>
    <w:rsid w:val="003565D6"/>
    <w:rsid w:val="0035669F"/>
    <w:rsid w:val="0035690B"/>
    <w:rsid w:val="00357139"/>
    <w:rsid w:val="00360358"/>
    <w:rsid w:val="0036059E"/>
    <w:rsid w:val="00360643"/>
    <w:rsid w:val="003612DE"/>
    <w:rsid w:val="003613E0"/>
    <w:rsid w:val="00361A2E"/>
    <w:rsid w:val="0036252F"/>
    <w:rsid w:val="0036286F"/>
    <w:rsid w:val="00362C3C"/>
    <w:rsid w:val="00363370"/>
    <w:rsid w:val="00363F14"/>
    <w:rsid w:val="003647C0"/>
    <w:rsid w:val="00364E03"/>
    <w:rsid w:val="003655C7"/>
    <w:rsid w:val="00365844"/>
    <w:rsid w:val="00365885"/>
    <w:rsid w:val="00365891"/>
    <w:rsid w:val="00365A1E"/>
    <w:rsid w:val="00365B23"/>
    <w:rsid w:val="00365F75"/>
    <w:rsid w:val="00366C8D"/>
    <w:rsid w:val="0036735E"/>
    <w:rsid w:val="00370027"/>
    <w:rsid w:val="00370527"/>
    <w:rsid w:val="00371047"/>
    <w:rsid w:val="003715AF"/>
    <w:rsid w:val="003717FD"/>
    <w:rsid w:val="00372488"/>
    <w:rsid w:val="00372A68"/>
    <w:rsid w:val="00372C45"/>
    <w:rsid w:val="00372D28"/>
    <w:rsid w:val="0037305D"/>
    <w:rsid w:val="00373068"/>
    <w:rsid w:val="003733A9"/>
    <w:rsid w:val="003735EA"/>
    <w:rsid w:val="00374324"/>
    <w:rsid w:val="00374D20"/>
    <w:rsid w:val="00375AA7"/>
    <w:rsid w:val="00376035"/>
    <w:rsid w:val="00376A5F"/>
    <w:rsid w:val="00376B4B"/>
    <w:rsid w:val="00376C2B"/>
    <w:rsid w:val="00376F67"/>
    <w:rsid w:val="003770C8"/>
    <w:rsid w:val="003807AC"/>
    <w:rsid w:val="00380B8C"/>
    <w:rsid w:val="00380ECF"/>
    <w:rsid w:val="003815EF"/>
    <w:rsid w:val="0038168B"/>
    <w:rsid w:val="003819BA"/>
    <w:rsid w:val="00382053"/>
    <w:rsid w:val="003823CF"/>
    <w:rsid w:val="0038240A"/>
    <w:rsid w:val="003829E4"/>
    <w:rsid w:val="00382F2A"/>
    <w:rsid w:val="00382FCB"/>
    <w:rsid w:val="0038315A"/>
    <w:rsid w:val="003838B5"/>
    <w:rsid w:val="00383D1C"/>
    <w:rsid w:val="003843F1"/>
    <w:rsid w:val="0038572D"/>
    <w:rsid w:val="00385D42"/>
    <w:rsid w:val="00386E8B"/>
    <w:rsid w:val="00387C2A"/>
    <w:rsid w:val="00387FDE"/>
    <w:rsid w:val="00390FA3"/>
    <w:rsid w:val="00391E80"/>
    <w:rsid w:val="00392276"/>
    <w:rsid w:val="00392C29"/>
    <w:rsid w:val="00392E49"/>
    <w:rsid w:val="00392F3B"/>
    <w:rsid w:val="0039347E"/>
    <w:rsid w:val="0039358E"/>
    <w:rsid w:val="00393900"/>
    <w:rsid w:val="00393C5A"/>
    <w:rsid w:val="003940DB"/>
    <w:rsid w:val="003942FB"/>
    <w:rsid w:val="003945B7"/>
    <w:rsid w:val="00394F54"/>
    <w:rsid w:val="00395233"/>
    <w:rsid w:val="00395314"/>
    <w:rsid w:val="0039553D"/>
    <w:rsid w:val="00395690"/>
    <w:rsid w:val="00396841"/>
    <w:rsid w:val="00396A36"/>
    <w:rsid w:val="003971DD"/>
    <w:rsid w:val="00397802"/>
    <w:rsid w:val="003A01CB"/>
    <w:rsid w:val="003A02DC"/>
    <w:rsid w:val="003A08FB"/>
    <w:rsid w:val="003A14CA"/>
    <w:rsid w:val="003A1A7B"/>
    <w:rsid w:val="003A1A8F"/>
    <w:rsid w:val="003A2240"/>
    <w:rsid w:val="003A2C94"/>
    <w:rsid w:val="003A3151"/>
    <w:rsid w:val="003A3910"/>
    <w:rsid w:val="003A3CF3"/>
    <w:rsid w:val="003A407C"/>
    <w:rsid w:val="003A40D0"/>
    <w:rsid w:val="003A4273"/>
    <w:rsid w:val="003A4712"/>
    <w:rsid w:val="003A4919"/>
    <w:rsid w:val="003A5AB5"/>
    <w:rsid w:val="003A759F"/>
    <w:rsid w:val="003B2C42"/>
    <w:rsid w:val="003B3662"/>
    <w:rsid w:val="003B4276"/>
    <w:rsid w:val="003B5A6D"/>
    <w:rsid w:val="003B5AAD"/>
    <w:rsid w:val="003B5B96"/>
    <w:rsid w:val="003B5D4F"/>
    <w:rsid w:val="003B5EE0"/>
    <w:rsid w:val="003B69B6"/>
    <w:rsid w:val="003B6E1E"/>
    <w:rsid w:val="003B6FB8"/>
    <w:rsid w:val="003B73C4"/>
    <w:rsid w:val="003B774C"/>
    <w:rsid w:val="003B7CA7"/>
    <w:rsid w:val="003B7FBC"/>
    <w:rsid w:val="003B7FDE"/>
    <w:rsid w:val="003C00DF"/>
    <w:rsid w:val="003C091C"/>
    <w:rsid w:val="003C0A87"/>
    <w:rsid w:val="003C16BD"/>
    <w:rsid w:val="003C2CB2"/>
    <w:rsid w:val="003C2EE2"/>
    <w:rsid w:val="003C31CF"/>
    <w:rsid w:val="003C38BC"/>
    <w:rsid w:val="003C3F7F"/>
    <w:rsid w:val="003C4799"/>
    <w:rsid w:val="003C4BA9"/>
    <w:rsid w:val="003C54D4"/>
    <w:rsid w:val="003C5C83"/>
    <w:rsid w:val="003C62DF"/>
    <w:rsid w:val="003C69A7"/>
    <w:rsid w:val="003C6C05"/>
    <w:rsid w:val="003C6FDA"/>
    <w:rsid w:val="003C7550"/>
    <w:rsid w:val="003C7C8F"/>
    <w:rsid w:val="003D02CC"/>
    <w:rsid w:val="003D0509"/>
    <w:rsid w:val="003D0A3F"/>
    <w:rsid w:val="003D0DF7"/>
    <w:rsid w:val="003D0E59"/>
    <w:rsid w:val="003D10D1"/>
    <w:rsid w:val="003D15E8"/>
    <w:rsid w:val="003D1A95"/>
    <w:rsid w:val="003D1CC4"/>
    <w:rsid w:val="003D1DE1"/>
    <w:rsid w:val="003D2778"/>
    <w:rsid w:val="003D27DA"/>
    <w:rsid w:val="003D2890"/>
    <w:rsid w:val="003D298E"/>
    <w:rsid w:val="003D3E2B"/>
    <w:rsid w:val="003D410E"/>
    <w:rsid w:val="003D440F"/>
    <w:rsid w:val="003D54A5"/>
    <w:rsid w:val="003D5F36"/>
    <w:rsid w:val="003D6086"/>
    <w:rsid w:val="003D6449"/>
    <w:rsid w:val="003D65AB"/>
    <w:rsid w:val="003D6C05"/>
    <w:rsid w:val="003D732B"/>
    <w:rsid w:val="003E032C"/>
    <w:rsid w:val="003E06CE"/>
    <w:rsid w:val="003E0F91"/>
    <w:rsid w:val="003E138C"/>
    <w:rsid w:val="003E1895"/>
    <w:rsid w:val="003E222D"/>
    <w:rsid w:val="003E236E"/>
    <w:rsid w:val="003E24CA"/>
    <w:rsid w:val="003E29A5"/>
    <w:rsid w:val="003E2C88"/>
    <w:rsid w:val="003E32A6"/>
    <w:rsid w:val="003E48F5"/>
    <w:rsid w:val="003E4C78"/>
    <w:rsid w:val="003E5B67"/>
    <w:rsid w:val="003E658F"/>
    <w:rsid w:val="003E66B8"/>
    <w:rsid w:val="003E74C1"/>
    <w:rsid w:val="003E7851"/>
    <w:rsid w:val="003F11E3"/>
    <w:rsid w:val="003F1469"/>
    <w:rsid w:val="003F20EB"/>
    <w:rsid w:val="003F2737"/>
    <w:rsid w:val="003F2C42"/>
    <w:rsid w:val="003F2DE3"/>
    <w:rsid w:val="003F3213"/>
    <w:rsid w:val="003F35AA"/>
    <w:rsid w:val="003F3892"/>
    <w:rsid w:val="003F4057"/>
    <w:rsid w:val="003F40CF"/>
    <w:rsid w:val="003F44B1"/>
    <w:rsid w:val="003F44C6"/>
    <w:rsid w:val="003F488E"/>
    <w:rsid w:val="003F4D81"/>
    <w:rsid w:val="003F4EA0"/>
    <w:rsid w:val="003F5232"/>
    <w:rsid w:val="003F5399"/>
    <w:rsid w:val="003F61F7"/>
    <w:rsid w:val="003F663A"/>
    <w:rsid w:val="003F679D"/>
    <w:rsid w:val="003F6A28"/>
    <w:rsid w:val="003F6BF2"/>
    <w:rsid w:val="003F6E78"/>
    <w:rsid w:val="003F6ECB"/>
    <w:rsid w:val="003F7118"/>
    <w:rsid w:val="003F7A52"/>
    <w:rsid w:val="00401590"/>
    <w:rsid w:val="004015A1"/>
    <w:rsid w:val="00401AF1"/>
    <w:rsid w:val="00401D29"/>
    <w:rsid w:val="00401DB4"/>
    <w:rsid w:val="00402B1A"/>
    <w:rsid w:val="0040467D"/>
    <w:rsid w:val="00404AC2"/>
    <w:rsid w:val="00404CA3"/>
    <w:rsid w:val="00404D85"/>
    <w:rsid w:val="0040521B"/>
    <w:rsid w:val="00405240"/>
    <w:rsid w:val="00405325"/>
    <w:rsid w:val="0040589F"/>
    <w:rsid w:val="004059EF"/>
    <w:rsid w:val="004077D8"/>
    <w:rsid w:val="00407A18"/>
    <w:rsid w:val="00410111"/>
    <w:rsid w:val="0041061D"/>
    <w:rsid w:val="00410A34"/>
    <w:rsid w:val="00410AD7"/>
    <w:rsid w:val="00411412"/>
    <w:rsid w:val="00411CC1"/>
    <w:rsid w:val="00411EA7"/>
    <w:rsid w:val="00412B3E"/>
    <w:rsid w:val="0041343A"/>
    <w:rsid w:val="00413473"/>
    <w:rsid w:val="00414A70"/>
    <w:rsid w:val="00415127"/>
    <w:rsid w:val="00415150"/>
    <w:rsid w:val="004154C0"/>
    <w:rsid w:val="00415A9D"/>
    <w:rsid w:val="00415AA9"/>
    <w:rsid w:val="004168CE"/>
    <w:rsid w:val="00417A51"/>
    <w:rsid w:val="00417B17"/>
    <w:rsid w:val="00417D8A"/>
    <w:rsid w:val="00420420"/>
    <w:rsid w:val="00420E6F"/>
    <w:rsid w:val="00422779"/>
    <w:rsid w:val="004239AD"/>
    <w:rsid w:val="00424763"/>
    <w:rsid w:val="00424A23"/>
    <w:rsid w:val="0042544A"/>
    <w:rsid w:val="0042565C"/>
    <w:rsid w:val="00425B2C"/>
    <w:rsid w:val="00425D2D"/>
    <w:rsid w:val="00425E80"/>
    <w:rsid w:val="00425ECD"/>
    <w:rsid w:val="004262AD"/>
    <w:rsid w:val="004268BE"/>
    <w:rsid w:val="00426B83"/>
    <w:rsid w:val="0042738B"/>
    <w:rsid w:val="00427BC2"/>
    <w:rsid w:val="00430200"/>
    <w:rsid w:val="0043152F"/>
    <w:rsid w:val="004315AC"/>
    <w:rsid w:val="004320BE"/>
    <w:rsid w:val="00432324"/>
    <w:rsid w:val="0043233D"/>
    <w:rsid w:val="00433072"/>
    <w:rsid w:val="00433F54"/>
    <w:rsid w:val="00434275"/>
    <w:rsid w:val="004344FF"/>
    <w:rsid w:val="004351A0"/>
    <w:rsid w:val="0043538A"/>
    <w:rsid w:val="0043628A"/>
    <w:rsid w:val="004364C1"/>
    <w:rsid w:val="0043665F"/>
    <w:rsid w:val="00436A50"/>
    <w:rsid w:val="00437401"/>
    <w:rsid w:val="00437719"/>
    <w:rsid w:val="00437759"/>
    <w:rsid w:val="00437D6C"/>
    <w:rsid w:val="00440100"/>
    <w:rsid w:val="004403BD"/>
    <w:rsid w:val="00440903"/>
    <w:rsid w:val="00441369"/>
    <w:rsid w:val="004414E5"/>
    <w:rsid w:val="00442569"/>
    <w:rsid w:val="00442B88"/>
    <w:rsid w:val="00442F5C"/>
    <w:rsid w:val="00443087"/>
    <w:rsid w:val="00443728"/>
    <w:rsid w:val="00443F9A"/>
    <w:rsid w:val="00444DAF"/>
    <w:rsid w:val="00444E4F"/>
    <w:rsid w:val="00444F22"/>
    <w:rsid w:val="00444F99"/>
    <w:rsid w:val="0044582E"/>
    <w:rsid w:val="00445961"/>
    <w:rsid w:val="004459F8"/>
    <w:rsid w:val="00445A98"/>
    <w:rsid w:val="00445AA9"/>
    <w:rsid w:val="00445AAE"/>
    <w:rsid w:val="00445BF4"/>
    <w:rsid w:val="00446010"/>
    <w:rsid w:val="00446C98"/>
    <w:rsid w:val="00446F20"/>
    <w:rsid w:val="00450D4C"/>
    <w:rsid w:val="00450F92"/>
    <w:rsid w:val="004511BC"/>
    <w:rsid w:val="0045157D"/>
    <w:rsid w:val="00451F6D"/>
    <w:rsid w:val="004522FD"/>
    <w:rsid w:val="00452636"/>
    <w:rsid w:val="00453218"/>
    <w:rsid w:val="004532CA"/>
    <w:rsid w:val="0045366E"/>
    <w:rsid w:val="00453C57"/>
    <w:rsid w:val="00453DDA"/>
    <w:rsid w:val="004548AC"/>
    <w:rsid w:val="004548C1"/>
    <w:rsid w:val="0045511C"/>
    <w:rsid w:val="004554B1"/>
    <w:rsid w:val="004554F3"/>
    <w:rsid w:val="0045576A"/>
    <w:rsid w:val="0045600E"/>
    <w:rsid w:val="004562A7"/>
    <w:rsid w:val="00456705"/>
    <w:rsid w:val="00456837"/>
    <w:rsid w:val="004569B9"/>
    <w:rsid w:val="004578F6"/>
    <w:rsid w:val="004604B2"/>
    <w:rsid w:val="00460908"/>
    <w:rsid w:val="00460B33"/>
    <w:rsid w:val="00461064"/>
    <w:rsid w:val="0046106E"/>
    <w:rsid w:val="00461193"/>
    <w:rsid w:val="00461362"/>
    <w:rsid w:val="00461849"/>
    <w:rsid w:val="00461BA2"/>
    <w:rsid w:val="004620BF"/>
    <w:rsid w:val="0046305A"/>
    <w:rsid w:val="00463695"/>
    <w:rsid w:val="00463A37"/>
    <w:rsid w:val="0046409D"/>
    <w:rsid w:val="0046471C"/>
    <w:rsid w:val="00464A9D"/>
    <w:rsid w:val="00464E2F"/>
    <w:rsid w:val="00464E97"/>
    <w:rsid w:val="0046576C"/>
    <w:rsid w:val="00465E8F"/>
    <w:rsid w:val="004660D9"/>
    <w:rsid w:val="004661B9"/>
    <w:rsid w:val="0046682E"/>
    <w:rsid w:val="004669AE"/>
    <w:rsid w:val="0046765A"/>
    <w:rsid w:val="00467DAB"/>
    <w:rsid w:val="004703E1"/>
    <w:rsid w:val="00470768"/>
    <w:rsid w:val="004708AA"/>
    <w:rsid w:val="00470A90"/>
    <w:rsid w:val="00471323"/>
    <w:rsid w:val="00471909"/>
    <w:rsid w:val="00472197"/>
    <w:rsid w:val="004722B5"/>
    <w:rsid w:val="00472398"/>
    <w:rsid w:val="0047248E"/>
    <w:rsid w:val="004732A5"/>
    <w:rsid w:val="004741D8"/>
    <w:rsid w:val="00474367"/>
    <w:rsid w:val="004745A3"/>
    <w:rsid w:val="004745B6"/>
    <w:rsid w:val="00474A2A"/>
    <w:rsid w:val="00476E80"/>
    <w:rsid w:val="0047710A"/>
    <w:rsid w:val="0047718E"/>
    <w:rsid w:val="004772D1"/>
    <w:rsid w:val="00477D9D"/>
    <w:rsid w:val="00477DD7"/>
    <w:rsid w:val="00477E05"/>
    <w:rsid w:val="0048036B"/>
    <w:rsid w:val="00480509"/>
    <w:rsid w:val="00480596"/>
    <w:rsid w:val="00480722"/>
    <w:rsid w:val="004809BA"/>
    <w:rsid w:val="00480AF4"/>
    <w:rsid w:val="0048160E"/>
    <w:rsid w:val="00481664"/>
    <w:rsid w:val="00483061"/>
    <w:rsid w:val="004833CE"/>
    <w:rsid w:val="00483C40"/>
    <w:rsid w:val="00483CE2"/>
    <w:rsid w:val="0048412E"/>
    <w:rsid w:val="004843D2"/>
    <w:rsid w:val="00484620"/>
    <w:rsid w:val="00484D77"/>
    <w:rsid w:val="00484EC1"/>
    <w:rsid w:val="00485347"/>
    <w:rsid w:val="00485597"/>
    <w:rsid w:val="00486FE7"/>
    <w:rsid w:val="0048710D"/>
    <w:rsid w:val="004876F6"/>
    <w:rsid w:val="004877DD"/>
    <w:rsid w:val="004903B9"/>
    <w:rsid w:val="00490AD9"/>
    <w:rsid w:val="00491093"/>
    <w:rsid w:val="00491424"/>
    <w:rsid w:val="00491A5C"/>
    <w:rsid w:val="00491F05"/>
    <w:rsid w:val="00492AF7"/>
    <w:rsid w:val="00492E5C"/>
    <w:rsid w:val="00493525"/>
    <w:rsid w:val="00493ABD"/>
    <w:rsid w:val="0049468B"/>
    <w:rsid w:val="00494854"/>
    <w:rsid w:val="00494D8A"/>
    <w:rsid w:val="0049547B"/>
    <w:rsid w:val="0049573D"/>
    <w:rsid w:val="00495BB9"/>
    <w:rsid w:val="00496AB3"/>
    <w:rsid w:val="00496C35"/>
    <w:rsid w:val="00496FDD"/>
    <w:rsid w:val="00497270"/>
    <w:rsid w:val="004A01CB"/>
    <w:rsid w:val="004A03AF"/>
    <w:rsid w:val="004A03CB"/>
    <w:rsid w:val="004A0924"/>
    <w:rsid w:val="004A113D"/>
    <w:rsid w:val="004A3E78"/>
    <w:rsid w:val="004A46E6"/>
    <w:rsid w:val="004A492C"/>
    <w:rsid w:val="004A530A"/>
    <w:rsid w:val="004A6E52"/>
    <w:rsid w:val="004A7096"/>
    <w:rsid w:val="004A7562"/>
    <w:rsid w:val="004A7C72"/>
    <w:rsid w:val="004B18F4"/>
    <w:rsid w:val="004B1BEE"/>
    <w:rsid w:val="004B1D59"/>
    <w:rsid w:val="004B1D6D"/>
    <w:rsid w:val="004B28E4"/>
    <w:rsid w:val="004B2FBF"/>
    <w:rsid w:val="004B3B79"/>
    <w:rsid w:val="004B3B93"/>
    <w:rsid w:val="004B45D5"/>
    <w:rsid w:val="004B4D6B"/>
    <w:rsid w:val="004B5055"/>
    <w:rsid w:val="004B60AA"/>
    <w:rsid w:val="004B612B"/>
    <w:rsid w:val="004B7385"/>
    <w:rsid w:val="004B7716"/>
    <w:rsid w:val="004B7C42"/>
    <w:rsid w:val="004C0DC8"/>
    <w:rsid w:val="004C1727"/>
    <w:rsid w:val="004C19C9"/>
    <w:rsid w:val="004C21F6"/>
    <w:rsid w:val="004C24D0"/>
    <w:rsid w:val="004C2F42"/>
    <w:rsid w:val="004C30C5"/>
    <w:rsid w:val="004C3820"/>
    <w:rsid w:val="004C3877"/>
    <w:rsid w:val="004C3AC0"/>
    <w:rsid w:val="004C3B0B"/>
    <w:rsid w:val="004C3B77"/>
    <w:rsid w:val="004C3F6D"/>
    <w:rsid w:val="004C47F2"/>
    <w:rsid w:val="004C49FE"/>
    <w:rsid w:val="004C522D"/>
    <w:rsid w:val="004C5597"/>
    <w:rsid w:val="004C55D3"/>
    <w:rsid w:val="004C56BF"/>
    <w:rsid w:val="004C6492"/>
    <w:rsid w:val="004C6E22"/>
    <w:rsid w:val="004C746C"/>
    <w:rsid w:val="004C75C7"/>
    <w:rsid w:val="004C76A7"/>
    <w:rsid w:val="004C78C7"/>
    <w:rsid w:val="004C7C01"/>
    <w:rsid w:val="004D1E4B"/>
    <w:rsid w:val="004D21D5"/>
    <w:rsid w:val="004D2562"/>
    <w:rsid w:val="004D275B"/>
    <w:rsid w:val="004D2EB6"/>
    <w:rsid w:val="004D3302"/>
    <w:rsid w:val="004D37AE"/>
    <w:rsid w:val="004D3A6C"/>
    <w:rsid w:val="004D3CDA"/>
    <w:rsid w:val="004D3E75"/>
    <w:rsid w:val="004D430F"/>
    <w:rsid w:val="004D49AC"/>
    <w:rsid w:val="004D4DEF"/>
    <w:rsid w:val="004D5134"/>
    <w:rsid w:val="004D5196"/>
    <w:rsid w:val="004D529E"/>
    <w:rsid w:val="004D5330"/>
    <w:rsid w:val="004D55AE"/>
    <w:rsid w:val="004D5A8B"/>
    <w:rsid w:val="004D5AC1"/>
    <w:rsid w:val="004D5AE5"/>
    <w:rsid w:val="004D5C4A"/>
    <w:rsid w:val="004D5FA0"/>
    <w:rsid w:val="004D6D54"/>
    <w:rsid w:val="004D6DD6"/>
    <w:rsid w:val="004D71E3"/>
    <w:rsid w:val="004D7956"/>
    <w:rsid w:val="004D79D6"/>
    <w:rsid w:val="004E0152"/>
    <w:rsid w:val="004E03A0"/>
    <w:rsid w:val="004E0A57"/>
    <w:rsid w:val="004E0B69"/>
    <w:rsid w:val="004E128C"/>
    <w:rsid w:val="004E1681"/>
    <w:rsid w:val="004E25D5"/>
    <w:rsid w:val="004E2693"/>
    <w:rsid w:val="004E344A"/>
    <w:rsid w:val="004E3855"/>
    <w:rsid w:val="004E39B6"/>
    <w:rsid w:val="004E3AA2"/>
    <w:rsid w:val="004E4184"/>
    <w:rsid w:val="004E5683"/>
    <w:rsid w:val="004E58DF"/>
    <w:rsid w:val="004E59A9"/>
    <w:rsid w:val="004E5AB4"/>
    <w:rsid w:val="004E6501"/>
    <w:rsid w:val="004E6D5A"/>
    <w:rsid w:val="004E6DAB"/>
    <w:rsid w:val="004E6DE6"/>
    <w:rsid w:val="004E6E9A"/>
    <w:rsid w:val="004E702E"/>
    <w:rsid w:val="004E7170"/>
    <w:rsid w:val="004E74A9"/>
    <w:rsid w:val="004F0CBE"/>
    <w:rsid w:val="004F13AC"/>
    <w:rsid w:val="004F2903"/>
    <w:rsid w:val="004F2E21"/>
    <w:rsid w:val="004F2EE2"/>
    <w:rsid w:val="004F400E"/>
    <w:rsid w:val="004F45A3"/>
    <w:rsid w:val="004F4903"/>
    <w:rsid w:val="004F4982"/>
    <w:rsid w:val="004F49FE"/>
    <w:rsid w:val="004F4EF0"/>
    <w:rsid w:val="004F5835"/>
    <w:rsid w:val="004F5B96"/>
    <w:rsid w:val="004F630D"/>
    <w:rsid w:val="004F64E0"/>
    <w:rsid w:val="004F6BCA"/>
    <w:rsid w:val="004F75ED"/>
    <w:rsid w:val="00501682"/>
    <w:rsid w:val="005019F1"/>
    <w:rsid w:val="00501A6C"/>
    <w:rsid w:val="00501CA0"/>
    <w:rsid w:val="00502191"/>
    <w:rsid w:val="00502221"/>
    <w:rsid w:val="0050399D"/>
    <w:rsid w:val="0050436A"/>
    <w:rsid w:val="00504A25"/>
    <w:rsid w:val="00504D77"/>
    <w:rsid w:val="0050580C"/>
    <w:rsid w:val="00505A11"/>
    <w:rsid w:val="00505DD4"/>
    <w:rsid w:val="0050614A"/>
    <w:rsid w:val="00506174"/>
    <w:rsid w:val="00506756"/>
    <w:rsid w:val="00506C47"/>
    <w:rsid w:val="00506E40"/>
    <w:rsid w:val="005077D2"/>
    <w:rsid w:val="005105B0"/>
    <w:rsid w:val="00510A15"/>
    <w:rsid w:val="00510F14"/>
    <w:rsid w:val="00510F2A"/>
    <w:rsid w:val="005115DC"/>
    <w:rsid w:val="005126D2"/>
    <w:rsid w:val="00512776"/>
    <w:rsid w:val="00512ADF"/>
    <w:rsid w:val="00512BDB"/>
    <w:rsid w:val="005132DD"/>
    <w:rsid w:val="00513B04"/>
    <w:rsid w:val="005143DC"/>
    <w:rsid w:val="00514642"/>
    <w:rsid w:val="00515653"/>
    <w:rsid w:val="00515B57"/>
    <w:rsid w:val="005162DA"/>
    <w:rsid w:val="00516964"/>
    <w:rsid w:val="005169EE"/>
    <w:rsid w:val="00516A67"/>
    <w:rsid w:val="0051739F"/>
    <w:rsid w:val="005174A8"/>
    <w:rsid w:val="00517770"/>
    <w:rsid w:val="00517F99"/>
    <w:rsid w:val="0052091B"/>
    <w:rsid w:val="00520A32"/>
    <w:rsid w:val="00521181"/>
    <w:rsid w:val="0052199A"/>
    <w:rsid w:val="00522059"/>
    <w:rsid w:val="005225C1"/>
    <w:rsid w:val="005226ED"/>
    <w:rsid w:val="00522A60"/>
    <w:rsid w:val="00522DFC"/>
    <w:rsid w:val="00522FE7"/>
    <w:rsid w:val="00523252"/>
    <w:rsid w:val="005235C2"/>
    <w:rsid w:val="0052367C"/>
    <w:rsid w:val="00523D16"/>
    <w:rsid w:val="00524470"/>
    <w:rsid w:val="0052473F"/>
    <w:rsid w:val="00524C12"/>
    <w:rsid w:val="00524E1F"/>
    <w:rsid w:val="00524EA1"/>
    <w:rsid w:val="00525225"/>
    <w:rsid w:val="00525275"/>
    <w:rsid w:val="00525B2C"/>
    <w:rsid w:val="00525B45"/>
    <w:rsid w:val="00526215"/>
    <w:rsid w:val="005263C6"/>
    <w:rsid w:val="00526665"/>
    <w:rsid w:val="0052687F"/>
    <w:rsid w:val="005271D1"/>
    <w:rsid w:val="00530712"/>
    <w:rsid w:val="00530787"/>
    <w:rsid w:val="00530CE2"/>
    <w:rsid w:val="00531A4D"/>
    <w:rsid w:val="00531B76"/>
    <w:rsid w:val="005323BB"/>
    <w:rsid w:val="00532408"/>
    <w:rsid w:val="00533359"/>
    <w:rsid w:val="005337D1"/>
    <w:rsid w:val="00533A01"/>
    <w:rsid w:val="0053494C"/>
    <w:rsid w:val="005358AE"/>
    <w:rsid w:val="00535AAC"/>
    <w:rsid w:val="00535AFD"/>
    <w:rsid w:val="00535DBF"/>
    <w:rsid w:val="00535DFC"/>
    <w:rsid w:val="00536686"/>
    <w:rsid w:val="005367A7"/>
    <w:rsid w:val="00536D62"/>
    <w:rsid w:val="005371F5"/>
    <w:rsid w:val="005375CB"/>
    <w:rsid w:val="00537839"/>
    <w:rsid w:val="00537CFA"/>
    <w:rsid w:val="00537FBB"/>
    <w:rsid w:val="00540449"/>
    <w:rsid w:val="00540F26"/>
    <w:rsid w:val="00540FD1"/>
    <w:rsid w:val="00541953"/>
    <w:rsid w:val="00541B06"/>
    <w:rsid w:val="00542B89"/>
    <w:rsid w:val="0054519E"/>
    <w:rsid w:val="005452B3"/>
    <w:rsid w:val="005465E0"/>
    <w:rsid w:val="00547193"/>
    <w:rsid w:val="00547264"/>
    <w:rsid w:val="005475F5"/>
    <w:rsid w:val="00547F53"/>
    <w:rsid w:val="00550105"/>
    <w:rsid w:val="00550507"/>
    <w:rsid w:val="00550911"/>
    <w:rsid w:val="00551262"/>
    <w:rsid w:val="0055159D"/>
    <w:rsid w:val="00551631"/>
    <w:rsid w:val="0055182C"/>
    <w:rsid w:val="00552ED3"/>
    <w:rsid w:val="0055494C"/>
    <w:rsid w:val="005551E5"/>
    <w:rsid w:val="00555843"/>
    <w:rsid w:val="00555AC6"/>
    <w:rsid w:val="00555CD3"/>
    <w:rsid w:val="00555CD8"/>
    <w:rsid w:val="0055600F"/>
    <w:rsid w:val="00556A05"/>
    <w:rsid w:val="00556D4C"/>
    <w:rsid w:val="00556D92"/>
    <w:rsid w:val="00557128"/>
    <w:rsid w:val="00557203"/>
    <w:rsid w:val="00557CF1"/>
    <w:rsid w:val="0056044D"/>
    <w:rsid w:val="00560895"/>
    <w:rsid w:val="00560BF3"/>
    <w:rsid w:val="00560E89"/>
    <w:rsid w:val="00561118"/>
    <w:rsid w:val="00561697"/>
    <w:rsid w:val="00561A14"/>
    <w:rsid w:val="00562C5E"/>
    <w:rsid w:val="00563184"/>
    <w:rsid w:val="0056329E"/>
    <w:rsid w:val="00563CC1"/>
    <w:rsid w:val="00563D0F"/>
    <w:rsid w:val="00563F2E"/>
    <w:rsid w:val="005641B8"/>
    <w:rsid w:val="0056488E"/>
    <w:rsid w:val="00564B8B"/>
    <w:rsid w:val="00566889"/>
    <w:rsid w:val="0056690C"/>
    <w:rsid w:val="00566B87"/>
    <w:rsid w:val="00566F24"/>
    <w:rsid w:val="00567083"/>
    <w:rsid w:val="00567193"/>
    <w:rsid w:val="005675A3"/>
    <w:rsid w:val="00570444"/>
    <w:rsid w:val="0057076D"/>
    <w:rsid w:val="005713AC"/>
    <w:rsid w:val="00571CBB"/>
    <w:rsid w:val="005721EB"/>
    <w:rsid w:val="00572348"/>
    <w:rsid w:val="0057260F"/>
    <w:rsid w:val="0057264D"/>
    <w:rsid w:val="0057321A"/>
    <w:rsid w:val="00573C19"/>
    <w:rsid w:val="0057415E"/>
    <w:rsid w:val="00574515"/>
    <w:rsid w:val="005746D3"/>
    <w:rsid w:val="00574A29"/>
    <w:rsid w:val="00574FAD"/>
    <w:rsid w:val="005751E9"/>
    <w:rsid w:val="00575A5C"/>
    <w:rsid w:val="005760C8"/>
    <w:rsid w:val="005764CB"/>
    <w:rsid w:val="00576581"/>
    <w:rsid w:val="00576FC3"/>
    <w:rsid w:val="0057725E"/>
    <w:rsid w:val="005778D3"/>
    <w:rsid w:val="005807D1"/>
    <w:rsid w:val="00580BE0"/>
    <w:rsid w:val="00581268"/>
    <w:rsid w:val="00581C29"/>
    <w:rsid w:val="00581CFE"/>
    <w:rsid w:val="00582592"/>
    <w:rsid w:val="00582EAD"/>
    <w:rsid w:val="00582F74"/>
    <w:rsid w:val="005832EC"/>
    <w:rsid w:val="005834D9"/>
    <w:rsid w:val="00583B1B"/>
    <w:rsid w:val="00583FBE"/>
    <w:rsid w:val="00584673"/>
    <w:rsid w:val="00584C9B"/>
    <w:rsid w:val="005853B9"/>
    <w:rsid w:val="005854F0"/>
    <w:rsid w:val="0058596A"/>
    <w:rsid w:val="00585BA9"/>
    <w:rsid w:val="00586C93"/>
    <w:rsid w:val="00586D8B"/>
    <w:rsid w:val="00587077"/>
    <w:rsid w:val="0058715A"/>
    <w:rsid w:val="00587E1B"/>
    <w:rsid w:val="0059000B"/>
    <w:rsid w:val="005906D2"/>
    <w:rsid w:val="00590860"/>
    <w:rsid w:val="005910C4"/>
    <w:rsid w:val="005915A5"/>
    <w:rsid w:val="005933A1"/>
    <w:rsid w:val="00593986"/>
    <w:rsid w:val="005942F5"/>
    <w:rsid w:val="00594CA3"/>
    <w:rsid w:val="005958E9"/>
    <w:rsid w:val="00595D95"/>
    <w:rsid w:val="00595DF3"/>
    <w:rsid w:val="00596093"/>
    <w:rsid w:val="00597572"/>
    <w:rsid w:val="005979B2"/>
    <w:rsid w:val="00597F9D"/>
    <w:rsid w:val="005A02F6"/>
    <w:rsid w:val="005A142B"/>
    <w:rsid w:val="005A1B7E"/>
    <w:rsid w:val="005A2507"/>
    <w:rsid w:val="005A2856"/>
    <w:rsid w:val="005A28FA"/>
    <w:rsid w:val="005A2DC7"/>
    <w:rsid w:val="005A3592"/>
    <w:rsid w:val="005A42AE"/>
    <w:rsid w:val="005A454D"/>
    <w:rsid w:val="005A4615"/>
    <w:rsid w:val="005A501B"/>
    <w:rsid w:val="005A5193"/>
    <w:rsid w:val="005A52AA"/>
    <w:rsid w:val="005A53BB"/>
    <w:rsid w:val="005A586D"/>
    <w:rsid w:val="005A5FEA"/>
    <w:rsid w:val="005A74FA"/>
    <w:rsid w:val="005B02D8"/>
    <w:rsid w:val="005B0480"/>
    <w:rsid w:val="005B1095"/>
    <w:rsid w:val="005B1CB2"/>
    <w:rsid w:val="005B1E04"/>
    <w:rsid w:val="005B1E93"/>
    <w:rsid w:val="005B2166"/>
    <w:rsid w:val="005B33B4"/>
    <w:rsid w:val="005B3438"/>
    <w:rsid w:val="005B377D"/>
    <w:rsid w:val="005B3837"/>
    <w:rsid w:val="005B386C"/>
    <w:rsid w:val="005B3EC3"/>
    <w:rsid w:val="005B4343"/>
    <w:rsid w:val="005B467A"/>
    <w:rsid w:val="005B4974"/>
    <w:rsid w:val="005B49D8"/>
    <w:rsid w:val="005B4D4C"/>
    <w:rsid w:val="005B4E14"/>
    <w:rsid w:val="005B4F93"/>
    <w:rsid w:val="005B5321"/>
    <w:rsid w:val="005B5696"/>
    <w:rsid w:val="005B59EB"/>
    <w:rsid w:val="005B5B2D"/>
    <w:rsid w:val="005B5F5E"/>
    <w:rsid w:val="005B6689"/>
    <w:rsid w:val="005B6B20"/>
    <w:rsid w:val="005B7046"/>
    <w:rsid w:val="005B70B2"/>
    <w:rsid w:val="005C00D5"/>
    <w:rsid w:val="005C02F2"/>
    <w:rsid w:val="005C1BCA"/>
    <w:rsid w:val="005C1D86"/>
    <w:rsid w:val="005C1DF0"/>
    <w:rsid w:val="005C1E83"/>
    <w:rsid w:val="005C375B"/>
    <w:rsid w:val="005C4259"/>
    <w:rsid w:val="005C4A22"/>
    <w:rsid w:val="005C4C26"/>
    <w:rsid w:val="005C4C2E"/>
    <w:rsid w:val="005C4D93"/>
    <w:rsid w:val="005C5039"/>
    <w:rsid w:val="005C565B"/>
    <w:rsid w:val="005C5B56"/>
    <w:rsid w:val="005C5B88"/>
    <w:rsid w:val="005C5C1E"/>
    <w:rsid w:val="005C5E9A"/>
    <w:rsid w:val="005C6127"/>
    <w:rsid w:val="005C67B0"/>
    <w:rsid w:val="005C67E7"/>
    <w:rsid w:val="005C6B53"/>
    <w:rsid w:val="005C73B1"/>
    <w:rsid w:val="005C741D"/>
    <w:rsid w:val="005D0041"/>
    <w:rsid w:val="005D067B"/>
    <w:rsid w:val="005D0D81"/>
    <w:rsid w:val="005D0DF5"/>
    <w:rsid w:val="005D1A5E"/>
    <w:rsid w:val="005D1AC8"/>
    <w:rsid w:val="005D1EDD"/>
    <w:rsid w:val="005D2097"/>
    <w:rsid w:val="005D211F"/>
    <w:rsid w:val="005D3040"/>
    <w:rsid w:val="005D30E7"/>
    <w:rsid w:val="005D31B9"/>
    <w:rsid w:val="005D40E1"/>
    <w:rsid w:val="005D4671"/>
    <w:rsid w:val="005D4BA8"/>
    <w:rsid w:val="005D4C71"/>
    <w:rsid w:val="005D587D"/>
    <w:rsid w:val="005D6023"/>
    <w:rsid w:val="005D604C"/>
    <w:rsid w:val="005D615C"/>
    <w:rsid w:val="005D616D"/>
    <w:rsid w:val="005D666B"/>
    <w:rsid w:val="005D6D23"/>
    <w:rsid w:val="005D7E59"/>
    <w:rsid w:val="005E0726"/>
    <w:rsid w:val="005E115E"/>
    <w:rsid w:val="005E119D"/>
    <w:rsid w:val="005E1636"/>
    <w:rsid w:val="005E1686"/>
    <w:rsid w:val="005E2334"/>
    <w:rsid w:val="005E2941"/>
    <w:rsid w:val="005E3076"/>
    <w:rsid w:val="005E3190"/>
    <w:rsid w:val="005E3816"/>
    <w:rsid w:val="005E3ADA"/>
    <w:rsid w:val="005E4268"/>
    <w:rsid w:val="005E46FF"/>
    <w:rsid w:val="005E4E88"/>
    <w:rsid w:val="005E534E"/>
    <w:rsid w:val="005E5A5A"/>
    <w:rsid w:val="005E6D71"/>
    <w:rsid w:val="005E7328"/>
    <w:rsid w:val="005E7355"/>
    <w:rsid w:val="005E7F5F"/>
    <w:rsid w:val="005F04C9"/>
    <w:rsid w:val="005F15B0"/>
    <w:rsid w:val="005F199A"/>
    <w:rsid w:val="005F301E"/>
    <w:rsid w:val="005F3664"/>
    <w:rsid w:val="005F36A6"/>
    <w:rsid w:val="005F38DF"/>
    <w:rsid w:val="005F3ACA"/>
    <w:rsid w:val="005F3BAD"/>
    <w:rsid w:val="005F3D78"/>
    <w:rsid w:val="005F3D8B"/>
    <w:rsid w:val="005F424C"/>
    <w:rsid w:val="005F4F26"/>
    <w:rsid w:val="005F55C1"/>
    <w:rsid w:val="005F5E78"/>
    <w:rsid w:val="005F6336"/>
    <w:rsid w:val="005F6338"/>
    <w:rsid w:val="005F6D5B"/>
    <w:rsid w:val="005F74A1"/>
    <w:rsid w:val="005F7DD6"/>
    <w:rsid w:val="005F7FEC"/>
    <w:rsid w:val="005F7FF3"/>
    <w:rsid w:val="00600AC1"/>
    <w:rsid w:val="00601410"/>
    <w:rsid w:val="006021AD"/>
    <w:rsid w:val="0060221C"/>
    <w:rsid w:val="00602930"/>
    <w:rsid w:val="00602A50"/>
    <w:rsid w:val="00602C99"/>
    <w:rsid w:val="006033B7"/>
    <w:rsid w:val="006035B5"/>
    <w:rsid w:val="00603655"/>
    <w:rsid w:val="00603BE8"/>
    <w:rsid w:val="00603EDA"/>
    <w:rsid w:val="0060426D"/>
    <w:rsid w:val="0060472D"/>
    <w:rsid w:val="006050E6"/>
    <w:rsid w:val="0060511E"/>
    <w:rsid w:val="006055F7"/>
    <w:rsid w:val="00605F52"/>
    <w:rsid w:val="0060615F"/>
    <w:rsid w:val="00606211"/>
    <w:rsid w:val="006064B2"/>
    <w:rsid w:val="00606780"/>
    <w:rsid w:val="00606BAB"/>
    <w:rsid w:val="00607295"/>
    <w:rsid w:val="00607649"/>
    <w:rsid w:val="00607D0B"/>
    <w:rsid w:val="00607F3E"/>
    <w:rsid w:val="00610944"/>
    <w:rsid w:val="00610ABF"/>
    <w:rsid w:val="00610F0C"/>
    <w:rsid w:val="00611495"/>
    <w:rsid w:val="00611575"/>
    <w:rsid w:val="00611A45"/>
    <w:rsid w:val="00611E8D"/>
    <w:rsid w:val="00611F54"/>
    <w:rsid w:val="006122B8"/>
    <w:rsid w:val="00612452"/>
    <w:rsid w:val="0061286A"/>
    <w:rsid w:val="00612C35"/>
    <w:rsid w:val="00612ED5"/>
    <w:rsid w:val="00612F5A"/>
    <w:rsid w:val="00613393"/>
    <w:rsid w:val="0061431D"/>
    <w:rsid w:val="006143BF"/>
    <w:rsid w:val="00614D10"/>
    <w:rsid w:val="00614D26"/>
    <w:rsid w:val="00615203"/>
    <w:rsid w:val="00615926"/>
    <w:rsid w:val="0061598E"/>
    <w:rsid w:val="00615FEB"/>
    <w:rsid w:val="0061605D"/>
    <w:rsid w:val="006160A2"/>
    <w:rsid w:val="006160B7"/>
    <w:rsid w:val="0061786B"/>
    <w:rsid w:val="00620413"/>
    <w:rsid w:val="006209FA"/>
    <w:rsid w:val="00620D4B"/>
    <w:rsid w:val="00621142"/>
    <w:rsid w:val="00621878"/>
    <w:rsid w:val="00621E32"/>
    <w:rsid w:val="006221C2"/>
    <w:rsid w:val="006225FE"/>
    <w:rsid w:val="006232EB"/>
    <w:rsid w:val="006237B5"/>
    <w:rsid w:val="006238BB"/>
    <w:rsid w:val="00623C3F"/>
    <w:rsid w:val="00623C42"/>
    <w:rsid w:val="00624F10"/>
    <w:rsid w:val="00625049"/>
    <w:rsid w:val="00625420"/>
    <w:rsid w:val="0062710E"/>
    <w:rsid w:val="006272C2"/>
    <w:rsid w:val="00627433"/>
    <w:rsid w:val="00627A6D"/>
    <w:rsid w:val="006303A3"/>
    <w:rsid w:val="006303BF"/>
    <w:rsid w:val="0063121B"/>
    <w:rsid w:val="0063156F"/>
    <w:rsid w:val="006317C0"/>
    <w:rsid w:val="00631F96"/>
    <w:rsid w:val="0063441F"/>
    <w:rsid w:val="006345A0"/>
    <w:rsid w:val="00634A8E"/>
    <w:rsid w:val="00635125"/>
    <w:rsid w:val="00635619"/>
    <w:rsid w:val="0063580C"/>
    <w:rsid w:val="00635F14"/>
    <w:rsid w:val="00637EA2"/>
    <w:rsid w:val="00640928"/>
    <w:rsid w:val="00640962"/>
    <w:rsid w:val="006409A6"/>
    <w:rsid w:val="00640A16"/>
    <w:rsid w:val="00641E59"/>
    <w:rsid w:val="00642200"/>
    <w:rsid w:val="0064221A"/>
    <w:rsid w:val="006432AC"/>
    <w:rsid w:val="006436D4"/>
    <w:rsid w:val="00643F99"/>
    <w:rsid w:val="006445DD"/>
    <w:rsid w:val="00644935"/>
    <w:rsid w:val="00644CD4"/>
    <w:rsid w:val="00644CFA"/>
    <w:rsid w:val="00644F93"/>
    <w:rsid w:val="00645279"/>
    <w:rsid w:val="006452B3"/>
    <w:rsid w:val="00645312"/>
    <w:rsid w:val="006455B6"/>
    <w:rsid w:val="00645618"/>
    <w:rsid w:val="00645B7B"/>
    <w:rsid w:val="00646501"/>
    <w:rsid w:val="006465D7"/>
    <w:rsid w:val="0064736F"/>
    <w:rsid w:val="00647590"/>
    <w:rsid w:val="00647CA3"/>
    <w:rsid w:val="00647D75"/>
    <w:rsid w:val="00650642"/>
    <w:rsid w:val="00650789"/>
    <w:rsid w:val="00650C35"/>
    <w:rsid w:val="00650DD7"/>
    <w:rsid w:val="00651861"/>
    <w:rsid w:val="006519F8"/>
    <w:rsid w:val="006520BC"/>
    <w:rsid w:val="00652171"/>
    <w:rsid w:val="0065238F"/>
    <w:rsid w:val="00652AC9"/>
    <w:rsid w:val="0065341A"/>
    <w:rsid w:val="00653479"/>
    <w:rsid w:val="00653637"/>
    <w:rsid w:val="00653B5B"/>
    <w:rsid w:val="00653BC7"/>
    <w:rsid w:val="00654865"/>
    <w:rsid w:val="0065497A"/>
    <w:rsid w:val="006549C8"/>
    <w:rsid w:val="00654B19"/>
    <w:rsid w:val="00655164"/>
    <w:rsid w:val="0065568B"/>
    <w:rsid w:val="006556F8"/>
    <w:rsid w:val="006557C5"/>
    <w:rsid w:val="00655A6C"/>
    <w:rsid w:val="00655CCE"/>
    <w:rsid w:val="00656274"/>
    <w:rsid w:val="006564CB"/>
    <w:rsid w:val="006574A7"/>
    <w:rsid w:val="00657648"/>
    <w:rsid w:val="006577D0"/>
    <w:rsid w:val="00657869"/>
    <w:rsid w:val="0066007D"/>
    <w:rsid w:val="0066034F"/>
    <w:rsid w:val="006603CC"/>
    <w:rsid w:val="00660453"/>
    <w:rsid w:val="00660B16"/>
    <w:rsid w:val="00660E43"/>
    <w:rsid w:val="00660FDD"/>
    <w:rsid w:val="006610DB"/>
    <w:rsid w:val="00661545"/>
    <w:rsid w:val="0066170E"/>
    <w:rsid w:val="00661963"/>
    <w:rsid w:val="00661B01"/>
    <w:rsid w:val="00662A3D"/>
    <w:rsid w:val="006632A1"/>
    <w:rsid w:val="00663BC8"/>
    <w:rsid w:val="00664889"/>
    <w:rsid w:val="00664E2E"/>
    <w:rsid w:val="0066511C"/>
    <w:rsid w:val="006659A9"/>
    <w:rsid w:val="00666245"/>
    <w:rsid w:val="00666309"/>
    <w:rsid w:val="0066686F"/>
    <w:rsid w:val="00667082"/>
    <w:rsid w:val="00667596"/>
    <w:rsid w:val="006707B8"/>
    <w:rsid w:val="00671587"/>
    <w:rsid w:val="00672009"/>
    <w:rsid w:val="00672661"/>
    <w:rsid w:val="00672674"/>
    <w:rsid w:val="00672CF0"/>
    <w:rsid w:val="006732FD"/>
    <w:rsid w:val="006735C8"/>
    <w:rsid w:val="00673A80"/>
    <w:rsid w:val="00674220"/>
    <w:rsid w:val="006746A3"/>
    <w:rsid w:val="0067477A"/>
    <w:rsid w:val="0067654F"/>
    <w:rsid w:val="0067716A"/>
    <w:rsid w:val="006774B0"/>
    <w:rsid w:val="006775A2"/>
    <w:rsid w:val="00677A8A"/>
    <w:rsid w:val="00677F91"/>
    <w:rsid w:val="0068135B"/>
    <w:rsid w:val="0068195E"/>
    <w:rsid w:val="00681A53"/>
    <w:rsid w:val="006823DB"/>
    <w:rsid w:val="00682D85"/>
    <w:rsid w:val="0068341B"/>
    <w:rsid w:val="0068341E"/>
    <w:rsid w:val="00683D92"/>
    <w:rsid w:val="006843D8"/>
    <w:rsid w:val="006848CF"/>
    <w:rsid w:val="0068523D"/>
    <w:rsid w:val="00686307"/>
    <w:rsid w:val="006866C7"/>
    <w:rsid w:val="006871DF"/>
    <w:rsid w:val="00687565"/>
    <w:rsid w:val="00690810"/>
    <w:rsid w:val="00690CE6"/>
    <w:rsid w:val="00690D18"/>
    <w:rsid w:val="00690E50"/>
    <w:rsid w:val="0069171D"/>
    <w:rsid w:val="00691821"/>
    <w:rsid w:val="00691DEF"/>
    <w:rsid w:val="00692064"/>
    <w:rsid w:val="006922B5"/>
    <w:rsid w:val="006922B6"/>
    <w:rsid w:val="00692C25"/>
    <w:rsid w:val="00692DAC"/>
    <w:rsid w:val="00692E76"/>
    <w:rsid w:val="00693448"/>
    <w:rsid w:val="00693724"/>
    <w:rsid w:val="006937FF"/>
    <w:rsid w:val="006939F3"/>
    <w:rsid w:val="00693D3A"/>
    <w:rsid w:val="006941AE"/>
    <w:rsid w:val="00695318"/>
    <w:rsid w:val="00695558"/>
    <w:rsid w:val="00695808"/>
    <w:rsid w:val="006973EA"/>
    <w:rsid w:val="006A010C"/>
    <w:rsid w:val="006A0898"/>
    <w:rsid w:val="006A0AD0"/>
    <w:rsid w:val="006A0E7E"/>
    <w:rsid w:val="006A0F55"/>
    <w:rsid w:val="006A117F"/>
    <w:rsid w:val="006A1333"/>
    <w:rsid w:val="006A143C"/>
    <w:rsid w:val="006A1471"/>
    <w:rsid w:val="006A1737"/>
    <w:rsid w:val="006A181C"/>
    <w:rsid w:val="006A225A"/>
    <w:rsid w:val="006A39D2"/>
    <w:rsid w:val="006A47EA"/>
    <w:rsid w:val="006A4973"/>
    <w:rsid w:val="006A4C4B"/>
    <w:rsid w:val="006A5244"/>
    <w:rsid w:val="006A565A"/>
    <w:rsid w:val="006A589A"/>
    <w:rsid w:val="006A6854"/>
    <w:rsid w:val="006A69A8"/>
    <w:rsid w:val="006A7188"/>
    <w:rsid w:val="006A73B1"/>
    <w:rsid w:val="006A73B4"/>
    <w:rsid w:val="006A784E"/>
    <w:rsid w:val="006A7FB6"/>
    <w:rsid w:val="006B0372"/>
    <w:rsid w:val="006B1174"/>
    <w:rsid w:val="006B128F"/>
    <w:rsid w:val="006B21F5"/>
    <w:rsid w:val="006B23F9"/>
    <w:rsid w:val="006B2922"/>
    <w:rsid w:val="006B2E33"/>
    <w:rsid w:val="006B309E"/>
    <w:rsid w:val="006B392A"/>
    <w:rsid w:val="006B3B9D"/>
    <w:rsid w:val="006B3F85"/>
    <w:rsid w:val="006B42BC"/>
    <w:rsid w:val="006B4B93"/>
    <w:rsid w:val="006B50C5"/>
    <w:rsid w:val="006B51E5"/>
    <w:rsid w:val="006B5C3B"/>
    <w:rsid w:val="006B6CC2"/>
    <w:rsid w:val="006B6F82"/>
    <w:rsid w:val="006B7470"/>
    <w:rsid w:val="006B7F32"/>
    <w:rsid w:val="006C0103"/>
    <w:rsid w:val="006C0C49"/>
    <w:rsid w:val="006C0D32"/>
    <w:rsid w:val="006C11BD"/>
    <w:rsid w:val="006C1DC7"/>
    <w:rsid w:val="006C1E35"/>
    <w:rsid w:val="006C21DE"/>
    <w:rsid w:val="006C23D4"/>
    <w:rsid w:val="006C264F"/>
    <w:rsid w:val="006C2E36"/>
    <w:rsid w:val="006C36C7"/>
    <w:rsid w:val="006C412F"/>
    <w:rsid w:val="006C443A"/>
    <w:rsid w:val="006C4DF4"/>
    <w:rsid w:val="006C4F83"/>
    <w:rsid w:val="006C518E"/>
    <w:rsid w:val="006C5A74"/>
    <w:rsid w:val="006C64FE"/>
    <w:rsid w:val="006C6605"/>
    <w:rsid w:val="006C6F2F"/>
    <w:rsid w:val="006C7596"/>
    <w:rsid w:val="006D001C"/>
    <w:rsid w:val="006D0EF3"/>
    <w:rsid w:val="006D1464"/>
    <w:rsid w:val="006D1633"/>
    <w:rsid w:val="006D1A56"/>
    <w:rsid w:val="006D1F83"/>
    <w:rsid w:val="006D2BB4"/>
    <w:rsid w:val="006D31D4"/>
    <w:rsid w:val="006D334E"/>
    <w:rsid w:val="006D387E"/>
    <w:rsid w:val="006D4414"/>
    <w:rsid w:val="006D45A6"/>
    <w:rsid w:val="006D46DA"/>
    <w:rsid w:val="006D5CE6"/>
    <w:rsid w:val="006D71F7"/>
    <w:rsid w:val="006D7780"/>
    <w:rsid w:val="006D7C56"/>
    <w:rsid w:val="006E0225"/>
    <w:rsid w:val="006E0367"/>
    <w:rsid w:val="006E0466"/>
    <w:rsid w:val="006E0B64"/>
    <w:rsid w:val="006E0C36"/>
    <w:rsid w:val="006E12A8"/>
    <w:rsid w:val="006E18F7"/>
    <w:rsid w:val="006E20A1"/>
    <w:rsid w:val="006E270F"/>
    <w:rsid w:val="006E33AE"/>
    <w:rsid w:val="006E3452"/>
    <w:rsid w:val="006E4853"/>
    <w:rsid w:val="006E4FEC"/>
    <w:rsid w:val="006E52B9"/>
    <w:rsid w:val="006E5966"/>
    <w:rsid w:val="006E59B7"/>
    <w:rsid w:val="006E68DA"/>
    <w:rsid w:val="006E6B5E"/>
    <w:rsid w:val="006E6E4C"/>
    <w:rsid w:val="006E6FAD"/>
    <w:rsid w:val="006E7B88"/>
    <w:rsid w:val="006F09EF"/>
    <w:rsid w:val="006F118C"/>
    <w:rsid w:val="006F1A8F"/>
    <w:rsid w:val="006F243C"/>
    <w:rsid w:val="006F270B"/>
    <w:rsid w:val="006F2E66"/>
    <w:rsid w:val="006F3296"/>
    <w:rsid w:val="006F3563"/>
    <w:rsid w:val="006F3FAE"/>
    <w:rsid w:val="006F4145"/>
    <w:rsid w:val="006F4280"/>
    <w:rsid w:val="006F42FA"/>
    <w:rsid w:val="006F4371"/>
    <w:rsid w:val="006F43B0"/>
    <w:rsid w:val="006F4464"/>
    <w:rsid w:val="006F4ECA"/>
    <w:rsid w:val="006F5805"/>
    <w:rsid w:val="006F5B58"/>
    <w:rsid w:val="006F69EF"/>
    <w:rsid w:val="006F6B8F"/>
    <w:rsid w:val="006F6D2E"/>
    <w:rsid w:val="006F7371"/>
    <w:rsid w:val="007001A4"/>
    <w:rsid w:val="00700373"/>
    <w:rsid w:val="00700F78"/>
    <w:rsid w:val="007012AF"/>
    <w:rsid w:val="00702166"/>
    <w:rsid w:val="00702217"/>
    <w:rsid w:val="007026C5"/>
    <w:rsid w:val="007027A0"/>
    <w:rsid w:val="00703580"/>
    <w:rsid w:val="0070365F"/>
    <w:rsid w:val="00703F71"/>
    <w:rsid w:val="0070407B"/>
    <w:rsid w:val="00704BDA"/>
    <w:rsid w:val="007050E1"/>
    <w:rsid w:val="007060C5"/>
    <w:rsid w:val="007062EF"/>
    <w:rsid w:val="007064D2"/>
    <w:rsid w:val="00707631"/>
    <w:rsid w:val="00707664"/>
    <w:rsid w:val="00710628"/>
    <w:rsid w:val="007106B2"/>
    <w:rsid w:val="00710873"/>
    <w:rsid w:val="007118E6"/>
    <w:rsid w:val="00712830"/>
    <w:rsid w:val="00712D5F"/>
    <w:rsid w:val="00712E40"/>
    <w:rsid w:val="00712EB3"/>
    <w:rsid w:val="00712F95"/>
    <w:rsid w:val="00713E07"/>
    <w:rsid w:val="007152D3"/>
    <w:rsid w:val="00715AED"/>
    <w:rsid w:val="007167FE"/>
    <w:rsid w:val="00716CB0"/>
    <w:rsid w:val="00716CC9"/>
    <w:rsid w:val="0071756F"/>
    <w:rsid w:val="00717798"/>
    <w:rsid w:val="00717CE1"/>
    <w:rsid w:val="007200B3"/>
    <w:rsid w:val="00720907"/>
    <w:rsid w:val="00720B62"/>
    <w:rsid w:val="00721779"/>
    <w:rsid w:val="007218D9"/>
    <w:rsid w:val="00722156"/>
    <w:rsid w:val="0072218F"/>
    <w:rsid w:val="00722329"/>
    <w:rsid w:val="00722424"/>
    <w:rsid w:val="00722AFC"/>
    <w:rsid w:val="00722B62"/>
    <w:rsid w:val="00722F06"/>
    <w:rsid w:val="00723A54"/>
    <w:rsid w:val="00723F64"/>
    <w:rsid w:val="0072418A"/>
    <w:rsid w:val="007251C1"/>
    <w:rsid w:val="007255F4"/>
    <w:rsid w:val="00725B08"/>
    <w:rsid w:val="007261DC"/>
    <w:rsid w:val="007265FC"/>
    <w:rsid w:val="00726A5E"/>
    <w:rsid w:val="00726AAC"/>
    <w:rsid w:val="00726E09"/>
    <w:rsid w:val="00726F08"/>
    <w:rsid w:val="0072716B"/>
    <w:rsid w:val="0072739C"/>
    <w:rsid w:val="00727EB3"/>
    <w:rsid w:val="00730653"/>
    <w:rsid w:val="007309E8"/>
    <w:rsid w:val="00730CC9"/>
    <w:rsid w:val="00730CF9"/>
    <w:rsid w:val="00730FAC"/>
    <w:rsid w:val="007311B8"/>
    <w:rsid w:val="007312A4"/>
    <w:rsid w:val="007314BB"/>
    <w:rsid w:val="007314F7"/>
    <w:rsid w:val="0073150B"/>
    <w:rsid w:val="00731F75"/>
    <w:rsid w:val="00732051"/>
    <w:rsid w:val="00732298"/>
    <w:rsid w:val="007325DA"/>
    <w:rsid w:val="00732D74"/>
    <w:rsid w:val="00733652"/>
    <w:rsid w:val="00733B40"/>
    <w:rsid w:val="00733C9A"/>
    <w:rsid w:val="00733DA9"/>
    <w:rsid w:val="0073471A"/>
    <w:rsid w:val="00734C2C"/>
    <w:rsid w:val="00734C37"/>
    <w:rsid w:val="00734F11"/>
    <w:rsid w:val="00735501"/>
    <w:rsid w:val="00735589"/>
    <w:rsid w:val="00735C30"/>
    <w:rsid w:val="0073609C"/>
    <w:rsid w:val="00736A63"/>
    <w:rsid w:val="00737908"/>
    <w:rsid w:val="007401C2"/>
    <w:rsid w:val="00740B02"/>
    <w:rsid w:val="00740CDD"/>
    <w:rsid w:val="00741370"/>
    <w:rsid w:val="007417FA"/>
    <w:rsid w:val="007429BB"/>
    <w:rsid w:val="00742A50"/>
    <w:rsid w:val="00743749"/>
    <w:rsid w:val="00743CDC"/>
    <w:rsid w:val="007440E3"/>
    <w:rsid w:val="007443DB"/>
    <w:rsid w:val="007446CB"/>
    <w:rsid w:val="00744FDB"/>
    <w:rsid w:val="007469F6"/>
    <w:rsid w:val="0074786E"/>
    <w:rsid w:val="00750337"/>
    <w:rsid w:val="00750378"/>
    <w:rsid w:val="00750CAB"/>
    <w:rsid w:val="0075183E"/>
    <w:rsid w:val="00751E4A"/>
    <w:rsid w:val="00752216"/>
    <w:rsid w:val="00753221"/>
    <w:rsid w:val="0075377A"/>
    <w:rsid w:val="00754173"/>
    <w:rsid w:val="007545D2"/>
    <w:rsid w:val="00754630"/>
    <w:rsid w:val="00754CA0"/>
    <w:rsid w:val="00754D30"/>
    <w:rsid w:val="00754E77"/>
    <w:rsid w:val="00755387"/>
    <w:rsid w:val="007562C6"/>
    <w:rsid w:val="00756383"/>
    <w:rsid w:val="0075641B"/>
    <w:rsid w:val="00756610"/>
    <w:rsid w:val="007566B8"/>
    <w:rsid w:val="00756C75"/>
    <w:rsid w:val="00756E1C"/>
    <w:rsid w:val="007571DE"/>
    <w:rsid w:val="00757792"/>
    <w:rsid w:val="007577B9"/>
    <w:rsid w:val="007579FF"/>
    <w:rsid w:val="0076019A"/>
    <w:rsid w:val="00760A59"/>
    <w:rsid w:val="007613BA"/>
    <w:rsid w:val="0076144E"/>
    <w:rsid w:val="00761658"/>
    <w:rsid w:val="00761D1A"/>
    <w:rsid w:val="0076226C"/>
    <w:rsid w:val="007623C7"/>
    <w:rsid w:val="00762495"/>
    <w:rsid w:val="0076269B"/>
    <w:rsid w:val="00762ADD"/>
    <w:rsid w:val="00762B50"/>
    <w:rsid w:val="00762D07"/>
    <w:rsid w:val="00763450"/>
    <w:rsid w:val="00763AC4"/>
    <w:rsid w:val="00763D1A"/>
    <w:rsid w:val="00764B0A"/>
    <w:rsid w:val="00765215"/>
    <w:rsid w:val="007653C8"/>
    <w:rsid w:val="007656C5"/>
    <w:rsid w:val="00765759"/>
    <w:rsid w:val="00765B08"/>
    <w:rsid w:val="00765DAB"/>
    <w:rsid w:val="00767731"/>
    <w:rsid w:val="00767BE1"/>
    <w:rsid w:val="00770512"/>
    <w:rsid w:val="00770924"/>
    <w:rsid w:val="007720C6"/>
    <w:rsid w:val="00772550"/>
    <w:rsid w:val="00773284"/>
    <w:rsid w:val="00773D87"/>
    <w:rsid w:val="00774453"/>
    <w:rsid w:val="00774C3E"/>
    <w:rsid w:val="007753C8"/>
    <w:rsid w:val="00775BEE"/>
    <w:rsid w:val="0077615C"/>
    <w:rsid w:val="007771B3"/>
    <w:rsid w:val="007774BD"/>
    <w:rsid w:val="00777FC3"/>
    <w:rsid w:val="00780A22"/>
    <w:rsid w:val="00780F08"/>
    <w:rsid w:val="00781842"/>
    <w:rsid w:val="007822BA"/>
    <w:rsid w:val="00782E8F"/>
    <w:rsid w:val="007835EF"/>
    <w:rsid w:val="00783D6C"/>
    <w:rsid w:val="007840E2"/>
    <w:rsid w:val="00784D57"/>
    <w:rsid w:val="00784EB4"/>
    <w:rsid w:val="007857C5"/>
    <w:rsid w:val="00785B57"/>
    <w:rsid w:val="00785BB1"/>
    <w:rsid w:val="00785E64"/>
    <w:rsid w:val="00786B90"/>
    <w:rsid w:val="00786ED3"/>
    <w:rsid w:val="00787042"/>
    <w:rsid w:val="007871B2"/>
    <w:rsid w:val="007876A1"/>
    <w:rsid w:val="0079090A"/>
    <w:rsid w:val="007911EF"/>
    <w:rsid w:val="007916C5"/>
    <w:rsid w:val="00791BB6"/>
    <w:rsid w:val="00792509"/>
    <w:rsid w:val="00792C9F"/>
    <w:rsid w:val="007932A6"/>
    <w:rsid w:val="00793608"/>
    <w:rsid w:val="007940F4"/>
    <w:rsid w:val="0079461B"/>
    <w:rsid w:val="0079487C"/>
    <w:rsid w:val="00794B48"/>
    <w:rsid w:val="0079504B"/>
    <w:rsid w:val="00795254"/>
    <w:rsid w:val="0079552A"/>
    <w:rsid w:val="007957A9"/>
    <w:rsid w:val="007958D2"/>
    <w:rsid w:val="0079653B"/>
    <w:rsid w:val="0079659F"/>
    <w:rsid w:val="007969C9"/>
    <w:rsid w:val="00797A53"/>
    <w:rsid w:val="007A0192"/>
    <w:rsid w:val="007A1EB2"/>
    <w:rsid w:val="007A2971"/>
    <w:rsid w:val="007A32D4"/>
    <w:rsid w:val="007A35A9"/>
    <w:rsid w:val="007A3A02"/>
    <w:rsid w:val="007A4D96"/>
    <w:rsid w:val="007A5C3B"/>
    <w:rsid w:val="007A61E0"/>
    <w:rsid w:val="007A67CE"/>
    <w:rsid w:val="007A6F52"/>
    <w:rsid w:val="007A76A5"/>
    <w:rsid w:val="007B0023"/>
    <w:rsid w:val="007B00F3"/>
    <w:rsid w:val="007B080F"/>
    <w:rsid w:val="007B0840"/>
    <w:rsid w:val="007B15C5"/>
    <w:rsid w:val="007B15F3"/>
    <w:rsid w:val="007B1D53"/>
    <w:rsid w:val="007B1DD9"/>
    <w:rsid w:val="007B244D"/>
    <w:rsid w:val="007B2BF1"/>
    <w:rsid w:val="007B36CC"/>
    <w:rsid w:val="007B3B2E"/>
    <w:rsid w:val="007B3B65"/>
    <w:rsid w:val="007B469F"/>
    <w:rsid w:val="007B5103"/>
    <w:rsid w:val="007B5479"/>
    <w:rsid w:val="007B5768"/>
    <w:rsid w:val="007B5B01"/>
    <w:rsid w:val="007B632E"/>
    <w:rsid w:val="007B71A4"/>
    <w:rsid w:val="007B7444"/>
    <w:rsid w:val="007B7654"/>
    <w:rsid w:val="007B7919"/>
    <w:rsid w:val="007B7AFD"/>
    <w:rsid w:val="007B7E5B"/>
    <w:rsid w:val="007C0038"/>
    <w:rsid w:val="007C0232"/>
    <w:rsid w:val="007C14BD"/>
    <w:rsid w:val="007C1A8D"/>
    <w:rsid w:val="007C25A8"/>
    <w:rsid w:val="007C2B05"/>
    <w:rsid w:val="007C39AE"/>
    <w:rsid w:val="007C3E6E"/>
    <w:rsid w:val="007C40DC"/>
    <w:rsid w:val="007C4416"/>
    <w:rsid w:val="007C4C57"/>
    <w:rsid w:val="007C5133"/>
    <w:rsid w:val="007C53EB"/>
    <w:rsid w:val="007C551A"/>
    <w:rsid w:val="007C5C4B"/>
    <w:rsid w:val="007C5C92"/>
    <w:rsid w:val="007C5CCA"/>
    <w:rsid w:val="007C6D20"/>
    <w:rsid w:val="007C6FAC"/>
    <w:rsid w:val="007C70DD"/>
    <w:rsid w:val="007C7A8D"/>
    <w:rsid w:val="007C7F13"/>
    <w:rsid w:val="007C7F8C"/>
    <w:rsid w:val="007D0263"/>
    <w:rsid w:val="007D0554"/>
    <w:rsid w:val="007D0599"/>
    <w:rsid w:val="007D0739"/>
    <w:rsid w:val="007D0C36"/>
    <w:rsid w:val="007D0D63"/>
    <w:rsid w:val="007D0FB8"/>
    <w:rsid w:val="007D1068"/>
    <w:rsid w:val="007D117B"/>
    <w:rsid w:val="007D1329"/>
    <w:rsid w:val="007D177A"/>
    <w:rsid w:val="007D2256"/>
    <w:rsid w:val="007D299D"/>
    <w:rsid w:val="007D3AE0"/>
    <w:rsid w:val="007D445C"/>
    <w:rsid w:val="007D4A76"/>
    <w:rsid w:val="007D4B98"/>
    <w:rsid w:val="007D4BEA"/>
    <w:rsid w:val="007D56E8"/>
    <w:rsid w:val="007D646C"/>
    <w:rsid w:val="007D69CD"/>
    <w:rsid w:val="007D69D9"/>
    <w:rsid w:val="007D7400"/>
    <w:rsid w:val="007D7719"/>
    <w:rsid w:val="007D776B"/>
    <w:rsid w:val="007E031E"/>
    <w:rsid w:val="007E0843"/>
    <w:rsid w:val="007E0EC3"/>
    <w:rsid w:val="007E1700"/>
    <w:rsid w:val="007E1809"/>
    <w:rsid w:val="007E1D88"/>
    <w:rsid w:val="007E28B8"/>
    <w:rsid w:val="007E294F"/>
    <w:rsid w:val="007E2BDB"/>
    <w:rsid w:val="007E2D8B"/>
    <w:rsid w:val="007E31CF"/>
    <w:rsid w:val="007E4195"/>
    <w:rsid w:val="007E4943"/>
    <w:rsid w:val="007E4B64"/>
    <w:rsid w:val="007E6090"/>
    <w:rsid w:val="007E67E7"/>
    <w:rsid w:val="007E6BAA"/>
    <w:rsid w:val="007E6DA7"/>
    <w:rsid w:val="007E6FB2"/>
    <w:rsid w:val="007E7474"/>
    <w:rsid w:val="007E7704"/>
    <w:rsid w:val="007F043A"/>
    <w:rsid w:val="007F0559"/>
    <w:rsid w:val="007F1705"/>
    <w:rsid w:val="007F267E"/>
    <w:rsid w:val="007F320B"/>
    <w:rsid w:val="007F3622"/>
    <w:rsid w:val="007F3A88"/>
    <w:rsid w:val="007F3E20"/>
    <w:rsid w:val="007F3E76"/>
    <w:rsid w:val="007F439E"/>
    <w:rsid w:val="007F56E0"/>
    <w:rsid w:val="007F613D"/>
    <w:rsid w:val="007F6434"/>
    <w:rsid w:val="007F66BD"/>
    <w:rsid w:val="007F7923"/>
    <w:rsid w:val="007F7B83"/>
    <w:rsid w:val="0080031A"/>
    <w:rsid w:val="00802227"/>
    <w:rsid w:val="008034D4"/>
    <w:rsid w:val="00803592"/>
    <w:rsid w:val="008038AF"/>
    <w:rsid w:val="00805654"/>
    <w:rsid w:val="008056DB"/>
    <w:rsid w:val="00806AB4"/>
    <w:rsid w:val="00806B90"/>
    <w:rsid w:val="00806EB5"/>
    <w:rsid w:val="00807639"/>
    <w:rsid w:val="00807730"/>
    <w:rsid w:val="00807A05"/>
    <w:rsid w:val="00807BB9"/>
    <w:rsid w:val="00811A10"/>
    <w:rsid w:val="00812608"/>
    <w:rsid w:val="00812690"/>
    <w:rsid w:val="00812D7B"/>
    <w:rsid w:val="00812F6D"/>
    <w:rsid w:val="0081309F"/>
    <w:rsid w:val="008132B2"/>
    <w:rsid w:val="00813462"/>
    <w:rsid w:val="00815244"/>
    <w:rsid w:val="008153C5"/>
    <w:rsid w:val="008165CD"/>
    <w:rsid w:val="008166C5"/>
    <w:rsid w:val="00816A60"/>
    <w:rsid w:val="00816B13"/>
    <w:rsid w:val="008171E0"/>
    <w:rsid w:val="00817AC7"/>
    <w:rsid w:val="00817BB7"/>
    <w:rsid w:val="0082029E"/>
    <w:rsid w:val="008205E9"/>
    <w:rsid w:val="008214BF"/>
    <w:rsid w:val="0082199D"/>
    <w:rsid w:val="0082264D"/>
    <w:rsid w:val="00822D19"/>
    <w:rsid w:val="008233F0"/>
    <w:rsid w:val="0082385C"/>
    <w:rsid w:val="0082465F"/>
    <w:rsid w:val="008246E7"/>
    <w:rsid w:val="00824AA7"/>
    <w:rsid w:val="00824B64"/>
    <w:rsid w:val="00824CED"/>
    <w:rsid w:val="00825DB7"/>
    <w:rsid w:val="00826CE2"/>
    <w:rsid w:val="00826D9E"/>
    <w:rsid w:val="00827A91"/>
    <w:rsid w:val="008302B0"/>
    <w:rsid w:val="00830851"/>
    <w:rsid w:val="008308A9"/>
    <w:rsid w:val="00832074"/>
    <w:rsid w:val="00832187"/>
    <w:rsid w:val="00832386"/>
    <w:rsid w:val="0083291E"/>
    <w:rsid w:val="00833414"/>
    <w:rsid w:val="00833483"/>
    <w:rsid w:val="008337C1"/>
    <w:rsid w:val="00833A0A"/>
    <w:rsid w:val="00833BBB"/>
    <w:rsid w:val="00833C30"/>
    <w:rsid w:val="0083411D"/>
    <w:rsid w:val="0083453B"/>
    <w:rsid w:val="00834B25"/>
    <w:rsid w:val="00835207"/>
    <w:rsid w:val="0083535D"/>
    <w:rsid w:val="00835DC7"/>
    <w:rsid w:val="00835DDC"/>
    <w:rsid w:val="0083655A"/>
    <w:rsid w:val="0083696F"/>
    <w:rsid w:val="008377A7"/>
    <w:rsid w:val="008377CD"/>
    <w:rsid w:val="00837976"/>
    <w:rsid w:val="00837DF8"/>
    <w:rsid w:val="00837EED"/>
    <w:rsid w:val="00837F01"/>
    <w:rsid w:val="00837F6F"/>
    <w:rsid w:val="00840586"/>
    <w:rsid w:val="00841BFD"/>
    <w:rsid w:val="00841E2B"/>
    <w:rsid w:val="00842C07"/>
    <w:rsid w:val="00842F83"/>
    <w:rsid w:val="00843107"/>
    <w:rsid w:val="00843D1B"/>
    <w:rsid w:val="008449B5"/>
    <w:rsid w:val="00844E48"/>
    <w:rsid w:val="0084535B"/>
    <w:rsid w:val="0084549C"/>
    <w:rsid w:val="008455CD"/>
    <w:rsid w:val="00845B6E"/>
    <w:rsid w:val="00845C60"/>
    <w:rsid w:val="00846106"/>
    <w:rsid w:val="008462CB"/>
    <w:rsid w:val="00846EEB"/>
    <w:rsid w:val="00847B7A"/>
    <w:rsid w:val="008501C5"/>
    <w:rsid w:val="008503CB"/>
    <w:rsid w:val="00850947"/>
    <w:rsid w:val="00850B5D"/>
    <w:rsid w:val="00850E55"/>
    <w:rsid w:val="008515D6"/>
    <w:rsid w:val="00852628"/>
    <w:rsid w:val="00852C00"/>
    <w:rsid w:val="00852EEB"/>
    <w:rsid w:val="00853CFB"/>
    <w:rsid w:val="0085433D"/>
    <w:rsid w:val="008543C9"/>
    <w:rsid w:val="0085495D"/>
    <w:rsid w:val="0085535A"/>
    <w:rsid w:val="00855520"/>
    <w:rsid w:val="00855890"/>
    <w:rsid w:val="008563D7"/>
    <w:rsid w:val="00856B0C"/>
    <w:rsid w:val="00856C0F"/>
    <w:rsid w:val="0085717C"/>
    <w:rsid w:val="00857867"/>
    <w:rsid w:val="00857CA7"/>
    <w:rsid w:val="00860323"/>
    <w:rsid w:val="00862286"/>
    <w:rsid w:val="008623EE"/>
    <w:rsid w:val="00862AF3"/>
    <w:rsid w:val="00862AFF"/>
    <w:rsid w:val="008637B1"/>
    <w:rsid w:val="00863E35"/>
    <w:rsid w:val="008642DB"/>
    <w:rsid w:val="008646A8"/>
    <w:rsid w:val="00864E17"/>
    <w:rsid w:val="008652F5"/>
    <w:rsid w:val="008657B3"/>
    <w:rsid w:val="008658A3"/>
    <w:rsid w:val="00865A89"/>
    <w:rsid w:val="00865D8C"/>
    <w:rsid w:val="008661B2"/>
    <w:rsid w:val="008662EE"/>
    <w:rsid w:val="00866F94"/>
    <w:rsid w:val="0086750D"/>
    <w:rsid w:val="00867796"/>
    <w:rsid w:val="00867DA0"/>
    <w:rsid w:val="00867F66"/>
    <w:rsid w:val="0087045E"/>
    <w:rsid w:val="00870782"/>
    <w:rsid w:val="0087163C"/>
    <w:rsid w:val="00871A50"/>
    <w:rsid w:val="00871F50"/>
    <w:rsid w:val="00872238"/>
    <w:rsid w:val="008725BC"/>
    <w:rsid w:val="0087270A"/>
    <w:rsid w:val="00872BE9"/>
    <w:rsid w:val="008747A2"/>
    <w:rsid w:val="008752C3"/>
    <w:rsid w:val="00875BA9"/>
    <w:rsid w:val="00876E1B"/>
    <w:rsid w:val="00877690"/>
    <w:rsid w:val="008778C7"/>
    <w:rsid w:val="00880217"/>
    <w:rsid w:val="00880828"/>
    <w:rsid w:val="00880BE8"/>
    <w:rsid w:val="00881075"/>
    <w:rsid w:val="008811EE"/>
    <w:rsid w:val="00881674"/>
    <w:rsid w:val="00882ECE"/>
    <w:rsid w:val="00883055"/>
    <w:rsid w:val="00883064"/>
    <w:rsid w:val="00883145"/>
    <w:rsid w:val="0088372B"/>
    <w:rsid w:val="00883B59"/>
    <w:rsid w:val="008847C2"/>
    <w:rsid w:val="00884970"/>
    <w:rsid w:val="00884F2D"/>
    <w:rsid w:val="0088554C"/>
    <w:rsid w:val="00885632"/>
    <w:rsid w:val="00885920"/>
    <w:rsid w:val="008859B4"/>
    <w:rsid w:val="00886494"/>
    <w:rsid w:val="0088680C"/>
    <w:rsid w:val="0088785E"/>
    <w:rsid w:val="00890244"/>
    <w:rsid w:val="008907D9"/>
    <w:rsid w:val="008916A4"/>
    <w:rsid w:val="00891BE9"/>
    <w:rsid w:val="008922E9"/>
    <w:rsid w:val="008932E9"/>
    <w:rsid w:val="00893326"/>
    <w:rsid w:val="00893B5E"/>
    <w:rsid w:val="00894253"/>
    <w:rsid w:val="00894834"/>
    <w:rsid w:val="008967AE"/>
    <w:rsid w:val="0089695A"/>
    <w:rsid w:val="00896DF2"/>
    <w:rsid w:val="00897C13"/>
    <w:rsid w:val="008A1AF7"/>
    <w:rsid w:val="008A1CEA"/>
    <w:rsid w:val="008A2B4E"/>
    <w:rsid w:val="008A341E"/>
    <w:rsid w:val="008A3BB8"/>
    <w:rsid w:val="008A482B"/>
    <w:rsid w:val="008A4896"/>
    <w:rsid w:val="008A4B15"/>
    <w:rsid w:val="008A568D"/>
    <w:rsid w:val="008A5B5D"/>
    <w:rsid w:val="008A5BAF"/>
    <w:rsid w:val="008A7E4D"/>
    <w:rsid w:val="008A7E56"/>
    <w:rsid w:val="008B031F"/>
    <w:rsid w:val="008B04C5"/>
    <w:rsid w:val="008B1076"/>
    <w:rsid w:val="008B17E6"/>
    <w:rsid w:val="008B1B35"/>
    <w:rsid w:val="008B1E49"/>
    <w:rsid w:val="008B2680"/>
    <w:rsid w:val="008B2BDA"/>
    <w:rsid w:val="008B2EC6"/>
    <w:rsid w:val="008B3B60"/>
    <w:rsid w:val="008B3E52"/>
    <w:rsid w:val="008B4831"/>
    <w:rsid w:val="008B51C5"/>
    <w:rsid w:val="008B5D4B"/>
    <w:rsid w:val="008B64AD"/>
    <w:rsid w:val="008B6564"/>
    <w:rsid w:val="008B69A0"/>
    <w:rsid w:val="008B69FB"/>
    <w:rsid w:val="008C0036"/>
    <w:rsid w:val="008C0412"/>
    <w:rsid w:val="008C071F"/>
    <w:rsid w:val="008C0802"/>
    <w:rsid w:val="008C0B68"/>
    <w:rsid w:val="008C13B2"/>
    <w:rsid w:val="008C15F0"/>
    <w:rsid w:val="008C22C7"/>
    <w:rsid w:val="008C234E"/>
    <w:rsid w:val="008C2362"/>
    <w:rsid w:val="008C2ACD"/>
    <w:rsid w:val="008C2E21"/>
    <w:rsid w:val="008C2E97"/>
    <w:rsid w:val="008C2EC6"/>
    <w:rsid w:val="008C312E"/>
    <w:rsid w:val="008C3697"/>
    <w:rsid w:val="008C40D0"/>
    <w:rsid w:val="008C51B0"/>
    <w:rsid w:val="008C52DB"/>
    <w:rsid w:val="008C5BC6"/>
    <w:rsid w:val="008C6AD1"/>
    <w:rsid w:val="008C6E06"/>
    <w:rsid w:val="008C7067"/>
    <w:rsid w:val="008C7135"/>
    <w:rsid w:val="008C7EA5"/>
    <w:rsid w:val="008D0D06"/>
    <w:rsid w:val="008D0D10"/>
    <w:rsid w:val="008D1028"/>
    <w:rsid w:val="008D139B"/>
    <w:rsid w:val="008D151D"/>
    <w:rsid w:val="008D1D11"/>
    <w:rsid w:val="008D22E4"/>
    <w:rsid w:val="008D2B63"/>
    <w:rsid w:val="008D2D37"/>
    <w:rsid w:val="008D3208"/>
    <w:rsid w:val="008D42B3"/>
    <w:rsid w:val="008D46EE"/>
    <w:rsid w:val="008D4838"/>
    <w:rsid w:val="008D4C95"/>
    <w:rsid w:val="008D4F3F"/>
    <w:rsid w:val="008D514C"/>
    <w:rsid w:val="008D52AA"/>
    <w:rsid w:val="008D61AE"/>
    <w:rsid w:val="008D63BC"/>
    <w:rsid w:val="008D653E"/>
    <w:rsid w:val="008D6B13"/>
    <w:rsid w:val="008D7FCE"/>
    <w:rsid w:val="008E015C"/>
    <w:rsid w:val="008E020D"/>
    <w:rsid w:val="008E08A2"/>
    <w:rsid w:val="008E094C"/>
    <w:rsid w:val="008E09D4"/>
    <w:rsid w:val="008E0CBB"/>
    <w:rsid w:val="008E0D9F"/>
    <w:rsid w:val="008E1E4E"/>
    <w:rsid w:val="008E238E"/>
    <w:rsid w:val="008E249C"/>
    <w:rsid w:val="008E25C8"/>
    <w:rsid w:val="008E2EDF"/>
    <w:rsid w:val="008E3045"/>
    <w:rsid w:val="008E393D"/>
    <w:rsid w:val="008E3ABB"/>
    <w:rsid w:val="008E3E9F"/>
    <w:rsid w:val="008E4269"/>
    <w:rsid w:val="008E441C"/>
    <w:rsid w:val="008E487B"/>
    <w:rsid w:val="008E51BC"/>
    <w:rsid w:val="008E5BA1"/>
    <w:rsid w:val="008E5F01"/>
    <w:rsid w:val="008E60A5"/>
    <w:rsid w:val="008E624F"/>
    <w:rsid w:val="008E6DCE"/>
    <w:rsid w:val="008E7041"/>
    <w:rsid w:val="008E7591"/>
    <w:rsid w:val="008E78BF"/>
    <w:rsid w:val="008E79BC"/>
    <w:rsid w:val="008F00A7"/>
    <w:rsid w:val="008F04AB"/>
    <w:rsid w:val="008F04D7"/>
    <w:rsid w:val="008F09D5"/>
    <w:rsid w:val="008F0E49"/>
    <w:rsid w:val="008F151B"/>
    <w:rsid w:val="008F17C5"/>
    <w:rsid w:val="008F346B"/>
    <w:rsid w:val="008F38F8"/>
    <w:rsid w:val="008F39D6"/>
    <w:rsid w:val="008F3B1F"/>
    <w:rsid w:val="008F3EDF"/>
    <w:rsid w:val="008F3F09"/>
    <w:rsid w:val="008F48B3"/>
    <w:rsid w:val="008F4ACE"/>
    <w:rsid w:val="008F6367"/>
    <w:rsid w:val="008F63BD"/>
    <w:rsid w:val="008F6511"/>
    <w:rsid w:val="008F667C"/>
    <w:rsid w:val="008F7AE5"/>
    <w:rsid w:val="008F7B58"/>
    <w:rsid w:val="00900A9F"/>
    <w:rsid w:val="00900E95"/>
    <w:rsid w:val="00901CD3"/>
    <w:rsid w:val="009028AC"/>
    <w:rsid w:val="00903698"/>
    <w:rsid w:val="00904821"/>
    <w:rsid w:val="00904FA0"/>
    <w:rsid w:val="0090577E"/>
    <w:rsid w:val="00905D73"/>
    <w:rsid w:val="00906214"/>
    <w:rsid w:val="0090631D"/>
    <w:rsid w:val="00906EFC"/>
    <w:rsid w:val="0090746A"/>
    <w:rsid w:val="009074F6"/>
    <w:rsid w:val="0090750B"/>
    <w:rsid w:val="00907E9B"/>
    <w:rsid w:val="00910A16"/>
    <w:rsid w:val="00911F62"/>
    <w:rsid w:val="00912010"/>
    <w:rsid w:val="0091342F"/>
    <w:rsid w:val="0091374F"/>
    <w:rsid w:val="00913D05"/>
    <w:rsid w:val="0091421C"/>
    <w:rsid w:val="00915AAE"/>
    <w:rsid w:val="00915B8F"/>
    <w:rsid w:val="00915EC5"/>
    <w:rsid w:val="00916073"/>
    <w:rsid w:val="00916610"/>
    <w:rsid w:val="009174AC"/>
    <w:rsid w:val="009177FC"/>
    <w:rsid w:val="00917A58"/>
    <w:rsid w:val="0092033B"/>
    <w:rsid w:val="00921456"/>
    <w:rsid w:val="009223E1"/>
    <w:rsid w:val="00922730"/>
    <w:rsid w:val="00922C61"/>
    <w:rsid w:val="0092312C"/>
    <w:rsid w:val="009237F8"/>
    <w:rsid w:val="00923B78"/>
    <w:rsid w:val="0092486D"/>
    <w:rsid w:val="00925296"/>
    <w:rsid w:val="00925B31"/>
    <w:rsid w:val="009265FD"/>
    <w:rsid w:val="0092741B"/>
    <w:rsid w:val="00930F8F"/>
    <w:rsid w:val="00931230"/>
    <w:rsid w:val="00931256"/>
    <w:rsid w:val="0093188D"/>
    <w:rsid w:val="00931A14"/>
    <w:rsid w:val="00931C13"/>
    <w:rsid w:val="00931E46"/>
    <w:rsid w:val="00931ED0"/>
    <w:rsid w:val="009321F6"/>
    <w:rsid w:val="0093309A"/>
    <w:rsid w:val="00934598"/>
    <w:rsid w:val="00934717"/>
    <w:rsid w:val="009355A3"/>
    <w:rsid w:val="009355D6"/>
    <w:rsid w:val="009360F4"/>
    <w:rsid w:val="0093621C"/>
    <w:rsid w:val="00936A48"/>
    <w:rsid w:val="009370CB"/>
    <w:rsid w:val="0093727A"/>
    <w:rsid w:val="00937B9E"/>
    <w:rsid w:val="00937D24"/>
    <w:rsid w:val="00937F04"/>
    <w:rsid w:val="009410DD"/>
    <w:rsid w:val="00941A05"/>
    <w:rsid w:val="00941D51"/>
    <w:rsid w:val="009420B1"/>
    <w:rsid w:val="0094292F"/>
    <w:rsid w:val="00943787"/>
    <w:rsid w:val="009437C9"/>
    <w:rsid w:val="009438E7"/>
    <w:rsid w:val="00943D0C"/>
    <w:rsid w:val="00943E4C"/>
    <w:rsid w:val="009443DA"/>
    <w:rsid w:val="00944430"/>
    <w:rsid w:val="009447A8"/>
    <w:rsid w:val="009448F9"/>
    <w:rsid w:val="00944A56"/>
    <w:rsid w:val="009452FA"/>
    <w:rsid w:val="0094570A"/>
    <w:rsid w:val="00945782"/>
    <w:rsid w:val="00945DA8"/>
    <w:rsid w:val="009462AC"/>
    <w:rsid w:val="0094666E"/>
    <w:rsid w:val="009467BD"/>
    <w:rsid w:val="0094742C"/>
    <w:rsid w:val="0094783B"/>
    <w:rsid w:val="009502AC"/>
    <w:rsid w:val="009507B4"/>
    <w:rsid w:val="009509E8"/>
    <w:rsid w:val="009516C1"/>
    <w:rsid w:val="00951951"/>
    <w:rsid w:val="00951A26"/>
    <w:rsid w:val="00951AC8"/>
    <w:rsid w:val="00952FE3"/>
    <w:rsid w:val="009531CE"/>
    <w:rsid w:val="00953AA9"/>
    <w:rsid w:val="00953ACF"/>
    <w:rsid w:val="00954219"/>
    <w:rsid w:val="009547BA"/>
    <w:rsid w:val="00954A00"/>
    <w:rsid w:val="009557A1"/>
    <w:rsid w:val="00955845"/>
    <w:rsid w:val="00955D57"/>
    <w:rsid w:val="00956651"/>
    <w:rsid w:val="00956E75"/>
    <w:rsid w:val="009600B5"/>
    <w:rsid w:val="00960601"/>
    <w:rsid w:val="00960ACB"/>
    <w:rsid w:val="00960C38"/>
    <w:rsid w:val="00960C7C"/>
    <w:rsid w:val="009612EF"/>
    <w:rsid w:val="00961314"/>
    <w:rsid w:val="009619DE"/>
    <w:rsid w:val="00961BE2"/>
    <w:rsid w:val="00962661"/>
    <w:rsid w:val="00962B51"/>
    <w:rsid w:val="00962C47"/>
    <w:rsid w:val="009630B2"/>
    <w:rsid w:val="009630CD"/>
    <w:rsid w:val="009639E5"/>
    <w:rsid w:val="009640D1"/>
    <w:rsid w:val="00964248"/>
    <w:rsid w:val="009644AE"/>
    <w:rsid w:val="0096498E"/>
    <w:rsid w:val="00964C9A"/>
    <w:rsid w:val="009650D8"/>
    <w:rsid w:val="00965458"/>
    <w:rsid w:val="00965715"/>
    <w:rsid w:val="0096584E"/>
    <w:rsid w:val="00965957"/>
    <w:rsid w:val="00965A8B"/>
    <w:rsid w:val="00965CFB"/>
    <w:rsid w:val="00966282"/>
    <w:rsid w:val="009665A6"/>
    <w:rsid w:val="00966DD5"/>
    <w:rsid w:val="009673F5"/>
    <w:rsid w:val="009700DF"/>
    <w:rsid w:val="009701EA"/>
    <w:rsid w:val="00970F72"/>
    <w:rsid w:val="0097172F"/>
    <w:rsid w:val="009717E0"/>
    <w:rsid w:val="00971AA2"/>
    <w:rsid w:val="00972ABF"/>
    <w:rsid w:val="00972C69"/>
    <w:rsid w:val="0097341A"/>
    <w:rsid w:val="009734EB"/>
    <w:rsid w:val="009737C0"/>
    <w:rsid w:val="009737FC"/>
    <w:rsid w:val="00975E26"/>
    <w:rsid w:val="0097794D"/>
    <w:rsid w:val="00977FA4"/>
    <w:rsid w:val="0098022A"/>
    <w:rsid w:val="00980A34"/>
    <w:rsid w:val="00980C25"/>
    <w:rsid w:val="00981233"/>
    <w:rsid w:val="009812C2"/>
    <w:rsid w:val="00981307"/>
    <w:rsid w:val="00981D1D"/>
    <w:rsid w:val="009823B0"/>
    <w:rsid w:val="009823B8"/>
    <w:rsid w:val="00982804"/>
    <w:rsid w:val="009829BE"/>
    <w:rsid w:val="00982C05"/>
    <w:rsid w:val="00982C33"/>
    <w:rsid w:val="00983F6A"/>
    <w:rsid w:val="00984CEF"/>
    <w:rsid w:val="00985269"/>
    <w:rsid w:val="009852D6"/>
    <w:rsid w:val="0098578B"/>
    <w:rsid w:val="009857A2"/>
    <w:rsid w:val="00985CB3"/>
    <w:rsid w:val="00985D26"/>
    <w:rsid w:val="009861A3"/>
    <w:rsid w:val="009865A1"/>
    <w:rsid w:val="00986B89"/>
    <w:rsid w:val="009875FB"/>
    <w:rsid w:val="00990512"/>
    <w:rsid w:val="00990638"/>
    <w:rsid w:val="00990BDB"/>
    <w:rsid w:val="00990EBE"/>
    <w:rsid w:val="00991105"/>
    <w:rsid w:val="009912B4"/>
    <w:rsid w:val="009913BC"/>
    <w:rsid w:val="009914FA"/>
    <w:rsid w:val="00991F4D"/>
    <w:rsid w:val="00991FE5"/>
    <w:rsid w:val="009936C9"/>
    <w:rsid w:val="00993D51"/>
    <w:rsid w:val="0099423C"/>
    <w:rsid w:val="0099432B"/>
    <w:rsid w:val="00994D96"/>
    <w:rsid w:val="00994F9F"/>
    <w:rsid w:val="0099624D"/>
    <w:rsid w:val="00996F5A"/>
    <w:rsid w:val="00997101"/>
    <w:rsid w:val="009973A1"/>
    <w:rsid w:val="00997428"/>
    <w:rsid w:val="00997D4F"/>
    <w:rsid w:val="00997E26"/>
    <w:rsid w:val="009A075B"/>
    <w:rsid w:val="009A07BD"/>
    <w:rsid w:val="009A0A76"/>
    <w:rsid w:val="009A1AB4"/>
    <w:rsid w:val="009A1F1F"/>
    <w:rsid w:val="009A210F"/>
    <w:rsid w:val="009A278E"/>
    <w:rsid w:val="009A36A5"/>
    <w:rsid w:val="009A38C7"/>
    <w:rsid w:val="009A3985"/>
    <w:rsid w:val="009A3BFE"/>
    <w:rsid w:val="009A47CF"/>
    <w:rsid w:val="009A4B34"/>
    <w:rsid w:val="009A4B3E"/>
    <w:rsid w:val="009A540B"/>
    <w:rsid w:val="009A57B8"/>
    <w:rsid w:val="009A5B96"/>
    <w:rsid w:val="009A5E0B"/>
    <w:rsid w:val="009A60A2"/>
    <w:rsid w:val="009A682D"/>
    <w:rsid w:val="009A6AD5"/>
    <w:rsid w:val="009A6B90"/>
    <w:rsid w:val="009A77E2"/>
    <w:rsid w:val="009A7B51"/>
    <w:rsid w:val="009A7E8F"/>
    <w:rsid w:val="009B02DD"/>
    <w:rsid w:val="009B02ED"/>
    <w:rsid w:val="009B04C4"/>
    <w:rsid w:val="009B06EA"/>
    <w:rsid w:val="009B0784"/>
    <w:rsid w:val="009B0A11"/>
    <w:rsid w:val="009B0AC3"/>
    <w:rsid w:val="009B139E"/>
    <w:rsid w:val="009B1507"/>
    <w:rsid w:val="009B1617"/>
    <w:rsid w:val="009B1666"/>
    <w:rsid w:val="009B1728"/>
    <w:rsid w:val="009B179A"/>
    <w:rsid w:val="009B1A64"/>
    <w:rsid w:val="009B1CF5"/>
    <w:rsid w:val="009B1F0E"/>
    <w:rsid w:val="009B2323"/>
    <w:rsid w:val="009B2749"/>
    <w:rsid w:val="009B329B"/>
    <w:rsid w:val="009B4390"/>
    <w:rsid w:val="009B43CE"/>
    <w:rsid w:val="009B534B"/>
    <w:rsid w:val="009B584B"/>
    <w:rsid w:val="009B6224"/>
    <w:rsid w:val="009B6635"/>
    <w:rsid w:val="009B6C8E"/>
    <w:rsid w:val="009B78E5"/>
    <w:rsid w:val="009B7BB8"/>
    <w:rsid w:val="009C056A"/>
    <w:rsid w:val="009C0586"/>
    <w:rsid w:val="009C1FA0"/>
    <w:rsid w:val="009C24C1"/>
    <w:rsid w:val="009C2BD8"/>
    <w:rsid w:val="009C311B"/>
    <w:rsid w:val="009C3615"/>
    <w:rsid w:val="009C3D5F"/>
    <w:rsid w:val="009C3F6E"/>
    <w:rsid w:val="009C4016"/>
    <w:rsid w:val="009C44CA"/>
    <w:rsid w:val="009C4A37"/>
    <w:rsid w:val="009C4DC5"/>
    <w:rsid w:val="009C6995"/>
    <w:rsid w:val="009C6B26"/>
    <w:rsid w:val="009C6FF0"/>
    <w:rsid w:val="009C711E"/>
    <w:rsid w:val="009C7296"/>
    <w:rsid w:val="009C7D94"/>
    <w:rsid w:val="009D0DC5"/>
    <w:rsid w:val="009D0FAB"/>
    <w:rsid w:val="009D0FFE"/>
    <w:rsid w:val="009D1A35"/>
    <w:rsid w:val="009D1F93"/>
    <w:rsid w:val="009D20BC"/>
    <w:rsid w:val="009D2661"/>
    <w:rsid w:val="009D2A08"/>
    <w:rsid w:val="009D36DC"/>
    <w:rsid w:val="009D374F"/>
    <w:rsid w:val="009D43E1"/>
    <w:rsid w:val="009D440B"/>
    <w:rsid w:val="009D5056"/>
    <w:rsid w:val="009D5482"/>
    <w:rsid w:val="009D5554"/>
    <w:rsid w:val="009D57C9"/>
    <w:rsid w:val="009D5B41"/>
    <w:rsid w:val="009D5E1E"/>
    <w:rsid w:val="009D6B0A"/>
    <w:rsid w:val="009D70BC"/>
    <w:rsid w:val="009D7689"/>
    <w:rsid w:val="009D7EBB"/>
    <w:rsid w:val="009E0877"/>
    <w:rsid w:val="009E0DF7"/>
    <w:rsid w:val="009E17E7"/>
    <w:rsid w:val="009E1845"/>
    <w:rsid w:val="009E264F"/>
    <w:rsid w:val="009E26A6"/>
    <w:rsid w:val="009E27C5"/>
    <w:rsid w:val="009E2903"/>
    <w:rsid w:val="009E3650"/>
    <w:rsid w:val="009E41AC"/>
    <w:rsid w:val="009E41F6"/>
    <w:rsid w:val="009E6157"/>
    <w:rsid w:val="009E61D3"/>
    <w:rsid w:val="009E61ED"/>
    <w:rsid w:val="009E62BE"/>
    <w:rsid w:val="009E6356"/>
    <w:rsid w:val="009E7354"/>
    <w:rsid w:val="009E748D"/>
    <w:rsid w:val="009E7522"/>
    <w:rsid w:val="009E7A90"/>
    <w:rsid w:val="009E7BDB"/>
    <w:rsid w:val="009F0A7A"/>
    <w:rsid w:val="009F1244"/>
    <w:rsid w:val="009F1B64"/>
    <w:rsid w:val="009F217B"/>
    <w:rsid w:val="009F21F7"/>
    <w:rsid w:val="009F2B7B"/>
    <w:rsid w:val="009F3C5B"/>
    <w:rsid w:val="009F3D8F"/>
    <w:rsid w:val="009F3FC3"/>
    <w:rsid w:val="009F4396"/>
    <w:rsid w:val="009F49C2"/>
    <w:rsid w:val="009F4F09"/>
    <w:rsid w:val="009F4F8F"/>
    <w:rsid w:val="009F4FF2"/>
    <w:rsid w:val="009F5AD8"/>
    <w:rsid w:val="009F5F1C"/>
    <w:rsid w:val="009F629D"/>
    <w:rsid w:val="009F6A82"/>
    <w:rsid w:val="009F75EC"/>
    <w:rsid w:val="009F7C94"/>
    <w:rsid w:val="00A00409"/>
    <w:rsid w:val="00A00541"/>
    <w:rsid w:val="00A0086C"/>
    <w:rsid w:val="00A008AB"/>
    <w:rsid w:val="00A0183B"/>
    <w:rsid w:val="00A01CE7"/>
    <w:rsid w:val="00A02B34"/>
    <w:rsid w:val="00A02D35"/>
    <w:rsid w:val="00A031F1"/>
    <w:rsid w:val="00A036F5"/>
    <w:rsid w:val="00A03E45"/>
    <w:rsid w:val="00A040A4"/>
    <w:rsid w:val="00A0435B"/>
    <w:rsid w:val="00A043A5"/>
    <w:rsid w:val="00A045D2"/>
    <w:rsid w:val="00A04990"/>
    <w:rsid w:val="00A051FD"/>
    <w:rsid w:val="00A056BE"/>
    <w:rsid w:val="00A058B3"/>
    <w:rsid w:val="00A05971"/>
    <w:rsid w:val="00A05A43"/>
    <w:rsid w:val="00A06549"/>
    <w:rsid w:val="00A0732F"/>
    <w:rsid w:val="00A07748"/>
    <w:rsid w:val="00A10D69"/>
    <w:rsid w:val="00A119C4"/>
    <w:rsid w:val="00A124EB"/>
    <w:rsid w:val="00A125D4"/>
    <w:rsid w:val="00A128B7"/>
    <w:rsid w:val="00A12F6D"/>
    <w:rsid w:val="00A130DF"/>
    <w:rsid w:val="00A13145"/>
    <w:rsid w:val="00A132E7"/>
    <w:rsid w:val="00A137F7"/>
    <w:rsid w:val="00A13DFE"/>
    <w:rsid w:val="00A13E18"/>
    <w:rsid w:val="00A153C9"/>
    <w:rsid w:val="00A157EB"/>
    <w:rsid w:val="00A1661A"/>
    <w:rsid w:val="00A167BB"/>
    <w:rsid w:val="00A16C75"/>
    <w:rsid w:val="00A20567"/>
    <w:rsid w:val="00A20667"/>
    <w:rsid w:val="00A216DB"/>
    <w:rsid w:val="00A21BED"/>
    <w:rsid w:val="00A21D95"/>
    <w:rsid w:val="00A2215B"/>
    <w:rsid w:val="00A221E1"/>
    <w:rsid w:val="00A222EC"/>
    <w:rsid w:val="00A224C9"/>
    <w:rsid w:val="00A2287F"/>
    <w:rsid w:val="00A22AE9"/>
    <w:rsid w:val="00A22DC8"/>
    <w:rsid w:val="00A2352B"/>
    <w:rsid w:val="00A23A7A"/>
    <w:rsid w:val="00A23F8E"/>
    <w:rsid w:val="00A243DD"/>
    <w:rsid w:val="00A24810"/>
    <w:rsid w:val="00A24BE1"/>
    <w:rsid w:val="00A24C33"/>
    <w:rsid w:val="00A24D69"/>
    <w:rsid w:val="00A25454"/>
    <w:rsid w:val="00A256DB"/>
    <w:rsid w:val="00A2601C"/>
    <w:rsid w:val="00A26560"/>
    <w:rsid w:val="00A2658D"/>
    <w:rsid w:val="00A27392"/>
    <w:rsid w:val="00A277B9"/>
    <w:rsid w:val="00A27852"/>
    <w:rsid w:val="00A30187"/>
    <w:rsid w:val="00A303B5"/>
    <w:rsid w:val="00A30917"/>
    <w:rsid w:val="00A30E93"/>
    <w:rsid w:val="00A314BD"/>
    <w:rsid w:val="00A31CF5"/>
    <w:rsid w:val="00A341C1"/>
    <w:rsid w:val="00A34275"/>
    <w:rsid w:val="00A34452"/>
    <w:rsid w:val="00A344A5"/>
    <w:rsid w:val="00A344E6"/>
    <w:rsid w:val="00A345CA"/>
    <w:rsid w:val="00A3519F"/>
    <w:rsid w:val="00A357EF"/>
    <w:rsid w:val="00A35AAF"/>
    <w:rsid w:val="00A371D0"/>
    <w:rsid w:val="00A37B14"/>
    <w:rsid w:val="00A37BAC"/>
    <w:rsid w:val="00A40C0C"/>
    <w:rsid w:val="00A40D96"/>
    <w:rsid w:val="00A41D4D"/>
    <w:rsid w:val="00A42731"/>
    <w:rsid w:val="00A428DF"/>
    <w:rsid w:val="00A431D9"/>
    <w:rsid w:val="00A436F2"/>
    <w:rsid w:val="00A43881"/>
    <w:rsid w:val="00A44427"/>
    <w:rsid w:val="00A44439"/>
    <w:rsid w:val="00A4454D"/>
    <w:rsid w:val="00A44A9F"/>
    <w:rsid w:val="00A45E58"/>
    <w:rsid w:val="00A461F3"/>
    <w:rsid w:val="00A4636C"/>
    <w:rsid w:val="00A46737"/>
    <w:rsid w:val="00A46804"/>
    <w:rsid w:val="00A46A7B"/>
    <w:rsid w:val="00A46ABD"/>
    <w:rsid w:val="00A46D8D"/>
    <w:rsid w:val="00A47678"/>
    <w:rsid w:val="00A501F2"/>
    <w:rsid w:val="00A502CB"/>
    <w:rsid w:val="00A506F0"/>
    <w:rsid w:val="00A50882"/>
    <w:rsid w:val="00A50A25"/>
    <w:rsid w:val="00A51304"/>
    <w:rsid w:val="00A51307"/>
    <w:rsid w:val="00A51AD6"/>
    <w:rsid w:val="00A51D98"/>
    <w:rsid w:val="00A51E8A"/>
    <w:rsid w:val="00A52936"/>
    <w:rsid w:val="00A52B0D"/>
    <w:rsid w:val="00A52E03"/>
    <w:rsid w:val="00A5379F"/>
    <w:rsid w:val="00A5415B"/>
    <w:rsid w:val="00A542E4"/>
    <w:rsid w:val="00A547F7"/>
    <w:rsid w:val="00A55772"/>
    <w:rsid w:val="00A5627C"/>
    <w:rsid w:val="00A5646E"/>
    <w:rsid w:val="00A56D97"/>
    <w:rsid w:val="00A57107"/>
    <w:rsid w:val="00A578C7"/>
    <w:rsid w:val="00A57ACA"/>
    <w:rsid w:val="00A60103"/>
    <w:rsid w:val="00A60B77"/>
    <w:rsid w:val="00A60C69"/>
    <w:rsid w:val="00A6105F"/>
    <w:rsid w:val="00A61988"/>
    <w:rsid w:val="00A62F68"/>
    <w:rsid w:val="00A633FB"/>
    <w:rsid w:val="00A63562"/>
    <w:rsid w:val="00A63827"/>
    <w:rsid w:val="00A64E39"/>
    <w:rsid w:val="00A6510B"/>
    <w:rsid w:val="00A659B6"/>
    <w:rsid w:val="00A65D2A"/>
    <w:rsid w:val="00A66902"/>
    <w:rsid w:val="00A66E0B"/>
    <w:rsid w:val="00A66FB6"/>
    <w:rsid w:val="00A676E7"/>
    <w:rsid w:val="00A67AEF"/>
    <w:rsid w:val="00A67F99"/>
    <w:rsid w:val="00A70346"/>
    <w:rsid w:val="00A7035A"/>
    <w:rsid w:val="00A7055B"/>
    <w:rsid w:val="00A70D7C"/>
    <w:rsid w:val="00A724F4"/>
    <w:rsid w:val="00A72C59"/>
    <w:rsid w:val="00A72F06"/>
    <w:rsid w:val="00A734CD"/>
    <w:rsid w:val="00A73802"/>
    <w:rsid w:val="00A73A4A"/>
    <w:rsid w:val="00A73DD1"/>
    <w:rsid w:val="00A73EF2"/>
    <w:rsid w:val="00A74B0C"/>
    <w:rsid w:val="00A74B5E"/>
    <w:rsid w:val="00A75498"/>
    <w:rsid w:val="00A7593C"/>
    <w:rsid w:val="00A7625C"/>
    <w:rsid w:val="00A76841"/>
    <w:rsid w:val="00A76C6D"/>
    <w:rsid w:val="00A76C9B"/>
    <w:rsid w:val="00A77414"/>
    <w:rsid w:val="00A7764A"/>
    <w:rsid w:val="00A80576"/>
    <w:rsid w:val="00A81169"/>
    <w:rsid w:val="00A81FC3"/>
    <w:rsid w:val="00A82057"/>
    <w:rsid w:val="00A83581"/>
    <w:rsid w:val="00A837B0"/>
    <w:rsid w:val="00A83A90"/>
    <w:rsid w:val="00A84455"/>
    <w:rsid w:val="00A8472A"/>
    <w:rsid w:val="00A84763"/>
    <w:rsid w:val="00A8531B"/>
    <w:rsid w:val="00A85547"/>
    <w:rsid w:val="00A86BB0"/>
    <w:rsid w:val="00A875F7"/>
    <w:rsid w:val="00A87966"/>
    <w:rsid w:val="00A90A7F"/>
    <w:rsid w:val="00A90D0B"/>
    <w:rsid w:val="00A90FDC"/>
    <w:rsid w:val="00A910FB"/>
    <w:rsid w:val="00A911B2"/>
    <w:rsid w:val="00A914D8"/>
    <w:rsid w:val="00A91FDE"/>
    <w:rsid w:val="00A92815"/>
    <w:rsid w:val="00A92E3B"/>
    <w:rsid w:val="00A92E6C"/>
    <w:rsid w:val="00A92FA1"/>
    <w:rsid w:val="00A938EE"/>
    <w:rsid w:val="00A93A88"/>
    <w:rsid w:val="00A941F9"/>
    <w:rsid w:val="00A9474C"/>
    <w:rsid w:val="00A94BBB"/>
    <w:rsid w:val="00A95247"/>
    <w:rsid w:val="00A958EA"/>
    <w:rsid w:val="00A97668"/>
    <w:rsid w:val="00A979B0"/>
    <w:rsid w:val="00A97BCF"/>
    <w:rsid w:val="00AA068D"/>
    <w:rsid w:val="00AA0E2C"/>
    <w:rsid w:val="00AA1010"/>
    <w:rsid w:val="00AA1073"/>
    <w:rsid w:val="00AA2179"/>
    <w:rsid w:val="00AA31BA"/>
    <w:rsid w:val="00AA341B"/>
    <w:rsid w:val="00AA3476"/>
    <w:rsid w:val="00AA3A9C"/>
    <w:rsid w:val="00AA4316"/>
    <w:rsid w:val="00AA4415"/>
    <w:rsid w:val="00AA4565"/>
    <w:rsid w:val="00AA5C54"/>
    <w:rsid w:val="00AA6169"/>
    <w:rsid w:val="00AA62DE"/>
    <w:rsid w:val="00AA7526"/>
    <w:rsid w:val="00AA759A"/>
    <w:rsid w:val="00AA77FF"/>
    <w:rsid w:val="00AB0EC8"/>
    <w:rsid w:val="00AB13FB"/>
    <w:rsid w:val="00AB19E5"/>
    <w:rsid w:val="00AB1FC6"/>
    <w:rsid w:val="00AB2334"/>
    <w:rsid w:val="00AB25D5"/>
    <w:rsid w:val="00AB282B"/>
    <w:rsid w:val="00AB29D4"/>
    <w:rsid w:val="00AB31D4"/>
    <w:rsid w:val="00AB33D2"/>
    <w:rsid w:val="00AB3C7E"/>
    <w:rsid w:val="00AB3E49"/>
    <w:rsid w:val="00AB4FB3"/>
    <w:rsid w:val="00AB4FCE"/>
    <w:rsid w:val="00AB5187"/>
    <w:rsid w:val="00AB51B7"/>
    <w:rsid w:val="00AB7373"/>
    <w:rsid w:val="00AB7F0C"/>
    <w:rsid w:val="00AC12A1"/>
    <w:rsid w:val="00AC174D"/>
    <w:rsid w:val="00AC1DD8"/>
    <w:rsid w:val="00AC1FCC"/>
    <w:rsid w:val="00AC3420"/>
    <w:rsid w:val="00AC37D6"/>
    <w:rsid w:val="00AC3F38"/>
    <w:rsid w:val="00AC41EC"/>
    <w:rsid w:val="00AC4945"/>
    <w:rsid w:val="00AC4D7B"/>
    <w:rsid w:val="00AC4E4F"/>
    <w:rsid w:val="00AC510D"/>
    <w:rsid w:val="00AC52F4"/>
    <w:rsid w:val="00AC5A58"/>
    <w:rsid w:val="00AC5BA2"/>
    <w:rsid w:val="00AC6698"/>
    <w:rsid w:val="00AC6858"/>
    <w:rsid w:val="00AC6FA2"/>
    <w:rsid w:val="00AC7CC8"/>
    <w:rsid w:val="00AC7E32"/>
    <w:rsid w:val="00AD0DA9"/>
    <w:rsid w:val="00AD0F11"/>
    <w:rsid w:val="00AD12D8"/>
    <w:rsid w:val="00AD1571"/>
    <w:rsid w:val="00AD1B5D"/>
    <w:rsid w:val="00AD1E68"/>
    <w:rsid w:val="00AD31B3"/>
    <w:rsid w:val="00AD34BC"/>
    <w:rsid w:val="00AD35AE"/>
    <w:rsid w:val="00AD43E9"/>
    <w:rsid w:val="00AD51D3"/>
    <w:rsid w:val="00AD56C0"/>
    <w:rsid w:val="00AD5A28"/>
    <w:rsid w:val="00AD6847"/>
    <w:rsid w:val="00AD6F38"/>
    <w:rsid w:val="00AD7946"/>
    <w:rsid w:val="00AD7AB1"/>
    <w:rsid w:val="00AE0440"/>
    <w:rsid w:val="00AE077D"/>
    <w:rsid w:val="00AE0DA0"/>
    <w:rsid w:val="00AE0DF1"/>
    <w:rsid w:val="00AE193C"/>
    <w:rsid w:val="00AE2602"/>
    <w:rsid w:val="00AE2A8E"/>
    <w:rsid w:val="00AE2B0E"/>
    <w:rsid w:val="00AE39ED"/>
    <w:rsid w:val="00AE4064"/>
    <w:rsid w:val="00AE546F"/>
    <w:rsid w:val="00AE63B7"/>
    <w:rsid w:val="00AE640D"/>
    <w:rsid w:val="00AE65BF"/>
    <w:rsid w:val="00AE67EF"/>
    <w:rsid w:val="00AE6B83"/>
    <w:rsid w:val="00AE7045"/>
    <w:rsid w:val="00AE71E4"/>
    <w:rsid w:val="00AE760C"/>
    <w:rsid w:val="00AF0100"/>
    <w:rsid w:val="00AF143B"/>
    <w:rsid w:val="00AF159E"/>
    <w:rsid w:val="00AF17A2"/>
    <w:rsid w:val="00AF2AC7"/>
    <w:rsid w:val="00AF30F1"/>
    <w:rsid w:val="00AF315B"/>
    <w:rsid w:val="00AF3753"/>
    <w:rsid w:val="00AF3979"/>
    <w:rsid w:val="00AF3D78"/>
    <w:rsid w:val="00AF41BE"/>
    <w:rsid w:val="00AF43E7"/>
    <w:rsid w:val="00AF4750"/>
    <w:rsid w:val="00AF4CF8"/>
    <w:rsid w:val="00AF54B8"/>
    <w:rsid w:val="00AF62E9"/>
    <w:rsid w:val="00AF64F2"/>
    <w:rsid w:val="00AF6A71"/>
    <w:rsid w:val="00AF6CB7"/>
    <w:rsid w:val="00AF6F0D"/>
    <w:rsid w:val="00AF6F4A"/>
    <w:rsid w:val="00B00D47"/>
    <w:rsid w:val="00B00F82"/>
    <w:rsid w:val="00B01F18"/>
    <w:rsid w:val="00B0250C"/>
    <w:rsid w:val="00B0293C"/>
    <w:rsid w:val="00B02A4F"/>
    <w:rsid w:val="00B04084"/>
    <w:rsid w:val="00B04237"/>
    <w:rsid w:val="00B04375"/>
    <w:rsid w:val="00B045CE"/>
    <w:rsid w:val="00B0468F"/>
    <w:rsid w:val="00B04823"/>
    <w:rsid w:val="00B05053"/>
    <w:rsid w:val="00B051C5"/>
    <w:rsid w:val="00B05A31"/>
    <w:rsid w:val="00B05BA2"/>
    <w:rsid w:val="00B05DF5"/>
    <w:rsid w:val="00B05F59"/>
    <w:rsid w:val="00B067DF"/>
    <w:rsid w:val="00B073E9"/>
    <w:rsid w:val="00B077DA"/>
    <w:rsid w:val="00B10A3E"/>
    <w:rsid w:val="00B10F1A"/>
    <w:rsid w:val="00B110EC"/>
    <w:rsid w:val="00B11D9D"/>
    <w:rsid w:val="00B11EA0"/>
    <w:rsid w:val="00B12066"/>
    <w:rsid w:val="00B12566"/>
    <w:rsid w:val="00B12E55"/>
    <w:rsid w:val="00B12FC2"/>
    <w:rsid w:val="00B1356B"/>
    <w:rsid w:val="00B13C2A"/>
    <w:rsid w:val="00B143C4"/>
    <w:rsid w:val="00B147EB"/>
    <w:rsid w:val="00B1530B"/>
    <w:rsid w:val="00B15DB5"/>
    <w:rsid w:val="00B164E9"/>
    <w:rsid w:val="00B1666B"/>
    <w:rsid w:val="00B16995"/>
    <w:rsid w:val="00B16D19"/>
    <w:rsid w:val="00B17275"/>
    <w:rsid w:val="00B1773A"/>
    <w:rsid w:val="00B179BD"/>
    <w:rsid w:val="00B2084F"/>
    <w:rsid w:val="00B20AAA"/>
    <w:rsid w:val="00B20CE8"/>
    <w:rsid w:val="00B216F8"/>
    <w:rsid w:val="00B2176E"/>
    <w:rsid w:val="00B22618"/>
    <w:rsid w:val="00B22786"/>
    <w:rsid w:val="00B23252"/>
    <w:rsid w:val="00B2375D"/>
    <w:rsid w:val="00B23873"/>
    <w:rsid w:val="00B24211"/>
    <w:rsid w:val="00B24DDB"/>
    <w:rsid w:val="00B25A1F"/>
    <w:rsid w:val="00B25BA2"/>
    <w:rsid w:val="00B2605C"/>
    <w:rsid w:val="00B26943"/>
    <w:rsid w:val="00B3072F"/>
    <w:rsid w:val="00B30D88"/>
    <w:rsid w:val="00B30EBA"/>
    <w:rsid w:val="00B313F5"/>
    <w:rsid w:val="00B3163F"/>
    <w:rsid w:val="00B31728"/>
    <w:rsid w:val="00B32026"/>
    <w:rsid w:val="00B32C9A"/>
    <w:rsid w:val="00B33011"/>
    <w:rsid w:val="00B33B7D"/>
    <w:rsid w:val="00B340EF"/>
    <w:rsid w:val="00B343E5"/>
    <w:rsid w:val="00B345A9"/>
    <w:rsid w:val="00B349E4"/>
    <w:rsid w:val="00B351FE"/>
    <w:rsid w:val="00B355C2"/>
    <w:rsid w:val="00B359DB"/>
    <w:rsid w:val="00B36063"/>
    <w:rsid w:val="00B36954"/>
    <w:rsid w:val="00B36E14"/>
    <w:rsid w:val="00B3700E"/>
    <w:rsid w:val="00B37158"/>
    <w:rsid w:val="00B373EA"/>
    <w:rsid w:val="00B40393"/>
    <w:rsid w:val="00B4071D"/>
    <w:rsid w:val="00B40A30"/>
    <w:rsid w:val="00B40EE6"/>
    <w:rsid w:val="00B41451"/>
    <w:rsid w:val="00B4156F"/>
    <w:rsid w:val="00B42A72"/>
    <w:rsid w:val="00B42D80"/>
    <w:rsid w:val="00B42DD4"/>
    <w:rsid w:val="00B4415A"/>
    <w:rsid w:val="00B47063"/>
    <w:rsid w:val="00B474E7"/>
    <w:rsid w:val="00B50264"/>
    <w:rsid w:val="00B50728"/>
    <w:rsid w:val="00B5098F"/>
    <w:rsid w:val="00B50C58"/>
    <w:rsid w:val="00B50E5B"/>
    <w:rsid w:val="00B512E8"/>
    <w:rsid w:val="00B5147D"/>
    <w:rsid w:val="00B51889"/>
    <w:rsid w:val="00B51ADB"/>
    <w:rsid w:val="00B52252"/>
    <w:rsid w:val="00B52AC1"/>
    <w:rsid w:val="00B53563"/>
    <w:rsid w:val="00B54A95"/>
    <w:rsid w:val="00B54B6A"/>
    <w:rsid w:val="00B55265"/>
    <w:rsid w:val="00B55821"/>
    <w:rsid w:val="00B55926"/>
    <w:rsid w:val="00B559DC"/>
    <w:rsid w:val="00B55A87"/>
    <w:rsid w:val="00B55C03"/>
    <w:rsid w:val="00B56B55"/>
    <w:rsid w:val="00B56E9A"/>
    <w:rsid w:val="00B57169"/>
    <w:rsid w:val="00B57B82"/>
    <w:rsid w:val="00B60396"/>
    <w:rsid w:val="00B60C9C"/>
    <w:rsid w:val="00B611E8"/>
    <w:rsid w:val="00B615E6"/>
    <w:rsid w:val="00B63555"/>
    <w:rsid w:val="00B635C8"/>
    <w:rsid w:val="00B63785"/>
    <w:rsid w:val="00B64078"/>
    <w:rsid w:val="00B64F78"/>
    <w:rsid w:val="00B65454"/>
    <w:rsid w:val="00B657C3"/>
    <w:rsid w:val="00B65CFA"/>
    <w:rsid w:val="00B66B24"/>
    <w:rsid w:val="00B66E4B"/>
    <w:rsid w:val="00B67E5E"/>
    <w:rsid w:val="00B70D2F"/>
    <w:rsid w:val="00B71178"/>
    <w:rsid w:val="00B71BDE"/>
    <w:rsid w:val="00B71E60"/>
    <w:rsid w:val="00B72072"/>
    <w:rsid w:val="00B72991"/>
    <w:rsid w:val="00B72B05"/>
    <w:rsid w:val="00B72B74"/>
    <w:rsid w:val="00B72C34"/>
    <w:rsid w:val="00B72CB2"/>
    <w:rsid w:val="00B72CEF"/>
    <w:rsid w:val="00B72F63"/>
    <w:rsid w:val="00B7382E"/>
    <w:rsid w:val="00B738FB"/>
    <w:rsid w:val="00B73CC3"/>
    <w:rsid w:val="00B73E33"/>
    <w:rsid w:val="00B74D01"/>
    <w:rsid w:val="00B750A8"/>
    <w:rsid w:val="00B751C5"/>
    <w:rsid w:val="00B7574A"/>
    <w:rsid w:val="00B76347"/>
    <w:rsid w:val="00B766CF"/>
    <w:rsid w:val="00B76BB2"/>
    <w:rsid w:val="00B773F6"/>
    <w:rsid w:val="00B77519"/>
    <w:rsid w:val="00B77FEC"/>
    <w:rsid w:val="00B80090"/>
    <w:rsid w:val="00B80F0F"/>
    <w:rsid w:val="00B810F3"/>
    <w:rsid w:val="00B81110"/>
    <w:rsid w:val="00B82F39"/>
    <w:rsid w:val="00B82FA3"/>
    <w:rsid w:val="00B8300A"/>
    <w:rsid w:val="00B830CF"/>
    <w:rsid w:val="00B8322D"/>
    <w:rsid w:val="00B8362D"/>
    <w:rsid w:val="00B85096"/>
    <w:rsid w:val="00B857AA"/>
    <w:rsid w:val="00B85821"/>
    <w:rsid w:val="00B85DC7"/>
    <w:rsid w:val="00B86D1E"/>
    <w:rsid w:val="00B8739E"/>
    <w:rsid w:val="00B904AE"/>
    <w:rsid w:val="00B90B77"/>
    <w:rsid w:val="00B90F76"/>
    <w:rsid w:val="00B91DD5"/>
    <w:rsid w:val="00B92393"/>
    <w:rsid w:val="00B9242B"/>
    <w:rsid w:val="00B924E8"/>
    <w:rsid w:val="00B924F7"/>
    <w:rsid w:val="00B93677"/>
    <w:rsid w:val="00B937DD"/>
    <w:rsid w:val="00B94263"/>
    <w:rsid w:val="00B9426D"/>
    <w:rsid w:val="00B943CA"/>
    <w:rsid w:val="00B94415"/>
    <w:rsid w:val="00B9443D"/>
    <w:rsid w:val="00B9545B"/>
    <w:rsid w:val="00B95671"/>
    <w:rsid w:val="00B95960"/>
    <w:rsid w:val="00B959EB"/>
    <w:rsid w:val="00B95F8B"/>
    <w:rsid w:val="00B96040"/>
    <w:rsid w:val="00B9688D"/>
    <w:rsid w:val="00B96ACB"/>
    <w:rsid w:val="00B96CB4"/>
    <w:rsid w:val="00B96EA3"/>
    <w:rsid w:val="00B96F47"/>
    <w:rsid w:val="00B96F96"/>
    <w:rsid w:val="00B97633"/>
    <w:rsid w:val="00B97921"/>
    <w:rsid w:val="00BA11CF"/>
    <w:rsid w:val="00BA126B"/>
    <w:rsid w:val="00BA194F"/>
    <w:rsid w:val="00BA1A9D"/>
    <w:rsid w:val="00BA2AB7"/>
    <w:rsid w:val="00BA3300"/>
    <w:rsid w:val="00BA34A6"/>
    <w:rsid w:val="00BA4086"/>
    <w:rsid w:val="00BA4496"/>
    <w:rsid w:val="00BA4FC2"/>
    <w:rsid w:val="00BA5338"/>
    <w:rsid w:val="00BA542B"/>
    <w:rsid w:val="00BA56F0"/>
    <w:rsid w:val="00BA6B09"/>
    <w:rsid w:val="00BA7711"/>
    <w:rsid w:val="00BB03EC"/>
    <w:rsid w:val="00BB0BAC"/>
    <w:rsid w:val="00BB0D93"/>
    <w:rsid w:val="00BB122F"/>
    <w:rsid w:val="00BB131C"/>
    <w:rsid w:val="00BB1931"/>
    <w:rsid w:val="00BB1E31"/>
    <w:rsid w:val="00BB30DF"/>
    <w:rsid w:val="00BB3820"/>
    <w:rsid w:val="00BB39FE"/>
    <w:rsid w:val="00BB3A5A"/>
    <w:rsid w:val="00BB3E47"/>
    <w:rsid w:val="00BB41E2"/>
    <w:rsid w:val="00BB4554"/>
    <w:rsid w:val="00BB4C70"/>
    <w:rsid w:val="00BB4DFA"/>
    <w:rsid w:val="00BB4F4F"/>
    <w:rsid w:val="00BB536D"/>
    <w:rsid w:val="00BB58AB"/>
    <w:rsid w:val="00BB6B60"/>
    <w:rsid w:val="00BB6DD8"/>
    <w:rsid w:val="00BB72B3"/>
    <w:rsid w:val="00BB77AC"/>
    <w:rsid w:val="00BB796B"/>
    <w:rsid w:val="00BC0AEB"/>
    <w:rsid w:val="00BC0C7C"/>
    <w:rsid w:val="00BC14F5"/>
    <w:rsid w:val="00BC161A"/>
    <w:rsid w:val="00BC25F6"/>
    <w:rsid w:val="00BC283F"/>
    <w:rsid w:val="00BC2858"/>
    <w:rsid w:val="00BC2B06"/>
    <w:rsid w:val="00BC2E19"/>
    <w:rsid w:val="00BC3366"/>
    <w:rsid w:val="00BC3858"/>
    <w:rsid w:val="00BC4848"/>
    <w:rsid w:val="00BC4F97"/>
    <w:rsid w:val="00BC56F8"/>
    <w:rsid w:val="00BC6B75"/>
    <w:rsid w:val="00BC6F96"/>
    <w:rsid w:val="00BC74F2"/>
    <w:rsid w:val="00BC7F88"/>
    <w:rsid w:val="00BD03EC"/>
    <w:rsid w:val="00BD0742"/>
    <w:rsid w:val="00BD0988"/>
    <w:rsid w:val="00BD0A84"/>
    <w:rsid w:val="00BD0D06"/>
    <w:rsid w:val="00BD16A8"/>
    <w:rsid w:val="00BD1C33"/>
    <w:rsid w:val="00BD1D36"/>
    <w:rsid w:val="00BD39C6"/>
    <w:rsid w:val="00BD39D9"/>
    <w:rsid w:val="00BD3DD9"/>
    <w:rsid w:val="00BD416C"/>
    <w:rsid w:val="00BD459C"/>
    <w:rsid w:val="00BD4689"/>
    <w:rsid w:val="00BD481B"/>
    <w:rsid w:val="00BD5B93"/>
    <w:rsid w:val="00BD634A"/>
    <w:rsid w:val="00BD65B2"/>
    <w:rsid w:val="00BD6637"/>
    <w:rsid w:val="00BD681B"/>
    <w:rsid w:val="00BD6A8F"/>
    <w:rsid w:val="00BD73A3"/>
    <w:rsid w:val="00BE0547"/>
    <w:rsid w:val="00BE07F9"/>
    <w:rsid w:val="00BE1816"/>
    <w:rsid w:val="00BE217C"/>
    <w:rsid w:val="00BE22B3"/>
    <w:rsid w:val="00BE2425"/>
    <w:rsid w:val="00BE28F5"/>
    <w:rsid w:val="00BE33F8"/>
    <w:rsid w:val="00BE3472"/>
    <w:rsid w:val="00BE380E"/>
    <w:rsid w:val="00BE414E"/>
    <w:rsid w:val="00BE4B68"/>
    <w:rsid w:val="00BE4B82"/>
    <w:rsid w:val="00BE52AA"/>
    <w:rsid w:val="00BE5E42"/>
    <w:rsid w:val="00BE614C"/>
    <w:rsid w:val="00BE6696"/>
    <w:rsid w:val="00BE6FF6"/>
    <w:rsid w:val="00BF04F0"/>
    <w:rsid w:val="00BF144A"/>
    <w:rsid w:val="00BF1E3C"/>
    <w:rsid w:val="00BF26A4"/>
    <w:rsid w:val="00BF2C83"/>
    <w:rsid w:val="00BF332F"/>
    <w:rsid w:val="00BF33EC"/>
    <w:rsid w:val="00BF3C8A"/>
    <w:rsid w:val="00BF477B"/>
    <w:rsid w:val="00BF4A5C"/>
    <w:rsid w:val="00BF4C75"/>
    <w:rsid w:val="00BF4E1C"/>
    <w:rsid w:val="00BF5196"/>
    <w:rsid w:val="00BF611A"/>
    <w:rsid w:val="00BF6144"/>
    <w:rsid w:val="00BF61FE"/>
    <w:rsid w:val="00BF7087"/>
    <w:rsid w:val="00BF722D"/>
    <w:rsid w:val="00BF7A93"/>
    <w:rsid w:val="00BF7D4A"/>
    <w:rsid w:val="00C00208"/>
    <w:rsid w:val="00C00619"/>
    <w:rsid w:val="00C017B5"/>
    <w:rsid w:val="00C01E86"/>
    <w:rsid w:val="00C01F00"/>
    <w:rsid w:val="00C0204A"/>
    <w:rsid w:val="00C0273F"/>
    <w:rsid w:val="00C02A9D"/>
    <w:rsid w:val="00C0318E"/>
    <w:rsid w:val="00C0392B"/>
    <w:rsid w:val="00C03A41"/>
    <w:rsid w:val="00C03C03"/>
    <w:rsid w:val="00C03C3D"/>
    <w:rsid w:val="00C03EEA"/>
    <w:rsid w:val="00C050E3"/>
    <w:rsid w:val="00C058D7"/>
    <w:rsid w:val="00C05909"/>
    <w:rsid w:val="00C05AE3"/>
    <w:rsid w:val="00C07F8A"/>
    <w:rsid w:val="00C100D1"/>
    <w:rsid w:val="00C11084"/>
    <w:rsid w:val="00C113A0"/>
    <w:rsid w:val="00C11FE6"/>
    <w:rsid w:val="00C120F7"/>
    <w:rsid w:val="00C1255F"/>
    <w:rsid w:val="00C1385D"/>
    <w:rsid w:val="00C13C37"/>
    <w:rsid w:val="00C14CAD"/>
    <w:rsid w:val="00C14E7E"/>
    <w:rsid w:val="00C15157"/>
    <w:rsid w:val="00C1529B"/>
    <w:rsid w:val="00C157F7"/>
    <w:rsid w:val="00C15CCE"/>
    <w:rsid w:val="00C16E4F"/>
    <w:rsid w:val="00C170FE"/>
    <w:rsid w:val="00C17950"/>
    <w:rsid w:val="00C17AE1"/>
    <w:rsid w:val="00C17B6D"/>
    <w:rsid w:val="00C17F43"/>
    <w:rsid w:val="00C20B45"/>
    <w:rsid w:val="00C211CB"/>
    <w:rsid w:val="00C2157F"/>
    <w:rsid w:val="00C218B8"/>
    <w:rsid w:val="00C21A22"/>
    <w:rsid w:val="00C21CA7"/>
    <w:rsid w:val="00C22414"/>
    <w:rsid w:val="00C22B3B"/>
    <w:rsid w:val="00C22E29"/>
    <w:rsid w:val="00C238EA"/>
    <w:rsid w:val="00C24341"/>
    <w:rsid w:val="00C24640"/>
    <w:rsid w:val="00C25213"/>
    <w:rsid w:val="00C25BCE"/>
    <w:rsid w:val="00C25F17"/>
    <w:rsid w:val="00C27255"/>
    <w:rsid w:val="00C300BA"/>
    <w:rsid w:val="00C3085D"/>
    <w:rsid w:val="00C313B9"/>
    <w:rsid w:val="00C32323"/>
    <w:rsid w:val="00C329B1"/>
    <w:rsid w:val="00C34196"/>
    <w:rsid w:val="00C34A8C"/>
    <w:rsid w:val="00C34F15"/>
    <w:rsid w:val="00C350FB"/>
    <w:rsid w:val="00C3538E"/>
    <w:rsid w:val="00C356E0"/>
    <w:rsid w:val="00C3574E"/>
    <w:rsid w:val="00C359CE"/>
    <w:rsid w:val="00C364C0"/>
    <w:rsid w:val="00C368AC"/>
    <w:rsid w:val="00C371FA"/>
    <w:rsid w:val="00C37D5C"/>
    <w:rsid w:val="00C40821"/>
    <w:rsid w:val="00C40BED"/>
    <w:rsid w:val="00C413F3"/>
    <w:rsid w:val="00C4164E"/>
    <w:rsid w:val="00C41B95"/>
    <w:rsid w:val="00C41F4C"/>
    <w:rsid w:val="00C42BB5"/>
    <w:rsid w:val="00C4320F"/>
    <w:rsid w:val="00C4376F"/>
    <w:rsid w:val="00C450BD"/>
    <w:rsid w:val="00C4579D"/>
    <w:rsid w:val="00C46DCF"/>
    <w:rsid w:val="00C4731B"/>
    <w:rsid w:val="00C47674"/>
    <w:rsid w:val="00C479FB"/>
    <w:rsid w:val="00C47AE3"/>
    <w:rsid w:val="00C47B84"/>
    <w:rsid w:val="00C501DA"/>
    <w:rsid w:val="00C51BE4"/>
    <w:rsid w:val="00C51F6B"/>
    <w:rsid w:val="00C5244E"/>
    <w:rsid w:val="00C52D86"/>
    <w:rsid w:val="00C533E4"/>
    <w:rsid w:val="00C534DC"/>
    <w:rsid w:val="00C539A6"/>
    <w:rsid w:val="00C54060"/>
    <w:rsid w:val="00C55DA6"/>
    <w:rsid w:val="00C55EBC"/>
    <w:rsid w:val="00C56CAF"/>
    <w:rsid w:val="00C56CD0"/>
    <w:rsid w:val="00C57983"/>
    <w:rsid w:val="00C603BB"/>
    <w:rsid w:val="00C621AA"/>
    <w:rsid w:val="00C6284C"/>
    <w:rsid w:val="00C62BFE"/>
    <w:rsid w:val="00C62C64"/>
    <w:rsid w:val="00C6373C"/>
    <w:rsid w:val="00C637DA"/>
    <w:rsid w:val="00C638B2"/>
    <w:rsid w:val="00C63940"/>
    <w:rsid w:val="00C64434"/>
    <w:rsid w:val="00C6490E"/>
    <w:rsid w:val="00C65883"/>
    <w:rsid w:val="00C6636E"/>
    <w:rsid w:val="00C66880"/>
    <w:rsid w:val="00C66B24"/>
    <w:rsid w:val="00C66B35"/>
    <w:rsid w:val="00C66BA8"/>
    <w:rsid w:val="00C6724E"/>
    <w:rsid w:val="00C675E7"/>
    <w:rsid w:val="00C679F1"/>
    <w:rsid w:val="00C67A83"/>
    <w:rsid w:val="00C70526"/>
    <w:rsid w:val="00C710C1"/>
    <w:rsid w:val="00C71455"/>
    <w:rsid w:val="00C71C53"/>
    <w:rsid w:val="00C72233"/>
    <w:rsid w:val="00C722E5"/>
    <w:rsid w:val="00C72505"/>
    <w:rsid w:val="00C72D7A"/>
    <w:rsid w:val="00C72FA2"/>
    <w:rsid w:val="00C73C5F"/>
    <w:rsid w:val="00C74219"/>
    <w:rsid w:val="00C749A7"/>
    <w:rsid w:val="00C749FB"/>
    <w:rsid w:val="00C74AA4"/>
    <w:rsid w:val="00C74CE0"/>
    <w:rsid w:val="00C74FFB"/>
    <w:rsid w:val="00C7537A"/>
    <w:rsid w:val="00C759D9"/>
    <w:rsid w:val="00C75A06"/>
    <w:rsid w:val="00C767AE"/>
    <w:rsid w:val="00C76AE6"/>
    <w:rsid w:val="00C80A33"/>
    <w:rsid w:val="00C80AD3"/>
    <w:rsid w:val="00C80CA8"/>
    <w:rsid w:val="00C814FE"/>
    <w:rsid w:val="00C81C31"/>
    <w:rsid w:val="00C82288"/>
    <w:rsid w:val="00C827E2"/>
    <w:rsid w:val="00C82C46"/>
    <w:rsid w:val="00C82C91"/>
    <w:rsid w:val="00C84AB3"/>
    <w:rsid w:val="00C85FD9"/>
    <w:rsid w:val="00C86370"/>
    <w:rsid w:val="00C86440"/>
    <w:rsid w:val="00C866A2"/>
    <w:rsid w:val="00C86D6A"/>
    <w:rsid w:val="00C87615"/>
    <w:rsid w:val="00C87672"/>
    <w:rsid w:val="00C87D8D"/>
    <w:rsid w:val="00C87EC7"/>
    <w:rsid w:val="00C90057"/>
    <w:rsid w:val="00C90C93"/>
    <w:rsid w:val="00C91694"/>
    <w:rsid w:val="00C91800"/>
    <w:rsid w:val="00C91CC0"/>
    <w:rsid w:val="00C93019"/>
    <w:rsid w:val="00C930F3"/>
    <w:rsid w:val="00C93A9E"/>
    <w:rsid w:val="00C93D86"/>
    <w:rsid w:val="00C94894"/>
    <w:rsid w:val="00C94C1A"/>
    <w:rsid w:val="00C95525"/>
    <w:rsid w:val="00C957AA"/>
    <w:rsid w:val="00C976B3"/>
    <w:rsid w:val="00C97857"/>
    <w:rsid w:val="00C97DFC"/>
    <w:rsid w:val="00CA0029"/>
    <w:rsid w:val="00CA00AF"/>
    <w:rsid w:val="00CA040A"/>
    <w:rsid w:val="00CA0B43"/>
    <w:rsid w:val="00CA2BAB"/>
    <w:rsid w:val="00CA360D"/>
    <w:rsid w:val="00CA3E1E"/>
    <w:rsid w:val="00CA4294"/>
    <w:rsid w:val="00CA5733"/>
    <w:rsid w:val="00CA596C"/>
    <w:rsid w:val="00CA66AF"/>
    <w:rsid w:val="00CA6796"/>
    <w:rsid w:val="00CA6863"/>
    <w:rsid w:val="00CA7817"/>
    <w:rsid w:val="00CA7C96"/>
    <w:rsid w:val="00CA7D51"/>
    <w:rsid w:val="00CB0295"/>
    <w:rsid w:val="00CB033A"/>
    <w:rsid w:val="00CB08EE"/>
    <w:rsid w:val="00CB1913"/>
    <w:rsid w:val="00CB2181"/>
    <w:rsid w:val="00CB2562"/>
    <w:rsid w:val="00CB3002"/>
    <w:rsid w:val="00CB3AE7"/>
    <w:rsid w:val="00CB40D9"/>
    <w:rsid w:val="00CB56DC"/>
    <w:rsid w:val="00CB5D26"/>
    <w:rsid w:val="00CB5E6B"/>
    <w:rsid w:val="00CB6111"/>
    <w:rsid w:val="00CB6209"/>
    <w:rsid w:val="00CB6406"/>
    <w:rsid w:val="00CB6DE7"/>
    <w:rsid w:val="00CB72BF"/>
    <w:rsid w:val="00CB72F6"/>
    <w:rsid w:val="00CB7839"/>
    <w:rsid w:val="00CB7B82"/>
    <w:rsid w:val="00CC1B71"/>
    <w:rsid w:val="00CC1C82"/>
    <w:rsid w:val="00CC2428"/>
    <w:rsid w:val="00CC2784"/>
    <w:rsid w:val="00CC2B42"/>
    <w:rsid w:val="00CC309E"/>
    <w:rsid w:val="00CC33B2"/>
    <w:rsid w:val="00CC379A"/>
    <w:rsid w:val="00CC4003"/>
    <w:rsid w:val="00CC471F"/>
    <w:rsid w:val="00CC4B35"/>
    <w:rsid w:val="00CC5778"/>
    <w:rsid w:val="00CC5C35"/>
    <w:rsid w:val="00CC672E"/>
    <w:rsid w:val="00CC6B1D"/>
    <w:rsid w:val="00CC6CEF"/>
    <w:rsid w:val="00CC782D"/>
    <w:rsid w:val="00CC794C"/>
    <w:rsid w:val="00CD0613"/>
    <w:rsid w:val="00CD0949"/>
    <w:rsid w:val="00CD096B"/>
    <w:rsid w:val="00CD0CA8"/>
    <w:rsid w:val="00CD0D55"/>
    <w:rsid w:val="00CD0DB9"/>
    <w:rsid w:val="00CD1130"/>
    <w:rsid w:val="00CD373B"/>
    <w:rsid w:val="00CD442C"/>
    <w:rsid w:val="00CD44F7"/>
    <w:rsid w:val="00CD4E65"/>
    <w:rsid w:val="00CD5577"/>
    <w:rsid w:val="00CD5DA7"/>
    <w:rsid w:val="00CD6447"/>
    <w:rsid w:val="00CD6F13"/>
    <w:rsid w:val="00CE0A9A"/>
    <w:rsid w:val="00CE154C"/>
    <w:rsid w:val="00CE1D31"/>
    <w:rsid w:val="00CE334B"/>
    <w:rsid w:val="00CE3412"/>
    <w:rsid w:val="00CE3740"/>
    <w:rsid w:val="00CE3BE2"/>
    <w:rsid w:val="00CE3C41"/>
    <w:rsid w:val="00CE4123"/>
    <w:rsid w:val="00CE43C4"/>
    <w:rsid w:val="00CE4403"/>
    <w:rsid w:val="00CE55A0"/>
    <w:rsid w:val="00CE5689"/>
    <w:rsid w:val="00CE56CD"/>
    <w:rsid w:val="00CE5D02"/>
    <w:rsid w:val="00CE65BC"/>
    <w:rsid w:val="00CE671D"/>
    <w:rsid w:val="00CE69BD"/>
    <w:rsid w:val="00CE6D30"/>
    <w:rsid w:val="00CE77E8"/>
    <w:rsid w:val="00CE7946"/>
    <w:rsid w:val="00CE7E29"/>
    <w:rsid w:val="00CE7F02"/>
    <w:rsid w:val="00CF09FC"/>
    <w:rsid w:val="00CF0FF9"/>
    <w:rsid w:val="00CF1A33"/>
    <w:rsid w:val="00CF2ED6"/>
    <w:rsid w:val="00CF2FF0"/>
    <w:rsid w:val="00CF304E"/>
    <w:rsid w:val="00CF31A6"/>
    <w:rsid w:val="00CF41F7"/>
    <w:rsid w:val="00CF469F"/>
    <w:rsid w:val="00CF6055"/>
    <w:rsid w:val="00CF6255"/>
    <w:rsid w:val="00CF62F2"/>
    <w:rsid w:val="00CF6A02"/>
    <w:rsid w:val="00CF7137"/>
    <w:rsid w:val="00CF72BE"/>
    <w:rsid w:val="00CF7E72"/>
    <w:rsid w:val="00CF7EB1"/>
    <w:rsid w:val="00CF7EC0"/>
    <w:rsid w:val="00D00758"/>
    <w:rsid w:val="00D0090E"/>
    <w:rsid w:val="00D011D4"/>
    <w:rsid w:val="00D01218"/>
    <w:rsid w:val="00D0123A"/>
    <w:rsid w:val="00D01444"/>
    <w:rsid w:val="00D020DE"/>
    <w:rsid w:val="00D02712"/>
    <w:rsid w:val="00D02D6A"/>
    <w:rsid w:val="00D035E8"/>
    <w:rsid w:val="00D03A8B"/>
    <w:rsid w:val="00D0413E"/>
    <w:rsid w:val="00D05092"/>
    <w:rsid w:val="00D0528A"/>
    <w:rsid w:val="00D05E39"/>
    <w:rsid w:val="00D06236"/>
    <w:rsid w:val="00D062A9"/>
    <w:rsid w:val="00D07CC0"/>
    <w:rsid w:val="00D1019A"/>
    <w:rsid w:val="00D10382"/>
    <w:rsid w:val="00D104D1"/>
    <w:rsid w:val="00D10E87"/>
    <w:rsid w:val="00D124DE"/>
    <w:rsid w:val="00D142ED"/>
    <w:rsid w:val="00D1493F"/>
    <w:rsid w:val="00D14E8F"/>
    <w:rsid w:val="00D15B2F"/>
    <w:rsid w:val="00D15C77"/>
    <w:rsid w:val="00D16309"/>
    <w:rsid w:val="00D173EE"/>
    <w:rsid w:val="00D17A77"/>
    <w:rsid w:val="00D202B4"/>
    <w:rsid w:val="00D20301"/>
    <w:rsid w:val="00D203A8"/>
    <w:rsid w:val="00D20592"/>
    <w:rsid w:val="00D20A1C"/>
    <w:rsid w:val="00D20EEB"/>
    <w:rsid w:val="00D228A6"/>
    <w:rsid w:val="00D22D28"/>
    <w:rsid w:val="00D23073"/>
    <w:rsid w:val="00D23A18"/>
    <w:rsid w:val="00D24BDA"/>
    <w:rsid w:val="00D24F65"/>
    <w:rsid w:val="00D252CD"/>
    <w:rsid w:val="00D252FD"/>
    <w:rsid w:val="00D263C3"/>
    <w:rsid w:val="00D264D4"/>
    <w:rsid w:val="00D264DF"/>
    <w:rsid w:val="00D271E3"/>
    <w:rsid w:val="00D274D8"/>
    <w:rsid w:val="00D27C2B"/>
    <w:rsid w:val="00D27F50"/>
    <w:rsid w:val="00D3013E"/>
    <w:rsid w:val="00D30C2D"/>
    <w:rsid w:val="00D31386"/>
    <w:rsid w:val="00D316E1"/>
    <w:rsid w:val="00D31908"/>
    <w:rsid w:val="00D31B12"/>
    <w:rsid w:val="00D31EB8"/>
    <w:rsid w:val="00D323E3"/>
    <w:rsid w:val="00D328B0"/>
    <w:rsid w:val="00D33F8E"/>
    <w:rsid w:val="00D3438A"/>
    <w:rsid w:val="00D34421"/>
    <w:rsid w:val="00D34482"/>
    <w:rsid w:val="00D347AE"/>
    <w:rsid w:val="00D35048"/>
    <w:rsid w:val="00D356C4"/>
    <w:rsid w:val="00D3662C"/>
    <w:rsid w:val="00D36AB5"/>
    <w:rsid w:val="00D37461"/>
    <w:rsid w:val="00D37887"/>
    <w:rsid w:val="00D37932"/>
    <w:rsid w:val="00D401D6"/>
    <w:rsid w:val="00D40B80"/>
    <w:rsid w:val="00D40B8E"/>
    <w:rsid w:val="00D40BCE"/>
    <w:rsid w:val="00D40E04"/>
    <w:rsid w:val="00D424C2"/>
    <w:rsid w:val="00D42644"/>
    <w:rsid w:val="00D429CA"/>
    <w:rsid w:val="00D42E63"/>
    <w:rsid w:val="00D4303F"/>
    <w:rsid w:val="00D4357C"/>
    <w:rsid w:val="00D4359A"/>
    <w:rsid w:val="00D445CB"/>
    <w:rsid w:val="00D44F43"/>
    <w:rsid w:val="00D45C98"/>
    <w:rsid w:val="00D45E28"/>
    <w:rsid w:val="00D464DE"/>
    <w:rsid w:val="00D468CD"/>
    <w:rsid w:val="00D46B68"/>
    <w:rsid w:val="00D4707A"/>
    <w:rsid w:val="00D47081"/>
    <w:rsid w:val="00D47172"/>
    <w:rsid w:val="00D4729B"/>
    <w:rsid w:val="00D503AC"/>
    <w:rsid w:val="00D504A4"/>
    <w:rsid w:val="00D51FFD"/>
    <w:rsid w:val="00D520D3"/>
    <w:rsid w:val="00D52AD9"/>
    <w:rsid w:val="00D53227"/>
    <w:rsid w:val="00D5399E"/>
    <w:rsid w:val="00D55746"/>
    <w:rsid w:val="00D56C49"/>
    <w:rsid w:val="00D56CD7"/>
    <w:rsid w:val="00D60378"/>
    <w:rsid w:val="00D60BC4"/>
    <w:rsid w:val="00D60F5D"/>
    <w:rsid w:val="00D61132"/>
    <w:rsid w:val="00D611A4"/>
    <w:rsid w:val="00D611D1"/>
    <w:rsid w:val="00D6154D"/>
    <w:rsid w:val="00D61AB8"/>
    <w:rsid w:val="00D6248C"/>
    <w:rsid w:val="00D624A1"/>
    <w:rsid w:val="00D624FC"/>
    <w:rsid w:val="00D63654"/>
    <w:rsid w:val="00D63936"/>
    <w:rsid w:val="00D63E18"/>
    <w:rsid w:val="00D64F1D"/>
    <w:rsid w:val="00D651AC"/>
    <w:rsid w:val="00D657FD"/>
    <w:rsid w:val="00D65C1C"/>
    <w:rsid w:val="00D65F20"/>
    <w:rsid w:val="00D665C3"/>
    <w:rsid w:val="00D66D5B"/>
    <w:rsid w:val="00D673F1"/>
    <w:rsid w:val="00D67D04"/>
    <w:rsid w:val="00D700AC"/>
    <w:rsid w:val="00D71623"/>
    <w:rsid w:val="00D7375F"/>
    <w:rsid w:val="00D73EA0"/>
    <w:rsid w:val="00D73F5F"/>
    <w:rsid w:val="00D74AB1"/>
    <w:rsid w:val="00D750DB"/>
    <w:rsid w:val="00D75111"/>
    <w:rsid w:val="00D76345"/>
    <w:rsid w:val="00D765A4"/>
    <w:rsid w:val="00D7666B"/>
    <w:rsid w:val="00D77738"/>
    <w:rsid w:val="00D77A78"/>
    <w:rsid w:val="00D77C0C"/>
    <w:rsid w:val="00D80376"/>
    <w:rsid w:val="00D805FF"/>
    <w:rsid w:val="00D80A78"/>
    <w:rsid w:val="00D8134E"/>
    <w:rsid w:val="00D8196C"/>
    <w:rsid w:val="00D81D5C"/>
    <w:rsid w:val="00D81DFD"/>
    <w:rsid w:val="00D81F1E"/>
    <w:rsid w:val="00D81F26"/>
    <w:rsid w:val="00D824E7"/>
    <w:rsid w:val="00D82909"/>
    <w:rsid w:val="00D835A7"/>
    <w:rsid w:val="00D836C0"/>
    <w:rsid w:val="00D84D09"/>
    <w:rsid w:val="00D84ED8"/>
    <w:rsid w:val="00D85DFC"/>
    <w:rsid w:val="00D85FAC"/>
    <w:rsid w:val="00D8731B"/>
    <w:rsid w:val="00D8743F"/>
    <w:rsid w:val="00D90E64"/>
    <w:rsid w:val="00D91B9E"/>
    <w:rsid w:val="00D91BD7"/>
    <w:rsid w:val="00D948D7"/>
    <w:rsid w:val="00D94BC7"/>
    <w:rsid w:val="00D95911"/>
    <w:rsid w:val="00D960BF"/>
    <w:rsid w:val="00D960F1"/>
    <w:rsid w:val="00D96FDA"/>
    <w:rsid w:val="00D97273"/>
    <w:rsid w:val="00D97D31"/>
    <w:rsid w:val="00DA031E"/>
    <w:rsid w:val="00DA0C56"/>
    <w:rsid w:val="00DA185E"/>
    <w:rsid w:val="00DA2FF9"/>
    <w:rsid w:val="00DA3E6D"/>
    <w:rsid w:val="00DA4B20"/>
    <w:rsid w:val="00DA59BD"/>
    <w:rsid w:val="00DA6556"/>
    <w:rsid w:val="00DA6672"/>
    <w:rsid w:val="00DA6856"/>
    <w:rsid w:val="00DA6A91"/>
    <w:rsid w:val="00DA702E"/>
    <w:rsid w:val="00DA7141"/>
    <w:rsid w:val="00DA7E52"/>
    <w:rsid w:val="00DB022B"/>
    <w:rsid w:val="00DB0319"/>
    <w:rsid w:val="00DB0A66"/>
    <w:rsid w:val="00DB0BE5"/>
    <w:rsid w:val="00DB0C3D"/>
    <w:rsid w:val="00DB0D7B"/>
    <w:rsid w:val="00DB1204"/>
    <w:rsid w:val="00DB14A2"/>
    <w:rsid w:val="00DB191C"/>
    <w:rsid w:val="00DB2912"/>
    <w:rsid w:val="00DB318A"/>
    <w:rsid w:val="00DB31C5"/>
    <w:rsid w:val="00DB35AC"/>
    <w:rsid w:val="00DB38B4"/>
    <w:rsid w:val="00DB4157"/>
    <w:rsid w:val="00DB41AD"/>
    <w:rsid w:val="00DB4E55"/>
    <w:rsid w:val="00DB50B7"/>
    <w:rsid w:val="00DB5787"/>
    <w:rsid w:val="00DB5AC0"/>
    <w:rsid w:val="00DB5DD4"/>
    <w:rsid w:val="00DB70FD"/>
    <w:rsid w:val="00DB7C5D"/>
    <w:rsid w:val="00DC0383"/>
    <w:rsid w:val="00DC0A8B"/>
    <w:rsid w:val="00DC0DFF"/>
    <w:rsid w:val="00DC1043"/>
    <w:rsid w:val="00DC195A"/>
    <w:rsid w:val="00DC1DBC"/>
    <w:rsid w:val="00DC21CB"/>
    <w:rsid w:val="00DC45DC"/>
    <w:rsid w:val="00DC515C"/>
    <w:rsid w:val="00DC55A4"/>
    <w:rsid w:val="00DC5B2E"/>
    <w:rsid w:val="00DC637D"/>
    <w:rsid w:val="00DC6BA3"/>
    <w:rsid w:val="00DC7422"/>
    <w:rsid w:val="00DC75A6"/>
    <w:rsid w:val="00DC7BC9"/>
    <w:rsid w:val="00DC7FF9"/>
    <w:rsid w:val="00DD0DF1"/>
    <w:rsid w:val="00DD0E92"/>
    <w:rsid w:val="00DD12AB"/>
    <w:rsid w:val="00DD3377"/>
    <w:rsid w:val="00DD3665"/>
    <w:rsid w:val="00DD3B04"/>
    <w:rsid w:val="00DD3BC3"/>
    <w:rsid w:val="00DD42F2"/>
    <w:rsid w:val="00DD44AB"/>
    <w:rsid w:val="00DD4762"/>
    <w:rsid w:val="00DD4A04"/>
    <w:rsid w:val="00DD4E5E"/>
    <w:rsid w:val="00DD509C"/>
    <w:rsid w:val="00DD5693"/>
    <w:rsid w:val="00DD5A62"/>
    <w:rsid w:val="00DD6EB8"/>
    <w:rsid w:val="00DD6F85"/>
    <w:rsid w:val="00DD7BB4"/>
    <w:rsid w:val="00DD7BBC"/>
    <w:rsid w:val="00DE009E"/>
    <w:rsid w:val="00DE05CF"/>
    <w:rsid w:val="00DE22AE"/>
    <w:rsid w:val="00DE2782"/>
    <w:rsid w:val="00DE31BB"/>
    <w:rsid w:val="00DE375F"/>
    <w:rsid w:val="00DE38A6"/>
    <w:rsid w:val="00DE3D0A"/>
    <w:rsid w:val="00DE3D21"/>
    <w:rsid w:val="00DE4816"/>
    <w:rsid w:val="00DE4830"/>
    <w:rsid w:val="00DE5A4E"/>
    <w:rsid w:val="00DE5C45"/>
    <w:rsid w:val="00DE5DC9"/>
    <w:rsid w:val="00DE5DD2"/>
    <w:rsid w:val="00DE746A"/>
    <w:rsid w:val="00DE7474"/>
    <w:rsid w:val="00DE799F"/>
    <w:rsid w:val="00DE7F27"/>
    <w:rsid w:val="00DF018B"/>
    <w:rsid w:val="00DF01C0"/>
    <w:rsid w:val="00DF0963"/>
    <w:rsid w:val="00DF1DE7"/>
    <w:rsid w:val="00DF1F18"/>
    <w:rsid w:val="00DF2A0E"/>
    <w:rsid w:val="00DF3C37"/>
    <w:rsid w:val="00DF3D21"/>
    <w:rsid w:val="00DF3FDA"/>
    <w:rsid w:val="00DF4C56"/>
    <w:rsid w:val="00DF5075"/>
    <w:rsid w:val="00DF6376"/>
    <w:rsid w:val="00DF6991"/>
    <w:rsid w:val="00DF6A46"/>
    <w:rsid w:val="00DF7E24"/>
    <w:rsid w:val="00E00473"/>
    <w:rsid w:val="00E004FE"/>
    <w:rsid w:val="00E005D2"/>
    <w:rsid w:val="00E00643"/>
    <w:rsid w:val="00E00D83"/>
    <w:rsid w:val="00E014CA"/>
    <w:rsid w:val="00E021C8"/>
    <w:rsid w:val="00E0281B"/>
    <w:rsid w:val="00E03B9D"/>
    <w:rsid w:val="00E04932"/>
    <w:rsid w:val="00E0494E"/>
    <w:rsid w:val="00E04F88"/>
    <w:rsid w:val="00E051BC"/>
    <w:rsid w:val="00E051E5"/>
    <w:rsid w:val="00E05424"/>
    <w:rsid w:val="00E0570D"/>
    <w:rsid w:val="00E05C99"/>
    <w:rsid w:val="00E05E52"/>
    <w:rsid w:val="00E06FB9"/>
    <w:rsid w:val="00E071F1"/>
    <w:rsid w:val="00E07FC7"/>
    <w:rsid w:val="00E10377"/>
    <w:rsid w:val="00E10602"/>
    <w:rsid w:val="00E109AC"/>
    <w:rsid w:val="00E10F93"/>
    <w:rsid w:val="00E115B8"/>
    <w:rsid w:val="00E115D2"/>
    <w:rsid w:val="00E11B2D"/>
    <w:rsid w:val="00E11C0D"/>
    <w:rsid w:val="00E1242D"/>
    <w:rsid w:val="00E131FE"/>
    <w:rsid w:val="00E133CE"/>
    <w:rsid w:val="00E13CEA"/>
    <w:rsid w:val="00E14298"/>
    <w:rsid w:val="00E145B7"/>
    <w:rsid w:val="00E14714"/>
    <w:rsid w:val="00E14999"/>
    <w:rsid w:val="00E14BCC"/>
    <w:rsid w:val="00E15174"/>
    <w:rsid w:val="00E1525D"/>
    <w:rsid w:val="00E15714"/>
    <w:rsid w:val="00E15947"/>
    <w:rsid w:val="00E15AE7"/>
    <w:rsid w:val="00E16329"/>
    <w:rsid w:val="00E1670A"/>
    <w:rsid w:val="00E168F9"/>
    <w:rsid w:val="00E16AB9"/>
    <w:rsid w:val="00E17961"/>
    <w:rsid w:val="00E17C08"/>
    <w:rsid w:val="00E204CE"/>
    <w:rsid w:val="00E205F1"/>
    <w:rsid w:val="00E2063F"/>
    <w:rsid w:val="00E207F1"/>
    <w:rsid w:val="00E20824"/>
    <w:rsid w:val="00E20B01"/>
    <w:rsid w:val="00E20BCD"/>
    <w:rsid w:val="00E21607"/>
    <w:rsid w:val="00E22001"/>
    <w:rsid w:val="00E22355"/>
    <w:rsid w:val="00E22640"/>
    <w:rsid w:val="00E22853"/>
    <w:rsid w:val="00E229D8"/>
    <w:rsid w:val="00E22AB5"/>
    <w:rsid w:val="00E22DAE"/>
    <w:rsid w:val="00E22EE7"/>
    <w:rsid w:val="00E2308E"/>
    <w:rsid w:val="00E2374C"/>
    <w:rsid w:val="00E23DFB"/>
    <w:rsid w:val="00E24007"/>
    <w:rsid w:val="00E24426"/>
    <w:rsid w:val="00E2445E"/>
    <w:rsid w:val="00E25375"/>
    <w:rsid w:val="00E26247"/>
    <w:rsid w:val="00E2667C"/>
    <w:rsid w:val="00E26DC1"/>
    <w:rsid w:val="00E27A9A"/>
    <w:rsid w:val="00E27B69"/>
    <w:rsid w:val="00E27F7C"/>
    <w:rsid w:val="00E30345"/>
    <w:rsid w:val="00E30E47"/>
    <w:rsid w:val="00E329FC"/>
    <w:rsid w:val="00E32BB8"/>
    <w:rsid w:val="00E33850"/>
    <w:rsid w:val="00E33C81"/>
    <w:rsid w:val="00E33CE8"/>
    <w:rsid w:val="00E34169"/>
    <w:rsid w:val="00E342A1"/>
    <w:rsid w:val="00E343D4"/>
    <w:rsid w:val="00E34782"/>
    <w:rsid w:val="00E34CF0"/>
    <w:rsid w:val="00E34D60"/>
    <w:rsid w:val="00E3518F"/>
    <w:rsid w:val="00E35D05"/>
    <w:rsid w:val="00E35E6A"/>
    <w:rsid w:val="00E37512"/>
    <w:rsid w:val="00E37BB7"/>
    <w:rsid w:val="00E37C9C"/>
    <w:rsid w:val="00E408D6"/>
    <w:rsid w:val="00E410C5"/>
    <w:rsid w:val="00E41C29"/>
    <w:rsid w:val="00E422B0"/>
    <w:rsid w:val="00E425C4"/>
    <w:rsid w:val="00E426A9"/>
    <w:rsid w:val="00E42F7D"/>
    <w:rsid w:val="00E4342C"/>
    <w:rsid w:val="00E43F5B"/>
    <w:rsid w:val="00E456C1"/>
    <w:rsid w:val="00E45F37"/>
    <w:rsid w:val="00E46251"/>
    <w:rsid w:val="00E462ED"/>
    <w:rsid w:val="00E46671"/>
    <w:rsid w:val="00E469AC"/>
    <w:rsid w:val="00E47E76"/>
    <w:rsid w:val="00E502F7"/>
    <w:rsid w:val="00E50311"/>
    <w:rsid w:val="00E505B3"/>
    <w:rsid w:val="00E506D6"/>
    <w:rsid w:val="00E50980"/>
    <w:rsid w:val="00E5115C"/>
    <w:rsid w:val="00E516E5"/>
    <w:rsid w:val="00E51E77"/>
    <w:rsid w:val="00E522A8"/>
    <w:rsid w:val="00E52F4D"/>
    <w:rsid w:val="00E53E07"/>
    <w:rsid w:val="00E53E6C"/>
    <w:rsid w:val="00E545E6"/>
    <w:rsid w:val="00E54A69"/>
    <w:rsid w:val="00E55109"/>
    <w:rsid w:val="00E555E3"/>
    <w:rsid w:val="00E55B0C"/>
    <w:rsid w:val="00E55EC8"/>
    <w:rsid w:val="00E563E4"/>
    <w:rsid w:val="00E5649D"/>
    <w:rsid w:val="00E564C0"/>
    <w:rsid w:val="00E5790B"/>
    <w:rsid w:val="00E60748"/>
    <w:rsid w:val="00E6137E"/>
    <w:rsid w:val="00E61956"/>
    <w:rsid w:val="00E6197D"/>
    <w:rsid w:val="00E61B3A"/>
    <w:rsid w:val="00E61DA6"/>
    <w:rsid w:val="00E628A6"/>
    <w:rsid w:val="00E62ABF"/>
    <w:rsid w:val="00E62E85"/>
    <w:rsid w:val="00E63970"/>
    <w:rsid w:val="00E63C31"/>
    <w:rsid w:val="00E63E14"/>
    <w:rsid w:val="00E6448B"/>
    <w:rsid w:val="00E64562"/>
    <w:rsid w:val="00E64C7B"/>
    <w:rsid w:val="00E65041"/>
    <w:rsid w:val="00E65124"/>
    <w:rsid w:val="00E65518"/>
    <w:rsid w:val="00E657AA"/>
    <w:rsid w:val="00E6589B"/>
    <w:rsid w:val="00E66A74"/>
    <w:rsid w:val="00E66B15"/>
    <w:rsid w:val="00E671BD"/>
    <w:rsid w:val="00E672E7"/>
    <w:rsid w:val="00E6789C"/>
    <w:rsid w:val="00E67AB9"/>
    <w:rsid w:val="00E67AD1"/>
    <w:rsid w:val="00E70857"/>
    <w:rsid w:val="00E70F77"/>
    <w:rsid w:val="00E719C8"/>
    <w:rsid w:val="00E71DA1"/>
    <w:rsid w:val="00E7250B"/>
    <w:rsid w:val="00E72F3E"/>
    <w:rsid w:val="00E72F73"/>
    <w:rsid w:val="00E735E6"/>
    <w:rsid w:val="00E73982"/>
    <w:rsid w:val="00E73A40"/>
    <w:rsid w:val="00E73F6D"/>
    <w:rsid w:val="00E741A3"/>
    <w:rsid w:val="00E745D6"/>
    <w:rsid w:val="00E74A03"/>
    <w:rsid w:val="00E751F9"/>
    <w:rsid w:val="00E756E3"/>
    <w:rsid w:val="00E757FC"/>
    <w:rsid w:val="00E75CAD"/>
    <w:rsid w:val="00E769A3"/>
    <w:rsid w:val="00E7795F"/>
    <w:rsid w:val="00E7798C"/>
    <w:rsid w:val="00E779E0"/>
    <w:rsid w:val="00E803F8"/>
    <w:rsid w:val="00E805A5"/>
    <w:rsid w:val="00E806C7"/>
    <w:rsid w:val="00E80A0F"/>
    <w:rsid w:val="00E80EB7"/>
    <w:rsid w:val="00E819DB"/>
    <w:rsid w:val="00E81B4D"/>
    <w:rsid w:val="00E82149"/>
    <w:rsid w:val="00E82BDE"/>
    <w:rsid w:val="00E8323B"/>
    <w:rsid w:val="00E83612"/>
    <w:rsid w:val="00E83CE0"/>
    <w:rsid w:val="00E83E7C"/>
    <w:rsid w:val="00E84F56"/>
    <w:rsid w:val="00E852F9"/>
    <w:rsid w:val="00E867E0"/>
    <w:rsid w:val="00E8690D"/>
    <w:rsid w:val="00E86A66"/>
    <w:rsid w:val="00E8743E"/>
    <w:rsid w:val="00E90912"/>
    <w:rsid w:val="00E92795"/>
    <w:rsid w:val="00E92E24"/>
    <w:rsid w:val="00E935F9"/>
    <w:rsid w:val="00E93686"/>
    <w:rsid w:val="00E9437C"/>
    <w:rsid w:val="00E94688"/>
    <w:rsid w:val="00E94AEC"/>
    <w:rsid w:val="00E95D27"/>
    <w:rsid w:val="00E95E2F"/>
    <w:rsid w:val="00E96A90"/>
    <w:rsid w:val="00E96BE4"/>
    <w:rsid w:val="00E96C2D"/>
    <w:rsid w:val="00E9737E"/>
    <w:rsid w:val="00E9759D"/>
    <w:rsid w:val="00E97C1F"/>
    <w:rsid w:val="00E97D7A"/>
    <w:rsid w:val="00E97F09"/>
    <w:rsid w:val="00EA0F46"/>
    <w:rsid w:val="00EA1323"/>
    <w:rsid w:val="00EA1383"/>
    <w:rsid w:val="00EA18A5"/>
    <w:rsid w:val="00EA19BD"/>
    <w:rsid w:val="00EA1E5E"/>
    <w:rsid w:val="00EA25D9"/>
    <w:rsid w:val="00EA35BB"/>
    <w:rsid w:val="00EA37BE"/>
    <w:rsid w:val="00EA390E"/>
    <w:rsid w:val="00EA3F42"/>
    <w:rsid w:val="00EA421A"/>
    <w:rsid w:val="00EA4679"/>
    <w:rsid w:val="00EA512B"/>
    <w:rsid w:val="00EA5886"/>
    <w:rsid w:val="00EA6772"/>
    <w:rsid w:val="00EA6B12"/>
    <w:rsid w:val="00EA6BB1"/>
    <w:rsid w:val="00EA6C27"/>
    <w:rsid w:val="00EA729E"/>
    <w:rsid w:val="00EA72E9"/>
    <w:rsid w:val="00EA7331"/>
    <w:rsid w:val="00EA7C31"/>
    <w:rsid w:val="00EB0986"/>
    <w:rsid w:val="00EB0AF9"/>
    <w:rsid w:val="00EB0D2A"/>
    <w:rsid w:val="00EB1E84"/>
    <w:rsid w:val="00EB2259"/>
    <w:rsid w:val="00EB233D"/>
    <w:rsid w:val="00EB250C"/>
    <w:rsid w:val="00EB30D1"/>
    <w:rsid w:val="00EB3107"/>
    <w:rsid w:val="00EB3856"/>
    <w:rsid w:val="00EB4048"/>
    <w:rsid w:val="00EB4C9B"/>
    <w:rsid w:val="00EB4CA3"/>
    <w:rsid w:val="00EB4E88"/>
    <w:rsid w:val="00EB5244"/>
    <w:rsid w:val="00EB5906"/>
    <w:rsid w:val="00EB59F9"/>
    <w:rsid w:val="00EB5EE9"/>
    <w:rsid w:val="00EB60C7"/>
    <w:rsid w:val="00EB638F"/>
    <w:rsid w:val="00EB6821"/>
    <w:rsid w:val="00EB6F26"/>
    <w:rsid w:val="00EB748F"/>
    <w:rsid w:val="00EB7CBB"/>
    <w:rsid w:val="00EB7D06"/>
    <w:rsid w:val="00EB7FC9"/>
    <w:rsid w:val="00EC0749"/>
    <w:rsid w:val="00EC1875"/>
    <w:rsid w:val="00EC1FC3"/>
    <w:rsid w:val="00EC2D22"/>
    <w:rsid w:val="00EC2EE6"/>
    <w:rsid w:val="00EC2F5A"/>
    <w:rsid w:val="00EC5420"/>
    <w:rsid w:val="00EC5617"/>
    <w:rsid w:val="00EC596D"/>
    <w:rsid w:val="00EC6339"/>
    <w:rsid w:val="00EC6C39"/>
    <w:rsid w:val="00EC6CC5"/>
    <w:rsid w:val="00EC7A1A"/>
    <w:rsid w:val="00EC7D1C"/>
    <w:rsid w:val="00ED0940"/>
    <w:rsid w:val="00ED0D35"/>
    <w:rsid w:val="00ED1907"/>
    <w:rsid w:val="00ED1CA9"/>
    <w:rsid w:val="00ED21C6"/>
    <w:rsid w:val="00ED23AB"/>
    <w:rsid w:val="00ED3133"/>
    <w:rsid w:val="00ED37BB"/>
    <w:rsid w:val="00ED3954"/>
    <w:rsid w:val="00ED5835"/>
    <w:rsid w:val="00ED58C6"/>
    <w:rsid w:val="00ED5A87"/>
    <w:rsid w:val="00ED6078"/>
    <w:rsid w:val="00ED6777"/>
    <w:rsid w:val="00ED67AA"/>
    <w:rsid w:val="00ED73A7"/>
    <w:rsid w:val="00ED74D5"/>
    <w:rsid w:val="00ED7EB3"/>
    <w:rsid w:val="00EE05C7"/>
    <w:rsid w:val="00EE06F7"/>
    <w:rsid w:val="00EE09E2"/>
    <w:rsid w:val="00EE0C74"/>
    <w:rsid w:val="00EE12C1"/>
    <w:rsid w:val="00EE1687"/>
    <w:rsid w:val="00EE19D5"/>
    <w:rsid w:val="00EE290E"/>
    <w:rsid w:val="00EE29CA"/>
    <w:rsid w:val="00EE2D1E"/>
    <w:rsid w:val="00EE3D05"/>
    <w:rsid w:val="00EE40A5"/>
    <w:rsid w:val="00EE4611"/>
    <w:rsid w:val="00EE4AA9"/>
    <w:rsid w:val="00EE537D"/>
    <w:rsid w:val="00EE6123"/>
    <w:rsid w:val="00EE7A69"/>
    <w:rsid w:val="00EE7DD1"/>
    <w:rsid w:val="00EF0E2B"/>
    <w:rsid w:val="00EF1035"/>
    <w:rsid w:val="00EF1481"/>
    <w:rsid w:val="00EF149B"/>
    <w:rsid w:val="00EF183F"/>
    <w:rsid w:val="00EF1D38"/>
    <w:rsid w:val="00EF2184"/>
    <w:rsid w:val="00EF2916"/>
    <w:rsid w:val="00EF31C2"/>
    <w:rsid w:val="00EF33CB"/>
    <w:rsid w:val="00EF35A8"/>
    <w:rsid w:val="00EF3683"/>
    <w:rsid w:val="00EF3C22"/>
    <w:rsid w:val="00EF3D3F"/>
    <w:rsid w:val="00EF4904"/>
    <w:rsid w:val="00EF4FBC"/>
    <w:rsid w:val="00EF5F71"/>
    <w:rsid w:val="00EF62C6"/>
    <w:rsid w:val="00EF6432"/>
    <w:rsid w:val="00EF6DE7"/>
    <w:rsid w:val="00EF7A07"/>
    <w:rsid w:val="00F000BA"/>
    <w:rsid w:val="00F00642"/>
    <w:rsid w:val="00F01337"/>
    <w:rsid w:val="00F01C84"/>
    <w:rsid w:val="00F03105"/>
    <w:rsid w:val="00F0314C"/>
    <w:rsid w:val="00F032E1"/>
    <w:rsid w:val="00F0355D"/>
    <w:rsid w:val="00F04078"/>
    <w:rsid w:val="00F0410D"/>
    <w:rsid w:val="00F041AA"/>
    <w:rsid w:val="00F04768"/>
    <w:rsid w:val="00F05DF7"/>
    <w:rsid w:val="00F06374"/>
    <w:rsid w:val="00F06527"/>
    <w:rsid w:val="00F06A1F"/>
    <w:rsid w:val="00F06BF0"/>
    <w:rsid w:val="00F06C5A"/>
    <w:rsid w:val="00F072BA"/>
    <w:rsid w:val="00F073BC"/>
    <w:rsid w:val="00F07A18"/>
    <w:rsid w:val="00F07B07"/>
    <w:rsid w:val="00F07B09"/>
    <w:rsid w:val="00F07F46"/>
    <w:rsid w:val="00F101BF"/>
    <w:rsid w:val="00F105E2"/>
    <w:rsid w:val="00F1148D"/>
    <w:rsid w:val="00F11F71"/>
    <w:rsid w:val="00F12271"/>
    <w:rsid w:val="00F129BA"/>
    <w:rsid w:val="00F12BB4"/>
    <w:rsid w:val="00F13526"/>
    <w:rsid w:val="00F137F7"/>
    <w:rsid w:val="00F13CB1"/>
    <w:rsid w:val="00F140C1"/>
    <w:rsid w:val="00F14A10"/>
    <w:rsid w:val="00F14B57"/>
    <w:rsid w:val="00F1589B"/>
    <w:rsid w:val="00F15A0C"/>
    <w:rsid w:val="00F164C8"/>
    <w:rsid w:val="00F16C41"/>
    <w:rsid w:val="00F1752D"/>
    <w:rsid w:val="00F17780"/>
    <w:rsid w:val="00F17E3C"/>
    <w:rsid w:val="00F204A9"/>
    <w:rsid w:val="00F20770"/>
    <w:rsid w:val="00F20B70"/>
    <w:rsid w:val="00F21B23"/>
    <w:rsid w:val="00F23FB0"/>
    <w:rsid w:val="00F24096"/>
    <w:rsid w:val="00F2427C"/>
    <w:rsid w:val="00F24338"/>
    <w:rsid w:val="00F24403"/>
    <w:rsid w:val="00F24AA6"/>
    <w:rsid w:val="00F24C04"/>
    <w:rsid w:val="00F24CA2"/>
    <w:rsid w:val="00F24F75"/>
    <w:rsid w:val="00F25DF8"/>
    <w:rsid w:val="00F25F0F"/>
    <w:rsid w:val="00F25F24"/>
    <w:rsid w:val="00F26682"/>
    <w:rsid w:val="00F26BB4"/>
    <w:rsid w:val="00F272C8"/>
    <w:rsid w:val="00F27697"/>
    <w:rsid w:val="00F279EA"/>
    <w:rsid w:val="00F312F7"/>
    <w:rsid w:val="00F31614"/>
    <w:rsid w:val="00F31A9D"/>
    <w:rsid w:val="00F32690"/>
    <w:rsid w:val="00F32A9D"/>
    <w:rsid w:val="00F33530"/>
    <w:rsid w:val="00F337EA"/>
    <w:rsid w:val="00F33A3E"/>
    <w:rsid w:val="00F343E8"/>
    <w:rsid w:val="00F345FC"/>
    <w:rsid w:val="00F35A83"/>
    <w:rsid w:val="00F35DB1"/>
    <w:rsid w:val="00F363F1"/>
    <w:rsid w:val="00F364A3"/>
    <w:rsid w:val="00F36616"/>
    <w:rsid w:val="00F36C44"/>
    <w:rsid w:val="00F37019"/>
    <w:rsid w:val="00F3704E"/>
    <w:rsid w:val="00F37D61"/>
    <w:rsid w:val="00F4080D"/>
    <w:rsid w:val="00F4136B"/>
    <w:rsid w:val="00F41A66"/>
    <w:rsid w:val="00F41B79"/>
    <w:rsid w:val="00F41D76"/>
    <w:rsid w:val="00F421E8"/>
    <w:rsid w:val="00F42650"/>
    <w:rsid w:val="00F43975"/>
    <w:rsid w:val="00F43DEF"/>
    <w:rsid w:val="00F44E08"/>
    <w:rsid w:val="00F45966"/>
    <w:rsid w:val="00F462CE"/>
    <w:rsid w:val="00F4639B"/>
    <w:rsid w:val="00F47C63"/>
    <w:rsid w:val="00F502AF"/>
    <w:rsid w:val="00F50CA6"/>
    <w:rsid w:val="00F50F30"/>
    <w:rsid w:val="00F51065"/>
    <w:rsid w:val="00F5177B"/>
    <w:rsid w:val="00F521EC"/>
    <w:rsid w:val="00F526DF"/>
    <w:rsid w:val="00F52973"/>
    <w:rsid w:val="00F53593"/>
    <w:rsid w:val="00F5494F"/>
    <w:rsid w:val="00F550BE"/>
    <w:rsid w:val="00F55842"/>
    <w:rsid w:val="00F56304"/>
    <w:rsid w:val="00F56697"/>
    <w:rsid w:val="00F5776D"/>
    <w:rsid w:val="00F578EF"/>
    <w:rsid w:val="00F60177"/>
    <w:rsid w:val="00F603FA"/>
    <w:rsid w:val="00F60907"/>
    <w:rsid w:val="00F60A19"/>
    <w:rsid w:val="00F61304"/>
    <w:rsid w:val="00F613FB"/>
    <w:rsid w:val="00F616AF"/>
    <w:rsid w:val="00F61F33"/>
    <w:rsid w:val="00F629BC"/>
    <w:rsid w:val="00F62DF9"/>
    <w:rsid w:val="00F63471"/>
    <w:rsid w:val="00F63932"/>
    <w:rsid w:val="00F63A99"/>
    <w:rsid w:val="00F63B2C"/>
    <w:rsid w:val="00F641E4"/>
    <w:rsid w:val="00F642B8"/>
    <w:rsid w:val="00F6460A"/>
    <w:rsid w:val="00F64708"/>
    <w:rsid w:val="00F6470F"/>
    <w:rsid w:val="00F64949"/>
    <w:rsid w:val="00F64CC9"/>
    <w:rsid w:val="00F64DEE"/>
    <w:rsid w:val="00F65159"/>
    <w:rsid w:val="00F65B74"/>
    <w:rsid w:val="00F65C10"/>
    <w:rsid w:val="00F65FE6"/>
    <w:rsid w:val="00F661FD"/>
    <w:rsid w:val="00F667F1"/>
    <w:rsid w:val="00F66C14"/>
    <w:rsid w:val="00F67801"/>
    <w:rsid w:val="00F67B6A"/>
    <w:rsid w:val="00F705DB"/>
    <w:rsid w:val="00F7099E"/>
    <w:rsid w:val="00F712C9"/>
    <w:rsid w:val="00F71465"/>
    <w:rsid w:val="00F7162C"/>
    <w:rsid w:val="00F71DC8"/>
    <w:rsid w:val="00F7209C"/>
    <w:rsid w:val="00F72459"/>
    <w:rsid w:val="00F72B0E"/>
    <w:rsid w:val="00F731CB"/>
    <w:rsid w:val="00F733FB"/>
    <w:rsid w:val="00F733FD"/>
    <w:rsid w:val="00F736E5"/>
    <w:rsid w:val="00F73890"/>
    <w:rsid w:val="00F73B89"/>
    <w:rsid w:val="00F73C21"/>
    <w:rsid w:val="00F74A0C"/>
    <w:rsid w:val="00F753E1"/>
    <w:rsid w:val="00F75D81"/>
    <w:rsid w:val="00F76146"/>
    <w:rsid w:val="00F76159"/>
    <w:rsid w:val="00F76228"/>
    <w:rsid w:val="00F77868"/>
    <w:rsid w:val="00F8078A"/>
    <w:rsid w:val="00F80AB2"/>
    <w:rsid w:val="00F80B05"/>
    <w:rsid w:val="00F81A82"/>
    <w:rsid w:val="00F81B6B"/>
    <w:rsid w:val="00F81FE6"/>
    <w:rsid w:val="00F82388"/>
    <w:rsid w:val="00F82BE6"/>
    <w:rsid w:val="00F82F82"/>
    <w:rsid w:val="00F834A6"/>
    <w:rsid w:val="00F83E18"/>
    <w:rsid w:val="00F8409D"/>
    <w:rsid w:val="00F841B9"/>
    <w:rsid w:val="00F847DE"/>
    <w:rsid w:val="00F84D79"/>
    <w:rsid w:val="00F85507"/>
    <w:rsid w:val="00F867E4"/>
    <w:rsid w:val="00F8693D"/>
    <w:rsid w:val="00F86A60"/>
    <w:rsid w:val="00F86B19"/>
    <w:rsid w:val="00F86D6D"/>
    <w:rsid w:val="00F86EE2"/>
    <w:rsid w:val="00F871C9"/>
    <w:rsid w:val="00F87404"/>
    <w:rsid w:val="00F87702"/>
    <w:rsid w:val="00F87E42"/>
    <w:rsid w:val="00F90593"/>
    <w:rsid w:val="00F908B5"/>
    <w:rsid w:val="00F908FC"/>
    <w:rsid w:val="00F90DD2"/>
    <w:rsid w:val="00F911DA"/>
    <w:rsid w:val="00F9139E"/>
    <w:rsid w:val="00F91A0A"/>
    <w:rsid w:val="00F91D5A"/>
    <w:rsid w:val="00F91F46"/>
    <w:rsid w:val="00F9351B"/>
    <w:rsid w:val="00F95265"/>
    <w:rsid w:val="00F95C37"/>
    <w:rsid w:val="00F964DD"/>
    <w:rsid w:val="00F969D1"/>
    <w:rsid w:val="00F96A2B"/>
    <w:rsid w:val="00F96A2F"/>
    <w:rsid w:val="00F96B58"/>
    <w:rsid w:val="00F96D06"/>
    <w:rsid w:val="00F96E24"/>
    <w:rsid w:val="00F9711A"/>
    <w:rsid w:val="00F97657"/>
    <w:rsid w:val="00F97ABD"/>
    <w:rsid w:val="00FA09D8"/>
    <w:rsid w:val="00FA0CBD"/>
    <w:rsid w:val="00FA0F33"/>
    <w:rsid w:val="00FA0F9C"/>
    <w:rsid w:val="00FA1665"/>
    <w:rsid w:val="00FA18FA"/>
    <w:rsid w:val="00FA2518"/>
    <w:rsid w:val="00FA2B2B"/>
    <w:rsid w:val="00FA306A"/>
    <w:rsid w:val="00FA338A"/>
    <w:rsid w:val="00FA33DF"/>
    <w:rsid w:val="00FA3FF8"/>
    <w:rsid w:val="00FA4671"/>
    <w:rsid w:val="00FA4B9D"/>
    <w:rsid w:val="00FA542B"/>
    <w:rsid w:val="00FA547F"/>
    <w:rsid w:val="00FA567A"/>
    <w:rsid w:val="00FA5E83"/>
    <w:rsid w:val="00FA61A7"/>
    <w:rsid w:val="00FA6344"/>
    <w:rsid w:val="00FA6676"/>
    <w:rsid w:val="00FA6F73"/>
    <w:rsid w:val="00FA6FDE"/>
    <w:rsid w:val="00FA7103"/>
    <w:rsid w:val="00FB0090"/>
    <w:rsid w:val="00FB02EE"/>
    <w:rsid w:val="00FB068F"/>
    <w:rsid w:val="00FB0D5D"/>
    <w:rsid w:val="00FB1292"/>
    <w:rsid w:val="00FB1488"/>
    <w:rsid w:val="00FB2930"/>
    <w:rsid w:val="00FB29D9"/>
    <w:rsid w:val="00FB2AA1"/>
    <w:rsid w:val="00FB34EE"/>
    <w:rsid w:val="00FB3D60"/>
    <w:rsid w:val="00FB405B"/>
    <w:rsid w:val="00FB4A99"/>
    <w:rsid w:val="00FB5D25"/>
    <w:rsid w:val="00FB6386"/>
    <w:rsid w:val="00FB6780"/>
    <w:rsid w:val="00FB684C"/>
    <w:rsid w:val="00FB7086"/>
    <w:rsid w:val="00FB7D77"/>
    <w:rsid w:val="00FC01F3"/>
    <w:rsid w:val="00FC04F6"/>
    <w:rsid w:val="00FC0EE2"/>
    <w:rsid w:val="00FC21C4"/>
    <w:rsid w:val="00FC21CE"/>
    <w:rsid w:val="00FC21D2"/>
    <w:rsid w:val="00FC294F"/>
    <w:rsid w:val="00FC2A1B"/>
    <w:rsid w:val="00FC2A92"/>
    <w:rsid w:val="00FC2B75"/>
    <w:rsid w:val="00FC312D"/>
    <w:rsid w:val="00FC3855"/>
    <w:rsid w:val="00FC3E1E"/>
    <w:rsid w:val="00FC4028"/>
    <w:rsid w:val="00FC4312"/>
    <w:rsid w:val="00FC48AB"/>
    <w:rsid w:val="00FC4EB7"/>
    <w:rsid w:val="00FC612C"/>
    <w:rsid w:val="00FC6371"/>
    <w:rsid w:val="00FC68BA"/>
    <w:rsid w:val="00FC6BBA"/>
    <w:rsid w:val="00FC7A49"/>
    <w:rsid w:val="00FC7FCF"/>
    <w:rsid w:val="00FD02B0"/>
    <w:rsid w:val="00FD0AFE"/>
    <w:rsid w:val="00FD1204"/>
    <w:rsid w:val="00FD13AD"/>
    <w:rsid w:val="00FD1769"/>
    <w:rsid w:val="00FD1781"/>
    <w:rsid w:val="00FD17E9"/>
    <w:rsid w:val="00FD192F"/>
    <w:rsid w:val="00FD2B68"/>
    <w:rsid w:val="00FD2FE6"/>
    <w:rsid w:val="00FD3749"/>
    <w:rsid w:val="00FD41E9"/>
    <w:rsid w:val="00FD436A"/>
    <w:rsid w:val="00FD4619"/>
    <w:rsid w:val="00FD464C"/>
    <w:rsid w:val="00FD47C3"/>
    <w:rsid w:val="00FD53AD"/>
    <w:rsid w:val="00FD5BF8"/>
    <w:rsid w:val="00FD5D9C"/>
    <w:rsid w:val="00FD6941"/>
    <w:rsid w:val="00FD6DD0"/>
    <w:rsid w:val="00FD7231"/>
    <w:rsid w:val="00FD72A4"/>
    <w:rsid w:val="00FD77BC"/>
    <w:rsid w:val="00FD7D76"/>
    <w:rsid w:val="00FD7D86"/>
    <w:rsid w:val="00FE0482"/>
    <w:rsid w:val="00FE0759"/>
    <w:rsid w:val="00FE2937"/>
    <w:rsid w:val="00FE2E60"/>
    <w:rsid w:val="00FE31EF"/>
    <w:rsid w:val="00FE3AE2"/>
    <w:rsid w:val="00FE40A6"/>
    <w:rsid w:val="00FE46B4"/>
    <w:rsid w:val="00FE49EA"/>
    <w:rsid w:val="00FE514F"/>
    <w:rsid w:val="00FE5914"/>
    <w:rsid w:val="00FE5CF6"/>
    <w:rsid w:val="00FE5D6A"/>
    <w:rsid w:val="00FE5EF3"/>
    <w:rsid w:val="00FE61D6"/>
    <w:rsid w:val="00FE68D5"/>
    <w:rsid w:val="00FE69BA"/>
    <w:rsid w:val="00FE6BC3"/>
    <w:rsid w:val="00FE7067"/>
    <w:rsid w:val="00FE7C2D"/>
    <w:rsid w:val="00FF0BAC"/>
    <w:rsid w:val="00FF18AF"/>
    <w:rsid w:val="00FF1C80"/>
    <w:rsid w:val="00FF1FC5"/>
    <w:rsid w:val="00FF244E"/>
    <w:rsid w:val="00FF3427"/>
    <w:rsid w:val="00FF38C5"/>
    <w:rsid w:val="00FF4979"/>
    <w:rsid w:val="00FF52E1"/>
    <w:rsid w:val="00FF5A12"/>
    <w:rsid w:val="00FF5AA6"/>
    <w:rsid w:val="00FF5CB3"/>
    <w:rsid w:val="00FF5D9C"/>
    <w:rsid w:val="00FF60A9"/>
    <w:rsid w:val="00FF6644"/>
    <w:rsid w:val="00FF71B3"/>
    <w:rsid w:val="00FF7651"/>
    <w:rsid w:val="00FF7D00"/>
    <w:rsid w:val="00FF7EEA"/>
    <w:rsid w:val="02D46448"/>
    <w:rsid w:val="03427C3D"/>
    <w:rsid w:val="07884DDB"/>
    <w:rsid w:val="07E7040F"/>
    <w:rsid w:val="08EE4AC9"/>
    <w:rsid w:val="0A8A2985"/>
    <w:rsid w:val="0B500F4D"/>
    <w:rsid w:val="0ECE1FE1"/>
    <w:rsid w:val="109A6BBD"/>
    <w:rsid w:val="12AB3CD1"/>
    <w:rsid w:val="133245EF"/>
    <w:rsid w:val="13A30EE0"/>
    <w:rsid w:val="14B01376"/>
    <w:rsid w:val="16EA15CB"/>
    <w:rsid w:val="17195C4C"/>
    <w:rsid w:val="17954F1E"/>
    <w:rsid w:val="17957720"/>
    <w:rsid w:val="18D327EB"/>
    <w:rsid w:val="1AF30CC9"/>
    <w:rsid w:val="1D465329"/>
    <w:rsid w:val="1EB158F9"/>
    <w:rsid w:val="1F0E3112"/>
    <w:rsid w:val="1FED3869"/>
    <w:rsid w:val="23867D8E"/>
    <w:rsid w:val="27C95CFE"/>
    <w:rsid w:val="27D50DF1"/>
    <w:rsid w:val="2B057C6A"/>
    <w:rsid w:val="2BE804E3"/>
    <w:rsid w:val="2E2F3B23"/>
    <w:rsid w:val="2EFE7A52"/>
    <w:rsid w:val="2F86131E"/>
    <w:rsid w:val="2FD27634"/>
    <w:rsid w:val="32AC1BC5"/>
    <w:rsid w:val="356808C4"/>
    <w:rsid w:val="37632953"/>
    <w:rsid w:val="3A921CE0"/>
    <w:rsid w:val="3ACC0FF6"/>
    <w:rsid w:val="3ED94B97"/>
    <w:rsid w:val="407B2F27"/>
    <w:rsid w:val="41632DA3"/>
    <w:rsid w:val="41AF5B64"/>
    <w:rsid w:val="44557FA6"/>
    <w:rsid w:val="44A45CB7"/>
    <w:rsid w:val="49700E61"/>
    <w:rsid w:val="4BBE4071"/>
    <w:rsid w:val="4FBA4D46"/>
    <w:rsid w:val="51311E45"/>
    <w:rsid w:val="54C3564B"/>
    <w:rsid w:val="58FB0E2B"/>
    <w:rsid w:val="59326E63"/>
    <w:rsid w:val="59AF00CB"/>
    <w:rsid w:val="59D228EC"/>
    <w:rsid w:val="5A05583A"/>
    <w:rsid w:val="5C041E7A"/>
    <w:rsid w:val="5F130A82"/>
    <w:rsid w:val="602C533D"/>
    <w:rsid w:val="65F43BFC"/>
    <w:rsid w:val="684C0A63"/>
    <w:rsid w:val="69FA43AD"/>
    <w:rsid w:val="6AAD7855"/>
    <w:rsid w:val="6CC87DD3"/>
    <w:rsid w:val="71313324"/>
    <w:rsid w:val="731F084F"/>
    <w:rsid w:val="73D01176"/>
    <w:rsid w:val="77483692"/>
    <w:rsid w:val="786C72E0"/>
    <w:rsid w:val="7AF63B33"/>
    <w:rsid w:val="7AFB06EB"/>
    <w:rsid w:val="7B474892"/>
    <w:rsid w:val="7C1D6C75"/>
    <w:rsid w:val="7D4124EF"/>
    <w:rsid w:val="7F4269E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0" w:semiHidden="0" w:name="toc 4"/>
    <w:lsdException w:qFormat="1" w:uiPriority="0" w:semiHidden="0" w:name="toc 5"/>
    <w:lsdException w:qFormat="1" w:uiPriority="0" w:semiHidden="0" w:name="toc 6"/>
    <w:lsdException w:qFormat="1" w:uiPriority="0" w:semiHidden="0" w:name="toc 7"/>
    <w:lsdException w:qFormat="1" w:uiPriority="0" w:semiHidden="0" w:name="toc 8"/>
    <w:lsdException w:qFormat="1" w:uiPriority="0" w:semiHidden="0" w:name="toc 9"/>
    <w:lsdException w:qFormat="1" w:unhideWhenUsed="0" w:uiPriority="99" w:semiHidden="0" w:name="Normal Indent"/>
    <w:lsdException w:qFormat="1" w:uiPriority="0" w:semiHidden="0"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iPriority="0" w:semiHidden="0" w:name="endnote reference"/>
    <w:lsdException w:qFormat="1" w:unhideWhenUsed="0" w:uiPriority="0" w:semiHidden="0"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iPriority="0"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6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63"/>
    <w:qFormat/>
    <w:uiPriority w:val="0"/>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60"/>
    <w:qFormat/>
    <w:uiPriority w:val="0"/>
    <w:pPr>
      <w:keepNext/>
      <w:keepLines/>
      <w:spacing w:before="260" w:after="260" w:line="416" w:lineRule="auto"/>
      <w:outlineLvl w:val="2"/>
    </w:pPr>
    <w:rPr>
      <w:b/>
      <w:bCs/>
      <w:kern w:val="0"/>
      <w:sz w:val="32"/>
      <w:szCs w:val="32"/>
    </w:rPr>
  </w:style>
  <w:style w:type="paragraph" w:styleId="5">
    <w:name w:val="heading 4"/>
    <w:basedOn w:val="1"/>
    <w:next w:val="1"/>
    <w:link w:val="55"/>
    <w:qFormat/>
    <w:uiPriority w:val="0"/>
    <w:pPr>
      <w:tabs>
        <w:tab w:val="left" w:pos="315"/>
      </w:tabs>
      <w:spacing w:before="120" w:after="120"/>
      <w:outlineLvl w:val="3"/>
    </w:pPr>
    <w:rPr>
      <w:rFonts w:ascii="Cambria" w:hAnsi="Cambria" w:eastAsia="黑体"/>
      <w:bCs/>
      <w:sz w:val="24"/>
      <w:szCs w:val="28"/>
    </w:rPr>
  </w:style>
  <w:style w:type="paragraph" w:styleId="6">
    <w:name w:val="heading 5"/>
    <w:basedOn w:val="1"/>
    <w:next w:val="1"/>
    <w:link w:val="64"/>
    <w:qFormat/>
    <w:uiPriority w:val="0"/>
    <w:pPr>
      <w:tabs>
        <w:tab w:val="left" w:pos="420"/>
      </w:tabs>
      <w:spacing w:beforeLines="50" w:afterLines="50"/>
      <w:outlineLvl w:val="4"/>
    </w:pPr>
    <w:rPr>
      <w:bCs/>
      <w:szCs w:val="28"/>
    </w:rPr>
  </w:style>
  <w:style w:type="paragraph" w:styleId="7">
    <w:name w:val="heading 6"/>
    <w:basedOn w:val="1"/>
    <w:next w:val="1"/>
    <w:link w:val="66"/>
    <w:qFormat/>
    <w:uiPriority w:val="0"/>
    <w:pPr>
      <w:tabs>
        <w:tab w:val="left" w:pos="945"/>
      </w:tabs>
      <w:ind w:left="143" w:firstLine="425"/>
      <w:outlineLvl w:val="5"/>
    </w:pPr>
    <w:rPr>
      <w:rFonts w:ascii="Cambria" w:hAnsi="Cambria"/>
      <w:bCs/>
      <w:szCs w:val="24"/>
    </w:rPr>
  </w:style>
  <w:style w:type="paragraph" w:styleId="8">
    <w:name w:val="heading 7"/>
    <w:basedOn w:val="1"/>
    <w:next w:val="1"/>
    <w:link w:val="300"/>
    <w:qFormat/>
    <w:uiPriority w:val="0"/>
    <w:pPr>
      <w:keepNext/>
      <w:keepLines/>
      <w:widowControl/>
      <w:tabs>
        <w:tab w:val="left" w:pos="2520"/>
      </w:tabs>
      <w:spacing w:before="240" w:after="64" w:line="320" w:lineRule="auto"/>
      <w:ind w:left="1296" w:hanging="1296"/>
      <w:jc w:val="center"/>
      <w:outlineLvl w:val="6"/>
    </w:pPr>
    <w:rPr>
      <w:bCs/>
      <w:kern w:val="0"/>
      <w:sz w:val="24"/>
      <w:szCs w:val="24"/>
    </w:rPr>
  </w:style>
  <w:style w:type="paragraph" w:styleId="9">
    <w:name w:val="heading 8"/>
    <w:basedOn w:val="1"/>
    <w:next w:val="1"/>
    <w:link w:val="301"/>
    <w:qFormat/>
    <w:uiPriority w:val="0"/>
    <w:pPr>
      <w:keepNext/>
      <w:keepLines/>
      <w:widowControl/>
      <w:tabs>
        <w:tab w:val="left" w:pos="1440"/>
      </w:tabs>
      <w:spacing w:before="240" w:after="64" w:line="320" w:lineRule="auto"/>
      <w:ind w:left="1440" w:hanging="1440"/>
      <w:jc w:val="center"/>
      <w:outlineLvl w:val="7"/>
    </w:pPr>
    <w:rPr>
      <w:rFonts w:ascii="Arial" w:hAnsi="Arial" w:eastAsia="黑体"/>
      <w:b/>
      <w:kern w:val="0"/>
      <w:sz w:val="24"/>
      <w:szCs w:val="24"/>
    </w:rPr>
  </w:style>
  <w:style w:type="paragraph" w:styleId="10">
    <w:name w:val="heading 9"/>
    <w:basedOn w:val="1"/>
    <w:next w:val="1"/>
    <w:link w:val="302"/>
    <w:qFormat/>
    <w:uiPriority w:val="0"/>
    <w:pPr>
      <w:keepNext/>
      <w:keepLines/>
      <w:widowControl/>
      <w:tabs>
        <w:tab w:val="left" w:pos="1584"/>
      </w:tabs>
      <w:spacing w:before="240" w:after="64" w:line="320" w:lineRule="auto"/>
      <w:ind w:left="1584" w:hanging="1584"/>
      <w:jc w:val="center"/>
      <w:outlineLvl w:val="8"/>
    </w:pPr>
    <w:rPr>
      <w:rFonts w:ascii="Arial" w:hAnsi="Arial" w:eastAsia="黑体"/>
      <w:b/>
      <w:kern w:val="0"/>
      <w:szCs w:val="21"/>
    </w:rPr>
  </w:style>
  <w:style w:type="character" w:default="1" w:styleId="45">
    <w:name w:val="Default Paragraph Font"/>
    <w:semiHidden/>
    <w:unhideWhenUsed/>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0"/>
    <w:pPr>
      <w:ind w:left="1260"/>
      <w:jc w:val="left"/>
    </w:pPr>
    <w:rPr>
      <w:sz w:val="18"/>
      <w:szCs w:val="18"/>
    </w:rPr>
  </w:style>
  <w:style w:type="paragraph" w:styleId="12">
    <w:name w:val="Normal Indent"/>
    <w:basedOn w:val="1"/>
    <w:qFormat/>
    <w:uiPriority w:val="99"/>
    <w:pPr>
      <w:widowControl/>
      <w:ind w:firstLine="420" w:firstLineChars="200"/>
      <w:jc w:val="center"/>
    </w:pPr>
    <w:rPr>
      <w:b/>
      <w:kern w:val="0"/>
      <w:sz w:val="44"/>
      <w:szCs w:val="20"/>
    </w:rPr>
  </w:style>
  <w:style w:type="paragraph" w:styleId="13">
    <w:name w:val="Document Map"/>
    <w:basedOn w:val="1"/>
    <w:semiHidden/>
    <w:qFormat/>
    <w:uiPriority w:val="0"/>
    <w:pPr>
      <w:shd w:val="clear" w:color="auto" w:fill="000080"/>
    </w:pPr>
  </w:style>
  <w:style w:type="paragraph" w:styleId="14">
    <w:name w:val="toa heading"/>
    <w:basedOn w:val="1"/>
    <w:next w:val="1"/>
    <w:unhideWhenUsed/>
    <w:qFormat/>
    <w:uiPriority w:val="99"/>
    <w:pPr>
      <w:spacing w:before="120"/>
    </w:pPr>
    <w:rPr>
      <w:rFonts w:ascii="Cambria" w:hAnsi="Cambria"/>
      <w:sz w:val="24"/>
      <w:szCs w:val="24"/>
    </w:rPr>
  </w:style>
  <w:style w:type="paragraph" w:styleId="15">
    <w:name w:val="annotation text"/>
    <w:basedOn w:val="1"/>
    <w:link w:val="303"/>
    <w:qFormat/>
    <w:uiPriority w:val="0"/>
    <w:pPr>
      <w:jc w:val="left"/>
    </w:pPr>
  </w:style>
  <w:style w:type="paragraph" w:styleId="16">
    <w:name w:val="Salutation"/>
    <w:basedOn w:val="1"/>
    <w:next w:val="1"/>
    <w:link w:val="379"/>
    <w:qFormat/>
    <w:uiPriority w:val="0"/>
    <w:rPr>
      <w:sz w:val="24"/>
      <w:szCs w:val="24"/>
    </w:rPr>
  </w:style>
  <w:style w:type="paragraph" w:styleId="17">
    <w:name w:val="Body Text"/>
    <w:basedOn w:val="1"/>
    <w:link w:val="192"/>
    <w:qFormat/>
    <w:uiPriority w:val="0"/>
    <w:rPr>
      <w:sz w:val="28"/>
      <w:szCs w:val="24"/>
    </w:rPr>
  </w:style>
  <w:style w:type="paragraph" w:styleId="18">
    <w:name w:val="Body Text Indent"/>
    <w:basedOn w:val="1"/>
    <w:qFormat/>
    <w:uiPriority w:val="0"/>
    <w:pPr>
      <w:ind w:firstLine="1120" w:firstLineChars="400"/>
    </w:pPr>
    <w:rPr>
      <w:sz w:val="28"/>
      <w:szCs w:val="24"/>
    </w:rPr>
  </w:style>
  <w:style w:type="paragraph" w:styleId="19">
    <w:name w:val="toc 5"/>
    <w:basedOn w:val="1"/>
    <w:next w:val="1"/>
    <w:unhideWhenUsed/>
    <w:qFormat/>
    <w:uiPriority w:val="0"/>
    <w:pPr>
      <w:ind w:left="840"/>
      <w:jc w:val="left"/>
    </w:pPr>
    <w:rPr>
      <w:sz w:val="18"/>
      <w:szCs w:val="18"/>
    </w:rPr>
  </w:style>
  <w:style w:type="paragraph" w:styleId="20">
    <w:name w:val="toc 3"/>
    <w:basedOn w:val="1"/>
    <w:next w:val="1"/>
    <w:unhideWhenUsed/>
    <w:qFormat/>
    <w:uiPriority w:val="39"/>
    <w:pPr>
      <w:tabs>
        <w:tab w:val="left" w:pos="740"/>
        <w:tab w:val="right" w:leader="dot" w:pos="9060"/>
      </w:tabs>
      <w:ind w:left="420"/>
      <w:jc w:val="left"/>
    </w:pPr>
    <w:rPr>
      <w:iCs/>
      <w:sz w:val="20"/>
      <w:szCs w:val="20"/>
    </w:rPr>
  </w:style>
  <w:style w:type="paragraph" w:styleId="21">
    <w:name w:val="Plain Text"/>
    <w:basedOn w:val="1"/>
    <w:link w:val="256"/>
    <w:qFormat/>
    <w:uiPriority w:val="0"/>
    <w:rPr>
      <w:rFonts w:ascii="宋体" w:hAnsi="Courier New" w:cs="Courier New"/>
      <w:szCs w:val="21"/>
    </w:rPr>
  </w:style>
  <w:style w:type="paragraph" w:styleId="22">
    <w:name w:val="toc 8"/>
    <w:basedOn w:val="1"/>
    <w:next w:val="1"/>
    <w:unhideWhenUsed/>
    <w:qFormat/>
    <w:uiPriority w:val="0"/>
    <w:pPr>
      <w:ind w:left="1470"/>
      <w:jc w:val="left"/>
    </w:pPr>
    <w:rPr>
      <w:sz w:val="18"/>
      <w:szCs w:val="18"/>
    </w:rPr>
  </w:style>
  <w:style w:type="paragraph" w:styleId="23">
    <w:name w:val="Date"/>
    <w:basedOn w:val="1"/>
    <w:next w:val="1"/>
    <w:link w:val="369"/>
    <w:qFormat/>
    <w:uiPriority w:val="0"/>
    <w:pPr>
      <w:ind w:left="100" w:leftChars="2500"/>
    </w:pPr>
    <w:rPr>
      <w:szCs w:val="24"/>
    </w:rPr>
  </w:style>
  <w:style w:type="paragraph" w:styleId="24">
    <w:name w:val="Body Text Indent 2"/>
    <w:basedOn w:val="1"/>
    <w:qFormat/>
    <w:uiPriority w:val="0"/>
    <w:pPr>
      <w:ind w:left="206" w:hanging="206" w:hangingChars="98"/>
    </w:pPr>
    <w:rPr>
      <w:szCs w:val="24"/>
    </w:rPr>
  </w:style>
  <w:style w:type="paragraph" w:styleId="25">
    <w:name w:val="endnote text"/>
    <w:basedOn w:val="1"/>
    <w:link w:val="394"/>
    <w:qFormat/>
    <w:uiPriority w:val="0"/>
    <w:pPr>
      <w:snapToGrid w:val="0"/>
      <w:jc w:val="left"/>
    </w:pPr>
    <w:rPr>
      <w:szCs w:val="24"/>
    </w:rPr>
  </w:style>
  <w:style w:type="paragraph" w:styleId="26">
    <w:name w:val="Balloon Text"/>
    <w:basedOn w:val="1"/>
    <w:link w:val="67"/>
    <w:unhideWhenUsed/>
    <w:qFormat/>
    <w:uiPriority w:val="0"/>
    <w:rPr>
      <w:kern w:val="0"/>
      <w:sz w:val="18"/>
      <w:szCs w:val="18"/>
    </w:rPr>
  </w:style>
  <w:style w:type="paragraph" w:styleId="27">
    <w:name w:val="footer"/>
    <w:basedOn w:val="1"/>
    <w:link w:val="62"/>
    <w:unhideWhenUsed/>
    <w:qFormat/>
    <w:uiPriority w:val="0"/>
    <w:pPr>
      <w:tabs>
        <w:tab w:val="center" w:pos="4153"/>
        <w:tab w:val="right" w:pos="8306"/>
      </w:tabs>
      <w:snapToGrid w:val="0"/>
      <w:jc w:val="left"/>
    </w:pPr>
    <w:rPr>
      <w:kern w:val="0"/>
      <w:sz w:val="18"/>
      <w:szCs w:val="18"/>
    </w:rPr>
  </w:style>
  <w:style w:type="paragraph" w:styleId="28">
    <w:name w:val="header"/>
    <w:basedOn w:val="1"/>
    <w:link w:val="6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unhideWhenUsed/>
    <w:qFormat/>
    <w:uiPriority w:val="39"/>
    <w:pPr>
      <w:tabs>
        <w:tab w:val="right" w:leader="dot" w:pos="9060"/>
      </w:tabs>
      <w:spacing w:line="400" w:lineRule="exact"/>
      <w:jc w:val="left"/>
    </w:pPr>
    <w:rPr>
      <w:b/>
      <w:bCs/>
      <w:caps/>
      <w:sz w:val="20"/>
      <w:szCs w:val="20"/>
    </w:rPr>
  </w:style>
  <w:style w:type="paragraph" w:styleId="30">
    <w:name w:val="toc 4"/>
    <w:basedOn w:val="1"/>
    <w:next w:val="1"/>
    <w:unhideWhenUsed/>
    <w:qFormat/>
    <w:uiPriority w:val="0"/>
    <w:pPr>
      <w:ind w:left="630"/>
      <w:jc w:val="left"/>
    </w:pPr>
    <w:rPr>
      <w:sz w:val="18"/>
      <w:szCs w:val="18"/>
    </w:rPr>
  </w:style>
  <w:style w:type="paragraph" w:styleId="31">
    <w:name w:val="Subtitle"/>
    <w:basedOn w:val="1"/>
    <w:next w:val="1"/>
    <w:link w:val="56"/>
    <w:qFormat/>
    <w:uiPriority w:val="11"/>
    <w:pPr>
      <w:spacing w:before="240" w:after="60" w:line="312" w:lineRule="auto"/>
      <w:jc w:val="center"/>
      <w:outlineLvl w:val="1"/>
    </w:pPr>
    <w:rPr>
      <w:rFonts w:ascii="Cambria" w:hAnsi="Cambria"/>
      <w:b/>
      <w:bCs/>
      <w:kern w:val="28"/>
      <w:sz w:val="32"/>
      <w:szCs w:val="32"/>
    </w:rPr>
  </w:style>
  <w:style w:type="paragraph" w:styleId="32">
    <w:name w:val="footnote text"/>
    <w:basedOn w:val="1"/>
    <w:link w:val="70"/>
    <w:unhideWhenUsed/>
    <w:qFormat/>
    <w:uiPriority w:val="0"/>
    <w:pPr>
      <w:snapToGrid w:val="0"/>
      <w:jc w:val="left"/>
    </w:pPr>
    <w:rPr>
      <w:kern w:val="0"/>
      <w:sz w:val="18"/>
      <w:szCs w:val="18"/>
    </w:rPr>
  </w:style>
  <w:style w:type="paragraph" w:styleId="33">
    <w:name w:val="toc 6"/>
    <w:basedOn w:val="1"/>
    <w:next w:val="1"/>
    <w:unhideWhenUsed/>
    <w:qFormat/>
    <w:uiPriority w:val="0"/>
    <w:pPr>
      <w:ind w:left="1050"/>
      <w:jc w:val="left"/>
    </w:pPr>
    <w:rPr>
      <w:sz w:val="18"/>
      <w:szCs w:val="18"/>
    </w:rPr>
  </w:style>
  <w:style w:type="paragraph" w:styleId="34">
    <w:name w:val="Body Text Indent 3"/>
    <w:basedOn w:val="1"/>
    <w:link w:val="370"/>
    <w:qFormat/>
    <w:uiPriority w:val="0"/>
    <w:pPr>
      <w:spacing w:line="420" w:lineRule="exact"/>
      <w:ind w:firstLine="420" w:firstLineChars="200"/>
    </w:pPr>
    <w:rPr>
      <w:szCs w:val="24"/>
    </w:rPr>
  </w:style>
  <w:style w:type="paragraph" w:styleId="35">
    <w:name w:val="toc 2"/>
    <w:basedOn w:val="1"/>
    <w:next w:val="1"/>
    <w:link w:val="216"/>
    <w:unhideWhenUsed/>
    <w:qFormat/>
    <w:uiPriority w:val="39"/>
    <w:pPr>
      <w:tabs>
        <w:tab w:val="right" w:leader="dot" w:pos="9072"/>
      </w:tabs>
      <w:ind w:left="210"/>
      <w:jc w:val="left"/>
    </w:pPr>
    <w:rPr>
      <w:smallCaps/>
      <w:sz w:val="20"/>
      <w:szCs w:val="20"/>
    </w:rPr>
  </w:style>
  <w:style w:type="paragraph" w:styleId="36">
    <w:name w:val="toc 9"/>
    <w:basedOn w:val="1"/>
    <w:next w:val="1"/>
    <w:unhideWhenUsed/>
    <w:qFormat/>
    <w:uiPriority w:val="0"/>
    <w:pPr>
      <w:ind w:left="1680"/>
      <w:jc w:val="left"/>
    </w:pPr>
    <w:rPr>
      <w:sz w:val="18"/>
      <w:szCs w:val="18"/>
    </w:rPr>
  </w:style>
  <w:style w:type="paragraph" w:styleId="37">
    <w:name w:val="Body Text 2"/>
    <w:basedOn w:val="1"/>
    <w:qFormat/>
    <w:uiPriority w:val="0"/>
    <w:pPr>
      <w:spacing w:after="120" w:line="480" w:lineRule="auto"/>
    </w:pPr>
    <w:rPr>
      <w:szCs w:val="24"/>
    </w:rPr>
  </w:style>
  <w:style w:type="paragraph" w:styleId="38">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39">
    <w:name w:val="index 1"/>
    <w:basedOn w:val="1"/>
    <w:next w:val="1"/>
    <w:semiHidden/>
    <w:qFormat/>
    <w:uiPriority w:val="0"/>
    <w:rPr>
      <w:szCs w:val="24"/>
    </w:rPr>
  </w:style>
  <w:style w:type="paragraph" w:styleId="40">
    <w:name w:val="Title"/>
    <w:basedOn w:val="1"/>
    <w:link w:val="381"/>
    <w:qFormat/>
    <w:uiPriority w:val="0"/>
    <w:pPr>
      <w:widowControl/>
      <w:spacing w:before="240" w:after="60"/>
      <w:jc w:val="center"/>
      <w:outlineLvl w:val="0"/>
    </w:pPr>
    <w:rPr>
      <w:rFonts w:ascii="Arial" w:hAnsi="Arial" w:cs="Arial"/>
      <w:b/>
      <w:bCs/>
      <w:kern w:val="0"/>
      <w:sz w:val="44"/>
      <w:szCs w:val="32"/>
    </w:rPr>
  </w:style>
  <w:style w:type="paragraph" w:styleId="41">
    <w:name w:val="annotation subject"/>
    <w:basedOn w:val="15"/>
    <w:next w:val="15"/>
    <w:semiHidden/>
    <w:qFormat/>
    <w:uiPriority w:val="0"/>
    <w:rPr>
      <w:b/>
      <w:bCs/>
    </w:rPr>
  </w:style>
  <w:style w:type="paragraph" w:styleId="42">
    <w:name w:val="Body Text First Indent"/>
    <w:basedOn w:val="17"/>
    <w:link w:val="273"/>
    <w:unhideWhenUsed/>
    <w:qFormat/>
    <w:uiPriority w:val="0"/>
    <w:pPr>
      <w:spacing w:after="120"/>
      <w:ind w:firstLine="420" w:firstLineChars="100"/>
    </w:pPr>
    <w:rPr>
      <w:sz w:val="21"/>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6">
    <w:name w:val="Strong"/>
    <w:qFormat/>
    <w:uiPriority w:val="0"/>
    <w:rPr>
      <w:b/>
      <w:bCs/>
    </w:rPr>
  </w:style>
  <w:style w:type="character" w:styleId="47">
    <w:name w:val="endnote reference"/>
    <w:unhideWhenUsed/>
    <w:qFormat/>
    <w:uiPriority w:val="0"/>
    <w:rPr>
      <w:vertAlign w:val="superscript"/>
    </w:rPr>
  </w:style>
  <w:style w:type="character" w:styleId="48">
    <w:name w:val="page number"/>
    <w:basedOn w:val="45"/>
    <w:qFormat/>
    <w:uiPriority w:val="0"/>
  </w:style>
  <w:style w:type="character" w:styleId="49">
    <w:name w:val="FollowedHyperlink"/>
    <w:unhideWhenUsed/>
    <w:qFormat/>
    <w:uiPriority w:val="99"/>
    <w:rPr>
      <w:color w:val="800080"/>
      <w:u w:val="single"/>
    </w:rPr>
  </w:style>
  <w:style w:type="character" w:styleId="50">
    <w:name w:val="Emphasis"/>
    <w:qFormat/>
    <w:uiPriority w:val="20"/>
    <w:rPr>
      <w:i/>
      <w:iCs/>
    </w:rPr>
  </w:style>
  <w:style w:type="character" w:styleId="51">
    <w:name w:val="Hyperlink"/>
    <w:unhideWhenUsed/>
    <w:qFormat/>
    <w:uiPriority w:val="99"/>
    <w:rPr>
      <w:color w:val="0000FF"/>
      <w:u w:val="single"/>
    </w:rPr>
  </w:style>
  <w:style w:type="character" w:styleId="52">
    <w:name w:val="annotation reference"/>
    <w:qFormat/>
    <w:uiPriority w:val="0"/>
    <w:rPr>
      <w:sz w:val="21"/>
      <w:szCs w:val="21"/>
    </w:rPr>
  </w:style>
  <w:style w:type="character" w:styleId="53">
    <w:name w:val="footnote reference"/>
    <w:qFormat/>
    <w:uiPriority w:val="0"/>
    <w:rPr>
      <w:vertAlign w:val="superscript"/>
    </w:rPr>
  </w:style>
  <w:style w:type="character" w:customStyle="1" w:styleId="54">
    <w:name w:val="正文文本 (2) + Times New Roman"/>
    <w:qFormat/>
    <w:uiPriority w:val="0"/>
    <w:rPr>
      <w:rFonts w:ascii="Times New Roman" w:hAnsi="Times New Roman" w:eastAsia="Times New Roman" w:cs="Times New Roman"/>
      <w:color w:val="000000"/>
      <w:spacing w:val="0"/>
      <w:w w:val="100"/>
      <w:position w:val="0"/>
      <w:sz w:val="24"/>
      <w:szCs w:val="24"/>
      <w:u w:val="none"/>
      <w:shd w:val="clear" w:color="auto" w:fill="FFFFFF"/>
      <w:lang w:val="en-US" w:eastAsia="en-US" w:bidi="en-US"/>
    </w:rPr>
  </w:style>
  <w:style w:type="character" w:customStyle="1" w:styleId="55">
    <w:name w:val="标题 4 Char1"/>
    <w:link w:val="5"/>
    <w:qFormat/>
    <w:uiPriority w:val="9"/>
    <w:rPr>
      <w:rFonts w:ascii="Cambria" w:hAnsi="Cambria" w:eastAsia="黑体"/>
      <w:bCs/>
      <w:kern w:val="2"/>
      <w:sz w:val="24"/>
      <w:szCs w:val="28"/>
    </w:rPr>
  </w:style>
  <w:style w:type="character" w:customStyle="1" w:styleId="56">
    <w:name w:val="副标题 Char1"/>
    <w:link w:val="31"/>
    <w:qFormat/>
    <w:uiPriority w:val="11"/>
    <w:rPr>
      <w:rFonts w:ascii="Cambria" w:hAnsi="Cambria" w:eastAsia="宋体" w:cs="Times New Roman"/>
      <w:b/>
      <w:bCs/>
      <w:kern w:val="28"/>
      <w:sz w:val="32"/>
      <w:szCs w:val="32"/>
    </w:rPr>
  </w:style>
  <w:style w:type="character" w:customStyle="1" w:styleId="57">
    <w:name w:val="font01"/>
    <w:qFormat/>
    <w:uiPriority w:val="0"/>
    <w:rPr>
      <w:rFonts w:hint="eastAsia" w:ascii="宋体" w:hAnsi="宋体" w:eastAsia="宋体" w:cs="宋体"/>
      <w:color w:val="000000"/>
      <w:sz w:val="22"/>
      <w:szCs w:val="22"/>
      <w:u w:val="single"/>
    </w:rPr>
  </w:style>
  <w:style w:type="character" w:customStyle="1" w:styleId="58">
    <w:name w:val="正文文本 (2)_"/>
    <w:link w:val="59"/>
    <w:qFormat/>
    <w:uiPriority w:val="0"/>
    <w:rPr>
      <w:rFonts w:ascii="宋体" w:hAnsi="宋体" w:cs="宋体"/>
      <w:sz w:val="22"/>
      <w:szCs w:val="22"/>
      <w:shd w:val="clear" w:color="auto" w:fill="FFFFFF"/>
    </w:rPr>
  </w:style>
  <w:style w:type="paragraph" w:customStyle="1" w:styleId="59">
    <w:name w:val="正文文本 (2)"/>
    <w:basedOn w:val="1"/>
    <w:link w:val="58"/>
    <w:qFormat/>
    <w:uiPriority w:val="0"/>
    <w:pPr>
      <w:shd w:val="clear" w:color="auto" w:fill="FFFFFF"/>
      <w:spacing w:before="300" w:line="439" w:lineRule="exact"/>
      <w:jc w:val="distribute"/>
    </w:pPr>
    <w:rPr>
      <w:rFonts w:ascii="宋体" w:hAnsi="宋体"/>
      <w:kern w:val="0"/>
      <w:sz w:val="22"/>
    </w:rPr>
  </w:style>
  <w:style w:type="character" w:customStyle="1" w:styleId="60">
    <w:name w:val="标题 3 Char1"/>
    <w:link w:val="4"/>
    <w:qFormat/>
    <w:uiPriority w:val="99"/>
    <w:rPr>
      <w:b/>
      <w:bCs/>
      <w:sz w:val="32"/>
      <w:szCs w:val="32"/>
    </w:rPr>
  </w:style>
  <w:style w:type="character" w:customStyle="1" w:styleId="61">
    <w:name w:val="页眉 Char1"/>
    <w:link w:val="28"/>
    <w:qFormat/>
    <w:uiPriority w:val="99"/>
    <w:rPr>
      <w:sz w:val="18"/>
      <w:szCs w:val="18"/>
    </w:rPr>
  </w:style>
  <w:style w:type="character" w:customStyle="1" w:styleId="62">
    <w:name w:val="页脚 Char1"/>
    <w:link w:val="27"/>
    <w:qFormat/>
    <w:uiPriority w:val="99"/>
    <w:rPr>
      <w:sz w:val="18"/>
      <w:szCs w:val="18"/>
    </w:rPr>
  </w:style>
  <w:style w:type="character" w:customStyle="1" w:styleId="63">
    <w:name w:val="标题 2 Char1"/>
    <w:link w:val="3"/>
    <w:qFormat/>
    <w:uiPriority w:val="9"/>
    <w:rPr>
      <w:rFonts w:ascii="Cambria" w:hAnsi="Cambria" w:eastAsia="宋体" w:cs="Times New Roman"/>
      <w:b/>
      <w:bCs/>
      <w:sz w:val="32"/>
      <w:szCs w:val="32"/>
    </w:rPr>
  </w:style>
  <w:style w:type="character" w:customStyle="1" w:styleId="64">
    <w:name w:val="标题 5 Char1"/>
    <w:link w:val="6"/>
    <w:qFormat/>
    <w:uiPriority w:val="9"/>
    <w:rPr>
      <w:bCs/>
      <w:kern w:val="2"/>
      <w:sz w:val="21"/>
      <w:szCs w:val="28"/>
    </w:rPr>
  </w:style>
  <w:style w:type="character" w:customStyle="1" w:styleId="65">
    <w:name w:val="Char Char10"/>
    <w:qFormat/>
    <w:uiPriority w:val="0"/>
    <w:rPr>
      <w:kern w:val="2"/>
      <w:sz w:val="18"/>
      <w:szCs w:val="18"/>
    </w:rPr>
  </w:style>
  <w:style w:type="character" w:customStyle="1" w:styleId="66">
    <w:name w:val="标题 6 Char1"/>
    <w:link w:val="7"/>
    <w:qFormat/>
    <w:uiPriority w:val="9"/>
    <w:rPr>
      <w:rFonts w:ascii="Cambria" w:hAnsi="Cambria"/>
      <w:bCs/>
      <w:kern w:val="2"/>
      <w:sz w:val="21"/>
      <w:szCs w:val="24"/>
    </w:rPr>
  </w:style>
  <w:style w:type="character" w:customStyle="1" w:styleId="67">
    <w:name w:val="批注框文本 Char1"/>
    <w:link w:val="26"/>
    <w:semiHidden/>
    <w:qFormat/>
    <w:uiPriority w:val="99"/>
    <w:rPr>
      <w:sz w:val="18"/>
      <w:szCs w:val="18"/>
    </w:rPr>
  </w:style>
  <w:style w:type="character" w:customStyle="1" w:styleId="68">
    <w:name w:val="正文文本 (2) + Lucida Sans Unicode"/>
    <w:qFormat/>
    <w:uiPriority w:val="0"/>
    <w:rPr>
      <w:rFonts w:ascii="Lucida Sans Unicode" w:hAnsi="Lucida Sans Unicode" w:eastAsia="Lucida Sans Unicode" w:cs="Lucida Sans Unicode"/>
      <w:b/>
      <w:bCs/>
      <w:color w:val="000000"/>
      <w:spacing w:val="0"/>
      <w:w w:val="100"/>
      <w:position w:val="0"/>
      <w:sz w:val="20"/>
      <w:szCs w:val="20"/>
      <w:u w:val="none"/>
      <w:shd w:val="clear" w:color="auto" w:fill="FFFFFF"/>
      <w:lang w:val="en-US" w:eastAsia="en-US" w:bidi="en-US"/>
    </w:rPr>
  </w:style>
  <w:style w:type="character" w:customStyle="1" w:styleId="69">
    <w:name w:val="标题 1 Char1"/>
    <w:link w:val="2"/>
    <w:qFormat/>
    <w:uiPriority w:val="9"/>
    <w:rPr>
      <w:b/>
      <w:bCs/>
      <w:kern w:val="44"/>
      <w:sz w:val="44"/>
      <w:szCs w:val="44"/>
    </w:rPr>
  </w:style>
  <w:style w:type="character" w:customStyle="1" w:styleId="70">
    <w:name w:val="脚注文本 Char1"/>
    <w:link w:val="32"/>
    <w:qFormat/>
    <w:uiPriority w:val="0"/>
    <w:rPr>
      <w:sz w:val="18"/>
      <w:szCs w:val="18"/>
    </w:rPr>
  </w:style>
  <w:style w:type="character" w:customStyle="1" w:styleId="71">
    <w:name w:val="font31"/>
    <w:qFormat/>
    <w:uiPriority w:val="0"/>
    <w:rPr>
      <w:rFonts w:hint="eastAsia" w:ascii="宋体" w:hAnsi="宋体" w:eastAsia="宋体" w:cs="宋体"/>
      <w:color w:val="000000"/>
      <w:sz w:val="22"/>
      <w:szCs w:val="22"/>
      <w:u w:val="none"/>
    </w:rPr>
  </w:style>
  <w:style w:type="character" w:customStyle="1" w:styleId="72">
    <w:name w:val="font11"/>
    <w:qFormat/>
    <w:uiPriority w:val="0"/>
    <w:rPr>
      <w:rFonts w:hint="eastAsia" w:ascii="宋体" w:hAnsi="宋体" w:eastAsia="宋体" w:cs="宋体"/>
      <w:color w:val="000000"/>
      <w:sz w:val="22"/>
      <w:szCs w:val="22"/>
      <w:u w:val="none"/>
    </w:rPr>
  </w:style>
  <w:style w:type="character" w:customStyle="1" w:styleId="73">
    <w:name w:val="其他_"/>
    <w:link w:val="74"/>
    <w:qFormat/>
    <w:uiPriority w:val="0"/>
    <w:rPr>
      <w:rFonts w:ascii="宋体" w:hAnsi="宋体" w:cs="宋体"/>
      <w:shd w:val="clear" w:color="auto" w:fill="FFFFFF"/>
      <w:lang w:val="zh-CN" w:bidi="zh-CN"/>
    </w:rPr>
  </w:style>
  <w:style w:type="paragraph" w:customStyle="1" w:styleId="74">
    <w:name w:val="其他"/>
    <w:basedOn w:val="1"/>
    <w:link w:val="73"/>
    <w:qFormat/>
    <w:uiPriority w:val="0"/>
    <w:pPr>
      <w:shd w:val="clear" w:color="auto" w:fill="FFFFFF"/>
      <w:spacing w:line="430" w:lineRule="auto"/>
      <w:ind w:firstLine="400"/>
      <w:jc w:val="distribute"/>
    </w:pPr>
    <w:rPr>
      <w:rFonts w:ascii="宋体" w:hAnsi="宋体" w:cs="宋体"/>
      <w:kern w:val="0"/>
      <w:sz w:val="20"/>
      <w:szCs w:val="20"/>
      <w:lang w:val="zh-CN" w:bidi="zh-CN"/>
    </w:rPr>
  </w:style>
  <w:style w:type="character" w:customStyle="1" w:styleId="75">
    <w:name w:val="正文文本 (2) + Sylfaen"/>
    <w:qFormat/>
    <w:uiPriority w:val="0"/>
    <w:rPr>
      <w:rFonts w:ascii="Sylfaen" w:hAnsi="Sylfaen" w:eastAsia="Sylfaen" w:cs="Sylfaen"/>
      <w:color w:val="000000"/>
      <w:spacing w:val="0"/>
      <w:w w:val="100"/>
      <w:position w:val="0"/>
      <w:sz w:val="22"/>
      <w:szCs w:val="22"/>
      <w:u w:val="none"/>
      <w:lang w:val="en-US" w:eastAsia="en-US" w:bidi="en-US"/>
    </w:rPr>
  </w:style>
  <w:style w:type="character" w:customStyle="1" w:styleId="76">
    <w:name w:val="正文文本 (2) + 间距 4 pt"/>
    <w:qFormat/>
    <w:uiPriority w:val="0"/>
    <w:rPr>
      <w:rFonts w:ascii="宋体" w:hAnsi="宋体" w:eastAsia="宋体" w:cs="宋体"/>
      <w:color w:val="000000"/>
      <w:spacing w:val="80"/>
      <w:w w:val="100"/>
      <w:position w:val="0"/>
      <w:sz w:val="22"/>
      <w:szCs w:val="22"/>
      <w:u w:val="none"/>
      <w:shd w:val="clear" w:color="auto" w:fill="FFFFFF"/>
      <w:lang w:val="zh-TW" w:eastAsia="zh-TW" w:bidi="zh-TW"/>
    </w:rPr>
  </w:style>
  <w:style w:type="paragraph" w:customStyle="1" w:styleId="77">
    <w:name w:val="CM100"/>
    <w:basedOn w:val="78"/>
    <w:next w:val="78"/>
    <w:qFormat/>
    <w:uiPriority w:val="99"/>
    <w:rPr>
      <w:rFonts w:cs="Times New Roman"/>
      <w:color w:val="auto"/>
    </w:rPr>
  </w:style>
  <w:style w:type="paragraph" w:customStyle="1" w:styleId="7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9">
    <w:name w:val="CM46"/>
    <w:basedOn w:val="78"/>
    <w:next w:val="78"/>
    <w:qFormat/>
    <w:uiPriority w:val="99"/>
    <w:pPr>
      <w:spacing w:line="440" w:lineRule="atLeast"/>
    </w:pPr>
    <w:rPr>
      <w:rFonts w:cs="Times New Roman"/>
      <w:color w:val="auto"/>
    </w:rPr>
  </w:style>
  <w:style w:type="paragraph" w:customStyle="1" w:styleId="80">
    <w:name w:val="CM78"/>
    <w:basedOn w:val="78"/>
    <w:next w:val="78"/>
    <w:qFormat/>
    <w:uiPriority w:val="99"/>
    <w:rPr>
      <w:rFonts w:cs="Times New Roman"/>
      <w:color w:val="auto"/>
    </w:rPr>
  </w:style>
  <w:style w:type="paragraph" w:customStyle="1" w:styleId="81">
    <w:name w:val="CM18"/>
    <w:basedOn w:val="78"/>
    <w:next w:val="78"/>
    <w:qFormat/>
    <w:uiPriority w:val="99"/>
    <w:pPr>
      <w:spacing w:line="440" w:lineRule="atLeast"/>
    </w:pPr>
    <w:rPr>
      <w:rFonts w:cs="Times New Roman"/>
      <w:color w:val="auto"/>
    </w:rPr>
  </w:style>
  <w:style w:type="paragraph" w:customStyle="1" w:styleId="82">
    <w:name w:val="CM9"/>
    <w:basedOn w:val="78"/>
    <w:next w:val="78"/>
    <w:qFormat/>
    <w:uiPriority w:val="99"/>
    <w:rPr>
      <w:rFonts w:cs="Times New Roman"/>
      <w:color w:val="auto"/>
    </w:rPr>
  </w:style>
  <w:style w:type="paragraph" w:customStyle="1" w:styleId="83">
    <w:name w:val="CM6"/>
    <w:basedOn w:val="78"/>
    <w:next w:val="78"/>
    <w:qFormat/>
    <w:uiPriority w:val="99"/>
    <w:pPr>
      <w:spacing w:line="318" w:lineRule="atLeast"/>
    </w:pPr>
    <w:rPr>
      <w:rFonts w:cs="Times New Roman"/>
      <w:color w:val="auto"/>
    </w:rPr>
  </w:style>
  <w:style w:type="paragraph" w:customStyle="1" w:styleId="84">
    <w:name w:val="CM104"/>
    <w:basedOn w:val="78"/>
    <w:next w:val="78"/>
    <w:qFormat/>
    <w:uiPriority w:val="99"/>
    <w:rPr>
      <w:rFonts w:cs="Times New Roman"/>
      <w:color w:val="auto"/>
    </w:rPr>
  </w:style>
  <w:style w:type="paragraph" w:customStyle="1" w:styleId="85">
    <w:name w:val="CM10"/>
    <w:basedOn w:val="78"/>
    <w:next w:val="78"/>
    <w:qFormat/>
    <w:uiPriority w:val="99"/>
    <w:rPr>
      <w:rFonts w:cs="Times New Roman"/>
      <w:color w:val="auto"/>
    </w:rPr>
  </w:style>
  <w:style w:type="paragraph" w:customStyle="1" w:styleId="86">
    <w:name w:val="CM7"/>
    <w:basedOn w:val="78"/>
    <w:next w:val="78"/>
    <w:qFormat/>
    <w:uiPriority w:val="99"/>
    <w:pPr>
      <w:spacing w:line="318" w:lineRule="atLeast"/>
    </w:pPr>
    <w:rPr>
      <w:rFonts w:cs="Times New Roman"/>
      <w:color w:val="auto"/>
    </w:rPr>
  </w:style>
  <w:style w:type="paragraph" w:customStyle="1" w:styleId="87">
    <w:name w:val="CM45"/>
    <w:basedOn w:val="78"/>
    <w:next w:val="78"/>
    <w:qFormat/>
    <w:uiPriority w:val="99"/>
    <w:rPr>
      <w:rFonts w:cs="Times New Roman"/>
      <w:color w:val="auto"/>
    </w:rPr>
  </w:style>
  <w:style w:type="paragraph" w:customStyle="1" w:styleId="88">
    <w:name w:val="CM28"/>
    <w:basedOn w:val="78"/>
    <w:next w:val="78"/>
    <w:qFormat/>
    <w:uiPriority w:val="99"/>
    <w:pPr>
      <w:spacing w:line="398" w:lineRule="atLeast"/>
    </w:pPr>
    <w:rPr>
      <w:rFonts w:cs="Times New Roman"/>
      <w:color w:val="auto"/>
    </w:rPr>
  </w:style>
  <w:style w:type="paragraph" w:customStyle="1" w:styleId="89">
    <w:name w:val="CM19"/>
    <w:basedOn w:val="78"/>
    <w:next w:val="78"/>
    <w:qFormat/>
    <w:uiPriority w:val="99"/>
    <w:pPr>
      <w:spacing w:line="440" w:lineRule="atLeast"/>
    </w:pPr>
    <w:rPr>
      <w:rFonts w:cs="Times New Roman"/>
      <w:color w:val="auto"/>
    </w:rPr>
  </w:style>
  <w:style w:type="paragraph" w:customStyle="1" w:styleId="90">
    <w:name w:val="CM62"/>
    <w:basedOn w:val="78"/>
    <w:next w:val="78"/>
    <w:qFormat/>
    <w:uiPriority w:val="99"/>
    <w:rPr>
      <w:rFonts w:cs="Times New Roman"/>
      <w:color w:val="auto"/>
    </w:rPr>
  </w:style>
  <w:style w:type="paragraph" w:customStyle="1" w:styleId="91">
    <w:name w:val="CM110"/>
    <w:basedOn w:val="78"/>
    <w:next w:val="78"/>
    <w:qFormat/>
    <w:uiPriority w:val="99"/>
    <w:rPr>
      <w:rFonts w:cs="Times New Roman"/>
      <w:color w:val="auto"/>
    </w:rPr>
  </w:style>
  <w:style w:type="paragraph" w:customStyle="1" w:styleId="92">
    <w:name w:val="CM57"/>
    <w:basedOn w:val="78"/>
    <w:next w:val="78"/>
    <w:qFormat/>
    <w:uiPriority w:val="99"/>
    <w:pPr>
      <w:spacing w:line="400" w:lineRule="atLeast"/>
    </w:pPr>
    <w:rPr>
      <w:rFonts w:cs="Times New Roman"/>
      <w:color w:val="auto"/>
    </w:rPr>
  </w:style>
  <w:style w:type="paragraph" w:customStyle="1" w:styleId="93">
    <w:name w:val="CM101"/>
    <w:basedOn w:val="78"/>
    <w:next w:val="78"/>
    <w:qFormat/>
    <w:uiPriority w:val="99"/>
    <w:rPr>
      <w:rFonts w:cs="Times New Roman"/>
      <w:color w:val="auto"/>
    </w:rPr>
  </w:style>
  <w:style w:type="paragraph" w:customStyle="1" w:styleId="94">
    <w:name w:val="CM114"/>
    <w:basedOn w:val="78"/>
    <w:next w:val="78"/>
    <w:qFormat/>
    <w:uiPriority w:val="99"/>
    <w:rPr>
      <w:rFonts w:cs="Times New Roman"/>
      <w:color w:val="auto"/>
    </w:rPr>
  </w:style>
  <w:style w:type="paragraph" w:customStyle="1" w:styleId="95">
    <w:name w:val="CM105"/>
    <w:basedOn w:val="78"/>
    <w:next w:val="78"/>
    <w:qFormat/>
    <w:uiPriority w:val="99"/>
    <w:rPr>
      <w:rFonts w:cs="Times New Roman"/>
      <w:color w:val="auto"/>
    </w:rPr>
  </w:style>
  <w:style w:type="paragraph" w:customStyle="1" w:styleId="96">
    <w:name w:val="CM83"/>
    <w:basedOn w:val="78"/>
    <w:next w:val="78"/>
    <w:qFormat/>
    <w:uiPriority w:val="99"/>
    <w:pPr>
      <w:spacing w:line="400" w:lineRule="atLeast"/>
    </w:pPr>
    <w:rPr>
      <w:rFonts w:cs="Times New Roman"/>
      <w:color w:val="auto"/>
    </w:rPr>
  </w:style>
  <w:style w:type="paragraph" w:customStyle="1" w:styleId="97">
    <w:name w:val="Char Char Char Char"/>
    <w:basedOn w:val="1"/>
    <w:qFormat/>
    <w:uiPriority w:val="0"/>
    <w:pPr>
      <w:spacing w:line="360" w:lineRule="auto"/>
      <w:ind w:firstLine="200" w:firstLineChars="200"/>
    </w:pPr>
    <w:rPr>
      <w:rFonts w:ascii="宋体" w:hAnsi="宋体" w:cs="宋体"/>
      <w:sz w:val="24"/>
      <w:szCs w:val="24"/>
    </w:rPr>
  </w:style>
  <w:style w:type="paragraph" w:customStyle="1" w:styleId="98">
    <w:name w:val="CM94"/>
    <w:basedOn w:val="78"/>
    <w:next w:val="78"/>
    <w:qFormat/>
    <w:uiPriority w:val="99"/>
    <w:pPr>
      <w:spacing w:line="440" w:lineRule="atLeast"/>
    </w:pPr>
    <w:rPr>
      <w:rFonts w:cs="Times New Roman"/>
      <w:color w:val="auto"/>
    </w:rPr>
  </w:style>
  <w:style w:type="paragraph" w:customStyle="1" w:styleId="99">
    <w:name w:val="CM17"/>
    <w:basedOn w:val="78"/>
    <w:next w:val="78"/>
    <w:qFormat/>
    <w:uiPriority w:val="99"/>
    <w:pPr>
      <w:spacing w:line="440" w:lineRule="atLeast"/>
    </w:pPr>
    <w:rPr>
      <w:rFonts w:cs="Times New Roman"/>
      <w:color w:val="auto"/>
    </w:rPr>
  </w:style>
  <w:style w:type="paragraph" w:customStyle="1" w:styleId="100">
    <w:name w:val="CM109"/>
    <w:basedOn w:val="78"/>
    <w:next w:val="78"/>
    <w:qFormat/>
    <w:uiPriority w:val="99"/>
    <w:rPr>
      <w:rFonts w:cs="Times New Roman"/>
      <w:color w:val="auto"/>
    </w:rPr>
  </w:style>
  <w:style w:type="paragraph" w:customStyle="1" w:styleId="101">
    <w:name w:val="Char Char"/>
    <w:basedOn w:val="1"/>
    <w:qFormat/>
    <w:uiPriority w:val="0"/>
    <w:rPr>
      <w:rFonts w:ascii="Tahoma" w:hAnsi="Tahoma"/>
      <w:sz w:val="24"/>
      <w:szCs w:val="20"/>
    </w:rPr>
  </w:style>
  <w:style w:type="paragraph" w:customStyle="1" w:styleId="102">
    <w:name w:val="CM90"/>
    <w:basedOn w:val="78"/>
    <w:next w:val="78"/>
    <w:qFormat/>
    <w:uiPriority w:val="99"/>
    <w:pPr>
      <w:spacing w:line="440" w:lineRule="atLeast"/>
    </w:pPr>
    <w:rPr>
      <w:rFonts w:cs="Times New Roman"/>
      <w:color w:val="auto"/>
    </w:rPr>
  </w:style>
  <w:style w:type="paragraph" w:customStyle="1" w:styleId="103">
    <w:name w:val="CM49"/>
    <w:basedOn w:val="78"/>
    <w:next w:val="78"/>
    <w:qFormat/>
    <w:uiPriority w:val="99"/>
    <w:pPr>
      <w:spacing w:line="1020" w:lineRule="atLeast"/>
    </w:pPr>
    <w:rPr>
      <w:rFonts w:cs="Times New Roman"/>
      <w:color w:val="auto"/>
    </w:rPr>
  </w:style>
  <w:style w:type="paragraph" w:customStyle="1" w:styleId="104">
    <w:name w:val="CM96"/>
    <w:basedOn w:val="78"/>
    <w:next w:val="78"/>
    <w:qFormat/>
    <w:uiPriority w:val="99"/>
    <w:rPr>
      <w:rFonts w:cs="Times New Roman"/>
      <w:color w:val="auto"/>
    </w:rPr>
  </w:style>
  <w:style w:type="paragraph" w:customStyle="1" w:styleId="105">
    <w:name w:val="CM97"/>
    <w:basedOn w:val="78"/>
    <w:next w:val="78"/>
    <w:qFormat/>
    <w:uiPriority w:val="99"/>
    <w:rPr>
      <w:rFonts w:cs="Times New Roman"/>
      <w:color w:val="auto"/>
    </w:rPr>
  </w:style>
  <w:style w:type="paragraph" w:customStyle="1" w:styleId="106">
    <w:name w:val="CM64"/>
    <w:basedOn w:val="78"/>
    <w:next w:val="78"/>
    <w:qFormat/>
    <w:uiPriority w:val="99"/>
    <w:pPr>
      <w:spacing w:line="398" w:lineRule="atLeast"/>
    </w:pPr>
    <w:rPr>
      <w:rFonts w:cs="Times New Roman"/>
      <w:color w:val="auto"/>
    </w:rPr>
  </w:style>
  <w:style w:type="paragraph" w:customStyle="1" w:styleId="107">
    <w:name w:val="CM103"/>
    <w:basedOn w:val="78"/>
    <w:next w:val="78"/>
    <w:qFormat/>
    <w:uiPriority w:val="99"/>
    <w:rPr>
      <w:rFonts w:cs="Times New Roman"/>
      <w:color w:val="auto"/>
    </w:rPr>
  </w:style>
  <w:style w:type="paragraph" w:customStyle="1" w:styleId="108">
    <w:name w:val="CM5"/>
    <w:basedOn w:val="78"/>
    <w:next w:val="78"/>
    <w:qFormat/>
    <w:uiPriority w:val="99"/>
    <w:rPr>
      <w:rFonts w:cs="Times New Roman"/>
      <w:color w:val="auto"/>
    </w:rPr>
  </w:style>
  <w:style w:type="paragraph" w:customStyle="1" w:styleId="109">
    <w:name w:val="CM60"/>
    <w:basedOn w:val="78"/>
    <w:next w:val="78"/>
    <w:qFormat/>
    <w:uiPriority w:val="99"/>
    <w:pPr>
      <w:spacing w:line="400" w:lineRule="atLeast"/>
    </w:pPr>
    <w:rPr>
      <w:rFonts w:cs="Times New Roman"/>
      <w:color w:val="auto"/>
    </w:rPr>
  </w:style>
  <w:style w:type="paragraph" w:customStyle="1" w:styleId="110">
    <w:name w:val="CM70"/>
    <w:basedOn w:val="78"/>
    <w:next w:val="78"/>
    <w:qFormat/>
    <w:uiPriority w:val="99"/>
    <w:pPr>
      <w:spacing w:line="400" w:lineRule="atLeast"/>
    </w:pPr>
    <w:rPr>
      <w:rFonts w:cs="Times New Roman"/>
      <w:color w:val="auto"/>
    </w:rPr>
  </w:style>
  <w:style w:type="paragraph" w:customStyle="1" w:styleId="111">
    <w:name w:val="CM115"/>
    <w:basedOn w:val="78"/>
    <w:next w:val="78"/>
    <w:qFormat/>
    <w:uiPriority w:val="99"/>
    <w:rPr>
      <w:rFonts w:cs="Times New Roman"/>
      <w:color w:val="auto"/>
    </w:rPr>
  </w:style>
  <w:style w:type="paragraph" w:customStyle="1" w:styleId="112">
    <w:name w:val="CM4"/>
    <w:basedOn w:val="78"/>
    <w:next w:val="78"/>
    <w:qFormat/>
    <w:uiPriority w:val="99"/>
    <w:rPr>
      <w:rFonts w:cs="Times New Roman"/>
      <w:color w:val="auto"/>
    </w:rPr>
  </w:style>
  <w:style w:type="paragraph" w:customStyle="1" w:styleId="113">
    <w:name w:val="CM26"/>
    <w:basedOn w:val="78"/>
    <w:next w:val="78"/>
    <w:qFormat/>
    <w:uiPriority w:val="99"/>
    <w:pPr>
      <w:spacing w:line="400" w:lineRule="atLeast"/>
    </w:pPr>
    <w:rPr>
      <w:rFonts w:cs="Times New Roman"/>
      <w:color w:val="auto"/>
    </w:rPr>
  </w:style>
  <w:style w:type="paragraph" w:customStyle="1" w:styleId="114">
    <w:name w:val="CM74"/>
    <w:basedOn w:val="78"/>
    <w:next w:val="78"/>
    <w:qFormat/>
    <w:uiPriority w:val="99"/>
    <w:pPr>
      <w:spacing w:line="400" w:lineRule="atLeast"/>
    </w:pPr>
    <w:rPr>
      <w:rFonts w:cs="Times New Roman"/>
      <w:color w:val="auto"/>
    </w:rPr>
  </w:style>
  <w:style w:type="paragraph" w:customStyle="1" w:styleId="115">
    <w:name w:val="CM48"/>
    <w:basedOn w:val="78"/>
    <w:next w:val="78"/>
    <w:qFormat/>
    <w:uiPriority w:val="99"/>
    <w:pPr>
      <w:spacing w:line="440" w:lineRule="atLeast"/>
    </w:pPr>
    <w:rPr>
      <w:rFonts w:cs="Times New Roman"/>
      <w:color w:val="auto"/>
    </w:rPr>
  </w:style>
  <w:style w:type="paragraph" w:customStyle="1" w:styleId="116">
    <w:name w:val="CM84"/>
    <w:basedOn w:val="78"/>
    <w:next w:val="78"/>
    <w:qFormat/>
    <w:uiPriority w:val="99"/>
    <w:pPr>
      <w:spacing w:line="400" w:lineRule="atLeast"/>
    </w:pPr>
    <w:rPr>
      <w:rFonts w:cs="Times New Roman"/>
      <w:color w:val="auto"/>
    </w:rPr>
  </w:style>
  <w:style w:type="paragraph" w:customStyle="1" w:styleId="117">
    <w:name w:val="CM92"/>
    <w:basedOn w:val="78"/>
    <w:next w:val="78"/>
    <w:qFormat/>
    <w:uiPriority w:val="99"/>
    <w:pPr>
      <w:spacing w:line="443" w:lineRule="atLeast"/>
    </w:pPr>
    <w:rPr>
      <w:rFonts w:cs="Times New Roman"/>
      <w:color w:val="auto"/>
    </w:rPr>
  </w:style>
  <w:style w:type="paragraph" w:customStyle="1" w:styleId="118">
    <w:name w:val="CM8"/>
    <w:basedOn w:val="78"/>
    <w:next w:val="78"/>
    <w:qFormat/>
    <w:uiPriority w:val="99"/>
    <w:pPr>
      <w:spacing w:line="318" w:lineRule="atLeast"/>
    </w:pPr>
    <w:rPr>
      <w:rFonts w:cs="Times New Roman"/>
      <w:color w:val="auto"/>
    </w:rPr>
  </w:style>
  <w:style w:type="paragraph" w:customStyle="1" w:styleId="119">
    <w:name w:val="CM3"/>
    <w:basedOn w:val="78"/>
    <w:next w:val="78"/>
    <w:qFormat/>
    <w:uiPriority w:val="99"/>
    <w:pPr>
      <w:spacing w:line="500" w:lineRule="atLeast"/>
    </w:pPr>
    <w:rPr>
      <w:rFonts w:cs="Times New Roman"/>
      <w:color w:val="auto"/>
    </w:rPr>
  </w:style>
  <w:style w:type="paragraph" w:customStyle="1" w:styleId="120">
    <w:name w:val="CM108"/>
    <w:basedOn w:val="78"/>
    <w:next w:val="78"/>
    <w:qFormat/>
    <w:uiPriority w:val="99"/>
    <w:rPr>
      <w:rFonts w:cs="Times New Roman"/>
      <w:color w:val="auto"/>
    </w:rPr>
  </w:style>
  <w:style w:type="paragraph" w:customStyle="1" w:styleId="121">
    <w:name w:val="Char"/>
    <w:basedOn w:val="1"/>
    <w:qFormat/>
    <w:uiPriority w:val="0"/>
    <w:pPr>
      <w:spacing w:line="360" w:lineRule="auto"/>
      <w:ind w:firstLine="200" w:firstLineChars="200"/>
    </w:pPr>
    <w:rPr>
      <w:rFonts w:ascii="宋体" w:hAnsi="宋体" w:cs="宋体"/>
      <w:sz w:val="24"/>
      <w:szCs w:val="24"/>
    </w:rPr>
  </w:style>
  <w:style w:type="paragraph" w:customStyle="1" w:styleId="122">
    <w:name w:val="CM112"/>
    <w:basedOn w:val="78"/>
    <w:next w:val="78"/>
    <w:qFormat/>
    <w:uiPriority w:val="99"/>
    <w:rPr>
      <w:rFonts w:cs="Times New Roman"/>
      <w:color w:val="auto"/>
    </w:rPr>
  </w:style>
  <w:style w:type="paragraph" w:customStyle="1" w:styleId="123">
    <w:name w:val="CM88"/>
    <w:basedOn w:val="78"/>
    <w:next w:val="78"/>
    <w:qFormat/>
    <w:uiPriority w:val="99"/>
    <w:pPr>
      <w:spacing w:line="440" w:lineRule="atLeast"/>
    </w:pPr>
    <w:rPr>
      <w:rFonts w:cs="Times New Roman"/>
      <w:color w:val="auto"/>
    </w:rPr>
  </w:style>
  <w:style w:type="paragraph" w:customStyle="1" w:styleId="124">
    <w:name w:val="CM41"/>
    <w:basedOn w:val="78"/>
    <w:next w:val="78"/>
    <w:qFormat/>
    <w:uiPriority w:val="99"/>
    <w:pPr>
      <w:spacing w:line="400" w:lineRule="atLeast"/>
    </w:pPr>
    <w:rPr>
      <w:rFonts w:cs="Times New Roman"/>
      <w:color w:val="auto"/>
    </w:rPr>
  </w:style>
  <w:style w:type="paragraph" w:customStyle="1" w:styleId="125">
    <w:name w:val="Char1"/>
    <w:basedOn w:val="1"/>
    <w:qFormat/>
    <w:uiPriority w:val="0"/>
    <w:pPr>
      <w:spacing w:line="360" w:lineRule="auto"/>
      <w:ind w:firstLine="200" w:firstLineChars="200"/>
    </w:pPr>
    <w:rPr>
      <w:rFonts w:ascii="宋体" w:hAnsi="宋体" w:cs="宋体"/>
      <w:sz w:val="24"/>
      <w:szCs w:val="24"/>
    </w:rPr>
  </w:style>
  <w:style w:type="paragraph" w:customStyle="1" w:styleId="126">
    <w:name w:val="Char Char Char Char Char Char Char"/>
    <w:basedOn w:val="13"/>
    <w:qFormat/>
    <w:uiPriority w:val="0"/>
    <w:rPr>
      <w:rFonts w:ascii="Tahoma" w:hAnsi="Tahoma"/>
      <w:sz w:val="24"/>
    </w:rPr>
  </w:style>
  <w:style w:type="paragraph" w:customStyle="1" w:styleId="127">
    <w:name w:val="CM99"/>
    <w:basedOn w:val="78"/>
    <w:next w:val="78"/>
    <w:qFormat/>
    <w:uiPriority w:val="99"/>
    <w:rPr>
      <w:rFonts w:cs="Times New Roman"/>
      <w:color w:val="auto"/>
    </w:rPr>
  </w:style>
  <w:style w:type="paragraph" w:customStyle="1" w:styleId="128">
    <w:name w:val="CM20"/>
    <w:basedOn w:val="78"/>
    <w:next w:val="78"/>
    <w:qFormat/>
    <w:uiPriority w:val="99"/>
    <w:pPr>
      <w:spacing w:line="400" w:lineRule="atLeast"/>
    </w:pPr>
    <w:rPr>
      <w:rFonts w:cs="Times New Roman"/>
      <w:color w:val="auto"/>
    </w:rPr>
  </w:style>
  <w:style w:type="paragraph" w:customStyle="1" w:styleId="129">
    <w:name w:val="Char Char Char Char Char Char Char Char Char Char"/>
    <w:basedOn w:val="1"/>
    <w:qFormat/>
    <w:uiPriority w:val="0"/>
    <w:pPr>
      <w:spacing w:line="360" w:lineRule="auto"/>
      <w:ind w:firstLine="200" w:firstLineChars="200"/>
    </w:pPr>
    <w:rPr>
      <w:rFonts w:ascii="宋体" w:hAnsi="宋体" w:cs="宋体"/>
      <w:b/>
      <w:color w:val="000000"/>
      <w:sz w:val="24"/>
      <w:szCs w:val="24"/>
    </w:rPr>
  </w:style>
  <w:style w:type="paragraph" w:customStyle="1" w:styleId="130">
    <w:name w:val="样式3"/>
    <w:basedOn w:val="1"/>
    <w:qFormat/>
    <w:uiPriority w:val="0"/>
    <w:pPr>
      <w:keepNext/>
      <w:keepLines/>
      <w:spacing w:line="400" w:lineRule="exact"/>
      <w:outlineLvl w:val="0"/>
    </w:pPr>
    <w:rPr>
      <w:b/>
      <w:bCs/>
      <w:kern w:val="44"/>
      <w:sz w:val="28"/>
      <w:szCs w:val="44"/>
    </w:rPr>
  </w:style>
  <w:style w:type="paragraph" w:customStyle="1" w:styleId="131">
    <w:name w:val="CM44"/>
    <w:basedOn w:val="78"/>
    <w:next w:val="78"/>
    <w:qFormat/>
    <w:uiPriority w:val="99"/>
    <w:rPr>
      <w:rFonts w:cs="Times New Roman"/>
      <w:color w:val="auto"/>
    </w:rPr>
  </w:style>
  <w:style w:type="paragraph" w:customStyle="1" w:styleId="132">
    <w:name w:val="正文文本1"/>
    <w:basedOn w:val="1"/>
    <w:qFormat/>
    <w:uiPriority w:val="0"/>
    <w:pPr>
      <w:shd w:val="clear" w:color="auto" w:fill="FFFFFF"/>
      <w:spacing w:line="429" w:lineRule="auto"/>
      <w:ind w:firstLine="400"/>
      <w:jc w:val="distribute"/>
    </w:pPr>
    <w:rPr>
      <w:rFonts w:ascii="宋体" w:hAnsi="宋体" w:cs="宋体"/>
      <w:color w:val="000000"/>
      <w:kern w:val="0"/>
      <w:sz w:val="20"/>
      <w:szCs w:val="20"/>
    </w:rPr>
  </w:style>
  <w:style w:type="paragraph" w:customStyle="1" w:styleId="133">
    <w:name w:val="CM102"/>
    <w:basedOn w:val="78"/>
    <w:next w:val="78"/>
    <w:qFormat/>
    <w:uiPriority w:val="99"/>
    <w:rPr>
      <w:rFonts w:cs="Times New Roman"/>
      <w:color w:val="auto"/>
    </w:rPr>
  </w:style>
  <w:style w:type="paragraph" w:customStyle="1" w:styleId="134">
    <w:name w:val="CM25"/>
    <w:basedOn w:val="78"/>
    <w:next w:val="78"/>
    <w:qFormat/>
    <w:uiPriority w:val="99"/>
    <w:pPr>
      <w:spacing w:line="400" w:lineRule="atLeast"/>
    </w:pPr>
    <w:rPr>
      <w:rFonts w:cs="Times New Roman"/>
      <w:color w:val="auto"/>
    </w:rPr>
  </w:style>
  <w:style w:type="paragraph" w:customStyle="1" w:styleId="135">
    <w:name w:val="CM22"/>
    <w:basedOn w:val="78"/>
    <w:next w:val="78"/>
    <w:qFormat/>
    <w:uiPriority w:val="99"/>
    <w:rPr>
      <w:rFonts w:cs="Times New Roman"/>
      <w:color w:val="auto"/>
    </w:rPr>
  </w:style>
  <w:style w:type="paragraph" w:customStyle="1" w:styleId="136">
    <w:name w:val="CM35"/>
    <w:basedOn w:val="78"/>
    <w:next w:val="78"/>
    <w:qFormat/>
    <w:uiPriority w:val="99"/>
    <w:pPr>
      <w:spacing w:line="400" w:lineRule="atLeast"/>
    </w:pPr>
    <w:rPr>
      <w:rFonts w:cs="Times New Roman"/>
      <w:color w:val="auto"/>
    </w:rPr>
  </w:style>
  <w:style w:type="paragraph" w:customStyle="1" w:styleId="137">
    <w:name w:val="CM47"/>
    <w:basedOn w:val="78"/>
    <w:next w:val="78"/>
    <w:qFormat/>
    <w:uiPriority w:val="99"/>
    <w:pPr>
      <w:spacing w:line="540" w:lineRule="atLeast"/>
    </w:pPr>
    <w:rPr>
      <w:rFonts w:cs="Times New Roman"/>
      <w:color w:val="auto"/>
    </w:rPr>
  </w:style>
  <w:style w:type="paragraph" w:customStyle="1" w:styleId="138">
    <w:name w:val="CM54"/>
    <w:basedOn w:val="78"/>
    <w:next w:val="78"/>
    <w:qFormat/>
    <w:uiPriority w:val="99"/>
    <w:rPr>
      <w:rFonts w:cs="Times New Roman"/>
      <w:color w:val="auto"/>
    </w:rPr>
  </w:style>
  <w:style w:type="paragraph" w:customStyle="1" w:styleId="139">
    <w:name w:val="CM43"/>
    <w:basedOn w:val="78"/>
    <w:next w:val="78"/>
    <w:qFormat/>
    <w:uiPriority w:val="99"/>
    <w:pPr>
      <w:spacing w:line="440" w:lineRule="atLeast"/>
    </w:pPr>
    <w:rPr>
      <w:rFonts w:cs="Times New Roman"/>
      <w:color w:val="auto"/>
    </w:rPr>
  </w:style>
  <w:style w:type="paragraph" w:customStyle="1" w:styleId="140">
    <w:name w:val="CM55"/>
    <w:basedOn w:val="78"/>
    <w:next w:val="78"/>
    <w:qFormat/>
    <w:uiPriority w:val="99"/>
    <w:pPr>
      <w:spacing w:line="400" w:lineRule="atLeast"/>
    </w:pPr>
    <w:rPr>
      <w:rFonts w:cs="Times New Roman"/>
      <w:color w:val="auto"/>
    </w:rPr>
  </w:style>
  <w:style w:type="paragraph" w:customStyle="1" w:styleId="141">
    <w:name w:val="xl25"/>
    <w:basedOn w:val="1"/>
    <w:qFormat/>
    <w:uiPriority w:val="0"/>
    <w:pPr>
      <w:widowControl/>
      <w:spacing w:before="100" w:beforeAutospacing="1" w:after="100" w:afterAutospacing="1"/>
      <w:jc w:val="center"/>
      <w:textAlignment w:val="center"/>
    </w:pPr>
    <w:rPr>
      <w:rFonts w:ascii="Arial Unicode MS" w:hAnsi="Arial Unicode MS" w:eastAsia="Arial Unicode MS"/>
      <w:kern w:val="0"/>
      <w:sz w:val="24"/>
      <w:szCs w:val="24"/>
    </w:rPr>
  </w:style>
  <w:style w:type="paragraph" w:customStyle="1" w:styleId="142">
    <w:name w:val="CM95"/>
    <w:basedOn w:val="78"/>
    <w:next w:val="78"/>
    <w:qFormat/>
    <w:uiPriority w:val="99"/>
    <w:pPr>
      <w:spacing w:line="440" w:lineRule="atLeast"/>
    </w:pPr>
    <w:rPr>
      <w:rFonts w:cs="Times New Roman"/>
      <w:color w:val="auto"/>
    </w:rPr>
  </w:style>
  <w:style w:type="paragraph" w:customStyle="1" w:styleId="143">
    <w:name w:val="Char Char1 Char Char Char Char Char Char Char Char Char Char Char Char"/>
    <w:basedOn w:val="1"/>
    <w:qFormat/>
    <w:uiPriority w:val="0"/>
    <w:pPr>
      <w:spacing w:line="360" w:lineRule="auto"/>
      <w:ind w:firstLine="200" w:firstLineChars="200"/>
    </w:pPr>
    <w:rPr>
      <w:rFonts w:ascii="宋体" w:hAnsi="宋体" w:cs="宋体"/>
      <w:sz w:val="24"/>
      <w:szCs w:val="24"/>
    </w:rPr>
  </w:style>
  <w:style w:type="paragraph" w:customStyle="1" w:styleId="144">
    <w:name w:val="CM11"/>
    <w:basedOn w:val="78"/>
    <w:next w:val="78"/>
    <w:qFormat/>
    <w:uiPriority w:val="99"/>
    <w:pPr>
      <w:spacing w:line="313" w:lineRule="atLeast"/>
    </w:pPr>
    <w:rPr>
      <w:rFonts w:cs="Times New Roman"/>
      <w:color w:val="auto"/>
    </w:rPr>
  </w:style>
  <w:style w:type="paragraph" w:customStyle="1" w:styleId="145">
    <w:name w:val="_Style 121"/>
    <w:basedOn w:val="1"/>
    <w:qFormat/>
    <w:uiPriority w:val="0"/>
    <w:pPr>
      <w:spacing w:line="360" w:lineRule="auto"/>
      <w:ind w:firstLine="200" w:firstLineChars="200"/>
    </w:pPr>
    <w:rPr>
      <w:rFonts w:ascii="宋体" w:hAnsi="宋体" w:cs="宋体"/>
      <w:sz w:val="24"/>
      <w:szCs w:val="24"/>
    </w:rPr>
  </w:style>
  <w:style w:type="paragraph" w:customStyle="1" w:styleId="146">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47">
    <w:name w:val="CM24"/>
    <w:basedOn w:val="78"/>
    <w:next w:val="78"/>
    <w:qFormat/>
    <w:uiPriority w:val="99"/>
    <w:pPr>
      <w:spacing w:line="400" w:lineRule="atLeast"/>
    </w:pPr>
    <w:rPr>
      <w:rFonts w:cs="Times New Roman"/>
      <w:color w:val="auto"/>
    </w:rPr>
  </w:style>
  <w:style w:type="paragraph" w:customStyle="1" w:styleId="148">
    <w:name w:val="CM98"/>
    <w:basedOn w:val="78"/>
    <w:next w:val="78"/>
    <w:qFormat/>
    <w:uiPriority w:val="99"/>
    <w:rPr>
      <w:rFonts w:cs="Times New Roman"/>
      <w:color w:val="auto"/>
    </w:rPr>
  </w:style>
  <w:style w:type="paragraph" w:customStyle="1" w:styleId="149">
    <w:name w:val="CM32"/>
    <w:basedOn w:val="78"/>
    <w:next w:val="78"/>
    <w:qFormat/>
    <w:uiPriority w:val="99"/>
    <w:pPr>
      <w:spacing w:line="400" w:lineRule="atLeast"/>
    </w:pPr>
    <w:rPr>
      <w:rFonts w:cs="Times New Roman"/>
      <w:color w:val="auto"/>
    </w:rPr>
  </w:style>
  <w:style w:type="paragraph" w:customStyle="1" w:styleId="150">
    <w:name w:val="CM12"/>
    <w:basedOn w:val="78"/>
    <w:next w:val="78"/>
    <w:qFormat/>
    <w:uiPriority w:val="99"/>
    <w:pPr>
      <w:spacing w:line="313" w:lineRule="atLeast"/>
    </w:pPr>
    <w:rPr>
      <w:rFonts w:cs="Times New Roman"/>
      <w:color w:val="auto"/>
    </w:rPr>
  </w:style>
  <w:style w:type="paragraph" w:customStyle="1" w:styleId="151">
    <w:name w:val="CM87"/>
    <w:basedOn w:val="78"/>
    <w:next w:val="78"/>
    <w:qFormat/>
    <w:uiPriority w:val="99"/>
    <w:pPr>
      <w:spacing w:line="440" w:lineRule="atLeast"/>
    </w:pPr>
    <w:rPr>
      <w:rFonts w:cs="Times New Roman"/>
      <w:color w:val="auto"/>
    </w:rPr>
  </w:style>
  <w:style w:type="paragraph" w:customStyle="1" w:styleId="152">
    <w:name w:val="CM1"/>
    <w:basedOn w:val="78"/>
    <w:next w:val="78"/>
    <w:qFormat/>
    <w:uiPriority w:val="99"/>
    <w:rPr>
      <w:rFonts w:cs="Times New Roman"/>
      <w:color w:val="auto"/>
    </w:rPr>
  </w:style>
  <w:style w:type="paragraph" w:customStyle="1" w:styleId="153">
    <w:name w:val="CM13"/>
    <w:basedOn w:val="78"/>
    <w:next w:val="78"/>
    <w:qFormat/>
    <w:uiPriority w:val="99"/>
    <w:rPr>
      <w:rFonts w:cs="Times New Roman"/>
      <w:color w:val="auto"/>
    </w:rPr>
  </w:style>
  <w:style w:type="paragraph" w:customStyle="1" w:styleId="154">
    <w:name w:val="CM40"/>
    <w:basedOn w:val="78"/>
    <w:next w:val="78"/>
    <w:qFormat/>
    <w:uiPriority w:val="99"/>
    <w:pPr>
      <w:spacing w:line="400" w:lineRule="atLeast"/>
    </w:pPr>
    <w:rPr>
      <w:rFonts w:cs="Times New Roman"/>
      <w:color w:val="auto"/>
    </w:rPr>
  </w:style>
  <w:style w:type="paragraph" w:customStyle="1" w:styleId="155">
    <w:name w:val="CM71"/>
    <w:basedOn w:val="78"/>
    <w:next w:val="78"/>
    <w:qFormat/>
    <w:uiPriority w:val="99"/>
    <w:rPr>
      <w:rFonts w:cs="Times New Roman"/>
      <w:color w:val="auto"/>
    </w:rPr>
  </w:style>
  <w:style w:type="paragraph" w:customStyle="1" w:styleId="156">
    <w:name w:val="CM2"/>
    <w:basedOn w:val="78"/>
    <w:next w:val="78"/>
    <w:qFormat/>
    <w:uiPriority w:val="99"/>
    <w:pPr>
      <w:spacing w:line="500" w:lineRule="atLeast"/>
    </w:pPr>
    <w:rPr>
      <w:rFonts w:cs="Times New Roman"/>
      <w:color w:val="auto"/>
    </w:rPr>
  </w:style>
  <w:style w:type="paragraph" w:styleId="157">
    <w:name w:val="List Paragraph"/>
    <w:basedOn w:val="1"/>
    <w:qFormat/>
    <w:uiPriority w:val="34"/>
    <w:pPr>
      <w:ind w:firstLine="420" w:firstLineChars="200"/>
    </w:pPr>
  </w:style>
  <w:style w:type="paragraph" w:customStyle="1" w:styleId="158">
    <w:name w:val="CM52"/>
    <w:basedOn w:val="78"/>
    <w:next w:val="78"/>
    <w:qFormat/>
    <w:uiPriority w:val="99"/>
    <w:pPr>
      <w:spacing w:line="400" w:lineRule="atLeast"/>
    </w:pPr>
    <w:rPr>
      <w:rFonts w:cs="Times New Roman"/>
      <w:color w:val="auto"/>
    </w:rPr>
  </w:style>
  <w:style w:type="paragraph" w:customStyle="1" w:styleId="159">
    <w:name w:val="CM34"/>
    <w:basedOn w:val="78"/>
    <w:next w:val="78"/>
    <w:qFormat/>
    <w:uiPriority w:val="99"/>
    <w:rPr>
      <w:rFonts w:cs="Times New Roman"/>
      <w:color w:val="auto"/>
    </w:rPr>
  </w:style>
  <w:style w:type="paragraph" w:customStyle="1" w:styleId="16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center"/>
    </w:pPr>
    <w:rPr>
      <w:rFonts w:ascii="Courier New" w:hAnsi="Courier New"/>
      <w:b/>
      <w:kern w:val="0"/>
      <w:sz w:val="44"/>
      <w:szCs w:val="20"/>
    </w:rPr>
  </w:style>
  <w:style w:type="paragraph" w:customStyle="1" w:styleId="161">
    <w:name w:val="CM107"/>
    <w:basedOn w:val="78"/>
    <w:next w:val="78"/>
    <w:qFormat/>
    <w:uiPriority w:val="99"/>
    <w:rPr>
      <w:rFonts w:cs="Times New Roman"/>
      <w:color w:val="auto"/>
    </w:rPr>
  </w:style>
  <w:style w:type="paragraph" w:customStyle="1" w:styleId="162">
    <w:name w:val="CM29"/>
    <w:basedOn w:val="78"/>
    <w:next w:val="78"/>
    <w:qFormat/>
    <w:uiPriority w:val="99"/>
    <w:pPr>
      <w:spacing w:line="400" w:lineRule="atLeast"/>
    </w:pPr>
    <w:rPr>
      <w:rFonts w:cs="Times New Roman"/>
      <w:color w:val="auto"/>
    </w:rPr>
  </w:style>
  <w:style w:type="paragraph" w:customStyle="1" w:styleId="163">
    <w:name w:val="标题 #7"/>
    <w:basedOn w:val="1"/>
    <w:link w:val="195"/>
    <w:qFormat/>
    <w:uiPriority w:val="0"/>
    <w:pPr>
      <w:shd w:val="clear" w:color="auto" w:fill="FFFFFF"/>
      <w:spacing w:before="100" w:beforeAutospacing="1" w:after="60" w:line="483" w:lineRule="exact"/>
      <w:ind w:left="5840"/>
      <w:jc w:val="right"/>
      <w:outlineLvl w:val="6"/>
    </w:pPr>
    <w:rPr>
      <w:rFonts w:ascii="宋体" w:hAnsi="宋体"/>
      <w:color w:val="000000"/>
      <w:kern w:val="0"/>
      <w:sz w:val="24"/>
      <w:szCs w:val="24"/>
    </w:rPr>
  </w:style>
  <w:style w:type="character" w:customStyle="1" w:styleId="164">
    <w:name w:val="MSG_EN_FONT_STYLE_NAME_TEMPLATE_ROLE_NUMBER MSG_EN_FONT_STYLE_NAME_BY_ROLE_TEXT 13 + MSG_EN_FONT_STYLE_MODIFER_SIZE 8.5"/>
    <w:qFormat/>
    <w:uiPriority w:val="0"/>
    <w:rPr>
      <w:rFonts w:ascii="PMingLiU" w:hAnsi="PMingLiU" w:eastAsia="PMingLiU" w:cs="PMingLiU"/>
      <w:color w:val="000000"/>
      <w:spacing w:val="0"/>
      <w:w w:val="100"/>
      <w:position w:val="0"/>
      <w:sz w:val="17"/>
      <w:szCs w:val="17"/>
      <w:u w:val="none"/>
      <w:shd w:val="clear" w:color="auto" w:fill="FFFFFF"/>
      <w:lang w:val="zh-CN" w:eastAsia="zh-CN" w:bidi="zh-CN"/>
    </w:rPr>
  </w:style>
  <w:style w:type="character" w:customStyle="1" w:styleId="165">
    <w:name w:val="MSG_EN_FONT_STYLE_NAME_TEMPLATE_ROLE_NUMBER MSG_EN_FONT_STYLE_NAME_BY_ROLE_TEXT 13_"/>
    <w:link w:val="166"/>
    <w:qFormat/>
    <w:uiPriority w:val="0"/>
    <w:rPr>
      <w:rFonts w:ascii="PMingLiU" w:hAnsi="PMingLiU" w:eastAsia="PMingLiU" w:cs="PMingLiU"/>
      <w:shd w:val="clear" w:color="auto" w:fill="FFFFFF"/>
    </w:rPr>
  </w:style>
  <w:style w:type="paragraph" w:customStyle="1" w:styleId="166">
    <w:name w:val="MSG_EN_FONT_STYLE_NAME_TEMPLATE_ROLE_NUMBER MSG_EN_FONT_STYLE_NAME_BY_ROLE_TEXT 131"/>
    <w:basedOn w:val="1"/>
    <w:link w:val="165"/>
    <w:qFormat/>
    <w:uiPriority w:val="0"/>
    <w:pPr>
      <w:shd w:val="clear" w:color="auto" w:fill="FFFFFF"/>
      <w:spacing w:before="340" w:after="160" w:line="398" w:lineRule="exact"/>
      <w:jc w:val="distribute"/>
    </w:pPr>
    <w:rPr>
      <w:rFonts w:ascii="PMingLiU" w:hAnsi="PMingLiU" w:eastAsia="PMingLiU"/>
      <w:kern w:val="0"/>
      <w:sz w:val="20"/>
      <w:szCs w:val="20"/>
    </w:rPr>
  </w:style>
  <w:style w:type="character" w:customStyle="1" w:styleId="167">
    <w:name w:val="MSG_EN_FONT_STYLE_NAME_TEMPLATE_ROLE_NUMBER MSG_EN_FONT_STYLE_NAME_BY_ROLE_TEXT 13 + MSG_EN_FONT_STYLE_MODIFER_NAME Courier New"/>
    <w:qFormat/>
    <w:uiPriority w:val="0"/>
    <w:rPr>
      <w:rFonts w:ascii="Courier New" w:hAnsi="Courier New" w:eastAsia="Courier New" w:cs="Courier New"/>
      <w:b/>
      <w:bCs/>
      <w:color w:val="000000"/>
      <w:spacing w:val="0"/>
      <w:w w:val="100"/>
      <w:position w:val="0"/>
      <w:sz w:val="26"/>
      <w:szCs w:val="26"/>
      <w:u w:val="none"/>
      <w:shd w:val="clear" w:color="auto" w:fill="FFFFFF"/>
      <w:lang w:val="en-US" w:eastAsia="en-US" w:bidi="en-US"/>
    </w:rPr>
  </w:style>
  <w:style w:type="character" w:customStyle="1" w:styleId="168">
    <w:name w:val="MSG_EN_FONT_STYLE_NAME_TEMPLATE_ROLE_NUMBER MSG_EN_FONT_STYLE_NAME_BY_ROLE_TEXT 13 + MSG_EN_FONT_STYLE_MODIFER_NAME Times New Roman4"/>
    <w:qFormat/>
    <w:uiPriority w:val="0"/>
    <w:rPr>
      <w:rFonts w:ascii="Times New Roman" w:hAnsi="Times New Roman" w:eastAsia="Times New Roman" w:cs="Times New Roman"/>
      <w:b/>
      <w:bCs/>
      <w:color w:val="000000"/>
      <w:spacing w:val="0"/>
      <w:w w:val="100"/>
      <w:position w:val="0"/>
      <w:sz w:val="16"/>
      <w:szCs w:val="16"/>
      <w:u w:val="none"/>
      <w:shd w:val="clear" w:color="auto" w:fill="FFFFFF"/>
      <w:lang w:val="en-US" w:eastAsia="en-US" w:bidi="en-US"/>
    </w:rPr>
  </w:style>
  <w:style w:type="character" w:customStyle="1" w:styleId="169">
    <w:name w:val="MSG_EN_FONT_STYLE_NAME_TEMPLATE_ROLE_NUMBER MSG_EN_FONT_STYLE_NAME_BY_ROLE_TEXT 5_"/>
    <w:link w:val="170"/>
    <w:qFormat/>
    <w:uiPriority w:val="0"/>
    <w:rPr>
      <w:rFonts w:ascii="PMingLiU" w:hAnsi="PMingLiU" w:eastAsia="PMingLiU" w:cs="PMingLiU"/>
      <w:sz w:val="17"/>
      <w:szCs w:val="17"/>
      <w:shd w:val="clear" w:color="auto" w:fill="FFFFFF"/>
    </w:rPr>
  </w:style>
  <w:style w:type="paragraph" w:customStyle="1" w:styleId="170">
    <w:name w:val="MSG_EN_FONT_STYLE_NAME_TEMPLATE_ROLE_NUMBER MSG_EN_FONT_STYLE_NAME_BY_ROLE_TEXT 5"/>
    <w:basedOn w:val="1"/>
    <w:link w:val="169"/>
    <w:qFormat/>
    <w:uiPriority w:val="0"/>
    <w:pPr>
      <w:shd w:val="clear" w:color="auto" w:fill="FFFFFF"/>
      <w:spacing w:before="5120" w:line="170" w:lineRule="exact"/>
      <w:jc w:val="left"/>
    </w:pPr>
    <w:rPr>
      <w:rFonts w:ascii="PMingLiU" w:hAnsi="PMingLiU" w:eastAsia="PMingLiU"/>
      <w:kern w:val="0"/>
      <w:sz w:val="17"/>
      <w:szCs w:val="17"/>
    </w:rPr>
  </w:style>
  <w:style w:type="character" w:customStyle="1" w:styleId="171">
    <w:name w:val="size style22"/>
    <w:qFormat/>
    <w:uiPriority w:val="0"/>
  </w:style>
  <w:style w:type="character" w:customStyle="1" w:styleId="172">
    <w:name w:val="Char2 Char Char"/>
    <w:qFormat/>
    <w:uiPriority w:val="0"/>
    <w:rPr>
      <w:sz w:val="18"/>
      <w:szCs w:val="18"/>
    </w:rPr>
  </w:style>
  <w:style w:type="character" w:customStyle="1" w:styleId="173">
    <w:name w:val="正文文本 (6)_"/>
    <w:link w:val="174"/>
    <w:qFormat/>
    <w:uiPriority w:val="0"/>
    <w:rPr>
      <w:rFonts w:ascii="MingLiU" w:hAnsi="MingLiU" w:eastAsia="MingLiU" w:cs="MingLiU"/>
      <w:sz w:val="19"/>
      <w:szCs w:val="19"/>
      <w:shd w:val="clear" w:color="auto" w:fill="FFFFFF"/>
    </w:rPr>
  </w:style>
  <w:style w:type="paragraph" w:customStyle="1" w:styleId="174">
    <w:name w:val="正文文本 (6)"/>
    <w:basedOn w:val="1"/>
    <w:link w:val="173"/>
    <w:qFormat/>
    <w:uiPriority w:val="0"/>
    <w:pPr>
      <w:shd w:val="clear" w:color="auto" w:fill="FFFFFF"/>
      <w:spacing w:before="120" w:after="240" w:line="0" w:lineRule="atLeast"/>
      <w:jc w:val="center"/>
    </w:pPr>
    <w:rPr>
      <w:rFonts w:ascii="MingLiU" w:hAnsi="MingLiU" w:eastAsia="MingLiU"/>
      <w:kern w:val="0"/>
      <w:sz w:val="19"/>
      <w:szCs w:val="19"/>
    </w:rPr>
  </w:style>
  <w:style w:type="character" w:customStyle="1" w:styleId="175">
    <w:name w:val="正文文本 (6) Exact"/>
    <w:qFormat/>
    <w:uiPriority w:val="0"/>
    <w:rPr>
      <w:rFonts w:ascii="MingLiU" w:hAnsi="MingLiU" w:eastAsia="MingLiU" w:cs="MingLiU"/>
      <w:sz w:val="19"/>
      <w:szCs w:val="19"/>
      <w:u w:val="none"/>
    </w:rPr>
  </w:style>
  <w:style w:type="character" w:customStyle="1" w:styleId="176">
    <w:name w:val="正文文本 (2) Exact"/>
    <w:qFormat/>
    <w:uiPriority w:val="0"/>
    <w:rPr>
      <w:rFonts w:ascii="MingLiU" w:hAnsi="MingLiU" w:eastAsia="MingLiU" w:cs="MingLiU"/>
      <w:sz w:val="22"/>
      <w:szCs w:val="22"/>
      <w:u w:val="none"/>
      <w:lang w:val="en-US" w:eastAsia="en-US" w:bidi="en-US"/>
    </w:rPr>
  </w:style>
  <w:style w:type="character" w:customStyle="1" w:styleId="177">
    <w:name w:val="正文文本 (2) + 9.5 pt"/>
    <w:qFormat/>
    <w:uiPriority w:val="0"/>
    <w:rPr>
      <w:rFonts w:ascii="MingLiU" w:hAnsi="MingLiU" w:eastAsia="MingLiU" w:cs="MingLiU"/>
      <w:color w:val="000000"/>
      <w:spacing w:val="0"/>
      <w:w w:val="100"/>
      <w:position w:val="0"/>
      <w:sz w:val="19"/>
      <w:szCs w:val="19"/>
      <w:shd w:val="clear" w:color="auto" w:fill="FFFFFF"/>
      <w:lang w:val="zh-TW" w:eastAsia="zh-TW" w:bidi="zh-TW"/>
    </w:rPr>
  </w:style>
  <w:style w:type="character" w:customStyle="1" w:styleId="178">
    <w:name w:val="标题 #8 (2)_"/>
    <w:link w:val="179"/>
    <w:qFormat/>
    <w:uiPriority w:val="0"/>
    <w:rPr>
      <w:rFonts w:ascii="MingLiU" w:hAnsi="MingLiU" w:eastAsia="MingLiU" w:cs="MingLiU"/>
      <w:spacing w:val="30"/>
      <w:shd w:val="clear" w:color="auto" w:fill="FFFFFF"/>
    </w:rPr>
  </w:style>
  <w:style w:type="paragraph" w:customStyle="1" w:styleId="179">
    <w:name w:val="标题 #8 (2)"/>
    <w:basedOn w:val="1"/>
    <w:link w:val="178"/>
    <w:qFormat/>
    <w:uiPriority w:val="0"/>
    <w:pPr>
      <w:shd w:val="clear" w:color="auto" w:fill="FFFFFF"/>
      <w:spacing w:after="240" w:line="0" w:lineRule="atLeast"/>
      <w:jc w:val="distribute"/>
      <w:outlineLvl w:val="7"/>
    </w:pPr>
    <w:rPr>
      <w:rFonts w:ascii="MingLiU" w:hAnsi="MingLiU" w:eastAsia="MingLiU"/>
      <w:spacing w:val="30"/>
      <w:kern w:val="0"/>
      <w:sz w:val="20"/>
      <w:szCs w:val="20"/>
    </w:rPr>
  </w:style>
  <w:style w:type="character" w:customStyle="1" w:styleId="180">
    <w:name w:val="标题 #8 (2) + 间距 0 pt"/>
    <w:qFormat/>
    <w:uiPriority w:val="0"/>
    <w:rPr>
      <w:rFonts w:ascii="MingLiU" w:hAnsi="MingLiU" w:eastAsia="MingLiU" w:cs="MingLiU"/>
      <w:color w:val="000000"/>
      <w:spacing w:val="0"/>
      <w:w w:val="100"/>
      <w:position w:val="0"/>
      <w:sz w:val="24"/>
      <w:szCs w:val="24"/>
      <w:shd w:val="clear" w:color="auto" w:fill="FFFFFF"/>
      <w:lang w:val="zh-TW" w:eastAsia="zh-TW" w:bidi="zh-TW"/>
    </w:rPr>
  </w:style>
  <w:style w:type="character" w:customStyle="1" w:styleId="181">
    <w:name w:val="表格标题 (3)_"/>
    <w:link w:val="182"/>
    <w:qFormat/>
    <w:uiPriority w:val="0"/>
    <w:rPr>
      <w:rFonts w:ascii="MingLiU" w:hAnsi="MingLiU" w:eastAsia="MingLiU" w:cs="MingLiU"/>
      <w:sz w:val="19"/>
      <w:szCs w:val="19"/>
      <w:shd w:val="clear" w:color="auto" w:fill="FFFFFF"/>
    </w:rPr>
  </w:style>
  <w:style w:type="paragraph" w:customStyle="1" w:styleId="182">
    <w:name w:val="表格标题 (3)"/>
    <w:basedOn w:val="1"/>
    <w:link w:val="181"/>
    <w:qFormat/>
    <w:uiPriority w:val="0"/>
    <w:pPr>
      <w:shd w:val="clear" w:color="auto" w:fill="FFFFFF"/>
      <w:spacing w:line="0" w:lineRule="atLeast"/>
      <w:jc w:val="left"/>
    </w:pPr>
    <w:rPr>
      <w:rFonts w:ascii="MingLiU" w:hAnsi="MingLiU" w:eastAsia="MingLiU"/>
      <w:kern w:val="0"/>
      <w:sz w:val="19"/>
      <w:szCs w:val="19"/>
    </w:rPr>
  </w:style>
  <w:style w:type="character" w:customStyle="1" w:styleId="183">
    <w:name w:val="正文文本 (2) + 10 pt"/>
    <w:qFormat/>
    <w:uiPriority w:val="99"/>
    <w:rPr>
      <w:rFonts w:ascii="MingLiU" w:hAnsi="MingLiU" w:eastAsia="MingLiU" w:cs="MingLiU"/>
      <w:b/>
      <w:bCs/>
      <w:color w:val="000000"/>
      <w:spacing w:val="0"/>
      <w:w w:val="100"/>
      <w:position w:val="0"/>
      <w:sz w:val="20"/>
      <w:szCs w:val="20"/>
      <w:u w:val="none"/>
      <w:lang w:val="zh-TW" w:eastAsia="zh-TW" w:bidi="zh-TW"/>
    </w:rPr>
  </w:style>
  <w:style w:type="character" w:customStyle="1" w:styleId="184">
    <w:name w:val="正文文本 (2) + 9 pt"/>
    <w:qFormat/>
    <w:uiPriority w:val="0"/>
    <w:rPr>
      <w:rFonts w:ascii="MingLiU" w:hAnsi="MingLiU" w:eastAsia="MingLiU" w:cs="MingLiU"/>
      <w:color w:val="000000"/>
      <w:spacing w:val="0"/>
      <w:w w:val="100"/>
      <w:position w:val="0"/>
      <w:sz w:val="18"/>
      <w:szCs w:val="18"/>
      <w:u w:val="none"/>
      <w:shd w:val="clear" w:color="auto" w:fill="FFFFFF"/>
      <w:lang w:val="en-US" w:eastAsia="en-US" w:bidi="en-US"/>
    </w:rPr>
  </w:style>
  <w:style w:type="character" w:customStyle="1" w:styleId="185">
    <w:name w:val="正文文本 (2) + CordiaUPC"/>
    <w:qFormat/>
    <w:uiPriority w:val="0"/>
    <w:rPr>
      <w:rFonts w:ascii="CordiaUPC" w:hAnsi="CordiaUPC" w:eastAsia="CordiaUPC" w:cs="CordiaUPC"/>
      <w:color w:val="000000"/>
      <w:spacing w:val="0"/>
      <w:w w:val="100"/>
      <w:position w:val="0"/>
      <w:sz w:val="26"/>
      <w:szCs w:val="26"/>
      <w:u w:val="none"/>
      <w:shd w:val="clear" w:color="auto" w:fill="FFFFFF"/>
      <w:lang w:val="en-US" w:eastAsia="en-US" w:bidi="en-US"/>
    </w:rPr>
  </w:style>
  <w:style w:type="character" w:customStyle="1" w:styleId="186">
    <w:name w:val="正文文本 (2) + 8 pt"/>
    <w:qFormat/>
    <w:uiPriority w:val="0"/>
    <w:rPr>
      <w:rFonts w:ascii="MingLiU" w:hAnsi="MingLiU" w:eastAsia="MingLiU" w:cs="MingLiU"/>
      <w:color w:val="000000"/>
      <w:spacing w:val="0"/>
      <w:w w:val="75"/>
      <w:position w:val="0"/>
      <w:sz w:val="16"/>
      <w:szCs w:val="16"/>
      <w:u w:val="none"/>
      <w:shd w:val="clear" w:color="auto" w:fill="FFFFFF"/>
      <w:lang w:val="en-US" w:eastAsia="en-US" w:bidi="en-US"/>
    </w:rPr>
  </w:style>
  <w:style w:type="character" w:customStyle="1" w:styleId="187">
    <w:name w:val="正文文本 (18)_"/>
    <w:link w:val="188"/>
    <w:qFormat/>
    <w:uiPriority w:val="0"/>
    <w:rPr>
      <w:rFonts w:ascii="MingLiU" w:hAnsi="MingLiU" w:eastAsia="MingLiU" w:cs="MingLiU"/>
      <w:spacing w:val="20"/>
      <w:sz w:val="23"/>
      <w:szCs w:val="23"/>
      <w:shd w:val="clear" w:color="auto" w:fill="FFFFFF"/>
    </w:rPr>
  </w:style>
  <w:style w:type="paragraph" w:customStyle="1" w:styleId="188">
    <w:name w:val="正文文本 (18)"/>
    <w:basedOn w:val="1"/>
    <w:link w:val="187"/>
    <w:qFormat/>
    <w:uiPriority w:val="0"/>
    <w:pPr>
      <w:shd w:val="clear" w:color="auto" w:fill="FFFFFF"/>
      <w:spacing w:line="559" w:lineRule="exact"/>
      <w:jc w:val="left"/>
    </w:pPr>
    <w:rPr>
      <w:rFonts w:ascii="MingLiU" w:hAnsi="MingLiU" w:eastAsia="MingLiU"/>
      <w:spacing w:val="20"/>
      <w:kern w:val="0"/>
      <w:sz w:val="23"/>
      <w:szCs w:val="23"/>
    </w:rPr>
  </w:style>
  <w:style w:type="character" w:customStyle="1" w:styleId="189">
    <w:name w:val="标题 #7 + 间距 1 pt"/>
    <w:qFormat/>
    <w:uiPriority w:val="0"/>
    <w:rPr>
      <w:rFonts w:ascii="MingLiU" w:hAnsi="MingLiU" w:eastAsia="MingLiU" w:cs="MingLiU"/>
      <w:color w:val="000000"/>
      <w:spacing w:val="20"/>
      <w:w w:val="100"/>
      <w:position w:val="0"/>
      <w:sz w:val="28"/>
      <w:szCs w:val="28"/>
      <w:shd w:val="clear" w:color="auto" w:fill="FFFFFF"/>
      <w:lang w:val="zh-TW" w:eastAsia="zh-TW" w:bidi="zh-TW"/>
    </w:rPr>
  </w:style>
  <w:style w:type="character" w:customStyle="1" w:styleId="190">
    <w:name w:val="正文文本 (18) + 间距 0 pt"/>
    <w:qFormat/>
    <w:uiPriority w:val="0"/>
    <w:rPr>
      <w:rFonts w:ascii="MingLiU" w:hAnsi="MingLiU" w:eastAsia="MingLiU" w:cs="MingLiU"/>
      <w:color w:val="000000"/>
      <w:spacing w:val="0"/>
      <w:w w:val="100"/>
      <w:position w:val="0"/>
      <w:sz w:val="23"/>
      <w:szCs w:val="23"/>
      <w:shd w:val="clear" w:color="auto" w:fill="FFFFFF"/>
      <w:lang w:val="zh-TW" w:eastAsia="zh-TW" w:bidi="zh-TW"/>
    </w:rPr>
  </w:style>
  <w:style w:type="character" w:customStyle="1" w:styleId="191">
    <w:name w:val="标题 #8 + 间距 0 pt"/>
    <w:qFormat/>
    <w:uiPriority w:val="0"/>
    <w:rPr>
      <w:rFonts w:ascii="MingLiU" w:hAnsi="MingLiU" w:eastAsia="MingLiU" w:cs="MingLiU"/>
      <w:color w:val="000000"/>
      <w:spacing w:val="0"/>
      <w:w w:val="100"/>
      <w:position w:val="0"/>
      <w:sz w:val="23"/>
      <w:szCs w:val="23"/>
      <w:shd w:val="clear" w:color="auto" w:fill="FFFFFF"/>
      <w:lang w:val="zh-TW" w:eastAsia="zh-TW" w:bidi="zh-TW"/>
    </w:rPr>
  </w:style>
  <w:style w:type="character" w:customStyle="1" w:styleId="192">
    <w:name w:val="正文文本 Char1"/>
    <w:link w:val="17"/>
    <w:qFormat/>
    <w:uiPriority w:val="1"/>
    <w:rPr>
      <w:kern w:val="2"/>
      <w:sz w:val="28"/>
      <w:szCs w:val="24"/>
    </w:rPr>
  </w:style>
  <w:style w:type="character" w:customStyle="1" w:styleId="193">
    <w:name w:val="页眉或页脚_"/>
    <w:qFormat/>
    <w:uiPriority w:val="0"/>
    <w:rPr>
      <w:rFonts w:ascii="MingLiU" w:hAnsi="MingLiU" w:eastAsia="MingLiU" w:cs="MingLiU"/>
      <w:b/>
      <w:bCs/>
      <w:sz w:val="20"/>
      <w:szCs w:val="20"/>
      <w:u w:val="none"/>
    </w:rPr>
  </w:style>
  <w:style w:type="character" w:customStyle="1" w:styleId="194">
    <w:name w:val="页眉或页脚"/>
    <w:qFormat/>
    <w:uiPriority w:val="0"/>
    <w:rPr>
      <w:rFonts w:ascii="MingLiU" w:hAnsi="MingLiU" w:eastAsia="MingLiU" w:cs="MingLiU"/>
      <w:b/>
      <w:bCs/>
      <w:color w:val="000000"/>
      <w:spacing w:val="0"/>
      <w:w w:val="100"/>
      <w:position w:val="0"/>
      <w:sz w:val="20"/>
      <w:szCs w:val="20"/>
      <w:u w:val="none"/>
      <w:lang w:val="zh-TW" w:eastAsia="zh-TW" w:bidi="zh-TW"/>
    </w:rPr>
  </w:style>
  <w:style w:type="character" w:customStyle="1" w:styleId="195">
    <w:name w:val="标题 #7_"/>
    <w:link w:val="163"/>
    <w:qFormat/>
    <w:uiPriority w:val="0"/>
    <w:rPr>
      <w:rFonts w:ascii="宋体" w:hAnsi="宋体" w:cs="宋体"/>
      <w:color w:val="000000"/>
      <w:sz w:val="24"/>
      <w:szCs w:val="24"/>
      <w:shd w:val="clear" w:color="auto" w:fill="FFFFFF"/>
    </w:rPr>
  </w:style>
  <w:style w:type="character" w:customStyle="1" w:styleId="196">
    <w:name w:val="标题 #8_"/>
    <w:link w:val="197"/>
    <w:qFormat/>
    <w:uiPriority w:val="0"/>
    <w:rPr>
      <w:rFonts w:ascii="MingLiU" w:hAnsi="MingLiU" w:eastAsia="MingLiU" w:cs="MingLiU"/>
      <w:spacing w:val="20"/>
      <w:sz w:val="23"/>
      <w:szCs w:val="23"/>
      <w:shd w:val="clear" w:color="auto" w:fill="FFFFFF"/>
    </w:rPr>
  </w:style>
  <w:style w:type="paragraph" w:customStyle="1" w:styleId="197">
    <w:name w:val="标题 #8"/>
    <w:basedOn w:val="1"/>
    <w:link w:val="196"/>
    <w:qFormat/>
    <w:uiPriority w:val="0"/>
    <w:pPr>
      <w:shd w:val="clear" w:color="auto" w:fill="FFFFFF"/>
      <w:spacing w:before="120" w:after="420" w:line="0" w:lineRule="atLeast"/>
      <w:jc w:val="left"/>
      <w:outlineLvl w:val="7"/>
    </w:pPr>
    <w:rPr>
      <w:rFonts w:ascii="MingLiU" w:hAnsi="MingLiU" w:eastAsia="MingLiU"/>
      <w:spacing w:val="20"/>
      <w:kern w:val="0"/>
      <w:sz w:val="23"/>
      <w:szCs w:val="23"/>
    </w:rPr>
  </w:style>
  <w:style w:type="character" w:customStyle="1" w:styleId="198">
    <w:name w:val="标题 #2 + 间距 3 pt"/>
    <w:qFormat/>
    <w:uiPriority w:val="0"/>
    <w:rPr>
      <w:rFonts w:ascii="MingLiU" w:hAnsi="MingLiU" w:eastAsia="MingLiU" w:cs="MingLiU"/>
      <w:color w:val="000000"/>
      <w:spacing w:val="70"/>
      <w:w w:val="100"/>
      <w:position w:val="0"/>
      <w:sz w:val="56"/>
      <w:szCs w:val="56"/>
      <w:u w:val="none"/>
      <w:lang w:val="zh-TW" w:eastAsia="zh-TW" w:bidi="zh-TW"/>
    </w:rPr>
  </w:style>
  <w:style w:type="character" w:customStyle="1" w:styleId="199">
    <w:name w:val="正文文本 (8)_"/>
    <w:link w:val="200"/>
    <w:qFormat/>
    <w:uiPriority w:val="0"/>
    <w:rPr>
      <w:rFonts w:ascii="MingLiU" w:hAnsi="MingLiU" w:eastAsia="MingLiU" w:cs="MingLiU"/>
      <w:spacing w:val="90"/>
      <w:sz w:val="28"/>
      <w:szCs w:val="28"/>
      <w:shd w:val="clear" w:color="auto" w:fill="FFFFFF"/>
    </w:rPr>
  </w:style>
  <w:style w:type="paragraph" w:customStyle="1" w:styleId="200">
    <w:name w:val="正文文本 (8)"/>
    <w:basedOn w:val="1"/>
    <w:link w:val="199"/>
    <w:qFormat/>
    <w:uiPriority w:val="0"/>
    <w:pPr>
      <w:shd w:val="clear" w:color="auto" w:fill="FFFFFF"/>
      <w:spacing w:before="900" w:line="600" w:lineRule="exact"/>
      <w:ind w:hanging="1800"/>
      <w:jc w:val="distribute"/>
    </w:pPr>
    <w:rPr>
      <w:rFonts w:ascii="MingLiU" w:hAnsi="MingLiU" w:eastAsia="MingLiU"/>
      <w:spacing w:val="90"/>
      <w:kern w:val="0"/>
      <w:sz w:val="28"/>
      <w:szCs w:val="28"/>
    </w:rPr>
  </w:style>
  <w:style w:type="character" w:customStyle="1" w:styleId="201">
    <w:name w:val="标题 #7 + 间距 0 pt"/>
    <w:qFormat/>
    <w:uiPriority w:val="0"/>
    <w:rPr>
      <w:rFonts w:ascii="MingLiU" w:hAnsi="MingLiU" w:eastAsia="MingLiU" w:cs="MingLiU"/>
      <w:color w:val="000000"/>
      <w:spacing w:val="0"/>
      <w:w w:val="100"/>
      <w:position w:val="0"/>
      <w:sz w:val="28"/>
      <w:szCs w:val="28"/>
      <w:u w:val="none"/>
      <w:shd w:val="clear" w:color="auto" w:fill="FFFFFF"/>
      <w:lang w:val="zh-TW" w:eastAsia="zh-TW" w:bidi="zh-TW"/>
    </w:rPr>
  </w:style>
  <w:style w:type="character" w:customStyle="1" w:styleId="202">
    <w:name w:val="正文文本 (2) + 间距 2 pt"/>
    <w:qFormat/>
    <w:uiPriority w:val="0"/>
    <w:rPr>
      <w:rFonts w:ascii="MingLiU" w:hAnsi="MingLiU" w:eastAsia="MingLiU" w:cs="MingLiU"/>
      <w:color w:val="000000"/>
      <w:spacing w:val="40"/>
      <w:w w:val="100"/>
      <w:position w:val="0"/>
      <w:sz w:val="22"/>
      <w:szCs w:val="22"/>
      <w:u w:val="none"/>
      <w:shd w:val="clear" w:color="auto" w:fill="FFFFFF"/>
      <w:lang w:val="zh-TW" w:eastAsia="zh-TW" w:bidi="zh-TW"/>
    </w:rPr>
  </w:style>
  <w:style w:type="character" w:customStyle="1" w:styleId="203">
    <w:name w:val="标题 #5 (2)_"/>
    <w:link w:val="204"/>
    <w:qFormat/>
    <w:uiPriority w:val="0"/>
    <w:rPr>
      <w:rFonts w:ascii="MingLiU" w:hAnsi="MingLiU" w:eastAsia="MingLiU" w:cs="MingLiU"/>
      <w:sz w:val="32"/>
      <w:szCs w:val="32"/>
      <w:shd w:val="clear" w:color="auto" w:fill="FFFFFF"/>
    </w:rPr>
  </w:style>
  <w:style w:type="paragraph" w:customStyle="1" w:styleId="204">
    <w:name w:val="标题 #5 (2)"/>
    <w:basedOn w:val="1"/>
    <w:link w:val="203"/>
    <w:qFormat/>
    <w:uiPriority w:val="0"/>
    <w:pPr>
      <w:shd w:val="clear" w:color="auto" w:fill="FFFFFF"/>
      <w:spacing w:line="0" w:lineRule="atLeast"/>
      <w:jc w:val="center"/>
      <w:outlineLvl w:val="4"/>
    </w:pPr>
    <w:rPr>
      <w:rFonts w:ascii="MingLiU" w:hAnsi="MingLiU" w:eastAsia="MingLiU"/>
      <w:kern w:val="0"/>
      <w:sz w:val="32"/>
      <w:szCs w:val="32"/>
    </w:rPr>
  </w:style>
  <w:style w:type="character" w:customStyle="1" w:styleId="205">
    <w:name w:val="正文文本 (20)_"/>
    <w:link w:val="206"/>
    <w:qFormat/>
    <w:uiPriority w:val="0"/>
    <w:rPr>
      <w:rFonts w:ascii="MingLiU" w:hAnsi="MingLiU" w:eastAsia="MingLiU" w:cs="MingLiU"/>
      <w:sz w:val="26"/>
      <w:szCs w:val="26"/>
      <w:shd w:val="clear" w:color="auto" w:fill="FFFFFF"/>
    </w:rPr>
  </w:style>
  <w:style w:type="paragraph" w:customStyle="1" w:styleId="206">
    <w:name w:val="正文文本 (20)"/>
    <w:basedOn w:val="1"/>
    <w:link w:val="205"/>
    <w:qFormat/>
    <w:uiPriority w:val="0"/>
    <w:pPr>
      <w:shd w:val="clear" w:color="auto" w:fill="FFFFFF"/>
      <w:spacing w:before="300" w:after="300" w:line="0" w:lineRule="atLeast"/>
    </w:pPr>
    <w:rPr>
      <w:rFonts w:ascii="MingLiU" w:hAnsi="MingLiU" w:eastAsia="MingLiU"/>
      <w:kern w:val="0"/>
      <w:sz w:val="26"/>
      <w:szCs w:val="26"/>
    </w:rPr>
  </w:style>
  <w:style w:type="character" w:customStyle="1" w:styleId="207">
    <w:name w:val="正文文本 (21)_"/>
    <w:link w:val="208"/>
    <w:qFormat/>
    <w:uiPriority w:val="0"/>
    <w:rPr>
      <w:rFonts w:ascii="MingLiU" w:hAnsi="MingLiU" w:eastAsia="MingLiU" w:cs="MingLiU"/>
      <w:spacing w:val="40"/>
      <w:szCs w:val="21"/>
      <w:shd w:val="clear" w:color="auto" w:fill="FFFFFF"/>
    </w:rPr>
  </w:style>
  <w:style w:type="paragraph" w:customStyle="1" w:styleId="208">
    <w:name w:val="正文文本 (21)"/>
    <w:basedOn w:val="1"/>
    <w:link w:val="207"/>
    <w:qFormat/>
    <w:uiPriority w:val="0"/>
    <w:pPr>
      <w:shd w:val="clear" w:color="auto" w:fill="FFFFFF"/>
      <w:spacing w:line="480" w:lineRule="exact"/>
      <w:ind w:firstLine="520"/>
      <w:jc w:val="distribute"/>
    </w:pPr>
    <w:rPr>
      <w:rFonts w:ascii="MingLiU" w:hAnsi="MingLiU" w:eastAsia="MingLiU"/>
      <w:spacing w:val="40"/>
      <w:kern w:val="0"/>
      <w:sz w:val="20"/>
      <w:szCs w:val="21"/>
    </w:rPr>
  </w:style>
  <w:style w:type="character" w:customStyle="1" w:styleId="209">
    <w:name w:val="标题 #7 (3)_"/>
    <w:link w:val="210"/>
    <w:qFormat/>
    <w:uiPriority w:val="0"/>
    <w:rPr>
      <w:rFonts w:ascii="MingLiU" w:hAnsi="MingLiU" w:eastAsia="MingLiU" w:cs="MingLiU"/>
      <w:sz w:val="26"/>
      <w:szCs w:val="26"/>
      <w:shd w:val="clear" w:color="auto" w:fill="FFFFFF"/>
    </w:rPr>
  </w:style>
  <w:style w:type="paragraph" w:customStyle="1" w:styleId="210">
    <w:name w:val="标题 #7 (3)"/>
    <w:basedOn w:val="1"/>
    <w:link w:val="209"/>
    <w:qFormat/>
    <w:uiPriority w:val="0"/>
    <w:pPr>
      <w:shd w:val="clear" w:color="auto" w:fill="FFFFFF"/>
      <w:spacing w:before="60" w:after="300" w:line="0" w:lineRule="atLeast"/>
      <w:jc w:val="left"/>
      <w:outlineLvl w:val="6"/>
    </w:pPr>
    <w:rPr>
      <w:rFonts w:ascii="MingLiU" w:hAnsi="MingLiU" w:eastAsia="MingLiU"/>
      <w:kern w:val="0"/>
      <w:sz w:val="26"/>
      <w:szCs w:val="26"/>
    </w:rPr>
  </w:style>
  <w:style w:type="character" w:customStyle="1" w:styleId="211">
    <w:name w:val="标题 #7 (4)_"/>
    <w:link w:val="212"/>
    <w:qFormat/>
    <w:uiPriority w:val="0"/>
    <w:rPr>
      <w:rFonts w:ascii="MingLiU" w:hAnsi="MingLiU" w:eastAsia="MingLiU" w:cs="MingLiU"/>
      <w:sz w:val="26"/>
      <w:szCs w:val="26"/>
      <w:shd w:val="clear" w:color="auto" w:fill="FFFFFF"/>
    </w:rPr>
  </w:style>
  <w:style w:type="paragraph" w:customStyle="1" w:styleId="212">
    <w:name w:val="标题 #7 (4)"/>
    <w:basedOn w:val="1"/>
    <w:link w:val="211"/>
    <w:qFormat/>
    <w:uiPriority w:val="0"/>
    <w:pPr>
      <w:shd w:val="clear" w:color="auto" w:fill="FFFFFF"/>
      <w:spacing w:before="60" w:after="300" w:line="0" w:lineRule="atLeast"/>
      <w:jc w:val="left"/>
      <w:outlineLvl w:val="6"/>
    </w:pPr>
    <w:rPr>
      <w:rFonts w:ascii="MingLiU" w:hAnsi="MingLiU" w:eastAsia="MingLiU"/>
      <w:kern w:val="0"/>
      <w:sz w:val="26"/>
      <w:szCs w:val="26"/>
    </w:rPr>
  </w:style>
  <w:style w:type="character" w:customStyle="1" w:styleId="213">
    <w:name w:val="标题 #7 (3) + 间距 1 pt"/>
    <w:qFormat/>
    <w:uiPriority w:val="0"/>
    <w:rPr>
      <w:rFonts w:ascii="MingLiU" w:hAnsi="MingLiU" w:eastAsia="MingLiU" w:cs="MingLiU"/>
      <w:color w:val="000000"/>
      <w:spacing w:val="20"/>
      <w:w w:val="100"/>
      <w:position w:val="0"/>
      <w:sz w:val="26"/>
      <w:szCs w:val="26"/>
      <w:shd w:val="clear" w:color="auto" w:fill="FFFFFF"/>
      <w:lang w:val="zh-TW" w:eastAsia="zh-TW" w:bidi="zh-TW"/>
    </w:rPr>
  </w:style>
  <w:style w:type="character" w:customStyle="1" w:styleId="214">
    <w:name w:val="正文文本 (8) + 间距 0 pt"/>
    <w:qFormat/>
    <w:uiPriority w:val="0"/>
    <w:rPr>
      <w:rFonts w:ascii="MingLiU" w:hAnsi="MingLiU" w:eastAsia="MingLiU" w:cs="MingLiU"/>
      <w:color w:val="000000"/>
      <w:spacing w:val="0"/>
      <w:w w:val="100"/>
      <w:position w:val="0"/>
      <w:sz w:val="28"/>
      <w:szCs w:val="28"/>
      <w:shd w:val="clear" w:color="auto" w:fill="FFFFFF"/>
      <w:lang w:val="zh-TW" w:eastAsia="zh-TW" w:bidi="zh-TW"/>
    </w:rPr>
  </w:style>
  <w:style w:type="character" w:customStyle="1" w:styleId="215">
    <w:name w:val="标题 #5 (2) + 间距 2 pt"/>
    <w:qFormat/>
    <w:uiPriority w:val="0"/>
    <w:rPr>
      <w:rFonts w:ascii="MingLiU" w:hAnsi="MingLiU" w:eastAsia="MingLiU" w:cs="MingLiU"/>
      <w:color w:val="000000"/>
      <w:spacing w:val="40"/>
      <w:w w:val="100"/>
      <w:position w:val="0"/>
      <w:sz w:val="32"/>
      <w:szCs w:val="32"/>
      <w:u w:val="none"/>
      <w:shd w:val="clear" w:color="auto" w:fill="FFFFFF"/>
      <w:lang w:val="zh-TW" w:eastAsia="zh-TW" w:bidi="zh-TW"/>
    </w:rPr>
  </w:style>
  <w:style w:type="character" w:customStyle="1" w:styleId="216">
    <w:name w:val="目录 2 Char"/>
    <w:link w:val="35"/>
    <w:qFormat/>
    <w:uiPriority w:val="0"/>
    <w:rPr>
      <w:smallCaps/>
      <w:kern w:val="2"/>
    </w:rPr>
  </w:style>
  <w:style w:type="character" w:customStyle="1" w:styleId="217">
    <w:name w:val="目录 (6)_"/>
    <w:link w:val="218"/>
    <w:qFormat/>
    <w:uiPriority w:val="0"/>
    <w:rPr>
      <w:rFonts w:ascii="MingLiU" w:hAnsi="MingLiU" w:eastAsia="MingLiU" w:cs="MingLiU"/>
      <w:sz w:val="23"/>
      <w:szCs w:val="23"/>
      <w:shd w:val="clear" w:color="auto" w:fill="FFFFFF"/>
    </w:rPr>
  </w:style>
  <w:style w:type="paragraph" w:customStyle="1" w:styleId="218">
    <w:name w:val="目录 (6)"/>
    <w:basedOn w:val="1"/>
    <w:link w:val="217"/>
    <w:qFormat/>
    <w:uiPriority w:val="0"/>
    <w:pPr>
      <w:shd w:val="clear" w:color="auto" w:fill="FFFFFF"/>
      <w:spacing w:line="478" w:lineRule="exact"/>
      <w:jc w:val="distribute"/>
    </w:pPr>
    <w:rPr>
      <w:rFonts w:ascii="MingLiU" w:hAnsi="MingLiU" w:eastAsia="MingLiU"/>
      <w:kern w:val="0"/>
      <w:sz w:val="23"/>
      <w:szCs w:val="23"/>
    </w:rPr>
  </w:style>
  <w:style w:type="character" w:customStyle="1" w:styleId="219">
    <w:name w:val="目录 (2) + 11.5 pt"/>
    <w:qFormat/>
    <w:uiPriority w:val="0"/>
    <w:rPr>
      <w:rFonts w:ascii="宋体" w:hAnsi="宋体" w:eastAsia="宋体" w:cs="MingLiU"/>
      <w:color w:val="000000"/>
      <w:spacing w:val="0"/>
      <w:w w:val="100"/>
      <w:position w:val="0"/>
      <w:sz w:val="23"/>
      <w:szCs w:val="23"/>
      <w:lang w:val="zh-TW" w:eastAsia="zh-TW" w:bidi="zh-TW"/>
    </w:rPr>
  </w:style>
  <w:style w:type="character" w:customStyle="1" w:styleId="220">
    <w:name w:val="目录 (7)_"/>
    <w:link w:val="221"/>
    <w:qFormat/>
    <w:uiPriority w:val="0"/>
    <w:rPr>
      <w:rFonts w:ascii="MingLiU" w:hAnsi="MingLiU" w:eastAsia="MingLiU" w:cs="MingLiU"/>
      <w:sz w:val="26"/>
      <w:szCs w:val="26"/>
      <w:shd w:val="clear" w:color="auto" w:fill="FFFFFF"/>
    </w:rPr>
  </w:style>
  <w:style w:type="paragraph" w:customStyle="1" w:styleId="221">
    <w:name w:val="目录 (7)"/>
    <w:basedOn w:val="1"/>
    <w:link w:val="220"/>
    <w:qFormat/>
    <w:uiPriority w:val="0"/>
    <w:pPr>
      <w:shd w:val="clear" w:color="auto" w:fill="FFFFFF"/>
      <w:spacing w:before="300" w:line="576" w:lineRule="exact"/>
      <w:ind w:hanging="520"/>
      <w:jc w:val="left"/>
    </w:pPr>
    <w:rPr>
      <w:rFonts w:ascii="MingLiU" w:hAnsi="MingLiU" w:eastAsia="MingLiU"/>
      <w:kern w:val="0"/>
      <w:sz w:val="26"/>
      <w:szCs w:val="26"/>
    </w:rPr>
  </w:style>
  <w:style w:type="character" w:customStyle="1" w:styleId="222">
    <w:name w:val="目录 (7) + 11.5 pt"/>
    <w:qFormat/>
    <w:uiPriority w:val="0"/>
    <w:rPr>
      <w:rFonts w:ascii="MingLiU" w:hAnsi="MingLiU" w:eastAsia="MingLiU" w:cs="MingLiU"/>
      <w:color w:val="000000"/>
      <w:spacing w:val="0"/>
      <w:w w:val="100"/>
      <w:position w:val="0"/>
      <w:sz w:val="23"/>
      <w:szCs w:val="23"/>
      <w:shd w:val="clear" w:color="auto" w:fill="FFFFFF"/>
      <w:lang w:val="zh-TW" w:eastAsia="zh-TW" w:bidi="zh-TW"/>
    </w:rPr>
  </w:style>
  <w:style w:type="character" w:customStyle="1" w:styleId="223">
    <w:name w:val="正文文本 (7)_"/>
    <w:qFormat/>
    <w:uiPriority w:val="0"/>
    <w:rPr>
      <w:rFonts w:ascii="MingLiU" w:hAnsi="MingLiU" w:eastAsia="MingLiU" w:cs="MingLiU"/>
      <w:u w:val="none"/>
    </w:rPr>
  </w:style>
  <w:style w:type="character" w:customStyle="1" w:styleId="224">
    <w:name w:val="正文文本 (9)_"/>
    <w:link w:val="225"/>
    <w:qFormat/>
    <w:uiPriority w:val="0"/>
    <w:rPr>
      <w:rFonts w:ascii="MingLiU" w:hAnsi="MingLiU" w:eastAsia="MingLiU" w:cs="MingLiU"/>
      <w:shd w:val="clear" w:color="auto" w:fill="FFFFFF"/>
    </w:rPr>
  </w:style>
  <w:style w:type="paragraph" w:customStyle="1" w:styleId="225">
    <w:name w:val="正文文本 (9)"/>
    <w:basedOn w:val="1"/>
    <w:link w:val="224"/>
    <w:qFormat/>
    <w:uiPriority w:val="0"/>
    <w:pPr>
      <w:shd w:val="clear" w:color="auto" w:fill="FFFFFF"/>
      <w:spacing w:before="600" w:line="451" w:lineRule="exact"/>
      <w:jc w:val="distribute"/>
    </w:pPr>
    <w:rPr>
      <w:rFonts w:ascii="MingLiU" w:hAnsi="MingLiU" w:eastAsia="MingLiU"/>
      <w:kern w:val="0"/>
      <w:sz w:val="20"/>
      <w:szCs w:val="20"/>
    </w:rPr>
  </w:style>
  <w:style w:type="character" w:customStyle="1" w:styleId="226">
    <w:name w:val="标题 #6_"/>
    <w:link w:val="227"/>
    <w:qFormat/>
    <w:uiPriority w:val="0"/>
    <w:rPr>
      <w:rFonts w:ascii="MingLiU" w:hAnsi="MingLiU" w:eastAsia="MingLiU" w:cs="MingLiU"/>
      <w:sz w:val="28"/>
      <w:szCs w:val="28"/>
      <w:shd w:val="clear" w:color="auto" w:fill="FFFFFF"/>
    </w:rPr>
  </w:style>
  <w:style w:type="paragraph" w:customStyle="1" w:styleId="227">
    <w:name w:val="标题 #6"/>
    <w:basedOn w:val="1"/>
    <w:link w:val="226"/>
    <w:qFormat/>
    <w:uiPriority w:val="0"/>
    <w:pPr>
      <w:shd w:val="clear" w:color="auto" w:fill="FFFFFF"/>
      <w:spacing w:before="720" w:after="420" w:line="0" w:lineRule="atLeast"/>
      <w:jc w:val="distribute"/>
      <w:outlineLvl w:val="5"/>
    </w:pPr>
    <w:rPr>
      <w:rFonts w:ascii="MingLiU" w:hAnsi="MingLiU" w:eastAsia="MingLiU"/>
      <w:kern w:val="0"/>
      <w:sz w:val="28"/>
      <w:szCs w:val="28"/>
    </w:rPr>
  </w:style>
  <w:style w:type="character" w:customStyle="1" w:styleId="228">
    <w:name w:val="正文文本 (14)_"/>
    <w:link w:val="229"/>
    <w:qFormat/>
    <w:uiPriority w:val="0"/>
    <w:rPr>
      <w:rFonts w:ascii="MingLiU" w:hAnsi="MingLiU" w:eastAsia="MingLiU" w:cs="MingLiU"/>
      <w:sz w:val="17"/>
      <w:szCs w:val="17"/>
      <w:shd w:val="clear" w:color="auto" w:fill="FFFFFF"/>
    </w:rPr>
  </w:style>
  <w:style w:type="paragraph" w:customStyle="1" w:styleId="229">
    <w:name w:val="正文文本 (14)"/>
    <w:basedOn w:val="1"/>
    <w:link w:val="228"/>
    <w:qFormat/>
    <w:uiPriority w:val="0"/>
    <w:pPr>
      <w:shd w:val="clear" w:color="auto" w:fill="FFFFFF"/>
      <w:spacing w:before="600" w:line="319" w:lineRule="exact"/>
      <w:jc w:val="distribute"/>
    </w:pPr>
    <w:rPr>
      <w:rFonts w:ascii="MingLiU" w:hAnsi="MingLiU" w:eastAsia="MingLiU"/>
      <w:kern w:val="0"/>
      <w:sz w:val="17"/>
      <w:szCs w:val="17"/>
    </w:rPr>
  </w:style>
  <w:style w:type="character" w:customStyle="1" w:styleId="230">
    <w:name w:val="正文文本 (14) Exact"/>
    <w:qFormat/>
    <w:uiPriority w:val="0"/>
    <w:rPr>
      <w:rFonts w:ascii="MingLiU" w:hAnsi="MingLiU" w:eastAsia="MingLiU" w:cs="MingLiU"/>
      <w:sz w:val="17"/>
      <w:szCs w:val="17"/>
      <w:u w:val="none"/>
    </w:rPr>
  </w:style>
  <w:style w:type="character" w:customStyle="1" w:styleId="231">
    <w:name w:val="正文文本 (2) + 间距 6 pt"/>
    <w:qFormat/>
    <w:uiPriority w:val="0"/>
    <w:rPr>
      <w:rFonts w:ascii="MingLiU" w:hAnsi="MingLiU" w:eastAsia="MingLiU" w:cs="MingLiU"/>
      <w:color w:val="000000"/>
      <w:spacing w:val="130"/>
      <w:w w:val="100"/>
      <w:position w:val="0"/>
      <w:sz w:val="22"/>
      <w:szCs w:val="22"/>
      <w:u w:val="none"/>
      <w:shd w:val="clear" w:color="auto" w:fill="FFFFFF"/>
      <w:lang w:val="zh-TW" w:eastAsia="zh-TW" w:bidi="zh-TW"/>
    </w:rPr>
  </w:style>
  <w:style w:type="character" w:customStyle="1" w:styleId="232">
    <w:name w:val="目录 (2) + 间距 3 pt"/>
    <w:qFormat/>
    <w:uiPriority w:val="0"/>
    <w:rPr>
      <w:rFonts w:ascii="宋体" w:hAnsi="宋体" w:eastAsia="宋体" w:cs="MingLiU"/>
      <w:color w:val="000000"/>
      <w:spacing w:val="60"/>
      <w:w w:val="100"/>
      <w:position w:val="0"/>
      <w:szCs w:val="22"/>
      <w:u w:val="none"/>
      <w:lang w:val="zh-TW" w:eastAsia="zh-TW" w:bidi="zh-TW"/>
    </w:rPr>
  </w:style>
  <w:style w:type="character" w:customStyle="1" w:styleId="233">
    <w:name w:val="正文文本 (2) + 11.5 pt"/>
    <w:qFormat/>
    <w:uiPriority w:val="0"/>
    <w:rPr>
      <w:rFonts w:ascii="MingLiU" w:hAnsi="MingLiU" w:eastAsia="MingLiU" w:cs="MingLiU"/>
      <w:color w:val="000000"/>
      <w:spacing w:val="0"/>
      <w:w w:val="100"/>
      <w:position w:val="0"/>
      <w:sz w:val="23"/>
      <w:szCs w:val="23"/>
      <w:u w:val="none"/>
      <w:shd w:val="clear" w:color="auto" w:fill="FFFFFF"/>
      <w:lang w:val="zh-TW" w:eastAsia="zh-TW" w:bidi="zh-TW"/>
    </w:rPr>
  </w:style>
  <w:style w:type="character" w:customStyle="1" w:styleId="234">
    <w:name w:val="正文文本 (22)_"/>
    <w:link w:val="235"/>
    <w:qFormat/>
    <w:uiPriority w:val="0"/>
    <w:rPr>
      <w:rFonts w:ascii="MingLiU" w:hAnsi="MingLiU" w:eastAsia="MingLiU" w:cs="MingLiU"/>
      <w:spacing w:val="20"/>
      <w:sz w:val="26"/>
      <w:szCs w:val="26"/>
      <w:shd w:val="clear" w:color="auto" w:fill="FFFFFF"/>
      <w:lang w:eastAsia="en-US" w:bidi="en-US"/>
    </w:rPr>
  </w:style>
  <w:style w:type="paragraph" w:customStyle="1" w:styleId="235">
    <w:name w:val="正文文本 (22)"/>
    <w:basedOn w:val="1"/>
    <w:link w:val="234"/>
    <w:qFormat/>
    <w:uiPriority w:val="0"/>
    <w:pPr>
      <w:shd w:val="clear" w:color="auto" w:fill="FFFFFF"/>
      <w:spacing w:before="120" w:after="360" w:line="0" w:lineRule="atLeast"/>
    </w:pPr>
    <w:rPr>
      <w:rFonts w:ascii="MingLiU" w:hAnsi="MingLiU" w:eastAsia="MingLiU" w:cs="MingLiU"/>
      <w:spacing w:val="20"/>
      <w:kern w:val="0"/>
      <w:sz w:val="26"/>
      <w:szCs w:val="26"/>
      <w:lang w:eastAsia="en-US" w:bidi="en-US"/>
    </w:rPr>
  </w:style>
  <w:style w:type="character" w:customStyle="1" w:styleId="236">
    <w:name w:val="正文文本 (2) + 间距 1 pt"/>
    <w:qFormat/>
    <w:uiPriority w:val="0"/>
    <w:rPr>
      <w:rFonts w:ascii="MingLiU" w:hAnsi="MingLiU" w:eastAsia="MingLiU" w:cs="MingLiU"/>
      <w:color w:val="000000"/>
      <w:spacing w:val="30"/>
      <w:w w:val="100"/>
      <w:position w:val="0"/>
      <w:sz w:val="22"/>
      <w:szCs w:val="22"/>
      <w:u w:val="none"/>
      <w:shd w:val="clear" w:color="auto" w:fill="FFFFFF"/>
      <w:lang w:val="zh-TW" w:eastAsia="zh-TW" w:bidi="zh-TW"/>
    </w:rPr>
  </w:style>
  <w:style w:type="character" w:customStyle="1" w:styleId="237">
    <w:name w:val="标题 #7 + 间距 7 pt"/>
    <w:qFormat/>
    <w:uiPriority w:val="0"/>
    <w:rPr>
      <w:rFonts w:ascii="MingLiU" w:hAnsi="MingLiU" w:eastAsia="MingLiU" w:cs="MingLiU"/>
      <w:color w:val="000000"/>
      <w:spacing w:val="140"/>
      <w:w w:val="100"/>
      <w:position w:val="0"/>
      <w:sz w:val="28"/>
      <w:szCs w:val="28"/>
      <w:u w:val="none"/>
      <w:shd w:val="clear" w:color="auto" w:fill="FFFFFF"/>
      <w:lang w:val="zh-TW" w:eastAsia="zh-TW" w:bidi="zh-TW"/>
    </w:rPr>
  </w:style>
  <w:style w:type="character" w:customStyle="1" w:styleId="238">
    <w:name w:val="目录 (2) + 间距 5 pt"/>
    <w:qFormat/>
    <w:uiPriority w:val="0"/>
    <w:rPr>
      <w:rFonts w:ascii="宋体" w:hAnsi="宋体" w:eastAsia="宋体" w:cs="MingLiU"/>
      <w:color w:val="000000"/>
      <w:spacing w:val="100"/>
      <w:w w:val="100"/>
      <w:position w:val="0"/>
      <w:szCs w:val="22"/>
      <w:u w:val="none"/>
      <w:lang w:val="zh-TW" w:eastAsia="zh-TW" w:bidi="zh-TW"/>
    </w:rPr>
  </w:style>
  <w:style w:type="character" w:customStyle="1" w:styleId="239">
    <w:name w:val="正文文本 (23) Exact"/>
    <w:link w:val="240"/>
    <w:qFormat/>
    <w:uiPriority w:val="0"/>
    <w:rPr>
      <w:rFonts w:ascii="MingLiU" w:hAnsi="MingLiU" w:eastAsia="MingLiU" w:cs="MingLiU"/>
      <w:sz w:val="18"/>
      <w:szCs w:val="18"/>
      <w:shd w:val="clear" w:color="auto" w:fill="FFFFFF"/>
    </w:rPr>
  </w:style>
  <w:style w:type="paragraph" w:customStyle="1" w:styleId="240">
    <w:name w:val="正文文本 (23)"/>
    <w:basedOn w:val="1"/>
    <w:link w:val="239"/>
    <w:qFormat/>
    <w:uiPriority w:val="0"/>
    <w:pPr>
      <w:shd w:val="clear" w:color="auto" w:fill="FFFFFF"/>
      <w:spacing w:line="0" w:lineRule="atLeast"/>
      <w:jc w:val="left"/>
    </w:pPr>
    <w:rPr>
      <w:rFonts w:ascii="MingLiU" w:hAnsi="MingLiU" w:eastAsia="MingLiU"/>
      <w:kern w:val="0"/>
      <w:sz w:val="18"/>
      <w:szCs w:val="18"/>
    </w:rPr>
  </w:style>
  <w:style w:type="character" w:customStyle="1" w:styleId="241">
    <w:name w:val="正文文本 (24) Exact"/>
    <w:link w:val="242"/>
    <w:qFormat/>
    <w:uiPriority w:val="0"/>
    <w:rPr>
      <w:rFonts w:ascii="MingLiU" w:hAnsi="MingLiU" w:eastAsia="MingLiU" w:cs="MingLiU"/>
      <w:spacing w:val="-20"/>
      <w:sz w:val="17"/>
      <w:szCs w:val="17"/>
      <w:shd w:val="clear" w:color="auto" w:fill="FFFFFF"/>
    </w:rPr>
  </w:style>
  <w:style w:type="paragraph" w:customStyle="1" w:styleId="242">
    <w:name w:val="正文文本 (24)"/>
    <w:basedOn w:val="1"/>
    <w:link w:val="241"/>
    <w:qFormat/>
    <w:uiPriority w:val="0"/>
    <w:pPr>
      <w:shd w:val="clear" w:color="auto" w:fill="FFFFFF"/>
      <w:spacing w:line="0" w:lineRule="atLeast"/>
      <w:jc w:val="left"/>
    </w:pPr>
    <w:rPr>
      <w:rFonts w:ascii="MingLiU" w:hAnsi="MingLiU" w:eastAsia="MingLiU"/>
      <w:spacing w:val="-20"/>
      <w:kern w:val="0"/>
      <w:sz w:val="17"/>
      <w:szCs w:val="17"/>
    </w:rPr>
  </w:style>
  <w:style w:type="character" w:customStyle="1" w:styleId="243">
    <w:name w:val="正文文本 (26) Exact"/>
    <w:link w:val="244"/>
    <w:qFormat/>
    <w:uiPriority w:val="0"/>
    <w:rPr>
      <w:rFonts w:ascii="MingLiU" w:hAnsi="MingLiU" w:eastAsia="MingLiU" w:cs="MingLiU"/>
      <w:spacing w:val="-20"/>
      <w:sz w:val="17"/>
      <w:szCs w:val="17"/>
      <w:shd w:val="clear" w:color="auto" w:fill="FFFFFF"/>
    </w:rPr>
  </w:style>
  <w:style w:type="paragraph" w:customStyle="1" w:styleId="244">
    <w:name w:val="正文文本 (26)"/>
    <w:basedOn w:val="1"/>
    <w:link w:val="243"/>
    <w:qFormat/>
    <w:uiPriority w:val="0"/>
    <w:pPr>
      <w:shd w:val="clear" w:color="auto" w:fill="FFFFFF"/>
      <w:spacing w:line="0" w:lineRule="atLeast"/>
      <w:jc w:val="left"/>
    </w:pPr>
    <w:rPr>
      <w:rFonts w:ascii="MingLiU" w:hAnsi="MingLiU" w:eastAsia="MingLiU"/>
      <w:spacing w:val="-20"/>
      <w:kern w:val="0"/>
      <w:sz w:val="17"/>
      <w:szCs w:val="17"/>
    </w:rPr>
  </w:style>
  <w:style w:type="character" w:customStyle="1" w:styleId="245">
    <w:name w:val="正文文本 (2) + 间距 7 pt"/>
    <w:qFormat/>
    <w:uiPriority w:val="0"/>
    <w:rPr>
      <w:rFonts w:ascii="MingLiU" w:hAnsi="MingLiU" w:eastAsia="MingLiU" w:cs="MingLiU"/>
      <w:color w:val="000000"/>
      <w:spacing w:val="150"/>
      <w:w w:val="100"/>
      <w:position w:val="0"/>
      <w:sz w:val="22"/>
      <w:szCs w:val="22"/>
      <w:u w:val="none"/>
      <w:shd w:val="clear" w:color="auto" w:fill="FFFFFF"/>
      <w:lang w:val="zh-TW" w:eastAsia="zh-TW" w:bidi="zh-TW"/>
    </w:rPr>
  </w:style>
  <w:style w:type="character" w:customStyle="1" w:styleId="246">
    <w:name w:val="正文文本 (25)_"/>
    <w:link w:val="247"/>
    <w:qFormat/>
    <w:uiPriority w:val="0"/>
    <w:rPr>
      <w:rFonts w:ascii="MingLiU" w:hAnsi="MingLiU" w:eastAsia="MingLiU" w:cs="MingLiU"/>
      <w:sz w:val="22"/>
      <w:shd w:val="clear" w:color="auto" w:fill="FFFFFF"/>
    </w:rPr>
  </w:style>
  <w:style w:type="paragraph" w:customStyle="1" w:styleId="247">
    <w:name w:val="正文文本 (25)"/>
    <w:basedOn w:val="1"/>
    <w:link w:val="246"/>
    <w:qFormat/>
    <w:uiPriority w:val="0"/>
    <w:pPr>
      <w:shd w:val="clear" w:color="auto" w:fill="FFFFFF"/>
      <w:spacing w:after="120" w:line="0" w:lineRule="atLeast"/>
      <w:jc w:val="distribute"/>
    </w:pPr>
    <w:rPr>
      <w:rFonts w:ascii="MingLiU" w:hAnsi="MingLiU" w:eastAsia="MingLiU"/>
      <w:kern w:val="0"/>
      <w:sz w:val="22"/>
      <w:szCs w:val="20"/>
    </w:rPr>
  </w:style>
  <w:style w:type="character" w:customStyle="1" w:styleId="248">
    <w:name w:val="正文文本 (27) Exact"/>
    <w:link w:val="249"/>
    <w:qFormat/>
    <w:uiPriority w:val="0"/>
    <w:rPr>
      <w:rFonts w:ascii="MingLiU" w:hAnsi="MingLiU" w:eastAsia="MingLiU" w:cs="MingLiU"/>
      <w:spacing w:val="40"/>
      <w:sz w:val="36"/>
      <w:szCs w:val="36"/>
      <w:shd w:val="clear" w:color="auto" w:fill="FFFFFF"/>
    </w:rPr>
  </w:style>
  <w:style w:type="paragraph" w:customStyle="1" w:styleId="249">
    <w:name w:val="正文文本 (27)"/>
    <w:basedOn w:val="1"/>
    <w:link w:val="248"/>
    <w:qFormat/>
    <w:uiPriority w:val="0"/>
    <w:pPr>
      <w:shd w:val="clear" w:color="auto" w:fill="FFFFFF"/>
      <w:spacing w:line="0" w:lineRule="atLeast"/>
      <w:jc w:val="left"/>
    </w:pPr>
    <w:rPr>
      <w:rFonts w:ascii="MingLiU" w:hAnsi="MingLiU" w:eastAsia="MingLiU"/>
      <w:spacing w:val="40"/>
      <w:kern w:val="0"/>
      <w:sz w:val="36"/>
      <w:szCs w:val="36"/>
    </w:rPr>
  </w:style>
  <w:style w:type="character" w:customStyle="1" w:styleId="250">
    <w:name w:val="正文文本 (9) Exact"/>
    <w:qFormat/>
    <w:uiPriority w:val="0"/>
    <w:rPr>
      <w:rFonts w:ascii="MingLiU" w:hAnsi="MingLiU" w:eastAsia="MingLiU" w:cs="MingLiU"/>
      <w:u w:val="none"/>
    </w:rPr>
  </w:style>
  <w:style w:type="character" w:customStyle="1" w:styleId="251">
    <w:name w:val="页眉或页脚 + Times New Roman"/>
    <w:qFormat/>
    <w:uiPriority w:val="0"/>
    <w:rPr>
      <w:rFonts w:ascii="Times New Roman" w:hAnsi="Times New Roman" w:eastAsia="Times New Roman" w:cs="Times New Roman"/>
      <w:b/>
      <w:bCs/>
      <w:color w:val="000000"/>
      <w:spacing w:val="0"/>
      <w:w w:val="100"/>
      <w:position w:val="0"/>
      <w:sz w:val="17"/>
      <w:szCs w:val="17"/>
      <w:u w:val="none"/>
      <w:lang w:val="en-US" w:eastAsia="en-US" w:bidi="en-US"/>
    </w:rPr>
  </w:style>
  <w:style w:type="character" w:customStyle="1" w:styleId="252">
    <w:name w:val="正文文本 (2) + 5 pt"/>
    <w:qFormat/>
    <w:uiPriority w:val="0"/>
    <w:rPr>
      <w:rFonts w:ascii="MingLiU" w:hAnsi="MingLiU" w:eastAsia="MingLiU" w:cs="MingLiU"/>
      <w:color w:val="000000"/>
      <w:spacing w:val="140"/>
      <w:w w:val="100"/>
      <w:position w:val="0"/>
      <w:sz w:val="10"/>
      <w:szCs w:val="10"/>
      <w:u w:val="none"/>
      <w:shd w:val="clear" w:color="auto" w:fill="FFFFFF"/>
      <w:lang w:val="zh-TW" w:eastAsia="zh-TW" w:bidi="zh-TW"/>
    </w:rPr>
  </w:style>
  <w:style w:type="character" w:customStyle="1" w:styleId="253">
    <w:name w:val="正文文本 (7)"/>
    <w:qFormat/>
    <w:uiPriority w:val="0"/>
    <w:rPr>
      <w:rFonts w:ascii="MingLiU" w:hAnsi="MingLiU" w:eastAsia="MingLiU" w:cs="MingLiU"/>
      <w:color w:val="000000"/>
      <w:spacing w:val="0"/>
      <w:w w:val="100"/>
      <w:position w:val="0"/>
      <w:sz w:val="24"/>
      <w:szCs w:val="24"/>
      <w:u w:val="none"/>
      <w:lang w:val="zh-TW" w:eastAsia="zh-TW" w:bidi="zh-TW"/>
    </w:rPr>
  </w:style>
  <w:style w:type="character" w:customStyle="1" w:styleId="254">
    <w:name w:val="正文文本 (2) + 9.5 pt17"/>
    <w:basedOn w:val="58"/>
    <w:qFormat/>
    <w:uiPriority w:val="0"/>
    <w:rPr>
      <w:rFonts w:ascii="宋体" w:hAnsi="宋体" w:eastAsia="宋体" w:cs="宋体"/>
      <w:b/>
      <w:bCs/>
      <w:color w:val="000000"/>
      <w:spacing w:val="0"/>
      <w:w w:val="100"/>
      <w:position w:val="0"/>
      <w:sz w:val="19"/>
      <w:szCs w:val="19"/>
      <w:u w:val="none"/>
      <w:shd w:val="clear" w:color="auto" w:fill="FFFFFF"/>
      <w:lang w:val="zh-CN" w:eastAsia="zh-CN" w:bidi="zh-CN"/>
    </w:rPr>
  </w:style>
  <w:style w:type="character" w:customStyle="1" w:styleId="255">
    <w:name w:val="正文文本 (8) + Arial Narrow"/>
    <w:basedOn w:val="199"/>
    <w:qFormat/>
    <w:uiPriority w:val="0"/>
    <w:rPr>
      <w:rFonts w:ascii="Arial Narrow" w:hAnsi="Arial Narrow" w:eastAsia="Arial Narrow" w:cs="Arial Narrow"/>
      <w:b/>
      <w:bCs/>
      <w:color w:val="000000"/>
      <w:spacing w:val="0"/>
      <w:w w:val="100"/>
      <w:position w:val="0"/>
      <w:sz w:val="24"/>
      <w:szCs w:val="24"/>
      <w:u w:val="none"/>
      <w:shd w:val="clear" w:color="auto" w:fill="FFFFFF"/>
      <w:lang w:val="en-US" w:eastAsia="en-US" w:bidi="en-US"/>
    </w:rPr>
  </w:style>
  <w:style w:type="character" w:customStyle="1" w:styleId="256">
    <w:name w:val="纯文本 Char2"/>
    <w:basedOn w:val="45"/>
    <w:link w:val="21"/>
    <w:qFormat/>
    <w:uiPriority w:val="0"/>
    <w:rPr>
      <w:rFonts w:ascii="宋体" w:hAnsi="Courier New" w:cs="Courier New"/>
      <w:kern w:val="2"/>
      <w:sz w:val="21"/>
      <w:szCs w:val="21"/>
    </w:rPr>
  </w:style>
  <w:style w:type="character" w:customStyle="1" w:styleId="257">
    <w:name w:val="Char Char4"/>
    <w:semiHidden/>
    <w:qFormat/>
    <w:locked/>
    <w:uiPriority w:val="0"/>
    <w:rPr>
      <w:sz w:val="18"/>
      <w:szCs w:val="18"/>
      <w:lang w:bidi="ar-SA"/>
    </w:rPr>
  </w:style>
  <w:style w:type="character" w:customStyle="1" w:styleId="258">
    <w:name w:val="纯文本 Char1"/>
    <w:qFormat/>
    <w:locked/>
    <w:uiPriority w:val="0"/>
    <w:rPr>
      <w:rFonts w:ascii="宋体" w:hAnsi="Courier New" w:eastAsia="宋体" w:cs="宋体"/>
      <w:szCs w:val="21"/>
    </w:rPr>
  </w:style>
  <w:style w:type="paragraph" w:customStyle="1" w:styleId="259">
    <w:name w:val="_Style 254"/>
    <w:basedOn w:val="1"/>
    <w:next w:val="157"/>
    <w:qFormat/>
    <w:uiPriority w:val="34"/>
    <w:pPr>
      <w:ind w:firstLine="420" w:firstLineChars="200"/>
    </w:pPr>
    <w:rPr>
      <w:rFonts w:ascii="Calibri" w:hAnsi="Calibri"/>
    </w:rPr>
  </w:style>
  <w:style w:type="character" w:customStyle="1" w:styleId="260">
    <w:name w:val="页脚 Char"/>
    <w:qFormat/>
    <w:uiPriority w:val="0"/>
    <w:rPr>
      <w:sz w:val="18"/>
      <w:szCs w:val="18"/>
    </w:rPr>
  </w:style>
  <w:style w:type="character" w:customStyle="1" w:styleId="261">
    <w:name w:val="标题 5 Char"/>
    <w:qFormat/>
    <w:uiPriority w:val="0"/>
    <w:rPr>
      <w:bCs/>
      <w:kern w:val="2"/>
      <w:sz w:val="21"/>
      <w:szCs w:val="28"/>
    </w:rPr>
  </w:style>
  <w:style w:type="character" w:customStyle="1" w:styleId="262">
    <w:name w:val="标题 1 Char"/>
    <w:qFormat/>
    <w:uiPriority w:val="9"/>
    <w:rPr>
      <w:b/>
      <w:bCs/>
      <w:kern w:val="44"/>
      <w:sz w:val="44"/>
      <w:szCs w:val="44"/>
    </w:rPr>
  </w:style>
  <w:style w:type="character" w:customStyle="1" w:styleId="263">
    <w:name w:val="标题 2 Char"/>
    <w:qFormat/>
    <w:uiPriority w:val="0"/>
    <w:rPr>
      <w:rFonts w:ascii="Cambria" w:hAnsi="Cambria" w:eastAsia="宋体" w:cs="Times New Roman"/>
      <w:b/>
      <w:bCs/>
      <w:sz w:val="32"/>
      <w:szCs w:val="32"/>
    </w:rPr>
  </w:style>
  <w:style w:type="character" w:customStyle="1" w:styleId="264">
    <w:name w:val="纯文本 Char"/>
    <w:qFormat/>
    <w:locked/>
    <w:uiPriority w:val="0"/>
    <w:rPr>
      <w:rFonts w:ascii="宋体" w:hAnsi="Courier New" w:cs="Courier New"/>
      <w:kern w:val="2"/>
      <w:sz w:val="21"/>
      <w:szCs w:val="21"/>
    </w:rPr>
  </w:style>
  <w:style w:type="character" w:customStyle="1" w:styleId="265">
    <w:name w:val="批注框文本 Char"/>
    <w:qFormat/>
    <w:uiPriority w:val="0"/>
    <w:rPr>
      <w:sz w:val="18"/>
      <w:szCs w:val="18"/>
    </w:rPr>
  </w:style>
  <w:style w:type="character" w:customStyle="1" w:styleId="266">
    <w:name w:val="标题 6 Char"/>
    <w:qFormat/>
    <w:uiPriority w:val="0"/>
    <w:rPr>
      <w:rFonts w:ascii="Cambria" w:hAnsi="Cambria"/>
      <w:bCs/>
      <w:kern w:val="2"/>
      <w:sz w:val="21"/>
      <w:szCs w:val="24"/>
    </w:rPr>
  </w:style>
  <w:style w:type="character" w:customStyle="1" w:styleId="267">
    <w:name w:val="正文文本 Char"/>
    <w:qFormat/>
    <w:uiPriority w:val="0"/>
    <w:rPr>
      <w:rFonts w:ascii="Times New Roman" w:hAnsi="Times New Roman"/>
      <w:kern w:val="2"/>
      <w:sz w:val="28"/>
      <w:szCs w:val="24"/>
    </w:rPr>
  </w:style>
  <w:style w:type="character" w:customStyle="1" w:styleId="268">
    <w:name w:val="Char Char11"/>
    <w:link w:val="269"/>
    <w:qFormat/>
    <w:uiPriority w:val="0"/>
    <w:rPr>
      <w:rFonts w:ascii="宋体" w:hAnsi="宋体" w:cs="宋体"/>
      <w:kern w:val="2"/>
      <w:sz w:val="24"/>
      <w:szCs w:val="24"/>
    </w:rPr>
  </w:style>
  <w:style w:type="paragraph" w:customStyle="1" w:styleId="269">
    <w:name w:val="Char2"/>
    <w:basedOn w:val="1"/>
    <w:link w:val="268"/>
    <w:qFormat/>
    <w:uiPriority w:val="0"/>
    <w:pPr>
      <w:spacing w:line="360" w:lineRule="auto"/>
      <w:ind w:firstLine="200" w:firstLineChars="200"/>
    </w:pPr>
    <w:rPr>
      <w:rFonts w:ascii="宋体" w:hAnsi="宋体" w:cs="宋体"/>
      <w:sz w:val="24"/>
      <w:szCs w:val="24"/>
    </w:rPr>
  </w:style>
  <w:style w:type="character" w:customStyle="1" w:styleId="270">
    <w:name w:val="副标题 Char"/>
    <w:qFormat/>
    <w:uiPriority w:val="11"/>
    <w:rPr>
      <w:rFonts w:ascii="Cambria" w:hAnsi="Cambria" w:eastAsia="宋体" w:cs="Times New Roman"/>
      <w:b/>
      <w:bCs/>
      <w:kern w:val="28"/>
      <w:sz w:val="32"/>
      <w:szCs w:val="32"/>
    </w:rPr>
  </w:style>
  <w:style w:type="character" w:customStyle="1" w:styleId="271">
    <w:name w:val="Char Char14"/>
    <w:qFormat/>
    <w:locked/>
    <w:uiPriority w:val="0"/>
    <w:rPr>
      <w:rFonts w:ascii="Calibri" w:hAnsi="Calibri" w:eastAsia="宋体" w:cs="Calibri"/>
      <w:kern w:val="2"/>
      <w:sz w:val="18"/>
      <w:szCs w:val="18"/>
      <w:lang w:val="en-US" w:eastAsia="zh-CN" w:bidi="ar-SA"/>
    </w:rPr>
  </w:style>
  <w:style w:type="character" w:customStyle="1" w:styleId="272">
    <w:name w:val="标题 4 Char"/>
    <w:qFormat/>
    <w:uiPriority w:val="0"/>
    <w:rPr>
      <w:rFonts w:ascii="Cambria" w:hAnsi="Cambria" w:eastAsia="黑体"/>
      <w:bCs/>
      <w:kern w:val="2"/>
      <w:sz w:val="24"/>
      <w:szCs w:val="28"/>
    </w:rPr>
  </w:style>
  <w:style w:type="character" w:customStyle="1" w:styleId="273">
    <w:name w:val="正文首行缩进 Char1"/>
    <w:link w:val="42"/>
    <w:qFormat/>
    <w:uiPriority w:val="0"/>
    <w:rPr>
      <w:rFonts w:ascii="Times New Roman" w:hAnsi="Times New Roman"/>
      <w:kern w:val="2"/>
      <w:sz w:val="21"/>
      <w:szCs w:val="24"/>
    </w:rPr>
  </w:style>
  <w:style w:type="character" w:customStyle="1" w:styleId="274">
    <w:name w:val="脚注文本 Char"/>
    <w:qFormat/>
    <w:uiPriority w:val="0"/>
    <w:rPr>
      <w:sz w:val="18"/>
      <w:szCs w:val="18"/>
    </w:rPr>
  </w:style>
  <w:style w:type="character" w:customStyle="1" w:styleId="275">
    <w:name w:val="标题 3 Char"/>
    <w:qFormat/>
    <w:uiPriority w:val="0"/>
    <w:rPr>
      <w:b/>
      <w:bCs/>
      <w:sz w:val="32"/>
      <w:szCs w:val="32"/>
    </w:rPr>
  </w:style>
  <w:style w:type="character" w:customStyle="1" w:styleId="276">
    <w:name w:val="页眉 Char"/>
    <w:qFormat/>
    <w:uiPriority w:val="0"/>
    <w:rPr>
      <w:sz w:val="18"/>
      <w:szCs w:val="18"/>
    </w:rPr>
  </w:style>
  <w:style w:type="paragraph" w:customStyle="1" w:styleId="277">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278">
    <w:name w:val="_Style 131"/>
    <w:next w:val="1"/>
    <w:unhideWhenUsed/>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79">
    <w:name w:val="Char Char Char Char Char Char Char1"/>
    <w:basedOn w:val="13"/>
    <w:qFormat/>
    <w:uiPriority w:val="0"/>
    <w:rPr>
      <w:rFonts w:ascii="Tahoma" w:hAnsi="Tahoma"/>
      <w:sz w:val="24"/>
    </w:rPr>
  </w:style>
  <w:style w:type="paragraph" w:customStyle="1" w:styleId="280">
    <w:name w:val="Char Char Char Char Char Char Char Char Char Char Char Char Char"/>
    <w:basedOn w:val="1"/>
    <w:qFormat/>
    <w:uiPriority w:val="0"/>
    <w:pPr>
      <w:spacing w:line="360" w:lineRule="auto"/>
      <w:ind w:firstLine="200" w:firstLineChars="200"/>
    </w:pPr>
    <w:rPr>
      <w:rFonts w:ascii="宋体" w:hAnsi="宋体" w:cs="宋体"/>
      <w:sz w:val="24"/>
      <w:szCs w:val="24"/>
    </w:rPr>
  </w:style>
  <w:style w:type="paragraph" w:customStyle="1" w:styleId="281">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282">
    <w:name w:val="Char Char1 Char Char Char Char Char Char Char Char Char Char Char Char1"/>
    <w:basedOn w:val="1"/>
    <w:qFormat/>
    <w:uiPriority w:val="0"/>
    <w:pPr>
      <w:spacing w:line="360" w:lineRule="auto"/>
      <w:ind w:firstLine="200" w:firstLineChars="200"/>
    </w:pPr>
    <w:rPr>
      <w:rFonts w:ascii="宋体" w:hAnsi="宋体" w:cs="宋体"/>
      <w:sz w:val="24"/>
      <w:szCs w:val="24"/>
    </w:rPr>
  </w:style>
  <w:style w:type="paragraph" w:customStyle="1" w:styleId="283">
    <w:name w:val="样式 标题 2 + Times New Roman 四号 非加粗 段前: 5 磅 段后: 0 磅 行距: 固定值 20..."/>
    <w:basedOn w:val="3"/>
    <w:qFormat/>
    <w:uiPriority w:val="0"/>
    <w:pPr>
      <w:spacing w:before="100" w:after="0" w:line="400" w:lineRule="exact"/>
    </w:pPr>
    <w:rPr>
      <w:rFonts w:ascii="Times New Roman" w:hAnsi="Times New Roman" w:eastAsia="黑体" w:cs="宋体"/>
      <w:b w:val="0"/>
      <w:bCs w:val="0"/>
      <w:sz w:val="28"/>
      <w:szCs w:val="20"/>
    </w:rPr>
  </w:style>
  <w:style w:type="paragraph" w:customStyle="1" w:styleId="284">
    <w:name w:val="1 Char"/>
    <w:basedOn w:val="1"/>
    <w:qFormat/>
    <w:uiPriority w:val="0"/>
    <w:pPr>
      <w:spacing w:line="360" w:lineRule="auto"/>
      <w:ind w:firstLine="200" w:firstLineChars="200"/>
    </w:pPr>
    <w:rPr>
      <w:rFonts w:ascii="宋体" w:hAnsi="宋体" w:cs="宋体"/>
      <w:sz w:val="24"/>
      <w:szCs w:val="24"/>
    </w:rPr>
  </w:style>
  <w:style w:type="paragraph" w:customStyle="1" w:styleId="285">
    <w:name w:val="Char Char Char Char Char Char Char Char Char Char1"/>
    <w:basedOn w:val="1"/>
    <w:qFormat/>
    <w:uiPriority w:val="0"/>
    <w:pPr>
      <w:spacing w:line="360" w:lineRule="auto"/>
      <w:ind w:firstLine="200" w:firstLineChars="200"/>
    </w:pPr>
    <w:rPr>
      <w:rFonts w:ascii="宋体" w:hAnsi="宋体" w:cs="宋体"/>
      <w:sz w:val="24"/>
      <w:szCs w:val="24"/>
    </w:rPr>
  </w:style>
  <w:style w:type="paragraph" w:customStyle="1" w:styleId="286">
    <w:name w:val="列表段落1"/>
    <w:basedOn w:val="1"/>
    <w:qFormat/>
    <w:uiPriority w:val="0"/>
    <w:pPr>
      <w:ind w:firstLine="420" w:firstLineChars="200"/>
    </w:pPr>
    <w:rPr>
      <w:rFonts w:ascii="Calibri" w:hAnsi="Calibri"/>
    </w:rPr>
  </w:style>
  <w:style w:type="table" w:customStyle="1" w:styleId="287">
    <w:name w:val="网格型1"/>
    <w:basedOn w:val="43"/>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88">
    <w:name w:val="正文文本 (7) + 间距 0 pt Exact"/>
    <w:qFormat/>
    <w:uiPriority w:val="0"/>
    <w:rPr>
      <w:rFonts w:ascii="宋体" w:hAnsi="宋体" w:eastAsia="宋体" w:cs="宋体"/>
      <w:color w:val="000000"/>
      <w:spacing w:val="0"/>
      <w:w w:val="100"/>
      <w:position w:val="0"/>
      <w:sz w:val="22"/>
      <w:szCs w:val="22"/>
      <w:u w:val="none"/>
      <w:lang w:val="zh-TW" w:eastAsia="zh-TW" w:bidi="zh-TW"/>
    </w:rPr>
  </w:style>
  <w:style w:type="character" w:customStyle="1" w:styleId="289">
    <w:name w:val="Char2 Char Char1"/>
    <w:qFormat/>
    <w:uiPriority w:val="0"/>
    <w:rPr>
      <w:sz w:val="18"/>
      <w:szCs w:val="18"/>
    </w:rPr>
  </w:style>
  <w:style w:type="character" w:customStyle="1" w:styleId="290">
    <w:name w:val="Char Char25"/>
    <w:qFormat/>
    <w:uiPriority w:val="0"/>
    <w:rPr>
      <w:b/>
      <w:bCs/>
      <w:kern w:val="44"/>
      <w:sz w:val="44"/>
      <w:szCs w:val="44"/>
    </w:rPr>
  </w:style>
  <w:style w:type="character" w:customStyle="1" w:styleId="291">
    <w:name w:val="Char Char24"/>
    <w:qFormat/>
    <w:uiPriority w:val="0"/>
    <w:rPr>
      <w:rFonts w:ascii="Cambria" w:hAnsi="Cambria" w:eastAsia="宋体" w:cs="Times New Roman"/>
      <w:b/>
      <w:bCs/>
      <w:sz w:val="32"/>
      <w:szCs w:val="32"/>
    </w:rPr>
  </w:style>
  <w:style w:type="character" w:customStyle="1" w:styleId="292">
    <w:name w:val="Char Char23"/>
    <w:qFormat/>
    <w:uiPriority w:val="0"/>
    <w:rPr>
      <w:b/>
      <w:bCs/>
      <w:sz w:val="32"/>
      <w:szCs w:val="32"/>
    </w:rPr>
  </w:style>
  <w:style w:type="character" w:customStyle="1" w:styleId="293">
    <w:name w:val="Char Char22"/>
    <w:qFormat/>
    <w:uiPriority w:val="0"/>
    <w:rPr>
      <w:rFonts w:ascii="Cambria" w:hAnsi="Cambria" w:eastAsia="黑体"/>
      <w:bCs/>
      <w:kern w:val="2"/>
      <w:sz w:val="24"/>
      <w:szCs w:val="28"/>
      <w:lang w:val="en-US" w:eastAsia="zh-CN" w:bidi="ar-SA"/>
    </w:rPr>
  </w:style>
  <w:style w:type="character" w:customStyle="1" w:styleId="294">
    <w:name w:val="Char Char21"/>
    <w:qFormat/>
    <w:uiPriority w:val="0"/>
    <w:rPr>
      <w:rFonts w:ascii="Calibri" w:hAnsi="Calibri" w:eastAsia="宋体"/>
      <w:bCs/>
      <w:kern w:val="2"/>
      <w:sz w:val="21"/>
      <w:szCs w:val="28"/>
      <w:lang w:val="en-US" w:eastAsia="zh-CN" w:bidi="ar-SA"/>
    </w:rPr>
  </w:style>
  <w:style w:type="character" w:customStyle="1" w:styleId="295">
    <w:name w:val="Char Char20"/>
    <w:qFormat/>
    <w:uiPriority w:val="0"/>
    <w:rPr>
      <w:rFonts w:ascii="Cambria" w:hAnsi="Cambria" w:eastAsia="宋体"/>
      <w:bCs/>
      <w:kern w:val="2"/>
      <w:sz w:val="21"/>
      <w:szCs w:val="24"/>
      <w:lang w:val="en-US" w:eastAsia="zh-CN" w:bidi="ar-SA"/>
    </w:rPr>
  </w:style>
  <w:style w:type="character" w:customStyle="1" w:styleId="296">
    <w:name w:val="Char Char16"/>
    <w:semiHidden/>
    <w:qFormat/>
    <w:uiPriority w:val="0"/>
    <w:rPr>
      <w:sz w:val="18"/>
      <w:szCs w:val="18"/>
    </w:rPr>
  </w:style>
  <w:style w:type="character" w:customStyle="1" w:styleId="297">
    <w:name w:val="Char Char15"/>
    <w:semiHidden/>
    <w:qFormat/>
    <w:uiPriority w:val="0"/>
    <w:rPr>
      <w:sz w:val="18"/>
      <w:szCs w:val="18"/>
    </w:rPr>
  </w:style>
  <w:style w:type="character" w:customStyle="1" w:styleId="298">
    <w:name w:val="Char Char13"/>
    <w:semiHidden/>
    <w:qFormat/>
    <w:uiPriority w:val="0"/>
    <w:rPr>
      <w:sz w:val="18"/>
      <w:szCs w:val="18"/>
    </w:rPr>
  </w:style>
  <w:style w:type="character" w:customStyle="1" w:styleId="299">
    <w:name w:val="Char Char12"/>
    <w:qFormat/>
    <w:uiPriority w:val="0"/>
    <w:rPr>
      <w:rFonts w:ascii="Cambria" w:hAnsi="Cambria" w:eastAsia="宋体" w:cs="Times New Roman"/>
      <w:b/>
      <w:bCs/>
      <w:kern w:val="28"/>
      <w:sz w:val="32"/>
      <w:szCs w:val="32"/>
    </w:rPr>
  </w:style>
  <w:style w:type="character" w:customStyle="1" w:styleId="300">
    <w:name w:val="标题 7 Char1"/>
    <w:link w:val="8"/>
    <w:qFormat/>
    <w:uiPriority w:val="0"/>
    <w:rPr>
      <w:bCs/>
      <w:sz w:val="24"/>
      <w:szCs w:val="24"/>
    </w:rPr>
  </w:style>
  <w:style w:type="character" w:customStyle="1" w:styleId="301">
    <w:name w:val="标题 8 Char1"/>
    <w:link w:val="9"/>
    <w:qFormat/>
    <w:uiPriority w:val="0"/>
    <w:rPr>
      <w:rFonts w:ascii="Arial" w:hAnsi="Arial" w:eastAsia="黑体"/>
      <w:b/>
      <w:sz w:val="24"/>
      <w:szCs w:val="24"/>
    </w:rPr>
  </w:style>
  <w:style w:type="character" w:customStyle="1" w:styleId="302">
    <w:name w:val="标题 9 Char1"/>
    <w:link w:val="10"/>
    <w:qFormat/>
    <w:uiPriority w:val="0"/>
    <w:rPr>
      <w:rFonts w:ascii="Arial" w:hAnsi="Arial" w:eastAsia="黑体"/>
      <w:b/>
      <w:sz w:val="21"/>
      <w:szCs w:val="21"/>
    </w:rPr>
  </w:style>
  <w:style w:type="character" w:customStyle="1" w:styleId="303">
    <w:name w:val="批注文字 Char1"/>
    <w:link w:val="15"/>
    <w:qFormat/>
    <w:uiPriority w:val="0"/>
    <w:rPr>
      <w:kern w:val="2"/>
      <w:sz w:val="21"/>
      <w:szCs w:val="22"/>
    </w:rPr>
  </w:style>
  <w:style w:type="paragraph" w:styleId="304">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305">
    <w:name w:val="未处理的提及1"/>
    <w:semiHidden/>
    <w:unhideWhenUsed/>
    <w:qFormat/>
    <w:uiPriority w:val="99"/>
    <w:rPr>
      <w:color w:val="808080"/>
      <w:shd w:val="clear" w:color="auto" w:fill="E6E6E6"/>
    </w:rPr>
  </w:style>
  <w:style w:type="character" w:customStyle="1" w:styleId="306">
    <w:name w:val="标题 #6 (3)_"/>
    <w:link w:val="307"/>
    <w:qFormat/>
    <w:uiPriority w:val="0"/>
    <w:rPr>
      <w:rFonts w:ascii="宋体" w:hAnsi="宋体" w:cs="宋体"/>
      <w:sz w:val="26"/>
      <w:szCs w:val="26"/>
      <w:shd w:val="clear" w:color="auto" w:fill="FFFFFF"/>
    </w:rPr>
  </w:style>
  <w:style w:type="paragraph" w:customStyle="1" w:styleId="307">
    <w:name w:val="标题 #6 (3)"/>
    <w:basedOn w:val="1"/>
    <w:link w:val="306"/>
    <w:qFormat/>
    <w:uiPriority w:val="0"/>
    <w:pPr>
      <w:shd w:val="clear" w:color="auto" w:fill="FFFFFF"/>
      <w:spacing w:after="960" w:line="0" w:lineRule="atLeast"/>
      <w:jc w:val="left"/>
      <w:outlineLvl w:val="5"/>
    </w:pPr>
    <w:rPr>
      <w:rFonts w:ascii="宋体" w:hAnsi="宋体" w:cs="宋体"/>
      <w:kern w:val="0"/>
      <w:sz w:val="26"/>
      <w:szCs w:val="26"/>
    </w:rPr>
  </w:style>
  <w:style w:type="character" w:customStyle="1" w:styleId="308">
    <w:name w:val="正文文本 (19)_"/>
    <w:link w:val="309"/>
    <w:qFormat/>
    <w:uiPriority w:val="0"/>
    <w:rPr>
      <w:rFonts w:ascii="宋体" w:hAnsi="宋体" w:cs="宋体"/>
      <w:b/>
      <w:bCs/>
      <w:sz w:val="23"/>
      <w:szCs w:val="23"/>
      <w:shd w:val="clear" w:color="auto" w:fill="FFFFFF"/>
    </w:rPr>
  </w:style>
  <w:style w:type="paragraph" w:customStyle="1" w:styleId="309">
    <w:name w:val="正文文本 (19)"/>
    <w:basedOn w:val="1"/>
    <w:link w:val="308"/>
    <w:qFormat/>
    <w:uiPriority w:val="0"/>
    <w:pPr>
      <w:shd w:val="clear" w:color="auto" w:fill="FFFFFF"/>
      <w:spacing w:line="559" w:lineRule="exact"/>
      <w:jc w:val="left"/>
    </w:pPr>
    <w:rPr>
      <w:rFonts w:ascii="宋体" w:hAnsi="宋体" w:cs="宋体"/>
      <w:b/>
      <w:bCs/>
      <w:kern w:val="0"/>
      <w:sz w:val="23"/>
      <w:szCs w:val="23"/>
    </w:rPr>
  </w:style>
  <w:style w:type="character" w:customStyle="1" w:styleId="310">
    <w:name w:val="标题 #7 + 11 pt"/>
    <w:qFormat/>
    <w:uiPriority w:val="0"/>
    <w:rPr>
      <w:rFonts w:ascii="宋体" w:hAnsi="宋体" w:eastAsia="宋体" w:cs="宋体"/>
      <w:b/>
      <w:bCs/>
      <w:color w:val="000000"/>
      <w:spacing w:val="0"/>
      <w:w w:val="100"/>
      <w:position w:val="0"/>
      <w:sz w:val="22"/>
      <w:szCs w:val="22"/>
      <w:u w:val="none"/>
      <w:lang w:val="en-US" w:eastAsia="en-US" w:bidi="en-US"/>
    </w:rPr>
  </w:style>
  <w:style w:type="character" w:customStyle="1" w:styleId="311">
    <w:name w:val="标题 #6 (3) + 间距 1 pt"/>
    <w:qFormat/>
    <w:uiPriority w:val="0"/>
    <w:rPr>
      <w:rFonts w:ascii="宋体" w:hAnsi="宋体" w:eastAsia="宋体" w:cs="宋体"/>
      <w:color w:val="000000"/>
      <w:spacing w:val="30"/>
      <w:w w:val="100"/>
      <w:position w:val="0"/>
      <w:sz w:val="26"/>
      <w:szCs w:val="26"/>
      <w:u w:val="none"/>
      <w:lang w:val="zh-TW" w:eastAsia="zh-TW" w:bidi="zh-TW"/>
    </w:rPr>
  </w:style>
  <w:style w:type="character" w:customStyle="1" w:styleId="312">
    <w:name w:val="正文文本 (2) + 间距 -1 pt"/>
    <w:qFormat/>
    <w:uiPriority w:val="0"/>
    <w:rPr>
      <w:rFonts w:ascii="宋体" w:hAnsi="宋体" w:eastAsia="宋体" w:cs="宋体"/>
      <w:color w:val="000000"/>
      <w:spacing w:val="-20"/>
      <w:w w:val="100"/>
      <w:position w:val="0"/>
      <w:sz w:val="22"/>
      <w:szCs w:val="22"/>
      <w:u w:val="none"/>
      <w:shd w:val="clear" w:color="auto" w:fill="FFFFFF"/>
      <w:lang w:val="en-US" w:eastAsia="en-US" w:bidi="en-US"/>
    </w:rPr>
  </w:style>
  <w:style w:type="character" w:customStyle="1" w:styleId="313">
    <w:name w:val="正文文本 (26)_"/>
    <w:qFormat/>
    <w:uiPriority w:val="0"/>
    <w:rPr>
      <w:rFonts w:ascii="Times New Roman" w:hAnsi="Times New Roman" w:eastAsia="Times New Roman"/>
      <w:shd w:val="clear" w:color="auto" w:fill="FFFFFF"/>
      <w:lang w:eastAsia="en-US" w:bidi="en-US"/>
    </w:rPr>
  </w:style>
  <w:style w:type="character" w:customStyle="1" w:styleId="314">
    <w:name w:val="正文文本 (27)_"/>
    <w:qFormat/>
    <w:uiPriority w:val="0"/>
    <w:rPr>
      <w:rFonts w:ascii="Times New Roman" w:hAnsi="Times New Roman" w:eastAsia="Times New Roman"/>
      <w:shd w:val="clear" w:color="auto" w:fill="FFFFFF"/>
      <w:lang w:eastAsia="en-US" w:bidi="en-US"/>
    </w:rPr>
  </w:style>
  <w:style w:type="character" w:customStyle="1" w:styleId="315">
    <w:name w:val="正文文本首行缩进 字符"/>
    <w:basedOn w:val="192"/>
    <w:semiHidden/>
    <w:qFormat/>
    <w:uiPriority w:val="99"/>
    <w:rPr>
      <w:kern w:val="2"/>
      <w:sz w:val="21"/>
      <w:szCs w:val="22"/>
    </w:rPr>
  </w:style>
  <w:style w:type="paragraph" w:customStyle="1" w:styleId="316">
    <w:name w:val="_Style 314"/>
    <w:basedOn w:val="1"/>
    <w:next w:val="157"/>
    <w:link w:val="320"/>
    <w:qFormat/>
    <w:uiPriority w:val="0"/>
    <w:pPr>
      <w:ind w:firstLine="420" w:firstLineChars="200"/>
    </w:pPr>
    <w:rPr>
      <w:szCs w:val="24"/>
    </w:rPr>
  </w:style>
  <w:style w:type="character" w:customStyle="1" w:styleId="317">
    <w:name w:val="Char Char111"/>
    <w:link w:val="318"/>
    <w:qFormat/>
    <w:uiPriority w:val="0"/>
    <w:rPr>
      <w:rFonts w:ascii="宋体" w:hAnsi="宋体" w:cs="宋体"/>
      <w:kern w:val="2"/>
      <w:sz w:val="24"/>
      <w:szCs w:val="24"/>
    </w:rPr>
  </w:style>
  <w:style w:type="paragraph" w:customStyle="1" w:styleId="318">
    <w:name w:val="Char3"/>
    <w:basedOn w:val="1"/>
    <w:link w:val="317"/>
    <w:qFormat/>
    <w:uiPriority w:val="0"/>
    <w:pPr>
      <w:spacing w:line="360" w:lineRule="auto"/>
      <w:ind w:firstLine="200" w:firstLineChars="200"/>
    </w:pPr>
    <w:rPr>
      <w:rFonts w:ascii="宋体" w:hAnsi="宋体" w:cs="宋体"/>
      <w:sz w:val="24"/>
      <w:szCs w:val="24"/>
    </w:rPr>
  </w:style>
  <w:style w:type="character" w:customStyle="1" w:styleId="319">
    <w:name w:val="Char Char141"/>
    <w:qFormat/>
    <w:locked/>
    <w:uiPriority w:val="0"/>
    <w:rPr>
      <w:rFonts w:ascii="Calibri" w:hAnsi="Calibri" w:eastAsia="宋体" w:cs="Calibri"/>
      <w:kern w:val="2"/>
      <w:sz w:val="18"/>
      <w:szCs w:val="18"/>
      <w:lang w:val="en-US" w:eastAsia="zh-CN" w:bidi="ar-SA"/>
    </w:rPr>
  </w:style>
  <w:style w:type="character" w:customStyle="1" w:styleId="320">
    <w:name w:val="正文首行缩进 Char"/>
    <w:link w:val="316"/>
    <w:qFormat/>
    <w:uiPriority w:val="0"/>
    <w:rPr>
      <w:kern w:val="2"/>
      <w:sz w:val="21"/>
      <w:szCs w:val="24"/>
    </w:rPr>
  </w:style>
  <w:style w:type="paragraph" w:customStyle="1" w:styleId="321">
    <w:name w:val="Char Char Char Char Char Char Char2"/>
    <w:basedOn w:val="13"/>
    <w:qFormat/>
    <w:uiPriority w:val="0"/>
    <w:rPr>
      <w:rFonts w:ascii="Tahoma" w:hAnsi="Tahoma"/>
      <w:sz w:val="24"/>
    </w:rPr>
  </w:style>
  <w:style w:type="paragraph" w:customStyle="1" w:styleId="322">
    <w:name w:val="Char Char Char Char Char Char Char Char Char Char Char Char Char1"/>
    <w:basedOn w:val="1"/>
    <w:qFormat/>
    <w:uiPriority w:val="0"/>
    <w:pPr>
      <w:spacing w:line="360" w:lineRule="auto"/>
      <w:ind w:firstLine="200" w:firstLineChars="200"/>
    </w:pPr>
    <w:rPr>
      <w:rFonts w:ascii="宋体" w:hAnsi="宋体" w:cs="宋体"/>
      <w:sz w:val="24"/>
      <w:szCs w:val="24"/>
    </w:rPr>
  </w:style>
  <w:style w:type="paragraph" w:customStyle="1" w:styleId="323">
    <w:name w:val="Char Char1 Char Char Char Char Char Char Char Char Char Char Char Char2"/>
    <w:basedOn w:val="1"/>
    <w:qFormat/>
    <w:uiPriority w:val="0"/>
    <w:pPr>
      <w:spacing w:line="360" w:lineRule="auto"/>
      <w:ind w:firstLine="200" w:firstLineChars="200"/>
    </w:pPr>
    <w:rPr>
      <w:rFonts w:ascii="宋体" w:hAnsi="宋体" w:cs="宋体"/>
      <w:sz w:val="24"/>
      <w:szCs w:val="24"/>
    </w:rPr>
  </w:style>
  <w:style w:type="paragraph" w:customStyle="1" w:styleId="324">
    <w:name w:val="Char Char Char Char Char Char Char Char Char Char2"/>
    <w:basedOn w:val="1"/>
    <w:qFormat/>
    <w:uiPriority w:val="0"/>
    <w:pPr>
      <w:spacing w:line="360" w:lineRule="auto"/>
      <w:ind w:firstLine="200" w:firstLineChars="200"/>
    </w:pPr>
    <w:rPr>
      <w:rFonts w:ascii="宋体" w:hAnsi="宋体" w:cs="宋体"/>
      <w:sz w:val="24"/>
      <w:szCs w:val="24"/>
    </w:rPr>
  </w:style>
  <w:style w:type="paragraph" w:customStyle="1" w:styleId="325">
    <w:name w:val="列表段落2"/>
    <w:basedOn w:val="1"/>
    <w:qFormat/>
    <w:uiPriority w:val="0"/>
    <w:pPr>
      <w:ind w:firstLine="420" w:firstLineChars="200"/>
    </w:pPr>
    <w:rPr>
      <w:rFonts w:ascii="Calibri" w:hAnsi="Calibri"/>
    </w:rPr>
  </w:style>
  <w:style w:type="table" w:customStyle="1" w:styleId="326">
    <w:name w:val="网格型2"/>
    <w:basedOn w:val="43"/>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27">
    <w:name w:val="Char Char251"/>
    <w:qFormat/>
    <w:uiPriority w:val="0"/>
    <w:rPr>
      <w:b/>
      <w:bCs/>
      <w:kern w:val="44"/>
      <w:sz w:val="44"/>
      <w:szCs w:val="44"/>
    </w:rPr>
  </w:style>
  <w:style w:type="character" w:customStyle="1" w:styleId="328">
    <w:name w:val="Char Char241"/>
    <w:qFormat/>
    <w:uiPriority w:val="0"/>
    <w:rPr>
      <w:rFonts w:ascii="Cambria" w:hAnsi="Cambria" w:eastAsia="宋体" w:cs="Times New Roman"/>
      <w:b/>
      <w:bCs/>
      <w:sz w:val="32"/>
      <w:szCs w:val="32"/>
    </w:rPr>
  </w:style>
  <w:style w:type="character" w:customStyle="1" w:styleId="329">
    <w:name w:val="Char Char231"/>
    <w:qFormat/>
    <w:uiPriority w:val="0"/>
    <w:rPr>
      <w:b/>
      <w:bCs/>
      <w:sz w:val="32"/>
      <w:szCs w:val="32"/>
    </w:rPr>
  </w:style>
  <w:style w:type="character" w:customStyle="1" w:styleId="330">
    <w:name w:val="Char Char221"/>
    <w:qFormat/>
    <w:uiPriority w:val="0"/>
    <w:rPr>
      <w:rFonts w:ascii="Cambria" w:hAnsi="Cambria" w:eastAsia="黑体"/>
      <w:bCs/>
      <w:kern w:val="2"/>
      <w:sz w:val="24"/>
      <w:szCs w:val="28"/>
      <w:lang w:val="en-US" w:eastAsia="zh-CN" w:bidi="ar-SA"/>
    </w:rPr>
  </w:style>
  <w:style w:type="character" w:customStyle="1" w:styleId="331">
    <w:name w:val="Char Char211"/>
    <w:qFormat/>
    <w:uiPriority w:val="0"/>
    <w:rPr>
      <w:rFonts w:ascii="Calibri" w:hAnsi="Calibri" w:eastAsia="宋体"/>
      <w:bCs/>
      <w:kern w:val="2"/>
      <w:sz w:val="21"/>
      <w:szCs w:val="28"/>
      <w:lang w:val="en-US" w:eastAsia="zh-CN" w:bidi="ar-SA"/>
    </w:rPr>
  </w:style>
  <w:style w:type="character" w:customStyle="1" w:styleId="332">
    <w:name w:val="Char Char201"/>
    <w:qFormat/>
    <w:uiPriority w:val="0"/>
    <w:rPr>
      <w:rFonts w:ascii="Cambria" w:hAnsi="Cambria" w:eastAsia="宋体"/>
      <w:bCs/>
      <w:kern w:val="2"/>
      <w:sz w:val="21"/>
      <w:szCs w:val="24"/>
      <w:lang w:val="en-US" w:eastAsia="zh-CN" w:bidi="ar-SA"/>
    </w:rPr>
  </w:style>
  <w:style w:type="character" w:customStyle="1" w:styleId="333">
    <w:name w:val="Char Char161"/>
    <w:semiHidden/>
    <w:qFormat/>
    <w:uiPriority w:val="0"/>
    <w:rPr>
      <w:sz w:val="18"/>
      <w:szCs w:val="18"/>
    </w:rPr>
  </w:style>
  <w:style w:type="character" w:customStyle="1" w:styleId="334">
    <w:name w:val="Char Char151"/>
    <w:semiHidden/>
    <w:qFormat/>
    <w:uiPriority w:val="0"/>
    <w:rPr>
      <w:sz w:val="18"/>
      <w:szCs w:val="18"/>
    </w:rPr>
  </w:style>
  <w:style w:type="character" w:customStyle="1" w:styleId="335">
    <w:name w:val="Char Char131"/>
    <w:semiHidden/>
    <w:qFormat/>
    <w:uiPriority w:val="0"/>
    <w:rPr>
      <w:sz w:val="18"/>
      <w:szCs w:val="18"/>
    </w:rPr>
  </w:style>
  <w:style w:type="character" w:customStyle="1" w:styleId="336">
    <w:name w:val="Char Char121"/>
    <w:qFormat/>
    <w:uiPriority w:val="0"/>
    <w:rPr>
      <w:rFonts w:ascii="Cambria" w:hAnsi="Cambria" w:eastAsia="宋体" w:cs="Times New Roman"/>
      <w:b/>
      <w:bCs/>
      <w:kern w:val="28"/>
      <w:sz w:val="32"/>
      <w:szCs w:val="32"/>
    </w:rPr>
  </w:style>
  <w:style w:type="character" w:customStyle="1" w:styleId="337">
    <w:name w:val="标题 7 Char"/>
    <w:qFormat/>
    <w:uiPriority w:val="0"/>
    <w:rPr>
      <w:rFonts w:ascii="Times New Roman" w:hAnsi="Times New Roman"/>
      <w:bCs/>
      <w:sz w:val="24"/>
      <w:szCs w:val="24"/>
    </w:rPr>
  </w:style>
  <w:style w:type="character" w:customStyle="1" w:styleId="338">
    <w:name w:val="标题 8 Char"/>
    <w:qFormat/>
    <w:uiPriority w:val="0"/>
    <w:rPr>
      <w:rFonts w:ascii="Arial" w:hAnsi="Arial" w:eastAsia="黑体"/>
      <w:b/>
      <w:sz w:val="24"/>
      <w:szCs w:val="24"/>
    </w:rPr>
  </w:style>
  <w:style w:type="character" w:customStyle="1" w:styleId="339">
    <w:name w:val="标题 9 Char"/>
    <w:qFormat/>
    <w:uiPriority w:val="0"/>
    <w:rPr>
      <w:rFonts w:ascii="Arial" w:hAnsi="Arial" w:eastAsia="黑体"/>
      <w:b/>
      <w:sz w:val="21"/>
      <w:szCs w:val="21"/>
    </w:rPr>
  </w:style>
  <w:style w:type="character" w:customStyle="1" w:styleId="340">
    <w:name w:val="批注文字 Char"/>
    <w:qFormat/>
    <w:uiPriority w:val="0"/>
    <w:rPr>
      <w:kern w:val="2"/>
      <w:sz w:val="21"/>
      <w:szCs w:val="22"/>
    </w:rPr>
  </w:style>
  <w:style w:type="paragraph" w:customStyle="1" w:styleId="341">
    <w:name w:val="_Style 339"/>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342">
    <w:name w:val="Char Char112"/>
    <w:link w:val="343"/>
    <w:qFormat/>
    <w:uiPriority w:val="0"/>
    <w:rPr>
      <w:rFonts w:ascii="宋体" w:hAnsi="宋体" w:cs="宋体"/>
      <w:kern w:val="2"/>
      <w:sz w:val="24"/>
      <w:szCs w:val="24"/>
    </w:rPr>
  </w:style>
  <w:style w:type="paragraph" w:customStyle="1" w:styleId="343">
    <w:name w:val="Char4"/>
    <w:basedOn w:val="1"/>
    <w:link w:val="342"/>
    <w:qFormat/>
    <w:uiPriority w:val="0"/>
    <w:pPr>
      <w:spacing w:line="360" w:lineRule="auto"/>
      <w:ind w:firstLine="200" w:firstLineChars="200"/>
    </w:pPr>
    <w:rPr>
      <w:rFonts w:ascii="宋体" w:hAnsi="宋体" w:cs="宋体"/>
      <w:sz w:val="24"/>
      <w:szCs w:val="24"/>
    </w:rPr>
  </w:style>
  <w:style w:type="character" w:customStyle="1" w:styleId="344">
    <w:name w:val="Char Char142"/>
    <w:qFormat/>
    <w:locked/>
    <w:uiPriority w:val="0"/>
    <w:rPr>
      <w:rFonts w:ascii="Calibri" w:hAnsi="Calibri" w:eastAsia="宋体" w:cs="Calibri"/>
      <w:kern w:val="2"/>
      <w:sz w:val="18"/>
      <w:szCs w:val="18"/>
      <w:lang w:val="en-US" w:eastAsia="zh-CN" w:bidi="ar-SA"/>
    </w:rPr>
  </w:style>
  <w:style w:type="paragraph" w:customStyle="1" w:styleId="345">
    <w:name w:val="Char Char Char Char Char Char Char3"/>
    <w:basedOn w:val="13"/>
    <w:qFormat/>
    <w:uiPriority w:val="0"/>
    <w:rPr>
      <w:rFonts w:ascii="Tahoma" w:hAnsi="Tahoma"/>
      <w:sz w:val="24"/>
    </w:rPr>
  </w:style>
  <w:style w:type="paragraph" w:customStyle="1" w:styleId="346">
    <w:name w:val="Char Char Char Char Char Char Char Char Char Char Char Char Char2"/>
    <w:basedOn w:val="1"/>
    <w:qFormat/>
    <w:uiPriority w:val="0"/>
    <w:pPr>
      <w:spacing w:line="360" w:lineRule="auto"/>
      <w:ind w:firstLine="200" w:firstLineChars="200"/>
    </w:pPr>
    <w:rPr>
      <w:rFonts w:ascii="宋体" w:hAnsi="宋体" w:cs="宋体"/>
      <w:sz w:val="24"/>
      <w:szCs w:val="24"/>
    </w:rPr>
  </w:style>
  <w:style w:type="paragraph" w:customStyle="1" w:styleId="347">
    <w:name w:val="Char Char1 Char Char Char Char Char Char Char Char Char Char Char Char3"/>
    <w:basedOn w:val="1"/>
    <w:qFormat/>
    <w:uiPriority w:val="0"/>
    <w:pPr>
      <w:spacing w:line="360" w:lineRule="auto"/>
      <w:ind w:firstLine="200" w:firstLineChars="200"/>
    </w:pPr>
    <w:rPr>
      <w:rFonts w:ascii="宋体" w:hAnsi="宋体" w:cs="宋体"/>
      <w:sz w:val="24"/>
      <w:szCs w:val="24"/>
    </w:rPr>
  </w:style>
  <w:style w:type="paragraph" w:customStyle="1" w:styleId="348">
    <w:name w:val="Char Char Char Char Char Char Char Char Char Char3"/>
    <w:basedOn w:val="1"/>
    <w:qFormat/>
    <w:uiPriority w:val="0"/>
    <w:pPr>
      <w:spacing w:line="360" w:lineRule="auto"/>
      <w:ind w:firstLine="200" w:firstLineChars="200"/>
    </w:pPr>
    <w:rPr>
      <w:rFonts w:ascii="宋体" w:hAnsi="宋体" w:cs="宋体"/>
      <w:sz w:val="24"/>
      <w:szCs w:val="24"/>
    </w:rPr>
  </w:style>
  <w:style w:type="paragraph" w:customStyle="1" w:styleId="349">
    <w:name w:val="列出段落1"/>
    <w:basedOn w:val="1"/>
    <w:qFormat/>
    <w:uiPriority w:val="0"/>
    <w:pPr>
      <w:ind w:firstLine="420" w:firstLineChars="200"/>
    </w:pPr>
    <w:rPr>
      <w:rFonts w:ascii="Calibri" w:hAnsi="Calibri"/>
    </w:rPr>
  </w:style>
  <w:style w:type="table" w:customStyle="1" w:styleId="350">
    <w:name w:val="网格型3"/>
    <w:basedOn w:val="43"/>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51">
    <w:name w:val="Char Char252"/>
    <w:qFormat/>
    <w:uiPriority w:val="0"/>
    <w:rPr>
      <w:b/>
      <w:bCs/>
      <w:kern w:val="44"/>
      <w:sz w:val="44"/>
      <w:szCs w:val="44"/>
    </w:rPr>
  </w:style>
  <w:style w:type="character" w:customStyle="1" w:styleId="352">
    <w:name w:val="Char Char242"/>
    <w:qFormat/>
    <w:uiPriority w:val="0"/>
    <w:rPr>
      <w:rFonts w:ascii="Cambria" w:hAnsi="Cambria" w:eastAsia="宋体" w:cs="Times New Roman"/>
      <w:b/>
      <w:bCs/>
      <w:sz w:val="32"/>
      <w:szCs w:val="32"/>
    </w:rPr>
  </w:style>
  <w:style w:type="character" w:customStyle="1" w:styleId="353">
    <w:name w:val="Char Char232"/>
    <w:qFormat/>
    <w:uiPriority w:val="0"/>
    <w:rPr>
      <w:b/>
      <w:bCs/>
      <w:sz w:val="32"/>
      <w:szCs w:val="32"/>
    </w:rPr>
  </w:style>
  <w:style w:type="character" w:customStyle="1" w:styleId="354">
    <w:name w:val="Char Char222"/>
    <w:qFormat/>
    <w:uiPriority w:val="0"/>
    <w:rPr>
      <w:rFonts w:ascii="Cambria" w:hAnsi="Cambria" w:eastAsia="黑体"/>
      <w:bCs/>
      <w:kern w:val="2"/>
      <w:sz w:val="24"/>
      <w:szCs w:val="28"/>
      <w:lang w:val="en-US" w:eastAsia="zh-CN" w:bidi="ar-SA"/>
    </w:rPr>
  </w:style>
  <w:style w:type="character" w:customStyle="1" w:styleId="355">
    <w:name w:val="Char Char212"/>
    <w:qFormat/>
    <w:uiPriority w:val="0"/>
    <w:rPr>
      <w:rFonts w:ascii="Calibri" w:hAnsi="Calibri" w:eastAsia="宋体"/>
      <w:bCs/>
      <w:kern w:val="2"/>
      <w:sz w:val="21"/>
      <w:szCs w:val="28"/>
      <w:lang w:val="en-US" w:eastAsia="zh-CN" w:bidi="ar-SA"/>
    </w:rPr>
  </w:style>
  <w:style w:type="character" w:customStyle="1" w:styleId="356">
    <w:name w:val="Char Char202"/>
    <w:qFormat/>
    <w:uiPriority w:val="0"/>
    <w:rPr>
      <w:rFonts w:ascii="Cambria" w:hAnsi="Cambria" w:eastAsia="宋体"/>
      <w:bCs/>
      <w:kern w:val="2"/>
      <w:sz w:val="21"/>
      <w:szCs w:val="24"/>
      <w:lang w:val="en-US" w:eastAsia="zh-CN" w:bidi="ar-SA"/>
    </w:rPr>
  </w:style>
  <w:style w:type="character" w:customStyle="1" w:styleId="357">
    <w:name w:val="Char Char162"/>
    <w:semiHidden/>
    <w:qFormat/>
    <w:uiPriority w:val="0"/>
    <w:rPr>
      <w:sz w:val="18"/>
      <w:szCs w:val="18"/>
    </w:rPr>
  </w:style>
  <w:style w:type="character" w:customStyle="1" w:styleId="358">
    <w:name w:val="Char Char152"/>
    <w:semiHidden/>
    <w:qFormat/>
    <w:uiPriority w:val="0"/>
    <w:rPr>
      <w:sz w:val="18"/>
      <w:szCs w:val="18"/>
    </w:rPr>
  </w:style>
  <w:style w:type="character" w:customStyle="1" w:styleId="359">
    <w:name w:val="Char Char132"/>
    <w:semiHidden/>
    <w:qFormat/>
    <w:uiPriority w:val="0"/>
    <w:rPr>
      <w:sz w:val="18"/>
      <w:szCs w:val="18"/>
    </w:rPr>
  </w:style>
  <w:style w:type="character" w:customStyle="1" w:styleId="360">
    <w:name w:val="Char Char122"/>
    <w:qFormat/>
    <w:uiPriority w:val="0"/>
    <w:rPr>
      <w:rFonts w:ascii="Cambria" w:hAnsi="Cambria" w:eastAsia="宋体" w:cs="Times New Roman"/>
      <w:b/>
      <w:bCs/>
      <w:kern w:val="28"/>
      <w:sz w:val="32"/>
      <w:szCs w:val="32"/>
    </w:rPr>
  </w:style>
  <w:style w:type="character" w:customStyle="1" w:styleId="361">
    <w:name w:val="未处理的提及2"/>
    <w:semiHidden/>
    <w:unhideWhenUsed/>
    <w:qFormat/>
    <w:uiPriority w:val="99"/>
    <w:rPr>
      <w:color w:val="808080"/>
      <w:shd w:val="clear" w:color="auto" w:fill="E6E6E6"/>
    </w:rPr>
  </w:style>
  <w:style w:type="character" w:customStyle="1" w:styleId="362">
    <w:name w:val="标题 3 字符"/>
    <w:qFormat/>
    <w:uiPriority w:val="99"/>
    <w:rPr>
      <w:b/>
      <w:bCs/>
      <w:sz w:val="32"/>
      <w:szCs w:val="32"/>
    </w:rPr>
  </w:style>
  <w:style w:type="character" w:customStyle="1" w:styleId="363">
    <w:name w:val="正文文本 (2) + 10 pt3"/>
    <w:qFormat/>
    <w:uiPriority w:val="99"/>
    <w:rPr>
      <w:rFonts w:ascii="宋体" w:hAnsi="宋体" w:eastAsia="宋体" w:cs="宋体"/>
      <w:color w:val="000000"/>
      <w:spacing w:val="0"/>
      <w:w w:val="100"/>
      <w:position w:val="0"/>
      <w:sz w:val="20"/>
      <w:szCs w:val="20"/>
      <w:u w:val="none"/>
      <w:lang w:val="zh-TW" w:eastAsia="zh-TW"/>
    </w:rPr>
  </w:style>
  <w:style w:type="character" w:customStyle="1" w:styleId="364">
    <w:name w:val="正文文本 (2) + 10 pt4"/>
    <w:qFormat/>
    <w:uiPriority w:val="99"/>
    <w:rPr>
      <w:rFonts w:ascii="宋体" w:hAnsi="宋体" w:eastAsia="宋体" w:cs="宋体"/>
      <w:color w:val="000000"/>
      <w:spacing w:val="20"/>
      <w:w w:val="100"/>
      <w:position w:val="0"/>
      <w:sz w:val="20"/>
      <w:szCs w:val="20"/>
      <w:u w:val="none"/>
      <w:lang w:val="zh-TW" w:eastAsia="zh-TW"/>
    </w:rPr>
  </w:style>
  <w:style w:type="character" w:customStyle="1" w:styleId="365">
    <w:name w:val="正文文本 (2) + Times New Roman1"/>
    <w:qFormat/>
    <w:uiPriority w:val="99"/>
    <w:rPr>
      <w:rFonts w:ascii="Times New Roman" w:hAnsi="Times New Roman" w:eastAsia="宋体" w:cs="Times New Roman"/>
      <w:color w:val="000000"/>
      <w:spacing w:val="0"/>
      <w:w w:val="100"/>
      <w:position w:val="0"/>
      <w:sz w:val="20"/>
      <w:szCs w:val="20"/>
      <w:u w:val="none"/>
      <w:shd w:val="clear" w:color="auto" w:fill="FFFFFF"/>
      <w:lang w:val="en-US" w:eastAsia="en-US"/>
    </w:rPr>
  </w:style>
  <w:style w:type="character" w:customStyle="1" w:styleId="366">
    <w:name w:val="正文文本 (2) + Times New Roman2"/>
    <w:qFormat/>
    <w:uiPriority w:val="99"/>
    <w:rPr>
      <w:rFonts w:ascii="Times New Roman" w:hAnsi="Times New Roman" w:eastAsia="宋体" w:cs="Times New Roman"/>
      <w:color w:val="000000"/>
      <w:spacing w:val="0"/>
      <w:w w:val="100"/>
      <w:position w:val="0"/>
      <w:sz w:val="20"/>
      <w:szCs w:val="20"/>
      <w:u w:val="none"/>
      <w:shd w:val="clear" w:color="auto" w:fill="FFFFFF"/>
      <w:lang w:val="en-US" w:eastAsia="en-US"/>
    </w:rPr>
  </w:style>
  <w:style w:type="paragraph" w:customStyle="1" w:styleId="367">
    <w:name w:val="一、"/>
    <w:next w:val="42"/>
    <w:qFormat/>
    <w:uiPriority w:val="0"/>
    <w:pPr>
      <w:numPr>
        <w:ilvl w:val="0"/>
        <w:numId w:val="1"/>
      </w:numPr>
      <w:tabs>
        <w:tab w:val="left" w:pos="360"/>
        <w:tab w:val="left" w:pos="960"/>
      </w:tabs>
      <w:spacing w:before="240" w:after="240"/>
      <w:ind w:firstLine="0"/>
    </w:pPr>
    <w:rPr>
      <w:rFonts w:ascii="Times New Roman" w:hAnsi="Times New Roman" w:eastAsia="黑体" w:cs="Times New Roman"/>
      <w:sz w:val="28"/>
      <w:lang w:val="en-US" w:eastAsia="zh-CN" w:bidi="ar-SA"/>
    </w:rPr>
  </w:style>
  <w:style w:type="paragraph" w:customStyle="1" w:styleId="368">
    <w:name w:val="1."/>
    <w:basedOn w:val="1"/>
    <w:qFormat/>
    <w:uiPriority w:val="0"/>
    <w:pPr>
      <w:numPr>
        <w:ilvl w:val="0"/>
        <w:numId w:val="2"/>
      </w:numPr>
      <w:spacing w:line="360" w:lineRule="auto"/>
      <w:ind w:firstLine="482"/>
    </w:pPr>
    <w:rPr>
      <w:sz w:val="28"/>
      <w:szCs w:val="20"/>
    </w:rPr>
  </w:style>
  <w:style w:type="character" w:customStyle="1" w:styleId="369">
    <w:name w:val="日期 Char"/>
    <w:link w:val="23"/>
    <w:qFormat/>
    <w:uiPriority w:val="0"/>
    <w:rPr>
      <w:kern w:val="2"/>
      <w:sz w:val="21"/>
      <w:szCs w:val="24"/>
    </w:rPr>
  </w:style>
  <w:style w:type="character" w:customStyle="1" w:styleId="370">
    <w:name w:val="正文文本缩进 3 Char"/>
    <w:link w:val="34"/>
    <w:qFormat/>
    <w:uiPriority w:val="0"/>
    <w:rPr>
      <w:kern w:val="2"/>
      <w:sz w:val="21"/>
      <w:szCs w:val="24"/>
    </w:rPr>
  </w:style>
  <w:style w:type="paragraph" w:customStyle="1" w:styleId="371">
    <w:name w:val="表中"/>
    <w:basedOn w:val="1"/>
    <w:qFormat/>
    <w:uiPriority w:val="0"/>
    <w:pPr>
      <w:adjustRightInd w:val="0"/>
      <w:spacing w:line="360" w:lineRule="atLeast"/>
      <w:jc w:val="center"/>
      <w:textAlignment w:val="baseline"/>
    </w:pPr>
    <w:rPr>
      <w:kern w:val="0"/>
      <w:szCs w:val="20"/>
    </w:rPr>
  </w:style>
  <w:style w:type="paragraph" w:customStyle="1" w:styleId="372">
    <w:name w:val="表格文字"/>
    <w:basedOn w:val="1"/>
    <w:qFormat/>
    <w:uiPriority w:val="0"/>
    <w:pPr>
      <w:adjustRightInd w:val="0"/>
      <w:spacing w:line="420" w:lineRule="atLeast"/>
      <w:jc w:val="left"/>
      <w:textAlignment w:val="baseline"/>
    </w:pPr>
    <w:rPr>
      <w:kern w:val="0"/>
      <w:szCs w:val="20"/>
    </w:rPr>
  </w:style>
  <w:style w:type="paragraph" w:customStyle="1" w:styleId="373">
    <w:name w:val="a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4">
    <w:name w:val="xl35"/>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hint="eastAsia" w:ascii="楷体_GB2312" w:hAnsi="宋体" w:eastAsia="楷体_GB2312"/>
      <w:kern w:val="0"/>
      <w:sz w:val="24"/>
      <w:szCs w:val="24"/>
    </w:rPr>
  </w:style>
  <w:style w:type="paragraph" w:customStyle="1" w:styleId="375">
    <w:name w:val="Char Char Char Char Char Char1 Char Char Char Char"/>
    <w:basedOn w:val="1"/>
    <w:qFormat/>
    <w:uiPriority w:val="0"/>
    <w:rPr>
      <w:rFonts w:ascii="仿宋_GB2312" w:eastAsia="仿宋_GB2312"/>
      <w:b/>
      <w:sz w:val="32"/>
      <w:szCs w:val="32"/>
    </w:rPr>
  </w:style>
  <w:style w:type="paragraph" w:customStyle="1" w:styleId="376">
    <w:name w:val="Char Char Char Char1"/>
    <w:basedOn w:val="1"/>
    <w:qFormat/>
    <w:uiPriority w:val="0"/>
    <w:pPr>
      <w:widowControl/>
      <w:spacing w:after="160" w:line="240" w:lineRule="exact"/>
      <w:jc w:val="left"/>
    </w:pPr>
    <w:rPr>
      <w:szCs w:val="20"/>
    </w:rPr>
  </w:style>
  <w:style w:type="character" w:customStyle="1" w:styleId="377">
    <w:name w:val="tpc_content1"/>
    <w:qFormat/>
    <w:uiPriority w:val="0"/>
    <w:rPr>
      <w:sz w:val="20"/>
      <w:szCs w:val="20"/>
    </w:rPr>
  </w:style>
  <w:style w:type="paragraph" w:customStyle="1" w:styleId="378">
    <w:name w:val="Char Char1"/>
    <w:basedOn w:val="1"/>
    <w:qFormat/>
    <w:uiPriority w:val="0"/>
    <w:rPr>
      <w:rFonts w:ascii="Tahoma" w:hAnsi="Tahoma"/>
      <w:sz w:val="24"/>
      <w:szCs w:val="20"/>
    </w:rPr>
  </w:style>
  <w:style w:type="character" w:customStyle="1" w:styleId="379">
    <w:name w:val="称呼 Char"/>
    <w:basedOn w:val="45"/>
    <w:link w:val="16"/>
    <w:qFormat/>
    <w:uiPriority w:val="0"/>
    <w:rPr>
      <w:kern w:val="2"/>
      <w:sz w:val="24"/>
      <w:szCs w:val="24"/>
    </w:rPr>
  </w:style>
  <w:style w:type="paragraph" w:customStyle="1" w:styleId="380">
    <w:name w:val="xl30"/>
    <w:basedOn w:val="1"/>
    <w:qFormat/>
    <w:uiPriority w:val="0"/>
    <w:pPr>
      <w:widowControl/>
      <w:spacing w:before="100" w:beforeAutospacing="1" w:after="100" w:afterAutospacing="1"/>
      <w:jc w:val="center"/>
      <w:textAlignment w:val="center"/>
    </w:pPr>
    <w:rPr>
      <w:rFonts w:ascii="Arial Unicode MS" w:hAnsi="Arial Unicode MS" w:eastAsia="Arial Unicode MS" w:cs="Courier New"/>
      <w:b/>
      <w:bCs/>
      <w:kern w:val="0"/>
      <w:sz w:val="24"/>
      <w:szCs w:val="24"/>
    </w:rPr>
  </w:style>
  <w:style w:type="character" w:customStyle="1" w:styleId="381">
    <w:name w:val="标题 Char"/>
    <w:link w:val="40"/>
    <w:qFormat/>
    <w:uiPriority w:val="0"/>
    <w:rPr>
      <w:rFonts w:ascii="Arial" w:hAnsi="Arial" w:cs="Arial"/>
      <w:b/>
      <w:bCs/>
      <w:sz w:val="44"/>
      <w:szCs w:val="32"/>
    </w:rPr>
  </w:style>
  <w:style w:type="paragraph" w:customStyle="1" w:styleId="382">
    <w:name w:val="标题 1_0"/>
    <w:basedOn w:val="1"/>
    <w:next w:val="1"/>
    <w:link w:val="383"/>
    <w:qFormat/>
    <w:uiPriority w:val="0"/>
    <w:pPr>
      <w:keepNext/>
      <w:keepLines/>
      <w:spacing w:before="340" w:after="330" w:line="578" w:lineRule="auto"/>
      <w:outlineLvl w:val="0"/>
    </w:pPr>
    <w:rPr>
      <w:b/>
      <w:bCs/>
      <w:kern w:val="44"/>
      <w:sz w:val="44"/>
      <w:szCs w:val="44"/>
    </w:rPr>
  </w:style>
  <w:style w:type="character" w:customStyle="1" w:styleId="383">
    <w:name w:val="标题 1 字符"/>
    <w:link w:val="382"/>
    <w:qFormat/>
    <w:uiPriority w:val="0"/>
    <w:rPr>
      <w:b/>
      <w:bCs/>
      <w:kern w:val="44"/>
      <w:sz w:val="44"/>
      <w:szCs w:val="44"/>
    </w:rPr>
  </w:style>
  <w:style w:type="paragraph" w:customStyle="1" w:styleId="384">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5">
    <w:name w:val="标题 4_0"/>
    <w:basedOn w:val="384"/>
    <w:next w:val="384"/>
    <w:link w:val="386"/>
    <w:qFormat/>
    <w:uiPriority w:val="0"/>
    <w:pPr>
      <w:keepNext/>
      <w:keepLines/>
      <w:spacing w:before="280" w:after="290" w:line="376" w:lineRule="auto"/>
      <w:outlineLvl w:val="3"/>
    </w:pPr>
    <w:rPr>
      <w:rFonts w:ascii="Arial" w:hAnsi="Arial" w:eastAsia="黑体"/>
      <w:b/>
      <w:bCs/>
      <w:sz w:val="28"/>
      <w:szCs w:val="28"/>
    </w:rPr>
  </w:style>
  <w:style w:type="character" w:customStyle="1" w:styleId="386">
    <w:name w:val="标题 4 字符"/>
    <w:link w:val="385"/>
    <w:qFormat/>
    <w:uiPriority w:val="0"/>
    <w:rPr>
      <w:rFonts w:ascii="Arial" w:hAnsi="Arial" w:eastAsia="黑体"/>
      <w:b/>
      <w:bCs/>
      <w:kern w:val="2"/>
      <w:sz w:val="28"/>
      <w:szCs w:val="28"/>
    </w:rPr>
  </w:style>
  <w:style w:type="paragraph" w:customStyle="1" w:styleId="387">
    <w:name w:val="标题 5_0"/>
    <w:basedOn w:val="384"/>
    <w:next w:val="384"/>
    <w:link w:val="388"/>
    <w:qFormat/>
    <w:uiPriority w:val="0"/>
    <w:pPr>
      <w:keepNext/>
      <w:keepLines/>
      <w:spacing w:before="280" w:after="290" w:line="376" w:lineRule="auto"/>
      <w:outlineLvl w:val="4"/>
    </w:pPr>
    <w:rPr>
      <w:b/>
      <w:bCs/>
      <w:sz w:val="28"/>
      <w:szCs w:val="28"/>
    </w:rPr>
  </w:style>
  <w:style w:type="character" w:customStyle="1" w:styleId="388">
    <w:name w:val="标题 5 字符"/>
    <w:link w:val="387"/>
    <w:qFormat/>
    <w:uiPriority w:val="0"/>
    <w:rPr>
      <w:b/>
      <w:bCs/>
      <w:kern w:val="2"/>
      <w:sz w:val="28"/>
      <w:szCs w:val="28"/>
    </w:rPr>
  </w:style>
  <w:style w:type="paragraph" w:customStyle="1" w:styleId="389">
    <w:name w:val="标题 3_0"/>
    <w:basedOn w:val="390"/>
    <w:next w:val="390"/>
    <w:link w:val="391"/>
    <w:unhideWhenUsed/>
    <w:qFormat/>
    <w:uiPriority w:val="0"/>
    <w:pPr>
      <w:keepNext/>
      <w:keepLines/>
      <w:spacing w:before="260" w:after="260" w:line="416" w:lineRule="auto"/>
      <w:outlineLvl w:val="2"/>
    </w:pPr>
    <w:rPr>
      <w:b/>
      <w:bCs/>
      <w:sz w:val="32"/>
      <w:szCs w:val="32"/>
    </w:rPr>
  </w:style>
  <w:style w:type="paragraph" w:customStyle="1" w:styleId="390">
    <w:name w:val="正文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91">
    <w:name w:val="标题 3 Char_0"/>
    <w:link w:val="389"/>
    <w:qFormat/>
    <w:uiPriority w:val="0"/>
    <w:rPr>
      <w:b/>
      <w:bCs/>
      <w:kern w:val="2"/>
      <w:sz w:val="32"/>
      <w:szCs w:val="32"/>
    </w:rPr>
  </w:style>
  <w:style w:type="paragraph" w:customStyle="1" w:styleId="392">
    <w:name w:val="列出段落_0"/>
    <w:basedOn w:val="390"/>
    <w:qFormat/>
    <w:uiPriority w:val="0"/>
    <w:pPr>
      <w:ind w:firstLine="420" w:firstLineChars="200"/>
    </w:pPr>
    <w:rPr>
      <w:rFonts w:ascii="Calibri" w:hAnsi="Calibri"/>
    </w:rPr>
  </w:style>
  <w:style w:type="paragraph" w:customStyle="1" w:styleId="393">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94">
    <w:name w:val="尾注文本 Char"/>
    <w:link w:val="25"/>
    <w:qFormat/>
    <w:uiPriority w:val="0"/>
    <w:rPr>
      <w:kern w:val="2"/>
      <w:sz w:val="21"/>
      <w:szCs w:val="24"/>
    </w:rPr>
  </w:style>
  <w:style w:type="character" w:customStyle="1" w:styleId="395">
    <w:name w:val="尾注文本 Char1"/>
    <w:qFormat/>
    <w:uiPriority w:val="0"/>
    <w:rPr>
      <w:rFonts w:ascii="Calibri" w:hAnsi="Calibri"/>
      <w:kern w:val="2"/>
      <w:sz w:val="21"/>
      <w:szCs w:val="22"/>
    </w:rPr>
  </w:style>
  <w:style w:type="character" w:customStyle="1" w:styleId="396">
    <w:name w:val="style61"/>
    <w:qFormat/>
    <w:uiPriority w:val="0"/>
    <w:rPr>
      <w:color w:val="333333"/>
    </w:rPr>
  </w:style>
  <w:style w:type="paragraph" w:customStyle="1" w:styleId="397">
    <w:name w:val="p0"/>
    <w:basedOn w:val="1"/>
    <w:qFormat/>
    <w:uiPriority w:val="0"/>
    <w:pPr>
      <w:widowControl/>
    </w:pPr>
    <w:rPr>
      <w:kern w:val="0"/>
      <w:szCs w:val="21"/>
    </w:rPr>
  </w:style>
  <w:style w:type="character" w:customStyle="1" w:styleId="398">
    <w:name w:val="正文文本 (2) + Tahoma"/>
    <w:qFormat/>
    <w:uiPriority w:val="0"/>
    <w:rPr>
      <w:rFonts w:ascii="Tahoma" w:hAnsi="Tahoma" w:eastAsia="Tahoma" w:cs="Tahoma"/>
      <w:color w:val="000000"/>
      <w:spacing w:val="0"/>
      <w:w w:val="100"/>
      <w:position w:val="0"/>
      <w:sz w:val="18"/>
      <w:szCs w:val="18"/>
      <w:u w:val="none"/>
      <w:shd w:val="clear" w:color="auto" w:fill="FFFFFF"/>
      <w:lang w:val="en-US" w:eastAsia="en-US" w:bidi="en-US"/>
    </w:rPr>
  </w:style>
  <w:style w:type="character" w:customStyle="1" w:styleId="399">
    <w:name w:val="正文文本 (7) + David"/>
    <w:qFormat/>
    <w:uiPriority w:val="0"/>
    <w:rPr>
      <w:rFonts w:ascii="David" w:hAnsi="David" w:eastAsia="David" w:cs="David"/>
      <w:color w:val="000000"/>
      <w:spacing w:val="0"/>
      <w:w w:val="100"/>
      <w:position w:val="0"/>
      <w:sz w:val="42"/>
      <w:szCs w:val="42"/>
      <w:shd w:val="clear" w:color="auto" w:fill="FFFFFF"/>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B9F520-DD64-41A5-8117-B6700C4E63C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19</Pages>
  <Words>2415</Words>
  <Characters>13771</Characters>
  <Lines>114</Lines>
  <Paragraphs>32</Paragraphs>
  <TotalTime>331</TotalTime>
  <ScaleCrop>false</ScaleCrop>
  <LinksUpToDate>false</LinksUpToDate>
  <CharactersWithSpaces>16154</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2018-08-30T08:43:00Z</dcterms:created>
  <dc:creator>徐绍宇</dc:creator>
  <cp:lastModifiedBy>史翠</cp:lastModifiedBy>
  <cp:lastPrinted>2020-09-14T01:13:00Z</cp:lastPrinted>
  <dcterms:modified xsi:type="dcterms:W3CDTF">2020-10-13T01:16:45Z</dcterms:modified>
  <dc:title>中华人民共和国</dc:title>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