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440" w:lineRule="exact"/>
        <w:jc w:val="center"/>
        <w:rPr>
          <w:rFonts w:hint="eastAsia" w:ascii="宋体" w:hAnsi="宋体" w:eastAsia="宋体" w:cs="宋体"/>
          <w:b/>
          <w:bCs w:val="0"/>
          <w:color w:val="000000" w:themeColor="text1"/>
          <w:sz w:val="36"/>
          <w:szCs w:val="32"/>
          <w:highlight w:val="none"/>
        </w:rPr>
      </w:pPr>
      <w:bookmarkStart w:id="0" w:name="_Hlk522259867"/>
      <w:bookmarkStart w:id="1" w:name="_Toc197960544"/>
      <w:bookmarkStart w:id="2" w:name="_Toc197965596"/>
      <w:bookmarkStart w:id="3" w:name="_Toc197950802"/>
      <w:bookmarkStart w:id="4" w:name="_Toc197960492"/>
      <w:bookmarkStart w:id="5" w:name="_Toc197967265"/>
      <w:bookmarkStart w:id="6" w:name="_Toc197967117"/>
      <w:bookmarkStart w:id="7" w:name="_Toc197950681"/>
      <w:bookmarkStart w:id="8" w:name="_Toc197951555"/>
      <w:bookmarkStart w:id="9" w:name="_Toc197951587"/>
      <w:r>
        <w:rPr>
          <w:rFonts w:hint="eastAsia" w:ascii="宋体" w:hAnsi="宋体" w:eastAsia="宋体" w:cs="宋体"/>
          <w:b/>
          <w:bCs w:val="0"/>
          <w:color w:val="000000" w:themeColor="text1"/>
          <w:sz w:val="36"/>
          <w:szCs w:val="32"/>
          <w:highlight w:val="none"/>
        </w:rPr>
        <w:t>国道珲春至阿尔山公路延吉至安图段改建项目</w:t>
      </w:r>
      <w:r>
        <w:rPr>
          <w:rFonts w:hint="eastAsia" w:ascii="宋体" w:hAnsi="宋体" w:eastAsia="宋体" w:cs="宋体"/>
          <w:b/>
          <w:bCs w:val="0"/>
          <w:color w:val="000000" w:themeColor="text1"/>
          <w:sz w:val="36"/>
          <w:szCs w:val="32"/>
          <w:highlight w:val="none"/>
        </w:rPr>
        <w:t>施工招标</w:t>
      </w:r>
    </w:p>
    <w:p>
      <w:pPr>
        <w:spacing w:beforeLines="100" w:line="440" w:lineRule="exact"/>
        <w:jc w:val="center"/>
        <w:rPr>
          <w:rFonts w:hint="eastAsia" w:ascii="宋体" w:hAnsi="宋体" w:eastAsia="宋体" w:cs="宋体"/>
          <w:b/>
          <w:bCs w:val="0"/>
          <w:color w:val="000000" w:themeColor="text1"/>
          <w:sz w:val="36"/>
          <w:szCs w:val="36"/>
        </w:rPr>
      </w:pPr>
      <w:r>
        <w:rPr>
          <w:rFonts w:hint="eastAsia" w:ascii="宋体" w:hAnsi="宋体" w:eastAsia="宋体" w:cs="宋体"/>
          <w:b/>
          <w:bCs w:val="0"/>
          <w:color w:val="000000" w:themeColor="text1"/>
          <w:sz w:val="36"/>
          <w:szCs w:val="36"/>
        </w:rPr>
        <w:t>关键内容</w:t>
      </w:r>
    </w:p>
    <w:bookmarkEnd w:id="0"/>
    <w:bookmarkEnd w:id="1"/>
    <w:bookmarkEnd w:id="2"/>
    <w:bookmarkEnd w:id="3"/>
    <w:bookmarkEnd w:id="4"/>
    <w:bookmarkEnd w:id="5"/>
    <w:bookmarkEnd w:id="6"/>
    <w:bookmarkEnd w:id="7"/>
    <w:bookmarkEnd w:id="8"/>
    <w:bookmarkEnd w:id="9"/>
    <w:p>
      <w:pPr>
        <w:adjustRightInd w:val="0"/>
        <w:snapToGrid w:val="0"/>
        <w:spacing w:beforeLines="30" w:afterLines="30"/>
        <w:rPr>
          <w:rFonts w:ascii="黑体" w:hAnsi="黑体" w:eastAsia="黑体"/>
          <w:color w:val="000000" w:themeColor="text1"/>
          <w:sz w:val="24"/>
          <w:szCs w:val="24"/>
          <w:highlight w:val="none"/>
        </w:rPr>
      </w:pPr>
      <w:bookmarkStart w:id="50" w:name="_GoBack"/>
      <w:bookmarkEnd w:id="50"/>
      <w:bookmarkStart w:id="10" w:name="_Toc436994093"/>
      <w:bookmarkStart w:id="11" w:name="_Toc509326565"/>
    </w:p>
    <w:p>
      <w:pPr>
        <w:adjustRightInd w:val="0"/>
        <w:snapToGrid w:val="0"/>
        <w:spacing w:beforeLines="30" w:afterLines="30"/>
        <w:rPr>
          <w:rFonts w:ascii="黑体" w:hAnsi="黑体" w:eastAsia="黑体"/>
          <w:color w:val="000000" w:themeColor="text1"/>
          <w:sz w:val="24"/>
          <w:szCs w:val="24"/>
          <w:highlight w:val="none"/>
        </w:rPr>
      </w:pPr>
      <w:r>
        <w:rPr>
          <w:rFonts w:ascii="黑体" w:hAnsi="黑体" w:eastAsia="黑体"/>
          <w:color w:val="000000" w:themeColor="text1"/>
          <w:sz w:val="24"/>
          <w:szCs w:val="24"/>
          <w:highlight w:val="none"/>
        </w:rPr>
        <w:t>1. 招标条件</w:t>
      </w:r>
      <w:bookmarkEnd w:id="10"/>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本招标项目国道珲春至阿尔山公路延吉至安图段改建项目已由吉林省发展和改革委员会以《吉林省发展改革委关于国道珲春至阿尔山公路延吉至安图段改建项目工程可行性研究报告的批复》（吉发改审批[2020]115号）批准建设，施工图设计已由吉林省交通运输厅以《吉林省交通运输厅关于国道珲春至阿尔山公路延吉至安图段改建项目一阶段施工图设计的批复》（吉交审批函〔2020〕16号</w:t>
      </w:r>
      <w:r>
        <w:rPr>
          <w:rFonts w:ascii="宋体" w:hAnsi="宋体"/>
          <w:color w:val="000000" w:themeColor="text1"/>
          <w:szCs w:val="21"/>
          <w:highlight w:val="none"/>
        </w:rPr>
        <w:t>）</w:t>
      </w:r>
      <w:r>
        <w:rPr>
          <w:rFonts w:hint="eastAsia" w:ascii="宋体" w:hAnsi="宋体"/>
          <w:color w:val="000000" w:themeColor="text1"/>
          <w:szCs w:val="21"/>
          <w:highlight w:val="none"/>
        </w:rPr>
        <w:t>批准，项目业主为延边珲乌公路改建项目建设办公室，建设资金来自中央投资补贴和地方政府财政性资金，出资比例为67%:33%，招标人为延边珲乌公路改建项目建设办公室，项目已具备招标条件，现对该项目的施工进行公开招标。</w:t>
      </w:r>
    </w:p>
    <w:p>
      <w:pPr>
        <w:adjustRightInd w:val="0"/>
        <w:snapToGrid w:val="0"/>
        <w:spacing w:beforeLines="30" w:afterLines="30"/>
        <w:rPr>
          <w:rFonts w:ascii="黑体" w:hAnsi="黑体" w:eastAsia="黑体"/>
          <w:color w:val="000000" w:themeColor="text1"/>
          <w:sz w:val="24"/>
          <w:szCs w:val="24"/>
          <w:highlight w:val="none"/>
        </w:rPr>
      </w:pPr>
      <w:bookmarkStart w:id="12" w:name="_Toc436994094"/>
      <w:r>
        <w:rPr>
          <w:rFonts w:ascii="黑体" w:hAnsi="黑体" w:eastAsia="黑体"/>
          <w:color w:val="000000" w:themeColor="text1"/>
          <w:sz w:val="24"/>
          <w:szCs w:val="24"/>
          <w:highlight w:val="none"/>
        </w:rPr>
        <w:t>2. 项目概况与招标范围</w:t>
      </w:r>
      <w:bookmarkEnd w:id="12"/>
    </w:p>
    <w:p>
      <w:pPr>
        <w:adjustRightInd w:val="0"/>
        <w:snapToGrid w:val="0"/>
        <w:spacing w:beforeLines="30" w:afterLines="30"/>
        <w:ind w:firstLine="420" w:firstLineChars="200"/>
        <w:jc w:val="left"/>
        <w:rPr>
          <w:rFonts w:ascii="宋体" w:hAnsi="宋体"/>
          <w:color w:val="000000" w:themeColor="text1"/>
          <w:szCs w:val="21"/>
          <w:highlight w:val="none"/>
        </w:rPr>
      </w:pPr>
      <w:bookmarkStart w:id="13" w:name="_Toc436994095"/>
      <w:bookmarkStart w:id="14" w:name="_Toc257655328"/>
      <w:r>
        <w:rPr>
          <w:rFonts w:hint="eastAsia" w:ascii="宋体" w:hAnsi="宋体"/>
          <w:color w:val="000000" w:themeColor="text1"/>
          <w:szCs w:val="21"/>
          <w:highlight w:val="none"/>
        </w:rPr>
        <w:t>2.1 建设地点：吉林省延吉市、龙井市、安图县。</w:t>
      </w:r>
    </w:p>
    <w:p>
      <w:pPr>
        <w:adjustRightInd w:val="0"/>
        <w:snapToGrid w:val="0"/>
        <w:spacing w:beforeLines="30" w:afterLines="30"/>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2.2 建设规模及技术标准：</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建设规模及技术标准：起点位于朝阳川镇西侧，珲阿线与省道三道湾至龙井公路（S504）交叉口处，经由合成村、铜佛村、老头沟镇、宝兴村、五虎岭隧道、石门镇，终点位于安图县城东侧北山村附近。</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按照二级公路标准改建，全线设计速度60公里/小时，项目路线全长44.540公里。</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路基宽度10米（含行车道2×3.50米，硬路肩2×0.75米，土路肩2×0.75米），其中五虎岭隧道段（5.</w:t>
      </w:r>
      <w:r>
        <w:rPr>
          <w:rFonts w:hint="eastAsia" w:ascii="宋体" w:hAnsi="宋体"/>
          <w:color w:val="000000" w:themeColor="text1"/>
          <w:szCs w:val="21"/>
          <w:highlight w:val="none"/>
          <w:lang w:val="en-US" w:eastAsia="zh-CN"/>
        </w:rPr>
        <w:t>272</w:t>
      </w:r>
      <w:r>
        <w:rPr>
          <w:rFonts w:hint="eastAsia" w:ascii="宋体" w:hAnsi="宋体"/>
          <w:color w:val="000000" w:themeColor="text1"/>
          <w:szCs w:val="21"/>
          <w:highlight w:val="none"/>
        </w:rPr>
        <w:t>公里）维持40公里/小时的三级公路标准，路基宽度8.5米；老头沟镇内段（4.5公里）和石门镇内段（1.1公里），路基宽度12米。汽车荷载等级为公路I级。</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2.3 计划工期：</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YA01、YA03标段：2021年2月1日～2022年12月31日，</w:t>
      </w:r>
      <w:r>
        <w:rPr>
          <w:rFonts w:hint="eastAsia" w:ascii="宋体" w:hAnsi="宋体"/>
          <w:color w:val="000000" w:themeColor="text1"/>
          <w:highlight w:val="none"/>
        </w:rPr>
        <w:t>698</w:t>
      </w:r>
      <w:r>
        <w:rPr>
          <w:rFonts w:ascii="宋体" w:hAnsi="宋体"/>
          <w:color w:val="000000" w:themeColor="text1"/>
          <w:highlight w:val="none"/>
        </w:rPr>
        <w:t>日历天</w:t>
      </w:r>
      <w:r>
        <w:rPr>
          <w:rFonts w:hint="eastAsia" w:ascii="宋体" w:hAnsi="宋体"/>
          <w:color w:val="000000" w:themeColor="text1"/>
          <w:szCs w:val="21"/>
          <w:highlight w:val="none"/>
        </w:rPr>
        <w:t>；</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YA02标段：2021年2月1日～2023年12月31日，</w:t>
      </w:r>
      <w:r>
        <w:rPr>
          <w:rFonts w:hint="eastAsia" w:ascii="宋体" w:hAnsi="宋体"/>
          <w:color w:val="000000" w:themeColor="text1"/>
          <w:highlight w:val="none"/>
        </w:rPr>
        <w:t>1063日历</w:t>
      </w:r>
      <w:r>
        <w:rPr>
          <w:rFonts w:ascii="宋体" w:hAnsi="宋体"/>
          <w:color w:val="000000" w:themeColor="text1"/>
          <w:highlight w:val="none"/>
        </w:rPr>
        <w:t>天</w:t>
      </w:r>
      <w:r>
        <w:rPr>
          <w:rFonts w:hint="eastAsia" w:ascii="宋体" w:hAnsi="宋体"/>
          <w:color w:val="000000" w:themeColor="text1"/>
          <w:szCs w:val="21"/>
          <w:highlight w:val="none"/>
        </w:rPr>
        <w:t>。</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2.4 招标范围：路基、路面、桥涵、隧道、排水、防护、绿化等工程的施工。</w:t>
      </w:r>
    </w:p>
    <w:p>
      <w:pPr>
        <w:adjustRightInd w:val="0"/>
        <w:snapToGrid w:val="0"/>
        <w:spacing w:beforeLines="30" w:afterLines="30"/>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2.5 标段划分：本次招标划分为3个标段。</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050"/>
        <w:gridCol w:w="2531"/>
        <w:gridCol w:w="121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76" w:type="dxa"/>
          </w:tcPr>
          <w:p>
            <w:pPr>
              <w:widowControl/>
              <w:spacing w:line="240" w:lineRule="exact"/>
              <w:ind w:left="-50" w:right="-50"/>
              <w:jc w:val="center"/>
              <w:rPr>
                <w:color w:val="000000" w:themeColor="text1"/>
                <w:kern w:val="0"/>
                <w:szCs w:val="21"/>
                <w:highlight w:val="none"/>
              </w:rPr>
            </w:pPr>
            <w:r>
              <w:rPr>
                <w:rFonts w:hint="eastAsia"/>
                <w:color w:val="000000" w:themeColor="text1"/>
                <w:kern w:val="0"/>
                <w:szCs w:val="21"/>
                <w:highlight w:val="none"/>
              </w:rPr>
              <w:t>序号</w:t>
            </w:r>
          </w:p>
        </w:tc>
        <w:tc>
          <w:tcPr>
            <w:tcW w:w="1050" w:type="dxa"/>
            <w:vAlign w:val="center"/>
          </w:tcPr>
          <w:p>
            <w:pPr>
              <w:widowControl/>
              <w:spacing w:line="240" w:lineRule="exact"/>
              <w:ind w:left="-50" w:right="-50"/>
              <w:jc w:val="center"/>
              <w:rPr>
                <w:color w:val="000000" w:themeColor="text1"/>
                <w:kern w:val="0"/>
                <w:szCs w:val="21"/>
                <w:highlight w:val="none"/>
              </w:rPr>
            </w:pPr>
            <w:r>
              <w:rPr>
                <w:rFonts w:hint="eastAsia"/>
                <w:color w:val="000000" w:themeColor="text1"/>
                <w:kern w:val="0"/>
                <w:szCs w:val="21"/>
                <w:highlight w:val="none"/>
              </w:rPr>
              <w:t>标段名称</w:t>
            </w:r>
          </w:p>
        </w:tc>
        <w:tc>
          <w:tcPr>
            <w:tcW w:w="2531" w:type="dxa"/>
            <w:vAlign w:val="center"/>
          </w:tcPr>
          <w:p>
            <w:pPr>
              <w:widowControl/>
              <w:spacing w:line="230" w:lineRule="exact"/>
              <w:ind w:left="-50" w:right="-50"/>
              <w:jc w:val="center"/>
              <w:rPr>
                <w:color w:val="000000" w:themeColor="text1"/>
                <w:kern w:val="0"/>
                <w:szCs w:val="21"/>
                <w:highlight w:val="none"/>
              </w:rPr>
            </w:pPr>
            <w:r>
              <w:rPr>
                <w:rFonts w:hint="eastAsia"/>
                <w:color w:val="000000" w:themeColor="text1"/>
                <w:kern w:val="0"/>
                <w:szCs w:val="21"/>
                <w:highlight w:val="none"/>
              </w:rPr>
              <w:t>起讫桩号</w:t>
            </w:r>
          </w:p>
        </w:tc>
        <w:tc>
          <w:tcPr>
            <w:tcW w:w="1215" w:type="dxa"/>
            <w:vAlign w:val="center"/>
          </w:tcPr>
          <w:p>
            <w:pPr>
              <w:widowControl/>
              <w:spacing w:line="230" w:lineRule="exact"/>
              <w:ind w:left="-50" w:right="-50"/>
              <w:jc w:val="center"/>
              <w:rPr>
                <w:color w:val="000000" w:themeColor="text1"/>
                <w:kern w:val="0"/>
                <w:szCs w:val="21"/>
                <w:highlight w:val="none"/>
              </w:rPr>
            </w:pPr>
            <w:r>
              <w:rPr>
                <w:rFonts w:hint="eastAsia"/>
                <w:color w:val="000000" w:themeColor="text1"/>
                <w:kern w:val="0"/>
                <w:szCs w:val="21"/>
                <w:highlight w:val="none"/>
              </w:rPr>
              <w:t>长度（Km）</w:t>
            </w:r>
          </w:p>
        </w:tc>
        <w:tc>
          <w:tcPr>
            <w:tcW w:w="4200" w:type="dxa"/>
            <w:vAlign w:val="center"/>
          </w:tcPr>
          <w:p>
            <w:pPr>
              <w:widowControl/>
              <w:spacing w:line="230" w:lineRule="exact"/>
              <w:ind w:left="-50" w:right="-50"/>
              <w:jc w:val="center"/>
              <w:rPr>
                <w:color w:val="000000" w:themeColor="text1"/>
                <w:kern w:val="0"/>
                <w:szCs w:val="21"/>
                <w:highlight w:val="none"/>
              </w:rPr>
            </w:pPr>
            <w:r>
              <w:rPr>
                <w:color w:val="000000" w:themeColor="text1"/>
                <w:kern w:val="0"/>
                <w:szCs w:val="21"/>
                <w:highlight w:val="none"/>
              </w:rPr>
              <w:t>主要施工内容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1</w:t>
            </w:r>
          </w:p>
        </w:tc>
        <w:tc>
          <w:tcPr>
            <w:tcW w:w="1050"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YA01</w:t>
            </w:r>
          </w:p>
        </w:tc>
        <w:tc>
          <w:tcPr>
            <w:tcW w:w="2531" w:type="dxa"/>
            <w:vAlign w:val="center"/>
          </w:tcPr>
          <w:p>
            <w:pPr>
              <w:widowControl/>
              <w:ind w:left="-50" w:right="-50"/>
              <w:jc w:val="center"/>
              <w:rPr>
                <w:color w:val="000000" w:themeColor="text1"/>
                <w:kern w:val="0"/>
                <w:szCs w:val="21"/>
                <w:highlight w:val="none"/>
              </w:rPr>
            </w:pPr>
            <w:r>
              <w:rPr>
                <w:rFonts w:hint="eastAsia" w:ascii="宋体" w:hAnsi="宋体"/>
                <w:color w:val="000000" w:themeColor="text1"/>
                <w:szCs w:val="21"/>
                <w:highlight w:val="none"/>
              </w:rPr>
              <w:t>K189+180～K207+200</w:t>
            </w:r>
          </w:p>
        </w:tc>
        <w:tc>
          <w:tcPr>
            <w:tcW w:w="1215" w:type="dxa"/>
            <w:vAlign w:val="center"/>
          </w:tcPr>
          <w:p>
            <w:pPr>
              <w:widowControl/>
              <w:ind w:left="-50" w:right="-50"/>
              <w:jc w:val="center"/>
              <w:rPr>
                <w:color w:val="000000" w:themeColor="text1"/>
                <w:kern w:val="0"/>
                <w:szCs w:val="21"/>
                <w:highlight w:val="none"/>
              </w:rPr>
            </w:pPr>
            <w:r>
              <w:rPr>
                <w:rFonts w:hint="eastAsia" w:ascii="宋体" w:hAnsi="宋体"/>
                <w:color w:val="000000" w:themeColor="text1"/>
                <w:szCs w:val="21"/>
                <w:highlight w:val="none"/>
              </w:rPr>
              <w:t>18.018</w:t>
            </w:r>
          </w:p>
        </w:tc>
        <w:tc>
          <w:tcPr>
            <w:tcW w:w="4200" w:type="dxa"/>
            <w:vAlign w:val="center"/>
          </w:tcPr>
          <w:p>
            <w:pPr>
              <w:widowControl/>
              <w:ind w:left="-50" w:right="-50"/>
              <w:jc w:val="left"/>
              <w:rPr>
                <w:color w:val="000000" w:themeColor="text1"/>
                <w:kern w:val="0"/>
                <w:szCs w:val="21"/>
                <w:highlight w:val="none"/>
              </w:rPr>
            </w:pPr>
            <w:r>
              <w:rPr>
                <w:rFonts w:hint="eastAsia"/>
                <w:color w:val="000000" w:themeColor="text1"/>
                <w:kern w:val="0"/>
                <w:szCs w:val="21"/>
                <w:highlight w:val="none"/>
              </w:rPr>
              <w:t>路基、桥涵、沥青混凝土路面、</w:t>
            </w:r>
            <w:r>
              <w:rPr>
                <w:rFonts w:hint="eastAsia" w:ascii="宋体" w:hAnsi="宋体"/>
                <w:color w:val="000000" w:themeColor="text1"/>
                <w:szCs w:val="21"/>
                <w:highlight w:val="none"/>
              </w:rPr>
              <w:t>排水、防护工程。其中：大桥147米/1座，中桥111米/2座，小桥125米/7座，分离立交731.7/2座（不含两处上跨铁路3-30米部分）。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2</w:t>
            </w:r>
          </w:p>
        </w:tc>
        <w:tc>
          <w:tcPr>
            <w:tcW w:w="1050"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YA02</w:t>
            </w:r>
          </w:p>
        </w:tc>
        <w:tc>
          <w:tcPr>
            <w:tcW w:w="2531" w:type="dxa"/>
            <w:vAlign w:val="center"/>
          </w:tcPr>
          <w:p>
            <w:pPr>
              <w:widowControl/>
              <w:ind w:left="-50" w:right="-50"/>
              <w:jc w:val="center"/>
              <w:rPr>
                <w:color w:val="000000" w:themeColor="text1"/>
                <w:kern w:val="0"/>
                <w:szCs w:val="21"/>
                <w:highlight w:val="none"/>
              </w:rPr>
            </w:pPr>
            <w:r>
              <w:rPr>
                <w:rFonts w:hint="eastAsia" w:ascii="宋体" w:hAnsi="宋体"/>
                <w:color w:val="000000" w:themeColor="text1"/>
                <w:szCs w:val="21"/>
                <w:highlight w:val="none"/>
              </w:rPr>
              <w:t>K207+200～K217+600</w:t>
            </w:r>
          </w:p>
        </w:tc>
        <w:tc>
          <w:tcPr>
            <w:tcW w:w="1215" w:type="dxa"/>
            <w:vAlign w:val="center"/>
          </w:tcPr>
          <w:p>
            <w:pPr>
              <w:widowControl/>
              <w:ind w:left="-50" w:right="-50"/>
              <w:jc w:val="center"/>
              <w:rPr>
                <w:color w:val="000000" w:themeColor="text1"/>
                <w:kern w:val="0"/>
                <w:szCs w:val="21"/>
                <w:highlight w:val="none"/>
              </w:rPr>
            </w:pPr>
            <w:r>
              <w:rPr>
                <w:rFonts w:hint="eastAsia" w:ascii="宋体" w:hAnsi="宋体"/>
                <w:color w:val="000000" w:themeColor="text1"/>
                <w:szCs w:val="21"/>
                <w:highlight w:val="none"/>
              </w:rPr>
              <w:t>10.29</w:t>
            </w:r>
          </w:p>
        </w:tc>
        <w:tc>
          <w:tcPr>
            <w:tcW w:w="4200" w:type="dxa"/>
            <w:vAlign w:val="center"/>
          </w:tcPr>
          <w:p>
            <w:pPr>
              <w:widowControl/>
              <w:ind w:left="-50" w:right="-50"/>
              <w:jc w:val="left"/>
              <w:rPr>
                <w:color w:val="000000" w:themeColor="text1"/>
                <w:kern w:val="0"/>
                <w:szCs w:val="21"/>
                <w:highlight w:val="none"/>
              </w:rPr>
            </w:pPr>
            <w:r>
              <w:rPr>
                <w:rFonts w:hint="eastAsia"/>
                <w:color w:val="000000" w:themeColor="text1"/>
                <w:kern w:val="0"/>
                <w:szCs w:val="21"/>
                <w:highlight w:val="none"/>
              </w:rPr>
              <w:t>路基、桥涵、隧道、沥青混凝土路面、</w:t>
            </w:r>
            <w:r>
              <w:rPr>
                <w:rFonts w:hint="eastAsia" w:ascii="宋体" w:hAnsi="宋体"/>
                <w:color w:val="000000" w:themeColor="text1"/>
                <w:szCs w:val="21"/>
                <w:highlight w:val="none"/>
              </w:rPr>
              <w:t>排水、防护工程。其中：隧道（903+197）米/2座，大桥1302米/6座，中桥164米/2座，分离立交67米/1座。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3</w:t>
            </w:r>
          </w:p>
        </w:tc>
        <w:tc>
          <w:tcPr>
            <w:tcW w:w="1050"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YA03</w:t>
            </w:r>
          </w:p>
        </w:tc>
        <w:tc>
          <w:tcPr>
            <w:tcW w:w="2531" w:type="dxa"/>
            <w:vAlign w:val="center"/>
          </w:tcPr>
          <w:p>
            <w:pPr>
              <w:widowControl/>
              <w:ind w:left="-50" w:right="-50"/>
              <w:jc w:val="center"/>
              <w:rPr>
                <w:color w:val="000000" w:themeColor="text1"/>
                <w:kern w:val="0"/>
                <w:szCs w:val="21"/>
                <w:highlight w:val="none"/>
              </w:rPr>
            </w:pPr>
            <w:r>
              <w:rPr>
                <w:rFonts w:hint="eastAsia" w:ascii="宋体" w:hAnsi="宋体"/>
                <w:color w:val="000000" w:themeColor="text1"/>
                <w:szCs w:val="21"/>
                <w:highlight w:val="none"/>
              </w:rPr>
              <w:t>K217+600～K233+845</w:t>
            </w:r>
          </w:p>
        </w:tc>
        <w:tc>
          <w:tcPr>
            <w:tcW w:w="1215" w:type="dxa"/>
            <w:vAlign w:val="center"/>
          </w:tcPr>
          <w:p>
            <w:pPr>
              <w:widowControl/>
              <w:ind w:left="-50" w:right="-50"/>
              <w:jc w:val="center"/>
              <w:rPr>
                <w:color w:val="000000" w:themeColor="text1"/>
                <w:kern w:val="0"/>
                <w:szCs w:val="21"/>
                <w:highlight w:val="none"/>
              </w:rPr>
            </w:pPr>
            <w:r>
              <w:rPr>
                <w:rFonts w:hint="eastAsia" w:ascii="宋体" w:hAnsi="宋体"/>
                <w:color w:val="000000" w:themeColor="text1"/>
                <w:szCs w:val="21"/>
                <w:highlight w:val="none"/>
              </w:rPr>
              <w:t>16.232</w:t>
            </w:r>
          </w:p>
        </w:tc>
        <w:tc>
          <w:tcPr>
            <w:tcW w:w="4200" w:type="dxa"/>
            <w:vAlign w:val="center"/>
          </w:tcPr>
          <w:p>
            <w:pPr>
              <w:widowControl/>
              <w:ind w:left="-50" w:right="-50"/>
              <w:jc w:val="left"/>
              <w:rPr>
                <w:color w:val="000000" w:themeColor="text1"/>
                <w:kern w:val="0"/>
                <w:szCs w:val="21"/>
                <w:highlight w:val="none"/>
              </w:rPr>
            </w:pPr>
            <w:r>
              <w:rPr>
                <w:rFonts w:hint="eastAsia"/>
                <w:color w:val="000000" w:themeColor="text1"/>
                <w:kern w:val="0"/>
                <w:szCs w:val="21"/>
                <w:highlight w:val="none"/>
              </w:rPr>
              <w:t>路基、桥涵、沥青混凝土路面、</w:t>
            </w:r>
            <w:r>
              <w:rPr>
                <w:rFonts w:hint="eastAsia" w:ascii="宋体" w:hAnsi="宋体"/>
                <w:color w:val="000000" w:themeColor="text1"/>
                <w:szCs w:val="21"/>
                <w:highlight w:val="none"/>
              </w:rPr>
              <w:t>排水、防护、</w:t>
            </w:r>
            <w:r>
              <w:rPr>
                <w:rFonts w:hint="eastAsia"/>
                <w:color w:val="000000" w:themeColor="text1"/>
                <w:kern w:val="0"/>
                <w:szCs w:val="21"/>
                <w:highlight w:val="none"/>
              </w:rPr>
              <w:t>YA01</w:t>
            </w:r>
            <w:r>
              <w:rPr>
                <w:rFonts w:hint="eastAsia"/>
                <w:color w:val="000000" w:themeColor="text1"/>
                <w:kern w:val="0"/>
                <w:szCs w:val="21"/>
                <w:highlight w:val="none"/>
                <w:lang w:val="en-US" w:eastAsia="zh-CN"/>
              </w:rPr>
              <w:t>-</w:t>
            </w:r>
            <w:r>
              <w:rPr>
                <w:rFonts w:hint="eastAsia"/>
                <w:color w:val="000000" w:themeColor="text1"/>
                <w:kern w:val="0"/>
                <w:szCs w:val="21"/>
                <w:highlight w:val="none"/>
              </w:rPr>
              <w:t>YA03</w:t>
            </w:r>
            <w:r>
              <w:rPr>
                <w:rFonts w:hint="eastAsia"/>
                <w:color w:val="000000" w:themeColor="text1"/>
                <w:kern w:val="0"/>
                <w:szCs w:val="21"/>
                <w:highlight w:val="none"/>
                <w:lang w:val="en-US" w:eastAsia="zh-CN"/>
              </w:rPr>
              <w:t>标段</w:t>
            </w:r>
            <w:r>
              <w:rPr>
                <w:rFonts w:hint="eastAsia" w:ascii="宋体" w:hAnsi="宋体"/>
                <w:color w:val="000000" w:themeColor="text1"/>
                <w:szCs w:val="21"/>
                <w:highlight w:val="none"/>
              </w:rPr>
              <w:t>全线绿化工程（不包含</w:t>
            </w:r>
            <w:r>
              <w:rPr>
                <w:rFonts w:hint="eastAsia" w:ascii="宋体" w:hAnsi="宋体"/>
                <w:color w:val="000000" w:themeColor="text1"/>
                <w:szCs w:val="21"/>
                <w:highlight w:val="none"/>
                <w:lang w:val="en-US" w:eastAsia="zh-CN"/>
              </w:rPr>
              <w:t>场区</w:t>
            </w:r>
            <w:r>
              <w:rPr>
                <w:rFonts w:hint="eastAsia" w:ascii="宋体" w:hAnsi="宋体"/>
                <w:color w:val="000000" w:themeColor="text1"/>
                <w:szCs w:val="21"/>
                <w:highlight w:val="none"/>
              </w:rPr>
              <w:t>绿化）。其中：中桥133.5米/2座，小桥42米/2座，分离立交426.1/1座（不含一处上跨铁路3-30米部分）。</w:t>
            </w:r>
          </w:p>
        </w:tc>
      </w:tr>
      <w:bookmarkEnd w:id="13"/>
      <w:bookmarkEnd w:id="14"/>
    </w:tbl>
    <w:p>
      <w:pPr>
        <w:adjustRightInd w:val="0"/>
        <w:snapToGrid w:val="0"/>
        <w:spacing w:beforeLines="30" w:afterLines="30"/>
        <w:rPr>
          <w:rFonts w:ascii="黑体" w:hAnsi="黑体" w:eastAsia="黑体"/>
          <w:color w:val="000000" w:themeColor="text1"/>
          <w:sz w:val="24"/>
          <w:szCs w:val="24"/>
          <w:highlight w:val="none"/>
        </w:rPr>
      </w:pPr>
      <w:bookmarkStart w:id="15" w:name="_Toc455238557"/>
      <w:r>
        <w:rPr>
          <w:rFonts w:hint="eastAsia" w:ascii="黑体" w:hAnsi="黑体" w:eastAsia="黑体"/>
          <w:color w:val="000000" w:themeColor="text1"/>
          <w:sz w:val="24"/>
          <w:szCs w:val="24"/>
          <w:highlight w:val="none"/>
        </w:rPr>
        <w:t>3</w:t>
      </w:r>
      <w:r>
        <w:rPr>
          <w:rFonts w:ascii="黑体" w:hAnsi="黑体" w:eastAsia="黑体"/>
          <w:color w:val="000000" w:themeColor="text1"/>
          <w:sz w:val="24"/>
          <w:szCs w:val="24"/>
          <w:highlight w:val="none"/>
        </w:rPr>
        <w:t>．投标人资格</w:t>
      </w:r>
      <w:r>
        <w:rPr>
          <w:rFonts w:hint="eastAsia" w:ascii="黑体" w:hAnsi="黑体" w:eastAsia="黑体"/>
          <w:color w:val="000000" w:themeColor="text1"/>
          <w:sz w:val="24"/>
          <w:szCs w:val="24"/>
          <w:highlight w:val="none"/>
        </w:rPr>
        <w:t>要求</w:t>
      </w:r>
      <w:bookmarkEnd w:id="15"/>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3.1本次招标要求投标人须具备以下条件，并在人员、设备、资金等方面具备相应的施工能力。</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25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Align w:val="center"/>
          </w:tcPr>
          <w:p>
            <w:pPr>
              <w:adjustRightInd w:val="0"/>
              <w:snapToGrid w:val="0"/>
              <w:spacing w:beforeLines="30" w:afterLines="30"/>
              <w:jc w:val="center"/>
              <w:rPr>
                <w:rFonts w:ascii="宋体" w:hAnsi="宋体"/>
                <w:color w:val="000000" w:themeColor="text1"/>
                <w:szCs w:val="21"/>
                <w:highlight w:val="none"/>
              </w:rPr>
            </w:pPr>
            <w:r>
              <w:rPr>
                <w:rFonts w:hint="eastAsia" w:ascii="宋体" w:hAnsi="宋体"/>
                <w:color w:val="000000" w:themeColor="text1"/>
                <w:szCs w:val="21"/>
                <w:highlight w:val="none"/>
              </w:rPr>
              <w:t>标段</w:t>
            </w:r>
          </w:p>
          <w:p>
            <w:pPr>
              <w:adjustRightInd w:val="0"/>
              <w:snapToGrid w:val="0"/>
              <w:spacing w:beforeLines="30" w:afterLines="30"/>
              <w:jc w:val="center"/>
              <w:rPr>
                <w:rFonts w:ascii="宋体" w:hAnsi="宋体"/>
                <w:color w:val="000000" w:themeColor="text1"/>
                <w:szCs w:val="21"/>
                <w:highlight w:val="none"/>
              </w:rPr>
            </w:pPr>
            <w:r>
              <w:rPr>
                <w:rFonts w:hint="eastAsia" w:ascii="宋体" w:hAnsi="宋体"/>
                <w:color w:val="000000" w:themeColor="text1"/>
                <w:szCs w:val="21"/>
                <w:highlight w:val="none"/>
              </w:rPr>
              <w:t>名称</w:t>
            </w:r>
          </w:p>
        </w:tc>
        <w:tc>
          <w:tcPr>
            <w:tcW w:w="4252" w:type="dxa"/>
            <w:vAlign w:val="center"/>
          </w:tcPr>
          <w:p>
            <w:pPr>
              <w:adjustRightInd w:val="0"/>
              <w:snapToGrid w:val="0"/>
              <w:spacing w:beforeLines="30" w:afterLines="30"/>
              <w:jc w:val="center"/>
              <w:rPr>
                <w:rFonts w:ascii="宋体" w:hAnsi="宋体"/>
                <w:color w:val="000000" w:themeColor="text1"/>
                <w:szCs w:val="21"/>
                <w:highlight w:val="none"/>
              </w:rPr>
            </w:pPr>
            <w:r>
              <w:rPr>
                <w:rFonts w:hint="eastAsia" w:ascii="宋体" w:hAnsi="宋体"/>
                <w:color w:val="000000" w:themeColor="text1"/>
                <w:szCs w:val="21"/>
                <w:highlight w:val="none"/>
              </w:rPr>
              <w:t>资质要求</w:t>
            </w:r>
          </w:p>
        </w:tc>
        <w:tc>
          <w:tcPr>
            <w:tcW w:w="4536" w:type="dxa"/>
            <w:vAlign w:val="center"/>
          </w:tcPr>
          <w:p>
            <w:pPr>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YA01</w:t>
            </w:r>
          </w:p>
        </w:tc>
        <w:tc>
          <w:tcPr>
            <w:tcW w:w="4252" w:type="dxa"/>
            <w:vAlign w:val="center"/>
          </w:tcPr>
          <w:p>
            <w:pPr>
              <w:adjustRightInd w:val="0"/>
              <w:snapToGrid w:val="0"/>
              <w:spacing w:beforeLines="30" w:afterLines="30"/>
              <w:jc w:val="center"/>
              <w:rPr>
                <w:rFonts w:ascii="宋体" w:hAnsi="宋体"/>
                <w:color w:val="000000" w:themeColor="text1"/>
                <w:szCs w:val="21"/>
                <w:highlight w:val="none"/>
              </w:rPr>
            </w:pPr>
            <w:r>
              <w:rPr>
                <w:rFonts w:hint="eastAsia" w:ascii="宋体" w:hAnsi="宋体"/>
                <w:bCs/>
                <w:color w:val="000000" w:themeColor="text1"/>
                <w:szCs w:val="21"/>
                <w:highlight w:val="none"/>
              </w:rPr>
              <w:t>公路工程施工总承包</w:t>
            </w:r>
            <w:r>
              <w:rPr>
                <w:rFonts w:hint="eastAsia" w:ascii="宋体" w:hAnsi="宋体"/>
                <w:color w:val="000000" w:themeColor="text1"/>
                <w:szCs w:val="21"/>
                <w:highlight w:val="none"/>
              </w:rPr>
              <w:t>三级或三级以上资质</w:t>
            </w:r>
          </w:p>
        </w:tc>
        <w:tc>
          <w:tcPr>
            <w:tcW w:w="4536" w:type="dxa"/>
          </w:tcPr>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2015年1月1日以后交工的工程，累计完成过不少于下列施工业绩：</w:t>
            </w:r>
          </w:p>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（1）1项二级或二级以上公路路基、公路沥青混凝土路面工程；</w:t>
            </w:r>
          </w:p>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(2)1座公路大桥。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YA02</w:t>
            </w:r>
          </w:p>
        </w:tc>
        <w:tc>
          <w:tcPr>
            <w:tcW w:w="4252" w:type="dxa"/>
            <w:vAlign w:val="center"/>
          </w:tcPr>
          <w:p>
            <w:pPr>
              <w:adjustRightInd w:val="0"/>
              <w:snapToGrid w:val="0"/>
              <w:spacing w:beforeLines="30" w:afterLines="30"/>
              <w:jc w:val="center"/>
              <w:rPr>
                <w:rFonts w:ascii="宋体" w:hAnsi="宋体"/>
                <w:color w:val="000000" w:themeColor="text1"/>
                <w:szCs w:val="21"/>
                <w:highlight w:val="none"/>
              </w:rPr>
            </w:pPr>
            <w:r>
              <w:rPr>
                <w:rFonts w:hint="eastAsia" w:ascii="宋体" w:hAnsi="宋体"/>
                <w:bCs/>
                <w:color w:val="000000" w:themeColor="text1"/>
                <w:szCs w:val="21"/>
                <w:highlight w:val="none"/>
              </w:rPr>
              <w:t>公路工程施工总承包</w:t>
            </w:r>
            <w:r>
              <w:rPr>
                <w:rFonts w:hint="eastAsia" w:ascii="宋体" w:hAnsi="宋体"/>
                <w:color w:val="000000" w:themeColor="text1"/>
                <w:szCs w:val="21"/>
                <w:highlight w:val="none"/>
              </w:rPr>
              <w:t>二级或二级以上资质</w:t>
            </w:r>
          </w:p>
        </w:tc>
        <w:tc>
          <w:tcPr>
            <w:tcW w:w="4536" w:type="dxa"/>
          </w:tcPr>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2015年1月1日以后交工的工程，累计完成过不少于下列施工业绩：</w:t>
            </w:r>
          </w:p>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(1)1项二级或二级以上公路路基、公路沥青混凝土路面工程；</w:t>
            </w:r>
          </w:p>
          <w:p>
            <w:pPr>
              <w:adjustRightInd w:val="0"/>
              <w:snapToGrid w:val="0"/>
              <w:spacing w:beforeLines="30" w:afterLines="30"/>
              <w:rPr>
                <w:rFonts w:ascii="宋体" w:hAnsi="宋体"/>
                <w:color w:val="000000" w:themeColor="text1"/>
                <w:szCs w:val="21"/>
                <w:highlight w:val="none"/>
              </w:rPr>
            </w:pPr>
            <w:r>
              <w:rPr>
                <w:rFonts w:hint="eastAsia" w:ascii="宋体" w:hAnsi="宋体"/>
                <w:color w:val="000000" w:themeColor="text1"/>
                <w:szCs w:val="21"/>
                <w:highlight w:val="none"/>
              </w:rPr>
              <w:t>(2)1座公路大桥；</w:t>
            </w:r>
          </w:p>
          <w:p>
            <w:pPr>
              <w:adjustRightInd w:val="0"/>
              <w:snapToGrid w:val="0"/>
              <w:spacing w:beforeLines="30" w:afterLines="30"/>
              <w:rPr>
                <w:rFonts w:ascii="宋体" w:hAnsi="宋体"/>
                <w:color w:val="000000" w:themeColor="text1"/>
                <w:szCs w:val="21"/>
                <w:highlight w:val="none"/>
              </w:rPr>
            </w:pPr>
            <w:r>
              <w:rPr>
                <w:rFonts w:hint="eastAsia" w:ascii="宋体" w:hAnsi="宋体"/>
                <w:color w:val="000000" w:themeColor="text1"/>
                <w:szCs w:val="21"/>
                <w:highlight w:val="none"/>
              </w:rPr>
              <w:t>(3)1座隧道。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ind w:left="-50" w:right="-50"/>
              <w:jc w:val="center"/>
              <w:rPr>
                <w:color w:val="000000" w:themeColor="text1"/>
                <w:kern w:val="0"/>
                <w:szCs w:val="21"/>
                <w:highlight w:val="none"/>
              </w:rPr>
            </w:pPr>
            <w:r>
              <w:rPr>
                <w:rFonts w:hint="eastAsia"/>
                <w:color w:val="000000" w:themeColor="text1"/>
                <w:kern w:val="0"/>
                <w:szCs w:val="21"/>
                <w:highlight w:val="none"/>
              </w:rPr>
              <w:t>YA03</w:t>
            </w:r>
          </w:p>
        </w:tc>
        <w:tc>
          <w:tcPr>
            <w:tcW w:w="4252" w:type="dxa"/>
            <w:vAlign w:val="center"/>
          </w:tcPr>
          <w:p>
            <w:pPr>
              <w:adjustRightInd w:val="0"/>
              <w:snapToGrid w:val="0"/>
              <w:spacing w:beforeLines="30" w:afterLines="30"/>
              <w:jc w:val="center"/>
              <w:rPr>
                <w:rFonts w:ascii="宋体" w:hAnsi="宋体"/>
                <w:bCs/>
                <w:color w:val="000000" w:themeColor="text1"/>
                <w:szCs w:val="21"/>
                <w:highlight w:val="none"/>
              </w:rPr>
            </w:pPr>
            <w:r>
              <w:rPr>
                <w:rFonts w:hint="eastAsia" w:ascii="宋体" w:hAnsi="宋体"/>
                <w:bCs/>
                <w:color w:val="000000" w:themeColor="text1"/>
                <w:szCs w:val="21"/>
                <w:highlight w:val="none"/>
              </w:rPr>
              <w:t>公路工程施工总承包</w:t>
            </w:r>
            <w:r>
              <w:rPr>
                <w:rFonts w:hint="eastAsia" w:ascii="宋体" w:hAnsi="宋体"/>
                <w:color w:val="000000" w:themeColor="text1"/>
                <w:szCs w:val="21"/>
                <w:highlight w:val="none"/>
              </w:rPr>
              <w:t>三级或三级以上资质</w:t>
            </w:r>
          </w:p>
        </w:tc>
        <w:tc>
          <w:tcPr>
            <w:tcW w:w="4536" w:type="dxa"/>
          </w:tcPr>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2015年1月1日以后交工的工程，累计完成过不少于下列施工业绩：</w:t>
            </w:r>
          </w:p>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（1）1项二级或二级以上公路路基、公路沥青混凝土路面工程；</w:t>
            </w:r>
          </w:p>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(2)1座公路大桥。</w:t>
            </w:r>
          </w:p>
        </w:tc>
      </w:tr>
    </w:tbl>
    <w:p>
      <w:pPr>
        <w:adjustRightInd w:val="0"/>
        <w:snapToGrid w:val="0"/>
        <w:spacing w:beforeLines="30" w:afterLines="30"/>
        <w:jc w:val="left"/>
        <w:rPr>
          <w:rFonts w:ascii="楷体" w:hAnsi="楷体" w:eastAsia="楷体"/>
          <w:color w:val="000000" w:themeColor="text1"/>
          <w:szCs w:val="21"/>
          <w:highlight w:val="none"/>
        </w:rPr>
      </w:pPr>
      <w:r>
        <w:rPr>
          <w:rFonts w:hint="eastAsia" w:ascii="楷体" w:hAnsi="楷体" w:eastAsia="楷体"/>
          <w:color w:val="000000" w:themeColor="text1"/>
          <w:szCs w:val="21"/>
          <w:highlight w:val="none"/>
        </w:rPr>
        <w:t>注: ①施工业绩完成时间以交工时间为准；</w:t>
      </w:r>
    </w:p>
    <w:p>
      <w:pPr>
        <w:adjustRightInd w:val="0"/>
        <w:snapToGrid w:val="0"/>
        <w:spacing w:beforeLines="30" w:afterLines="30"/>
        <w:ind w:firstLine="420" w:firstLineChars="200"/>
        <w:jc w:val="left"/>
        <w:rPr>
          <w:rFonts w:ascii="楷体" w:hAnsi="楷体" w:eastAsia="楷体"/>
          <w:color w:val="000000" w:themeColor="text1"/>
          <w:szCs w:val="21"/>
          <w:highlight w:val="none"/>
        </w:rPr>
      </w:pPr>
      <w:r>
        <w:rPr>
          <w:rFonts w:hint="eastAsia" w:ascii="楷体" w:hAnsi="楷体" w:eastAsia="楷体"/>
          <w:color w:val="000000" w:themeColor="text1"/>
          <w:szCs w:val="21"/>
          <w:highlight w:val="none"/>
        </w:rPr>
        <w:t>②业绩要求的路基、路面、桥梁、隧道的施工业绩应为国内新建或改扩建公路施工业绩，且应是已列入交通运输主管部门“公路建设市场信用信息管理系统”并公开的主包已建业绩或分包已建业绩。</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投标人（仅指公路工程施工总承包一级资质</w:t>
      </w:r>
      <w:r>
        <w:rPr>
          <w:rFonts w:hint="eastAsia" w:ascii="宋体" w:hAnsi="宋体"/>
          <w:color w:val="000000" w:themeColor="text1"/>
          <w:szCs w:val="21"/>
          <w:highlight w:val="none"/>
          <w:lang w:val="zh-CN"/>
        </w:rPr>
        <w:t>或特级资质的投标人</w:t>
      </w:r>
      <w:r>
        <w:rPr>
          <w:rFonts w:hint="eastAsia" w:ascii="宋体" w:hAnsi="宋体"/>
          <w:color w:val="000000" w:themeColor="text1"/>
          <w:szCs w:val="21"/>
          <w:highlight w:val="none"/>
        </w:rPr>
        <w:t>）应进入交通运输部“全国公路建设市场信用信息管理系统（http://glxy.mot.gov.cn）”中的施工企业名录，且投标人名称和资质与该名录中的相应企业名称和资质完全一致。</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w:t>
      </w:r>
      <w:r>
        <w:rPr>
          <w:rFonts w:ascii="宋体" w:hAnsi="宋体"/>
          <w:color w:val="000000" w:themeColor="text1"/>
          <w:szCs w:val="21"/>
          <w:highlight w:val="none"/>
        </w:rPr>
        <w:t>2</w:t>
      </w:r>
      <w:r>
        <w:rPr>
          <w:rFonts w:hint="eastAsia" w:ascii="宋体" w:hAnsi="宋体"/>
          <w:color w:val="000000" w:themeColor="text1"/>
          <w:szCs w:val="21"/>
          <w:highlight w:val="none"/>
        </w:rPr>
        <w:t>本次招标不接受联合体投标。</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3.3</w:t>
      </w:r>
      <w:r>
        <w:rPr>
          <w:rFonts w:hint="eastAsia"/>
          <w:color w:val="000000" w:themeColor="text1"/>
          <w:szCs w:val="21"/>
          <w:highlight w:val="none"/>
          <w:lang w:bidi="zh-TW"/>
        </w:rPr>
        <w:t>每个投标人最多可对</w:t>
      </w:r>
      <w:r>
        <w:rPr>
          <w:color w:val="000000" w:themeColor="text1"/>
          <w:szCs w:val="21"/>
          <w:highlight w:val="none"/>
          <w:lang w:bidi="zh-TW"/>
        </w:rPr>
        <w:t>1</w:t>
      </w:r>
      <w:r>
        <w:rPr>
          <w:rFonts w:hint="eastAsia"/>
          <w:color w:val="000000" w:themeColor="text1"/>
          <w:szCs w:val="21"/>
          <w:highlight w:val="none"/>
          <w:lang w:bidi="zh-TW"/>
        </w:rPr>
        <w:t>个标段投标，每个投标人允许中1个标。</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3.4 与招标人存在利害关系可能影响招标公正性的单位，不得参加投标。单位负责人为同一人或存在控股、管理关系的不同单位，不得同时参加同一标段投标，否则，相关投标均无效。</w:t>
      </w:r>
    </w:p>
    <w:p>
      <w:pPr>
        <w:spacing w:line="400" w:lineRule="exact"/>
        <w:ind w:firstLine="424" w:firstLineChars="202"/>
        <w:rPr>
          <w:rFonts w:hint="eastAsia" w:ascii="宋体" w:hAnsi="宋体"/>
          <w:color w:val="000000" w:themeColor="text1"/>
          <w:szCs w:val="21"/>
          <w:highlight w:val="none"/>
        </w:rPr>
      </w:pPr>
      <w:r>
        <w:rPr>
          <w:rFonts w:hint="eastAsia" w:ascii="宋体" w:hAnsi="宋体"/>
          <w:color w:val="000000" w:themeColor="text1"/>
          <w:szCs w:val="21"/>
          <w:highlight w:val="none"/>
        </w:rPr>
        <w:t>3.5 在“信用中国”网站（https://www.creditchina.gov.cn/）中被列入失信被执行人名单的投标人，不得参加投标。</w:t>
      </w:r>
    </w:p>
    <w:p>
      <w:pPr>
        <w:adjustRightInd w:val="0"/>
        <w:snapToGrid w:val="0"/>
        <w:spacing w:beforeLines="30" w:afterLines="30"/>
        <w:rPr>
          <w:rFonts w:ascii="黑体" w:hAnsi="黑体" w:eastAsia="黑体"/>
          <w:color w:val="000000" w:themeColor="text1"/>
          <w:sz w:val="24"/>
          <w:szCs w:val="24"/>
          <w:highlight w:val="none"/>
        </w:rPr>
      </w:pPr>
      <w:r>
        <w:rPr>
          <w:rFonts w:hint="eastAsia" w:ascii="黑体" w:hAnsi="黑体" w:eastAsia="黑体"/>
          <w:color w:val="000000" w:themeColor="text1"/>
          <w:sz w:val="24"/>
          <w:szCs w:val="24"/>
          <w:highlight w:val="none"/>
          <w:lang w:val="en-US" w:eastAsia="zh-CN"/>
        </w:rPr>
        <w:t>4</w:t>
      </w:r>
      <w:r>
        <w:rPr>
          <w:rFonts w:hint="eastAsia" w:ascii="黑体" w:hAnsi="黑体" w:eastAsia="黑体"/>
          <w:color w:val="000000" w:themeColor="text1"/>
          <w:sz w:val="24"/>
          <w:szCs w:val="24"/>
          <w:highlight w:val="none"/>
        </w:rPr>
        <w:t>.电子化招投标</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lang w:val="en-US" w:eastAsia="zh-CN"/>
        </w:rPr>
        <w:t>4</w:t>
      </w:r>
      <w:r>
        <w:rPr>
          <w:rFonts w:hint="eastAsia" w:ascii="宋体" w:hAnsi="宋体"/>
          <w:color w:val="000000" w:themeColor="text1"/>
          <w:szCs w:val="21"/>
          <w:highlight w:val="none"/>
        </w:rPr>
        <w:t>.1本次招标试运行电子化招投标，采用“网上和网下”两种方式同步运行，以“网下”为准。“网上”按电子化招投标流程要求进行，在网上提交加密的电子投标文件，“网下”以书面方式同时进行。除非在试运行期间出现系统故障等特殊情况，投标人均应按要求在网上和网下提交投标文件（网上使用投标工具软件制作投标文件，网下以招标文件给定的格式制作投标文件，两者格式允许不同，但填报的内容原则上应一致）。电子化招投标具体要求详见吉林省公共资源交易管理委员会办公室发布的《关于开展省级交通工程项目招投标全程电子化试运行有关工作的通知》和吉林省交通运输厅发布的《吉林省交通运输厅转发&lt;关于开展省级交通工程项目招标投标全程电子化试运行有关工作的通知&gt;的通知》。</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lang w:val="en-US" w:eastAsia="zh-CN"/>
        </w:rPr>
        <w:t>4</w:t>
      </w:r>
      <w:r>
        <w:rPr>
          <w:rFonts w:hint="eastAsia" w:ascii="宋体" w:hAnsi="宋体"/>
          <w:color w:val="000000" w:themeColor="text1"/>
          <w:szCs w:val="21"/>
          <w:highlight w:val="none"/>
        </w:rPr>
        <w:t>.2“网上”电子化招投标流程简述如下：</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 xml:space="preserve">（1）投标人在“吉林省公路建设市场信用信息服务系统”（以下简称“省公路信息系统”）完成注册及信息填报，具体操作流程详见“吉林省交通运输厅关于发布吉林省公路建设市场信用信息服务系统的公告”（ </w:t>
      </w:r>
      <w:r>
        <w:rPr>
          <w:highlight w:val="none"/>
        </w:rPr>
        <w:fldChar w:fldCharType="begin"/>
      </w:r>
      <w:r>
        <w:rPr>
          <w:highlight w:val="none"/>
        </w:rPr>
        <w:instrText xml:space="preserve"> HYPERLINK "http://jtyst.jl.gov.cn/zw_133208/tzgg/201905/t20190505_5838764.html）。办理省公路信息系统业务咨询人：杨建，咨询电话：18166851612" </w:instrText>
      </w:r>
      <w:r>
        <w:rPr>
          <w:highlight w:val="none"/>
        </w:rPr>
        <w:fldChar w:fldCharType="separate"/>
      </w:r>
      <w:r>
        <w:rPr>
          <w:rFonts w:hint="eastAsia" w:ascii="宋体" w:hAnsi="宋体"/>
          <w:color w:val="000000" w:themeColor="text1"/>
          <w:szCs w:val="21"/>
          <w:highlight w:val="none"/>
        </w:rPr>
        <w:t>http://jtyst.jl.gov.cn/zw_133208/tzgg/201905/t20190505_5838764.html）</w:t>
      </w:r>
      <w:r>
        <w:rPr>
          <w:rFonts w:hint="eastAsia" w:ascii="宋体" w:hAnsi="宋体"/>
          <w:color w:val="000000" w:themeColor="text1"/>
          <w:szCs w:val="21"/>
          <w:highlight w:val="none"/>
        </w:rPr>
        <w:fldChar w:fldCharType="end"/>
      </w:r>
      <w:r>
        <w:rPr>
          <w:rFonts w:hint="eastAsia" w:ascii="宋体" w:hAnsi="宋体"/>
          <w:color w:val="000000" w:themeColor="text1"/>
          <w:szCs w:val="21"/>
          <w:highlight w:val="none"/>
        </w:rPr>
        <w:t>。投标人宜在投标截止时间15天前完成省公路信息系统注册及信息填报，咨询电话18166851612。</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（2）投标人在“吉林省公共资源交易中心”完成注册及信息填报，办理CA锁（已有CA锁的投标人可不办理）。办理CA锁咨询电话0431-81126102。</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（3）投标人使用CA锁在“吉林省公共资源交易中心交易平台”下载招标文件。下载招标文件咨询电话0431-82752720、82752713。</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（4）投标人使用投标工具软件（下载地址：</w:t>
      </w:r>
    </w:p>
    <w:p>
      <w:pPr>
        <w:adjustRightInd w:val="0"/>
        <w:snapToGrid w:val="0"/>
        <w:spacing w:beforeLines="30" w:afterLines="30"/>
        <w:rPr>
          <w:rFonts w:ascii="宋体" w:hAnsi="宋体"/>
          <w:color w:val="000000" w:themeColor="text1"/>
          <w:szCs w:val="21"/>
          <w:highlight w:val="none"/>
        </w:rPr>
      </w:pPr>
      <w:r>
        <w:rPr>
          <w:rFonts w:hint="eastAsia" w:ascii="宋体" w:hAnsi="宋体"/>
          <w:color w:val="000000" w:themeColor="text1"/>
          <w:szCs w:val="21"/>
          <w:highlight w:val="none"/>
        </w:rPr>
        <w:t>https://download.bqpoint.com/download/downloaddetail.html?SourceFrom=Ztb&amp;ZtbSoftXiaQuCode=2308&amp;ZtbSoftType=tballinclusive ）制作并提交投标文件。制作并提交投标文件咨询电话0431-82752720、82752713。</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在“吉林省公共资源交易中心交易平台”开标。投标人应在开标时间之前携带单位CA锁（必须是生成投标文件的CA锁）以及装有非加密投标文件的U盘（U盘需密封）到达指定地点，到达开标时间后，投标人应使用CA锁并输入密码进行解密，如解密失败将非加密文件递交开标工作人员，进行非加密上传（若系统识别出非加密电子投标文件和网上递交的加密投标文件识别码不一致，系统将拒绝导入）。</w:t>
      </w:r>
    </w:p>
    <w:p>
      <w:pPr>
        <w:adjustRightInd w:val="0"/>
        <w:snapToGrid w:val="0"/>
        <w:spacing w:beforeLines="30" w:afterLines="30"/>
        <w:rPr>
          <w:rFonts w:ascii="黑体" w:hAnsi="黑体" w:eastAsia="黑体"/>
          <w:color w:val="000000" w:themeColor="text1"/>
          <w:sz w:val="24"/>
          <w:szCs w:val="24"/>
          <w:highlight w:val="none"/>
        </w:rPr>
      </w:pPr>
      <w:bookmarkStart w:id="16" w:name="_Toc184704557"/>
      <w:r>
        <w:rPr>
          <w:rFonts w:hint="eastAsia" w:ascii="黑体" w:hAnsi="黑体" w:eastAsia="黑体"/>
          <w:color w:val="000000" w:themeColor="text1"/>
          <w:sz w:val="24"/>
          <w:szCs w:val="24"/>
          <w:highlight w:val="none"/>
          <w:lang w:val="en-US" w:eastAsia="zh-CN"/>
        </w:rPr>
        <w:t>5</w:t>
      </w:r>
      <w:r>
        <w:rPr>
          <w:rFonts w:hint="eastAsia" w:ascii="黑体" w:hAnsi="黑体" w:eastAsia="黑体"/>
          <w:color w:val="000000" w:themeColor="text1"/>
          <w:sz w:val="24"/>
          <w:szCs w:val="24"/>
          <w:highlight w:val="none"/>
        </w:rPr>
        <w:t>．招标文件的获取</w:t>
      </w:r>
      <w:bookmarkEnd w:id="16"/>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凡有意参加投标者，采用以下两种方式获取招标文件（两者不一致的，以书面为准）：</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（1）请于2020年12月</w:t>
      </w:r>
      <w:r>
        <w:rPr>
          <w:rFonts w:hint="eastAsia" w:ascii="宋体" w:hAnsi="宋体"/>
          <w:color w:val="000000" w:themeColor="text1"/>
          <w:szCs w:val="21"/>
          <w:highlight w:val="none"/>
          <w:lang w:val="en-US" w:eastAsia="zh-CN"/>
        </w:rPr>
        <w:t>14</w:t>
      </w:r>
      <w:r>
        <w:rPr>
          <w:rFonts w:hint="eastAsia" w:ascii="宋体" w:hAnsi="宋体"/>
          <w:color w:val="000000" w:themeColor="text1"/>
          <w:szCs w:val="21"/>
          <w:highlight w:val="none"/>
        </w:rPr>
        <w:t>日至12月1</w:t>
      </w:r>
      <w:r>
        <w:rPr>
          <w:rFonts w:hint="eastAsia" w:ascii="宋体" w:hAnsi="宋体"/>
          <w:color w:val="000000" w:themeColor="text1"/>
          <w:szCs w:val="21"/>
          <w:highlight w:val="none"/>
          <w:lang w:val="en-US" w:eastAsia="zh-CN"/>
        </w:rPr>
        <w:t>8</w:t>
      </w:r>
      <w:r>
        <w:rPr>
          <w:rFonts w:hint="eastAsia" w:ascii="宋体" w:hAnsi="宋体"/>
          <w:color w:val="000000" w:themeColor="text1"/>
          <w:szCs w:val="21"/>
          <w:highlight w:val="none"/>
        </w:rPr>
        <w:t>日（法定公休日、法定节假日除外），每日上午8：30时至16：00时，在吉林省公共资源交易中心四楼（吉林省人民政府政务大厅楼内，长春市人民大街9999号）吉林建宇工程咨询有限公司窗口持单位介绍信获取书面招标文件。</w:t>
      </w:r>
    </w:p>
    <w:p>
      <w:pPr>
        <w:spacing w:line="400" w:lineRule="exact"/>
        <w:ind w:firstLine="424" w:firstLineChars="202"/>
        <w:rPr>
          <w:rFonts w:hint="eastAsia" w:ascii="宋体" w:hAnsi="宋体"/>
          <w:color w:val="000000" w:themeColor="text1"/>
          <w:szCs w:val="21"/>
          <w:highlight w:val="none"/>
        </w:rPr>
      </w:pPr>
      <w:r>
        <w:rPr>
          <w:rFonts w:hint="eastAsia" w:ascii="宋体" w:hAnsi="宋体"/>
          <w:color w:val="000000" w:themeColor="text1"/>
          <w:szCs w:val="21"/>
          <w:highlight w:val="none"/>
        </w:rPr>
        <w:t>（2）请于投标截止时间前在“吉林省公共资源交易中心交易平台”自行下载招标文件，投标人必须下载招标文件后才能在交易平台上传电子投标文件。</w:t>
      </w:r>
    </w:p>
    <w:p>
      <w:pPr>
        <w:adjustRightInd w:val="0"/>
        <w:snapToGrid w:val="0"/>
        <w:spacing w:beforeLines="30" w:afterLines="30"/>
        <w:rPr>
          <w:rFonts w:ascii="黑体" w:hAnsi="黑体" w:eastAsia="黑体"/>
          <w:color w:val="000000" w:themeColor="text1"/>
          <w:sz w:val="24"/>
          <w:szCs w:val="24"/>
          <w:highlight w:val="none"/>
        </w:rPr>
      </w:pPr>
      <w:bookmarkStart w:id="17" w:name="_Toc184704558"/>
      <w:r>
        <w:rPr>
          <w:rFonts w:hint="eastAsia" w:ascii="黑体" w:hAnsi="黑体" w:eastAsia="黑体"/>
          <w:color w:val="000000" w:themeColor="text1"/>
          <w:sz w:val="24"/>
          <w:szCs w:val="24"/>
          <w:highlight w:val="none"/>
          <w:lang w:val="en-US" w:eastAsia="zh-CN"/>
        </w:rPr>
        <w:t>6</w:t>
      </w:r>
      <w:r>
        <w:rPr>
          <w:rFonts w:hint="eastAsia" w:ascii="黑体" w:hAnsi="黑体" w:eastAsia="黑体"/>
          <w:color w:val="000000" w:themeColor="text1"/>
          <w:sz w:val="24"/>
          <w:szCs w:val="24"/>
          <w:highlight w:val="none"/>
        </w:rPr>
        <w:t>．</w:t>
      </w:r>
      <w:bookmarkEnd w:id="17"/>
      <w:r>
        <w:rPr>
          <w:rFonts w:hint="eastAsia" w:ascii="黑体" w:hAnsi="黑体" w:eastAsia="黑体"/>
          <w:color w:val="000000" w:themeColor="text1"/>
          <w:sz w:val="24"/>
          <w:szCs w:val="24"/>
          <w:highlight w:val="none"/>
        </w:rPr>
        <w:t>投标文件的递交及相关事宜</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lang w:val="en-US" w:eastAsia="zh-CN"/>
        </w:rPr>
        <w:t>6</w:t>
      </w:r>
      <w:r>
        <w:rPr>
          <w:rFonts w:hint="eastAsia" w:ascii="宋体" w:hAnsi="宋体"/>
          <w:color w:val="000000" w:themeColor="text1"/>
          <w:szCs w:val="21"/>
          <w:highlight w:val="none"/>
        </w:rPr>
        <w:t>.1招标人不组织工程现场踏勘，不召开投标预备会。</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lang w:val="en-US" w:eastAsia="zh-CN"/>
        </w:rPr>
        <w:t>6</w:t>
      </w:r>
      <w:r>
        <w:rPr>
          <w:rFonts w:hint="eastAsia" w:ascii="宋体" w:hAnsi="宋体"/>
          <w:color w:val="000000" w:themeColor="text1"/>
          <w:szCs w:val="21"/>
          <w:highlight w:val="none"/>
        </w:rPr>
        <w:t>.2投标文件递交的截止时间（投标截止时间，下同）为202</w:t>
      </w:r>
      <w:r>
        <w:rPr>
          <w:rFonts w:hint="eastAsia" w:ascii="宋体" w:hAnsi="宋体"/>
          <w:color w:val="000000" w:themeColor="text1"/>
          <w:szCs w:val="21"/>
          <w:highlight w:val="none"/>
          <w:lang w:val="en-US" w:eastAsia="zh-CN"/>
        </w:rPr>
        <w:t>1</w:t>
      </w:r>
      <w:r>
        <w:rPr>
          <w:rFonts w:hint="eastAsia" w:ascii="宋体" w:hAnsi="宋体"/>
          <w:color w:val="000000" w:themeColor="text1"/>
          <w:szCs w:val="21"/>
          <w:highlight w:val="none"/>
        </w:rPr>
        <w:t>年</w:t>
      </w:r>
      <w:r>
        <w:rPr>
          <w:rFonts w:hint="eastAsia" w:ascii="宋体" w:hAnsi="宋体"/>
          <w:color w:val="000000" w:themeColor="text1"/>
          <w:szCs w:val="21"/>
          <w:highlight w:val="none"/>
          <w:lang w:val="en-US" w:eastAsia="zh-CN"/>
        </w:rPr>
        <w:t>1</w:t>
      </w:r>
      <w:r>
        <w:rPr>
          <w:rFonts w:hint="eastAsia" w:ascii="宋体" w:hAnsi="宋体"/>
          <w:color w:val="000000" w:themeColor="text1"/>
          <w:szCs w:val="21"/>
          <w:highlight w:val="none"/>
        </w:rPr>
        <w:t>月</w:t>
      </w:r>
      <w:r>
        <w:rPr>
          <w:rFonts w:hint="eastAsia" w:ascii="宋体" w:hAnsi="宋体"/>
          <w:color w:val="000000" w:themeColor="text1"/>
          <w:szCs w:val="21"/>
          <w:highlight w:val="none"/>
          <w:lang w:val="en-US" w:eastAsia="zh-CN"/>
        </w:rPr>
        <w:t>5</w:t>
      </w:r>
      <w:r>
        <w:rPr>
          <w:rFonts w:hint="eastAsia" w:ascii="宋体" w:hAnsi="宋体"/>
          <w:color w:val="000000" w:themeColor="text1"/>
          <w:szCs w:val="21"/>
          <w:highlight w:val="none"/>
        </w:rPr>
        <w:t>日9时00分，采用以下两种方式递交投标文件：</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（1）投标人应于当日8时30分至9时00分将纸质投标文件递交至吉林省公共资源交易中心四楼开标室（吉林省人民政府政务大厅楼内，长春市人民大街9999号）。</w:t>
      </w:r>
    </w:p>
    <w:p>
      <w:pPr>
        <w:adjustRightInd w:val="0"/>
        <w:snapToGrid w:val="0"/>
        <w:spacing w:beforeLines="30" w:afterLines="30"/>
        <w:ind w:firstLine="420" w:firstLineChars="200"/>
        <w:rPr>
          <w:rFonts w:hint="eastAsia" w:ascii="宋体" w:hAnsi="宋体"/>
          <w:color w:val="000000" w:themeColor="text1"/>
          <w:szCs w:val="21"/>
          <w:highlight w:val="none"/>
        </w:rPr>
      </w:pPr>
      <w:r>
        <w:rPr>
          <w:rFonts w:hint="eastAsia" w:ascii="宋体" w:hAnsi="宋体"/>
          <w:color w:val="000000" w:themeColor="text1"/>
          <w:szCs w:val="21"/>
          <w:highlight w:val="none"/>
        </w:rPr>
        <w:t>（2）投标人应在202</w:t>
      </w:r>
      <w:r>
        <w:rPr>
          <w:rFonts w:hint="eastAsia" w:ascii="宋体" w:hAnsi="宋体"/>
          <w:color w:val="000000" w:themeColor="text1"/>
          <w:szCs w:val="21"/>
          <w:highlight w:val="none"/>
          <w:lang w:val="en-US" w:eastAsia="zh-CN"/>
        </w:rPr>
        <w:t>1</w:t>
      </w:r>
      <w:r>
        <w:rPr>
          <w:rFonts w:hint="eastAsia" w:ascii="宋体" w:hAnsi="宋体"/>
          <w:color w:val="000000" w:themeColor="text1"/>
          <w:szCs w:val="21"/>
          <w:highlight w:val="none"/>
        </w:rPr>
        <w:t>年</w:t>
      </w:r>
      <w:r>
        <w:rPr>
          <w:rFonts w:hint="eastAsia" w:ascii="宋体" w:hAnsi="宋体"/>
          <w:color w:val="000000" w:themeColor="text1"/>
          <w:szCs w:val="21"/>
          <w:highlight w:val="none"/>
          <w:lang w:val="en-US" w:eastAsia="zh-CN"/>
        </w:rPr>
        <w:t>1</w:t>
      </w:r>
      <w:r>
        <w:rPr>
          <w:rFonts w:hint="eastAsia" w:ascii="宋体" w:hAnsi="宋体"/>
          <w:color w:val="000000" w:themeColor="text1"/>
          <w:szCs w:val="21"/>
          <w:highlight w:val="none"/>
        </w:rPr>
        <w:t>月</w:t>
      </w:r>
      <w:r>
        <w:rPr>
          <w:rFonts w:hint="eastAsia" w:ascii="宋体" w:hAnsi="宋体"/>
          <w:color w:val="000000" w:themeColor="text1"/>
          <w:szCs w:val="21"/>
          <w:highlight w:val="none"/>
          <w:lang w:val="en-US" w:eastAsia="zh-CN"/>
        </w:rPr>
        <w:t>5</w:t>
      </w:r>
      <w:r>
        <w:rPr>
          <w:rFonts w:hint="eastAsia" w:ascii="宋体" w:hAnsi="宋体"/>
          <w:color w:val="000000" w:themeColor="text1"/>
          <w:szCs w:val="21"/>
          <w:highlight w:val="none"/>
        </w:rPr>
        <w:t>日9时00分前（不含9时00分）将电子投标文件上传至“吉林省公共资源交易中心交易平台”。</w:t>
      </w:r>
    </w:p>
    <w:p>
      <w:pPr>
        <w:snapToGrid w:val="0"/>
        <w:ind w:left="0" w:leftChars="0" w:firstLine="420" w:firstLineChars="200"/>
        <w:rPr>
          <w:rFonts w:hint="eastAsia" w:ascii="宋体" w:hAnsi="宋体" w:eastAsia="宋体"/>
          <w:color w:val="000000" w:themeColor="text1"/>
          <w:szCs w:val="21"/>
          <w:highlight w:val="none"/>
          <w:lang w:val="en-US" w:eastAsia="zh-CN"/>
        </w:rPr>
      </w:pPr>
      <w:r>
        <w:rPr>
          <w:rFonts w:hint="eastAsia" w:ascii="宋体" w:hAnsi="宋体"/>
          <w:color w:val="000000" w:themeColor="text1"/>
          <w:szCs w:val="21"/>
          <w:highlight w:val="none"/>
          <w:lang w:val="en-US" w:eastAsia="zh-CN"/>
        </w:rPr>
        <w:t>6.3投标文件第一个信封（商务及技术文件）开标时间：同投标截止时间，开标地点：</w:t>
      </w:r>
      <w:r>
        <w:rPr>
          <w:rFonts w:hint="eastAsia" w:ascii="宋体" w:hAnsi="宋体"/>
          <w:color w:val="000000" w:themeColor="text1"/>
          <w:szCs w:val="21"/>
          <w:highlight w:val="none"/>
        </w:rPr>
        <w:t>吉林省公共资源交易中心四楼开标室</w:t>
      </w:r>
      <w:r>
        <w:rPr>
          <w:rFonts w:hint="eastAsia" w:ascii="宋体" w:hAnsi="宋体"/>
          <w:color w:val="000000" w:themeColor="text1"/>
          <w:szCs w:val="21"/>
          <w:highlight w:val="none"/>
          <w:lang w:val="en-US" w:eastAsia="zh-CN"/>
        </w:rPr>
        <w:t>；</w:t>
      </w:r>
      <w:r>
        <w:rPr>
          <w:rFonts w:ascii="宋体" w:hAnsi="宋体"/>
          <w:color w:val="000000" w:themeColor="text1"/>
          <w:szCs w:val="21"/>
          <w:highlight w:val="none"/>
        </w:rPr>
        <w:t>投标文件第二个信封（</w:t>
      </w:r>
      <w:r>
        <w:rPr>
          <w:rFonts w:hint="eastAsia" w:ascii="宋体" w:hAnsi="宋体"/>
          <w:color w:val="000000" w:themeColor="text1"/>
          <w:szCs w:val="21"/>
          <w:highlight w:val="none"/>
        </w:rPr>
        <w:t>报价文件</w:t>
      </w:r>
      <w:r>
        <w:rPr>
          <w:rFonts w:ascii="宋体" w:hAnsi="宋体"/>
          <w:color w:val="000000" w:themeColor="text1"/>
          <w:szCs w:val="21"/>
          <w:highlight w:val="none"/>
        </w:rPr>
        <w:t>）开标时间：</w:t>
      </w:r>
      <w:r>
        <w:rPr>
          <w:rFonts w:hint="eastAsia" w:ascii="宋体" w:hAnsi="宋体"/>
          <w:color w:val="000000" w:themeColor="text1"/>
          <w:szCs w:val="21"/>
          <w:highlight w:val="none"/>
        </w:rPr>
        <w:t>202</w:t>
      </w:r>
      <w:r>
        <w:rPr>
          <w:rFonts w:hint="eastAsia" w:ascii="宋体" w:hAnsi="宋体"/>
          <w:color w:val="000000" w:themeColor="text1"/>
          <w:szCs w:val="21"/>
          <w:highlight w:val="none"/>
          <w:lang w:val="en-US" w:eastAsia="zh-CN"/>
        </w:rPr>
        <w:t>1</w:t>
      </w:r>
      <w:r>
        <w:rPr>
          <w:rFonts w:hint="eastAsia" w:ascii="宋体" w:hAnsi="宋体"/>
          <w:color w:val="000000" w:themeColor="text1"/>
          <w:szCs w:val="21"/>
          <w:highlight w:val="none"/>
        </w:rPr>
        <w:t>年</w:t>
      </w:r>
      <w:r>
        <w:rPr>
          <w:rFonts w:hint="eastAsia" w:ascii="宋体" w:hAnsi="宋体"/>
          <w:color w:val="000000" w:themeColor="text1"/>
          <w:szCs w:val="21"/>
          <w:highlight w:val="none"/>
          <w:lang w:val="en-US" w:eastAsia="zh-CN"/>
        </w:rPr>
        <w:t>1</w:t>
      </w:r>
      <w:r>
        <w:rPr>
          <w:rFonts w:hint="eastAsia" w:ascii="宋体" w:hAnsi="宋体"/>
          <w:color w:val="000000" w:themeColor="text1"/>
          <w:szCs w:val="21"/>
          <w:highlight w:val="none"/>
        </w:rPr>
        <w:t>月</w:t>
      </w:r>
      <w:r>
        <w:rPr>
          <w:rFonts w:hint="eastAsia" w:ascii="宋体" w:hAnsi="宋体"/>
          <w:color w:val="000000" w:themeColor="text1"/>
          <w:szCs w:val="21"/>
          <w:highlight w:val="none"/>
          <w:lang w:val="en-US" w:eastAsia="zh-CN"/>
        </w:rPr>
        <w:t>8</w:t>
      </w:r>
      <w:r>
        <w:rPr>
          <w:rFonts w:hint="eastAsia" w:ascii="宋体" w:hAnsi="宋体"/>
          <w:color w:val="000000" w:themeColor="text1"/>
          <w:szCs w:val="21"/>
          <w:highlight w:val="none"/>
        </w:rPr>
        <w:t>日</w:t>
      </w:r>
      <w:r>
        <w:rPr>
          <w:rFonts w:hint="eastAsia" w:ascii="宋体" w:hAnsi="宋体"/>
          <w:color w:val="000000" w:themeColor="text1"/>
          <w:szCs w:val="21"/>
          <w:highlight w:val="none"/>
          <w:lang w:val="en-US" w:eastAsia="zh-CN"/>
        </w:rPr>
        <w:t>9</w:t>
      </w:r>
      <w:r>
        <w:rPr>
          <w:rFonts w:hint="eastAsia" w:ascii="宋体" w:hAnsi="宋体"/>
          <w:color w:val="000000" w:themeColor="text1"/>
          <w:szCs w:val="21"/>
          <w:highlight w:val="none"/>
        </w:rPr>
        <w:t>时00分</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lang w:val="en-US" w:eastAsia="zh-CN"/>
        </w:rPr>
        <w:t>开标地点：</w:t>
      </w:r>
      <w:r>
        <w:rPr>
          <w:rFonts w:hint="eastAsia" w:ascii="宋体" w:hAnsi="宋体"/>
          <w:color w:val="000000" w:themeColor="text1"/>
          <w:szCs w:val="21"/>
          <w:highlight w:val="none"/>
        </w:rPr>
        <w:t>吉林省公共资源交易中心四楼开标室</w:t>
      </w:r>
      <w:r>
        <w:rPr>
          <w:rFonts w:hint="eastAsia" w:ascii="宋体" w:hAnsi="宋体"/>
          <w:color w:val="000000" w:themeColor="text1"/>
          <w:szCs w:val="21"/>
          <w:highlight w:val="none"/>
          <w:lang w:eastAsia="zh-CN"/>
        </w:rPr>
        <w:t>。</w:t>
      </w:r>
    </w:p>
    <w:p>
      <w:pPr>
        <w:spacing w:line="400" w:lineRule="exact"/>
        <w:ind w:firstLine="424" w:firstLineChars="202"/>
        <w:rPr>
          <w:rFonts w:hint="eastAsia" w:ascii="宋体" w:hAnsi="宋体"/>
          <w:color w:val="000000" w:themeColor="text1"/>
          <w:szCs w:val="21"/>
          <w:highlight w:val="none"/>
        </w:rPr>
      </w:pPr>
      <w:r>
        <w:rPr>
          <w:rFonts w:hint="eastAsia" w:ascii="宋体" w:hAnsi="宋体"/>
          <w:color w:val="000000" w:themeColor="text1"/>
          <w:szCs w:val="21"/>
          <w:highlight w:val="none"/>
          <w:lang w:val="en-US" w:eastAsia="zh-CN"/>
        </w:rPr>
        <w:t>6</w:t>
      </w:r>
      <w:r>
        <w:rPr>
          <w:rFonts w:hint="eastAsia" w:ascii="宋体" w:hAnsi="宋体"/>
          <w:color w:val="000000" w:themeColor="text1"/>
          <w:szCs w:val="21"/>
          <w:highlight w:val="none"/>
        </w:rPr>
        <w:t>.</w:t>
      </w:r>
      <w:r>
        <w:rPr>
          <w:rFonts w:hint="eastAsia" w:ascii="宋体" w:hAnsi="宋体"/>
          <w:color w:val="000000" w:themeColor="text1"/>
          <w:szCs w:val="21"/>
          <w:highlight w:val="none"/>
          <w:lang w:val="en-US" w:eastAsia="zh-CN"/>
        </w:rPr>
        <w:t>4</w:t>
      </w:r>
      <w:r>
        <w:rPr>
          <w:rFonts w:hint="eastAsia" w:ascii="宋体" w:hAnsi="宋体"/>
          <w:color w:val="000000" w:themeColor="text1"/>
          <w:szCs w:val="21"/>
          <w:highlight w:val="none"/>
        </w:rPr>
        <w:t>逾期送达的、未送达指定地点的或不按照招标文件要求密封的纸质投标文件，招标人将予以拒收。电子投标文件逾期上传的，“吉林省公共资源交易中心交易平台”将予以拒收。</w:t>
      </w:r>
    </w:p>
    <w:p>
      <w:pPr>
        <w:spacing w:line="400" w:lineRule="exact"/>
        <w:ind w:firstLine="424" w:firstLineChars="202"/>
        <w:rPr>
          <w:rFonts w:hint="eastAsia" w:ascii="宋体" w:hAnsi="宋体"/>
          <w:color w:val="000000" w:themeColor="text1"/>
          <w:szCs w:val="21"/>
          <w:highlight w:val="none"/>
        </w:rPr>
      </w:pPr>
    </w:p>
    <w:p>
      <w:pPr>
        <w:tabs>
          <w:tab w:val="left" w:pos="540"/>
        </w:tabs>
        <w:spacing w:line="400" w:lineRule="exact"/>
        <w:rPr>
          <w:rFonts w:ascii="宋体" w:hAnsi="宋体" w:cs="宋体"/>
          <w:szCs w:val="21"/>
        </w:rPr>
      </w:pPr>
    </w:p>
    <w:p>
      <w:pPr>
        <w:pStyle w:val="4"/>
        <w:snapToGrid w:val="0"/>
        <w:spacing w:before="0" w:after="0" w:line="240" w:lineRule="auto"/>
        <w:ind w:firstLine="321" w:firstLineChars="100"/>
        <w:rPr>
          <w:rFonts w:ascii="宋体" w:hAnsi="宋体"/>
          <w:b w:val="0"/>
          <w:color w:val="000000" w:themeColor="text1"/>
          <w:highlight w:val="none"/>
        </w:rPr>
      </w:pPr>
      <w:r>
        <w:rPr>
          <w:rFonts w:ascii="Calibri" w:hAnsi="Calibri"/>
          <w:szCs w:val="21"/>
        </w:rPr>
        <w:br w:type="page"/>
      </w:r>
      <w:r>
        <w:rPr>
          <w:rFonts w:hint="eastAsia" w:ascii="黑体" w:hAnsi="黑体" w:eastAsia="黑体" w:cs="Times New Roman"/>
          <w:b w:val="0"/>
          <w:bCs w:val="0"/>
          <w:color w:val="000000" w:themeColor="text1"/>
          <w:kern w:val="2"/>
          <w:sz w:val="24"/>
          <w:szCs w:val="24"/>
          <w:highlight w:val="none"/>
          <w:lang w:val="en-US" w:eastAsia="zh-CN" w:bidi="ar-SA"/>
        </w:rPr>
        <w:t>7</w:t>
      </w:r>
      <w:bookmarkEnd w:id="11"/>
      <w:bookmarkStart w:id="18" w:name="_Toc197967266"/>
      <w:bookmarkStart w:id="19" w:name="_Toc197960493"/>
      <w:bookmarkStart w:id="20" w:name="_Toc197951588"/>
      <w:bookmarkStart w:id="21" w:name="_Toc197960545"/>
      <w:bookmarkStart w:id="22" w:name="_Toc197965597"/>
      <w:bookmarkStart w:id="23" w:name="_Toc197950803"/>
      <w:bookmarkStart w:id="24" w:name="_Toc197967118"/>
      <w:bookmarkStart w:id="25" w:name="_Toc197950682"/>
      <w:bookmarkStart w:id="26" w:name="_Toc513907883"/>
      <w:bookmarkStart w:id="27" w:name="_Toc58269156"/>
      <w:r>
        <w:rPr>
          <w:rFonts w:hint="eastAsia" w:ascii="黑体" w:hAnsi="黑体" w:eastAsia="黑体"/>
          <w:color w:val="000000" w:themeColor="text1"/>
          <w:sz w:val="24"/>
          <w:szCs w:val="24"/>
          <w:highlight w:val="none"/>
        </w:rPr>
        <w:t>．</w:t>
      </w:r>
      <w:r>
        <w:rPr>
          <w:rFonts w:hint="eastAsia" w:ascii="黑体" w:hAnsi="黑体" w:eastAsia="黑体" w:cs="Times New Roman"/>
          <w:b w:val="0"/>
          <w:bCs w:val="0"/>
          <w:color w:val="000000" w:themeColor="text1"/>
          <w:kern w:val="2"/>
          <w:sz w:val="24"/>
          <w:szCs w:val="24"/>
          <w:highlight w:val="none"/>
          <w:lang w:val="en-US" w:eastAsia="zh-CN" w:bidi="ar-SA"/>
        </w:rPr>
        <w:t>投标人须知前附表</w:t>
      </w:r>
      <w:bookmarkEnd w:id="18"/>
      <w:bookmarkEnd w:id="19"/>
      <w:bookmarkEnd w:id="20"/>
      <w:bookmarkEnd w:id="21"/>
      <w:bookmarkEnd w:id="22"/>
      <w:bookmarkEnd w:id="23"/>
      <w:bookmarkEnd w:id="24"/>
      <w:bookmarkEnd w:id="25"/>
      <w:r>
        <w:rPr>
          <w:rStyle w:val="53"/>
          <w:rFonts w:ascii="宋体" w:hAnsi="宋体"/>
          <w:b w:val="0"/>
          <w:color w:val="000000" w:themeColor="text1"/>
          <w:sz w:val="30"/>
          <w:szCs w:val="30"/>
          <w:highlight w:val="none"/>
        </w:rPr>
        <w:footnoteReference w:id="0"/>
      </w:r>
      <w:bookmarkEnd w:id="26"/>
      <w:bookmarkEnd w:id="27"/>
    </w:p>
    <w:tbl>
      <w:tblPr>
        <w:tblStyle w:val="43"/>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6"/>
        <w:gridCol w:w="1975"/>
        <w:gridCol w:w="6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1" w:hRule="atLeast"/>
          <w:tblHeader/>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条款号</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条款名称</w:t>
            </w:r>
          </w:p>
        </w:tc>
        <w:tc>
          <w:tcPr>
            <w:tcW w:w="6823" w:type="dxa"/>
            <w:vAlign w:val="center"/>
          </w:tcPr>
          <w:p>
            <w:pPr>
              <w:ind w:firstLine="210" w:firstLineChars="100"/>
              <w:jc w:val="center"/>
              <w:rPr>
                <w:rFonts w:ascii="宋体" w:hAnsi="宋体"/>
                <w:color w:val="000000" w:themeColor="text1"/>
                <w:highlight w:val="none"/>
              </w:rPr>
            </w:pPr>
            <w:r>
              <w:rPr>
                <w:rFonts w:ascii="宋体" w:hAnsi="宋体"/>
                <w:color w:val="000000" w:themeColor="text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1.1.2</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招标人</w:t>
            </w:r>
          </w:p>
        </w:tc>
        <w:tc>
          <w:tcPr>
            <w:tcW w:w="6823" w:type="dxa"/>
            <w:vAlign w:val="center"/>
          </w:tcPr>
          <w:p>
            <w:pPr>
              <w:ind w:left="105" w:leftChars="50"/>
              <w:rPr>
                <w:rFonts w:ascii="宋体" w:hAnsi="宋体"/>
                <w:color w:val="000000" w:themeColor="text1"/>
                <w:szCs w:val="21"/>
                <w:highlight w:val="none"/>
              </w:rPr>
            </w:pPr>
            <w:r>
              <w:rPr>
                <w:rFonts w:hint="eastAsia" w:ascii="宋体" w:hAnsi="宋体"/>
                <w:color w:val="000000" w:themeColor="text1"/>
                <w:szCs w:val="21"/>
                <w:highlight w:val="none"/>
              </w:rPr>
              <w:t>名称：</w:t>
            </w:r>
            <w:r>
              <w:rPr>
                <w:rFonts w:ascii="宋体" w:hAnsi="宋体"/>
                <w:color w:val="000000" w:themeColor="text1"/>
                <w:szCs w:val="21"/>
                <w:highlight w:val="none"/>
              </w:rPr>
              <w:t>延边珲乌公路改建项目建设办公室</w:t>
            </w:r>
          </w:p>
          <w:p>
            <w:pPr>
              <w:ind w:left="105" w:leftChars="50"/>
              <w:rPr>
                <w:rFonts w:ascii="宋体" w:hAnsi="宋体"/>
                <w:color w:val="000000" w:themeColor="text1"/>
                <w:szCs w:val="21"/>
                <w:highlight w:val="none"/>
              </w:rPr>
            </w:pPr>
            <w:r>
              <w:rPr>
                <w:rFonts w:hint="eastAsia" w:ascii="宋体" w:hAnsi="宋体"/>
                <w:color w:val="000000" w:themeColor="text1"/>
                <w:szCs w:val="21"/>
                <w:highlight w:val="none"/>
              </w:rPr>
              <w:t>地址：吉林省延吉市公园路5568号</w:t>
            </w:r>
          </w:p>
          <w:p>
            <w:pPr>
              <w:ind w:left="105" w:leftChars="50"/>
              <w:rPr>
                <w:rFonts w:ascii="宋体" w:hAnsi="宋体"/>
                <w:color w:val="000000" w:themeColor="text1"/>
                <w:szCs w:val="21"/>
                <w:highlight w:val="none"/>
              </w:rPr>
            </w:pPr>
            <w:r>
              <w:rPr>
                <w:rFonts w:hint="eastAsia" w:ascii="宋体" w:hAnsi="宋体"/>
                <w:color w:val="000000" w:themeColor="text1"/>
                <w:szCs w:val="21"/>
                <w:highlight w:val="none"/>
              </w:rPr>
              <w:t>联系人：程昭钦</w:t>
            </w:r>
          </w:p>
          <w:p>
            <w:pPr>
              <w:ind w:left="105" w:leftChars="50"/>
              <w:rPr>
                <w:rFonts w:ascii="宋体" w:hAnsi="宋体"/>
                <w:color w:val="000000" w:themeColor="text1"/>
                <w:szCs w:val="21"/>
                <w:highlight w:val="none"/>
              </w:rPr>
            </w:pPr>
            <w:r>
              <w:rPr>
                <w:rFonts w:hint="eastAsia" w:ascii="宋体" w:hAnsi="宋体"/>
                <w:color w:val="000000" w:themeColor="text1"/>
                <w:szCs w:val="21"/>
                <w:highlight w:val="none"/>
              </w:rPr>
              <w:t>电话：0433-3135706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1.1.3</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招标</w:t>
            </w:r>
          </w:p>
          <w:p>
            <w:pPr>
              <w:jc w:val="center"/>
              <w:rPr>
                <w:rFonts w:ascii="宋体" w:hAnsi="宋体"/>
                <w:color w:val="000000" w:themeColor="text1"/>
                <w:highlight w:val="none"/>
              </w:rPr>
            </w:pPr>
            <w:r>
              <w:rPr>
                <w:rFonts w:ascii="宋体" w:hAnsi="宋体"/>
                <w:color w:val="000000" w:themeColor="text1"/>
                <w:highlight w:val="none"/>
              </w:rPr>
              <w:t>代理机构</w:t>
            </w:r>
          </w:p>
        </w:tc>
        <w:tc>
          <w:tcPr>
            <w:tcW w:w="6823" w:type="dxa"/>
            <w:vAlign w:val="center"/>
          </w:tcPr>
          <w:p>
            <w:pPr>
              <w:ind w:left="105" w:leftChars="50"/>
              <w:rPr>
                <w:rFonts w:ascii="宋体" w:hAnsi="宋体"/>
                <w:color w:val="000000" w:themeColor="text1"/>
                <w:szCs w:val="21"/>
                <w:highlight w:val="none"/>
                <w:lang w:val="zh-CN"/>
              </w:rPr>
            </w:pPr>
            <w:r>
              <w:rPr>
                <w:rFonts w:hint="eastAsia" w:ascii="宋体" w:hAnsi="宋体"/>
                <w:color w:val="000000" w:themeColor="text1"/>
                <w:szCs w:val="21"/>
                <w:highlight w:val="none"/>
              </w:rPr>
              <w:t>名称</w:t>
            </w:r>
            <w:r>
              <w:rPr>
                <w:rFonts w:hint="eastAsia" w:ascii="宋体" w:hAnsi="宋体"/>
                <w:color w:val="000000" w:themeColor="text1"/>
                <w:szCs w:val="21"/>
                <w:highlight w:val="none"/>
                <w:lang w:val="zh-CN"/>
              </w:rPr>
              <w:t>：吉林建宇工程咨询有限公司</w:t>
            </w:r>
          </w:p>
          <w:p>
            <w:pPr>
              <w:ind w:left="105" w:leftChars="50"/>
              <w:rPr>
                <w:rFonts w:ascii="宋体" w:hAnsi="宋体"/>
                <w:color w:val="000000" w:themeColor="text1"/>
                <w:szCs w:val="21"/>
                <w:highlight w:val="none"/>
                <w:lang w:val="zh-CN"/>
              </w:rPr>
            </w:pPr>
            <w:r>
              <w:rPr>
                <w:rFonts w:hint="eastAsia" w:ascii="宋体" w:hAnsi="宋体"/>
                <w:color w:val="000000" w:themeColor="text1"/>
                <w:szCs w:val="21"/>
                <w:highlight w:val="none"/>
                <w:lang w:val="zh-CN"/>
              </w:rPr>
              <w:t>地址：</w:t>
            </w:r>
            <w:r>
              <w:rPr>
                <w:rFonts w:hint="eastAsia" w:ascii="宋体" w:hAnsi="宋体"/>
                <w:color w:val="000000" w:themeColor="text1"/>
                <w:szCs w:val="21"/>
                <w:highlight w:val="none"/>
              </w:rPr>
              <w:t>延吉市人民路2239-3001号</w:t>
            </w:r>
          </w:p>
          <w:p>
            <w:pPr>
              <w:ind w:left="105" w:leftChars="50"/>
              <w:rPr>
                <w:rFonts w:ascii="宋体" w:hAnsi="宋体"/>
                <w:color w:val="000000" w:themeColor="text1"/>
                <w:szCs w:val="21"/>
                <w:highlight w:val="none"/>
                <w:lang w:val="zh-CN"/>
              </w:rPr>
            </w:pPr>
            <w:r>
              <w:rPr>
                <w:rFonts w:hint="eastAsia" w:ascii="宋体" w:hAnsi="宋体"/>
                <w:color w:val="000000" w:themeColor="text1"/>
                <w:szCs w:val="21"/>
                <w:highlight w:val="none"/>
                <w:lang w:val="zh-CN"/>
              </w:rPr>
              <w:t>联系人：焦艳</w:t>
            </w:r>
          </w:p>
          <w:p>
            <w:pPr>
              <w:ind w:left="105" w:leftChars="50"/>
              <w:rPr>
                <w:rFonts w:ascii="宋体" w:hAnsi="宋体"/>
                <w:color w:val="000000" w:themeColor="text1"/>
                <w:szCs w:val="21"/>
                <w:highlight w:val="none"/>
                <w:lang w:val="zh-CN"/>
              </w:rPr>
            </w:pPr>
            <w:r>
              <w:rPr>
                <w:rFonts w:hint="eastAsia" w:ascii="宋体" w:hAnsi="宋体"/>
                <w:color w:val="000000" w:themeColor="text1"/>
                <w:szCs w:val="21"/>
                <w:highlight w:val="none"/>
                <w:lang w:val="zh-CN"/>
              </w:rPr>
              <w:t>电话：</w:t>
            </w:r>
            <w:r>
              <w:rPr>
                <w:rFonts w:ascii="宋体" w:hAnsi="宋体"/>
                <w:color w:val="000000" w:themeColor="text1"/>
                <w:szCs w:val="21"/>
                <w:highlight w:val="none"/>
                <w:lang w:val="zh-CN"/>
              </w:rPr>
              <w:t>0433-8316525</w:t>
            </w:r>
          </w:p>
          <w:p>
            <w:pPr>
              <w:ind w:left="105" w:leftChars="50"/>
              <w:rPr>
                <w:rFonts w:ascii="宋体" w:hAnsi="宋体"/>
                <w:color w:val="000000" w:themeColor="text1"/>
                <w:szCs w:val="21"/>
                <w:highlight w:val="none"/>
              </w:rPr>
            </w:pPr>
            <w:r>
              <w:rPr>
                <w:rFonts w:hint="eastAsia" w:ascii="宋体" w:hAnsi="宋体"/>
                <w:color w:val="000000" w:themeColor="text1"/>
                <w:szCs w:val="21"/>
                <w:highlight w:val="none"/>
              </w:rPr>
              <w:t>电子邮箱：yjsjy8543@163.com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1.1.4</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招标</w:t>
            </w:r>
            <w:r>
              <w:rPr>
                <w:rFonts w:ascii="宋体" w:hAnsi="宋体"/>
                <w:color w:val="000000" w:themeColor="text1"/>
                <w:highlight w:val="none"/>
              </w:rPr>
              <w:t>项目名称</w:t>
            </w:r>
          </w:p>
        </w:tc>
        <w:tc>
          <w:tcPr>
            <w:tcW w:w="6823" w:type="dxa"/>
            <w:vAlign w:val="center"/>
          </w:tcPr>
          <w:p>
            <w:pPr>
              <w:rPr>
                <w:rFonts w:ascii="宋体" w:hAnsi="宋体"/>
                <w:color w:val="000000" w:themeColor="text1"/>
                <w:highlight w:val="none"/>
              </w:rPr>
            </w:pPr>
            <w:r>
              <w:rPr>
                <w:rFonts w:ascii="宋体" w:hAnsi="宋体"/>
                <w:color w:val="000000" w:themeColor="text1"/>
                <w:highlight w:val="none"/>
              </w:rPr>
              <w:t>国道珲春至阿尔山公路延吉至安图段改建项目</w:t>
            </w:r>
            <w:r>
              <w:rPr>
                <w:rFonts w:hint="eastAsia" w:ascii="宋体" w:hAnsi="宋体"/>
                <w:color w:val="000000" w:themeColor="text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1.1.5</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标段</w:t>
            </w:r>
            <w:r>
              <w:rPr>
                <w:rFonts w:ascii="宋体" w:hAnsi="宋体"/>
                <w:color w:val="000000" w:themeColor="text1"/>
                <w:highlight w:val="none"/>
              </w:rPr>
              <w:t>建设地点</w:t>
            </w:r>
          </w:p>
        </w:tc>
        <w:tc>
          <w:tcPr>
            <w:tcW w:w="6823" w:type="dxa"/>
            <w:vAlign w:val="center"/>
          </w:tcPr>
          <w:p>
            <w:pPr>
              <w:rPr>
                <w:rFonts w:ascii="宋体" w:hAnsi="宋体"/>
                <w:color w:val="000000" w:themeColor="text1"/>
                <w:highlight w:val="none"/>
              </w:rPr>
            </w:pPr>
            <w:r>
              <w:rPr>
                <w:rFonts w:hint="eastAsia" w:ascii="宋体" w:hAnsi="宋体"/>
                <w:color w:val="000000" w:themeColor="text1"/>
                <w:szCs w:val="21"/>
                <w:highlight w:val="none"/>
              </w:rPr>
              <w:t>吉林省延吉市、龙井市、安图县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1.2.1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资金来源</w:t>
            </w:r>
          </w:p>
          <w:p>
            <w:pPr>
              <w:jc w:val="center"/>
              <w:rPr>
                <w:rFonts w:ascii="宋体" w:hAnsi="宋体"/>
                <w:color w:val="000000" w:themeColor="text1"/>
                <w:highlight w:val="none"/>
              </w:rPr>
            </w:pPr>
            <w:r>
              <w:rPr>
                <w:rFonts w:hint="eastAsia" w:ascii="宋体" w:hAnsi="宋体"/>
                <w:color w:val="000000" w:themeColor="text1"/>
                <w:highlight w:val="none"/>
              </w:rPr>
              <w:t>及比例</w:t>
            </w:r>
          </w:p>
        </w:tc>
        <w:tc>
          <w:tcPr>
            <w:tcW w:w="6823" w:type="dxa"/>
            <w:vAlign w:val="center"/>
          </w:tcPr>
          <w:p>
            <w:pPr>
              <w:rPr>
                <w:rFonts w:ascii="宋体" w:hAnsi="宋体"/>
                <w:color w:val="000000" w:themeColor="text1"/>
                <w:highlight w:val="none"/>
              </w:rPr>
            </w:pPr>
            <w:r>
              <w:rPr>
                <w:rFonts w:hint="eastAsia" w:ascii="宋体" w:hAnsi="宋体"/>
                <w:color w:val="000000" w:themeColor="text1"/>
                <w:szCs w:val="21"/>
                <w:highlight w:val="none"/>
              </w:rPr>
              <w:t xml:space="preserve">中央投资补贴67%；地方政府财政资金33%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1.2.3</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资金</w:t>
            </w:r>
          </w:p>
          <w:p>
            <w:pPr>
              <w:jc w:val="center"/>
              <w:rPr>
                <w:rFonts w:ascii="宋体" w:hAnsi="宋体"/>
                <w:color w:val="000000" w:themeColor="text1"/>
                <w:highlight w:val="none"/>
              </w:rPr>
            </w:pPr>
            <w:r>
              <w:rPr>
                <w:rFonts w:ascii="宋体" w:hAnsi="宋体"/>
                <w:color w:val="000000" w:themeColor="text1"/>
                <w:highlight w:val="none"/>
              </w:rPr>
              <w:t>落实情况</w:t>
            </w:r>
          </w:p>
        </w:tc>
        <w:tc>
          <w:tcPr>
            <w:tcW w:w="6823" w:type="dxa"/>
            <w:vAlign w:val="center"/>
          </w:tcPr>
          <w:p>
            <w:pPr>
              <w:rPr>
                <w:rFonts w:ascii="宋体" w:hAnsi="宋体"/>
                <w:color w:val="000000" w:themeColor="text1"/>
                <w:highlight w:val="none"/>
              </w:rPr>
            </w:pPr>
            <w:r>
              <w:rPr>
                <w:rFonts w:ascii="宋体" w:hAnsi="宋体"/>
                <w:color w:val="000000" w:themeColor="text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1.3.1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招标范围</w:t>
            </w:r>
          </w:p>
        </w:tc>
        <w:tc>
          <w:tcPr>
            <w:tcW w:w="6823"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路基、路面、桥涵、隧道、排水、防护、绿化等工程的施工</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lang w:val="en-US" w:eastAsia="zh-CN"/>
              </w:rPr>
              <w:t>具体如下</w:t>
            </w:r>
            <w:r>
              <w:rPr>
                <w:rFonts w:hint="eastAsia" w:ascii="宋体" w:hAnsi="宋体"/>
                <w:color w:val="000000" w:themeColor="text1"/>
                <w:szCs w:val="21"/>
                <w:highlight w:val="none"/>
              </w:rPr>
              <w:t>：</w:t>
            </w:r>
          </w:p>
          <w:p>
            <w:pPr>
              <w:adjustRightInd w:val="0"/>
              <w:snapToGrid w:val="0"/>
              <w:spacing w:line="400" w:lineRule="exact"/>
              <w:ind w:left="0" w:leftChars="0" w:firstLine="0" w:firstLineChars="0"/>
              <w:jc w:val="left"/>
              <w:rPr>
                <w:rFonts w:ascii="宋体" w:hAnsi="宋体"/>
                <w:color w:val="000000" w:themeColor="text1"/>
                <w:szCs w:val="21"/>
                <w:highlight w:val="none"/>
              </w:rPr>
            </w:pPr>
            <w:r>
              <w:rPr>
                <w:rFonts w:hint="eastAsia" w:ascii="宋体" w:hAnsi="宋体"/>
                <w:color w:val="000000" w:themeColor="text1"/>
                <w:szCs w:val="21"/>
                <w:highlight w:val="none"/>
              </w:rPr>
              <w:t>（1）交通安全设施工程不在本次招标。</w:t>
            </w:r>
          </w:p>
          <w:p>
            <w:pPr>
              <w:adjustRightInd w:val="0"/>
              <w:snapToGrid w:val="0"/>
              <w:spacing w:line="400" w:lineRule="exact"/>
              <w:ind w:left="0" w:leftChars="0" w:firstLine="0" w:firstLineChars="0"/>
              <w:jc w:val="left"/>
              <w:rPr>
                <w:rFonts w:ascii="宋体" w:hAnsi="宋体"/>
                <w:color w:val="000000" w:themeColor="text1"/>
                <w:szCs w:val="21"/>
                <w:highlight w:val="none"/>
              </w:rPr>
            </w:pPr>
            <w:r>
              <w:rPr>
                <w:rFonts w:hint="eastAsia" w:ascii="宋体" w:hAnsi="宋体"/>
                <w:color w:val="000000" w:themeColor="text1"/>
                <w:szCs w:val="21"/>
                <w:highlight w:val="none"/>
              </w:rPr>
              <w:t>（2）服务区、养护工区、变电所</w:t>
            </w:r>
            <w:r>
              <w:rPr>
                <w:rFonts w:hint="eastAsia" w:ascii="宋体" w:hAnsi="宋体"/>
                <w:color w:val="000000" w:themeColor="text1"/>
                <w:szCs w:val="21"/>
                <w:highlight w:val="none"/>
                <w:lang w:val="en-US" w:eastAsia="zh-CN"/>
              </w:rPr>
              <w:t>的</w:t>
            </w:r>
            <w:r>
              <w:rPr>
                <w:rFonts w:hint="eastAsia" w:ascii="宋体" w:hAnsi="宋体"/>
                <w:color w:val="000000" w:themeColor="text1"/>
                <w:szCs w:val="21"/>
                <w:highlight w:val="none"/>
              </w:rPr>
              <w:t>房建</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lang w:val="en-US" w:eastAsia="zh-CN"/>
              </w:rPr>
              <w:t>场区的</w:t>
            </w:r>
            <w:r>
              <w:rPr>
                <w:rFonts w:hint="eastAsia" w:ascii="宋体" w:hAnsi="宋体"/>
                <w:color w:val="000000" w:themeColor="text1"/>
                <w:szCs w:val="21"/>
                <w:highlight w:val="none"/>
              </w:rPr>
              <w:t>路基、路面、路缘石、围墙、大门</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rPr>
              <w:t>绿化</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rPr>
              <w:t>供电等全部工程不在本次招标。</w:t>
            </w:r>
          </w:p>
          <w:p>
            <w:pPr>
              <w:adjustRightInd w:val="0"/>
              <w:snapToGrid w:val="0"/>
              <w:spacing w:line="400" w:lineRule="exact"/>
              <w:ind w:left="0" w:leftChars="0" w:firstLine="0" w:firstLineChars="0"/>
              <w:jc w:val="left"/>
              <w:rPr>
                <w:rFonts w:ascii="宋体" w:hAnsi="宋体"/>
                <w:color w:val="000000" w:themeColor="text1"/>
                <w:szCs w:val="21"/>
                <w:highlight w:val="none"/>
              </w:rPr>
            </w:pPr>
            <w:r>
              <w:rPr>
                <w:rFonts w:hint="eastAsia" w:ascii="宋体" w:hAnsi="宋体"/>
                <w:color w:val="000000" w:themeColor="text1"/>
                <w:szCs w:val="21"/>
                <w:highlight w:val="none"/>
              </w:rPr>
              <w:t>（3）停靠站不在本次招标。</w:t>
            </w:r>
          </w:p>
          <w:p>
            <w:pPr>
              <w:adjustRightInd w:val="0"/>
              <w:snapToGrid w:val="0"/>
              <w:spacing w:line="400" w:lineRule="exact"/>
              <w:ind w:left="0" w:leftChars="0" w:firstLine="0" w:firstLineChars="0"/>
              <w:jc w:val="left"/>
              <w:rPr>
                <w:rFonts w:ascii="宋体" w:hAnsi="宋体"/>
                <w:color w:val="000000" w:themeColor="text1"/>
                <w:szCs w:val="21"/>
                <w:highlight w:val="none"/>
              </w:rPr>
            </w:pPr>
            <w:r>
              <w:rPr>
                <w:rFonts w:hint="eastAsia" w:ascii="宋体" w:hAnsi="宋体"/>
                <w:color w:val="000000" w:themeColor="text1"/>
                <w:szCs w:val="21"/>
                <w:highlight w:val="none"/>
              </w:rPr>
              <w:t>（4）隧道工程的机电、消防、通风、供电不在本次招标，但预埋工程列入本次招标。</w:t>
            </w:r>
          </w:p>
          <w:p>
            <w:pPr>
              <w:adjustRightInd w:val="0"/>
              <w:snapToGrid w:val="0"/>
              <w:spacing w:line="400" w:lineRule="exact"/>
              <w:ind w:left="0" w:leftChars="0" w:firstLine="0" w:firstLineChars="0"/>
              <w:jc w:val="left"/>
              <w:rPr>
                <w:rFonts w:hint="eastAsia" w:ascii="宋体" w:hAnsi="宋体"/>
                <w:color w:val="000000" w:themeColor="text1"/>
                <w:szCs w:val="21"/>
                <w:highlight w:val="none"/>
                <w:lang w:eastAsia="zh-CN"/>
              </w:rPr>
            </w:pPr>
            <w:r>
              <w:rPr>
                <w:rFonts w:hint="eastAsia" w:ascii="宋体" w:hAnsi="宋体"/>
                <w:color w:val="000000" w:themeColor="text1"/>
                <w:szCs w:val="21"/>
                <w:highlight w:val="none"/>
              </w:rPr>
              <w:t>（5）每座公铁立交桥与铁路交叉的3孔*30m桥梁部分施工（包括基础、下部、上部、附属工程、铁路边挡墙安全措施费）不在本次招标。</w:t>
            </w:r>
          </w:p>
          <w:p>
            <w:pPr>
              <w:rPr>
                <w:rFonts w:hint="eastAsia" w:ascii="宋体" w:hAnsi="宋体"/>
                <w:color w:val="000000" w:themeColor="text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1.3.2</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计划工期</w:t>
            </w:r>
          </w:p>
        </w:tc>
        <w:tc>
          <w:tcPr>
            <w:tcW w:w="6823" w:type="dxa"/>
            <w:vAlign w:val="center"/>
          </w:tcPr>
          <w:p>
            <w:pPr>
              <w:rPr>
                <w:rFonts w:ascii="宋体" w:hAnsi="宋体"/>
                <w:color w:val="000000" w:themeColor="text1"/>
                <w:highlight w:val="none"/>
              </w:rPr>
            </w:pPr>
            <w:r>
              <w:rPr>
                <w:rFonts w:hint="eastAsia" w:ascii="宋体" w:hAnsi="宋体"/>
                <w:color w:val="000000" w:themeColor="text1"/>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1.3.3</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质量要求</w:t>
            </w:r>
          </w:p>
        </w:tc>
        <w:tc>
          <w:tcPr>
            <w:tcW w:w="6823" w:type="dxa"/>
            <w:vAlign w:val="center"/>
          </w:tcPr>
          <w:p>
            <w:pPr>
              <w:rPr>
                <w:rFonts w:ascii="宋体" w:hAnsi="宋体"/>
                <w:color w:val="000000" w:themeColor="text1"/>
                <w:highlight w:val="none"/>
              </w:rPr>
            </w:pPr>
            <w:r>
              <w:rPr>
                <w:rFonts w:ascii="宋体" w:hAnsi="宋体"/>
                <w:color w:val="000000" w:themeColor="text1"/>
                <w:highlight w:val="none"/>
              </w:rPr>
              <w:t>标段工程交工验收的质量评定：合格；</w:t>
            </w:r>
          </w:p>
          <w:p>
            <w:pPr>
              <w:rPr>
                <w:rFonts w:ascii="宋体" w:hAnsi="宋体"/>
                <w:color w:val="000000" w:themeColor="text1"/>
                <w:highlight w:val="none"/>
              </w:rPr>
            </w:pPr>
            <w:r>
              <w:rPr>
                <w:rFonts w:ascii="宋体" w:hAnsi="宋体"/>
                <w:color w:val="000000" w:themeColor="text1"/>
                <w:highlight w:val="none"/>
              </w:rPr>
              <w:t>竣工验收的质量评定：</w:t>
            </w:r>
            <w:r>
              <w:rPr>
                <w:rFonts w:hint="eastAsia" w:ascii="宋体" w:hAnsi="宋体"/>
                <w:color w:val="000000" w:themeColor="text1"/>
                <w:highlight w:val="none"/>
              </w:rPr>
              <w:t>合格</w:t>
            </w:r>
            <w:r>
              <w:rPr>
                <w:rFonts w:ascii="宋体" w:hAnsi="宋体"/>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1.3.</w:t>
            </w:r>
            <w:r>
              <w:rPr>
                <w:rFonts w:hint="eastAsia" w:ascii="宋体" w:hAnsi="宋体"/>
                <w:color w:val="000000" w:themeColor="text1"/>
                <w:highlight w:val="none"/>
              </w:rPr>
              <w:t>4</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安全目标</w:t>
            </w:r>
          </w:p>
        </w:tc>
        <w:tc>
          <w:tcPr>
            <w:tcW w:w="6823" w:type="dxa"/>
            <w:vAlign w:val="center"/>
          </w:tcPr>
          <w:p>
            <w:pPr>
              <w:rPr>
                <w:rFonts w:ascii="宋体" w:hAnsi="宋体"/>
                <w:color w:val="000000" w:themeColor="text1"/>
                <w:highlight w:val="none"/>
              </w:rPr>
            </w:pPr>
            <w:r>
              <w:rPr>
                <w:rFonts w:hint="eastAsia" w:ascii="宋体" w:hAnsi="宋体"/>
                <w:color w:val="000000" w:themeColor="text1"/>
                <w:highlight w:val="none"/>
              </w:rPr>
              <w:t>在项目建设过程中杜绝重大安全责任事故，避免发生较大安全责任事故，控制一般安全责任事故。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1.4.1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投标人资质条件、</w:t>
            </w:r>
            <w:r>
              <w:rPr>
                <w:rFonts w:hint="eastAsia" w:ascii="宋体" w:hAnsi="宋体"/>
                <w:color w:val="000000" w:themeColor="text1"/>
                <w:highlight w:val="none"/>
              </w:rPr>
              <w:br w:type="textWrapping"/>
            </w:r>
            <w:r>
              <w:rPr>
                <w:rFonts w:ascii="宋体" w:hAnsi="宋体"/>
                <w:color w:val="000000" w:themeColor="text1"/>
                <w:highlight w:val="none"/>
              </w:rPr>
              <w:t>能力和信誉</w:t>
            </w:r>
          </w:p>
        </w:tc>
        <w:tc>
          <w:tcPr>
            <w:tcW w:w="6823" w:type="dxa"/>
            <w:vAlign w:val="center"/>
          </w:tcPr>
          <w:p>
            <w:pPr>
              <w:rPr>
                <w:rFonts w:ascii="宋体" w:hAnsi="宋体"/>
                <w:color w:val="000000" w:themeColor="text1"/>
                <w:highlight w:val="none"/>
              </w:rPr>
            </w:pPr>
            <w:r>
              <w:rPr>
                <w:rFonts w:hint="eastAsia" w:ascii="宋体" w:hAnsi="宋体"/>
                <w:color w:val="000000" w:themeColor="text1"/>
                <w:highlight w:val="none"/>
              </w:rPr>
              <w:t>资质要求：见附录1</w:t>
            </w:r>
          </w:p>
          <w:p>
            <w:pPr>
              <w:rPr>
                <w:rFonts w:ascii="宋体" w:hAnsi="宋体"/>
                <w:color w:val="000000" w:themeColor="text1"/>
                <w:highlight w:val="none"/>
              </w:rPr>
            </w:pPr>
            <w:r>
              <w:rPr>
                <w:rFonts w:hint="eastAsia" w:ascii="宋体" w:hAnsi="宋体"/>
                <w:color w:val="000000" w:themeColor="text1"/>
                <w:highlight w:val="none"/>
              </w:rPr>
              <w:t>财务要求：见附录2</w:t>
            </w:r>
          </w:p>
          <w:p>
            <w:pPr>
              <w:rPr>
                <w:rFonts w:ascii="宋体" w:hAnsi="宋体"/>
                <w:color w:val="000000" w:themeColor="text1"/>
                <w:highlight w:val="none"/>
              </w:rPr>
            </w:pPr>
            <w:r>
              <w:rPr>
                <w:rFonts w:hint="eastAsia" w:ascii="宋体" w:hAnsi="宋体"/>
                <w:color w:val="000000" w:themeColor="text1"/>
                <w:highlight w:val="none"/>
              </w:rPr>
              <w:t>业绩要求：见附录3</w:t>
            </w:r>
          </w:p>
          <w:p>
            <w:pPr>
              <w:rPr>
                <w:rFonts w:ascii="宋体" w:hAnsi="宋体"/>
                <w:color w:val="000000" w:themeColor="text1"/>
                <w:highlight w:val="none"/>
              </w:rPr>
            </w:pPr>
            <w:r>
              <w:rPr>
                <w:rFonts w:hint="eastAsia" w:ascii="宋体" w:hAnsi="宋体"/>
                <w:color w:val="000000" w:themeColor="text1"/>
                <w:highlight w:val="none"/>
              </w:rPr>
              <w:t>信誉要求：见附录4</w:t>
            </w:r>
          </w:p>
          <w:p>
            <w:pPr>
              <w:rPr>
                <w:rFonts w:ascii="宋体" w:hAnsi="宋体"/>
                <w:color w:val="000000" w:themeColor="text1"/>
                <w:highlight w:val="none"/>
              </w:rPr>
            </w:pPr>
            <w:r>
              <w:rPr>
                <w:rFonts w:hint="eastAsia" w:ascii="宋体" w:hAnsi="宋体"/>
                <w:color w:val="000000" w:themeColor="text1"/>
                <w:highlight w:val="none"/>
              </w:rPr>
              <w:t>项目经理和项目总工资格要求：见附录5</w:t>
            </w:r>
          </w:p>
          <w:p>
            <w:pPr>
              <w:rPr>
                <w:rFonts w:ascii="宋体" w:hAnsi="宋体"/>
                <w:color w:val="000000" w:themeColor="text1"/>
                <w:highlight w:val="none"/>
              </w:rPr>
            </w:pPr>
            <w:r>
              <w:rPr>
                <w:rFonts w:hint="eastAsia" w:ascii="宋体" w:hAnsi="宋体"/>
                <w:color w:val="000000" w:themeColor="text1"/>
                <w:kern w:val="0"/>
                <w:szCs w:val="21"/>
                <w:highlight w:val="none"/>
                <w:lang w:val="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1.4.2</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是否接受</w:t>
            </w:r>
            <w:r>
              <w:rPr>
                <w:rFonts w:hint="eastAsia" w:ascii="宋体" w:hAnsi="宋体"/>
                <w:color w:val="000000" w:themeColor="text1"/>
                <w:highlight w:val="none"/>
              </w:rPr>
              <w:br w:type="textWrapping"/>
            </w:r>
            <w:r>
              <w:rPr>
                <w:rFonts w:ascii="宋体" w:hAnsi="宋体"/>
                <w:color w:val="000000" w:themeColor="text1"/>
                <w:highlight w:val="none"/>
              </w:rPr>
              <w:t>联合体投标</w:t>
            </w:r>
          </w:p>
        </w:tc>
        <w:tc>
          <w:tcPr>
            <w:tcW w:w="6823" w:type="dxa"/>
            <w:vAlign w:val="center"/>
          </w:tcPr>
          <w:p>
            <w:pPr>
              <w:adjustRightInd w:val="0"/>
              <w:snapToGrid w:val="0"/>
              <w:spacing w:beforeLines="30" w:afterLines="30"/>
              <w:rPr>
                <w:rFonts w:ascii="宋体" w:hAnsi="宋体"/>
                <w:color w:val="000000" w:themeColor="text1"/>
                <w:highlight w:val="none"/>
              </w:rPr>
            </w:pPr>
            <w:r>
              <w:rPr>
                <w:rFonts w:hint="eastAsia" w:ascii="宋体" w:hAnsi="宋体"/>
                <w:color w:val="000000" w:themeColor="text1"/>
                <w:highlight w:val="none"/>
              </w:rPr>
              <w:t>不</w:t>
            </w:r>
            <w:r>
              <w:rPr>
                <w:rFonts w:ascii="宋体" w:hAnsi="宋体"/>
                <w:color w:val="000000" w:themeColor="text1"/>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1.4.3</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投标人不得</w:t>
            </w:r>
          </w:p>
          <w:p>
            <w:pPr>
              <w:jc w:val="center"/>
              <w:rPr>
                <w:rFonts w:ascii="宋体" w:hAnsi="宋体"/>
                <w:color w:val="000000" w:themeColor="text1"/>
                <w:highlight w:val="none"/>
              </w:rPr>
            </w:pPr>
            <w:r>
              <w:rPr>
                <w:rFonts w:ascii="宋体" w:hAnsi="宋体"/>
                <w:color w:val="000000" w:themeColor="text1"/>
                <w:highlight w:val="none"/>
              </w:rPr>
              <w:t>存在的</w:t>
            </w:r>
            <w:r>
              <w:rPr>
                <w:rFonts w:hint="eastAsia" w:ascii="宋体" w:hAnsi="宋体"/>
                <w:color w:val="000000" w:themeColor="text1"/>
                <w:highlight w:val="none"/>
              </w:rPr>
              <w:t>其他</w:t>
            </w:r>
          </w:p>
          <w:p>
            <w:pPr>
              <w:jc w:val="center"/>
              <w:rPr>
                <w:rFonts w:ascii="宋体" w:hAnsi="宋体"/>
                <w:color w:val="000000" w:themeColor="text1"/>
                <w:highlight w:val="none"/>
              </w:rPr>
            </w:pPr>
            <w:r>
              <w:rPr>
                <w:rFonts w:hint="eastAsia" w:ascii="宋体" w:hAnsi="宋体"/>
                <w:color w:val="000000" w:themeColor="text1"/>
                <w:highlight w:val="none"/>
              </w:rPr>
              <w:t>关联情况</w:t>
            </w:r>
          </w:p>
        </w:tc>
        <w:tc>
          <w:tcPr>
            <w:tcW w:w="6823" w:type="dxa"/>
            <w:vAlign w:val="center"/>
          </w:tcPr>
          <w:p>
            <w:pPr>
              <w:rPr>
                <w:rFonts w:ascii="宋体" w:hAnsi="宋体"/>
                <w:color w:val="000000" w:themeColor="text1"/>
                <w:highlight w:val="none"/>
              </w:rPr>
            </w:pPr>
            <w:r>
              <w:rPr>
                <w:rFonts w:hint="eastAsia" w:ascii="宋体" w:hAnsi="宋体"/>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45" w:hRule="atLeast"/>
        </w:trPr>
        <w:tc>
          <w:tcPr>
            <w:tcW w:w="896" w:type="dxa"/>
            <w:vAlign w:val="center"/>
          </w:tcPr>
          <w:p>
            <w:pPr>
              <w:keepLines/>
              <w:snapToGrid w:val="0"/>
              <w:spacing w:line="360" w:lineRule="exact"/>
              <w:jc w:val="center"/>
              <w:rPr>
                <w:rFonts w:ascii="宋体" w:hAnsi="宋体"/>
                <w:color w:val="000000" w:themeColor="text1"/>
                <w:szCs w:val="21"/>
                <w:highlight w:val="none"/>
              </w:rPr>
            </w:pPr>
            <w:r>
              <w:rPr>
                <w:rFonts w:ascii="宋体" w:hAnsi="宋体"/>
                <w:color w:val="000000" w:themeColor="text1"/>
                <w:szCs w:val="21"/>
                <w:highlight w:val="none"/>
              </w:rPr>
              <w:t>1.4.4</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投标人不得</w:t>
            </w:r>
          </w:p>
          <w:p>
            <w:pPr>
              <w:keepLines/>
              <w:snapToGrid w:val="0"/>
              <w:spacing w:line="360" w:lineRule="exact"/>
              <w:jc w:val="center"/>
              <w:rPr>
                <w:rFonts w:ascii="宋体" w:hAnsi="宋体"/>
                <w:color w:val="000000" w:themeColor="text1"/>
                <w:kern w:val="0"/>
                <w:szCs w:val="21"/>
                <w:highlight w:val="none"/>
                <w:lang w:val="zh-CN"/>
              </w:rPr>
            </w:pPr>
            <w:r>
              <w:rPr>
                <w:rFonts w:hint="eastAsia" w:ascii="宋体" w:hAnsi="宋体"/>
                <w:color w:val="000000" w:themeColor="text1"/>
                <w:highlight w:val="none"/>
              </w:rPr>
              <w:t>存在的不良状况</w:t>
            </w:r>
            <w:r>
              <w:rPr>
                <w:rFonts w:ascii="宋体" w:hAnsi="宋体"/>
                <w:color w:val="000000" w:themeColor="text1"/>
                <w:highlight w:val="none"/>
              </w:rPr>
              <w:br w:type="textWrapping"/>
            </w:r>
            <w:r>
              <w:rPr>
                <w:rFonts w:hint="eastAsia" w:ascii="宋体" w:hAnsi="宋体"/>
                <w:color w:val="000000" w:themeColor="text1"/>
                <w:highlight w:val="none"/>
              </w:rPr>
              <w:t>不良信用</w:t>
            </w:r>
          </w:p>
        </w:tc>
        <w:tc>
          <w:tcPr>
            <w:tcW w:w="6823" w:type="dxa"/>
            <w:vAlign w:val="center"/>
          </w:tcPr>
          <w:p>
            <w:pPr>
              <w:autoSpaceDE w:val="0"/>
              <w:autoSpaceDN w:val="0"/>
              <w:adjustRightInd w:val="0"/>
              <w:spacing w:line="300" w:lineRule="exact"/>
              <w:rPr>
                <w:rFonts w:ascii="宋体" w:hAnsi="宋体"/>
                <w:color w:val="000000" w:themeColor="text1"/>
                <w:szCs w:val="21"/>
                <w:highlight w:val="none"/>
              </w:rPr>
            </w:pPr>
            <w:r>
              <w:rPr>
                <w:rFonts w:ascii="宋体" w:hAnsi="宋体"/>
                <w:b/>
                <w:color w:val="000000" w:themeColor="text1"/>
                <w:kern w:val="0"/>
                <w:szCs w:val="21"/>
                <w:highlight w:val="none"/>
                <w:lang w:val="zh-CN"/>
              </w:rPr>
              <w:t>本款内容第</w:t>
            </w:r>
            <w:r>
              <w:rPr>
                <w:rFonts w:hint="eastAsia" w:ascii="宋体" w:hAnsi="宋体"/>
                <w:b/>
                <w:color w:val="000000" w:themeColor="text1"/>
                <w:kern w:val="0"/>
                <w:szCs w:val="21"/>
                <w:highlight w:val="none"/>
                <w:lang w:val="zh-CN"/>
              </w:rPr>
              <w:t>（6）</w:t>
            </w:r>
            <w:r>
              <w:rPr>
                <w:rFonts w:ascii="宋体" w:hAnsi="宋体"/>
                <w:b/>
                <w:color w:val="000000" w:themeColor="text1"/>
                <w:kern w:val="0"/>
                <w:szCs w:val="21"/>
                <w:highlight w:val="none"/>
                <w:lang w:val="zh-CN"/>
              </w:rPr>
              <w:t>项修改为：</w:t>
            </w:r>
            <w:r>
              <w:rPr>
                <w:rFonts w:ascii="宋体" w:hAnsi="宋体"/>
                <w:color w:val="000000" w:themeColor="text1"/>
                <w:szCs w:val="21"/>
                <w:highlight w:val="none"/>
              </w:rPr>
              <w:t xml:space="preserve"> </w:t>
            </w:r>
          </w:p>
          <w:p>
            <w:pPr>
              <w:autoSpaceDE w:val="0"/>
              <w:autoSpaceDN w:val="0"/>
              <w:adjustRightInd w:val="0"/>
              <w:spacing w:line="300" w:lineRule="exact"/>
              <w:rPr>
                <w:rFonts w:ascii="宋体" w:hAnsi="宋体"/>
                <w:color w:val="000000" w:themeColor="text1"/>
                <w:kern w:val="0"/>
                <w:szCs w:val="21"/>
                <w:highlight w:val="none"/>
              </w:rPr>
            </w:pPr>
            <w:r>
              <w:rPr>
                <w:rFonts w:hint="eastAsia" w:ascii="宋体" w:hAnsi="宋体"/>
                <w:color w:val="000000" w:themeColor="text1"/>
                <w:kern w:val="0"/>
                <w:szCs w:val="21"/>
                <w:highlight w:val="none"/>
                <w:lang w:val="zh-CN"/>
              </w:rPr>
              <w:t>（6）投标人或其法定代表人、拟委任的项目经理在近三年内有行贿犯罪行为的；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45"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1.4.4</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投标人不得</w:t>
            </w:r>
          </w:p>
          <w:p>
            <w:pPr>
              <w:jc w:val="center"/>
              <w:rPr>
                <w:rFonts w:ascii="宋体" w:hAnsi="宋体"/>
                <w:color w:val="000000" w:themeColor="text1"/>
                <w:highlight w:val="none"/>
              </w:rPr>
            </w:pPr>
            <w:r>
              <w:rPr>
                <w:rFonts w:hint="eastAsia" w:ascii="宋体" w:hAnsi="宋体"/>
                <w:color w:val="000000" w:themeColor="text1"/>
                <w:highlight w:val="none"/>
              </w:rPr>
              <w:t>存在的其他不良</w:t>
            </w:r>
            <w:r>
              <w:rPr>
                <w:rFonts w:ascii="宋体" w:hAnsi="宋体"/>
                <w:color w:val="000000" w:themeColor="text1"/>
                <w:highlight w:val="none"/>
              </w:rPr>
              <w:br w:type="textWrapping"/>
            </w:r>
            <w:r>
              <w:rPr>
                <w:rFonts w:hint="eastAsia" w:ascii="宋体" w:hAnsi="宋体"/>
                <w:color w:val="000000" w:themeColor="text1"/>
                <w:highlight w:val="none"/>
              </w:rPr>
              <w:t>状况或不良信用</w:t>
            </w:r>
          </w:p>
        </w:tc>
        <w:tc>
          <w:tcPr>
            <w:tcW w:w="6823" w:type="dxa"/>
            <w:vAlign w:val="center"/>
          </w:tcPr>
          <w:p>
            <w:pPr>
              <w:rPr>
                <w:rFonts w:ascii="宋体" w:hAnsi="宋体"/>
                <w:color w:val="000000" w:themeColor="text1"/>
                <w:highlight w:val="none"/>
              </w:rPr>
            </w:pPr>
            <w:r>
              <w:rPr>
                <w:rFonts w:hint="eastAsia" w:ascii="宋体" w:hAnsi="宋体"/>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53"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szCs w:val="21"/>
                <w:highlight w:val="none"/>
              </w:rPr>
              <w:t>1.4.5</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szCs w:val="21"/>
                <w:highlight w:val="none"/>
              </w:rPr>
              <w:t>公路工程施工资质企业名录</w:t>
            </w:r>
          </w:p>
        </w:tc>
        <w:tc>
          <w:tcPr>
            <w:tcW w:w="6823" w:type="dxa"/>
            <w:vAlign w:val="center"/>
          </w:tcPr>
          <w:p>
            <w:pPr>
              <w:spacing w:line="400" w:lineRule="exact"/>
              <w:rPr>
                <w:rFonts w:ascii="宋体" w:hAnsi="宋体"/>
                <w:color w:val="000000" w:themeColor="text1"/>
                <w:kern w:val="0"/>
                <w:szCs w:val="21"/>
                <w:highlight w:val="none"/>
              </w:rPr>
            </w:pPr>
            <w:r>
              <w:rPr>
                <w:rFonts w:hint="eastAsia" w:ascii="宋体" w:hAnsi="宋体"/>
                <w:color w:val="000000" w:themeColor="text1"/>
                <w:szCs w:val="21"/>
                <w:highlight w:val="none"/>
              </w:rPr>
              <w:t>本项修改为：</w:t>
            </w:r>
          </w:p>
          <w:p>
            <w:pPr>
              <w:pStyle w:val="28"/>
              <w:pBdr>
                <w:bottom w:val="none" w:color="auto" w:sz="0" w:space="0"/>
              </w:pBdr>
              <w:tabs>
                <w:tab w:val="clear" w:pos="4153"/>
                <w:tab w:val="clear" w:pos="8306"/>
              </w:tabs>
              <w:autoSpaceDE w:val="0"/>
              <w:autoSpaceDN w:val="0"/>
              <w:adjustRightInd w:val="0"/>
              <w:snapToGrid/>
              <w:jc w:val="both"/>
              <w:rPr>
                <w:rFonts w:ascii="宋体" w:hAnsi="宋体"/>
                <w:color w:val="000000" w:themeColor="text1"/>
                <w:highlight w:val="none"/>
              </w:rPr>
            </w:pPr>
            <w:r>
              <w:rPr>
                <w:rFonts w:hint="eastAsia" w:ascii="宋体" w:hAnsi="宋体"/>
                <w:color w:val="000000" w:themeColor="text1"/>
                <w:sz w:val="21"/>
                <w:szCs w:val="21"/>
                <w:highlight w:val="none"/>
                <w:lang w:val="zh-CN"/>
              </w:rPr>
              <w:t>投标人</w:t>
            </w:r>
            <w:r>
              <w:rPr>
                <w:rFonts w:hint="eastAsia" w:ascii="宋体" w:hAnsi="宋体"/>
                <w:color w:val="000000" w:themeColor="text1"/>
                <w:sz w:val="21"/>
                <w:szCs w:val="21"/>
                <w:highlight w:val="none"/>
              </w:rPr>
              <w:t>（</w:t>
            </w:r>
            <w:r>
              <w:rPr>
                <w:rFonts w:hint="eastAsia" w:ascii="宋体" w:hAnsi="宋体"/>
                <w:color w:val="000000" w:themeColor="text1"/>
                <w:sz w:val="21"/>
                <w:szCs w:val="21"/>
                <w:highlight w:val="none"/>
                <w:lang w:val="zh-CN"/>
              </w:rPr>
              <w:t>仅指公路工程施工总承包一级资质或特级资质的投标人</w:t>
            </w:r>
            <w:r>
              <w:rPr>
                <w:rFonts w:hint="eastAsia" w:ascii="宋体" w:hAnsi="宋体"/>
                <w:color w:val="000000" w:themeColor="text1"/>
                <w:sz w:val="21"/>
                <w:szCs w:val="21"/>
                <w:highlight w:val="none"/>
              </w:rPr>
              <w:t>）</w:t>
            </w:r>
            <w:r>
              <w:rPr>
                <w:rFonts w:hint="eastAsia" w:ascii="宋体" w:hAnsi="宋体"/>
                <w:color w:val="000000" w:themeColor="text1"/>
                <w:sz w:val="21"/>
                <w:szCs w:val="21"/>
                <w:highlight w:val="none"/>
                <w:lang w:val="zh-CN"/>
              </w:rPr>
              <w:t>应进入交通运输部</w:t>
            </w:r>
            <w:r>
              <w:rPr>
                <w:rFonts w:hint="eastAsia" w:ascii="宋体" w:hAnsi="宋体"/>
                <w:color w:val="000000" w:themeColor="text1"/>
                <w:sz w:val="21"/>
                <w:szCs w:val="21"/>
                <w:highlight w:val="none"/>
              </w:rPr>
              <w:t>“</w:t>
            </w:r>
            <w:r>
              <w:rPr>
                <w:rFonts w:hint="eastAsia" w:ascii="宋体" w:hAnsi="宋体"/>
                <w:color w:val="000000" w:themeColor="text1"/>
                <w:sz w:val="21"/>
                <w:szCs w:val="21"/>
                <w:highlight w:val="none"/>
                <w:lang w:val="zh-CN"/>
              </w:rPr>
              <w:t>全国公路建设市场信用信息管理系统</w:t>
            </w:r>
            <w:r>
              <w:rPr>
                <w:rFonts w:hint="eastAsia" w:ascii="宋体" w:hAnsi="宋体"/>
                <w:color w:val="000000" w:themeColor="text1"/>
                <w:sz w:val="21"/>
                <w:szCs w:val="21"/>
                <w:highlight w:val="none"/>
              </w:rPr>
              <w:t>（</w:t>
            </w:r>
            <w:r>
              <w:rPr>
                <w:rFonts w:ascii="宋体" w:hAnsi="宋体"/>
                <w:color w:val="000000" w:themeColor="text1"/>
                <w:sz w:val="21"/>
                <w:szCs w:val="21"/>
                <w:highlight w:val="none"/>
              </w:rPr>
              <w:t>http://glxy.mot.gov.cn）”</w:t>
            </w:r>
            <w:r>
              <w:rPr>
                <w:rFonts w:ascii="宋体" w:hAnsi="宋体"/>
                <w:color w:val="000000" w:themeColor="text1"/>
                <w:sz w:val="21"/>
                <w:szCs w:val="21"/>
                <w:highlight w:val="none"/>
                <w:lang w:val="zh-CN"/>
              </w:rPr>
              <w:t>中的施工企业名录</w:t>
            </w:r>
            <w:r>
              <w:rPr>
                <w:rFonts w:ascii="宋体" w:hAnsi="宋体"/>
                <w:color w:val="000000" w:themeColor="text1"/>
                <w:sz w:val="21"/>
                <w:szCs w:val="21"/>
                <w:highlight w:val="none"/>
              </w:rPr>
              <w:t>，</w:t>
            </w:r>
            <w:r>
              <w:rPr>
                <w:rFonts w:ascii="宋体" w:hAnsi="宋体"/>
                <w:color w:val="000000" w:themeColor="text1"/>
                <w:sz w:val="21"/>
                <w:szCs w:val="21"/>
                <w:highlight w:val="none"/>
                <w:lang w:val="zh-CN"/>
              </w:rPr>
              <w:t>且投标人名称和资质与该名录中的相应企业名称和资质完全一致</w:t>
            </w:r>
            <w:r>
              <w:rPr>
                <w:rFonts w:hint="eastAsia" w:ascii="宋体" w:hAnsi="宋体"/>
                <w:color w:val="000000" w:themeColor="text1"/>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96"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1.10.2</w:t>
            </w:r>
          </w:p>
        </w:tc>
        <w:tc>
          <w:tcPr>
            <w:tcW w:w="1975"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投标人</w:t>
            </w:r>
            <w:r>
              <w:rPr>
                <w:rFonts w:hint="eastAsia" w:ascii="宋体" w:hAnsi="宋体"/>
                <w:color w:val="000000" w:themeColor="text1"/>
                <w:highlight w:val="none"/>
              </w:rPr>
              <w:t>在投标</w:t>
            </w:r>
            <w:r>
              <w:rPr>
                <w:rFonts w:ascii="宋体" w:hAnsi="宋体"/>
                <w:color w:val="000000" w:themeColor="text1"/>
                <w:highlight w:val="none"/>
              </w:rPr>
              <w:br w:type="textWrapping"/>
            </w:r>
            <w:r>
              <w:rPr>
                <w:rFonts w:hint="eastAsia" w:ascii="宋体" w:hAnsi="宋体"/>
                <w:color w:val="000000" w:themeColor="text1"/>
                <w:highlight w:val="none"/>
              </w:rPr>
              <w:t>预备会提出问题</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Merge w:val="continue"/>
            <w:vAlign w:val="center"/>
          </w:tcPr>
          <w:p>
            <w:pPr>
              <w:jc w:val="center"/>
              <w:rPr>
                <w:rFonts w:ascii="宋体" w:hAnsi="宋体"/>
                <w:color w:val="000000" w:themeColor="text1"/>
                <w:highlight w:val="none"/>
              </w:rPr>
            </w:pPr>
          </w:p>
        </w:tc>
        <w:tc>
          <w:tcPr>
            <w:tcW w:w="1975" w:type="dxa"/>
            <w:vMerge w:val="continue"/>
            <w:vAlign w:val="center"/>
          </w:tcPr>
          <w:p>
            <w:pPr>
              <w:jc w:val="center"/>
              <w:rPr>
                <w:rFonts w:ascii="宋体" w:hAnsi="宋体"/>
                <w:color w:val="000000" w:themeColor="text1"/>
                <w:highlight w:val="none"/>
              </w:rPr>
            </w:pP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1</w:t>
            </w:r>
            <w:r>
              <w:rPr>
                <w:rFonts w:hint="eastAsia" w:ascii="宋体" w:hAnsi="宋体"/>
                <w:color w:val="000000" w:themeColor="text1"/>
                <w:highlight w:val="none"/>
              </w:rPr>
              <w:t>.</w:t>
            </w:r>
            <w:r>
              <w:rPr>
                <w:rFonts w:ascii="宋体" w:hAnsi="宋体"/>
                <w:color w:val="000000" w:themeColor="text1"/>
                <w:highlight w:val="none"/>
              </w:rPr>
              <w:t>11</w:t>
            </w:r>
            <w:r>
              <w:rPr>
                <w:rFonts w:hint="eastAsia" w:ascii="宋体" w:hAnsi="宋体"/>
                <w:color w:val="000000" w:themeColor="text1"/>
                <w:highlight w:val="none"/>
              </w:rPr>
              <w:t>.1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分包</w:t>
            </w:r>
          </w:p>
        </w:tc>
        <w:tc>
          <w:tcPr>
            <w:tcW w:w="6823" w:type="dxa"/>
            <w:vAlign w:val="center"/>
          </w:tcPr>
          <w:p>
            <w:pPr>
              <w:autoSpaceDE w:val="0"/>
              <w:autoSpaceDN w:val="0"/>
              <w:adjustRightInd w:val="0"/>
              <w:snapToGrid w:val="0"/>
              <w:rPr>
                <w:rFonts w:ascii="宋体" w:hAnsi="宋体"/>
                <w:color w:val="000000" w:themeColor="text1"/>
                <w:kern w:val="0"/>
                <w:szCs w:val="21"/>
                <w:highlight w:val="none"/>
              </w:rPr>
            </w:pPr>
            <w:r>
              <w:rPr>
                <w:rFonts w:hint="eastAsia" w:ascii="宋体" w:hAnsi="宋体"/>
                <w:color w:val="000000" w:themeColor="text1"/>
                <w:kern w:val="0"/>
                <w:szCs w:val="21"/>
                <w:highlight w:val="none"/>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2.1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构成招标文件的</w:t>
            </w:r>
            <w:r>
              <w:rPr>
                <w:rFonts w:hint="eastAsia" w:ascii="宋体" w:hAnsi="宋体"/>
                <w:color w:val="000000" w:themeColor="text1"/>
                <w:highlight w:val="none"/>
              </w:rPr>
              <w:br w:type="textWrapping"/>
            </w:r>
            <w:r>
              <w:rPr>
                <w:rFonts w:ascii="宋体" w:hAnsi="宋体"/>
                <w:color w:val="000000" w:themeColor="text1"/>
                <w:highlight w:val="none"/>
              </w:rPr>
              <w:t>其他材料</w:t>
            </w:r>
          </w:p>
        </w:tc>
        <w:tc>
          <w:tcPr>
            <w:tcW w:w="6823" w:type="dxa"/>
            <w:vAlign w:val="center"/>
          </w:tcPr>
          <w:p>
            <w:pPr>
              <w:adjustRightInd w:val="0"/>
              <w:snapToGrid w:val="0"/>
              <w:rPr>
                <w:rFonts w:ascii="宋体" w:hAnsi="宋体"/>
                <w:b/>
                <w:szCs w:val="21"/>
                <w:highlight w:val="none"/>
              </w:rPr>
            </w:pPr>
            <w:r>
              <w:rPr>
                <w:rFonts w:hint="eastAsia" w:ascii="宋体" w:hAnsi="宋体"/>
                <w:color w:val="000000" w:themeColor="text1"/>
                <w:szCs w:val="21"/>
                <w:highlight w:val="none"/>
              </w:rPr>
              <w:t>工程量固化清单电子文件（</w:t>
            </w:r>
            <w:r>
              <w:rPr>
                <w:rFonts w:ascii="宋体" w:hAnsi="宋体"/>
                <w:color w:val="000000" w:themeColor="text1"/>
                <w:szCs w:val="21"/>
                <w:highlight w:val="none"/>
              </w:rPr>
              <w:t>Microsoft Excel</w:t>
            </w:r>
            <w:r>
              <w:rPr>
                <w:rFonts w:hint="eastAsia" w:ascii="宋体" w:hAnsi="宋体"/>
                <w:color w:val="000000" w:themeColor="text1"/>
                <w:szCs w:val="21"/>
                <w:highlight w:val="none"/>
              </w:rPr>
              <w:t>文件）、《投标文件关键内容摘录表》（</w:t>
            </w:r>
            <w:r>
              <w:rPr>
                <w:rFonts w:ascii="宋体" w:hAnsi="宋体"/>
                <w:color w:val="000000" w:themeColor="text1"/>
                <w:szCs w:val="21"/>
                <w:highlight w:val="none"/>
              </w:rPr>
              <w:t xml:space="preserve">Microsoft </w:t>
            </w:r>
            <w:r>
              <w:rPr>
                <w:rFonts w:hint="eastAsia" w:ascii="宋体" w:hAnsi="宋体"/>
                <w:color w:val="000000" w:themeColor="text1"/>
                <w:szCs w:val="21"/>
                <w:highlight w:val="none"/>
              </w:rPr>
              <w:t>Word文件）、图纸扫描件由招标人提供，</w:t>
            </w:r>
            <w:r>
              <w:rPr>
                <w:rFonts w:hint="eastAsia" w:ascii="黑体" w:hAnsi="黑体" w:eastAsia="黑体"/>
                <w:szCs w:val="21"/>
                <w:highlight w:val="none"/>
              </w:rPr>
              <w:t>下载网址</w:t>
            </w:r>
            <w:r>
              <w:rPr>
                <w:rFonts w:hint="eastAsia" w:ascii="宋体" w:hAnsi="宋体"/>
                <w:b/>
                <w:szCs w:val="21"/>
                <w:highlight w:val="none"/>
              </w:rPr>
              <w:t>: https://pan.baidu.com/s/1hNX7cmeNb-5lGFajUqsxxg，提取码：</w:t>
            </w:r>
            <w:r>
              <w:rPr>
                <w:rFonts w:ascii="宋体" w:hAnsi="宋体"/>
                <w:b/>
                <w:szCs w:val="21"/>
                <w:highlight w:val="none"/>
              </w:rPr>
              <w:t>syeg</w:t>
            </w:r>
          </w:p>
          <w:p>
            <w:pPr>
              <w:snapToGrid w:val="0"/>
              <w:rPr>
                <w:rFonts w:ascii="宋体" w:hAnsi="宋体"/>
                <w:color w:val="000000" w:themeColor="text1"/>
                <w:szCs w:val="21"/>
                <w:highlight w:val="none"/>
              </w:rPr>
            </w:pPr>
            <w:r>
              <w:rPr>
                <w:rFonts w:ascii="宋体" w:hAnsi="宋体"/>
                <w:color w:val="000000" w:themeColor="text1"/>
                <w:szCs w:val="21"/>
                <w:highlight w:val="none"/>
              </w:rPr>
              <w:drawing>
                <wp:inline distT="0" distB="0" distL="0" distR="0">
                  <wp:extent cx="581025" cy="581025"/>
                  <wp:effectExtent l="0" t="0" r="9525" b="9525"/>
                  <wp:docPr id="3" name="图片 1" descr="C:\Users\Lenovo\AppData\Local\Temp\WeChat Files\d5f0c633d889813fbccf1687dfb4c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Lenovo\AppData\Local\Temp\WeChat Files\d5f0c633d889813fbccf1687dfb4c96.jpg"/>
                          <pic:cNvPicPr>
                            <a:picLocks noChangeAspect="1" noChangeArrowheads="1"/>
                          </pic:cNvPicPr>
                        </pic:nvPicPr>
                        <pic:blipFill>
                          <a:blip r:embed="rId5" cstate="print"/>
                          <a:srcRect/>
                          <a:stretch>
                            <a:fillRect/>
                          </a:stretch>
                        </pic:blipFill>
                        <pic:spPr>
                          <a:xfrm>
                            <a:off x="0" y="0"/>
                            <a:ext cx="581025" cy="58102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9" w:hRule="atLeast"/>
        </w:trPr>
        <w:tc>
          <w:tcPr>
            <w:tcW w:w="896"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2.2.1</w:t>
            </w:r>
          </w:p>
        </w:tc>
        <w:tc>
          <w:tcPr>
            <w:tcW w:w="1975"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投标人要求</w:t>
            </w:r>
            <w:r>
              <w:rPr>
                <w:rFonts w:hint="eastAsia" w:ascii="宋体" w:hAnsi="宋体"/>
                <w:color w:val="000000" w:themeColor="text1"/>
                <w:highlight w:val="none"/>
              </w:rPr>
              <w:br w:type="textWrapping"/>
            </w:r>
            <w:r>
              <w:rPr>
                <w:rFonts w:ascii="宋体" w:hAnsi="宋体"/>
                <w:color w:val="000000" w:themeColor="text1"/>
                <w:highlight w:val="none"/>
              </w:rPr>
              <w:t>澄清招标文件</w:t>
            </w:r>
          </w:p>
        </w:tc>
        <w:tc>
          <w:tcPr>
            <w:tcW w:w="6823" w:type="dxa"/>
            <w:vAlign w:val="center"/>
          </w:tcPr>
          <w:p>
            <w:pPr>
              <w:snapToGrid w:val="0"/>
              <w:rPr>
                <w:rFonts w:ascii="宋体" w:hAnsi="宋体"/>
                <w:color w:val="000000" w:themeColor="text1"/>
                <w:szCs w:val="21"/>
                <w:highlight w:val="none"/>
              </w:rPr>
            </w:pPr>
            <w:r>
              <w:rPr>
                <w:rFonts w:hint="eastAsia" w:ascii="宋体" w:hAnsi="宋体"/>
                <w:color w:val="000000" w:themeColor="text1"/>
                <w:szCs w:val="21"/>
                <w:highlight w:val="none"/>
              </w:rPr>
              <w:t>时间：投标截止时间10日前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1" w:hRule="atLeast"/>
        </w:trPr>
        <w:tc>
          <w:tcPr>
            <w:tcW w:w="896" w:type="dxa"/>
            <w:vMerge w:val="continue"/>
            <w:vAlign w:val="center"/>
          </w:tcPr>
          <w:p>
            <w:pPr>
              <w:jc w:val="center"/>
              <w:rPr>
                <w:rFonts w:ascii="宋体" w:hAnsi="宋体"/>
                <w:color w:val="000000" w:themeColor="text1"/>
                <w:highlight w:val="none"/>
              </w:rPr>
            </w:pPr>
          </w:p>
        </w:tc>
        <w:tc>
          <w:tcPr>
            <w:tcW w:w="1975" w:type="dxa"/>
            <w:vMerge w:val="continue"/>
            <w:vAlign w:val="center"/>
          </w:tcPr>
          <w:p>
            <w:pPr>
              <w:jc w:val="center"/>
              <w:rPr>
                <w:rFonts w:ascii="宋体" w:hAnsi="宋体"/>
                <w:color w:val="000000" w:themeColor="text1"/>
                <w:highlight w:val="none"/>
              </w:rPr>
            </w:pP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形式</w:t>
            </w:r>
            <w:r>
              <w:rPr>
                <w:rFonts w:ascii="宋体" w:hAnsi="宋体"/>
                <w:color w:val="000000" w:themeColor="text1"/>
                <w:szCs w:val="21"/>
                <w:highlight w:val="none"/>
              </w:rPr>
              <w:t>：</w:t>
            </w:r>
            <w:r>
              <w:rPr>
                <w:rFonts w:hint="eastAsia" w:ascii="宋体" w:hAnsi="宋体"/>
                <w:color w:val="000000" w:themeColor="text1"/>
                <w:szCs w:val="21"/>
                <w:highlight w:val="none"/>
              </w:rPr>
              <w:t>加盖单位公章的电子文档发送邮件至招标代理机构邮箱yjsjy8543@163.com，并电话通知招标代理机构。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2.2.2</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招标文件澄清</w:t>
            </w:r>
            <w:r>
              <w:rPr>
                <w:rFonts w:ascii="宋体" w:hAnsi="宋体"/>
                <w:color w:val="000000" w:themeColor="text1"/>
                <w:highlight w:val="none"/>
              </w:rPr>
              <w:br w:type="textWrapping"/>
            </w:r>
            <w:r>
              <w:rPr>
                <w:rFonts w:hint="eastAsia" w:ascii="宋体" w:hAnsi="宋体"/>
                <w:color w:val="000000" w:themeColor="text1"/>
                <w:highlight w:val="none"/>
              </w:rPr>
              <w:t>发出的形式</w:t>
            </w:r>
          </w:p>
        </w:tc>
        <w:tc>
          <w:tcPr>
            <w:tcW w:w="6823" w:type="dxa"/>
            <w:vAlign w:val="center"/>
          </w:tcPr>
          <w:p>
            <w:pPr>
              <w:adjustRightInd w:val="0"/>
              <w:snapToGrid w:val="0"/>
              <w:rPr>
                <w:rFonts w:ascii="宋体" w:hAnsi="宋体" w:cs="Consolas"/>
                <w:i/>
                <w:color w:val="000000" w:themeColor="text1"/>
                <w:sz w:val="28"/>
                <w:szCs w:val="28"/>
                <w:highlight w:val="none"/>
              </w:rPr>
            </w:pPr>
            <w:r>
              <w:rPr>
                <w:rFonts w:hint="eastAsia"/>
                <w:color w:val="000000" w:themeColor="text1"/>
                <w:highlight w:val="none"/>
              </w:rPr>
              <w:t>澄清电子文件发布在</w:t>
            </w:r>
            <w:r>
              <w:rPr>
                <w:rFonts w:hint="eastAsia" w:ascii="宋体" w:hAnsi="宋体" w:cs="宋体"/>
                <w:color w:val="000000" w:themeColor="text1"/>
                <w:kern w:val="0"/>
                <w:szCs w:val="21"/>
                <w:highlight w:val="none"/>
              </w:rPr>
              <w:t>“吉林省公共资源交易中心交易平台”，</w:t>
            </w:r>
            <w:r>
              <w:rPr>
                <w:rFonts w:hint="eastAsia" w:ascii="宋体" w:hAnsi="宋体" w:cs="宋体"/>
                <w:kern w:val="0"/>
                <w:szCs w:val="21"/>
                <w:highlight w:val="none"/>
              </w:rPr>
              <w:t>同时发布在</w:t>
            </w:r>
            <w:r>
              <w:rPr>
                <w:rFonts w:hint="eastAsia"/>
                <w:color w:val="000000"/>
                <w:highlight w:val="none"/>
              </w:rPr>
              <w:t>网盘：</w:t>
            </w:r>
            <w:r>
              <w:rPr>
                <w:rFonts w:ascii="宋体" w:hAnsi="宋体"/>
                <w:b/>
                <w:szCs w:val="21"/>
                <w:highlight w:val="none"/>
              </w:rPr>
              <w:t>https://pan.baidu.com/s/1hNX7cmeNb-5lGFajUqsxxg</w:t>
            </w:r>
            <w:r>
              <w:rPr>
                <w:rFonts w:hint="eastAsia" w:ascii="宋体" w:hAnsi="宋体"/>
                <w:b/>
                <w:szCs w:val="21"/>
                <w:highlight w:val="none"/>
              </w:rPr>
              <w:t>,</w:t>
            </w:r>
            <w:r>
              <w:rPr>
                <w:rFonts w:hint="eastAsia"/>
                <w:highlight w:val="none"/>
              </w:rPr>
              <w:t xml:space="preserve"> </w:t>
            </w:r>
            <w:r>
              <w:rPr>
                <w:rFonts w:hint="eastAsia" w:ascii="宋体" w:hAnsi="宋体"/>
                <w:b/>
                <w:szCs w:val="21"/>
                <w:highlight w:val="none"/>
              </w:rPr>
              <w:t>提取码：syeg,</w:t>
            </w:r>
            <w:r>
              <w:rPr>
                <w:rFonts w:hint="eastAsia" w:ascii="宋体" w:hAnsi="宋体"/>
                <w:szCs w:val="21"/>
                <w:highlight w:val="none"/>
              </w:rPr>
              <w:t>由投标人自行下载，投标人应在投标截止期前不定时浏览上述平台和网盘，否则出现一切后果由投标人自负。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9" w:hRule="atLeast"/>
        </w:trPr>
        <w:tc>
          <w:tcPr>
            <w:tcW w:w="896"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2.2.3</w:t>
            </w:r>
          </w:p>
        </w:tc>
        <w:tc>
          <w:tcPr>
            <w:tcW w:w="1975"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投标人确认</w:t>
            </w:r>
          </w:p>
          <w:p>
            <w:pPr>
              <w:jc w:val="center"/>
              <w:rPr>
                <w:rFonts w:ascii="宋体" w:hAnsi="宋体"/>
                <w:color w:val="000000" w:themeColor="text1"/>
                <w:highlight w:val="none"/>
              </w:rPr>
            </w:pPr>
            <w:r>
              <w:rPr>
                <w:rFonts w:ascii="宋体" w:hAnsi="宋体"/>
                <w:color w:val="000000" w:themeColor="text1"/>
                <w:highlight w:val="none"/>
              </w:rPr>
              <w:t>收到招标文件澄清</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时间：收到澄清后24小时内（以招标文件澄清发出时间为准）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896" w:type="dxa"/>
            <w:vMerge w:val="continue"/>
            <w:vAlign w:val="center"/>
          </w:tcPr>
          <w:p>
            <w:pPr>
              <w:jc w:val="center"/>
              <w:rPr>
                <w:rFonts w:ascii="宋体" w:hAnsi="宋体"/>
                <w:color w:val="000000" w:themeColor="text1"/>
                <w:highlight w:val="none"/>
              </w:rPr>
            </w:pPr>
          </w:p>
        </w:tc>
        <w:tc>
          <w:tcPr>
            <w:tcW w:w="1975" w:type="dxa"/>
            <w:vMerge w:val="continue"/>
            <w:vAlign w:val="center"/>
          </w:tcPr>
          <w:p>
            <w:pPr>
              <w:jc w:val="center"/>
              <w:rPr>
                <w:rFonts w:ascii="宋体" w:hAnsi="宋体"/>
                <w:color w:val="000000" w:themeColor="text1"/>
                <w:highlight w:val="none"/>
              </w:rPr>
            </w:pP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形式：加盖单位公章的电子版确认函按要求将回执扫描后，发送至yjsjy8543@163.com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0"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2.3.</w:t>
            </w:r>
            <w:r>
              <w:rPr>
                <w:rFonts w:hint="eastAsia" w:ascii="宋体" w:hAnsi="宋体"/>
                <w:color w:val="000000" w:themeColor="text1"/>
                <w:highlight w:val="none"/>
              </w:rPr>
              <w:t>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招标文件修改</w:t>
            </w:r>
            <w:r>
              <w:rPr>
                <w:rFonts w:ascii="宋体" w:hAnsi="宋体"/>
                <w:color w:val="000000" w:themeColor="text1"/>
                <w:highlight w:val="none"/>
              </w:rPr>
              <w:br w:type="textWrapping"/>
            </w:r>
            <w:r>
              <w:rPr>
                <w:rFonts w:hint="eastAsia" w:ascii="宋体" w:hAnsi="宋体"/>
                <w:color w:val="000000" w:themeColor="text1"/>
                <w:highlight w:val="none"/>
              </w:rPr>
              <w:t>发出的方式</w:t>
            </w:r>
          </w:p>
        </w:tc>
        <w:tc>
          <w:tcPr>
            <w:tcW w:w="6823" w:type="dxa"/>
            <w:vAlign w:val="center"/>
          </w:tcPr>
          <w:p>
            <w:pPr>
              <w:adjustRightInd w:val="0"/>
              <w:snapToGrid w:val="0"/>
              <w:rPr>
                <w:rFonts w:ascii="宋体" w:hAnsi="宋体" w:cs="Consolas"/>
                <w:i/>
                <w:color w:val="000000" w:themeColor="text1"/>
                <w:sz w:val="28"/>
                <w:szCs w:val="28"/>
                <w:highlight w:val="none"/>
              </w:rPr>
            </w:pPr>
            <w:r>
              <w:rPr>
                <w:rFonts w:hint="eastAsia"/>
                <w:color w:val="000000"/>
                <w:highlight w:val="none"/>
              </w:rPr>
              <w:t>补遗电子文件发布在</w:t>
            </w:r>
            <w:r>
              <w:rPr>
                <w:rFonts w:hint="eastAsia" w:ascii="宋体" w:hAnsi="宋体" w:cs="宋体"/>
                <w:kern w:val="0"/>
                <w:szCs w:val="21"/>
                <w:highlight w:val="none"/>
              </w:rPr>
              <w:t>“吉林省公共资源交易中心交易平台”，同时发布在</w:t>
            </w:r>
            <w:r>
              <w:rPr>
                <w:rFonts w:hint="eastAsia"/>
                <w:color w:val="000000"/>
                <w:highlight w:val="none"/>
              </w:rPr>
              <w:t>网盘：</w:t>
            </w:r>
            <w:r>
              <w:rPr>
                <w:rFonts w:ascii="宋体" w:hAnsi="宋体"/>
                <w:b/>
                <w:szCs w:val="21"/>
                <w:highlight w:val="none"/>
              </w:rPr>
              <w:t>https://pan.baidu.com/s/1hNX7cmeNb-5lGFajUqsxxg</w:t>
            </w:r>
            <w:r>
              <w:rPr>
                <w:rFonts w:hint="eastAsia" w:ascii="宋体" w:hAnsi="宋体"/>
                <w:b/>
                <w:szCs w:val="21"/>
                <w:highlight w:val="none"/>
              </w:rPr>
              <w:t>,</w:t>
            </w:r>
            <w:r>
              <w:rPr>
                <w:rFonts w:hint="eastAsia"/>
                <w:highlight w:val="none"/>
              </w:rPr>
              <w:t xml:space="preserve"> </w:t>
            </w:r>
            <w:r>
              <w:rPr>
                <w:rFonts w:hint="eastAsia" w:ascii="宋体" w:hAnsi="宋体"/>
                <w:b/>
                <w:szCs w:val="21"/>
                <w:highlight w:val="none"/>
              </w:rPr>
              <w:t>提取码：syeg,</w:t>
            </w:r>
            <w:r>
              <w:rPr>
                <w:rFonts w:hint="eastAsia" w:ascii="宋体" w:hAnsi="宋体"/>
                <w:szCs w:val="21"/>
                <w:highlight w:val="none"/>
              </w:rPr>
              <w:t>由投标人自行下载，投标人应在投标截止期前不定时浏览上述平台和网盘，否则出现一切后果由投标人自负。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atLeast"/>
        </w:trPr>
        <w:tc>
          <w:tcPr>
            <w:tcW w:w="896" w:type="dxa"/>
            <w:vMerge w:val="restart"/>
            <w:vAlign w:val="center"/>
          </w:tcPr>
          <w:p>
            <w:pPr>
              <w:jc w:val="center"/>
              <w:rPr>
                <w:rFonts w:ascii="宋体" w:hAnsi="宋体"/>
                <w:color w:val="000000" w:themeColor="text1"/>
                <w:highlight w:val="none"/>
              </w:rPr>
            </w:pPr>
            <w:r>
              <w:rPr>
                <w:rFonts w:hint="eastAsia" w:ascii="宋体" w:hAnsi="宋体"/>
                <w:color w:val="000000" w:themeColor="text1"/>
                <w:highlight w:val="none"/>
              </w:rPr>
              <w:t>2.3.2</w:t>
            </w:r>
          </w:p>
        </w:tc>
        <w:tc>
          <w:tcPr>
            <w:tcW w:w="1975"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投标人确认</w:t>
            </w:r>
          </w:p>
          <w:p>
            <w:pPr>
              <w:jc w:val="center"/>
              <w:rPr>
                <w:rFonts w:ascii="宋体" w:hAnsi="宋体"/>
                <w:color w:val="000000" w:themeColor="text1"/>
                <w:highlight w:val="none"/>
              </w:rPr>
            </w:pPr>
            <w:r>
              <w:rPr>
                <w:rFonts w:ascii="宋体" w:hAnsi="宋体"/>
                <w:color w:val="000000" w:themeColor="text1"/>
                <w:highlight w:val="none"/>
              </w:rPr>
              <w:t>收到招标文件</w:t>
            </w:r>
            <w:r>
              <w:rPr>
                <w:rFonts w:hint="eastAsia" w:ascii="宋体" w:hAnsi="宋体"/>
                <w:color w:val="000000" w:themeColor="text1"/>
                <w:highlight w:val="none"/>
              </w:rPr>
              <w:t>修改</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时间：收到修改后24小时内（以招标文件修改发出时间为准）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trPr>
        <w:tc>
          <w:tcPr>
            <w:tcW w:w="896" w:type="dxa"/>
            <w:vMerge w:val="continue"/>
            <w:vAlign w:val="center"/>
          </w:tcPr>
          <w:p>
            <w:pPr>
              <w:jc w:val="center"/>
              <w:rPr>
                <w:rFonts w:ascii="宋体" w:hAnsi="宋体"/>
                <w:color w:val="000000" w:themeColor="text1"/>
                <w:highlight w:val="none"/>
              </w:rPr>
            </w:pPr>
          </w:p>
        </w:tc>
        <w:tc>
          <w:tcPr>
            <w:tcW w:w="1975" w:type="dxa"/>
            <w:vMerge w:val="continue"/>
            <w:vAlign w:val="center"/>
          </w:tcPr>
          <w:p>
            <w:pPr>
              <w:jc w:val="center"/>
              <w:rPr>
                <w:rFonts w:ascii="宋体" w:hAnsi="宋体"/>
                <w:color w:val="000000" w:themeColor="text1"/>
                <w:highlight w:val="none"/>
              </w:rPr>
            </w:pP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形式：按要求将回执扫描后，发送至yjsjy8543@163.com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3.1</w:t>
            </w:r>
            <w:r>
              <w:rPr>
                <w:rFonts w:hint="eastAsia" w:ascii="宋体" w:hAnsi="宋体"/>
                <w:color w:val="000000" w:themeColor="text1"/>
                <w:highlight w:val="none"/>
              </w:rPr>
              <w:t>.1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投标文件密封形式</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双信封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3.1.1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构成投标文件的</w:t>
            </w:r>
            <w:r>
              <w:rPr>
                <w:rFonts w:hint="eastAsia" w:ascii="宋体" w:hAnsi="宋体"/>
                <w:color w:val="000000" w:themeColor="text1"/>
                <w:highlight w:val="none"/>
              </w:rPr>
              <w:br w:type="textWrapping"/>
            </w:r>
            <w:r>
              <w:rPr>
                <w:rFonts w:ascii="宋体" w:hAnsi="宋体"/>
                <w:color w:val="000000" w:themeColor="text1"/>
                <w:highlight w:val="none"/>
              </w:rPr>
              <w:t>其他</w:t>
            </w:r>
            <w:r>
              <w:rPr>
                <w:rFonts w:hint="eastAsia" w:ascii="宋体" w:hAnsi="宋体"/>
                <w:color w:val="000000" w:themeColor="text1"/>
                <w:highlight w:val="none"/>
              </w:rPr>
              <w:t>资料</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3.2.1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增值税税金</w:t>
            </w:r>
          </w:p>
          <w:p>
            <w:pPr>
              <w:jc w:val="center"/>
              <w:rPr>
                <w:rFonts w:ascii="宋体" w:hAnsi="宋体"/>
                <w:color w:val="000000" w:themeColor="text1"/>
                <w:highlight w:val="none"/>
              </w:rPr>
            </w:pPr>
            <w:r>
              <w:rPr>
                <w:rFonts w:hint="eastAsia" w:ascii="宋体" w:hAnsi="宋体"/>
                <w:color w:val="000000" w:themeColor="text1"/>
                <w:highlight w:val="none"/>
              </w:rPr>
              <w:t>的计算方法</w:t>
            </w:r>
          </w:p>
        </w:tc>
        <w:tc>
          <w:tcPr>
            <w:tcW w:w="6823" w:type="dxa"/>
            <w:vAlign w:val="center"/>
          </w:tcPr>
          <w:p>
            <w:pPr>
              <w:snapToGrid w:val="0"/>
              <w:rPr>
                <w:rFonts w:ascii="宋体" w:hAnsi="宋体"/>
                <w:color w:val="000000" w:themeColor="text1"/>
                <w:szCs w:val="21"/>
                <w:highlight w:val="none"/>
                <w:lang w:val="zh-CN"/>
              </w:rPr>
            </w:pPr>
            <w:r>
              <w:rPr>
                <w:rFonts w:hint="eastAsia" w:ascii="宋体" w:hAnsi="宋体" w:cs="宋体"/>
                <w:bCs/>
                <w:color w:val="000000" w:themeColor="text1"/>
                <w:szCs w:val="21"/>
                <w:highlight w:val="none"/>
                <w:lang w:val="zh-CN"/>
              </w:rPr>
              <w:t>按国家有关规定执行。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3.2.1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工程量清单</w:t>
            </w:r>
            <w:r>
              <w:rPr>
                <w:rFonts w:ascii="宋体" w:hAnsi="宋体"/>
                <w:color w:val="000000" w:themeColor="text1"/>
                <w:highlight w:val="none"/>
              </w:rPr>
              <w:br w:type="textWrapping"/>
            </w:r>
            <w:r>
              <w:rPr>
                <w:rFonts w:hint="eastAsia" w:ascii="宋体" w:hAnsi="宋体"/>
                <w:color w:val="000000" w:themeColor="text1"/>
                <w:highlight w:val="none"/>
              </w:rPr>
              <w:t>的填写方式</w:t>
            </w:r>
          </w:p>
        </w:tc>
        <w:tc>
          <w:tcPr>
            <w:tcW w:w="6823" w:type="dxa"/>
            <w:vAlign w:val="center"/>
          </w:tcPr>
          <w:p>
            <w:pPr>
              <w:spacing w:line="320" w:lineRule="exact"/>
              <w:ind w:right="113"/>
              <w:jc w:val="left"/>
              <w:rPr>
                <w:highlight w:val="none"/>
              </w:rPr>
            </w:pPr>
            <w:r>
              <w:rPr>
                <w:rFonts w:hint="eastAsia" w:ascii="宋体" w:hAnsi="宋体"/>
                <w:color w:val="000000" w:themeColor="text1"/>
                <w:szCs w:val="21"/>
                <w:highlight w:val="none"/>
              </w:rPr>
              <w:t>投标人按照招标人提供的工程量固化清单电子文件填写工程量清单</w:t>
            </w:r>
            <w:r>
              <w:rPr>
                <w:rFonts w:hint="eastAsia"/>
                <w:highlight w:val="none"/>
              </w:rPr>
              <w:t>下载</w:t>
            </w:r>
            <w:r>
              <w:rPr>
                <w:rFonts w:hint="eastAsia" w:ascii="宋体" w:hAnsi="宋体"/>
                <w:szCs w:val="21"/>
                <w:highlight w:val="none"/>
              </w:rPr>
              <w:t>地址</w:t>
            </w:r>
            <w:r>
              <w:rPr>
                <w:rFonts w:hint="eastAsia"/>
                <w:highlight w:val="none"/>
              </w:rPr>
              <w:t>（请注意</w:t>
            </w:r>
            <w:r>
              <w:rPr>
                <w:rFonts w:hint="eastAsia" w:ascii="方正超粗黑简体" w:hAnsi="黑体" w:eastAsia="方正超粗黑简体"/>
                <w:szCs w:val="21"/>
                <w:highlight w:val="none"/>
              </w:rPr>
              <w:t>区分大小写</w:t>
            </w:r>
            <w:r>
              <w:rPr>
                <w:rFonts w:hint="eastAsia"/>
                <w:highlight w:val="none"/>
              </w:rPr>
              <w:t>）：</w:t>
            </w:r>
          </w:p>
          <w:p>
            <w:pPr>
              <w:adjustRightInd w:val="0"/>
              <w:snapToGrid w:val="0"/>
              <w:jc w:val="left"/>
              <w:rPr>
                <w:rFonts w:ascii="宋体" w:hAnsi="宋体"/>
                <w:b/>
                <w:color w:val="000000" w:themeColor="text1"/>
                <w:szCs w:val="21"/>
                <w:highlight w:val="none"/>
              </w:rPr>
            </w:pPr>
            <w:r>
              <w:rPr>
                <w:rFonts w:ascii="宋体" w:hAnsi="宋体"/>
                <w:b/>
                <w:szCs w:val="21"/>
                <w:highlight w:val="none"/>
              </w:rPr>
              <w:t>https://pan.baidu.com/s/1hNX7cmeNb-5lGFajUqsxxg</w:t>
            </w:r>
            <w:r>
              <w:rPr>
                <w:rFonts w:hint="eastAsia" w:ascii="宋体" w:hAnsi="宋体"/>
                <w:b/>
                <w:szCs w:val="21"/>
                <w:highlight w:val="none"/>
              </w:rPr>
              <w:t>,</w:t>
            </w:r>
            <w:r>
              <w:rPr>
                <w:rFonts w:hint="eastAsia"/>
                <w:highlight w:val="none"/>
              </w:rPr>
              <w:t xml:space="preserve"> </w:t>
            </w:r>
            <w:r>
              <w:rPr>
                <w:rFonts w:hint="eastAsia" w:ascii="宋体" w:hAnsi="宋体"/>
                <w:b/>
                <w:szCs w:val="21"/>
                <w:highlight w:val="none"/>
              </w:rPr>
              <w:t>提取码：syeg。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3.2.3</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报价方式</w:t>
            </w:r>
          </w:p>
        </w:tc>
        <w:tc>
          <w:tcPr>
            <w:tcW w:w="6823" w:type="dxa"/>
            <w:vAlign w:val="center"/>
          </w:tcPr>
          <w:p>
            <w:pPr>
              <w:ind w:right="113"/>
              <w:rPr>
                <w:rFonts w:ascii="宋体" w:hAnsi="宋体"/>
                <w:color w:val="000000" w:themeColor="text1"/>
                <w:szCs w:val="21"/>
                <w:highlight w:val="none"/>
              </w:rPr>
            </w:pPr>
            <w:r>
              <w:rPr>
                <w:rFonts w:hint="eastAsia" w:ascii="宋体" w:hAnsi="宋体" w:cs="宋体"/>
                <w:b/>
                <w:color w:val="000000" w:themeColor="text1"/>
                <w:sz w:val="18"/>
                <w:szCs w:val="18"/>
                <w:highlight w:val="none"/>
                <w:bdr w:val="single" w:color="auto" w:sz="4" w:space="0"/>
                <w:lang w:val="zh-CN"/>
              </w:rPr>
              <w:t>√</w:t>
            </w:r>
            <w:r>
              <w:rPr>
                <w:rFonts w:hint="eastAsia" w:ascii="宋体" w:hAnsi="宋体"/>
                <w:color w:val="000000" w:themeColor="text1"/>
                <w:szCs w:val="21"/>
                <w:highlight w:val="none"/>
              </w:rPr>
              <w:t>单价</w:t>
            </w:r>
          </w:p>
          <w:p>
            <w:pPr>
              <w:adjustRightInd w:val="0"/>
              <w:snapToGrid w:val="0"/>
              <w:rPr>
                <w:rFonts w:ascii="宋体" w:hAnsi="宋体"/>
                <w:color w:val="000000" w:themeColor="text1"/>
                <w:szCs w:val="21"/>
                <w:highlight w:val="none"/>
              </w:rPr>
            </w:pPr>
            <w:r>
              <w:rPr>
                <w:rFonts w:ascii="宋体" w:hAnsi="宋体" w:cs="宋体"/>
                <w:color w:val="000000" w:themeColor="text1"/>
                <w:sz w:val="18"/>
                <w:szCs w:val="18"/>
                <w:highlight w:val="none"/>
                <w:bdr w:val="single" w:color="auto" w:sz="4" w:space="0"/>
              </w:rPr>
              <w:t> </w:t>
            </w:r>
            <w:r>
              <w:rPr>
                <w:rFonts w:hint="eastAsia" w:ascii="宋体" w:hAnsi="宋体"/>
                <w:color w:val="000000" w:themeColor="text1"/>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3.2.6</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是否接受</w:t>
            </w:r>
          </w:p>
          <w:p>
            <w:pPr>
              <w:jc w:val="center"/>
              <w:rPr>
                <w:rFonts w:ascii="宋体" w:hAnsi="宋体"/>
                <w:color w:val="000000" w:themeColor="text1"/>
                <w:highlight w:val="none"/>
              </w:rPr>
            </w:pPr>
            <w:r>
              <w:rPr>
                <w:rFonts w:ascii="宋体" w:hAnsi="宋体"/>
                <w:color w:val="000000" w:themeColor="text1"/>
                <w:highlight w:val="none"/>
              </w:rPr>
              <w:t>调价函</w:t>
            </w:r>
          </w:p>
        </w:tc>
        <w:tc>
          <w:tcPr>
            <w:tcW w:w="6823" w:type="dxa"/>
            <w:tcBorders>
              <w:bottom w:val="single" w:color="auto" w:sz="4" w:space="0"/>
            </w:tcBorders>
            <w:vAlign w:val="center"/>
          </w:tcPr>
          <w:p>
            <w:pPr>
              <w:pStyle w:val="28"/>
              <w:pBdr>
                <w:bottom w:val="none" w:color="auto" w:sz="0" w:space="0"/>
              </w:pBdr>
              <w:tabs>
                <w:tab w:val="clear" w:pos="4153"/>
                <w:tab w:val="clear" w:pos="8306"/>
              </w:tabs>
              <w:snapToGrid/>
              <w:spacing w:line="360" w:lineRule="exact"/>
              <w:jc w:val="both"/>
              <w:rPr>
                <w:rFonts w:ascii="宋体" w:hAnsi="宋体"/>
                <w:color w:val="000000" w:themeColor="text1"/>
                <w:kern w:val="2"/>
                <w:sz w:val="21"/>
                <w:szCs w:val="21"/>
                <w:highlight w:val="none"/>
              </w:rPr>
            </w:pPr>
            <w:r>
              <w:rPr>
                <w:rFonts w:ascii="宋体" w:hAnsi="宋体" w:cs="宋体"/>
                <w:color w:val="000000" w:themeColor="text1"/>
                <w:szCs w:val="21"/>
                <w:highlight w:val="none"/>
                <w:bdr w:val="single" w:color="auto" w:sz="4" w:space="0"/>
              </w:rPr>
              <w:t> </w:t>
            </w:r>
            <w:r>
              <w:rPr>
                <w:rFonts w:hint="eastAsia" w:ascii="宋体" w:hAnsi="宋体"/>
                <w:color w:val="000000" w:themeColor="text1"/>
                <w:kern w:val="2"/>
                <w:sz w:val="21"/>
                <w:szCs w:val="21"/>
                <w:highlight w:val="none"/>
              </w:rPr>
              <w:t>是</w:t>
            </w:r>
          </w:p>
          <w:p>
            <w:pPr>
              <w:pStyle w:val="28"/>
              <w:pBdr>
                <w:bottom w:val="none" w:color="auto" w:sz="0" w:space="0"/>
              </w:pBdr>
              <w:tabs>
                <w:tab w:val="clear" w:pos="4153"/>
                <w:tab w:val="clear" w:pos="8306"/>
              </w:tabs>
              <w:jc w:val="both"/>
              <w:rPr>
                <w:rFonts w:ascii="宋体" w:hAnsi="宋体"/>
                <w:color w:val="000000" w:themeColor="text1"/>
                <w:kern w:val="2"/>
                <w:sz w:val="21"/>
                <w:szCs w:val="21"/>
                <w:highlight w:val="none"/>
              </w:rPr>
            </w:pPr>
            <w:r>
              <w:rPr>
                <w:rFonts w:hint="eastAsia" w:ascii="宋体" w:hAnsi="宋体" w:cs="宋体"/>
                <w:b/>
                <w:color w:val="000000" w:themeColor="text1"/>
                <w:szCs w:val="21"/>
                <w:highlight w:val="none"/>
                <w:bdr w:val="single" w:color="auto" w:sz="4" w:space="0"/>
                <w:lang w:val="zh-CN"/>
              </w:rPr>
              <w:t>√</w:t>
            </w:r>
            <w:r>
              <w:rPr>
                <w:rFonts w:hint="eastAsia" w:ascii="宋体" w:hAnsi="宋体"/>
                <w:color w:val="000000" w:themeColor="text1"/>
                <w:kern w:val="2"/>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52"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3.2.8</w:t>
            </w:r>
          </w:p>
        </w:tc>
        <w:tc>
          <w:tcPr>
            <w:tcW w:w="1975" w:type="dxa"/>
            <w:tcBorders>
              <w:right w:val="single" w:color="auto" w:sz="4" w:space="0"/>
            </w:tcBorders>
            <w:vAlign w:val="center"/>
          </w:tcPr>
          <w:p>
            <w:pPr>
              <w:jc w:val="center"/>
              <w:rPr>
                <w:rFonts w:ascii="宋体" w:hAnsi="宋体"/>
                <w:color w:val="000000" w:themeColor="text1"/>
                <w:highlight w:val="none"/>
              </w:rPr>
            </w:pPr>
            <w:r>
              <w:rPr>
                <w:rFonts w:hint="eastAsia" w:ascii="宋体" w:hAnsi="宋体"/>
                <w:color w:val="000000" w:themeColor="text1"/>
                <w:highlight w:val="none"/>
              </w:rPr>
              <w:t>最高投标限价</w:t>
            </w:r>
          </w:p>
        </w:tc>
        <w:tc>
          <w:tcPr>
            <w:tcW w:w="68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rPr>
                <w:rFonts w:ascii="楷体" w:hAnsi="楷体" w:eastAsia="楷体"/>
                <w:b/>
                <w:color w:val="000000" w:themeColor="text1"/>
                <w:highlight w:val="none"/>
              </w:rPr>
            </w:pPr>
            <w:r>
              <w:rPr>
                <w:rFonts w:hint="eastAsia" w:ascii="楷体" w:hAnsi="楷体" w:eastAsia="楷体"/>
                <w:b/>
                <w:color w:val="000000" w:themeColor="text1"/>
                <w:highlight w:val="none"/>
              </w:rPr>
              <w:t>有，最高投标限价：</w:t>
            </w:r>
          </w:p>
          <w:p>
            <w:pPr>
              <w:adjustRightInd w:val="0"/>
              <w:snapToGrid w:val="0"/>
              <w:jc w:val="left"/>
              <w:rPr>
                <w:rFonts w:ascii="楷体" w:hAnsi="楷体" w:eastAsia="楷体"/>
                <w:b/>
                <w:color w:val="000000" w:themeColor="text1"/>
                <w:highlight w:val="none"/>
              </w:rPr>
            </w:pPr>
            <w:r>
              <w:rPr>
                <w:rFonts w:hint="eastAsia" w:ascii="楷体" w:hAnsi="楷体" w:eastAsia="楷体"/>
                <w:b/>
                <w:color w:val="000000" w:themeColor="text1"/>
                <w:highlight w:val="none"/>
              </w:rPr>
              <w:t>YA01标段：人民币</w:t>
            </w:r>
            <w:r>
              <w:rPr>
                <w:rFonts w:ascii="楷体" w:hAnsi="楷体" w:eastAsia="楷体"/>
                <w:b/>
                <w:color w:val="000000" w:themeColor="text1"/>
                <w:highlight w:val="none"/>
                <w:u w:val="single"/>
              </w:rPr>
              <w:fldChar w:fldCharType="begin"/>
            </w:r>
            <w:r>
              <w:rPr>
                <w:rFonts w:ascii="楷体" w:hAnsi="楷体" w:eastAsia="楷体"/>
                <w:b/>
                <w:color w:val="000000" w:themeColor="text1"/>
                <w:highlight w:val="none"/>
                <w:u w:val="single"/>
              </w:rPr>
              <w:instrText xml:space="preserve"> </w:instrText>
            </w:r>
            <w:r>
              <w:rPr>
                <w:rFonts w:hint="eastAsia" w:ascii="楷体" w:hAnsi="楷体" w:eastAsia="楷体"/>
                <w:b/>
                <w:color w:val="000000" w:themeColor="text1"/>
                <w:highlight w:val="none"/>
                <w:u w:val="single"/>
              </w:rPr>
              <w:instrText xml:space="preserve">= 153223709 \* CHINESENUM2</w:instrText>
            </w:r>
            <w:r>
              <w:rPr>
                <w:rFonts w:ascii="楷体" w:hAnsi="楷体" w:eastAsia="楷体"/>
                <w:b/>
                <w:color w:val="000000" w:themeColor="text1"/>
                <w:highlight w:val="none"/>
                <w:u w:val="single"/>
              </w:rPr>
              <w:instrText xml:space="preserve"> </w:instrText>
            </w:r>
            <w:r>
              <w:rPr>
                <w:rFonts w:ascii="楷体" w:hAnsi="楷体" w:eastAsia="楷体"/>
                <w:b/>
                <w:color w:val="000000" w:themeColor="text1"/>
                <w:highlight w:val="none"/>
                <w:u w:val="single"/>
              </w:rPr>
              <w:fldChar w:fldCharType="separate"/>
            </w:r>
            <w:r>
              <w:rPr>
                <w:rFonts w:hint="eastAsia" w:ascii="楷体" w:hAnsi="楷体" w:eastAsia="楷体"/>
                <w:b/>
                <w:color w:val="000000" w:themeColor="text1"/>
                <w:highlight w:val="none"/>
                <w:u w:val="single"/>
              </w:rPr>
              <w:t>壹亿伍仟叁佰贰拾贰万叁仟柒佰零玖</w:t>
            </w:r>
            <w:r>
              <w:rPr>
                <w:rFonts w:ascii="楷体" w:hAnsi="楷体" w:eastAsia="楷体"/>
                <w:b/>
                <w:color w:val="000000" w:themeColor="text1"/>
                <w:highlight w:val="none"/>
                <w:u w:val="single"/>
              </w:rPr>
              <w:fldChar w:fldCharType="end"/>
            </w:r>
            <w:r>
              <w:rPr>
                <w:rFonts w:hint="eastAsia" w:ascii="楷体" w:hAnsi="楷体" w:eastAsia="楷体"/>
                <w:b/>
                <w:color w:val="000000" w:themeColor="text1"/>
                <w:highlight w:val="none"/>
              </w:rPr>
              <w:t>元（</w:t>
            </w:r>
            <w:r>
              <w:rPr>
                <w:rFonts w:hint="eastAsia" w:ascii="宋体" w:hAnsi="宋体" w:cs="宋体"/>
                <w:b/>
                <w:color w:val="000000" w:themeColor="text1"/>
                <w:highlight w:val="none"/>
              </w:rPr>
              <w:t>¥</w:t>
            </w:r>
            <w:r>
              <w:rPr>
                <w:rFonts w:ascii="楷体" w:hAnsi="楷体" w:eastAsia="楷体"/>
                <w:b/>
                <w:color w:val="000000" w:themeColor="text1"/>
                <w:highlight w:val="none"/>
                <w:u w:val="single"/>
              </w:rPr>
              <w:t>153</w:t>
            </w:r>
            <w:r>
              <w:rPr>
                <w:rFonts w:hint="eastAsia" w:ascii="楷体" w:hAnsi="楷体" w:eastAsia="楷体"/>
                <w:b/>
                <w:color w:val="000000" w:themeColor="text1"/>
                <w:highlight w:val="none"/>
                <w:u w:val="single"/>
              </w:rPr>
              <w:t>,</w:t>
            </w:r>
            <w:r>
              <w:rPr>
                <w:rFonts w:ascii="楷体" w:hAnsi="楷体" w:eastAsia="楷体"/>
                <w:b/>
                <w:color w:val="000000" w:themeColor="text1"/>
                <w:highlight w:val="none"/>
                <w:u w:val="single"/>
              </w:rPr>
              <w:t>223</w:t>
            </w:r>
            <w:r>
              <w:rPr>
                <w:rFonts w:hint="eastAsia" w:ascii="楷体" w:hAnsi="楷体" w:eastAsia="楷体"/>
                <w:b/>
                <w:color w:val="000000" w:themeColor="text1"/>
                <w:highlight w:val="none"/>
                <w:u w:val="single"/>
              </w:rPr>
              <w:t>,</w:t>
            </w:r>
            <w:r>
              <w:rPr>
                <w:rFonts w:ascii="楷体" w:hAnsi="楷体" w:eastAsia="楷体"/>
                <w:b/>
                <w:color w:val="000000" w:themeColor="text1"/>
                <w:highlight w:val="none"/>
                <w:u w:val="single"/>
              </w:rPr>
              <w:t>709</w:t>
            </w:r>
            <w:r>
              <w:rPr>
                <w:rFonts w:ascii="楷体" w:hAnsi="楷体" w:eastAsia="楷体"/>
                <w:b/>
                <w:color w:val="000000" w:themeColor="text1"/>
                <w:highlight w:val="none"/>
              </w:rPr>
              <w:t>元</w:t>
            </w:r>
            <w:r>
              <w:rPr>
                <w:rFonts w:hint="eastAsia" w:ascii="楷体" w:hAnsi="楷体" w:eastAsia="楷体"/>
                <w:b/>
                <w:color w:val="000000" w:themeColor="text1"/>
                <w:highlight w:val="none"/>
              </w:rPr>
              <w:t>）（其中含暂列金额4</w:t>
            </w:r>
            <w:r>
              <w:rPr>
                <w:rFonts w:hint="eastAsia" w:ascii="楷体" w:hAnsi="楷体" w:eastAsia="楷体"/>
                <w:b/>
                <w:color w:val="000000" w:themeColor="text1"/>
                <w:highlight w:val="none"/>
                <w:lang w:val="en-US" w:eastAsia="zh-CN"/>
              </w:rPr>
              <w:t>,</w:t>
            </w:r>
            <w:r>
              <w:rPr>
                <w:rFonts w:hint="eastAsia" w:ascii="楷体" w:hAnsi="楷体" w:eastAsia="楷体"/>
                <w:b/>
                <w:color w:val="000000" w:themeColor="text1"/>
                <w:highlight w:val="none"/>
              </w:rPr>
              <w:t>596</w:t>
            </w:r>
            <w:r>
              <w:rPr>
                <w:rFonts w:hint="eastAsia" w:ascii="楷体" w:hAnsi="楷体" w:eastAsia="楷体"/>
                <w:b/>
                <w:color w:val="000000" w:themeColor="text1"/>
                <w:highlight w:val="none"/>
                <w:lang w:val="en-US" w:eastAsia="zh-CN"/>
              </w:rPr>
              <w:t>,</w:t>
            </w:r>
            <w:r>
              <w:rPr>
                <w:rFonts w:hint="eastAsia" w:ascii="楷体" w:hAnsi="楷体" w:eastAsia="楷体"/>
                <w:b/>
                <w:color w:val="000000" w:themeColor="text1"/>
                <w:highlight w:val="none"/>
              </w:rPr>
              <w:t>711</w:t>
            </w:r>
            <w:r>
              <w:rPr>
                <w:rFonts w:hint="eastAsia" w:ascii="楷体" w:hAnsi="楷体" w:eastAsia="楷体"/>
                <w:b/>
                <w:color w:val="000000" w:themeColor="text1"/>
                <w:highlight w:val="none"/>
                <w:lang w:val="en-US" w:eastAsia="zh-CN"/>
              </w:rPr>
              <w:t>元</w:t>
            </w:r>
            <w:r>
              <w:rPr>
                <w:rFonts w:hint="eastAsia" w:ascii="楷体" w:hAnsi="楷体" w:eastAsia="楷体"/>
                <w:b/>
                <w:color w:val="000000" w:themeColor="text1"/>
                <w:highlight w:val="none"/>
              </w:rPr>
              <w:t>）；</w:t>
            </w:r>
          </w:p>
          <w:p>
            <w:pPr>
              <w:adjustRightInd w:val="0"/>
              <w:snapToGrid w:val="0"/>
              <w:jc w:val="left"/>
              <w:rPr>
                <w:rFonts w:ascii="楷体" w:hAnsi="楷体" w:eastAsia="楷体"/>
                <w:b/>
                <w:color w:val="000000" w:themeColor="text1"/>
                <w:highlight w:val="none"/>
              </w:rPr>
            </w:pPr>
            <w:r>
              <w:rPr>
                <w:rFonts w:hint="eastAsia" w:ascii="楷体" w:hAnsi="楷体" w:eastAsia="楷体"/>
                <w:b/>
                <w:color w:val="000000" w:themeColor="text1"/>
                <w:highlight w:val="none"/>
              </w:rPr>
              <w:t>YA02标段：人民币</w:t>
            </w:r>
            <w:r>
              <w:rPr>
                <w:rFonts w:ascii="楷体" w:hAnsi="楷体" w:eastAsia="楷体"/>
                <w:b/>
                <w:color w:val="000000" w:themeColor="text1"/>
                <w:highlight w:val="none"/>
              </w:rPr>
              <w:fldChar w:fldCharType="begin"/>
            </w:r>
            <w:r>
              <w:rPr>
                <w:rFonts w:ascii="楷体" w:hAnsi="楷体" w:eastAsia="楷体"/>
                <w:b/>
                <w:color w:val="000000" w:themeColor="text1"/>
                <w:highlight w:val="none"/>
              </w:rPr>
              <w:instrText xml:space="preserve"> </w:instrText>
            </w:r>
            <w:r>
              <w:rPr>
                <w:rFonts w:hint="eastAsia" w:ascii="楷体" w:hAnsi="楷体" w:eastAsia="楷体"/>
                <w:b/>
                <w:color w:val="000000" w:themeColor="text1"/>
                <w:highlight w:val="none"/>
              </w:rPr>
              <w:instrText xml:space="preserve">= 257073076 \* CHINESENUM2</w:instrText>
            </w:r>
            <w:r>
              <w:rPr>
                <w:rFonts w:ascii="楷体" w:hAnsi="楷体" w:eastAsia="楷体"/>
                <w:b/>
                <w:color w:val="000000" w:themeColor="text1"/>
                <w:highlight w:val="none"/>
              </w:rPr>
              <w:instrText xml:space="preserve"> </w:instrText>
            </w:r>
            <w:r>
              <w:rPr>
                <w:rFonts w:ascii="楷体" w:hAnsi="楷体" w:eastAsia="楷体"/>
                <w:b/>
                <w:color w:val="000000" w:themeColor="text1"/>
                <w:highlight w:val="none"/>
              </w:rPr>
              <w:fldChar w:fldCharType="separate"/>
            </w:r>
            <w:r>
              <w:rPr>
                <w:rFonts w:hint="eastAsia" w:ascii="楷体" w:hAnsi="楷体" w:eastAsia="楷体"/>
                <w:b/>
                <w:color w:val="000000" w:themeColor="text1"/>
                <w:highlight w:val="none"/>
                <w:u w:val="single"/>
              </w:rPr>
              <w:t>贰亿伍仟柒佰零柒万叁仟零柒拾陆</w:t>
            </w:r>
            <w:r>
              <w:rPr>
                <w:rFonts w:ascii="楷体" w:hAnsi="楷体" w:eastAsia="楷体"/>
                <w:b/>
                <w:color w:val="000000" w:themeColor="text1"/>
                <w:highlight w:val="none"/>
              </w:rPr>
              <w:fldChar w:fldCharType="end"/>
            </w:r>
            <w:r>
              <w:rPr>
                <w:rFonts w:hint="eastAsia" w:ascii="楷体" w:hAnsi="楷体" w:eastAsia="楷体"/>
                <w:b/>
                <w:color w:val="000000" w:themeColor="text1"/>
                <w:highlight w:val="none"/>
              </w:rPr>
              <w:t>元（</w:t>
            </w:r>
            <w:r>
              <w:rPr>
                <w:rFonts w:hint="eastAsia" w:ascii="宋体" w:hAnsi="宋体" w:cs="宋体"/>
                <w:b/>
                <w:color w:val="000000" w:themeColor="text1"/>
                <w:highlight w:val="none"/>
              </w:rPr>
              <w:t>¥</w:t>
            </w:r>
            <w:r>
              <w:rPr>
                <w:rFonts w:ascii="楷体" w:hAnsi="楷体" w:eastAsia="楷体"/>
                <w:b/>
                <w:color w:val="000000" w:themeColor="text1"/>
                <w:highlight w:val="none"/>
                <w:u w:val="single"/>
              </w:rPr>
              <w:t>257</w:t>
            </w:r>
            <w:r>
              <w:rPr>
                <w:rFonts w:hint="eastAsia" w:ascii="楷体" w:hAnsi="楷体" w:eastAsia="楷体"/>
                <w:b/>
                <w:color w:val="000000" w:themeColor="text1"/>
                <w:highlight w:val="none"/>
                <w:u w:val="single"/>
              </w:rPr>
              <w:t>,</w:t>
            </w:r>
            <w:r>
              <w:rPr>
                <w:rFonts w:ascii="楷体" w:hAnsi="楷体" w:eastAsia="楷体"/>
                <w:b/>
                <w:color w:val="000000" w:themeColor="text1"/>
                <w:highlight w:val="none"/>
                <w:u w:val="single"/>
              </w:rPr>
              <w:t>073</w:t>
            </w:r>
            <w:r>
              <w:rPr>
                <w:rFonts w:hint="eastAsia" w:ascii="楷体" w:hAnsi="楷体" w:eastAsia="楷体"/>
                <w:b/>
                <w:color w:val="000000" w:themeColor="text1"/>
                <w:highlight w:val="none"/>
                <w:u w:val="single"/>
              </w:rPr>
              <w:t>,</w:t>
            </w:r>
            <w:r>
              <w:rPr>
                <w:rFonts w:ascii="楷体" w:hAnsi="楷体" w:eastAsia="楷体"/>
                <w:b/>
                <w:color w:val="000000" w:themeColor="text1"/>
                <w:highlight w:val="none"/>
                <w:u w:val="single"/>
              </w:rPr>
              <w:t>076</w:t>
            </w:r>
            <w:r>
              <w:rPr>
                <w:rFonts w:ascii="楷体" w:hAnsi="楷体" w:eastAsia="楷体"/>
                <w:b/>
                <w:color w:val="000000" w:themeColor="text1"/>
                <w:highlight w:val="none"/>
              </w:rPr>
              <w:t>元</w:t>
            </w:r>
            <w:r>
              <w:rPr>
                <w:rFonts w:hint="eastAsia" w:ascii="楷体" w:hAnsi="楷体" w:eastAsia="楷体"/>
                <w:b/>
                <w:color w:val="000000" w:themeColor="text1"/>
                <w:highlight w:val="none"/>
              </w:rPr>
              <w:t>）（其中含暂列金额7</w:t>
            </w:r>
            <w:r>
              <w:rPr>
                <w:rFonts w:hint="eastAsia" w:ascii="楷体" w:hAnsi="楷体" w:eastAsia="楷体"/>
                <w:b/>
                <w:color w:val="000000" w:themeColor="text1"/>
                <w:highlight w:val="none"/>
                <w:lang w:val="en-US" w:eastAsia="zh-CN"/>
              </w:rPr>
              <w:t>,</w:t>
            </w:r>
            <w:r>
              <w:rPr>
                <w:rFonts w:hint="eastAsia" w:ascii="楷体" w:hAnsi="楷体" w:eastAsia="楷体"/>
                <w:b/>
                <w:color w:val="000000" w:themeColor="text1"/>
                <w:highlight w:val="none"/>
              </w:rPr>
              <w:t>712</w:t>
            </w:r>
            <w:r>
              <w:rPr>
                <w:rFonts w:hint="eastAsia" w:ascii="楷体" w:hAnsi="楷体" w:eastAsia="楷体"/>
                <w:b/>
                <w:color w:val="000000" w:themeColor="text1"/>
                <w:highlight w:val="none"/>
                <w:lang w:val="en-US" w:eastAsia="zh-CN"/>
              </w:rPr>
              <w:t>,</w:t>
            </w:r>
            <w:r>
              <w:rPr>
                <w:rFonts w:hint="eastAsia" w:ascii="楷体" w:hAnsi="楷体" w:eastAsia="楷体"/>
                <w:b/>
                <w:color w:val="000000" w:themeColor="text1"/>
                <w:highlight w:val="none"/>
              </w:rPr>
              <w:t>192</w:t>
            </w:r>
            <w:r>
              <w:rPr>
                <w:rFonts w:hint="eastAsia" w:ascii="楷体" w:hAnsi="楷体" w:eastAsia="楷体"/>
                <w:b/>
                <w:color w:val="000000" w:themeColor="text1"/>
                <w:highlight w:val="none"/>
                <w:lang w:val="en-US" w:eastAsia="zh-CN"/>
              </w:rPr>
              <w:t>元</w:t>
            </w:r>
            <w:r>
              <w:rPr>
                <w:rFonts w:hint="eastAsia" w:ascii="楷体" w:hAnsi="楷体" w:eastAsia="楷体"/>
                <w:b/>
                <w:color w:val="000000" w:themeColor="text1"/>
                <w:highlight w:val="none"/>
              </w:rPr>
              <w:t>）；</w:t>
            </w:r>
          </w:p>
          <w:p>
            <w:pPr>
              <w:adjustRightInd w:val="0"/>
              <w:snapToGrid w:val="0"/>
              <w:jc w:val="left"/>
              <w:rPr>
                <w:rFonts w:ascii="楷体" w:hAnsi="楷体" w:eastAsia="楷体"/>
                <w:b/>
                <w:color w:val="000000" w:themeColor="text1"/>
                <w:highlight w:val="none"/>
              </w:rPr>
            </w:pPr>
            <w:r>
              <w:rPr>
                <w:rFonts w:hint="eastAsia" w:ascii="楷体" w:hAnsi="楷体" w:eastAsia="楷体"/>
                <w:b/>
                <w:color w:val="000000" w:themeColor="text1"/>
                <w:highlight w:val="none"/>
              </w:rPr>
              <w:t>YA03标段：人民币</w:t>
            </w:r>
            <w:r>
              <w:rPr>
                <w:rFonts w:ascii="楷体" w:hAnsi="楷体" w:eastAsia="楷体"/>
                <w:b/>
                <w:color w:val="000000" w:themeColor="text1"/>
                <w:highlight w:val="none"/>
                <w:u w:val="single"/>
              </w:rPr>
              <w:fldChar w:fldCharType="begin"/>
            </w:r>
            <w:r>
              <w:rPr>
                <w:rFonts w:ascii="楷体" w:hAnsi="楷体" w:eastAsia="楷体"/>
                <w:b/>
                <w:color w:val="000000" w:themeColor="text1"/>
                <w:highlight w:val="none"/>
                <w:u w:val="single"/>
              </w:rPr>
              <w:instrText xml:space="preserve"> </w:instrText>
            </w:r>
            <w:r>
              <w:rPr>
                <w:rFonts w:hint="eastAsia" w:ascii="楷体" w:hAnsi="楷体" w:eastAsia="楷体"/>
                <w:b/>
                <w:color w:val="000000" w:themeColor="text1"/>
                <w:highlight w:val="none"/>
                <w:u w:val="single"/>
              </w:rPr>
              <w:instrText xml:space="preserve">= 123440020 \* CHINESENUM2</w:instrText>
            </w:r>
            <w:r>
              <w:rPr>
                <w:rFonts w:ascii="楷体" w:hAnsi="楷体" w:eastAsia="楷体"/>
                <w:b/>
                <w:color w:val="000000" w:themeColor="text1"/>
                <w:highlight w:val="none"/>
                <w:u w:val="single"/>
              </w:rPr>
              <w:instrText xml:space="preserve"> </w:instrText>
            </w:r>
            <w:r>
              <w:rPr>
                <w:rFonts w:ascii="楷体" w:hAnsi="楷体" w:eastAsia="楷体"/>
                <w:b/>
                <w:color w:val="000000" w:themeColor="text1"/>
                <w:highlight w:val="none"/>
                <w:u w:val="single"/>
              </w:rPr>
              <w:fldChar w:fldCharType="separate"/>
            </w:r>
            <w:r>
              <w:rPr>
                <w:rFonts w:hint="eastAsia" w:ascii="楷体" w:hAnsi="楷体" w:eastAsia="楷体"/>
                <w:b/>
                <w:color w:val="000000" w:themeColor="text1"/>
                <w:highlight w:val="none"/>
                <w:u w:val="single"/>
              </w:rPr>
              <w:t>壹亿贰仟叁佰肆拾肆万零贰拾</w:t>
            </w:r>
            <w:r>
              <w:rPr>
                <w:rFonts w:ascii="楷体" w:hAnsi="楷体" w:eastAsia="楷体"/>
                <w:b/>
                <w:color w:val="000000" w:themeColor="text1"/>
                <w:highlight w:val="none"/>
                <w:u w:val="single"/>
              </w:rPr>
              <w:fldChar w:fldCharType="end"/>
            </w:r>
            <w:r>
              <w:rPr>
                <w:rFonts w:hint="eastAsia" w:ascii="楷体" w:hAnsi="楷体" w:eastAsia="楷体"/>
                <w:b/>
                <w:color w:val="000000" w:themeColor="text1"/>
                <w:highlight w:val="none"/>
              </w:rPr>
              <w:t>元（</w:t>
            </w:r>
            <w:r>
              <w:rPr>
                <w:rFonts w:hint="eastAsia" w:ascii="宋体" w:hAnsi="宋体" w:cs="宋体"/>
                <w:b/>
                <w:color w:val="000000" w:themeColor="text1"/>
                <w:highlight w:val="none"/>
              </w:rPr>
              <w:t>¥</w:t>
            </w:r>
            <w:r>
              <w:rPr>
                <w:rFonts w:ascii="楷体" w:hAnsi="楷体" w:eastAsia="楷体"/>
                <w:b/>
                <w:color w:val="000000" w:themeColor="text1"/>
                <w:highlight w:val="none"/>
                <w:u w:val="single"/>
              </w:rPr>
              <w:t>123</w:t>
            </w:r>
            <w:r>
              <w:rPr>
                <w:rFonts w:hint="eastAsia" w:ascii="楷体" w:hAnsi="楷体" w:eastAsia="楷体"/>
                <w:b/>
                <w:color w:val="000000" w:themeColor="text1"/>
                <w:highlight w:val="none"/>
                <w:u w:val="single"/>
              </w:rPr>
              <w:t>,</w:t>
            </w:r>
            <w:r>
              <w:rPr>
                <w:rFonts w:ascii="楷体" w:hAnsi="楷体" w:eastAsia="楷体"/>
                <w:b/>
                <w:color w:val="000000" w:themeColor="text1"/>
                <w:highlight w:val="none"/>
                <w:u w:val="single"/>
              </w:rPr>
              <w:t>440</w:t>
            </w:r>
            <w:r>
              <w:rPr>
                <w:rFonts w:hint="eastAsia" w:ascii="楷体" w:hAnsi="楷体" w:eastAsia="楷体"/>
                <w:b/>
                <w:color w:val="000000" w:themeColor="text1"/>
                <w:highlight w:val="none"/>
                <w:u w:val="single"/>
              </w:rPr>
              <w:t>,</w:t>
            </w:r>
            <w:r>
              <w:rPr>
                <w:rFonts w:ascii="楷体" w:hAnsi="楷体" w:eastAsia="楷体"/>
                <w:b/>
                <w:color w:val="000000" w:themeColor="text1"/>
                <w:highlight w:val="none"/>
                <w:u w:val="single"/>
              </w:rPr>
              <w:t>020</w:t>
            </w:r>
            <w:r>
              <w:rPr>
                <w:rFonts w:ascii="楷体" w:hAnsi="楷体" w:eastAsia="楷体"/>
                <w:b/>
                <w:color w:val="000000" w:themeColor="text1"/>
                <w:highlight w:val="none"/>
              </w:rPr>
              <w:t>元</w:t>
            </w:r>
            <w:r>
              <w:rPr>
                <w:rFonts w:hint="eastAsia" w:ascii="楷体" w:hAnsi="楷体" w:eastAsia="楷体"/>
                <w:b/>
                <w:color w:val="000000" w:themeColor="text1"/>
                <w:highlight w:val="none"/>
              </w:rPr>
              <w:t>）（其中含暂列金额3</w:t>
            </w:r>
            <w:r>
              <w:rPr>
                <w:rFonts w:hint="eastAsia" w:ascii="楷体" w:hAnsi="楷体" w:eastAsia="楷体"/>
                <w:b/>
                <w:color w:val="000000" w:themeColor="text1"/>
                <w:highlight w:val="none"/>
                <w:lang w:val="en-US" w:eastAsia="zh-CN"/>
              </w:rPr>
              <w:t>,</w:t>
            </w:r>
            <w:r>
              <w:rPr>
                <w:rFonts w:hint="eastAsia" w:ascii="楷体" w:hAnsi="楷体" w:eastAsia="楷体"/>
                <w:b/>
                <w:color w:val="000000" w:themeColor="text1"/>
                <w:highlight w:val="none"/>
              </w:rPr>
              <w:t>703</w:t>
            </w:r>
            <w:r>
              <w:rPr>
                <w:rFonts w:hint="eastAsia" w:ascii="楷体" w:hAnsi="楷体" w:eastAsia="楷体"/>
                <w:b/>
                <w:color w:val="000000" w:themeColor="text1"/>
                <w:highlight w:val="none"/>
                <w:lang w:val="en-US" w:eastAsia="zh-CN"/>
              </w:rPr>
              <w:t>,</w:t>
            </w:r>
            <w:r>
              <w:rPr>
                <w:rFonts w:hint="eastAsia" w:ascii="楷体" w:hAnsi="楷体" w:eastAsia="楷体"/>
                <w:b/>
                <w:color w:val="000000" w:themeColor="text1"/>
                <w:highlight w:val="none"/>
              </w:rPr>
              <w:t>201</w:t>
            </w:r>
            <w:r>
              <w:rPr>
                <w:rFonts w:hint="eastAsia" w:ascii="楷体" w:hAnsi="楷体" w:eastAsia="楷体"/>
                <w:b/>
                <w:color w:val="000000" w:themeColor="text1"/>
                <w:highlight w:val="none"/>
                <w:lang w:val="en-US" w:eastAsia="zh-CN"/>
              </w:rPr>
              <w:t>元</w:t>
            </w:r>
            <w:r>
              <w:rPr>
                <w:rFonts w:hint="eastAsia" w:ascii="楷体" w:hAnsi="楷体" w:eastAsia="楷体"/>
                <w:b/>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3.2.9</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投标报价的</w:t>
            </w:r>
            <w:r>
              <w:rPr>
                <w:rFonts w:ascii="宋体" w:hAnsi="宋体"/>
                <w:color w:val="000000" w:themeColor="text1"/>
                <w:highlight w:val="none"/>
              </w:rPr>
              <w:br w:type="textWrapping"/>
            </w:r>
            <w:r>
              <w:rPr>
                <w:rFonts w:hint="eastAsia" w:ascii="宋体" w:hAnsi="宋体"/>
                <w:color w:val="000000" w:themeColor="text1"/>
                <w:highlight w:val="none"/>
              </w:rPr>
              <w:t>其他要求</w:t>
            </w:r>
          </w:p>
        </w:tc>
        <w:tc>
          <w:tcPr>
            <w:tcW w:w="6823" w:type="dxa"/>
            <w:tcBorders>
              <w:top w:val="single" w:color="auto" w:sz="4" w:space="0"/>
            </w:tcBorders>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3.3.1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投标有效期</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3.4.</w:t>
            </w:r>
            <w:r>
              <w:rPr>
                <w:rFonts w:hint="eastAsia" w:ascii="宋体" w:hAnsi="宋体"/>
                <w:color w:val="000000" w:themeColor="text1"/>
                <w:highlight w:val="none"/>
              </w:rPr>
              <w:t>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投标保证金</w:t>
            </w:r>
          </w:p>
        </w:tc>
        <w:tc>
          <w:tcPr>
            <w:tcW w:w="6823" w:type="dxa"/>
            <w:vAlign w:val="center"/>
          </w:tcPr>
          <w:p>
            <w:pPr>
              <w:adjustRightInd w:val="0"/>
              <w:snapToGrid w:val="0"/>
              <w:spacing w:line="320" w:lineRule="exact"/>
              <w:rPr>
                <w:rFonts w:ascii="宋体" w:hAnsi="宋体"/>
                <w:color w:val="000000" w:themeColor="text1"/>
                <w:szCs w:val="21"/>
                <w:highlight w:val="none"/>
              </w:rPr>
            </w:pPr>
            <w:r>
              <w:rPr>
                <w:rFonts w:hint="eastAsia" w:ascii="宋体" w:hAnsi="宋体"/>
                <w:color w:val="000000" w:themeColor="text1"/>
                <w:szCs w:val="21"/>
                <w:highlight w:val="none"/>
              </w:rPr>
              <w:t>是否要求投标人递交投标保证金：要求</w:t>
            </w:r>
          </w:p>
          <w:p>
            <w:pPr>
              <w:adjustRightInd w:val="0"/>
              <w:snapToGrid w:val="0"/>
              <w:spacing w:line="320" w:lineRule="exact"/>
              <w:rPr>
                <w:rFonts w:ascii="宋体" w:hAnsi="宋体"/>
                <w:color w:val="000000" w:themeColor="text1"/>
                <w:szCs w:val="21"/>
                <w:highlight w:val="none"/>
              </w:rPr>
            </w:pPr>
            <w:r>
              <w:rPr>
                <w:rFonts w:hint="eastAsia" w:ascii="宋体" w:hAnsi="宋体"/>
                <w:color w:val="000000" w:themeColor="text1"/>
                <w:szCs w:val="21"/>
                <w:highlight w:val="none"/>
              </w:rPr>
              <w:t>投标保证金的金额：80万元。</w:t>
            </w:r>
          </w:p>
          <w:p>
            <w:pPr>
              <w:adjustRightInd w:val="0"/>
              <w:snapToGrid w:val="0"/>
              <w:spacing w:line="300" w:lineRule="exact"/>
              <w:ind w:firstLine="210" w:firstLineChars="100"/>
              <w:rPr>
                <w:rFonts w:ascii="宋体" w:hAnsi="宋体"/>
                <w:color w:val="000000" w:themeColor="text1"/>
                <w:szCs w:val="21"/>
                <w:highlight w:val="none"/>
              </w:rPr>
            </w:pPr>
            <w:r>
              <w:rPr>
                <w:rFonts w:hint="eastAsia" w:ascii="宋体" w:hAnsi="宋体"/>
                <w:color w:val="000000" w:themeColor="text1"/>
                <w:highlight w:val="none"/>
              </w:rPr>
              <w:t>（</w:t>
            </w:r>
            <w:r>
              <w:rPr>
                <w:rFonts w:ascii="宋体" w:hAnsi="宋体"/>
                <w:color w:val="000000" w:themeColor="text1"/>
                <w:highlight w:val="none"/>
              </w:rPr>
              <w:t>1</w:t>
            </w:r>
            <w:r>
              <w:rPr>
                <w:rFonts w:hint="eastAsia" w:ascii="宋体" w:hAnsi="宋体"/>
                <w:color w:val="000000" w:themeColor="text1"/>
                <w:highlight w:val="none"/>
              </w:rPr>
              <w:t>）若采用银行保函，出具保函的银行级别：</w:t>
            </w:r>
            <w:r>
              <w:rPr>
                <w:rFonts w:ascii="宋体" w:hAnsi="宋体"/>
                <w:color w:val="000000" w:themeColor="text1"/>
                <w:highlight w:val="none"/>
              </w:rPr>
              <w:t>应由</w:t>
            </w:r>
            <w:r>
              <w:rPr>
                <w:rFonts w:hint="eastAsia" w:ascii="宋体" w:hAnsi="宋体"/>
                <w:color w:val="000000" w:themeColor="text1"/>
                <w:highlight w:val="none"/>
              </w:rPr>
              <w:t>“工商银行、农业银行、中国银行、建设银行、交通银行”五大国有商业银行之一或全国性股份制商业银行</w:t>
            </w:r>
            <w:r>
              <w:rPr>
                <w:rFonts w:ascii="宋体" w:hAnsi="宋体"/>
                <w:color w:val="000000" w:themeColor="text1"/>
                <w:highlight w:val="none"/>
              </w:rPr>
              <w:t>开具，</w:t>
            </w:r>
            <w:r>
              <w:rPr>
                <w:rFonts w:hint="eastAsia" w:ascii="宋体" w:hAnsi="宋体"/>
                <w:color w:val="000000" w:themeColor="text1"/>
                <w:highlight w:val="none"/>
              </w:rPr>
              <w:t>银行应为地市级分、支行或以上级别。</w:t>
            </w:r>
            <w:r>
              <w:rPr>
                <w:rFonts w:ascii="宋体" w:hAnsi="宋体"/>
                <w:color w:val="000000" w:themeColor="text1"/>
                <w:szCs w:val="21"/>
                <w:highlight w:val="none"/>
              </w:rPr>
              <w:t>银行保函复印件装订在投标文件内。</w:t>
            </w:r>
            <w:r>
              <w:rPr>
                <w:rFonts w:hint="eastAsia" w:ascii="宋体" w:hAnsi="宋体"/>
                <w:color w:val="000000" w:themeColor="text1"/>
                <w:szCs w:val="21"/>
                <w:highlight w:val="none"/>
              </w:rPr>
              <w:t>原件单独密封在投标保函原件封套中，随同投标文件一起（在递交投标文件截止之前）递交给招标代理机构。</w:t>
            </w:r>
          </w:p>
          <w:p>
            <w:pPr>
              <w:spacing w:line="288" w:lineRule="auto"/>
              <w:rPr>
                <w:rFonts w:ascii="宋体" w:hAnsi="宋体"/>
                <w:color w:val="000000" w:themeColor="text1"/>
                <w:highlight w:val="none"/>
              </w:rPr>
            </w:pPr>
          </w:p>
          <w:p>
            <w:pPr>
              <w:spacing w:line="288" w:lineRule="auto"/>
              <w:rPr>
                <w:rFonts w:ascii="宋体" w:hAnsi="宋体"/>
                <w:color w:val="000000" w:themeColor="text1"/>
                <w:highlight w:val="none"/>
              </w:rPr>
            </w:pPr>
            <w:r>
              <w:rPr>
                <w:rFonts w:hint="eastAsia" w:ascii="宋体" w:hAnsi="宋体"/>
                <w:color w:val="000000" w:themeColor="text1"/>
                <w:highlight w:val="none"/>
              </w:rPr>
              <w:t>（2）若采用现金或支票或汇票形式，投标人应在投标截止时间前，将投标保证金由投标人的基本账户一次性汇入并到达招标人指定账户，否则视为投标保证金无效。</w:t>
            </w:r>
          </w:p>
          <w:p>
            <w:pPr>
              <w:spacing w:line="288" w:lineRule="auto"/>
              <w:rPr>
                <w:rFonts w:ascii="宋体" w:hAnsi="宋体"/>
                <w:color w:val="000000" w:themeColor="text1"/>
                <w:highlight w:val="none"/>
              </w:rPr>
            </w:pPr>
            <w:r>
              <w:rPr>
                <w:rFonts w:hint="eastAsia" w:ascii="宋体" w:hAnsi="宋体"/>
                <w:color w:val="000000" w:themeColor="text1"/>
                <w:highlight w:val="none"/>
              </w:rPr>
              <w:t>招标人指定的银行及账号如下：</w:t>
            </w:r>
          </w:p>
          <w:p>
            <w:pPr>
              <w:spacing w:line="288" w:lineRule="auto"/>
              <w:rPr>
                <w:rFonts w:ascii="宋体" w:hAnsi="宋体"/>
                <w:color w:val="000000" w:themeColor="text1"/>
                <w:highlight w:val="none"/>
              </w:rPr>
            </w:pPr>
            <w:r>
              <w:rPr>
                <w:rFonts w:hint="eastAsia" w:ascii="宋体" w:hAnsi="宋体"/>
                <w:color w:val="000000" w:themeColor="text1"/>
                <w:highlight w:val="none"/>
              </w:rPr>
              <w:t>开户银行：中国邮政储蓄银行延吉市公园路支行</w:t>
            </w:r>
          </w:p>
          <w:p>
            <w:pPr>
              <w:spacing w:line="288" w:lineRule="auto"/>
              <w:rPr>
                <w:color w:val="000000" w:themeColor="text1"/>
                <w:highlight w:val="none"/>
              </w:rPr>
            </w:pPr>
            <w:r>
              <w:rPr>
                <w:rFonts w:hint="eastAsia" w:ascii="宋体" w:hAnsi="宋体"/>
                <w:color w:val="000000" w:themeColor="text1"/>
                <w:highlight w:val="none"/>
              </w:rPr>
              <w:t>账户名称：延边珲乌公路改建项目建设办公室</w:t>
            </w:r>
          </w:p>
          <w:p>
            <w:pPr>
              <w:spacing w:line="288" w:lineRule="auto"/>
              <w:rPr>
                <w:rFonts w:ascii="宋体" w:hAnsi="宋体"/>
                <w:color w:val="000000" w:themeColor="text1"/>
                <w:szCs w:val="21"/>
                <w:highlight w:val="none"/>
              </w:rPr>
            </w:pPr>
            <w:r>
              <w:rPr>
                <w:rFonts w:hint="eastAsia"/>
                <w:color w:val="000000" w:themeColor="text1"/>
                <w:highlight w:val="none"/>
              </w:rPr>
              <w:t>账    号：100718894520010001</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联 系 人：程昭钦</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联系电话：0433-3135706</w:t>
            </w:r>
          </w:p>
          <w:p>
            <w:pPr>
              <w:adjustRightInd w:val="0"/>
              <w:snapToGrid w:val="0"/>
              <w:spacing w:beforeLines="50" w:afterLines="50"/>
              <w:ind w:firstLine="420" w:firstLineChars="200"/>
              <w:rPr>
                <w:rFonts w:ascii="宋体" w:hAnsi="宋体"/>
                <w:color w:val="000000" w:themeColor="text1"/>
                <w:kern w:val="0"/>
                <w:szCs w:val="18"/>
                <w:highlight w:val="none"/>
                <w:lang w:val="zh-CN"/>
              </w:rPr>
            </w:pPr>
            <w:r>
              <w:rPr>
                <w:rFonts w:hint="eastAsia" w:ascii="宋体" w:hAnsi="宋体"/>
                <w:color w:val="000000" w:themeColor="text1"/>
                <w:szCs w:val="21"/>
                <w:highlight w:val="none"/>
              </w:rPr>
              <w:t>银行转账业务备注栏填写：延吉安图施工招标XX标段投标保证金。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3.4.</w:t>
            </w:r>
            <w:r>
              <w:rPr>
                <w:rFonts w:hint="eastAsia" w:ascii="宋体" w:hAnsi="宋体"/>
                <w:color w:val="000000" w:themeColor="text1"/>
                <w:highlight w:val="none"/>
              </w:rPr>
              <w:t>3</w:t>
            </w:r>
          </w:p>
        </w:tc>
        <w:tc>
          <w:tcPr>
            <w:tcW w:w="1975"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投标保证金</w:t>
            </w:r>
          </w:p>
          <w:p>
            <w:pPr>
              <w:jc w:val="center"/>
              <w:rPr>
                <w:rFonts w:ascii="宋体" w:hAnsi="宋体"/>
                <w:color w:val="000000" w:themeColor="text1"/>
                <w:highlight w:val="none"/>
              </w:rPr>
            </w:pPr>
            <w:r>
              <w:rPr>
                <w:rFonts w:ascii="宋体" w:hAnsi="宋体"/>
                <w:color w:val="000000" w:themeColor="text1"/>
                <w:highlight w:val="none"/>
              </w:rPr>
              <w:t>的利息计算</w:t>
            </w:r>
          </w:p>
          <w:p>
            <w:pPr>
              <w:jc w:val="center"/>
              <w:rPr>
                <w:rFonts w:ascii="宋体" w:hAnsi="宋体"/>
                <w:color w:val="000000" w:themeColor="text1"/>
                <w:highlight w:val="none"/>
              </w:rPr>
            </w:pPr>
            <w:r>
              <w:rPr>
                <w:rFonts w:ascii="宋体" w:hAnsi="宋体"/>
                <w:color w:val="000000" w:themeColor="text1"/>
                <w:highlight w:val="none"/>
              </w:rPr>
              <w:t>原则</w:t>
            </w:r>
          </w:p>
        </w:tc>
        <w:tc>
          <w:tcPr>
            <w:tcW w:w="6823" w:type="dxa"/>
            <w:vAlign w:val="bottom"/>
          </w:tcPr>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（1）</w:t>
            </w:r>
            <w:r>
              <w:rPr>
                <w:rFonts w:ascii="宋体" w:hAnsi="宋体"/>
                <w:color w:val="000000" w:themeColor="text1"/>
                <w:szCs w:val="21"/>
                <w:highlight w:val="none"/>
              </w:rPr>
              <w:t>计算利息的起始日期为投标截止当日，终止日期为招标人退还投标保证金日期的前一日；</w:t>
            </w:r>
          </w:p>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（2）</w:t>
            </w:r>
            <w:r>
              <w:rPr>
                <w:rFonts w:ascii="宋体" w:hAnsi="宋体"/>
                <w:color w:val="000000" w:themeColor="text1"/>
                <w:szCs w:val="21"/>
                <w:highlight w:val="none"/>
              </w:rPr>
              <w:t>投标保证金的利息按照第（1)款所述计息时间段内招标人指定汇入银行公告的活期存款利率计付，并扣除招标人汇款手续费；</w:t>
            </w:r>
          </w:p>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（3）</w:t>
            </w:r>
            <w:r>
              <w:rPr>
                <w:rFonts w:ascii="宋体" w:hAnsi="宋体"/>
                <w:color w:val="000000" w:themeColor="text1"/>
                <w:szCs w:val="21"/>
                <w:highlight w:val="none"/>
              </w:rPr>
              <w:t>利息金额计算至分位，分以下尾数四舍五入。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Merge w:val="continue"/>
            <w:vAlign w:val="center"/>
          </w:tcPr>
          <w:p>
            <w:pPr>
              <w:jc w:val="center"/>
              <w:rPr>
                <w:rFonts w:ascii="宋体" w:hAnsi="宋体"/>
                <w:color w:val="000000" w:themeColor="text1"/>
                <w:highlight w:val="none"/>
              </w:rPr>
            </w:pPr>
          </w:p>
        </w:tc>
        <w:tc>
          <w:tcPr>
            <w:tcW w:w="1975" w:type="dxa"/>
            <w:vMerge w:val="continue"/>
            <w:vAlign w:val="center"/>
          </w:tcPr>
          <w:p>
            <w:pPr>
              <w:jc w:val="center"/>
              <w:rPr>
                <w:rFonts w:ascii="宋体" w:hAnsi="宋体"/>
                <w:color w:val="000000" w:themeColor="text1"/>
                <w:highlight w:val="none"/>
              </w:rPr>
            </w:pPr>
          </w:p>
        </w:tc>
        <w:tc>
          <w:tcPr>
            <w:tcW w:w="6823" w:type="dxa"/>
            <w:vAlign w:val="center"/>
          </w:tcPr>
          <w:p>
            <w:pPr>
              <w:ind w:left="113" w:right="113"/>
              <w:rPr>
                <w:rFonts w:ascii="宋体" w:hAnsi="宋体"/>
                <w:color w:val="000000" w:themeColor="text1"/>
                <w:szCs w:val="21"/>
                <w:highlight w:val="none"/>
              </w:rPr>
            </w:pPr>
            <w:r>
              <w:rPr>
                <w:rFonts w:hint="eastAsia" w:ascii="宋体" w:hAnsi="宋体"/>
                <w:color w:val="000000" w:themeColor="text1"/>
                <w:szCs w:val="21"/>
                <w:highlight w:val="none"/>
              </w:rPr>
              <w:t>投标人应及时向招标人提交退还投标保证金的有关资料：</w:t>
            </w:r>
          </w:p>
          <w:p>
            <w:pPr>
              <w:ind w:left="113" w:right="113"/>
              <w:rPr>
                <w:rFonts w:ascii="宋体" w:hAnsi="宋体"/>
                <w:color w:val="000000" w:themeColor="text1"/>
                <w:szCs w:val="21"/>
                <w:highlight w:val="none"/>
              </w:rPr>
            </w:pPr>
            <w:r>
              <w:rPr>
                <w:rFonts w:hint="eastAsia" w:ascii="宋体" w:hAnsi="宋体"/>
                <w:color w:val="000000" w:themeColor="text1"/>
                <w:szCs w:val="21"/>
                <w:highlight w:val="none"/>
              </w:rPr>
              <w:t>（1）基本账户开户证明（指基本账户开户许可证或其他有效的基本账户开户证明）复印件（清晰可辨）；</w:t>
            </w:r>
          </w:p>
          <w:p>
            <w:pPr>
              <w:ind w:left="113" w:right="113"/>
              <w:rPr>
                <w:rFonts w:ascii="宋体" w:hAnsi="宋体"/>
                <w:color w:val="000000" w:themeColor="text1"/>
                <w:szCs w:val="21"/>
                <w:highlight w:val="none"/>
              </w:rPr>
            </w:pPr>
            <w:r>
              <w:rPr>
                <w:rFonts w:hint="eastAsia" w:ascii="宋体" w:hAnsi="宋体"/>
                <w:color w:val="000000" w:themeColor="text1"/>
                <w:szCs w:val="21"/>
                <w:highlight w:val="none"/>
              </w:rPr>
              <w:t>（2）给招标人开具的财务收据原件；</w:t>
            </w:r>
          </w:p>
          <w:p>
            <w:pPr>
              <w:adjustRightInd w:val="0"/>
              <w:snapToGrid w:val="0"/>
              <w:ind w:firstLine="105" w:firstLineChars="50"/>
              <w:rPr>
                <w:rFonts w:ascii="宋体" w:hAnsi="宋体"/>
                <w:color w:val="000000" w:themeColor="text1"/>
                <w:szCs w:val="21"/>
                <w:highlight w:val="none"/>
              </w:rPr>
            </w:pPr>
            <w:r>
              <w:rPr>
                <w:rFonts w:hint="eastAsia" w:ascii="宋体" w:hAnsi="宋体"/>
                <w:color w:val="000000" w:themeColor="text1"/>
                <w:szCs w:val="21"/>
                <w:highlight w:val="none"/>
              </w:rPr>
              <w:t>（3）提供办理人联系方式。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3.4.4</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其他可以不予退还</w:t>
            </w:r>
            <w:r>
              <w:rPr>
                <w:rFonts w:ascii="宋体" w:hAnsi="宋体"/>
                <w:color w:val="000000" w:themeColor="text1"/>
                <w:highlight w:val="none"/>
              </w:rPr>
              <w:br w:type="textWrapping"/>
            </w:r>
            <w:r>
              <w:rPr>
                <w:rFonts w:hint="eastAsia" w:ascii="宋体" w:hAnsi="宋体"/>
                <w:color w:val="000000" w:themeColor="text1"/>
                <w:highlight w:val="none"/>
              </w:rPr>
              <w:t>投标保证金情形</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3.5</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资格审查资料的</w:t>
            </w:r>
          </w:p>
          <w:p>
            <w:pPr>
              <w:jc w:val="center"/>
              <w:rPr>
                <w:rFonts w:ascii="宋体" w:hAnsi="宋体"/>
                <w:color w:val="000000" w:themeColor="text1"/>
                <w:highlight w:val="none"/>
              </w:rPr>
            </w:pPr>
            <w:r>
              <w:rPr>
                <w:rFonts w:hint="eastAsia" w:ascii="宋体" w:hAnsi="宋体"/>
                <w:color w:val="000000" w:themeColor="text1"/>
                <w:highlight w:val="none"/>
              </w:rPr>
              <w:t>特殊要求</w:t>
            </w:r>
          </w:p>
        </w:tc>
        <w:tc>
          <w:tcPr>
            <w:tcW w:w="6823" w:type="dxa"/>
            <w:vAlign w:val="center"/>
          </w:tcPr>
          <w:p>
            <w:pPr>
              <w:tabs>
                <w:tab w:val="left" w:pos="620"/>
              </w:tabs>
              <w:autoSpaceDE w:val="0"/>
              <w:autoSpaceDN w:val="0"/>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keepLines/>
              <w:autoSpaceDE w:val="0"/>
              <w:autoSpaceDN w:val="0"/>
              <w:adjustRightInd w:val="0"/>
              <w:snapToGrid w:val="0"/>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3</w:t>
            </w:r>
            <w:r>
              <w:rPr>
                <w:rFonts w:ascii="宋体" w:hAnsi="宋体"/>
                <w:color w:val="000000" w:themeColor="text1"/>
                <w:szCs w:val="21"/>
                <w:highlight w:val="none"/>
              </w:rPr>
              <w:t>.5.1</w:t>
            </w:r>
          </w:p>
        </w:tc>
        <w:tc>
          <w:tcPr>
            <w:tcW w:w="1975" w:type="dxa"/>
            <w:vAlign w:val="center"/>
          </w:tcPr>
          <w:p>
            <w:pPr>
              <w:keepLines/>
              <w:autoSpaceDE w:val="0"/>
              <w:autoSpaceDN w:val="0"/>
              <w:adjustRightInd w:val="0"/>
              <w:snapToGrid w:val="0"/>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投标人基本情况表</w:t>
            </w:r>
          </w:p>
        </w:tc>
        <w:tc>
          <w:tcPr>
            <w:tcW w:w="6823" w:type="dxa"/>
            <w:vAlign w:val="center"/>
          </w:tcPr>
          <w:p>
            <w:pPr>
              <w:keepLines/>
              <w:autoSpaceDE w:val="0"/>
              <w:autoSpaceDN w:val="0"/>
              <w:adjustRightInd w:val="0"/>
              <w:snapToGrid w:val="0"/>
              <w:spacing w:line="360" w:lineRule="exact"/>
              <w:rPr>
                <w:rFonts w:ascii="楷体" w:hAnsi="楷体" w:eastAsia="楷体"/>
                <w:color w:val="000000" w:themeColor="text1"/>
                <w:kern w:val="0"/>
                <w:szCs w:val="21"/>
                <w:highlight w:val="none"/>
              </w:rPr>
            </w:pPr>
            <w:r>
              <w:rPr>
                <w:rFonts w:ascii="楷体" w:hAnsi="楷体" w:eastAsia="楷体"/>
                <w:color w:val="000000" w:themeColor="text1"/>
                <w:kern w:val="0"/>
                <w:szCs w:val="21"/>
                <w:highlight w:val="none"/>
              </w:rPr>
              <w:t>本</w:t>
            </w:r>
            <w:r>
              <w:rPr>
                <w:rFonts w:hint="eastAsia" w:ascii="楷体" w:hAnsi="楷体" w:eastAsia="楷体"/>
                <w:color w:val="000000" w:themeColor="text1"/>
                <w:kern w:val="0"/>
                <w:szCs w:val="21"/>
                <w:highlight w:val="none"/>
              </w:rPr>
              <w:t>项</w:t>
            </w:r>
            <w:r>
              <w:rPr>
                <w:rFonts w:ascii="楷体" w:hAnsi="楷体" w:eastAsia="楷体"/>
                <w:color w:val="000000" w:themeColor="text1"/>
                <w:kern w:val="0"/>
                <w:szCs w:val="21"/>
                <w:highlight w:val="none"/>
              </w:rPr>
              <w:t>内容</w:t>
            </w:r>
            <w:r>
              <w:rPr>
                <w:rFonts w:hint="eastAsia" w:ascii="楷体" w:hAnsi="楷体" w:eastAsia="楷体"/>
                <w:color w:val="000000" w:themeColor="text1"/>
                <w:kern w:val="0"/>
                <w:szCs w:val="21"/>
                <w:highlight w:val="none"/>
              </w:rPr>
              <w:t>修改为</w:t>
            </w:r>
            <w:r>
              <w:rPr>
                <w:rFonts w:ascii="楷体" w:hAnsi="楷体" w:eastAsia="楷体"/>
                <w:color w:val="000000" w:themeColor="text1"/>
                <w:kern w:val="0"/>
                <w:szCs w:val="21"/>
                <w:highlight w:val="none"/>
              </w:rPr>
              <w:t>：</w:t>
            </w:r>
          </w:p>
          <w:p>
            <w:pPr>
              <w:keepLines/>
              <w:snapToGrid w:val="0"/>
              <w:spacing w:beforeLines="15" w:afterLines="15" w:line="36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3.5.1 “投标人基本情况表”应附</w:t>
            </w:r>
            <w:r>
              <w:rPr>
                <w:rFonts w:hint="eastAsia" w:ascii="楷体" w:hAnsi="楷体" w:eastAsia="楷体"/>
                <w:color w:val="000000" w:themeColor="text1"/>
                <w:szCs w:val="21"/>
                <w:highlight w:val="none"/>
              </w:rPr>
              <w:t>企业法人营业执照副本、施工资质证书副本或电子证书、安全生产许可证副本或电子证书、基本账户开户许可证（或基本账户开户银行开具证明）</w:t>
            </w:r>
            <w:r>
              <w:rPr>
                <w:rFonts w:hint="eastAsia" w:ascii="宋体" w:hAnsi="宋体"/>
                <w:color w:val="000000" w:themeColor="text1"/>
                <w:szCs w:val="21"/>
                <w:highlight w:val="none"/>
              </w:rPr>
              <w:t>的复印件，投标人在交通运输部“全国公路建设市场信用信息管理系统”公路工程施工资质企业名录中的网页截图复印件（仅指公路工程施工总承包一级或特级资质的投标人），</w:t>
            </w:r>
            <w:r>
              <w:rPr>
                <w:rFonts w:hint="eastAsia" w:ascii="楷体" w:hAnsi="楷体" w:eastAsia="楷体"/>
                <w:color w:val="000000" w:themeColor="text1"/>
                <w:szCs w:val="21"/>
                <w:highlight w:val="none"/>
              </w:rPr>
              <w:t>以及投标人在国家企业信用信息公示系统中基础信息（体现股东及出资详细信息）的网页截图复印件</w:t>
            </w:r>
            <w:r>
              <w:rPr>
                <w:rFonts w:hint="eastAsia" w:ascii="宋体" w:hAnsi="宋体"/>
                <w:color w:val="000000" w:themeColor="text1"/>
                <w:szCs w:val="21"/>
                <w:highlight w:val="none"/>
              </w:rPr>
              <w:t>。</w:t>
            </w:r>
          </w:p>
          <w:p>
            <w:pPr>
              <w:keepLines/>
              <w:snapToGrid w:val="0"/>
              <w:spacing w:beforeLines="15" w:afterLines="15" w:line="36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企业法人营业执照副本、施工资质证书副本、安全生产许可证副本、基本账户开户许可证的复印件应提供全本（证书封面、封底、空白页除外），应包括投标人名称、投标人其他相关信息、颁发机构名称、投标人信息变更情况等关键页在内，并逐页加盖投标人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3.5.2</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近年财务状况的</w:t>
            </w:r>
            <w:r>
              <w:rPr>
                <w:rFonts w:hint="eastAsia" w:ascii="宋体" w:hAnsi="宋体"/>
                <w:color w:val="000000" w:themeColor="text1"/>
                <w:highlight w:val="none"/>
              </w:rPr>
              <w:br w:type="textWrapping"/>
            </w:r>
            <w:r>
              <w:rPr>
                <w:rFonts w:ascii="宋体" w:hAnsi="宋体"/>
                <w:color w:val="000000" w:themeColor="text1"/>
                <w:highlight w:val="none"/>
              </w:rPr>
              <w:t>年份要求</w:t>
            </w:r>
          </w:p>
        </w:tc>
        <w:tc>
          <w:tcPr>
            <w:tcW w:w="6823" w:type="dxa"/>
            <w:vAlign w:val="center"/>
          </w:tcPr>
          <w:p>
            <w:pPr>
              <w:autoSpaceDE w:val="0"/>
              <w:autoSpaceDN w:val="0"/>
              <w:adjustRightInd w:val="0"/>
              <w:snapToGrid w:val="0"/>
              <w:rPr>
                <w:rFonts w:ascii="宋体" w:hAnsi="宋体"/>
                <w:color w:val="000000" w:themeColor="text1"/>
                <w:szCs w:val="21"/>
                <w:highlight w:val="none"/>
              </w:rPr>
            </w:pPr>
            <w:r>
              <w:rPr>
                <w:rFonts w:ascii="宋体" w:hAnsi="宋体"/>
                <w:color w:val="000000" w:themeColor="text1"/>
                <w:kern w:val="0"/>
                <w:szCs w:val="21"/>
                <w:highlight w:val="none"/>
                <w:lang w:val="zh-CN"/>
              </w:rPr>
              <w:t>201</w:t>
            </w:r>
            <w:r>
              <w:rPr>
                <w:rFonts w:hint="eastAsia" w:ascii="宋体" w:hAnsi="宋体"/>
                <w:color w:val="000000" w:themeColor="text1"/>
                <w:kern w:val="0"/>
                <w:szCs w:val="21"/>
                <w:highlight w:val="none"/>
                <w:lang w:val="zh-CN"/>
              </w:rPr>
              <w:t>9</w:t>
            </w:r>
            <w:r>
              <w:rPr>
                <w:rFonts w:ascii="宋体" w:hAnsi="宋体"/>
                <w:color w:val="000000" w:themeColor="text1"/>
                <w:kern w:val="0"/>
                <w:szCs w:val="21"/>
                <w:highlight w:val="none"/>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3.5.3</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近年完成的类似项目</w:t>
            </w:r>
            <w:r>
              <w:rPr>
                <w:rFonts w:hint="eastAsia" w:ascii="宋体" w:hAnsi="宋体"/>
                <w:color w:val="000000" w:themeColor="text1"/>
                <w:highlight w:val="none"/>
              </w:rPr>
              <w:br w:type="textWrapping"/>
            </w:r>
            <w:r>
              <w:rPr>
                <w:rFonts w:hint="eastAsia" w:ascii="宋体" w:hAnsi="宋体"/>
                <w:color w:val="000000" w:themeColor="text1"/>
                <w:highlight w:val="none"/>
              </w:rPr>
              <w:t>情况的时间要求</w:t>
            </w:r>
          </w:p>
        </w:tc>
        <w:tc>
          <w:tcPr>
            <w:tcW w:w="6823" w:type="dxa"/>
            <w:vAlign w:val="center"/>
          </w:tcPr>
          <w:p>
            <w:pPr>
              <w:ind w:right="113"/>
              <w:jc w:val="left"/>
              <w:rPr>
                <w:rFonts w:ascii="宋体" w:hAnsi="宋体" w:cs="黑体"/>
                <w:color w:val="000000" w:themeColor="text1"/>
                <w:szCs w:val="21"/>
                <w:highlight w:val="none"/>
              </w:rPr>
            </w:pPr>
            <w:r>
              <w:rPr>
                <w:rFonts w:hint="eastAsia" w:ascii="宋体" w:hAnsi="宋体" w:cs="黑体"/>
                <w:color w:val="000000" w:themeColor="text1"/>
                <w:szCs w:val="21"/>
                <w:highlight w:val="none"/>
              </w:rPr>
              <w:t>2015年1月1日后（以交工时间为准）</w:t>
            </w:r>
          </w:p>
          <w:p>
            <w:pPr>
              <w:spacing w:line="240" w:lineRule="exact"/>
              <w:rPr>
                <w:rFonts w:ascii="宋体" w:hAnsi="宋体"/>
                <w:color w:val="000000" w:themeColor="text1"/>
                <w:kern w:val="0"/>
                <w:szCs w:val="21"/>
                <w:highlight w:val="none"/>
              </w:rPr>
            </w:pPr>
            <w:r>
              <w:rPr>
                <w:rFonts w:hint="eastAsia" w:ascii="楷体" w:hAnsi="楷体" w:eastAsia="楷体"/>
                <w:color w:val="000000" w:themeColor="text1"/>
                <w:szCs w:val="21"/>
                <w:highlight w:val="none"/>
              </w:rPr>
              <w:t>注：业绩要求的路基、路面、桥梁、隧道的施工业绩应为国内新建或改扩建公路施工业绩，且应是已列入交通运输主管部门“公路建设市场信用信息管理系统”并公开的主包已建业绩或分包已建业绩。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2"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3.5.4</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投标人的信誉情况</w:t>
            </w:r>
          </w:p>
        </w:tc>
        <w:tc>
          <w:tcPr>
            <w:tcW w:w="6823" w:type="dxa"/>
            <w:vAlign w:val="center"/>
          </w:tcPr>
          <w:p>
            <w:pPr>
              <w:adjustRightInd w:val="0"/>
              <w:snapToGrid w:val="0"/>
              <w:rPr>
                <w:rFonts w:ascii="楷体" w:hAnsi="楷体" w:eastAsia="楷体"/>
                <w:color w:val="000000" w:themeColor="text1"/>
                <w:kern w:val="0"/>
                <w:szCs w:val="21"/>
                <w:highlight w:val="none"/>
              </w:rPr>
            </w:pPr>
            <w:r>
              <w:rPr>
                <w:rFonts w:hint="eastAsia" w:ascii="楷体" w:hAnsi="楷体" w:eastAsia="楷体"/>
                <w:color w:val="000000" w:themeColor="text1"/>
                <w:kern w:val="0"/>
                <w:szCs w:val="21"/>
                <w:highlight w:val="none"/>
              </w:rPr>
              <w:t>本项内容修改为：</w:t>
            </w:r>
          </w:p>
          <w:p>
            <w:pPr>
              <w:adjustRightInd w:val="0"/>
              <w:snapToGrid w:val="0"/>
              <w:ind w:firstLine="420" w:firstLineChars="200"/>
              <w:rPr>
                <w:rFonts w:ascii="楷体" w:hAnsi="楷体" w:eastAsia="楷体"/>
                <w:color w:val="000000" w:themeColor="text1"/>
                <w:szCs w:val="21"/>
                <w:highlight w:val="none"/>
              </w:rPr>
            </w:pPr>
            <w:r>
              <w:rPr>
                <w:rFonts w:hint="eastAsia" w:ascii="宋体" w:hAnsi="宋体"/>
                <w:color w:val="000000" w:themeColor="text1"/>
                <w:kern w:val="0"/>
                <w:szCs w:val="21"/>
                <w:highlight w:val="none"/>
              </w:rPr>
              <w:t>3.5.4 “投标人的信誉情况表”应附投标人在国家企业信用信息公示系统中是否被列入严重违法失信企业名单、在“信用中国”网站中是否被列入失信被执行人名单的网页截图复印件，</w:t>
            </w:r>
            <w:r>
              <w:rPr>
                <w:rFonts w:hint="eastAsia" w:ascii="宋体" w:hAnsi="宋体"/>
                <w:color w:val="000000" w:themeColor="text1"/>
                <w:szCs w:val="21"/>
                <w:highlight w:val="none"/>
              </w:rPr>
              <w:t>以及由投标人出具的近三年内投标人及其法定代表人、拟委任的项目经理均无行贿犯罪行为的书面承诺原件。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keepLines/>
              <w:adjustRightInd w:val="0"/>
              <w:snapToGrid w:val="0"/>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3</w:t>
            </w:r>
            <w:r>
              <w:rPr>
                <w:rFonts w:ascii="宋体" w:hAnsi="宋体"/>
                <w:color w:val="000000" w:themeColor="text1"/>
                <w:szCs w:val="21"/>
                <w:highlight w:val="none"/>
              </w:rPr>
              <w:t>.5.5</w:t>
            </w:r>
          </w:p>
        </w:tc>
        <w:tc>
          <w:tcPr>
            <w:tcW w:w="1975" w:type="dxa"/>
            <w:vAlign w:val="center"/>
          </w:tcPr>
          <w:p>
            <w:pPr>
              <w:keepLines/>
              <w:adjustRightInd w:val="0"/>
              <w:snapToGrid w:val="0"/>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拟委任的项目经理</w:t>
            </w:r>
            <w:r>
              <w:rPr>
                <w:rFonts w:ascii="宋体" w:hAnsi="宋体"/>
                <w:color w:val="000000" w:themeColor="text1"/>
                <w:szCs w:val="21"/>
                <w:highlight w:val="none"/>
              </w:rPr>
              <w:br w:type="textWrapping"/>
            </w:r>
            <w:r>
              <w:rPr>
                <w:rFonts w:hint="eastAsia" w:ascii="宋体" w:hAnsi="宋体"/>
                <w:color w:val="000000" w:themeColor="text1"/>
                <w:szCs w:val="21"/>
                <w:highlight w:val="none"/>
              </w:rPr>
              <w:t>和项目总工资历表</w:t>
            </w:r>
          </w:p>
        </w:tc>
        <w:tc>
          <w:tcPr>
            <w:tcW w:w="6823" w:type="dxa"/>
            <w:vAlign w:val="center"/>
          </w:tcPr>
          <w:p>
            <w:pPr>
              <w:keepLines/>
              <w:autoSpaceDE w:val="0"/>
              <w:autoSpaceDN w:val="0"/>
              <w:adjustRightInd w:val="0"/>
              <w:snapToGrid w:val="0"/>
              <w:spacing w:line="360" w:lineRule="exact"/>
              <w:rPr>
                <w:rFonts w:ascii="楷体" w:hAnsi="楷体" w:eastAsia="楷体"/>
                <w:color w:val="000000" w:themeColor="text1"/>
                <w:kern w:val="0"/>
                <w:szCs w:val="21"/>
                <w:highlight w:val="none"/>
              </w:rPr>
            </w:pPr>
            <w:r>
              <w:rPr>
                <w:rFonts w:ascii="楷体" w:hAnsi="楷体" w:eastAsia="楷体"/>
                <w:color w:val="000000" w:themeColor="text1"/>
                <w:kern w:val="0"/>
                <w:szCs w:val="21"/>
                <w:highlight w:val="none"/>
              </w:rPr>
              <w:t>本</w:t>
            </w:r>
            <w:r>
              <w:rPr>
                <w:rFonts w:hint="eastAsia" w:ascii="楷体" w:hAnsi="楷体" w:eastAsia="楷体"/>
                <w:color w:val="000000" w:themeColor="text1"/>
                <w:kern w:val="0"/>
                <w:szCs w:val="21"/>
                <w:highlight w:val="none"/>
              </w:rPr>
              <w:t>项</w:t>
            </w:r>
            <w:r>
              <w:rPr>
                <w:rFonts w:ascii="楷体" w:hAnsi="楷体" w:eastAsia="楷体"/>
                <w:color w:val="000000" w:themeColor="text1"/>
                <w:kern w:val="0"/>
                <w:szCs w:val="21"/>
                <w:highlight w:val="none"/>
              </w:rPr>
              <w:t>内容</w:t>
            </w:r>
            <w:r>
              <w:rPr>
                <w:rFonts w:hint="eastAsia" w:ascii="楷体" w:hAnsi="楷体" w:eastAsia="楷体"/>
                <w:color w:val="000000" w:themeColor="text1"/>
                <w:kern w:val="0"/>
                <w:szCs w:val="21"/>
                <w:highlight w:val="none"/>
              </w:rPr>
              <w:t>修改为</w:t>
            </w:r>
            <w:r>
              <w:rPr>
                <w:rFonts w:ascii="楷体" w:hAnsi="楷体" w:eastAsia="楷体"/>
                <w:color w:val="000000" w:themeColor="text1"/>
                <w:kern w:val="0"/>
                <w:szCs w:val="21"/>
                <w:highlight w:val="none"/>
              </w:rPr>
              <w:t>：</w:t>
            </w:r>
          </w:p>
          <w:p>
            <w:pPr>
              <w:keepLines/>
              <w:adjustRightInd w:val="0"/>
              <w:snapToGrid w:val="0"/>
              <w:spacing w:line="36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3.5.5 “拟委任的项目经理和项目总工资历表”应附项目经理和项目总工的身份证、职称资格证书</w:t>
            </w:r>
            <w:r>
              <w:rPr>
                <w:rFonts w:hint="eastAsia" w:ascii="楷体" w:hAnsi="楷体" w:eastAsia="楷体"/>
                <w:color w:val="000000" w:themeColor="text1"/>
                <w:szCs w:val="21"/>
                <w:highlight w:val="none"/>
              </w:rPr>
              <w:t>（如职称证中无专业，则必须附毕业证书）</w:t>
            </w:r>
            <w:r>
              <w:rPr>
                <w:rFonts w:hint="eastAsia" w:ascii="宋体" w:hAnsi="宋体"/>
                <w:color w:val="000000" w:themeColor="text1"/>
                <w:szCs w:val="21"/>
                <w:highlight w:val="none"/>
              </w:rPr>
              <w:t>以及资格审查条件所要求的其他相关证书（如建造师注册证书、安全生产考核合格证书等）的复印件，建造师注册证书、安全生产考核合格证书在政府相关部门网站上公开信息的网页截图复印件，</w:t>
            </w:r>
            <w:r>
              <w:rPr>
                <w:rFonts w:hint="eastAsia" w:ascii="楷体" w:hAnsi="楷体" w:eastAsia="楷体"/>
                <w:color w:val="000000" w:themeColor="text1"/>
                <w:szCs w:val="21"/>
                <w:highlight w:val="none"/>
              </w:rPr>
              <w:t>以及在投标人所属社保系统打印的本单位人员缴费明细复印件</w:t>
            </w:r>
            <w:r>
              <w:rPr>
                <w:rFonts w:hint="eastAsia" w:ascii="宋体" w:hAnsi="宋体"/>
                <w:color w:val="000000" w:themeColor="text1"/>
                <w:szCs w:val="21"/>
                <w:highlight w:val="none"/>
              </w:rPr>
              <w:t>。</w:t>
            </w:r>
          </w:p>
          <w:p>
            <w:pPr>
              <w:keepLines/>
              <w:adjustRightInd w:val="0"/>
              <w:snapToGrid w:val="0"/>
              <w:spacing w:line="36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拟委任的项目经理和项目总工资历表”还应附交通运输部“全国公路建设市场信用信息管理系统”中载明的、能够证明项目经理和项目总工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如投标人未提供相关业绩网页截图复印件或相关业绩网页截图中的信息无法证实投标人满足招标文件规定的资格审查条件（项目经理和项目总工最低要求）或评分标准，则该业绩不予认定。</w:t>
            </w:r>
          </w:p>
          <w:p>
            <w:pPr>
              <w:keepLines/>
              <w:adjustRightInd w:val="0"/>
              <w:snapToGrid w:val="0"/>
              <w:spacing w:line="36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如项目经理或项目总工目前仍在其他项目上任职，</w:t>
            </w:r>
            <w:r>
              <w:rPr>
                <w:rFonts w:hint="eastAsia" w:ascii="楷体" w:hAnsi="楷体" w:eastAsia="楷体"/>
                <w:color w:val="000000" w:themeColor="text1"/>
                <w:szCs w:val="21"/>
                <w:highlight w:val="none"/>
              </w:rPr>
              <w:t>则投标人应提供承诺上述人员能够从该项目撤离的书面材料原件，并加盖投标人单位章</w:t>
            </w:r>
            <w:r>
              <w:rPr>
                <w:rFonts w:hint="eastAsia" w:ascii="宋体" w:hAnsi="宋体"/>
                <w:color w:val="000000" w:themeColor="text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3.6.1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是否允许递交</w:t>
            </w:r>
          </w:p>
          <w:p>
            <w:pPr>
              <w:jc w:val="center"/>
              <w:rPr>
                <w:rFonts w:ascii="宋体" w:hAnsi="宋体"/>
                <w:color w:val="000000" w:themeColor="text1"/>
                <w:highlight w:val="none"/>
              </w:rPr>
            </w:pPr>
            <w:r>
              <w:rPr>
                <w:rFonts w:hint="eastAsia" w:ascii="宋体" w:hAnsi="宋体"/>
                <w:color w:val="000000" w:themeColor="text1"/>
                <w:highlight w:val="none"/>
              </w:rPr>
              <w:t>备选投标方案</w:t>
            </w:r>
          </w:p>
        </w:tc>
        <w:tc>
          <w:tcPr>
            <w:tcW w:w="6823" w:type="dxa"/>
            <w:vAlign w:val="center"/>
          </w:tcPr>
          <w:p>
            <w:pPr>
              <w:adjustRightInd w:val="0"/>
              <w:snapToGrid w:val="0"/>
              <w:rPr>
                <w:rFonts w:ascii="宋体" w:hAnsi="宋体"/>
                <w:color w:val="000000" w:themeColor="text1"/>
                <w:szCs w:val="21"/>
                <w:highlight w:val="none"/>
              </w:rPr>
            </w:pPr>
            <w:r>
              <w:rPr>
                <w:rFonts w:ascii="宋体" w:hAnsi="宋体"/>
                <w:color w:val="000000" w:themeColor="text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3.7.4</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投标文件</w:t>
            </w:r>
          </w:p>
          <w:p>
            <w:pPr>
              <w:jc w:val="center"/>
              <w:rPr>
                <w:rFonts w:ascii="宋体" w:hAnsi="宋体"/>
                <w:color w:val="000000" w:themeColor="text1"/>
                <w:highlight w:val="none"/>
              </w:rPr>
            </w:pPr>
            <w:r>
              <w:rPr>
                <w:rFonts w:ascii="宋体" w:hAnsi="宋体"/>
                <w:color w:val="000000" w:themeColor="text1"/>
                <w:highlight w:val="none"/>
              </w:rPr>
              <w:t>副本份数</w:t>
            </w:r>
          </w:p>
          <w:p>
            <w:pPr>
              <w:jc w:val="center"/>
              <w:rPr>
                <w:rFonts w:ascii="宋体" w:hAnsi="宋体"/>
                <w:color w:val="000000" w:themeColor="text1"/>
                <w:highlight w:val="none"/>
              </w:rPr>
            </w:pPr>
            <w:r>
              <w:rPr>
                <w:rFonts w:hint="eastAsia" w:ascii="宋体" w:hAnsi="宋体"/>
                <w:color w:val="000000" w:themeColor="text1"/>
                <w:highlight w:val="none"/>
              </w:rPr>
              <w:t>及其他要求</w:t>
            </w:r>
          </w:p>
        </w:tc>
        <w:tc>
          <w:tcPr>
            <w:tcW w:w="6823" w:type="dxa"/>
            <w:vAlign w:val="center"/>
          </w:tcPr>
          <w:p>
            <w:pPr>
              <w:ind w:left="113" w:right="113"/>
              <w:rPr>
                <w:rFonts w:ascii="宋体" w:hAnsi="宋体" w:cs="宋体"/>
                <w:color w:val="000000" w:themeColor="text1"/>
                <w:szCs w:val="21"/>
                <w:highlight w:val="none"/>
              </w:rPr>
            </w:pPr>
            <w:r>
              <w:rPr>
                <w:rFonts w:hint="eastAsia" w:ascii="宋体" w:hAnsi="宋体"/>
                <w:color w:val="000000" w:themeColor="text1"/>
                <w:szCs w:val="21"/>
                <w:highlight w:val="none"/>
              </w:rPr>
              <w:t>投标文件副本份数：在递交投标文件时投标人</w:t>
            </w:r>
            <w:r>
              <w:rPr>
                <w:rFonts w:hint="eastAsia" w:ascii="宋体" w:hAnsi="宋体" w:cs="宋体"/>
                <w:color w:val="000000" w:themeColor="text1"/>
                <w:szCs w:val="21"/>
                <w:highlight w:val="none"/>
              </w:rPr>
              <w:t>不需要提供副本。</w:t>
            </w:r>
          </w:p>
          <w:p>
            <w:pPr>
              <w:ind w:left="113" w:right="113"/>
              <w:rPr>
                <w:rFonts w:ascii="宋体" w:hAnsi="宋体" w:cs="宋体"/>
                <w:color w:val="000000" w:themeColor="text1"/>
                <w:szCs w:val="21"/>
                <w:highlight w:val="none"/>
              </w:rPr>
            </w:pPr>
            <w:r>
              <w:rPr>
                <w:rFonts w:hint="eastAsia" w:ascii="宋体" w:hAnsi="宋体"/>
                <w:color w:val="000000" w:themeColor="text1"/>
                <w:szCs w:val="21"/>
                <w:highlight w:val="none"/>
              </w:rPr>
              <w:t>是否要求提交电子版文件</w:t>
            </w:r>
            <w:r>
              <w:rPr>
                <w:rFonts w:hint="eastAsia" w:ascii="宋体" w:hAnsi="宋体" w:cs="宋体"/>
                <w:color w:val="000000" w:themeColor="text1"/>
                <w:szCs w:val="21"/>
                <w:highlight w:val="none"/>
              </w:rPr>
              <w:t>：</w:t>
            </w:r>
            <w:r>
              <w:rPr>
                <w:rFonts w:ascii="宋体" w:hAnsi="宋体" w:cs="宋体"/>
                <w:color w:val="000000" w:themeColor="text1"/>
                <w:szCs w:val="21"/>
                <w:highlight w:val="none"/>
              </w:rPr>
              <w:t>1份电子版</w:t>
            </w:r>
            <w:r>
              <w:rPr>
                <w:rFonts w:hint="eastAsia" w:ascii="宋体" w:hAnsi="宋体" w:cs="宋体"/>
                <w:color w:val="000000" w:themeColor="text1"/>
                <w:szCs w:val="21"/>
                <w:highlight w:val="none"/>
              </w:rPr>
              <w:t>已标价的</w:t>
            </w:r>
            <w:r>
              <w:rPr>
                <w:rFonts w:ascii="宋体" w:hAnsi="宋体" w:cs="宋体"/>
                <w:color w:val="000000" w:themeColor="text1"/>
                <w:szCs w:val="21"/>
                <w:highlight w:val="none"/>
              </w:rPr>
              <w:t>工程量清单</w:t>
            </w:r>
            <w:r>
              <w:rPr>
                <w:rFonts w:hint="eastAsia" w:ascii="宋体" w:hAnsi="宋体" w:cs="宋体"/>
                <w:color w:val="000000" w:themeColor="text1"/>
                <w:szCs w:val="21"/>
                <w:highlight w:val="none"/>
              </w:rPr>
              <w:t>及《投标文件关键内容摘录表》</w:t>
            </w:r>
            <w:r>
              <w:rPr>
                <w:rFonts w:ascii="宋体" w:hAnsi="宋体" w:cs="宋体"/>
                <w:color w:val="000000" w:themeColor="text1"/>
                <w:szCs w:val="21"/>
                <w:highlight w:val="none"/>
              </w:rPr>
              <w:t>（U盘）。</w:t>
            </w:r>
          </w:p>
          <w:p>
            <w:pPr>
              <w:snapToGrid w:val="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其他要求：</w:t>
            </w:r>
            <w:r>
              <w:rPr>
                <w:rFonts w:hint="eastAsia" w:ascii="宋体" w:hAnsi="宋体" w:cs="宋体"/>
                <w:color w:val="000000" w:themeColor="text1"/>
                <w:szCs w:val="21"/>
                <w:highlight w:val="none"/>
              </w:rPr>
              <w:t>中标人应在收到中标通知书后并在与招标人签订合同前提供投标文件副本3份。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3.7.5</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装订</w:t>
            </w:r>
            <w:r>
              <w:rPr>
                <w:rFonts w:hint="eastAsia" w:ascii="宋体" w:hAnsi="宋体"/>
                <w:color w:val="000000" w:themeColor="text1"/>
                <w:highlight w:val="none"/>
              </w:rPr>
              <w:t>的其他</w:t>
            </w:r>
            <w:r>
              <w:rPr>
                <w:rFonts w:ascii="宋体" w:hAnsi="宋体"/>
                <w:color w:val="000000" w:themeColor="text1"/>
                <w:highlight w:val="none"/>
              </w:rPr>
              <w:t>要求</w:t>
            </w:r>
          </w:p>
        </w:tc>
        <w:tc>
          <w:tcPr>
            <w:tcW w:w="6823" w:type="dxa"/>
            <w:vAlign w:val="center"/>
          </w:tcPr>
          <w:p>
            <w:pPr>
              <w:snapToGrid w:val="0"/>
              <w:rPr>
                <w:rFonts w:ascii="宋体" w:hAnsi="宋体"/>
                <w:color w:val="000000" w:themeColor="text1"/>
                <w:szCs w:val="21"/>
                <w:highlight w:val="none"/>
              </w:rPr>
            </w:pPr>
            <w:r>
              <w:rPr>
                <w:rFonts w:hint="eastAsia" w:ascii="宋体" w:hAnsi="宋体"/>
                <w:color w:val="000000" w:themeColor="text1"/>
                <w:szCs w:val="21"/>
                <w:highlight w:val="none"/>
              </w:rPr>
              <w:t>投标文件第一信封书脊上应明确标注投标人的单位名称和所投标的项目名称及标段。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1" w:hRule="atLeast"/>
        </w:trPr>
        <w:tc>
          <w:tcPr>
            <w:tcW w:w="896"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4.1.2</w:t>
            </w:r>
          </w:p>
        </w:tc>
        <w:tc>
          <w:tcPr>
            <w:tcW w:w="1975" w:type="dxa"/>
            <w:vMerge w:val="restart"/>
            <w:vAlign w:val="center"/>
          </w:tcPr>
          <w:p>
            <w:pPr>
              <w:jc w:val="center"/>
              <w:rPr>
                <w:rFonts w:ascii="宋体" w:hAnsi="宋体"/>
                <w:color w:val="000000" w:themeColor="text1"/>
                <w:highlight w:val="none"/>
              </w:rPr>
            </w:pPr>
            <w:r>
              <w:rPr>
                <w:rFonts w:hint="eastAsia" w:ascii="宋体" w:hAnsi="宋体"/>
                <w:color w:val="000000" w:themeColor="text1"/>
                <w:highlight w:val="none"/>
              </w:rPr>
              <w:t>封套上应载明的信息</w:t>
            </w:r>
          </w:p>
        </w:tc>
        <w:tc>
          <w:tcPr>
            <w:tcW w:w="6823" w:type="dxa"/>
            <w:vAlign w:val="center"/>
          </w:tcPr>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第一个信封封套：</w:t>
            </w:r>
          </w:p>
          <w:p>
            <w:pPr>
              <w:autoSpaceDE w:val="0"/>
              <w:autoSpaceDN w:val="0"/>
              <w:adjustRightInd w:val="0"/>
              <w:snapToGrid w:val="0"/>
              <w:rPr>
                <w:rFonts w:ascii="宋体" w:hAnsi="宋体" w:cs="MingLiU"/>
                <w:color w:val="000000" w:themeColor="text1"/>
                <w:kern w:val="0"/>
                <w:szCs w:val="21"/>
                <w:highlight w:val="none"/>
              </w:rPr>
            </w:pPr>
            <w:r>
              <w:rPr>
                <w:rFonts w:hint="eastAsia" w:ascii="宋体" w:hAnsi="宋体" w:cs="MingLiU"/>
                <w:color w:val="000000" w:themeColor="text1"/>
                <w:kern w:val="0"/>
                <w:szCs w:val="21"/>
                <w:highlight w:val="none"/>
              </w:rPr>
              <w:t>招标人名称：</w:t>
            </w:r>
            <w:r>
              <w:rPr>
                <w:rFonts w:ascii="宋体" w:hAnsi="宋体" w:cs="MingLiU"/>
                <w:color w:val="000000" w:themeColor="text1"/>
                <w:kern w:val="0"/>
                <w:szCs w:val="21"/>
                <w:highlight w:val="none"/>
                <w:u w:val="single"/>
              </w:rPr>
              <w:t xml:space="preserve">                                </w:t>
            </w:r>
          </w:p>
          <w:p>
            <w:pPr>
              <w:autoSpaceDE w:val="0"/>
              <w:autoSpaceDN w:val="0"/>
              <w:adjustRightInd w:val="0"/>
              <w:snapToGrid w:val="0"/>
              <w:rPr>
                <w:rFonts w:ascii="宋体" w:hAnsi="宋体"/>
                <w:color w:val="000000" w:themeColor="text1"/>
                <w:kern w:val="0"/>
                <w:szCs w:val="21"/>
                <w:highlight w:val="none"/>
              </w:rPr>
            </w:pPr>
            <w:r>
              <w:rPr>
                <w:rFonts w:hint="eastAsia" w:ascii="宋体" w:hAnsi="宋体" w:cs="MingLiU"/>
                <w:color w:val="000000" w:themeColor="text1"/>
                <w:kern w:val="0"/>
                <w:szCs w:val="21"/>
                <w:highlight w:val="none"/>
              </w:rPr>
              <w:t>招标人地址：</w:t>
            </w:r>
            <w:r>
              <w:rPr>
                <w:rFonts w:ascii="宋体" w:hAnsi="宋体" w:cs="MingLiU"/>
                <w:color w:val="000000" w:themeColor="text1"/>
                <w:kern w:val="0"/>
                <w:szCs w:val="21"/>
                <w:highlight w:val="none"/>
                <w:u w:val="single"/>
              </w:rPr>
              <w:t xml:space="preserve">                                </w:t>
            </w:r>
          </w:p>
          <w:p>
            <w:pPr>
              <w:adjustRightInd w:val="0"/>
              <w:snapToGrid w:val="0"/>
              <w:ind w:firstLine="210" w:firstLineChars="100"/>
              <w:jc w:val="center"/>
              <w:rPr>
                <w:rFonts w:ascii="宋体" w:hAnsi="宋体"/>
                <w:color w:val="000000" w:themeColor="text1"/>
                <w:szCs w:val="21"/>
                <w:highlight w:val="none"/>
              </w:rPr>
            </w:pPr>
            <w:r>
              <w:rPr>
                <w:rFonts w:hint="eastAsia" w:ascii="宋体" w:hAnsi="宋体"/>
                <w:color w:val="000000" w:themeColor="text1"/>
                <w:szCs w:val="21"/>
                <w:highlight w:val="none"/>
              </w:rPr>
              <w:t>国道珲春至阿尔山公路延吉至安图段改建项目</w:t>
            </w:r>
          </w:p>
          <w:p>
            <w:pPr>
              <w:adjustRightInd w:val="0"/>
              <w:snapToGrid w:val="0"/>
              <w:ind w:firstLine="210" w:firstLineChars="100"/>
              <w:jc w:val="center"/>
              <w:rPr>
                <w:rFonts w:ascii="宋体" w:hAnsi="宋体"/>
                <w:color w:val="000000" w:themeColor="text1"/>
                <w:szCs w:val="21"/>
                <w:highlight w:val="none"/>
              </w:rPr>
            </w:pP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rPr>
              <w:t>标段施工招标第一个信封（商务及技术文件）投标文件</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招标项目编号：</w:t>
            </w: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u w:val="single"/>
              </w:rPr>
              <w:t xml:space="preserve">   </w:t>
            </w:r>
            <w:r>
              <w:rPr>
                <w:rFonts w:ascii="宋体" w:hAnsi="宋体"/>
                <w:color w:val="000000" w:themeColor="text1"/>
                <w:szCs w:val="21"/>
                <w:highlight w:val="none"/>
                <w:u w:val="single"/>
              </w:rPr>
              <w:t xml:space="preserve">   </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在</w:t>
            </w: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rPr>
              <w:t>年</w:t>
            </w: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rPr>
              <w:t>月</w:t>
            </w: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rPr>
              <w:t>日</w:t>
            </w: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rPr>
              <w:t>时</w:t>
            </w: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rPr>
              <w:t>分（第一个信封开标时间）前不得开启</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投标人名称：</w:t>
            </w:r>
            <w:r>
              <w:rPr>
                <w:rFonts w:ascii="宋体" w:hAnsi="宋体"/>
                <w:color w:val="000000" w:themeColor="text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trPr>
        <w:tc>
          <w:tcPr>
            <w:tcW w:w="896" w:type="dxa"/>
            <w:vMerge w:val="continue"/>
            <w:vAlign w:val="center"/>
          </w:tcPr>
          <w:p>
            <w:pPr>
              <w:jc w:val="center"/>
              <w:rPr>
                <w:rFonts w:ascii="宋体" w:hAnsi="宋体"/>
                <w:color w:val="000000" w:themeColor="text1"/>
                <w:highlight w:val="none"/>
              </w:rPr>
            </w:pPr>
          </w:p>
        </w:tc>
        <w:tc>
          <w:tcPr>
            <w:tcW w:w="1975" w:type="dxa"/>
            <w:vMerge w:val="continue"/>
            <w:vAlign w:val="center"/>
          </w:tcPr>
          <w:p>
            <w:pPr>
              <w:ind w:firstLine="210" w:firstLineChars="100"/>
              <w:jc w:val="center"/>
              <w:rPr>
                <w:rFonts w:ascii="宋体" w:hAnsi="宋体"/>
                <w:color w:val="000000" w:themeColor="text1"/>
                <w:szCs w:val="21"/>
                <w:highlight w:val="none"/>
              </w:rPr>
            </w:pPr>
          </w:p>
        </w:tc>
        <w:tc>
          <w:tcPr>
            <w:tcW w:w="6823" w:type="dxa"/>
            <w:vAlign w:val="center"/>
          </w:tcPr>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第二个信封封套：</w:t>
            </w:r>
          </w:p>
          <w:p>
            <w:pPr>
              <w:autoSpaceDE w:val="0"/>
              <w:autoSpaceDN w:val="0"/>
              <w:adjustRightInd w:val="0"/>
              <w:snapToGrid w:val="0"/>
              <w:rPr>
                <w:rFonts w:ascii="宋体" w:hAnsi="宋体" w:cs="MingLiU"/>
                <w:color w:val="000000" w:themeColor="text1"/>
                <w:kern w:val="0"/>
                <w:szCs w:val="21"/>
                <w:highlight w:val="none"/>
              </w:rPr>
            </w:pPr>
            <w:r>
              <w:rPr>
                <w:rFonts w:hint="eastAsia" w:ascii="宋体" w:hAnsi="宋体" w:cs="MingLiU"/>
                <w:color w:val="000000" w:themeColor="text1"/>
                <w:kern w:val="0"/>
                <w:szCs w:val="21"/>
                <w:highlight w:val="none"/>
              </w:rPr>
              <w:t>招标人名称：</w:t>
            </w:r>
            <w:r>
              <w:rPr>
                <w:rFonts w:ascii="宋体" w:hAnsi="宋体" w:cs="MingLiU"/>
                <w:color w:val="000000" w:themeColor="text1"/>
                <w:kern w:val="0"/>
                <w:szCs w:val="21"/>
                <w:highlight w:val="none"/>
                <w:u w:val="single"/>
              </w:rPr>
              <w:t xml:space="preserve">                                </w:t>
            </w:r>
          </w:p>
          <w:p>
            <w:pPr>
              <w:autoSpaceDE w:val="0"/>
              <w:autoSpaceDN w:val="0"/>
              <w:adjustRightInd w:val="0"/>
              <w:snapToGrid w:val="0"/>
              <w:rPr>
                <w:rFonts w:ascii="宋体" w:hAnsi="宋体"/>
                <w:color w:val="000000" w:themeColor="text1"/>
                <w:kern w:val="0"/>
                <w:szCs w:val="21"/>
                <w:highlight w:val="none"/>
              </w:rPr>
            </w:pPr>
            <w:r>
              <w:rPr>
                <w:rFonts w:hint="eastAsia" w:ascii="宋体" w:hAnsi="宋体" w:cs="MingLiU"/>
                <w:color w:val="000000" w:themeColor="text1"/>
                <w:kern w:val="0"/>
                <w:szCs w:val="21"/>
                <w:highlight w:val="none"/>
              </w:rPr>
              <w:t>招标人地址：</w:t>
            </w:r>
            <w:r>
              <w:rPr>
                <w:rFonts w:ascii="宋体" w:hAnsi="宋体" w:cs="MingLiU"/>
                <w:color w:val="000000" w:themeColor="text1"/>
                <w:kern w:val="0"/>
                <w:szCs w:val="21"/>
                <w:highlight w:val="none"/>
                <w:u w:val="single"/>
              </w:rPr>
              <w:t xml:space="preserve">                                </w:t>
            </w:r>
          </w:p>
          <w:p>
            <w:pPr>
              <w:adjustRightInd w:val="0"/>
              <w:snapToGrid w:val="0"/>
              <w:ind w:firstLine="210" w:firstLineChars="100"/>
              <w:jc w:val="center"/>
              <w:rPr>
                <w:rFonts w:ascii="宋体" w:hAnsi="宋体"/>
                <w:color w:val="000000" w:themeColor="text1"/>
                <w:szCs w:val="21"/>
                <w:highlight w:val="none"/>
              </w:rPr>
            </w:pPr>
            <w:r>
              <w:rPr>
                <w:rFonts w:hint="eastAsia" w:ascii="宋体" w:hAnsi="宋体"/>
                <w:color w:val="000000" w:themeColor="text1"/>
                <w:szCs w:val="21"/>
                <w:highlight w:val="none"/>
              </w:rPr>
              <w:t>国道珲春至阿尔山公路延吉至安图段改建项目</w:t>
            </w:r>
          </w:p>
          <w:p>
            <w:pPr>
              <w:adjustRightInd w:val="0"/>
              <w:snapToGrid w:val="0"/>
              <w:ind w:firstLine="210" w:firstLineChars="100"/>
              <w:jc w:val="center"/>
              <w:rPr>
                <w:rFonts w:ascii="宋体" w:hAnsi="宋体"/>
                <w:color w:val="000000" w:themeColor="text1"/>
                <w:szCs w:val="21"/>
                <w:highlight w:val="none"/>
              </w:rPr>
            </w:pP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rPr>
              <w:t>标段施工招标第二个信封（报价文件）投标文件</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招标项目编号：</w:t>
            </w:r>
            <w:r>
              <w:rPr>
                <w:rFonts w:hint="eastAsia" w:ascii="宋体" w:hAnsi="宋体"/>
                <w:color w:val="000000" w:themeColor="text1"/>
                <w:szCs w:val="21"/>
                <w:highlight w:val="none"/>
                <w:u w:val="single"/>
              </w:rPr>
              <w:t xml:space="preserve">          </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在投标文件第二个信封（报价文件）开标前不得开启</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投标人名称：</w:t>
            </w:r>
            <w:r>
              <w:rPr>
                <w:rFonts w:ascii="宋体" w:hAnsi="宋体"/>
                <w:color w:val="000000" w:themeColor="text1"/>
                <w:szCs w:val="21"/>
                <w:highlight w:val="none"/>
                <w:u w:val="single"/>
              </w:rPr>
              <w:t xml:space="preserve">                   </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投标人地址：</w:t>
            </w:r>
            <w:r>
              <w:rPr>
                <w:rFonts w:ascii="宋体" w:hAnsi="宋体"/>
                <w:color w:val="000000" w:themeColor="text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trPr>
        <w:tc>
          <w:tcPr>
            <w:tcW w:w="896" w:type="dxa"/>
            <w:vMerge w:val="continue"/>
            <w:vAlign w:val="center"/>
          </w:tcPr>
          <w:p>
            <w:pPr>
              <w:jc w:val="center"/>
              <w:rPr>
                <w:rFonts w:ascii="宋体" w:hAnsi="宋体"/>
                <w:color w:val="000000" w:themeColor="text1"/>
                <w:highlight w:val="none"/>
              </w:rPr>
            </w:pPr>
          </w:p>
        </w:tc>
        <w:tc>
          <w:tcPr>
            <w:tcW w:w="1975" w:type="dxa"/>
            <w:vMerge w:val="continue"/>
            <w:vAlign w:val="center"/>
          </w:tcPr>
          <w:p>
            <w:pPr>
              <w:ind w:firstLine="210" w:firstLineChars="100"/>
              <w:jc w:val="center"/>
              <w:rPr>
                <w:rFonts w:ascii="宋体" w:hAnsi="宋体"/>
                <w:color w:val="000000" w:themeColor="text1"/>
                <w:szCs w:val="21"/>
                <w:highlight w:val="none"/>
              </w:rPr>
            </w:pPr>
          </w:p>
        </w:tc>
        <w:tc>
          <w:tcPr>
            <w:tcW w:w="6823" w:type="dxa"/>
            <w:vAlign w:val="center"/>
          </w:tcPr>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银行保函封套：</w:t>
            </w:r>
          </w:p>
          <w:p>
            <w:pPr>
              <w:autoSpaceDE w:val="0"/>
              <w:autoSpaceDN w:val="0"/>
              <w:adjustRightInd w:val="0"/>
              <w:snapToGrid w:val="0"/>
              <w:rPr>
                <w:rFonts w:ascii="宋体" w:hAnsi="宋体" w:cs="MingLiU"/>
                <w:color w:val="000000" w:themeColor="text1"/>
                <w:kern w:val="0"/>
                <w:szCs w:val="21"/>
                <w:highlight w:val="none"/>
              </w:rPr>
            </w:pPr>
            <w:r>
              <w:rPr>
                <w:rFonts w:hint="eastAsia" w:ascii="宋体" w:hAnsi="宋体" w:cs="MingLiU"/>
                <w:color w:val="000000" w:themeColor="text1"/>
                <w:kern w:val="0"/>
                <w:szCs w:val="21"/>
                <w:highlight w:val="none"/>
              </w:rPr>
              <w:t>招标人名称：</w:t>
            </w:r>
            <w:r>
              <w:rPr>
                <w:rFonts w:ascii="宋体" w:hAnsi="宋体" w:cs="MingLiU"/>
                <w:color w:val="000000" w:themeColor="text1"/>
                <w:kern w:val="0"/>
                <w:szCs w:val="21"/>
                <w:highlight w:val="none"/>
                <w:u w:val="single"/>
              </w:rPr>
              <w:t xml:space="preserve">                                </w:t>
            </w:r>
          </w:p>
          <w:p>
            <w:pPr>
              <w:autoSpaceDE w:val="0"/>
              <w:autoSpaceDN w:val="0"/>
              <w:adjustRightInd w:val="0"/>
              <w:snapToGrid w:val="0"/>
              <w:rPr>
                <w:rFonts w:ascii="宋体" w:hAnsi="宋体"/>
                <w:color w:val="000000" w:themeColor="text1"/>
                <w:kern w:val="0"/>
                <w:szCs w:val="21"/>
                <w:highlight w:val="none"/>
              </w:rPr>
            </w:pPr>
            <w:r>
              <w:rPr>
                <w:rFonts w:hint="eastAsia" w:ascii="宋体" w:hAnsi="宋体" w:cs="MingLiU"/>
                <w:color w:val="000000" w:themeColor="text1"/>
                <w:kern w:val="0"/>
                <w:szCs w:val="21"/>
                <w:highlight w:val="none"/>
              </w:rPr>
              <w:t>招标人地址：</w:t>
            </w:r>
            <w:r>
              <w:rPr>
                <w:rFonts w:ascii="宋体" w:hAnsi="宋体" w:cs="MingLiU"/>
                <w:color w:val="000000" w:themeColor="text1"/>
                <w:kern w:val="0"/>
                <w:szCs w:val="21"/>
                <w:highlight w:val="none"/>
                <w:u w:val="single"/>
              </w:rPr>
              <w:t xml:space="preserve">                                </w:t>
            </w:r>
          </w:p>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国道珲春至阿尔山公路延吉至安图段改建项目</w:t>
            </w:r>
          </w:p>
          <w:p>
            <w:pPr>
              <w:snapToGrid w:val="0"/>
              <w:jc w:val="center"/>
              <w:rPr>
                <w:rFonts w:ascii="宋体" w:hAnsi="宋体"/>
                <w:color w:val="000000" w:themeColor="text1"/>
                <w:szCs w:val="21"/>
                <w:highlight w:val="none"/>
              </w:rPr>
            </w:pP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rPr>
              <w:t>标段施工招标投标保证金（银行保函原件）</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招标项目编号：</w:t>
            </w:r>
            <w:r>
              <w:rPr>
                <w:rFonts w:ascii="宋体" w:hAnsi="宋体"/>
                <w:color w:val="000000" w:themeColor="text1"/>
                <w:szCs w:val="21"/>
                <w:highlight w:val="none"/>
                <w:u w:val="single"/>
              </w:rPr>
              <w:t xml:space="preserve">          </w:t>
            </w:r>
          </w:p>
          <w:p>
            <w:pPr>
              <w:snapToGrid w:val="0"/>
              <w:rPr>
                <w:rFonts w:ascii="宋体" w:hAnsi="宋体"/>
                <w:color w:val="000000" w:themeColor="text1"/>
                <w:szCs w:val="21"/>
                <w:highlight w:val="none"/>
              </w:rPr>
            </w:pPr>
            <w:r>
              <w:rPr>
                <w:rFonts w:hint="eastAsia" w:ascii="宋体" w:hAnsi="宋体"/>
                <w:color w:val="000000" w:themeColor="text1"/>
                <w:szCs w:val="21"/>
                <w:highlight w:val="none"/>
              </w:rPr>
              <w:t>投标人名称：</w:t>
            </w:r>
            <w:r>
              <w:rPr>
                <w:rFonts w:ascii="宋体" w:hAnsi="宋体"/>
                <w:color w:val="000000" w:themeColor="text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4.2.3</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是否退还</w:t>
            </w:r>
            <w:r>
              <w:rPr>
                <w:rFonts w:hint="eastAsia" w:ascii="宋体" w:hAnsi="宋体"/>
                <w:color w:val="000000" w:themeColor="text1"/>
                <w:highlight w:val="none"/>
              </w:rPr>
              <w:br w:type="textWrapping"/>
            </w:r>
            <w:r>
              <w:rPr>
                <w:rFonts w:ascii="宋体" w:hAnsi="宋体"/>
                <w:color w:val="000000" w:themeColor="text1"/>
                <w:highlight w:val="none"/>
              </w:rPr>
              <w:t>投标文件</w:t>
            </w:r>
          </w:p>
        </w:tc>
        <w:tc>
          <w:tcPr>
            <w:tcW w:w="6823" w:type="dxa"/>
            <w:vAlign w:val="center"/>
          </w:tcPr>
          <w:p>
            <w:pPr>
              <w:adjustRightInd w:val="0"/>
              <w:snapToGrid w:val="0"/>
              <w:rPr>
                <w:rFonts w:ascii="宋体" w:hAnsi="宋体"/>
                <w:color w:val="000000" w:themeColor="text1"/>
                <w:highlight w:val="none"/>
              </w:rPr>
            </w:pPr>
            <w:r>
              <w:rPr>
                <w:rFonts w:ascii="宋体" w:hAnsi="宋体"/>
                <w:color w:val="000000" w:themeColor="text1"/>
                <w:highlight w:val="none"/>
              </w:rPr>
              <w:t>投标人少于3个的，投标文件当场退还给投标人</w:t>
            </w:r>
            <w:r>
              <w:rPr>
                <w:rFonts w:hint="eastAsia" w:ascii="宋体" w:hAnsi="宋体"/>
                <w:color w:val="000000" w:themeColor="text1"/>
                <w:highlight w:val="none"/>
              </w:rPr>
              <w:t>；</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否则，投标文件第一个信封（商务及技术文件）均不退还，未通过第一个信封评审的投标人的投标文件第二个信封（报价文件）予以退还。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5.1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开标时间和</w:t>
            </w:r>
          </w:p>
          <w:p>
            <w:pPr>
              <w:jc w:val="center"/>
              <w:rPr>
                <w:rFonts w:ascii="宋体" w:hAnsi="宋体"/>
                <w:color w:val="000000" w:themeColor="text1"/>
                <w:highlight w:val="none"/>
              </w:rPr>
            </w:pPr>
            <w:r>
              <w:rPr>
                <w:rFonts w:ascii="宋体" w:hAnsi="宋体"/>
                <w:color w:val="000000" w:themeColor="text1"/>
                <w:highlight w:val="none"/>
              </w:rPr>
              <w:t>地点</w:t>
            </w:r>
          </w:p>
        </w:tc>
        <w:tc>
          <w:tcPr>
            <w:tcW w:w="6823" w:type="dxa"/>
            <w:vAlign w:val="center"/>
          </w:tcPr>
          <w:p>
            <w:pPr>
              <w:snapToGrid w:val="0"/>
              <w:rPr>
                <w:rFonts w:ascii="宋体" w:hAnsi="宋体"/>
                <w:color w:val="000000" w:themeColor="text1"/>
                <w:szCs w:val="21"/>
                <w:highlight w:val="none"/>
              </w:rPr>
            </w:pPr>
            <w:r>
              <w:rPr>
                <w:rFonts w:ascii="宋体" w:hAnsi="宋体"/>
                <w:color w:val="000000" w:themeColor="text1"/>
                <w:szCs w:val="21"/>
                <w:highlight w:val="none"/>
              </w:rPr>
              <w:t>投标文件第一个信封（商务及技术文件）开标时间：</w:t>
            </w:r>
          </w:p>
          <w:p>
            <w:pPr>
              <w:snapToGrid w:val="0"/>
              <w:ind w:firstLine="420" w:firstLineChars="200"/>
              <w:rPr>
                <w:rFonts w:ascii="宋体" w:hAnsi="宋体"/>
                <w:color w:val="000000" w:themeColor="text1"/>
                <w:szCs w:val="21"/>
                <w:highlight w:val="none"/>
              </w:rPr>
            </w:pPr>
            <w:r>
              <w:rPr>
                <w:rFonts w:ascii="宋体" w:hAnsi="宋体"/>
                <w:color w:val="000000" w:themeColor="text1"/>
                <w:szCs w:val="21"/>
                <w:highlight w:val="none"/>
              </w:rPr>
              <w:t>同投标截止时间</w:t>
            </w:r>
          </w:p>
          <w:p>
            <w:pPr>
              <w:snapToGrid w:val="0"/>
              <w:rPr>
                <w:rFonts w:ascii="宋体" w:hAnsi="宋体"/>
                <w:color w:val="000000" w:themeColor="text1"/>
                <w:spacing w:val="-4"/>
                <w:szCs w:val="21"/>
                <w:highlight w:val="none"/>
              </w:rPr>
            </w:pPr>
            <w:r>
              <w:rPr>
                <w:rFonts w:ascii="宋体" w:hAnsi="宋体"/>
                <w:color w:val="000000" w:themeColor="text1"/>
                <w:szCs w:val="21"/>
                <w:highlight w:val="none"/>
              </w:rPr>
              <w:t>投标文件第一个信封（商务及技术文件）</w:t>
            </w:r>
            <w:r>
              <w:rPr>
                <w:rFonts w:ascii="宋体" w:hAnsi="宋体"/>
                <w:color w:val="000000" w:themeColor="text1"/>
                <w:spacing w:val="-4"/>
                <w:szCs w:val="21"/>
                <w:highlight w:val="none"/>
              </w:rPr>
              <w:t>开标地点：</w:t>
            </w:r>
          </w:p>
          <w:p>
            <w:pPr>
              <w:snapToGrid w:val="0"/>
              <w:ind w:firstLine="420" w:firstLineChars="200"/>
              <w:rPr>
                <w:rFonts w:hint="eastAsia" w:ascii="宋体" w:hAnsi="宋体"/>
                <w:color w:val="000000" w:themeColor="text1"/>
                <w:szCs w:val="21"/>
                <w:highlight w:val="none"/>
                <w:lang w:val="en-US" w:eastAsia="zh-CN"/>
              </w:rPr>
            </w:pPr>
            <w:r>
              <w:rPr>
                <w:rFonts w:hint="eastAsia" w:ascii="宋体" w:hAnsi="宋体"/>
                <w:color w:val="000000" w:themeColor="text1"/>
                <w:szCs w:val="21"/>
                <w:highlight w:val="none"/>
                <w:lang w:val="en-US" w:eastAsia="zh-CN"/>
              </w:rPr>
              <w:t>同递交投标文件地点</w:t>
            </w:r>
          </w:p>
          <w:p>
            <w:pPr>
              <w:snapToGrid w:val="0"/>
              <w:rPr>
                <w:rFonts w:ascii="宋体" w:hAnsi="宋体"/>
                <w:color w:val="000000" w:themeColor="text1"/>
                <w:szCs w:val="21"/>
                <w:highlight w:val="none"/>
              </w:rPr>
            </w:pPr>
            <w:r>
              <w:rPr>
                <w:rFonts w:ascii="宋体" w:hAnsi="宋体"/>
                <w:color w:val="000000" w:themeColor="text1"/>
                <w:szCs w:val="21"/>
                <w:highlight w:val="none"/>
              </w:rPr>
              <w:t>投标文件第二个信封（</w:t>
            </w:r>
            <w:r>
              <w:rPr>
                <w:rFonts w:hint="eastAsia" w:ascii="宋体" w:hAnsi="宋体"/>
                <w:color w:val="000000" w:themeColor="text1"/>
                <w:szCs w:val="21"/>
                <w:highlight w:val="none"/>
              </w:rPr>
              <w:t>报价文件</w:t>
            </w:r>
            <w:r>
              <w:rPr>
                <w:rFonts w:ascii="宋体" w:hAnsi="宋体"/>
                <w:color w:val="000000" w:themeColor="text1"/>
                <w:szCs w:val="21"/>
                <w:highlight w:val="none"/>
              </w:rPr>
              <w:t>）开标时间：</w:t>
            </w:r>
          </w:p>
          <w:p>
            <w:pPr>
              <w:snapToGrid w:val="0"/>
              <w:ind w:firstLine="420" w:firstLineChars="200"/>
              <w:rPr>
                <w:rFonts w:hint="eastAsia" w:ascii="宋体" w:hAnsi="宋体"/>
                <w:color w:val="000000" w:themeColor="text1"/>
                <w:szCs w:val="21"/>
                <w:highlight w:val="none"/>
                <w:lang w:val="en-US" w:eastAsia="zh-CN"/>
              </w:rPr>
            </w:pPr>
            <w:r>
              <w:rPr>
                <w:rFonts w:hint="eastAsia" w:ascii="宋体" w:hAnsi="宋体"/>
                <w:color w:val="000000" w:themeColor="text1"/>
                <w:szCs w:val="21"/>
                <w:highlight w:val="none"/>
                <w:lang w:val="en-US" w:eastAsia="zh-CN"/>
              </w:rPr>
              <w:t>见招标公告</w:t>
            </w:r>
          </w:p>
          <w:p>
            <w:pPr>
              <w:snapToGrid w:val="0"/>
              <w:rPr>
                <w:rFonts w:ascii="宋体" w:hAnsi="宋体"/>
                <w:color w:val="000000" w:themeColor="text1"/>
                <w:spacing w:val="-4"/>
                <w:szCs w:val="21"/>
                <w:highlight w:val="none"/>
              </w:rPr>
            </w:pPr>
            <w:r>
              <w:rPr>
                <w:rFonts w:ascii="宋体" w:hAnsi="宋体"/>
                <w:color w:val="000000" w:themeColor="text1"/>
                <w:szCs w:val="21"/>
                <w:highlight w:val="none"/>
              </w:rPr>
              <w:t>投标文件第</w:t>
            </w:r>
            <w:r>
              <w:rPr>
                <w:rFonts w:hint="eastAsia" w:ascii="宋体" w:hAnsi="宋体"/>
                <w:color w:val="000000" w:themeColor="text1"/>
                <w:szCs w:val="21"/>
                <w:highlight w:val="none"/>
              </w:rPr>
              <w:t>二</w:t>
            </w:r>
            <w:r>
              <w:rPr>
                <w:rFonts w:ascii="宋体" w:hAnsi="宋体"/>
                <w:color w:val="000000" w:themeColor="text1"/>
                <w:szCs w:val="21"/>
                <w:highlight w:val="none"/>
              </w:rPr>
              <w:t>个信封（</w:t>
            </w:r>
            <w:r>
              <w:rPr>
                <w:rFonts w:hint="eastAsia" w:ascii="宋体" w:hAnsi="宋体"/>
                <w:color w:val="000000" w:themeColor="text1"/>
                <w:szCs w:val="21"/>
                <w:highlight w:val="none"/>
              </w:rPr>
              <w:t>报价文件</w:t>
            </w:r>
            <w:r>
              <w:rPr>
                <w:rFonts w:ascii="宋体" w:hAnsi="宋体"/>
                <w:color w:val="000000" w:themeColor="text1"/>
                <w:szCs w:val="21"/>
                <w:highlight w:val="none"/>
              </w:rPr>
              <w:t>）</w:t>
            </w:r>
            <w:r>
              <w:rPr>
                <w:rFonts w:ascii="宋体" w:hAnsi="宋体"/>
                <w:color w:val="000000" w:themeColor="text1"/>
                <w:spacing w:val="-4"/>
                <w:szCs w:val="21"/>
                <w:highlight w:val="none"/>
              </w:rPr>
              <w:t>开标地点：</w:t>
            </w:r>
          </w:p>
          <w:p>
            <w:pPr>
              <w:snapToGrid w:val="0"/>
              <w:ind w:firstLine="404" w:firstLineChars="200"/>
              <w:rPr>
                <w:rFonts w:hint="default" w:ascii="宋体" w:hAnsi="宋体" w:eastAsia="宋体"/>
                <w:color w:val="000000" w:themeColor="text1"/>
                <w:spacing w:val="-4"/>
                <w:szCs w:val="21"/>
                <w:highlight w:val="none"/>
                <w:lang w:val="en-US" w:eastAsia="zh-CN"/>
              </w:rPr>
            </w:pPr>
            <w:r>
              <w:rPr>
                <w:rFonts w:hint="eastAsia" w:ascii="宋体" w:hAnsi="宋体"/>
                <w:color w:val="000000" w:themeColor="text1"/>
                <w:spacing w:val="-4"/>
                <w:szCs w:val="21"/>
                <w:highlight w:val="none"/>
                <w:lang w:val="en-US" w:eastAsia="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5.2.1</w:t>
            </w:r>
          </w:p>
        </w:tc>
        <w:tc>
          <w:tcPr>
            <w:tcW w:w="1975" w:type="dxa"/>
            <w:vAlign w:val="center"/>
          </w:tcPr>
          <w:p>
            <w:pPr>
              <w:keepLines/>
              <w:adjustRightInd w:val="0"/>
              <w:snapToGrid w:val="0"/>
              <w:jc w:val="center"/>
              <w:rPr>
                <w:rFonts w:ascii="宋体" w:hAnsi="宋体"/>
                <w:szCs w:val="21"/>
                <w:highlight w:val="none"/>
              </w:rPr>
            </w:pPr>
            <w:r>
              <w:rPr>
                <w:rFonts w:hint="eastAsia" w:ascii="宋体" w:hAnsi="宋体"/>
                <w:szCs w:val="21"/>
                <w:highlight w:val="none"/>
              </w:rPr>
              <w:t>第一个信封（商务及技术文件）</w:t>
            </w:r>
          </w:p>
          <w:p>
            <w:pPr>
              <w:keepLines/>
              <w:adjustRightInd w:val="0"/>
              <w:snapToGrid w:val="0"/>
              <w:jc w:val="center"/>
              <w:rPr>
                <w:rFonts w:ascii="宋体" w:hAnsi="宋体"/>
                <w:szCs w:val="21"/>
                <w:highlight w:val="none"/>
              </w:rPr>
            </w:pPr>
            <w:r>
              <w:rPr>
                <w:rFonts w:hint="eastAsia" w:ascii="宋体" w:hAnsi="宋体"/>
                <w:szCs w:val="21"/>
                <w:highlight w:val="none"/>
              </w:rPr>
              <w:t>开标程序</w:t>
            </w:r>
          </w:p>
        </w:tc>
        <w:tc>
          <w:tcPr>
            <w:tcW w:w="6823" w:type="dxa"/>
            <w:vAlign w:val="center"/>
          </w:tcPr>
          <w:p>
            <w:pPr>
              <w:numPr>
                <w:ilvl w:val="0"/>
                <w:numId w:val="3"/>
              </w:numPr>
              <w:spacing w:line="360" w:lineRule="atLeast"/>
              <w:rPr>
                <w:rFonts w:ascii="宋体" w:hAnsi="宋体"/>
                <w:szCs w:val="21"/>
                <w:highlight w:val="none"/>
              </w:rPr>
            </w:pPr>
            <w:r>
              <w:rPr>
                <w:rFonts w:hint="eastAsia" w:ascii="宋体" w:hAnsi="宋体"/>
                <w:szCs w:val="21"/>
                <w:highlight w:val="none"/>
              </w:rPr>
              <w:t>密封情况检查：检查商务及技术文件是否存在提前开启情况</w:t>
            </w:r>
          </w:p>
          <w:p>
            <w:pPr>
              <w:spacing w:line="360" w:lineRule="atLeast"/>
              <w:rPr>
                <w:rFonts w:ascii="宋体" w:hAnsi="宋体"/>
                <w:szCs w:val="21"/>
                <w:highlight w:val="none"/>
              </w:rPr>
            </w:pPr>
            <w:r>
              <w:rPr>
                <w:rFonts w:hint="eastAsia" w:ascii="宋体" w:hAnsi="宋体"/>
                <w:szCs w:val="21"/>
                <w:highlight w:val="none"/>
              </w:rPr>
              <w:t>（5）开标顺序：/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Merge w:val="continue"/>
            <w:vAlign w:val="center"/>
          </w:tcPr>
          <w:p>
            <w:pPr>
              <w:jc w:val="center"/>
              <w:rPr>
                <w:rFonts w:ascii="宋体" w:hAnsi="宋体"/>
                <w:color w:val="000000" w:themeColor="text1"/>
                <w:highlight w:val="none"/>
              </w:rPr>
            </w:pPr>
          </w:p>
        </w:tc>
        <w:tc>
          <w:tcPr>
            <w:tcW w:w="1975" w:type="dxa"/>
            <w:vAlign w:val="center"/>
          </w:tcPr>
          <w:p>
            <w:pPr>
              <w:keepLines/>
              <w:adjustRightInd w:val="0"/>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电子招投标第一个信封（商务及技术文件）</w:t>
            </w:r>
          </w:p>
          <w:p>
            <w:pPr>
              <w:keepLines/>
              <w:adjustRightInd w:val="0"/>
              <w:snapToGrid w:val="0"/>
              <w:jc w:val="center"/>
              <w:rPr>
                <w:rFonts w:ascii="宋体" w:hAnsi="宋体"/>
                <w:color w:val="000000" w:themeColor="text1"/>
                <w:highlight w:val="none"/>
              </w:rPr>
            </w:pPr>
            <w:r>
              <w:rPr>
                <w:rFonts w:hint="eastAsia" w:ascii="宋体" w:hAnsi="宋体"/>
                <w:color w:val="000000" w:themeColor="text1"/>
                <w:szCs w:val="21"/>
                <w:highlight w:val="none"/>
              </w:rPr>
              <w:t>开标程序</w:t>
            </w:r>
          </w:p>
        </w:tc>
        <w:tc>
          <w:tcPr>
            <w:tcW w:w="6823" w:type="dxa"/>
            <w:vAlign w:val="center"/>
          </w:tcPr>
          <w:p>
            <w:pPr>
              <w:spacing w:line="360" w:lineRule="atLeast"/>
              <w:rPr>
                <w:rFonts w:ascii="宋体" w:hAnsi="宋体"/>
                <w:color w:val="000000" w:themeColor="text1"/>
                <w:szCs w:val="21"/>
                <w:highlight w:val="none"/>
              </w:rPr>
            </w:pPr>
            <w:r>
              <w:rPr>
                <w:rFonts w:hint="eastAsia" w:ascii="宋体" w:hAnsi="宋体"/>
                <w:color w:val="000000" w:themeColor="text1"/>
                <w:szCs w:val="21"/>
                <w:highlight w:val="none"/>
              </w:rPr>
              <w:t>（1）</w:t>
            </w:r>
            <w:r>
              <w:rPr>
                <w:rFonts w:ascii="宋体" w:hAnsi="宋体"/>
                <w:color w:val="000000" w:themeColor="text1"/>
                <w:szCs w:val="21"/>
                <w:highlight w:val="none"/>
              </w:rPr>
              <w:t>公布在投标截止时间前</w:t>
            </w:r>
            <w:r>
              <w:rPr>
                <w:rFonts w:hint="eastAsia" w:ascii="宋体" w:hAnsi="宋体"/>
                <w:color w:val="000000" w:themeColor="text1"/>
                <w:szCs w:val="21"/>
                <w:highlight w:val="none"/>
              </w:rPr>
              <w:t>提</w:t>
            </w:r>
            <w:r>
              <w:rPr>
                <w:rFonts w:ascii="宋体" w:hAnsi="宋体"/>
                <w:color w:val="000000" w:themeColor="text1"/>
                <w:szCs w:val="21"/>
                <w:highlight w:val="none"/>
              </w:rPr>
              <w:t>交</w:t>
            </w:r>
            <w:r>
              <w:rPr>
                <w:rFonts w:hint="eastAsia" w:ascii="宋体" w:hAnsi="宋体"/>
                <w:color w:val="000000" w:themeColor="text1"/>
                <w:szCs w:val="21"/>
                <w:highlight w:val="none"/>
              </w:rPr>
              <w:t>电子</w:t>
            </w:r>
            <w:r>
              <w:rPr>
                <w:rFonts w:ascii="宋体" w:hAnsi="宋体"/>
                <w:color w:val="000000" w:themeColor="text1"/>
                <w:szCs w:val="21"/>
                <w:highlight w:val="none"/>
              </w:rPr>
              <w:t>投标文件的投标人</w:t>
            </w:r>
            <w:r>
              <w:rPr>
                <w:rFonts w:hint="eastAsia" w:ascii="宋体" w:hAnsi="宋体"/>
                <w:color w:val="000000" w:themeColor="text1"/>
                <w:szCs w:val="21"/>
                <w:highlight w:val="none"/>
              </w:rPr>
              <w:t>数量；</w:t>
            </w:r>
          </w:p>
          <w:p>
            <w:pPr>
              <w:spacing w:line="360" w:lineRule="atLeast"/>
              <w:rPr>
                <w:rFonts w:ascii="宋体" w:hAnsi="宋体"/>
                <w:color w:val="000000" w:themeColor="text1"/>
                <w:szCs w:val="21"/>
                <w:highlight w:val="none"/>
              </w:rPr>
            </w:pPr>
            <w:r>
              <w:rPr>
                <w:rFonts w:hint="eastAsia" w:ascii="宋体" w:hAnsi="宋体"/>
                <w:color w:val="000000" w:themeColor="text1"/>
                <w:szCs w:val="21"/>
                <w:highlight w:val="none"/>
              </w:rPr>
              <w:t>（2）投标人解密电子投标文件第一个信封（商务及技术文件）；</w:t>
            </w:r>
          </w:p>
          <w:p>
            <w:pPr>
              <w:spacing w:line="360" w:lineRule="atLeast"/>
              <w:rPr>
                <w:rFonts w:ascii="宋体" w:hAnsi="宋体"/>
                <w:color w:val="000000" w:themeColor="text1"/>
                <w:szCs w:val="21"/>
                <w:highlight w:val="none"/>
              </w:rPr>
            </w:pPr>
            <w:r>
              <w:rPr>
                <w:rFonts w:hint="eastAsia" w:ascii="宋体" w:hAnsi="宋体"/>
                <w:color w:val="000000" w:themeColor="text1"/>
                <w:szCs w:val="21"/>
                <w:highlight w:val="none"/>
              </w:rPr>
              <w:t>（3）</w:t>
            </w:r>
            <w:r>
              <w:rPr>
                <w:rFonts w:ascii="宋体" w:hAnsi="宋体"/>
                <w:color w:val="000000" w:themeColor="text1"/>
                <w:szCs w:val="21"/>
                <w:highlight w:val="none"/>
              </w:rPr>
              <w:t>公布</w:t>
            </w:r>
            <w:r>
              <w:rPr>
                <w:rFonts w:hint="eastAsia" w:ascii="宋体" w:hAnsi="宋体"/>
                <w:color w:val="000000" w:themeColor="text1"/>
                <w:szCs w:val="21"/>
                <w:highlight w:val="none"/>
              </w:rPr>
              <w:t>标段名称、</w:t>
            </w:r>
            <w:r>
              <w:rPr>
                <w:rFonts w:ascii="宋体" w:hAnsi="宋体"/>
                <w:color w:val="000000" w:themeColor="text1"/>
                <w:szCs w:val="21"/>
                <w:highlight w:val="none"/>
              </w:rPr>
              <w:t>投标人名称、投标保证金的递交情况、工期及其他内容</w:t>
            </w:r>
            <w:r>
              <w:rPr>
                <w:rFonts w:hint="eastAsia" w:ascii="宋体" w:hAnsi="宋体"/>
                <w:color w:val="000000" w:themeColor="text1"/>
                <w:szCs w:val="21"/>
                <w:highlight w:val="none"/>
              </w:rPr>
              <w:t>；</w:t>
            </w:r>
          </w:p>
          <w:p>
            <w:pPr>
              <w:spacing w:line="360" w:lineRule="atLeast"/>
              <w:rPr>
                <w:rFonts w:ascii="宋体" w:hAnsi="宋体"/>
                <w:color w:val="000000" w:themeColor="text1"/>
                <w:szCs w:val="21"/>
                <w:highlight w:val="none"/>
              </w:rPr>
            </w:pPr>
            <w:r>
              <w:rPr>
                <w:rFonts w:hint="eastAsia" w:ascii="宋体" w:hAnsi="宋体"/>
                <w:color w:val="000000" w:themeColor="text1"/>
                <w:szCs w:val="21"/>
                <w:highlight w:val="none"/>
              </w:rPr>
              <w:t>（4）</w:t>
            </w:r>
            <w:r>
              <w:rPr>
                <w:rFonts w:ascii="宋体" w:hAnsi="宋体"/>
                <w:color w:val="000000" w:themeColor="text1"/>
                <w:szCs w:val="21"/>
                <w:highlight w:val="none"/>
              </w:rPr>
              <w:t>投标人代表、招标人代表、记录人等有关人员在开标记录上签字确认</w:t>
            </w:r>
            <w:r>
              <w:rPr>
                <w:rFonts w:hint="eastAsia" w:ascii="宋体" w:hAnsi="宋体"/>
                <w:color w:val="000000" w:themeColor="text1"/>
                <w:szCs w:val="21"/>
                <w:highlight w:val="none"/>
              </w:rPr>
              <w:t>；</w:t>
            </w:r>
          </w:p>
          <w:p>
            <w:pPr>
              <w:spacing w:line="360" w:lineRule="atLeast"/>
              <w:rPr>
                <w:rFonts w:ascii="宋体" w:hAnsi="宋体"/>
                <w:color w:val="000000" w:themeColor="text1"/>
                <w:szCs w:val="21"/>
                <w:highlight w:val="none"/>
              </w:rPr>
            </w:pPr>
            <w:r>
              <w:rPr>
                <w:rFonts w:hint="eastAsia" w:ascii="宋体" w:hAnsi="宋体"/>
                <w:color w:val="000000" w:themeColor="text1"/>
                <w:szCs w:val="21"/>
                <w:highlight w:val="none"/>
              </w:rPr>
              <w:t>（5）电子招投标第一个信封（商务及技术文件）开标结束。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Merge w:val="restart"/>
            <w:vAlign w:val="center"/>
          </w:tcPr>
          <w:p>
            <w:pPr>
              <w:jc w:val="center"/>
              <w:rPr>
                <w:rFonts w:ascii="宋体" w:hAnsi="宋体"/>
                <w:color w:val="000000" w:themeColor="text1"/>
                <w:highlight w:val="none"/>
              </w:rPr>
            </w:pPr>
            <w:r>
              <w:rPr>
                <w:rFonts w:ascii="宋体" w:hAnsi="宋体"/>
                <w:color w:val="000000" w:themeColor="text1"/>
                <w:highlight w:val="none"/>
              </w:rPr>
              <w:t>5.2.</w:t>
            </w:r>
            <w:r>
              <w:rPr>
                <w:rFonts w:hint="eastAsia" w:ascii="宋体" w:hAnsi="宋体"/>
                <w:color w:val="000000" w:themeColor="text1"/>
                <w:highlight w:val="none"/>
              </w:rPr>
              <w:t>3</w:t>
            </w:r>
          </w:p>
        </w:tc>
        <w:tc>
          <w:tcPr>
            <w:tcW w:w="1975" w:type="dxa"/>
            <w:vAlign w:val="center"/>
          </w:tcPr>
          <w:p>
            <w:pPr>
              <w:autoSpaceDE w:val="0"/>
              <w:autoSpaceDN w:val="0"/>
              <w:adjustRightInd w:val="0"/>
              <w:spacing w:line="320" w:lineRule="exact"/>
              <w:jc w:val="center"/>
              <w:rPr>
                <w:rFonts w:ascii="宋体" w:hAnsi="宋体"/>
                <w:color w:val="000000"/>
                <w:szCs w:val="21"/>
                <w:highlight w:val="none"/>
              </w:rPr>
            </w:pPr>
            <w:r>
              <w:rPr>
                <w:rFonts w:hint="eastAsia" w:ascii="宋体" w:hAnsi="宋体"/>
                <w:color w:val="000000"/>
                <w:szCs w:val="21"/>
                <w:highlight w:val="none"/>
              </w:rPr>
              <w:t>第二个信封（报价文件）开标程序</w:t>
            </w:r>
          </w:p>
        </w:tc>
        <w:tc>
          <w:tcPr>
            <w:tcW w:w="6823" w:type="dxa"/>
            <w:vAlign w:val="center"/>
          </w:tcPr>
          <w:p>
            <w:pPr>
              <w:spacing w:line="360" w:lineRule="atLeast"/>
              <w:rPr>
                <w:rFonts w:ascii="宋体" w:hAnsi="宋体"/>
                <w:szCs w:val="21"/>
                <w:highlight w:val="none"/>
              </w:rPr>
            </w:pPr>
            <w:r>
              <w:rPr>
                <w:rFonts w:hint="eastAsia" w:ascii="宋体" w:hAnsi="宋体"/>
                <w:szCs w:val="21"/>
                <w:highlight w:val="none"/>
              </w:rPr>
              <w:t>（4）密封情况检查：检查报价文件是否存在提前开启情况</w:t>
            </w:r>
          </w:p>
          <w:p>
            <w:pPr>
              <w:spacing w:line="320" w:lineRule="exact"/>
              <w:rPr>
                <w:rFonts w:ascii="宋体" w:hAnsi="宋体"/>
                <w:color w:val="000000"/>
                <w:szCs w:val="21"/>
                <w:highlight w:val="none"/>
              </w:rPr>
            </w:pPr>
            <w:r>
              <w:rPr>
                <w:rFonts w:hint="eastAsia" w:ascii="宋体" w:hAnsi="宋体"/>
                <w:szCs w:val="21"/>
                <w:highlight w:val="none"/>
              </w:rPr>
              <w:t>（5）开标顺序：/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Merge w:val="continue"/>
            <w:vAlign w:val="center"/>
          </w:tcPr>
          <w:p>
            <w:pPr>
              <w:jc w:val="center"/>
              <w:rPr>
                <w:rFonts w:ascii="宋体" w:hAnsi="宋体"/>
                <w:color w:val="000000" w:themeColor="text1"/>
                <w:highlight w:val="none"/>
              </w:rPr>
            </w:pPr>
          </w:p>
        </w:tc>
        <w:tc>
          <w:tcPr>
            <w:tcW w:w="1975" w:type="dxa"/>
            <w:vAlign w:val="center"/>
          </w:tcPr>
          <w:p>
            <w:pPr>
              <w:autoSpaceDE w:val="0"/>
              <w:autoSpaceDN w:val="0"/>
              <w:adjustRightInd w:val="0"/>
              <w:spacing w:line="320" w:lineRule="exact"/>
              <w:jc w:val="center"/>
              <w:rPr>
                <w:rFonts w:ascii="宋体" w:hAnsi="宋体"/>
                <w:color w:val="000000"/>
                <w:szCs w:val="21"/>
                <w:highlight w:val="none"/>
              </w:rPr>
            </w:pPr>
            <w:r>
              <w:rPr>
                <w:rFonts w:hint="eastAsia" w:ascii="宋体" w:hAnsi="宋体"/>
                <w:szCs w:val="21"/>
                <w:highlight w:val="none"/>
              </w:rPr>
              <w:t>电子招投标</w:t>
            </w:r>
            <w:r>
              <w:rPr>
                <w:rFonts w:hint="eastAsia" w:ascii="宋体" w:hAnsi="宋体"/>
                <w:color w:val="000000"/>
                <w:szCs w:val="21"/>
                <w:highlight w:val="none"/>
              </w:rPr>
              <w:t>第二个信封（报价文件）开标程序</w:t>
            </w:r>
          </w:p>
        </w:tc>
        <w:tc>
          <w:tcPr>
            <w:tcW w:w="6823" w:type="dxa"/>
            <w:vAlign w:val="center"/>
          </w:tcPr>
          <w:p>
            <w:pPr>
              <w:spacing w:line="360" w:lineRule="atLeast"/>
              <w:rPr>
                <w:rFonts w:ascii="宋体" w:hAnsi="宋体"/>
                <w:szCs w:val="21"/>
                <w:highlight w:val="none"/>
              </w:rPr>
            </w:pPr>
            <w:r>
              <w:rPr>
                <w:rFonts w:hint="eastAsia" w:ascii="宋体" w:hAnsi="宋体"/>
                <w:szCs w:val="21"/>
                <w:highlight w:val="none"/>
              </w:rPr>
              <w:t>（1）当众拆开投标文件第一个信封（商务及技术文件）评审结果的密封袋，宣布通过投标文件第一个信封（商务及技术文件）评审的投标人名单；</w:t>
            </w:r>
          </w:p>
          <w:p>
            <w:pPr>
              <w:spacing w:line="360" w:lineRule="atLeast"/>
              <w:rPr>
                <w:rFonts w:ascii="宋体" w:hAnsi="宋体"/>
                <w:szCs w:val="21"/>
                <w:highlight w:val="none"/>
              </w:rPr>
            </w:pPr>
            <w:r>
              <w:rPr>
                <w:rFonts w:hint="eastAsia" w:ascii="宋体" w:hAnsi="宋体"/>
                <w:szCs w:val="21"/>
                <w:highlight w:val="none"/>
              </w:rPr>
              <w:t>（2）通过投标文件第一个信封（商务及技术文件）评审的投标人解密电子投标文件</w:t>
            </w:r>
            <w:r>
              <w:rPr>
                <w:rFonts w:hint="eastAsia" w:ascii="宋体" w:hAnsi="宋体"/>
                <w:color w:val="000000"/>
                <w:szCs w:val="21"/>
                <w:highlight w:val="none"/>
              </w:rPr>
              <w:t>第二个信封（报价文件）</w:t>
            </w:r>
            <w:r>
              <w:rPr>
                <w:rFonts w:hint="eastAsia" w:ascii="宋体" w:hAnsi="宋体"/>
                <w:szCs w:val="21"/>
                <w:highlight w:val="none"/>
              </w:rPr>
              <w:t>；</w:t>
            </w:r>
          </w:p>
          <w:p>
            <w:pPr>
              <w:spacing w:line="360" w:lineRule="atLeast"/>
              <w:rPr>
                <w:rFonts w:ascii="宋体" w:hAnsi="宋体"/>
                <w:szCs w:val="21"/>
                <w:highlight w:val="none"/>
              </w:rPr>
            </w:pPr>
            <w:r>
              <w:rPr>
                <w:rFonts w:hint="eastAsia" w:ascii="宋体" w:hAnsi="宋体"/>
                <w:szCs w:val="21"/>
                <w:highlight w:val="none"/>
              </w:rPr>
              <w:t>（3）公布标段名称、投标人名称、投标报价</w:t>
            </w:r>
            <w:r>
              <w:rPr>
                <w:rFonts w:ascii="宋体" w:hAnsi="宋体"/>
                <w:szCs w:val="21"/>
                <w:highlight w:val="none"/>
              </w:rPr>
              <w:t>及其他内容</w:t>
            </w:r>
            <w:r>
              <w:rPr>
                <w:rFonts w:hint="eastAsia" w:ascii="宋体" w:hAnsi="宋体"/>
                <w:szCs w:val="21"/>
                <w:highlight w:val="none"/>
              </w:rPr>
              <w:t>；</w:t>
            </w:r>
          </w:p>
          <w:p>
            <w:pPr>
              <w:spacing w:line="360" w:lineRule="atLeast"/>
              <w:rPr>
                <w:rFonts w:ascii="宋体" w:hAnsi="宋体"/>
                <w:szCs w:val="21"/>
                <w:highlight w:val="none"/>
              </w:rPr>
            </w:pPr>
            <w:r>
              <w:rPr>
                <w:rFonts w:hint="eastAsia" w:ascii="宋体" w:hAnsi="宋体"/>
                <w:szCs w:val="21"/>
                <w:highlight w:val="none"/>
              </w:rPr>
              <w:t>（4）</w:t>
            </w:r>
            <w:r>
              <w:rPr>
                <w:rFonts w:ascii="宋体" w:hAnsi="宋体"/>
                <w:szCs w:val="21"/>
                <w:highlight w:val="none"/>
              </w:rPr>
              <w:t>投标人代表、招标人代表、记录人等有关人员在开标记录上签字确认</w:t>
            </w:r>
            <w:r>
              <w:rPr>
                <w:rFonts w:hint="eastAsia" w:ascii="宋体" w:hAnsi="宋体"/>
                <w:szCs w:val="21"/>
                <w:highlight w:val="none"/>
              </w:rPr>
              <w:t>；</w:t>
            </w:r>
          </w:p>
          <w:p>
            <w:pPr>
              <w:spacing w:line="360" w:lineRule="atLeast"/>
              <w:rPr>
                <w:rFonts w:ascii="宋体" w:hAnsi="宋体"/>
                <w:szCs w:val="21"/>
                <w:highlight w:val="none"/>
              </w:rPr>
            </w:pPr>
            <w:r>
              <w:rPr>
                <w:rFonts w:hint="eastAsia" w:ascii="宋体" w:hAnsi="宋体"/>
                <w:szCs w:val="21"/>
                <w:highlight w:val="none"/>
              </w:rPr>
              <w:t>（5）电子招投标</w:t>
            </w:r>
            <w:r>
              <w:rPr>
                <w:rFonts w:hint="eastAsia" w:ascii="宋体" w:hAnsi="宋体"/>
                <w:color w:val="000000"/>
                <w:szCs w:val="21"/>
                <w:highlight w:val="none"/>
              </w:rPr>
              <w:t>第二个信封（报价文件）</w:t>
            </w:r>
            <w:r>
              <w:rPr>
                <w:rFonts w:hint="eastAsia" w:ascii="宋体" w:hAnsi="宋体"/>
                <w:szCs w:val="21"/>
                <w:highlight w:val="none"/>
              </w:rPr>
              <w:t>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6.1.1</w:t>
            </w:r>
          </w:p>
        </w:tc>
        <w:tc>
          <w:tcPr>
            <w:tcW w:w="1975" w:type="dxa"/>
            <w:vAlign w:val="center"/>
          </w:tcPr>
          <w:p>
            <w:pPr>
              <w:jc w:val="center"/>
              <w:rPr>
                <w:rFonts w:ascii="宋体" w:hAnsi="宋体"/>
                <w:color w:val="000000" w:themeColor="text1"/>
                <w:highlight w:val="none"/>
              </w:rPr>
            </w:pPr>
            <w:r>
              <w:rPr>
                <w:rFonts w:ascii="宋体" w:hAnsi="宋体"/>
                <w:color w:val="000000" w:themeColor="text1"/>
                <w:highlight w:val="none"/>
              </w:rPr>
              <w:t>评标委员会的组建</w:t>
            </w:r>
          </w:p>
        </w:tc>
        <w:tc>
          <w:tcPr>
            <w:tcW w:w="6823" w:type="dxa"/>
            <w:vAlign w:val="center"/>
          </w:tcPr>
          <w:p>
            <w:pPr>
              <w:snapToGrid w:val="0"/>
              <w:rPr>
                <w:rFonts w:ascii="宋体" w:hAnsi="宋体"/>
                <w:color w:val="000000" w:themeColor="text1"/>
                <w:szCs w:val="21"/>
                <w:highlight w:val="none"/>
              </w:rPr>
            </w:pPr>
            <w:r>
              <w:rPr>
                <w:rFonts w:ascii="宋体" w:hAnsi="宋体"/>
                <w:color w:val="000000" w:themeColor="text1"/>
                <w:szCs w:val="21"/>
                <w:highlight w:val="none"/>
              </w:rPr>
              <w:t>评标委员会构成：</w:t>
            </w:r>
            <w:r>
              <w:rPr>
                <w:rFonts w:hint="eastAsia" w:ascii="宋体" w:hAnsi="宋体"/>
                <w:color w:val="000000" w:themeColor="text1"/>
                <w:szCs w:val="21"/>
                <w:highlight w:val="none"/>
              </w:rPr>
              <w:t>9</w:t>
            </w:r>
            <w:r>
              <w:rPr>
                <w:rFonts w:ascii="宋体" w:hAnsi="宋体"/>
                <w:color w:val="000000" w:themeColor="text1"/>
                <w:szCs w:val="21"/>
                <w:highlight w:val="none"/>
              </w:rPr>
              <w:t>人，其中招标人代表</w:t>
            </w:r>
            <w:r>
              <w:rPr>
                <w:rFonts w:hint="eastAsia" w:ascii="宋体" w:hAnsi="宋体"/>
                <w:color w:val="000000" w:themeColor="text1"/>
                <w:szCs w:val="21"/>
                <w:highlight w:val="none"/>
              </w:rPr>
              <w:t>1</w:t>
            </w:r>
            <w:r>
              <w:rPr>
                <w:rFonts w:ascii="宋体" w:hAnsi="宋体"/>
                <w:color w:val="000000" w:themeColor="text1"/>
                <w:szCs w:val="21"/>
                <w:highlight w:val="none"/>
              </w:rPr>
              <w:t>人，专家</w:t>
            </w:r>
            <w:r>
              <w:rPr>
                <w:rFonts w:hint="eastAsia" w:ascii="宋体" w:hAnsi="宋体"/>
                <w:color w:val="000000" w:themeColor="text1"/>
                <w:szCs w:val="21"/>
                <w:highlight w:val="none"/>
              </w:rPr>
              <w:t>8</w:t>
            </w:r>
            <w:r>
              <w:rPr>
                <w:rFonts w:ascii="宋体" w:hAnsi="宋体"/>
                <w:color w:val="000000" w:themeColor="text1"/>
                <w:szCs w:val="21"/>
                <w:highlight w:val="none"/>
              </w:rPr>
              <w:t>人；</w:t>
            </w:r>
          </w:p>
          <w:p>
            <w:pPr>
              <w:snapToGrid w:val="0"/>
              <w:rPr>
                <w:rFonts w:ascii="宋体" w:hAnsi="宋体"/>
                <w:color w:val="000000" w:themeColor="text1"/>
                <w:szCs w:val="21"/>
                <w:highlight w:val="none"/>
              </w:rPr>
            </w:pPr>
            <w:r>
              <w:rPr>
                <w:rFonts w:ascii="宋体" w:hAnsi="宋体"/>
                <w:color w:val="000000" w:themeColor="text1"/>
                <w:szCs w:val="21"/>
                <w:highlight w:val="none"/>
              </w:rPr>
              <w:t>评标专家确定方式</w:t>
            </w:r>
            <w:r>
              <w:rPr>
                <w:rFonts w:hint="eastAsia" w:ascii="宋体" w:hAnsi="宋体"/>
                <w:color w:val="000000" w:themeColor="text1"/>
                <w:szCs w:val="21"/>
                <w:highlight w:val="none"/>
              </w:rPr>
              <w:t>：依法从相应评标专家库中随机抽取。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6.3.2</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评标委员会推荐</w:t>
            </w:r>
            <w:r>
              <w:rPr>
                <w:rFonts w:ascii="宋体" w:hAnsi="宋体"/>
                <w:color w:val="000000" w:themeColor="text1"/>
                <w:highlight w:val="none"/>
              </w:rPr>
              <w:br w:type="textWrapping"/>
            </w:r>
            <w:r>
              <w:rPr>
                <w:rFonts w:hint="eastAsia" w:ascii="宋体" w:hAnsi="宋体"/>
                <w:color w:val="000000" w:themeColor="text1"/>
                <w:highlight w:val="none"/>
              </w:rPr>
              <w:t>中标候选人的人数</w:t>
            </w:r>
          </w:p>
        </w:tc>
        <w:tc>
          <w:tcPr>
            <w:tcW w:w="6823" w:type="dxa"/>
            <w:vAlign w:val="center"/>
          </w:tcPr>
          <w:p>
            <w:pPr>
              <w:spacing w:line="360" w:lineRule="exact"/>
              <w:rPr>
                <w:rFonts w:ascii="宋体" w:hAnsi="宋体"/>
                <w:color w:val="000000"/>
                <w:szCs w:val="21"/>
                <w:highlight w:val="none"/>
              </w:rPr>
            </w:pPr>
            <w:r>
              <w:rPr>
                <w:rFonts w:hint="eastAsia" w:ascii="宋体" w:hAnsi="宋体"/>
                <w:color w:val="000000"/>
                <w:szCs w:val="21"/>
                <w:highlight w:val="none"/>
              </w:rPr>
              <w:t>3名（或3名以内）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ascii="宋体" w:hAnsi="宋体"/>
                <w:color w:val="000000" w:themeColor="text1"/>
                <w:highlight w:val="none"/>
              </w:rPr>
              <w:t>7.1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中标候选人</w:t>
            </w:r>
          </w:p>
          <w:p>
            <w:pPr>
              <w:jc w:val="center"/>
              <w:rPr>
                <w:rFonts w:ascii="宋体" w:hAnsi="宋体"/>
                <w:color w:val="000000" w:themeColor="text1"/>
                <w:highlight w:val="none"/>
              </w:rPr>
            </w:pPr>
            <w:r>
              <w:rPr>
                <w:rFonts w:hint="eastAsia" w:ascii="宋体" w:hAnsi="宋体"/>
                <w:color w:val="000000" w:themeColor="text1"/>
                <w:highlight w:val="none"/>
              </w:rPr>
              <w:t>公示媒介及</w:t>
            </w:r>
          </w:p>
          <w:p>
            <w:pPr>
              <w:jc w:val="center"/>
              <w:rPr>
                <w:rFonts w:ascii="宋体" w:hAnsi="宋体"/>
                <w:color w:val="000000" w:themeColor="text1"/>
                <w:highlight w:val="none"/>
              </w:rPr>
            </w:pPr>
            <w:r>
              <w:rPr>
                <w:rFonts w:hint="eastAsia" w:ascii="宋体" w:hAnsi="宋体"/>
                <w:color w:val="000000" w:themeColor="text1"/>
                <w:highlight w:val="none"/>
              </w:rPr>
              <w:t>期限</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公示媒介：中国招标投标公共服务平台、吉林省公共资源交易公共服务平台、吉林省交通运输厅网站、延边州人民政府信息公开专栏</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公示期限：3日</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公示的其他内容：/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7.4</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是否授权评标委员会</w:t>
            </w:r>
            <w:r>
              <w:rPr>
                <w:rFonts w:ascii="宋体" w:hAnsi="宋体"/>
                <w:color w:val="000000" w:themeColor="text1"/>
                <w:highlight w:val="none"/>
              </w:rPr>
              <w:br w:type="textWrapping"/>
            </w:r>
            <w:r>
              <w:rPr>
                <w:rFonts w:hint="eastAsia" w:ascii="宋体" w:hAnsi="宋体"/>
                <w:color w:val="000000" w:themeColor="text1"/>
                <w:highlight w:val="none"/>
              </w:rPr>
              <w:t>确定中标人</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7</w:t>
            </w:r>
            <w:r>
              <w:rPr>
                <w:rFonts w:ascii="宋体" w:hAnsi="宋体"/>
                <w:color w:val="000000" w:themeColor="text1"/>
                <w:highlight w:val="none"/>
              </w:rPr>
              <w:t>.5</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中标通知书和中标结</w:t>
            </w:r>
            <w:r>
              <w:rPr>
                <w:rFonts w:ascii="宋体" w:hAnsi="宋体"/>
                <w:color w:val="000000" w:themeColor="text1"/>
                <w:highlight w:val="none"/>
              </w:rPr>
              <w:br w:type="textWrapping"/>
            </w:r>
            <w:r>
              <w:rPr>
                <w:rFonts w:hint="eastAsia" w:ascii="宋体" w:hAnsi="宋体"/>
                <w:color w:val="000000" w:themeColor="text1"/>
                <w:highlight w:val="none"/>
              </w:rPr>
              <w:t>果通知发出的形式</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中标通知书以书面形式发出，中标结果通知以中标结果公告的形式在本须知7.6款明确的媒介上发出。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7.6</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中标通知公告</w:t>
            </w:r>
            <w:r>
              <w:rPr>
                <w:rFonts w:ascii="宋体" w:hAnsi="宋体"/>
                <w:color w:val="000000" w:themeColor="text1"/>
                <w:highlight w:val="none"/>
              </w:rPr>
              <w:br w:type="textWrapping"/>
            </w:r>
            <w:r>
              <w:rPr>
                <w:rFonts w:hint="eastAsia" w:ascii="宋体" w:hAnsi="宋体"/>
                <w:color w:val="000000" w:themeColor="text1"/>
                <w:highlight w:val="none"/>
              </w:rPr>
              <w:t>媒介及期限</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公告媒介：中国招标投标公共服务平台、吉林省公共资源交易公共服务平台、吉林省交通运输厅网站、延边州人民政府信息公开专栏</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公告期限：3日</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公告的其他内容：/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7.7.1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履约保证金</w:t>
            </w:r>
          </w:p>
        </w:tc>
        <w:tc>
          <w:tcPr>
            <w:tcW w:w="6823" w:type="dxa"/>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履约保证金形式：银行保函或现金、支票形式</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履约保证金金额：10%签约合同价。</w:t>
            </w:r>
          </w:p>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（1）采用现金、支票形式时，应由中标人的基本账户汇入发包人指定账户。</w:t>
            </w:r>
          </w:p>
          <w:p>
            <w:pPr>
              <w:adjustRightInd w:val="0"/>
              <w:snapToGrid w:val="0"/>
              <w:rPr>
                <w:rFonts w:ascii="宋体" w:hAnsi="宋体"/>
                <w:color w:val="000000" w:themeColor="text1"/>
                <w:szCs w:val="21"/>
                <w:highlight w:val="none"/>
              </w:rPr>
            </w:pPr>
            <w:r>
              <w:rPr>
                <w:rFonts w:ascii="宋体" w:hAnsi="宋体"/>
                <w:color w:val="000000" w:themeColor="text1"/>
                <w:szCs w:val="21"/>
                <w:highlight w:val="none"/>
              </w:rPr>
              <w:t>（</w:t>
            </w:r>
            <w:r>
              <w:rPr>
                <w:rFonts w:hint="eastAsia" w:ascii="宋体" w:hAnsi="宋体"/>
                <w:color w:val="000000" w:themeColor="text1"/>
                <w:szCs w:val="21"/>
                <w:highlight w:val="none"/>
              </w:rPr>
              <w:t>2）采用银行保函时，出具保函的银行级别：应由“工商银行、农业银行、中国银行、建设银行、交通银行”五大国有商业银行及全国性商业银行开具，银行级别应为地市级分、支行以上级别。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8.5.1</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highlight w:val="none"/>
              </w:rPr>
              <w:t>监督部门</w:t>
            </w:r>
          </w:p>
        </w:tc>
        <w:tc>
          <w:tcPr>
            <w:tcW w:w="6823" w:type="dxa"/>
            <w:vAlign w:val="center"/>
          </w:tcPr>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监督部门：延边州交通运输局</w:t>
            </w:r>
          </w:p>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地　　址：延吉市公园路5568号</w:t>
            </w:r>
          </w:p>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电    话：0433-2705070</w:t>
            </w:r>
          </w:p>
          <w:p>
            <w:pPr>
              <w:adjustRightInd w:val="0"/>
              <w:snapToGrid w:val="0"/>
              <w:jc w:val="left"/>
              <w:rPr>
                <w:rFonts w:ascii="宋体" w:hAnsi="宋体"/>
                <w:color w:val="000000" w:themeColor="text1"/>
                <w:szCs w:val="21"/>
                <w:highlight w:val="none"/>
              </w:rPr>
            </w:pPr>
            <w:r>
              <w:rPr>
                <w:rFonts w:hint="eastAsia" w:ascii="宋体" w:hAnsi="宋体"/>
                <w:color w:val="000000" w:themeColor="text1"/>
                <w:szCs w:val="21"/>
                <w:highlight w:val="none"/>
              </w:rPr>
              <w:t>传    真：0433-2257000</w:t>
            </w:r>
          </w:p>
          <w:p>
            <w:pPr>
              <w:adjustRightInd w:val="0"/>
              <w:snapToGrid w:val="0"/>
              <w:jc w:val="left"/>
              <w:rPr>
                <w:rFonts w:ascii="楷体" w:hAnsi="楷体" w:eastAsia="楷体"/>
                <w:color w:val="000000" w:themeColor="text1"/>
                <w:szCs w:val="21"/>
                <w:highlight w:val="none"/>
              </w:rPr>
            </w:pPr>
            <w:r>
              <w:rPr>
                <w:rFonts w:hint="eastAsia" w:ascii="宋体" w:hAnsi="宋体"/>
                <w:color w:val="000000" w:themeColor="text1"/>
                <w:szCs w:val="21"/>
                <w:highlight w:val="none"/>
              </w:rPr>
              <w:t>邮　　编：133000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896" w:type="dxa"/>
            <w:vAlign w:val="center"/>
          </w:tcPr>
          <w:p>
            <w:pPr>
              <w:jc w:val="center"/>
              <w:rPr>
                <w:rFonts w:ascii="宋体" w:hAnsi="宋体"/>
                <w:color w:val="000000" w:themeColor="text1"/>
                <w:highlight w:val="none"/>
              </w:rPr>
            </w:pPr>
            <w:r>
              <w:rPr>
                <w:rFonts w:hint="eastAsia" w:ascii="宋体" w:hAnsi="宋体"/>
                <w:color w:val="000000" w:themeColor="text1"/>
                <w:szCs w:val="21"/>
                <w:highlight w:val="none"/>
              </w:rPr>
              <w:t>9</w:t>
            </w:r>
          </w:p>
        </w:tc>
        <w:tc>
          <w:tcPr>
            <w:tcW w:w="1975" w:type="dxa"/>
            <w:vAlign w:val="center"/>
          </w:tcPr>
          <w:p>
            <w:pPr>
              <w:jc w:val="center"/>
              <w:rPr>
                <w:rFonts w:ascii="宋体" w:hAnsi="宋体"/>
                <w:color w:val="000000" w:themeColor="text1"/>
                <w:highlight w:val="none"/>
              </w:rPr>
            </w:pPr>
            <w:r>
              <w:rPr>
                <w:rFonts w:hint="eastAsia" w:ascii="宋体" w:hAnsi="宋体"/>
                <w:color w:val="000000" w:themeColor="text1"/>
                <w:szCs w:val="21"/>
                <w:highlight w:val="none"/>
              </w:rPr>
              <w:t>是否采用电子招标投标</w:t>
            </w:r>
          </w:p>
        </w:tc>
        <w:tc>
          <w:tcPr>
            <w:tcW w:w="6823" w:type="dxa"/>
            <w:vAlign w:val="center"/>
          </w:tcPr>
          <w:p>
            <w:pPr>
              <w:ind w:right="113"/>
              <w:rPr>
                <w:rFonts w:ascii="宋体" w:hAnsi="宋体"/>
                <w:color w:val="000000" w:themeColor="text1"/>
                <w:szCs w:val="21"/>
                <w:highlight w:val="none"/>
              </w:rPr>
            </w:pPr>
            <w:r>
              <w:rPr>
                <w:rFonts w:hint="eastAsia" w:ascii="宋体" w:hAnsi="宋体" w:cs="宋体"/>
                <w:color w:val="000000" w:themeColor="text1"/>
                <w:kern w:val="0"/>
                <w:sz w:val="18"/>
                <w:szCs w:val="18"/>
                <w:highlight w:val="none"/>
                <w:bdr w:val="single" w:color="auto" w:sz="4" w:space="0"/>
                <w:lang w:val="zh-CN"/>
              </w:rPr>
              <w:t xml:space="preserve">  </w:t>
            </w:r>
            <w:r>
              <w:rPr>
                <w:rFonts w:hint="eastAsia" w:ascii="宋体" w:hAnsi="宋体"/>
                <w:color w:val="000000" w:themeColor="text1"/>
                <w:szCs w:val="21"/>
                <w:highlight w:val="none"/>
              </w:rPr>
              <w:t>否</w:t>
            </w:r>
          </w:p>
          <w:p>
            <w:pPr>
              <w:spacing w:line="360" w:lineRule="exact"/>
              <w:rPr>
                <w:rFonts w:ascii="宋体" w:hAnsi="宋体" w:cs="宋体"/>
                <w:color w:val="000000" w:themeColor="text1"/>
                <w:kern w:val="0"/>
                <w:szCs w:val="21"/>
                <w:highlight w:val="none"/>
              </w:rPr>
            </w:pPr>
            <w:r>
              <w:rPr>
                <w:rFonts w:hint="eastAsia" w:ascii="宋体" w:hAnsi="宋体" w:cs="宋体"/>
                <w:b/>
                <w:color w:val="000000" w:themeColor="text1"/>
                <w:kern w:val="0"/>
                <w:sz w:val="18"/>
                <w:szCs w:val="18"/>
                <w:highlight w:val="none"/>
                <w:bdr w:val="single" w:color="auto" w:sz="4" w:space="0"/>
                <w:lang w:val="zh-CN"/>
              </w:rPr>
              <w:t>√</w:t>
            </w:r>
            <w:r>
              <w:rPr>
                <w:rFonts w:hint="eastAsia" w:ascii="宋体" w:hAnsi="宋体"/>
                <w:color w:val="000000" w:themeColor="text1"/>
                <w:szCs w:val="21"/>
                <w:highlight w:val="none"/>
              </w:rPr>
              <w:t>是，具体要求：本次招标试运行电子化招投标，采用“网上和网下”两种方式同步运行，以“网下”为准。“网上”按电子化招投标流程要求进行，在网上提交加密的电子投标文件，“网下”以书面方式同时进行。除非在试运行期间出现系统故障等特殊情况，投标人均应按要求在网上和网下提交投标文件（网上使用</w:t>
            </w:r>
            <w:r>
              <w:rPr>
                <w:rFonts w:hint="eastAsia" w:ascii="宋体" w:hAnsi="宋体" w:cs="宋体"/>
                <w:bCs/>
                <w:color w:val="000000" w:themeColor="text1"/>
                <w:kern w:val="0"/>
                <w:szCs w:val="21"/>
                <w:highlight w:val="none"/>
              </w:rPr>
              <w:t>投标工具软件制作投标文件，网下以招标文件给定的格式制作投标文件，两者格式允许不同，但填报的内容原则上应一致</w:t>
            </w:r>
            <w:r>
              <w:rPr>
                <w:rFonts w:hint="eastAsia" w:ascii="宋体" w:hAnsi="宋体"/>
                <w:color w:val="000000" w:themeColor="text1"/>
                <w:szCs w:val="21"/>
                <w:highlight w:val="none"/>
              </w:rPr>
              <w:t>）。电子化招投标具体要求详见附件：吉林省公共资源交易管理委员会办公室发布的《关于开展省级交通工程项目招投标全程电子化试运行有关工作的通知》和吉林省交通运输厅发布的《吉林省交通运输厅转发&lt;关于开展省级交通工程项目招标投标全程电子化试运行有关工作的通知&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9694" w:type="dxa"/>
            <w:gridSpan w:val="3"/>
            <w:vAlign w:val="center"/>
          </w:tcPr>
          <w:p>
            <w:pPr>
              <w:snapToGrid w:val="0"/>
              <w:ind w:firstLine="210" w:firstLineChars="100"/>
              <w:rPr>
                <w:rFonts w:ascii="宋体" w:hAnsi="宋体"/>
                <w:color w:val="000000" w:themeColor="text1"/>
                <w:szCs w:val="21"/>
                <w:highlight w:val="none"/>
              </w:rPr>
            </w:pPr>
            <w:r>
              <w:rPr>
                <w:rFonts w:ascii="宋体" w:hAnsi="宋体"/>
                <w:color w:val="000000" w:themeColor="text1"/>
                <w:szCs w:val="21"/>
                <w:highlight w:val="none"/>
              </w:rPr>
              <w:t>需要补充的其他内容</w:t>
            </w:r>
            <w:r>
              <w:rPr>
                <w:rFonts w:hint="eastAsia" w:ascii="宋体" w:hAnsi="宋体"/>
                <w:color w:val="000000" w:themeColor="text1"/>
                <w:szCs w:val="21"/>
                <w:highlight w:val="none"/>
              </w:rPr>
              <w:t>: /</w:t>
            </w:r>
          </w:p>
        </w:tc>
      </w:tr>
    </w:tbl>
    <w:p>
      <w:pPr>
        <w:pStyle w:val="5"/>
        <w:numPr>
          <w:ilvl w:val="0"/>
          <w:numId w:val="0"/>
        </w:numPr>
        <w:spacing w:beforeLines="200" w:afterLines="100" w:line="360" w:lineRule="auto"/>
        <w:ind w:firstLine="240" w:firstLineChars="100"/>
        <w:jc w:val="center"/>
        <w:rPr>
          <w:rFonts w:ascii="黑体" w:hAnsi="黑体"/>
          <w:color w:val="000000" w:themeColor="text1"/>
          <w:sz w:val="28"/>
          <w:highlight w:val="none"/>
          <w:lang w:val="zh-CN"/>
        </w:rPr>
      </w:pPr>
      <w:bookmarkStart w:id="28" w:name="_Toc237400444"/>
      <w:r>
        <w:rPr>
          <w:rFonts w:ascii="Times New Roman" w:hAnsi="Times New Roman"/>
          <w:color w:val="000000" w:themeColor="text1"/>
          <w:highlight w:val="none"/>
        </w:rPr>
        <w:br w:type="page"/>
      </w:r>
      <w:bookmarkEnd w:id="28"/>
      <w:bookmarkStart w:id="29" w:name="_Toc436994103"/>
      <w:r>
        <w:rPr>
          <w:rFonts w:hint="eastAsia" w:ascii="黑体" w:hAnsi="黑体"/>
          <w:color w:val="000000" w:themeColor="text1"/>
          <w:sz w:val="28"/>
          <w:highlight w:val="none"/>
          <w:lang w:val="zh-CN"/>
        </w:rPr>
        <w:t>附录1</w:t>
      </w:r>
      <w:r>
        <w:rPr>
          <w:rFonts w:ascii="黑体" w:hAnsi="黑体"/>
          <w:color w:val="000000" w:themeColor="text1"/>
          <w:sz w:val="28"/>
          <w:highlight w:val="none"/>
          <w:lang w:val="zh-CN"/>
        </w:rPr>
        <w:t xml:space="preserve">  </w:t>
      </w:r>
      <w:r>
        <w:rPr>
          <w:rFonts w:hint="eastAsia" w:ascii="黑体" w:hAnsi="黑体"/>
          <w:color w:val="000000" w:themeColor="text1"/>
          <w:sz w:val="28"/>
          <w:highlight w:val="none"/>
          <w:lang w:val="zh-CN"/>
        </w:rPr>
        <w:t>资格审查条件（资质最低要求）</w:t>
      </w:r>
    </w:p>
    <w:tbl>
      <w:tblPr>
        <w:tblStyle w:val="43"/>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vAlign w:val="center"/>
          </w:tcPr>
          <w:p>
            <w:pPr>
              <w:snapToGrid w:val="0"/>
              <w:ind w:firstLine="210" w:firstLineChars="100"/>
              <w:jc w:val="center"/>
              <w:rPr>
                <w:rFonts w:ascii="宋体" w:hAnsi="宋体"/>
                <w:color w:val="000000" w:themeColor="text1"/>
                <w:szCs w:val="21"/>
                <w:highlight w:val="none"/>
              </w:rPr>
            </w:pPr>
            <w:r>
              <w:rPr>
                <w:rFonts w:hint="eastAsia" w:ascii="宋体" w:hAnsi="宋体"/>
                <w:color w:val="000000" w:themeColor="text1"/>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vAlign w:val="center"/>
          </w:tcPr>
          <w:p>
            <w:pPr>
              <w:adjustRightInd w:val="0"/>
              <w:snapToGrid w:val="0"/>
              <w:ind w:firstLine="420" w:firstLineChars="200"/>
              <w:rPr>
                <w:color w:val="000000" w:themeColor="text1"/>
                <w:szCs w:val="21"/>
                <w:highlight w:val="none"/>
                <w:lang w:bidi="zh-TW"/>
              </w:rPr>
            </w:pPr>
            <w:r>
              <w:rPr>
                <w:rFonts w:hint="eastAsia"/>
                <w:color w:val="000000" w:themeColor="text1"/>
                <w:kern w:val="0"/>
                <w:szCs w:val="21"/>
                <w:highlight w:val="none"/>
              </w:rPr>
              <w:t>YA01标段：</w:t>
            </w:r>
            <w:r>
              <w:rPr>
                <w:rFonts w:hint="eastAsia" w:ascii="宋体" w:hAnsi="宋体"/>
                <w:bCs/>
                <w:color w:val="000000" w:themeColor="text1"/>
                <w:szCs w:val="21"/>
                <w:highlight w:val="none"/>
              </w:rPr>
              <w:t>公路工程施工总承包三级或三级以上资质</w:t>
            </w:r>
            <w:r>
              <w:rPr>
                <w:rFonts w:hint="eastAsia"/>
                <w:color w:val="000000" w:themeColor="text1"/>
                <w:szCs w:val="21"/>
                <w:highlight w:val="none"/>
                <w:lang w:bidi="zh-TW"/>
              </w:rPr>
              <w:t>。</w:t>
            </w:r>
          </w:p>
          <w:p>
            <w:pPr>
              <w:adjustRightInd w:val="0"/>
              <w:snapToGrid w:val="0"/>
              <w:ind w:firstLine="420" w:firstLineChars="200"/>
              <w:rPr>
                <w:color w:val="000000" w:themeColor="text1"/>
                <w:szCs w:val="21"/>
                <w:highlight w:val="none"/>
                <w:lang w:bidi="zh-TW"/>
              </w:rPr>
            </w:pPr>
            <w:r>
              <w:rPr>
                <w:rFonts w:hint="eastAsia"/>
                <w:color w:val="000000" w:themeColor="text1"/>
                <w:kern w:val="0"/>
                <w:szCs w:val="21"/>
                <w:highlight w:val="none"/>
              </w:rPr>
              <w:t>YA02标段：</w:t>
            </w:r>
            <w:r>
              <w:rPr>
                <w:rFonts w:hint="eastAsia" w:ascii="宋体" w:hAnsi="宋体"/>
                <w:bCs/>
                <w:color w:val="000000" w:themeColor="text1"/>
                <w:szCs w:val="21"/>
                <w:highlight w:val="none"/>
              </w:rPr>
              <w:t>公路工程施工总承包二级或二级以上资质</w:t>
            </w:r>
            <w:r>
              <w:rPr>
                <w:rFonts w:hint="eastAsia"/>
                <w:color w:val="000000" w:themeColor="text1"/>
                <w:szCs w:val="21"/>
                <w:highlight w:val="none"/>
                <w:lang w:bidi="zh-TW"/>
              </w:rPr>
              <w:t>。</w:t>
            </w:r>
          </w:p>
          <w:p>
            <w:pPr>
              <w:adjustRightInd w:val="0"/>
              <w:snapToGrid w:val="0"/>
              <w:ind w:firstLine="420" w:firstLineChars="200"/>
              <w:rPr>
                <w:color w:val="000000" w:themeColor="text1"/>
                <w:szCs w:val="21"/>
                <w:highlight w:val="none"/>
                <w:lang w:bidi="zh-TW"/>
              </w:rPr>
            </w:pPr>
            <w:r>
              <w:rPr>
                <w:rFonts w:hint="eastAsia"/>
                <w:color w:val="000000" w:themeColor="text1"/>
                <w:kern w:val="0"/>
                <w:szCs w:val="21"/>
                <w:highlight w:val="none"/>
              </w:rPr>
              <w:t>YA03标段：</w:t>
            </w:r>
            <w:r>
              <w:rPr>
                <w:rFonts w:hint="eastAsia" w:ascii="宋体" w:hAnsi="宋体"/>
                <w:bCs/>
                <w:color w:val="000000" w:themeColor="text1"/>
                <w:szCs w:val="21"/>
                <w:highlight w:val="none"/>
              </w:rPr>
              <w:t>公路工程施工总承包三级或三级以上资质</w:t>
            </w:r>
            <w:r>
              <w:rPr>
                <w:rFonts w:hint="eastAsia"/>
                <w:color w:val="000000" w:themeColor="text1"/>
                <w:szCs w:val="21"/>
                <w:highlight w:val="none"/>
                <w:lang w:bidi="zh-TW"/>
              </w:rPr>
              <w:t>。</w:t>
            </w:r>
          </w:p>
        </w:tc>
      </w:tr>
    </w:tbl>
    <w:p>
      <w:pPr>
        <w:pStyle w:val="5"/>
        <w:numPr>
          <w:ilvl w:val="0"/>
          <w:numId w:val="0"/>
        </w:numPr>
        <w:spacing w:beforeLines="200" w:afterLines="100" w:line="360" w:lineRule="auto"/>
        <w:ind w:firstLine="280" w:firstLineChars="100"/>
        <w:jc w:val="center"/>
        <w:rPr>
          <w:rFonts w:ascii="黑体" w:hAnsi="黑体"/>
          <w:color w:val="000000" w:themeColor="text1"/>
          <w:sz w:val="28"/>
          <w:highlight w:val="none"/>
          <w:lang w:val="zh-CN"/>
        </w:rPr>
      </w:pPr>
      <w:r>
        <w:rPr>
          <w:rFonts w:hint="eastAsia" w:ascii="黑体" w:hAnsi="黑体"/>
          <w:color w:val="000000" w:themeColor="text1"/>
          <w:sz w:val="28"/>
          <w:highlight w:val="none"/>
          <w:lang w:val="zh-CN"/>
        </w:rPr>
        <w:t>附录2</w:t>
      </w:r>
      <w:r>
        <w:rPr>
          <w:rFonts w:ascii="黑体" w:hAnsi="黑体"/>
          <w:color w:val="000000" w:themeColor="text1"/>
          <w:sz w:val="28"/>
          <w:highlight w:val="none"/>
          <w:lang w:val="zh-CN"/>
        </w:rPr>
        <w:t xml:space="preserve">  </w:t>
      </w:r>
      <w:r>
        <w:rPr>
          <w:rFonts w:hint="eastAsia" w:ascii="黑体" w:hAnsi="黑体"/>
          <w:color w:val="000000" w:themeColor="text1"/>
          <w:sz w:val="28"/>
          <w:highlight w:val="none"/>
          <w:lang w:val="zh-CN"/>
        </w:rPr>
        <w:t>资格审查条件（财务最低要求）</w:t>
      </w:r>
    </w:p>
    <w:tbl>
      <w:tblPr>
        <w:tblStyle w:val="43"/>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vAlign w:val="center"/>
          </w:tcPr>
          <w:p>
            <w:pPr>
              <w:snapToGrid w:val="0"/>
              <w:ind w:firstLine="210" w:firstLineChars="100"/>
              <w:jc w:val="center"/>
              <w:rPr>
                <w:rFonts w:ascii="宋体" w:hAnsi="宋体"/>
                <w:color w:val="000000" w:themeColor="text1"/>
                <w:szCs w:val="21"/>
                <w:highlight w:val="none"/>
              </w:rPr>
            </w:pPr>
            <w:r>
              <w:rPr>
                <w:rFonts w:hint="eastAsia" w:ascii="宋体" w:hAnsi="宋体"/>
                <w:color w:val="000000" w:themeColor="text1"/>
                <w:szCs w:val="21"/>
                <w:highlight w:val="none"/>
              </w:rPr>
              <w:t>财务要求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vAlign w:val="center"/>
          </w:tcPr>
          <w:p>
            <w:pPr>
              <w:adjustRightInd w:val="0"/>
              <w:snapToGrid w:val="0"/>
              <w:ind w:firstLine="420" w:firstLineChars="200"/>
              <w:rPr>
                <w:rFonts w:ascii="宋体" w:hAnsi="宋体" w:cs="宋体"/>
                <w:color w:val="000000" w:themeColor="text1"/>
                <w:kern w:val="0"/>
                <w:szCs w:val="21"/>
                <w:highlight w:val="none"/>
              </w:rPr>
            </w:pPr>
            <w:r>
              <w:rPr>
                <w:rFonts w:ascii="宋体" w:hAnsi="宋体" w:cs="宋体"/>
                <w:color w:val="000000" w:themeColor="text1"/>
                <w:kern w:val="1"/>
                <w:szCs w:val="21"/>
                <w:highlight w:val="none"/>
              </w:rPr>
              <w:t>投标人的经审计的</w:t>
            </w:r>
            <w:r>
              <w:rPr>
                <w:rFonts w:ascii="黑体" w:hAnsi="黑体" w:eastAsia="黑体" w:cs="宋体"/>
                <w:b/>
                <w:color w:val="000000" w:themeColor="text1"/>
                <w:kern w:val="1"/>
                <w:szCs w:val="21"/>
                <w:highlight w:val="none"/>
                <w:u w:val="single"/>
              </w:rPr>
              <w:t>2019</w:t>
            </w:r>
            <w:r>
              <w:rPr>
                <w:rFonts w:ascii="黑体" w:hAnsi="黑体" w:eastAsia="黑体" w:cs="宋体"/>
                <w:color w:val="000000" w:themeColor="text1"/>
                <w:kern w:val="1"/>
                <w:szCs w:val="21"/>
                <w:highlight w:val="none"/>
                <w:u w:val="single"/>
              </w:rPr>
              <w:t>年</w:t>
            </w:r>
            <w:r>
              <w:rPr>
                <w:rFonts w:ascii="宋体" w:hAnsi="宋体" w:cs="宋体"/>
                <w:color w:val="000000" w:themeColor="text1"/>
                <w:kern w:val="1"/>
                <w:szCs w:val="21"/>
                <w:highlight w:val="none"/>
              </w:rPr>
              <w:t>财务会计报告中流动资金（流动资金=流动资产－流动负债）与为本项目开具的银行信贷证明之和必须达到</w:t>
            </w:r>
            <w:r>
              <w:rPr>
                <w:rFonts w:hint="eastAsia" w:ascii="黑体" w:hAnsi="黑体" w:eastAsia="黑体" w:cs="宋体"/>
                <w:b/>
                <w:color w:val="000000" w:themeColor="text1"/>
                <w:kern w:val="1"/>
                <w:szCs w:val="21"/>
                <w:highlight w:val="none"/>
                <w:u w:val="single"/>
              </w:rPr>
              <w:t>YA01-YA03标段：1000</w:t>
            </w:r>
            <w:r>
              <w:rPr>
                <w:rFonts w:ascii="黑体" w:hAnsi="黑体" w:eastAsia="黑体" w:cs="宋体"/>
                <w:color w:val="000000" w:themeColor="text1"/>
                <w:kern w:val="1"/>
                <w:szCs w:val="21"/>
                <w:highlight w:val="none"/>
                <w:u w:val="single"/>
              </w:rPr>
              <w:t>万元</w:t>
            </w:r>
            <w:r>
              <w:rPr>
                <w:rFonts w:ascii="宋体" w:hAnsi="宋体" w:cs="宋体"/>
                <w:color w:val="000000" w:themeColor="text1"/>
                <w:kern w:val="1"/>
                <w:szCs w:val="21"/>
                <w:highlight w:val="none"/>
              </w:rPr>
              <w:t>。银行信贷证明必须在地（市）级或以上级别的信誉良好的国有或股份制商业银行支行开具。</w:t>
            </w:r>
          </w:p>
        </w:tc>
      </w:tr>
    </w:tbl>
    <w:p>
      <w:pPr>
        <w:spacing w:line="440" w:lineRule="exact"/>
        <w:ind w:firstLine="420"/>
        <w:rPr>
          <w:color w:val="000000" w:themeColor="text1"/>
          <w:highlight w:val="none"/>
        </w:rPr>
      </w:pPr>
      <w:r>
        <w:rPr>
          <w:color w:val="000000" w:themeColor="text1"/>
          <w:kern w:val="1"/>
          <w:highlight w:val="none"/>
        </w:rPr>
        <w:t>注：投标人经审计的2019年财务报告中的流动资金不低于</w:t>
      </w:r>
      <w:r>
        <w:rPr>
          <w:rFonts w:hint="eastAsia"/>
          <w:color w:val="000000" w:themeColor="text1"/>
          <w:kern w:val="1"/>
          <w:highlight w:val="none"/>
        </w:rPr>
        <w:t>最低要求</w:t>
      </w:r>
      <w:r>
        <w:rPr>
          <w:color w:val="000000" w:themeColor="text1"/>
          <w:kern w:val="1"/>
          <w:highlight w:val="none"/>
        </w:rPr>
        <w:t>，不强制开具银行信贷证明。银行信贷证明的证明时效必须满足预计工期同时由出具该证明的银行的法定代表人签署，并加盖该银行的法人公章。中标人的银行信贷证明将不予返还，直至工程结束；</w:t>
      </w:r>
      <w:r>
        <w:rPr>
          <w:rFonts w:hint="eastAsia"/>
          <w:color w:val="000000" w:themeColor="text1"/>
          <w:kern w:val="1"/>
          <w:highlight w:val="none"/>
        </w:rPr>
        <w:t>其他</w:t>
      </w:r>
      <w:r>
        <w:rPr>
          <w:color w:val="000000" w:themeColor="text1"/>
          <w:kern w:val="1"/>
          <w:highlight w:val="none"/>
        </w:rPr>
        <w:t>未中标的投标人的银行信贷证明</w:t>
      </w:r>
      <w:r>
        <w:rPr>
          <w:rFonts w:hint="eastAsia"/>
          <w:color w:val="000000" w:themeColor="text1"/>
          <w:kern w:val="1"/>
          <w:highlight w:val="none"/>
        </w:rPr>
        <w:t>自动作废</w:t>
      </w:r>
      <w:r>
        <w:rPr>
          <w:color w:val="000000" w:themeColor="text1"/>
          <w:kern w:val="1"/>
          <w:highlight w:val="none"/>
        </w:rPr>
        <w:t xml:space="preserve">。  </w:t>
      </w:r>
    </w:p>
    <w:p>
      <w:pPr>
        <w:widowControl/>
        <w:jc w:val="left"/>
        <w:rPr>
          <w:rFonts w:ascii="黑体" w:hAnsi="黑体" w:eastAsia="黑体"/>
          <w:bCs/>
          <w:color w:val="000000" w:themeColor="text1"/>
          <w:sz w:val="28"/>
          <w:szCs w:val="28"/>
          <w:highlight w:val="none"/>
          <w:lang w:val="zh-CN"/>
        </w:rPr>
      </w:pPr>
      <w:r>
        <w:rPr>
          <w:rFonts w:ascii="黑体" w:hAnsi="黑体"/>
          <w:color w:val="000000" w:themeColor="text1"/>
          <w:sz w:val="28"/>
          <w:highlight w:val="none"/>
          <w:lang w:val="zh-CN"/>
        </w:rPr>
        <w:br w:type="page"/>
      </w:r>
    </w:p>
    <w:p>
      <w:pPr>
        <w:pStyle w:val="5"/>
        <w:numPr>
          <w:ilvl w:val="0"/>
          <w:numId w:val="0"/>
        </w:numPr>
        <w:spacing w:beforeLines="200" w:afterLines="100" w:line="360" w:lineRule="auto"/>
        <w:ind w:firstLine="280" w:firstLineChars="100"/>
        <w:jc w:val="center"/>
        <w:rPr>
          <w:rFonts w:ascii="黑体" w:hAnsi="黑体"/>
          <w:color w:val="000000" w:themeColor="text1"/>
          <w:sz w:val="28"/>
          <w:highlight w:val="none"/>
          <w:lang w:val="zh-CN"/>
        </w:rPr>
      </w:pPr>
      <w:r>
        <w:rPr>
          <w:rFonts w:hint="eastAsia" w:ascii="黑体" w:hAnsi="黑体"/>
          <w:color w:val="000000" w:themeColor="text1"/>
          <w:sz w:val="28"/>
          <w:highlight w:val="none"/>
          <w:lang w:val="zh-CN"/>
        </w:rPr>
        <w:t>附录3</w:t>
      </w:r>
      <w:r>
        <w:rPr>
          <w:rFonts w:ascii="黑体" w:hAnsi="黑体"/>
          <w:color w:val="000000" w:themeColor="text1"/>
          <w:sz w:val="28"/>
          <w:highlight w:val="none"/>
          <w:lang w:val="zh-CN"/>
        </w:rPr>
        <w:t xml:space="preserve">  </w:t>
      </w:r>
      <w:r>
        <w:rPr>
          <w:rFonts w:hint="eastAsia" w:ascii="黑体" w:hAnsi="黑体"/>
          <w:color w:val="000000" w:themeColor="text1"/>
          <w:sz w:val="28"/>
          <w:highlight w:val="none"/>
          <w:lang w:val="zh-CN"/>
        </w:rPr>
        <w:t>资格审查条件（业绩最低要求）</w:t>
      </w:r>
    </w:p>
    <w:tbl>
      <w:tblPr>
        <w:tblStyle w:val="43"/>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vAlign w:val="center"/>
          </w:tcPr>
          <w:p>
            <w:pPr>
              <w:snapToGrid w:val="0"/>
              <w:ind w:firstLine="210" w:firstLineChars="100"/>
              <w:jc w:val="center"/>
              <w:rPr>
                <w:rFonts w:ascii="楷体" w:hAnsi="楷体" w:eastAsia="楷体_GB2312"/>
                <w:color w:val="000000" w:themeColor="text1"/>
                <w:szCs w:val="21"/>
                <w:highlight w:val="none"/>
              </w:rPr>
            </w:pPr>
            <w:r>
              <w:rPr>
                <w:rFonts w:hint="eastAsia" w:ascii="宋体" w:hAnsi="宋体"/>
                <w:color w:val="000000" w:themeColor="text1"/>
                <w:szCs w:val="21"/>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vAlign w:val="center"/>
          </w:tcPr>
          <w:p>
            <w:pPr>
              <w:adjustRightInd w:val="0"/>
              <w:snapToGrid w:val="0"/>
              <w:spacing w:line="360" w:lineRule="auto"/>
              <w:ind w:firstLine="420" w:firstLineChars="200"/>
              <w:rPr>
                <w:rFonts w:ascii="宋体" w:hAnsi="宋体"/>
                <w:color w:val="000000" w:themeColor="text1"/>
                <w:szCs w:val="21"/>
                <w:highlight w:val="none"/>
              </w:rPr>
            </w:pPr>
          </w:p>
          <w:p>
            <w:pPr>
              <w:adjustRightInd w:val="0"/>
              <w:snapToGrid w:val="0"/>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业绩要求（2015年1月1日以后交工的工程，累计完成过不少于下列施工业绩）</w:t>
            </w:r>
          </w:p>
          <w:p>
            <w:pPr>
              <w:adjustRightInd w:val="0"/>
              <w:snapToGrid w:val="0"/>
              <w:spacing w:beforeLines="30" w:afterLines="30"/>
              <w:ind w:firstLine="210" w:firstLineChars="100"/>
              <w:rPr>
                <w:color w:val="000000" w:themeColor="text1"/>
                <w:kern w:val="0"/>
                <w:szCs w:val="21"/>
                <w:highlight w:val="none"/>
              </w:rPr>
            </w:pPr>
            <w:r>
              <w:rPr>
                <w:rFonts w:hint="eastAsia"/>
                <w:color w:val="000000" w:themeColor="text1"/>
                <w:kern w:val="0"/>
                <w:szCs w:val="21"/>
                <w:highlight w:val="none"/>
              </w:rPr>
              <w:t>YA01标段：</w:t>
            </w:r>
          </w:p>
          <w:p>
            <w:pPr>
              <w:spacing w:line="400" w:lineRule="exact"/>
              <w:ind w:firstLine="283" w:firstLineChars="135"/>
              <w:rPr>
                <w:rFonts w:ascii="宋体" w:hAnsi="宋体"/>
                <w:color w:val="000000" w:themeColor="text1"/>
                <w:szCs w:val="21"/>
                <w:highlight w:val="none"/>
              </w:rPr>
            </w:pPr>
            <w:r>
              <w:rPr>
                <w:rFonts w:hint="eastAsia" w:ascii="宋体" w:hAnsi="宋体"/>
                <w:color w:val="000000" w:themeColor="text1"/>
                <w:szCs w:val="21"/>
                <w:highlight w:val="none"/>
              </w:rPr>
              <w:t>(1)1项二级或二级以上公路路基、公路沥青混凝土路面工程；</w:t>
            </w:r>
          </w:p>
          <w:p>
            <w:pPr>
              <w:adjustRightInd w:val="0"/>
              <w:snapToGrid w:val="0"/>
              <w:ind w:firstLine="283" w:firstLineChars="135"/>
              <w:rPr>
                <w:color w:val="000000" w:themeColor="text1"/>
                <w:szCs w:val="21"/>
                <w:highlight w:val="none"/>
                <w:lang w:bidi="zh-TW"/>
              </w:rPr>
            </w:pPr>
            <w:r>
              <w:rPr>
                <w:rFonts w:hint="eastAsia" w:ascii="宋体" w:hAnsi="宋体"/>
                <w:color w:val="000000" w:themeColor="text1"/>
                <w:szCs w:val="21"/>
                <w:highlight w:val="none"/>
              </w:rPr>
              <w:t>(2)1座公路大桥。</w:t>
            </w:r>
          </w:p>
          <w:p>
            <w:pPr>
              <w:spacing w:line="400" w:lineRule="exact"/>
              <w:ind w:firstLine="283" w:firstLineChars="135"/>
              <w:rPr>
                <w:color w:val="000000" w:themeColor="text1"/>
                <w:kern w:val="0"/>
                <w:szCs w:val="21"/>
                <w:highlight w:val="none"/>
              </w:rPr>
            </w:pPr>
            <w:r>
              <w:rPr>
                <w:rFonts w:hint="eastAsia"/>
                <w:color w:val="000000" w:themeColor="text1"/>
                <w:kern w:val="0"/>
                <w:szCs w:val="21"/>
                <w:highlight w:val="none"/>
              </w:rPr>
              <w:t>YA02标段：</w:t>
            </w:r>
          </w:p>
          <w:p>
            <w:pPr>
              <w:spacing w:line="400" w:lineRule="exact"/>
              <w:ind w:firstLine="283" w:firstLineChars="135"/>
              <w:rPr>
                <w:rFonts w:ascii="宋体" w:hAnsi="宋体"/>
                <w:color w:val="000000" w:themeColor="text1"/>
                <w:szCs w:val="21"/>
                <w:highlight w:val="none"/>
              </w:rPr>
            </w:pPr>
            <w:r>
              <w:rPr>
                <w:rFonts w:hint="eastAsia" w:ascii="宋体" w:hAnsi="宋体"/>
                <w:color w:val="000000" w:themeColor="text1"/>
                <w:szCs w:val="21"/>
                <w:highlight w:val="none"/>
              </w:rPr>
              <w:t>(1)1项二级或二级以上公路路基、公路沥青混凝土路面工程；</w:t>
            </w:r>
          </w:p>
          <w:p>
            <w:pPr>
              <w:adjustRightInd w:val="0"/>
              <w:snapToGrid w:val="0"/>
              <w:spacing w:beforeLines="30" w:afterLines="30"/>
              <w:ind w:firstLine="283" w:firstLineChars="135"/>
              <w:rPr>
                <w:rFonts w:ascii="宋体" w:hAnsi="宋体"/>
                <w:color w:val="000000" w:themeColor="text1"/>
                <w:szCs w:val="21"/>
                <w:highlight w:val="none"/>
              </w:rPr>
            </w:pPr>
            <w:r>
              <w:rPr>
                <w:rFonts w:hint="eastAsia" w:ascii="宋体" w:hAnsi="宋体"/>
                <w:color w:val="000000" w:themeColor="text1"/>
                <w:szCs w:val="21"/>
                <w:highlight w:val="none"/>
              </w:rPr>
              <w:t>(2)1座公路大桥；</w:t>
            </w:r>
          </w:p>
          <w:p>
            <w:pPr>
              <w:adjustRightInd w:val="0"/>
              <w:snapToGrid w:val="0"/>
              <w:ind w:firstLine="283" w:firstLineChars="135"/>
              <w:rPr>
                <w:rFonts w:ascii="宋体" w:hAnsi="宋体"/>
                <w:color w:val="000000" w:themeColor="text1"/>
                <w:szCs w:val="21"/>
                <w:highlight w:val="none"/>
              </w:rPr>
            </w:pPr>
            <w:r>
              <w:rPr>
                <w:rFonts w:hint="eastAsia" w:ascii="宋体" w:hAnsi="宋体"/>
                <w:color w:val="000000" w:themeColor="text1"/>
                <w:szCs w:val="21"/>
                <w:highlight w:val="none"/>
              </w:rPr>
              <w:t>(3)1座隧道。</w:t>
            </w:r>
          </w:p>
          <w:p>
            <w:pPr>
              <w:adjustRightInd w:val="0"/>
              <w:snapToGrid w:val="0"/>
              <w:ind w:firstLine="283" w:firstLineChars="135"/>
              <w:rPr>
                <w:rFonts w:ascii="宋体" w:hAnsi="宋体" w:cs="MingLiU"/>
                <w:color w:val="000000" w:themeColor="text1"/>
                <w:kern w:val="0"/>
                <w:szCs w:val="21"/>
                <w:highlight w:val="none"/>
              </w:rPr>
            </w:pPr>
            <w:r>
              <w:rPr>
                <w:rFonts w:hint="eastAsia"/>
                <w:color w:val="000000" w:themeColor="text1"/>
                <w:kern w:val="0"/>
                <w:szCs w:val="21"/>
                <w:highlight w:val="none"/>
              </w:rPr>
              <w:t>YA03标段：</w:t>
            </w:r>
          </w:p>
          <w:p>
            <w:pPr>
              <w:spacing w:line="400" w:lineRule="exact"/>
              <w:ind w:firstLine="283" w:firstLineChars="135"/>
              <w:rPr>
                <w:rFonts w:ascii="宋体" w:hAnsi="宋体"/>
                <w:color w:val="000000" w:themeColor="text1"/>
                <w:szCs w:val="21"/>
                <w:highlight w:val="none"/>
              </w:rPr>
            </w:pPr>
            <w:r>
              <w:rPr>
                <w:rFonts w:hint="eastAsia" w:ascii="宋体" w:hAnsi="宋体"/>
                <w:color w:val="000000" w:themeColor="text1"/>
                <w:szCs w:val="21"/>
                <w:highlight w:val="none"/>
              </w:rPr>
              <w:t>(1)1项二级或二级以上公路路基、公路沥青混凝土路面工程；</w:t>
            </w:r>
          </w:p>
          <w:p>
            <w:pPr>
              <w:adjustRightInd w:val="0"/>
              <w:snapToGrid w:val="0"/>
              <w:ind w:firstLine="283" w:firstLineChars="135"/>
              <w:rPr>
                <w:rFonts w:ascii="宋体" w:hAnsi="宋体"/>
                <w:color w:val="000000" w:themeColor="text1"/>
                <w:szCs w:val="21"/>
                <w:highlight w:val="none"/>
              </w:rPr>
            </w:pPr>
            <w:r>
              <w:rPr>
                <w:rFonts w:hint="eastAsia" w:ascii="宋体" w:hAnsi="宋体"/>
                <w:color w:val="000000" w:themeColor="text1"/>
                <w:szCs w:val="21"/>
                <w:highlight w:val="none"/>
              </w:rPr>
              <w:t>(2)1座公路大桥。</w:t>
            </w:r>
          </w:p>
        </w:tc>
      </w:tr>
    </w:tbl>
    <w:p>
      <w:pPr>
        <w:adjustRightInd w:val="0"/>
        <w:snapToGrid w:val="0"/>
        <w:spacing w:beforeLines="30" w:afterLines="30"/>
        <w:ind w:firstLine="420" w:firstLineChars="200"/>
        <w:rPr>
          <w:rFonts w:ascii="楷体" w:hAnsi="楷体" w:eastAsia="楷体"/>
          <w:color w:val="000000" w:themeColor="text1"/>
          <w:szCs w:val="21"/>
          <w:highlight w:val="none"/>
        </w:rPr>
      </w:pPr>
      <w:r>
        <w:rPr>
          <w:rFonts w:hint="eastAsia" w:ascii="楷体" w:hAnsi="楷体" w:eastAsia="楷体"/>
          <w:color w:val="000000" w:themeColor="text1"/>
          <w:szCs w:val="21"/>
          <w:highlight w:val="none"/>
        </w:rPr>
        <w:t>注: ①施工业绩完成时间以交工时间为准；</w:t>
      </w:r>
    </w:p>
    <w:p>
      <w:pPr>
        <w:adjustRightInd w:val="0"/>
        <w:snapToGrid w:val="0"/>
        <w:spacing w:beforeLines="30" w:afterLines="30"/>
        <w:ind w:left="420" w:leftChars="200" w:firstLine="420" w:firstLineChars="200"/>
        <w:rPr>
          <w:rFonts w:ascii="楷体" w:hAnsi="楷体" w:eastAsia="楷体"/>
          <w:color w:val="000000" w:themeColor="text1"/>
          <w:szCs w:val="21"/>
          <w:highlight w:val="none"/>
        </w:rPr>
      </w:pPr>
      <w:r>
        <w:rPr>
          <w:rFonts w:hint="eastAsia" w:ascii="楷体" w:hAnsi="楷体" w:eastAsia="楷体"/>
          <w:color w:val="000000" w:themeColor="text1"/>
          <w:szCs w:val="21"/>
          <w:highlight w:val="none"/>
        </w:rPr>
        <w:t>②业绩要求的路基、路面、桥梁、隧道的施工业绩应为国内新建或改扩建公路施工业绩，且应是已列入交通运输主管部门“公路建设市场信用信息管理系统”并公开的主包已建业绩或分包已建业绩。</w:t>
      </w:r>
    </w:p>
    <w:p>
      <w:pPr>
        <w:pStyle w:val="5"/>
        <w:numPr>
          <w:ilvl w:val="0"/>
          <w:numId w:val="0"/>
        </w:numPr>
        <w:spacing w:beforeLines="200" w:afterLines="100" w:line="360" w:lineRule="auto"/>
        <w:ind w:firstLine="280" w:firstLineChars="100"/>
        <w:jc w:val="center"/>
        <w:rPr>
          <w:rFonts w:ascii="黑体" w:hAnsi="黑体"/>
          <w:color w:val="000000" w:themeColor="text1"/>
          <w:sz w:val="28"/>
          <w:highlight w:val="none"/>
          <w:lang w:val="zh-CN"/>
        </w:rPr>
      </w:pPr>
      <w:r>
        <w:rPr>
          <w:rFonts w:hint="eastAsia" w:ascii="黑体" w:hAnsi="黑体"/>
          <w:color w:val="000000" w:themeColor="text1"/>
          <w:sz w:val="28"/>
          <w:highlight w:val="none"/>
          <w:lang w:val="zh-CN"/>
        </w:rPr>
        <w:t>附录4</w:t>
      </w:r>
      <w:r>
        <w:rPr>
          <w:rFonts w:ascii="黑体" w:hAnsi="黑体"/>
          <w:color w:val="000000" w:themeColor="text1"/>
          <w:sz w:val="28"/>
          <w:highlight w:val="none"/>
          <w:lang w:val="zh-CN"/>
        </w:rPr>
        <w:t xml:space="preserve">  </w:t>
      </w:r>
      <w:r>
        <w:rPr>
          <w:rFonts w:hint="eastAsia" w:ascii="黑体" w:hAnsi="黑体"/>
          <w:color w:val="000000" w:themeColor="text1"/>
          <w:sz w:val="28"/>
          <w:highlight w:val="none"/>
          <w:lang w:val="zh-CN"/>
        </w:rPr>
        <w:t>资格审查条件（信誉最低要求）</w:t>
      </w:r>
    </w:p>
    <w:tbl>
      <w:tblPr>
        <w:tblStyle w:val="43"/>
        <w:tblW w:w="9854"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54" w:type="dxa"/>
            <w:tcBorders>
              <w:bottom w:val="single" w:color="auto" w:sz="4" w:space="0"/>
            </w:tcBorders>
            <w:vAlign w:val="center"/>
          </w:tcPr>
          <w:p>
            <w:pPr>
              <w:snapToGrid w:val="0"/>
              <w:ind w:firstLine="210" w:firstLineChars="100"/>
              <w:jc w:val="center"/>
              <w:rPr>
                <w:rFonts w:ascii="宋体" w:hAnsi="宋体"/>
                <w:color w:val="000000" w:themeColor="text1"/>
                <w:szCs w:val="21"/>
                <w:highlight w:val="none"/>
              </w:rPr>
            </w:pPr>
            <w:r>
              <w:rPr>
                <w:rFonts w:hint="eastAsia" w:ascii="宋体" w:hAnsi="宋体"/>
                <w:color w:val="000000" w:themeColor="text1"/>
                <w:szCs w:val="21"/>
                <w:highlight w:val="none"/>
              </w:rPr>
              <w:t>信誉要求</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54" w:type="dxa"/>
            <w:tcBorders>
              <w:top w:val="single" w:color="auto" w:sz="4" w:space="0"/>
            </w:tcBorders>
            <w:vAlign w:val="center"/>
          </w:tcPr>
          <w:p>
            <w:pPr>
              <w:snapToGrid w:val="0"/>
              <w:spacing w:beforeLines="15" w:afterLines="15"/>
              <w:ind w:firstLine="210" w:firstLineChars="100"/>
              <w:rPr>
                <w:rFonts w:ascii="宋体" w:hAnsi="宋体"/>
                <w:color w:val="000000" w:themeColor="text1"/>
                <w:szCs w:val="21"/>
                <w:highlight w:val="none"/>
              </w:rPr>
            </w:pPr>
            <w:r>
              <w:rPr>
                <w:rFonts w:hint="eastAsia" w:ascii="宋体" w:hAnsi="宋体" w:cs="宋体"/>
                <w:color w:val="000000" w:themeColor="text1"/>
                <w:kern w:val="1"/>
                <w:szCs w:val="18"/>
                <w:highlight w:val="none"/>
              </w:rPr>
              <w:t>/</w:t>
            </w:r>
          </w:p>
        </w:tc>
      </w:tr>
    </w:tbl>
    <w:p>
      <w:pPr>
        <w:pStyle w:val="5"/>
        <w:numPr>
          <w:ilvl w:val="0"/>
          <w:numId w:val="0"/>
        </w:numPr>
        <w:spacing w:beforeLines="200" w:afterLines="100" w:line="360" w:lineRule="auto"/>
        <w:ind w:firstLine="241" w:firstLineChars="100"/>
        <w:jc w:val="center"/>
        <w:rPr>
          <w:rFonts w:ascii="黑体" w:hAnsi="黑体"/>
          <w:color w:val="000000" w:themeColor="text1"/>
          <w:sz w:val="28"/>
          <w:highlight w:val="none"/>
          <w:lang w:val="zh-CN"/>
        </w:rPr>
      </w:pPr>
      <w:r>
        <w:rPr>
          <w:rFonts w:ascii="方正超粗黑简体"/>
          <w:b/>
          <w:color w:val="000000" w:themeColor="text1"/>
          <w:kern w:val="44"/>
          <w:highlight w:val="none"/>
        </w:rPr>
        <w:br w:type="page"/>
      </w:r>
      <w:bookmarkEnd w:id="29"/>
      <w:r>
        <w:rPr>
          <w:rFonts w:hint="eastAsia" w:ascii="黑体" w:hAnsi="黑体"/>
          <w:color w:val="000000" w:themeColor="text1"/>
          <w:sz w:val="28"/>
          <w:highlight w:val="none"/>
          <w:lang w:val="zh-CN"/>
        </w:rPr>
        <w:t>附录5</w:t>
      </w:r>
      <w:r>
        <w:rPr>
          <w:rFonts w:ascii="黑体" w:hAnsi="黑体"/>
          <w:color w:val="000000" w:themeColor="text1"/>
          <w:sz w:val="28"/>
          <w:highlight w:val="none"/>
          <w:lang w:val="zh-CN"/>
        </w:rPr>
        <w:t xml:space="preserve">  </w:t>
      </w:r>
      <w:r>
        <w:rPr>
          <w:rFonts w:hint="eastAsia" w:ascii="黑体" w:hAnsi="黑体"/>
          <w:color w:val="000000" w:themeColor="text1"/>
          <w:sz w:val="28"/>
          <w:highlight w:val="none"/>
          <w:lang w:val="zh-CN"/>
        </w:rPr>
        <w:t>资格审查条件（项目经理和项目总工最低要求）</w:t>
      </w:r>
    </w:p>
    <w:p>
      <w:pPr>
        <w:rPr>
          <w:color w:val="000000" w:themeColor="text1"/>
          <w:highlight w:val="none"/>
          <w:lang w:val="zh-CN"/>
        </w:rPr>
      </w:pPr>
      <w:r>
        <w:rPr>
          <w:rFonts w:hint="eastAsia"/>
          <w:color w:val="000000" w:themeColor="text1"/>
          <w:highlight w:val="none"/>
          <w:lang w:val="zh-CN"/>
        </w:rPr>
        <w:t>YA01-YA03标段：</w:t>
      </w:r>
    </w:p>
    <w:tbl>
      <w:tblPr>
        <w:tblStyle w:val="43"/>
        <w:tblW w:w="95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709"/>
        <w:gridCol w:w="670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人员</w:t>
            </w:r>
          </w:p>
        </w:tc>
        <w:tc>
          <w:tcPr>
            <w:tcW w:w="709" w:type="dxa"/>
            <w:vAlign w:val="center"/>
          </w:tcPr>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数量</w:t>
            </w:r>
          </w:p>
        </w:tc>
        <w:tc>
          <w:tcPr>
            <w:tcW w:w="6708" w:type="dxa"/>
            <w:vAlign w:val="center"/>
          </w:tcPr>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资格最低要求</w:t>
            </w:r>
          </w:p>
        </w:tc>
        <w:tc>
          <w:tcPr>
            <w:tcW w:w="1276" w:type="dxa"/>
            <w:vAlign w:val="center"/>
          </w:tcPr>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在岗要求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4" w:hRule="atLeast"/>
          <w:jc w:val="center"/>
        </w:trPr>
        <w:tc>
          <w:tcPr>
            <w:tcW w:w="817" w:type="dxa"/>
            <w:vAlign w:val="center"/>
          </w:tcPr>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项目经理</w:t>
            </w:r>
          </w:p>
        </w:tc>
        <w:tc>
          <w:tcPr>
            <w:tcW w:w="709" w:type="dxa"/>
            <w:vAlign w:val="center"/>
          </w:tcPr>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1</w:t>
            </w:r>
          </w:p>
        </w:tc>
        <w:tc>
          <w:tcPr>
            <w:tcW w:w="6708" w:type="dxa"/>
            <w:vAlign w:val="center"/>
          </w:tcPr>
          <w:p>
            <w:pPr>
              <w:numPr>
                <w:ilvl w:val="0"/>
                <w:numId w:val="4"/>
              </w:numPr>
              <w:adjustRightInd w:val="0"/>
              <w:snapToGrid w:val="0"/>
              <w:spacing w:line="400" w:lineRule="exact"/>
              <w:ind w:firstLine="210" w:firstLineChars="100"/>
              <w:rPr>
                <w:rFonts w:ascii="宋体" w:hAnsi="宋体"/>
                <w:color w:val="000000" w:themeColor="text1"/>
                <w:szCs w:val="21"/>
                <w:highlight w:val="none"/>
              </w:rPr>
            </w:pPr>
            <w:r>
              <w:rPr>
                <w:rFonts w:ascii="宋体" w:hAnsi="宋体"/>
                <w:color w:val="000000" w:themeColor="text1"/>
                <w:szCs w:val="21"/>
                <w:highlight w:val="none"/>
              </w:rPr>
              <w:t>投标人自有人员</w:t>
            </w:r>
            <w:r>
              <w:rPr>
                <w:rFonts w:hint="eastAsia" w:ascii="宋体" w:hAnsi="宋体"/>
                <w:color w:val="000000" w:themeColor="text1"/>
                <w:szCs w:val="21"/>
                <w:highlight w:val="none"/>
              </w:rPr>
              <w:t>；</w:t>
            </w:r>
          </w:p>
          <w:p>
            <w:pPr>
              <w:numPr>
                <w:ilvl w:val="0"/>
                <w:numId w:val="4"/>
              </w:numPr>
              <w:adjustRightInd w:val="0"/>
              <w:snapToGrid w:val="0"/>
              <w:spacing w:line="400" w:lineRule="exact"/>
              <w:ind w:firstLine="210" w:firstLineChars="100"/>
              <w:rPr>
                <w:rFonts w:ascii="宋体" w:hAnsi="宋体"/>
                <w:color w:val="000000" w:themeColor="text1"/>
                <w:szCs w:val="21"/>
                <w:highlight w:val="none"/>
              </w:rPr>
            </w:pPr>
            <w:r>
              <w:rPr>
                <w:rFonts w:ascii="宋体" w:hAnsi="宋体"/>
                <w:color w:val="000000" w:themeColor="text1"/>
                <w:szCs w:val="21"/>
                <w:highlight w:val="none"/>
              </w:rPr>
              <w:t>持有建设行政主管部门颁发的“</w:t>
            </w:r>
            <w:r>
              <w:rPr>
                <w:rFonts w:hint="eastAsia" w:ascii="宋体" w:hAnsi="宋体"/>
                <w:color w:val="000000" w:themeColor="text1"/>
                <w:szCs w:val="21"/>
                <w:highlight w:val="none"/>
              </w:rPr>
              <w:t>公路工程</w:t>
            </w:r>
            <w:r>
              <w:rPr>
                <w:rFonts w:ascii="宋体" w:hAnsi="宋体"/>
                <w:color w:val="000000" w:themeColor="text1"/>
                <w:szCs w:val="21"/>
                <w:highlight w:val="none"/>
              </w:rPr>
              <w:t>”专业《</w:t>
            </w:r>
            <w:r>
              <w:rPr>
                <w:rFonts w:hint="eastAsia" w:ascii="宋体" w:hAnsi="宋体"/>
                <w:color w:val="000000" w:themeColor="text1"/>
                <w:szCs w:val="21"/>
                <w:highlight w:val="none"/>
              </w:rPr>
              <w:t>一</w:t>
            </w:r>
            <w:r>
              <w:rPr>
                <w:rFonts w:ascii="宋体" w:hAnsi="宋体"/>
                <w:color w:val="000000" w:themeColor="text1"/>
                <w:szCs w:val="21"/>
                <w:highlight w:val="none"/>
              </w:rPr>
              <w:t>级建造师注册证书》</w:t>
            </w:r>
            <w:r>
              <w:rPr>
                <w:rFonts w:hint="eastAsia" w:ascii="宋体" w:hAnsi="宋体"/>
                <w:color w:val="000000" w:themeColor="text1"/>
                <w:szCs w:val="21"/>
                <w:highlight w:val="none"/>
              </w:rPr>
              <w:t>，且现注册单位为投标人；</w:t>
            </w:r>
            <w:r>
              <w:rPr>
                <w:rFonts w:ascii="宋体" w:hAnsi="宋体"/>
                <w:color w:val="000000" w:themeColor="text1"/>
                <w:szCs w:val="21"/>
                <w:highlight w:val="none"/>
              </w:rPr>
              <w:t xml:space="preserve"> </w:t>
            </w:r>
          </w:p>
          <w:p>
            <w:pPr>
              <w:numPr>
                <w:ilvl w:val="0"/>
                <w:numId w:val="4"/>
              </w:numPr>
              <w:adjustRightInd w:val="0"/>
              <w:snapToGrid w:val="0"/>
              <w:spacing w:line="400" w:lineRule="exact"/>
              <w:ind w:firstLine="210" w:firstLineChars="100"/>
              <w:rPr>
                <w:rFonts w:ascii="宋体" w:hAnsi="宋体"/>
                <w:color w:val="000000" w:themeColor="text1"/>
                <w:szCs w:val="21"/>
                <w:highlight w:val="none"/>
              </w:rPr>
            </w:pPr>
            <w:r>
              <w:rPr>
                <w:rFonts w:ascii="宋体" w:hAnsi="宋体"/>
                <w:color w:val="000000" w:themeColor="text1"/>
                <w:szCs w:val="21"/>
                <w:highlight w:val="none"/>
              </w:rPr>
              <w:t>具有</w:t>
            </w:r>
            <w:r>
              <w:rPr>
                <w:rFonts w:hint="eastAsia" w:ascii="宋体" w:hAnsi="宋体"/>
                <w:color w:val="000000" w:themeColor="text1"/>
                <w:szCs w:val="21"/>
                <w:highlight w:val="none"/>
                <w:lang w:val="en-US" w:eastAsia="zh-CN"/>
              </w:rPr>
              <w:t>公路</w:t>
            </w:r>
            <w:r>
              <w:rPr>
                <w:rFonts w:ascii="宋体" w:hAnsi="宋体"/>
                <w:color w:val="000000" w:themeColor="text1"/>
                <w:szCs w:val="21"/>
                <w:highlight w:val="none"/>
              </w:rPr>
              <w:t>相关专业</w:t>
            </w:r>
            <w:r>
              <w:rPr>
                <w:rFonts w:hint="eastAsia" w:ascii="宋体" w:hAnsi="宋体"/>
                <w:color w:val="000000" w:themeColor="text1"/>
                <w:szCs w:val="21"/>
                <w:highlight w:val="none"/>
              </w:rPr>
              <w:t>中</w:t>
            </w:r>
            <w:r>
              <w:rPr>
                <w:rFonts w:ascii="宋体" w:hAnsi="宋体"/>
                <w:color w:val="000000" w:themeColor="text1"/>
                <w:szCs w:val="21"/>
                <w:highlight w:val="none"/>
              </w:rPr>
              <w:t>级技术职称</w:t>
            </w:r>
            <w:r>
              <w:rPr>
                <w:rFonts w:hint="eastAsia" w:ascii="宋体" w:hAnsi="宋体"/>
                <w:color w:val="000000" w:themeColor="text1"/>
                <w:szCs w:val="21"/>
                <w:highlight w:val="none"/>
              </w:rPr>
              <w:t>；</w:t>
            </w:r>
          </w:p>
          <w:p>
            <w:pPr>
              <w:numPr>
                <w:ilvl w:val="0"/>
                <w:numId w:val="4"/>
              </w:numPr>
              <w:adjustRightInd w:val="0"/>
              <w:snapToGrid w:val="0"/>
              <w:spacing w:beforeLines="10" w:afterLines="10" w:line="400" w:lineRule="exact"/>
              <w:ind w:firstLine="210" w:firstLineChars="100"/>
              <w:jc w:val="left"/>
              <w:rPr>
                <w:rFonts w:ascii="宋体" w:hAnsi="宋体"/>
                <w:color w:val="000000" w:themeColor="text1"/>
                <w:szCs w:val="21"/>
                <w:highlight w:val="none"/>
              </w:rPr>
            </w:pPr>
            <w:r>
              <w:rPr>
                <w:rFonts w:ascii="宋体" w:hAnsi="宋体"/>
                <w:color w:val="000000" w:themeColor="text1"/>
                <w:szCs w:val="21"/>
                <w:highlight w:val="none"/>
              </w:rPr>
              <w:t>具有</w:t>
            </w:r>
            <w:r>
              <w:rPr>
                <w:rFonts w:hint="eastAsia" w:ascii="宋体" w:hAnsi="宋体"/>
                <w:color w:val="000000" w:themeColor="text1"/>
                <w:szCs w:val="21"/>
                <w:highlight w:val="none"/>
              </w:rPr>
              <w:t>交通运输主管部门</w:t>
            </w:r>
            <w:r>
              <w:rPr>
                <w:rFonts w:ascii="宋体" w:hAnsi="宋体"/>
                <w:color w:val="000000" w:themeColor="text1"/>
                <w:szCs w:val="21"/>
                <w:highlight w:val="none"/>
              </w:rPr>
              <w:t>颁发的有效的</w:t>
            </w:r>
            <w:r>
              <w:rPr>
                <w:rFonts w:hint="eastAsia" w:ascii="宋体" w:hAnsi="宋体"/>
                <w:color w:val="000000" w:themeColor="text1"/>
                <w:szCs w:val="21"/>
                <w:highlight w:val="none"/>
              </w:rPr>
              <w:t>B类</w:t>
            </w:r>
            <w:r>
              <w:rPr>
                <w:rFonts w:ascii="宋体" w:hAnsi="宋体"/>
                <w:color w:val="000000" w:themeColor="text1"/>
                <w:szCs w:val="21"/>
                <w:highlight w:val="none"/>
              </w:rPr>
              <w:t>安全生产考核合格证书</w:t>
            </w:r>
            <w:r>
              <w:rPr>
                <w:rFonts w:hint="eastAsia" w:ascii="宋体" w:hAnsi="宋体"/>
                <w:color w:val="000000" w:themeColor="text1"/>
                <w:highlight w:val="none"/>
              </w:rPr>
              <w:t>。</w:t>
            </w:r>
          </w:p>
        </w:tc>
        <w:tc>
          <w:tcPr>
            <w:tcW w:w="1276" w:type="dxa"/>
            <w:vMerge w:val="restart"/>
            <w:vAlign w:val="center"/>
          </w:tcPr>
          <w:p>
            <w:pPr>
              <w:adjustRightInd w:val="0"/>
              <w:snapToGrid w:val="0"/>
              <w:rPr>
                <w:rFonts w:ascii="宋体" w:hAnsi="宋体"/>
                <w:color w:val="000000" w:themeColor="text1"/>
                <w:szCs w:val="21"/>
                <w:highlight w:val="none"/>
              </w:rPr>
            </w:pPr>
            <w:r>
              <w:rPr>
                <w:rFonts w:hint="eastAsia" w:ascii="宋体" w:hAnsi="宋体"/>
                <w:color w:val="000000" w:themeColor="text1"/>
                <w:szCs w:val="21"/>
                <w:highlight w:val="none"/>
              </w:rPr>
              <w:t>无在岗项目(指目前未在其他项目上任职，或虽在其他项目上任职但本项目中标后能够从该项目撤离)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49" w:hRule="atLeast"/>
          <w:jc w:val="center"/>
        </w:trPr>
        <w:tc>
          <w:tcPr>
            <w:tcW w:w="817" w:type="dxa"/>
            <w:vAlign w:val="center"/>
          </w:tcPr>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项目总工</w:t>
            </w:r>
          </w:p>
        </w:tc>
        <w:tc>
          <w:tcPr>
            <w:tcW w:w="709" w:type="dxa"/>
            <w:vAlign w:val="center"/>
          </w:tcPr>
          <w:p>
            <w:pPr>
              <w:snapToGrid w:val="0"/>
              <w:jc w:val="center"/>
              <w:rPr>
                <w:rFonts w:ascii="宋体" w:hAnsi="宋体"/>
                <w:color w:val="000000" w:themeColor="text1"/>
                <w:szCs w:val="21"/>
                <w:highlight w:val="none"/>
              </w:rPr>
            </w:pPr>
            <w:r>
              <w:rPr>
                <w:rFonts w:hint="eastAsia" w:ascii="宋体" w:hAnsi="宋体"/>
                <w:color w:val="000000" w:themeColor="text1"/>
                <w:szCs w:val="21"/>
                <w:highlight w:val="none"/>
              </w:rPr>
              <w:t>1</w:t>
            </w:r>
          </w:p>
        </w:tc>
        <w:tc>
          <w:tcPr>
            <w:tcW w:w="6708" w:type="dxa"/>
            <w:vAlign w:val="center"/>
          </w:tcPr>
          <w:p>
            <w:pPr>
              <w:numPr>
                <w:ilvl w:val="0"/>
                <w:numId w:val="5"/>
              </w:numPr>
              <w:adjustRightInd w:val="0"/>
              <w:snapToGrid w:val="0"/>
              <w:spacing w:line="400" w:lineRule="exact"/>
              <w:ind w:firstLine="210" w:firstLineChars="100"/>
              <w:rPr>
                <w:rFonts w:ascii="宋体" w:hAnsi="宋体"/>
                <w:color w:val="000000" w:themeColor="text1"/>
                <w:szCs w:val="21"/>
                <w:highlight w:val="none"/>
              </w:rPr>
            </w:pPr>
            <w:r>
              <w:rPr>
                <w:rFonts w:ascii="宋体" w:hAnsi="宋体"/>
                <w:color w:val="000000" w:themeColor="text1"/>
                <w:szCs w:val="21"/>
                <w:highlight w:val="none"/>
              </w:rPr>
              <w:t>投标人自有人员</w:t>
            </w:r>
            <w:r>
              <w:rPr>
                <w:rFonts w:hint="eastAsia" w:ascii="宋体" w:hAnsi="宋体"/>
                <w:color w:val="000000" w:themeColor="text1"/>
                <w:szCs w:val="21"/>
                <w:highlight w:val="none"/>
              </w:rPr>
              <w:t>；</w:t>
            </w:r>
          </w:p>
          <w:p>
            <w:pPr>
              <w:numPr>
                <w:ilvl w:val="0"/>
                <w:numId w:val="5"/>
              </w:numPr>
              <w:adjustRightInd w:val="0"/>
              <w:snapToGrid w:val="0"/>
              <w:spacing w:line="400" w:lineRule="exact"/>
              <w:ind w:firstLine="210" w:firstLineChars="100"/>
              <w:rPr>
                <w:rFonts w:ascii="宋体" w:hAnsi="宋体"/>
                <w:color w:val="000000" w:themeColor="text1"/>
                <w:szCs w:val="21"/>
                <w:highlight w:val="none"/>
              </w:rPr>
            </w:pPr>
            <w:r>
              <w:rPr>
                <w:rFonts w:ascii="宋体" w:hAnsi="宋体"/>
                <w:color w:val="000000" w:themeColor="text1"/>
                <w:szCs w:val="21"/>
                <w:highlight w:val="none"/>
              </w:rPr>
              <w:t>具有</w:t>
            </w:r>
            <w:r>
              <w:rPr>
                <w:rFonts w:hint="eastAsia" w:ascii="宋体" w:hAnsi="宋体"/>
                <w:color w:val="000000" w:themeColor="text1"/>
                <w:szCs w:val="21"/>
                <w:highlight w:val="none"/>
                <w:lang w:val="en-US" w:eastAsia="zh-CN"/>
              </w:rPr>
              <w:t>公路</w:t>
            </w:r>
            <w:r>
              <w:rPr>
                <w:rFonts w:ascii="宋体" w:hAnsi="宋体"/>
                <w:color w:val="000000" w:themeColor="text1"/>
                <w:szCs w:val="21"/>
                <w:highlight w:val="none"/>
              </w:rPr>
              <w:t>相关专业高级技术职称</w:t>
            </w:r>
            <w:r>
              <w:rPr>
                <w:rFonts w:hint="eastAsia" w:ascii="宋体" w:hAnsi="宋体"/>
                <w:color w:val="000000" w:themeColor="text1"/>
                <w:szCs w:val="21"/>
                <w:highlight w:val="none"/>
              </w:rPr>
              <w:t>；</w:t>
            </w:r>
          </w:p>
          <w:p>
            <w:pPr>
              <w:numPr>
                <w:ilvl w:val="0"/>
                <w:numId w:val="5"/>
              </w:numPr>
              <w:adjustRightInd w:val="0"/>
              <w:snapToGrid w:val="0"/>
              <w:spacing w:line="400" w:lineRule="exact"/>
              <w:ind w:firstLine="210" w:firstLineChars="100"/>
              <w:rPr>
                <w:rFonts w:ascii="宋体" w:hAnsi="宋体"/>
                <w:color w:val="000000" w:themeColor="text1"/>
                <w:szCs w:val="21"/>
                <w:highlight w:val="none"/>
              </w:rPr>
            </w:pPr>
            <w:r>
              <w:rPr>
                <w:rFonts w:ascii="宋体" w:hAnsi="宋体"/>
                <w:color w:val="000000" w:themeColor="text1"/>
                <w:szCs w:val="21"/>
                <w:highlight w:val="none"/>
              </w:rPr>
              <w:t>具有</w:t>
            </w:r>
            <w:r>
              <w:rPr>
                <w:rFonts w:hint="eastAsia" w:ascii="宋体" w:hAnsi="宋体"/>
                <w:color w:val="000000" w:themeColor="text1"/>
                <w:szCs w:val="21"/>
                <w:highlight w:val="none"/>
              </w:rPr>
              <w:t>交通运输主管部门</w:t>
            </w:r>
            <w:r>
              <w:rPr>
                <w:rFonts w:ascii="宋体" w:hAnsi="宋体"/>
                <w:color w:val="000000" w:themeColor="text1"/>
                <w:szCs w:val="21"/>
                <w:highlight w:val="none"/>
              </w:rPr>
              <w:t>颁发的有效的</w:t>
            </w:r>
            <w:r>
              <w:rPr>
                <w:rFonts w:hint="eastAsia" w:ascii="宋体" w:hAnsi="宋体"/>
                <w:color w:val="000000" w:themeColor="text1"/>
                <w:szCs w:val="21"/>
                <w:highlight w:val="none"/>
              </w:rPr>
              <w:t>B类</w:t>
            </w:r>
            <w:r>
              <w:rPr>
                <w:rFonts w:ascii="宋体" w:hAnsi="宋体"/>
                <w:color w:val="000000" w:themeColor="text1"/>
                <w:szCs w:val="21"/>
                <w:highlight w:val="none"/>
              </w:rPr>
              <w:t>安全生产考核合格证书</w:t>
            </w:r>
            <w:r>
              <w:rPr>
                <w:rFonts w:hint="eastAsia" w:ascii="宋体" w:hAnsi="宋体"/>
                <w:color w:val="000000" w:themeColor="text1"/>
                <w:szCs w:val="21"/>
                <w:highlight w:val="none"/>
              </w:rPr>
              <w:t>。</w:t>
            </w:r>
          </w:p>
        </w:tc>
        <w:tc>
          <w:tcPr>
            <w:tcW w:w="1276" w:type="dxa"/>
            <w:vMerge w:val="continue"/>
            <w:vAlign w:val="center"/>
          </w:tcPr>
          <w:p>
            <w:pPr>
              <w:adjustRightInd w:val="0"/>
              <w:snapToGrid w:val="0"/>
              <w:rPr>
                <w:rFonts w:ascii="宋体" w:hAnsi="宋体"/>
                <w:color w:val="000000" w:themeColor="text1"/>
                <w:sz w:val="24"/>
                <w:szCs w:val="21"/>
                <w:highlight w:val="none"/>
              </w:rPr>
            </w:pPr>
          </w:p>
        </w:tc>
      </w:tr>
    </w:tbl>
    <w:p>
      <w:pPr>
        <w:spacing w:beforeLines="50" w:afterLines="50" w:line="400" w:lineRule="exact"/>
        <w:rPr>
          <w:rFonts w:hint="eastAsia" w:ascii="楷体" w:hAnsi="楷体" w:eastAsia="楷体"/>
          <w:color w:val="000000" w:themeColor="text1"/>
          <w:szCs w:val="21"/>
          <w:highlight w:val="none"/>
        </w:rPr>
      </w:pPr>
      <w:r>
        <w:rPr>
          <w:rFonts w:hint="eastAsia" w:ascii="楷体" w:hAnsi="楷体" w:eastAsia="楷体"/>
          <w:color w:val="000000" w:themeColor="text1"/>
          <w:szCs w:val="21"/>
          <w:highlight w:val="none"/>
        </w:rPr>
        <w:t>注: 上表中所列人员不得兼职。</w:t>
      </w:r>
    </w:p>
    <w:p>
      <w:pPr>
        <w:pStyle w:val="4"/>
        <w:keepNext w:val="0"/>
        <w:keepLines w:val="0"/>
        <w:spacing w:before="0" w:after="0" w:line="400" w:lineRule="exact"/>
        <w:jc w:val="left"/>
        <w:rPr>
          <w:rFonts w:ascii="黑体" w:eastAsia="黑体"/>
          <w:b w:val="0"/>
          <w:bCs w:val="0"/>
          <w:color w:val="000000" w:themeColor="text1"/>
          <w:sz w:val="24"/>
          <w:szCs w:val="24"/>
          <w:highlight w:val="none"/>
        </w:rPr>
      </w:pPr>
      <w:r>
        <w:rPr>
          <w:rFonts w:hint="eastAsia" w:ascii="楷体" w:hAnsi="楷体" w:eastAsia="楷体"/>
          <w:color w:val="000000" w:themeColor="text1"/>
          <w:szCs w:val="21"/>
          <w:highlight w:val="none"/>
        </w:rPr>
        <w:br w:type="page"/>
      </w:r>
      <w:bookmarkStart w:id="30" w:name="_Toc58269159"/>
      <w:r>
        <w:rPr>
          <w:rFonts w:hint="eastAsia" w:ascii="黑体" w:hAnsi="黑体" w:eastAsia="黑体" w:cs="Times New Roman"/>
          <w:b w:val="0"/>
          <w:bCs w:val="0"/>
          <w:color w:val="000000" w:themeColor="text1"/>
          <w:kern w:val="2"/>
          <w:sz w:val="24"/>
          <w:szCs w:val="24"/>
          <w:highlight w:val="none"/>
          <w:lang w:val="en-US" w:eastAsia="zh-CN" w:bidi="ar-SA"/>
        </w:rPr>
        <w:t>8</w:t>
      </w:r>
      <w:r>
        <w:rPr>
          <w:rFonts w:hint="eastAsia" w:ascii="黑体" w:hAnsi="黑体" w:eastAsia="黑体"/>
          <w:color w:val="000000" w:themeColor="text1"/>
          <w:sz w:val="24"/>
          <w:szCs w:val="24"/>
          <w:highlight w:val="none"/>
        </w:rPr>
        <w:t>．</w:t>
      </w:r>
      <w:r>
        <w:rPr>
          <w:rFonts w:hint="eastAsia" w:ascii="黑体" w:hAnsi="黑体" w:eastAsia="黑体" w:cs="Times New Roman"/>
          <w:b w:val="0"/>
          <w:bCs w:val="0"/>
          <w:color w:val="000000" w:themeColor="text1"/>
          <w:kern w:val="2"/>
          <w:sz w:val="24"/>
          <w:szCs w:val="24"/>
          <w:highlight w:val="none"/>
          <w:lang w:val="en-US" w:eastAsia="zh-CN" w:bidi="ar-SA"/>
        </w:rPr>
        <w:t>评标办法前附表</w:t>
      </w:r>
      <w:bookmarkEnd w:id="30"/>
    </w:p>
    <w:tbl>
      <w:tblPr>
        <w:tblStyle w:val="43"/>
        <w:tblW w:w="978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99"/>
        <w:gridCol w:w="1555"/>
        <w:gridCol w:w="72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tblHeader/>
          <w:jc w:val="center"/>
        </w:trPr>
        <w:tc>
          <w:tcPr>
            <w:tcW w:w="999" w:type="dxa"/>
            <w:tcBorders>
              <w:top w:val="single" w:color="000000" w:sz="12" w:space="0"/>
              <w:left w:val="single" w:color="000000" w:sz="12"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条款号</w:t>
            </w:r>
          </w:p>
        </w:tc>
        <w:tc>
          <w:tcPr>
            <w:tcW w:w="1555" w:type="dxa"/>
            <w:tcBorders>
              <w:top w:val="single" w:color="000000" w:sz="12" w:space="0"/>
              <w:left w:val="single" w:color="000000" w:sz="6" w:space="0"/>
              <w:bottom w:val="single" w:color="000000" w:sz="6" w:space="0"/>
              <w:right w:val="single" w:color="auto" w:sz="4"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条款内容</w:t>
            </w:r>
          </w:p>
        </w:tc>
        <w:tc>
          <w:tcPr>
            <w:tcW w:w="7232" w:type="dxa"/>
            <w:tcBorders>
              <w:top w:val="single" w:color="000000" w:sz="12" w:space="0"/>
              <w:left w:val="single" w:color="auto" w:sz="4" w:space="0"/>
              <w:bottom w:val="single" w:color="000000" w:sz="6" w:space="0"/>
              <w:right w:val="single" w:color="000000" w:sz="12"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1</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评标方法</w:t>
            </w:r>
          </w:p>
        </w:tc>
        <w:tc>
          <w:tcPr>
            <w:tcW w:w="723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beforeLines="10" w:afterLines="10" w:line="360" w:lineRule="atLeas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评标价相等时，评标委员会依次按照以下优先顺序推荐中标候选人：</w:t>
            </w:r>
          </w:p>
          <w:p>
            <w:pPr>
              <w:adjustRightInd w:val="0"/>
              <w:snapToGrid w:val="0"/>
              <w:spacing w:beforeLines="10" w:afterLines="10" w:line="360" w:lineRule="atLeas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（1）履约信誉得分较高的投标人优先；</w:t>
            </w:r>
          </w:p>
          <w:p>
            <w:pPr>
              <w:adjustRightInd w:val="0"/>
              <w:snapToGrid w:val="0"/>
              <w:spacing w:beforeLines="10" w:afterLines="10" w:line="360" w:lineRule="atLeas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（2）商务和技术得分较高的投标人优先；</w:t>
            </w:r>
          </w:p>
          <w:p>
            <w:pPr>
              <w:adjustRightInd w:val="0"/>
              <w:snapToGrid w:val="0"/>
              <w:spacing w:beforeLines="10" w:afterLines="10" w:line="360" w:lineRule="atLeast"/>
              <w:ind w:left="420"/>
              <w:rPr>
                <w:rFonts w:ascii="宋体" w:hAnsi="宋体"/>
                <w:color w:val="000000" w:themeColor="text1"/>
                <w:szCs w:val="21"/>
                <w:highlight w:val="none"/>
              </w:rPr>
            </w:pPr>
            <w:r>
              <w:rPr>
                <w:rFonts w:hint="eastAsia" w:ascii="宋体" w:hAnsi="宋体"/>
                <w:color w:val="000000" w:themeColor="text1"/>
                <w:szCs w:val="21"/>
                <w:highlight w:val="none"/>
              </w:rPr>
              <w:t>（3）施工组织设计得分较高的投标人优先；</w:t>
            </w:r>
          </w:p>
          <w:p>
            <w:pPr>
              <w:adjustRightInd w:val="0"/>
              <w:snapToGrid w:val="0"/>
              <w:spacing w:beforeLines="10" w:afterLines="10" w:line="360" w:lineRule="atLeast"/>
              <w:ind w:left="420"/>
              <w:rPr>
                <w:rFonts w:ascii="宋体" w:hAnsi="宋体"/>
                <w:color w:val="000000" w:themeColor="text1"/>
                <w:szCs w:val="21"/>
                <w:highlight w:val="none"/>
              </w:rPr>
            </w:pPr>
            <w:r>
              <w:rPr>
                <w:rFonts w:hint="eastAsia" w:ascii="宋体" w:hAnsi="宋体"/>
                <w:color w:val="000000" w:themeColor="text1"/>
                <w:szCs w:val="21"/>
                <w:highlight w:val="none"/>
              </w:rPr>
              <w:t>（4）企业业绩得分较高的投标人优先；</w:t>
            </w:r>
          </w:p>
          <w:p>
            <w:pPr>
              <w:adjustRightInd w:val="0"/>
              <w:snapToGrid w:val="0"/>
              <w:spacing w:beforeLines="10" w:afterLines="10" w:line="360" w:lineRule="atLeast"/>
              <w:ind w:left="420"/>
              <w:rPr>
                <w:rFonts w:ascii="宋体" w:hAnsi="宋体"/>
                <w:color w:val="000000" w:themeColor="text1"/>
                <w:szCs w:val="21"/>
                <w:highlight w:val="none"/>
              </w:rPr>
            </w:pPr>
            <w:r>
              <w:rPr>
                <w:rFonts w:hint="eastAsia" w:ascii="宋体" w:hAnsi="宋体"/>
                <w:color w:val="000000" w:themeColor="text1"/>
                <w:szCs w:val="21"/>
                <w:highlight w:val="none"/>
              </w:rPr>
              <w:t>若以上均相等，则由评标委员会表决确定其排序先后。</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2.1.1</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2.1.3</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形式评审与</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响应性评审标准</w:t>
            </w:r>
          </w:p>
        </w:tc>
        <w:tc>
          <w:tcPr>
            <w:tcW w:w="723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beforeLines="10" w:afterLines="10" w:line="360" w:lineRule="atLeast"/>
              <w:rPr>
                <w:rFonts w:ascii="宋体" w:hAnsi="宋体"/>
                <w:color w:val="000000" w:themeColor="text1"/>
                <w:szCs w:val="21"/>
                <w:highlight w:val="none"/>
              </w:rPr>
            </w:pPr>
            <w:r>
              <w:rPr>
                <w:rFonts w:hint="eastAsia" w:ascii="宋体" w:hAnsi="宋体"/>
                <w:color w:val="000000" w:themeColor="text1"/>
                <w:szCs w:val="21"/>
                <w:highlight w:val="none"/>
              </w:rPr>
              <w:t>第一个信封（商务及技术文件）评审标准：</w:t>
            </w:r>
          </w:p>
          <w:p>
            <w:pPr>
              <w:adjustRightInd w:val="0"/>
              <w:snapToGrid w:val="0"/>
              <w:spacing w:beforeLines="10" w:afterLines="10" w:line="360" w:lineRule="atLeas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（1）投标文件按照招标文件规定的格式、内容填写，字迹清晰可辨：</w:t>
            </w:r>
          </w:p>
          <w:p>
            <w:pPr>
              <w:adjustRightInd w:val="0"/>
              <w:snapToGrid w:val="0"/>
              <w:spacing w:beforeLines="10" w:afterLines="10" w:line="360" w:lineRule="atLeast"/>
              <w:ind w:firstLine="630" w:firstLineChars="300"/>
              <w:rPr>
                <w:rFonts w:ascii="宋体" w:hAnsi="宋体"/>
                <w:color w:val="000000" w:themeColor="text1"/>
                <w:szCs w:val="21"/>
                <w:highlight w:val="none"/>
              </w:rPr>
            </w:pPr>
            <w:r>
              <w:rPr>
                <w:rFonts w:hint="eastAsia" w:ascii="宋体" w:hAnsi="宋体"/>
                <w:color w:val="000000" w:themeColor="text1"/>
                <w:szCs w:val="21"/>
                <w:highlight w:val="none"/>
              </w:rPr>
              <w:t>a.</w:t>
            </w:r>
            <w:r>
              <w:rPr>
                <w:rFonts w:ascii="宋体" w:hAnsi="宋体"/>
                <w:color w:val="000000" w:themeColor="text1"/>
                <w:szCs w:val="21"/>
                <w:highlight w:val="none"/>
              </w:rPr>
              <w:t>投标函按招标文件规定填报了项目名称、标段号、补遗书编号（如有)、工期、工程质量要求及安全目标；</w:t>
            </w:r>
          </w:p>
          <w:p>
            <w:pPr>
              <w:adjustRightInd w:val="0"/>
              <w:snapToGrid w:val="0"/>
              <w:spacing w:beforeLines="10" w:afterLines="10" w:line="360" w:lineRule="atLeast"/>
              <w:ind w:firstLine="630" w:firstLineChars="300"/>
              <w:rPr>
                <w:rFonts w:ascii="宋体" w:hAnsi="宋体"/>
                <w:color w:val="000000" w:themeColor="text1"/>
                <w:szCs w:val="21"/>
                <w:highlight w:val="none"/>
              </w:rPr>
            </w:pPr>
            <w:r>
              <w:rPr>
                <w:rFonts w:hint="eastAsia" w:ascii="宋体" w:hAnsi="宋体"/>
                <w:color w:val="000000" w:themeColor="text1"/>
                <w:szCs w:val="21"/>
                <w:highlight w:val="none"/>
              </w:rPr>
              <w:t>b.投标函附录的所有数据均符合招标文件规定；</w:t>
            </w:r>
          </w:p>
          <w:p>
            <w:pPr>
              <w:adjustRightInd w:val="0"/>
              <w:snapToGrid w:val="0"/>
              <w:spacing w:beforeLines="10" w:afterLines="10" w:line="360" w:lineRule="atLeast"/>
              <w:ind w:firstLine="630" w:firstLineChars="300"/>
              <w:rPr>
                <w:rFonts w:ascii="宋体" w:hAnsi="宋体"/>
                <w:color w:val="000000" w:themeColor="text1"/>
                <w:szCs w:val="21"/>
                <w:highlight w:val="none"/>
              </w:rPr>
            </w:pPr>
            <w:r>
              <w:rPr>
                <w:rFonts w:hint="eastAsia" w:ascii="宋体" w:hAnsi="宋体"/>
                <w:color w:val="000000" w:themeColor="text1"/>
                <w:szCs w:val="21"/>
                <w:highlight w:val="none"/>
              </w:rPr>
              <w:t>c.投标文件组成齐全完整，内容均按规定填写。</w:t>
            </w:r>
          </w:p>
          <w:p>
            <w:pPr>
              <w:adjustRightInd w:val="0"/>
              <w:snapToGrid w:val="0"/>
              <w:spacing w:beforeLines="10" w:afterLines="10" w:line="360" w:lineRule="atLeast"/>
              <w:ind w:firstLine="420" w:firstLineChars="200"/>
              <w:rPr>
                <w:rFonts w:ascii="宋体" w:hAnsi="宋体"/>
                <w:color w:val="auto"/>
                <w:szCs w:val="21"/>
                <w:highlight w:val="none"/>
              </w:rPr>
            </w:pPr>
            <w:r>
              <w:rPr>
                <w:rFonts w:hint="eastAsia" w:ascii="宋体" w:hAnsi="宋体"/>
                <w:color w:val="auto"/>
                <w:szCs w:val="21"/>
                <w:highlight w:val="none"/>
              </w:rPr>
              <w:t>（2）投标文件上法定代表人或其授权代理人的签字、投标人的单位章盖章齐全，符合招标文件规定。</w:t>
            </w:r>
          </w:p>
          <w:p>
            <w:pPr>
              <w:adjustRightInd w:val="0"/>
              <w:snapToGrid w:val="0"/>
              <w:spacing w:beforeLines="10" w:afterLines="10" w:line="360" w:lineRule="atLeas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（3）投标人按照招标文件的规定提供了投标保证金：</w:t>
            </w:r>
          </w:p>
          <w:p>
            <w:pPr>
              <w:adjustRightInd w:val="0"/>
              <w:snapToGrid w:val="0"/>
              <w:spacing w:beforeLines="10" w:afterLines="10" w:line="360" w:lineRule="atLeast"/>
              <w:ind w:firstLine="630" w:firstLineChars="300"/>
              <w:rPr>
                <w:rFonts w:ascii="宋体" w:hAnsi="宋体"/>
                <w:color w:val="000000" w:themeColor="text1"/>
                <w:szCs w:val="21"/>
                <w:highlight w:val="none"/>
              </w:rPr>
            </w:pPr>
            <w:r>
              <w:rPr>
                <w:rFonts w:hint="eastAsia" w:ascii="宋体" w:hAnsi="宋体"/>
                <w:color w:val="000000" w:themeColor="text1"/>
                <w:szCs w:val="21"/>
                <w:highlight w:val="none"/>
              </w:rPr>
              <w:t>a.投标保证金金额符合招标文件规定的金额，且投标保证金有效期不少于投标有效期；</w:t>
            </w:r>
          </w:p>
          <w:p>
            <w:pPr>
              <w:adjustRightInd w:val="0"/>
              <w:snapToGrid w:val="0"/>
              <w:spacing w:beforeLines="10" w:afterLines="10" w:line="360" w:lineRule="atLeast"/>
              <w:ind w:firstLine="630" w:firstLineChars="300"/>
              <w:rPr>
                <w:rFonts w:ascii="宋体" w:hAnsi="宋体"/>
                <w:color w:val="000000" w:themeColor="text1"/>
                <w:szCs w:val="21"/>
                <w:highlight w:val="none"/>
              </w:rPr>
            </w:pPr>
            <w:r>
              <w:rPr>
                <w:rFonts w:hint="eastAsia" w:ascii="宋体" w:hAnsi="宋体"/>
                <w:color w:val="000000" w:themeColor="text1"/>
                <w:szCs w:val="21"/>
                <w:highlight w:val="none"/>
              </w:rPr>
              <w:t>b.</w:t>
            </w:r>
            <w:r>
              <w:rPr>
                <w:rFonts w:ascii="宋体" w:hAnsi="宋体"/>
                <w:color w:val="000000" w:themeColor="text1"/>
                <w:szCs w:val="21"/>
                <w:highlight w:val="none"/>
              </w:rPr>
              <w:t>若投标保证金采用现金或支票形式提交，投标人应在递交投标</w:t>
            </w:r>
            <w:r>
              <w:rPr>
                <w:rFonts w:hint="eastAsia" w:ascii="宋体" w:hAnsi="宋体"/>
                <w:color w:val="000000" w:themeColor="text1"/>
                <w:szCs w:val="21"/>
                <w:highlight w:val="none"/>
              </w:rPr>
              <w:t>保证金</w:t>
            </w:r>
            <w:r>
              <w:rPr>
                <w:rFonts w:ascii="宋体" w:hAnsi="宋体"/>
                <w:color w:val="000000" w:themeColor="text1"/>
                <w:szCs w:val="21"/>
                <w:highlight w:val="none"/>
              </w:rPr>
              <w:t>截止时间之前，将投标保证金由投标人的基本账户</w:t>
            </w:r>
            <w:r>
              <w:rPr>
                <w:rFonts w:hint="eastAsia" w:ascii="宋体" w:hAnsi="宋体"/>
                <w:color w:val="000000" w:themeColor="text1"/>
                <w:szCs w:val="21"/>
                <w:highlight w:val="none"/>
              </w:rPr>
              <w:t>一次性</w:t>
            </w:r>
            <w:r>
              <w:rPr>
                <w:rFonts w:ascii="宋体" w:hAnsi="宋体"/>
                <w:color w:val="000000" w:themeColor="text1"/>
                <w:szCs w:val="21"/>
                <w:highlight w:val="none"/>
              </w:rPr>
              <w:t>转入</w:t>
            </w:r>
            <w:r>
              <w:rPr>
                <w:rFonts w:hint="eastAsia" w:ascii="宋体" w:hAnsi="宋体"/>
                <w:color w:val="000000" w:themeColor="text1"/>
                <w:szCs w:val="21"/>
                <w:highlight w:val="none"/>
              </w:rPr>
              <w:t>并到达</w:t>
            </w:r>
            <w:r>
              <w:rPr>
                <w:rFonts w:ascii="宋体" w:hAnsi="宋体"/>
                <w:color w:val="000000" w:themeColor="text1"/>
                <w:szCs w:val="21"/>
                <w:highlight w:val="none"/>
              </w:rPr>
              <w:t>招标人指定账户；</w:t>
            </w:r>
          </w:p>
          <w:p>
            <w:pPr>
              <w:adjustRightInd w:val="0"/>
              <w:snapToGrid w:val="0"/>
              <w:spacing w:beforeLines="10" w:afterLines="10" w:line="360" w:lineRule="atLeast"/>
              <w:ind w:firstLine="630" w:firstLineChars="300"/>
              <w:rPr>
                <w:rFonts w:ascii="宋体" w:hAnsi="宋体"/>
                <w:color w:val="000000" w:themeColor="text1"/>
                <w:szCs w:val="21"/>
                <w:highlight w:val="none"/>
              </w:rPr>
            </w:pPr>
            <w:r>
              <w:rPr>
                <w:rFonts w:hint="eastAsia" w:ascii="宋体" w:hAnsi="宋体"/>
                <w:color w:val="000000" w:themeColor="text1"/>
                <w:szCs w:val="21"/>
                <w:highlight w:val="none"/>
              </w:rPr>
              <w:t>c．</w:t>
            </w:r>
            <w:r>
              <w:rPr>
                <w:rFonts w:ascii="宋体" w:hAnsi="宋体"/>
                <w:color w:val="000000" w:themeColor="text1"/>
                <w:szCs w:val="21"/>
                <w:highlight w:val="none"/>
              </w:rPr>
              <w:t>若投标保证金采用银行保函形式提交，银行保函的格式、开具保函的银行均满足招标文件要求，且在递交投标文件截止时间之前向招标人提交了银行保函原件。</w:t>
            </w:r>
          </w:p>
          <w:p>
            <w:pPr>
              <w:adjustRightInd w:val="0"/>
              <w:snapToGrid w:val="0"/>
              <w:spacing w:beforeLines="10" w:afterLines="10" w:line="360" w:lineRule="atLeast"/>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w:t>
            </w:r>
            <w:r>
              <w:rPr>
                <w:rFonts w:ascii="宋体" w:hAnsi="宋体"/>
                <w:color w:val="000000" w:themeColor="text1"/>
                <w:szCs w:val="21"/>
                <w:highlight w:val="none"/>
              </w:rPr>
              <w:t>投标人法定代表人授权委托代理人签署投标文件的，</w:t>
            </w:r>
            <w:r>
              <w:rPr>
                <w:rFonts w:hint="eastAsia" w:ascii="宋体" w:hAnsi="宋体"/>
                <w:color w:val="000000" w:themeColor="text1"/>
                <w:szCs w:val="21"/>
                <w:highlight w:val="none"/>
              </w:rPr>
              <w:t>须</w:t>
            </w:r>
            <w:r>
              <w:rPr>
                <w:rFonts w:ascii="宋体" w:hAnsi="宋体"/>
                <w:color w:val="000000" w:themeColor="text1"/>
                <w:szCs w:val="21"/>
                <w:highlight w:val="none"/>
              </w:rPr>
              <w:t>提交授权委托书，且授权人和被授权人均在授权委托书上签名，未使用印章、签名章或其他电子制版签名代替。</w:t>
            </w:r>
          </w:p>
          <w:p>
            <w:pPr>
              <w:pStyle w:val="59"/>
              <w:shd w:val="clear" w:color="auto" w:fill="auto"/>
              <w:tabs>
                <w:tab w:val="left" w:pos="914"/>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（5）</w:t>
            </w:r>
            <w:r>
              <w:rPr>
                <w:color w:val="000000" w:themeColor="text1"/>
                <w:kern w:val="2"/>
                <w:sz w:val="21"/>
                <w:szCs w:val="21"/>
                <w:highlight w:val="none"/>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rFonts w:ascii="宋体" w:hAnsi="宋体"/>
                <w:bCs/>
                <w:color w:val="000000" w:themeColor="text1"/>
                <w:szCs w:val="21"/>
                <w:highlight w:val="none"/>
                <w:lang w:val="zh-CN"/>
              </w:rPr>
            </w:pPr>
            <w:r>
              <w:rPr>
                <w:rFonts w:hint="eastAsia" w:ascii="宋体" w:hAnsi="宋体"/>
                <w:color w:val="000000" w:themeColor="text1"/>
                <w:szCs w:val="21"/>
                <w:highlight w:val="none"/>
              </w:rPr>
              <w:t>（6）投标人以联合体形式投标时，联合体满足招标文件的要求：</w:t>
            </w:r>
          </w:p>
          <w:p>
            <w:pPr>
              <w:adjustRightInd w:val="0"/>
              <w:snapToGrid w:val="0"/>
              <w:spacing w:beforeLines="10" w:afterLines="10" w:line="360" w:lineRule="atLeast"/>
              <w:ind w:firstLine="630" w:firstLineChars="300"/>
              <w:rPr>
                <w:rFonts w:ascii="宋体" w:hAnsi="宋体"/>
                <w:color w:val="000000" w:themeColor="text1"/>
                <w:szCs w:val="21"/>
                <w:highlight w:val="none"/>
              </w:rPr>
            </w:pPr>
            <w:r>
              <w:rPr>
                <w:rFonts w:hint="eastAsia" w:ascii="宋体" w:hAnsi="宋体"/>
                <w:color w:val="000000" w:themeColor="text1"/>
                <w:szCs w:val="21"/>
                <w:highlight w:val="none"/>
              </w:rPr>
              <w:t>投标人按照招标文件提供的格式签订了联合体协议书，明确各方承担连带责任，并明确了联合体牵头人。</w:t>
            </w:r>
          </w:p>
          <w:p>
            <w:pPr>
              <w:adjustRightInd w:val="0"/>
              <w:snapToGrid w:val="0"/>
              <w:spacing w:beforeLines="10" w:afterLines="10" w:line="360" w:lineRule="atLeast"/>
              <w:ind w:firstLine="630" w:firstLineChars="300"/>
              <w:rPr>
                <w:color w:val="000000" w:themeColor="text1"/>
                <w:kern w:val="2"/>
                <w:sz w:val="21"/>
                <w:szCs w:val="21"/>
                <w:highlight w:val="none"/>
              </w:rPr>
            </w:pPr>
            <w:r>
              <w:rPr>
                <w:rFonts w:hint="eastAsia" w:ascii="宋体" w:hAnsi="宋体"/>
                <w:color w:val="000000" w:themeColor="text1"/>
                <w:szCs w:val="21"/>
                <w:highlight w:val="none"/>
              </w:rPr>
              <w:t>（7）投标人如有分包计划，符合招标</w:t>
            </w:r>
            <w:r>
              <w:rPr>
                <w:rFonts w:hint="eastAsia"/>
                <w:color w:val="000000" w:themeColor="text1"/>
                <w:kern w:val="2"/>
                <w:sz w:val="21"/>
                <w:szCs w:val="21"/>
                <w:highlight w:val="none"/>
              </w:rPr>
              <w:t>文件第二章“投标人须知”第1.11款规定，且按招标文件第九章“投标文件格式”的要求填写了“拟分包项目情况表”。</w:t>
            </w:r>
          </w:p>
          <w:p>
            <w:pPr>
              <w:pStyle w:val="59"/>
              <w:shd w:val="clear" w:color="auto" w:fill="auto"/>
              <w:tabs>
                <w:tab w:val="left" w:pos="922"/>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（8）</w:t>
            </w:r>
            <w:r>
              <w:rPr>
                <w:color w:val="000000" w:themeColor="text1"/>
                <w:kern w:val="2"/>
                <w:sz w:val="21"/>
                <w:szCs w:val="21"/>
                <w:highlight w:val="none"/>
              </w:rPr>
              <w:t>同一投标人未提交两个以上不同的投标文件，但招标文件要求提交备选投标的除外。</w:t>
            </w:r>
          </w:p>
          <w:p>
            <w:pPr>
              <w:pStyle w:val="59"/>
              <w:shd w:val="clear" w:color="auto" w:fill="auto"/>
              <w:tabs>
                <w:tab w:val="left" w:pos="922"/>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（9）</w:t>
            </w:r>
            <w:r>
              <w:rPr>
                <w:color w:val="000000" w:themeColor="text1"/>
                <w:kern w:val="2"/>
                <w:sz w:val="21"/>
                <w:szCs w:val="21"/>
                <w:highlight w:val="none"/>
              </w:rPr>
              <w:t>投标文件中未出现有关投标报价的内容。</w:t>
            </w:r>
          </w:p>
          <w:p>
            <w:pPr>
              <w:pStyle w:val="59"/>
              <w:shd w:val="clear" w:color="auto" w:fill="auto"/>
              <w:tabs>
                <w:tab w:val="left" w:pos="938"/>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（10）</w:t>
            </w:r>
            <w:r>
              <w:rPr>
                <w:color w:val="000000" w:themeColor="text1"/>
                <w:kern w:val="2"/>
                <w:sz w:val="21"/>
                <w:szCs w:val="21"/>
                <w:highlight w:val="none"/>
              </w:rPr>
              <w:t>投标文件载明的招标项目完成期限未超过招标文件规定的时限。</w:t>
            </w:r>
          </w:p>
          <w:p>
            <w:pPr>
              <w:pStyle w:val="59"/>
              <w:shd w:val="clear" w:color="auto" w:fill="auto"/>
              <w:tabs>
                <w:tab w:val="left" w:pos="922"/>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（11）</w:t>
            </w:r>
            <w:r>
              <w:rPr>
                <w:color w:val="000000" w:themeColor="text1"/>
                <w:kern w:val="2"/>
                <w:sz w:val="21"/>
                <w:szCs w:val="21"/>
                <w:highlight w:val="none"/>
              </w:rPr>
              <w:t>投标文件对招标文件的实质性要求和条件作出响应。</w:t>
            </w:r>
          </w:p>
          <w:p>
            <w:pPr>
              <w:pStyle w:val="59"/>
              <w:shd w:val="clear" w:color="auto" w:fill="auto"/>
              <w:tabs>
                <w:tab w:val="left" w:pos="922"/>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（12）</w:t>
            </w:r>
            <w:r>
              <w:rPr>
                <w:color w:val="000000" w:themeColor="text1"/>
                <w:kern w:val="2"/>
                <w:sz w:val="21"/>
                <w:szCs w:val="21"/>
                <w:highlight w:val="none"/>
              </w:rPr>
              <w:t>权利义务符合招标文件规定：</w:t>
            </w:r>
          </w:p>
          <w:p>
            <w:pPr>
              <w:pStyle w:val="59"/>
              <w:shd w:val="clear" w:color="auto" w:fill="auto"/>
              <w:tabs>
                <w:tab w:val="left" w:pos="530"/>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a．</w:t>
            </w:r>
            <w:r>
              <w:rPr>
                <w:color w:val="000000" w:themeColor="text1"/>
                <w:kern w:val="2"/>
                <w:sz w:val="21"/>
                <w:szCs w:val="21"/>
                <w:highlight w:val="none"/>
              </w:rPr>
              <w:t>投标人应接受招标文件规定的风险划分原则，未提出新的风险划分办法；</w:t>
            </w:r>
          </w:p>
          <w:p>
            <w:pPr>
              <w:pStyle w:val="59"/>
              <w:shd w:val="clear" w:color="auto" w:fill="auto"/>
              <w:tabs>
                <w:tab w:val="left" w:pos="666"/>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b．</w:t>
            </w:r>
            <w:r>
              <w:rPr>
                <w:color w:val="000000" w:themeColor="text1"/>
                <w:kern w:val="2"/>
                <w:sz w:val="21"/>
                <w:szCs w:val="21"/>
                <w:highlight w:val="none"/>
              </w:rPr>
              <w:t>投标人未增加发包人的责任范围，或减少投标人义务；</w:t>
            </w:r>
          </w:p>
          <w:p>
            <w:pPr>
              <w:pStyle w:val="59"/>
              <w:shd w:val="clear" w:color="auto" w:fill="auto"/>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c．</w:t>
            </w:r>
            <w:r>
              <w:rPr>
                <w:color w:val="000000" w:themeColor="text1"/>
                <w:kern w:val="2"/>
                <w:sz w:val="21"/>
                <w:szCs w:val="21"/>
                <w:highlight w:val="none"/>
              </w:rPr>
              <w:t>投标人未提出不同的工程验收、计量、支付办法；</w:t>
            </w:r>
          </w:p>
          <w:p>
            <w:pPr>
              <w:pStyle w:val="59"/>
              <w:shd w:val="clear" w:color="auto" w:fill="auto"/>
              <w:tabs>
                <w:tab w:val="left" w:pos="661"/>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d．</w:t>
            </w:r>
            <w:r>
              <w:rPr>
                <w:color w:val="000000" w:themeColor="text1"/>
                <w:kern w:val="2"/>
                <w:sz w:val="21"/>
                <w:szCs w:val="21"/>
                <w:highlight w:val="none"/>
              </w:rPr>
              <w:t>投标人对合同纠纷、事故处理办法未提出异议；</w:t>
            </w:r>
          </w:p>
          <w:p>
            <w:pPr>
              <w:pStyle w:val="59"/>
              <w:shd w:val="clear" w:color="auto" w:fill="auto"/>
              <w:tabs>
                <w:tab w:val="left" w:pos="649"/>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e．</w:t>
            </w:r>
            <w:r>
              <w:rPr>
                <w:color w:val="000000" w:themeColor="text1"/>
                <w:kern w:val="2"/>
                <w:sz w:val="21"/>
                <w:szCs w:val="21"/>
                <w:highlight w:val="none"/>
              </w:rPr>
              <w:t>投标人在投标活动中无欺诈行为；</w:t>
            </w:r>
          </w:p>
          <w:p>
            <w:pPr>
              <w:pStyle w:val="59"/>
              <w:shd w:val="clear" w:color="auto" w:fill="auto"/>
              <w:tabs>
                <w:tab w:val="left" w:pos="914"/>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f．</w:t>
            </w:r>
            <w:r>
              <w:rPr>
                <w:color w:val="000000" w:themeColor="text1"/>
                <w:kern w:val="2"/>
                <w:sz w:val="21"/>
                <w:szCs w:val="21"/>
                <w:highlight w:val="none"/>
              </w:rPr>
              <w:t>投标人未对合同条款有重要保留。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2.1.1</w:t>
            </w:r>
          </w:p>
          <w:p>
            <w:pPr>
              <w:adjustRightInd w:val="0"/>
              <w:snapToGrid w:val="0"/>
              <w:spacing w:beforeLines="10" w:afterLines="10" w:line="360" w:lineRule="atLeast"/>
              <w:jc w:val="center"/>
              <w:rPr>
                <w:rFonts w:ascii="宋体" w:hAnsi="宋体"/>
                <w:color w:val="000000" w:themeColor="text1"/>
                <w:szCs w:val="21"/>
                <w:highlight w:val="none"/>
              </w:rPr>
            </w:pPr>
          </w:p>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2.1.3</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形式评审与</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响应性评审标准</w:t>
            </w:r>
          </w:p>
        </w:tc>
        <w:tc>
          <w:tcPr>
            <w:tcW w:w="723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beforeLines="10" w:afterLines="10" w:line="360" w:lineRule="atLeast"/>
              <w:jc w:val="left"/>
              <w:rPr>
                <w:rFonts w:ascii="宋体" w:hAnsi="宋体"/>
                <w:color w:val="000000" w:themeColor="text1"/>
                <w:szCs w:val="21"/>
                <w:highlight w:val="none"/>
              </w:rPr>
            </w:pPr>
            <w:r>
              <w:rPr>
                <w:rFonts w:hint="eastAsia" w:ascii="宋体" w:hAnsi="宋体"/>
                <w:color w:val="000000" w:themeColor="text1"/>
                <w:szCs w:val="21"/>
                <w:highlight w:val="none"/>
              </w:rPr>
              <w:t>第二个信封（报价文件）评审标准</w:t>
            </w:r>
          </w:p>
          <w:p>
            <w:pPr>
              <w:pStyle w:val="59"/>
              <w:shd w:val="clear" w:color="auto" w:fill="auto"/>
              <w:tabs>
                <w:tab w:val="left" w:pos="914"/>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（1）投标文件按照招标文件规定的格式、内容填写，字迹清晰可辨：</w:t>
            </w:r>
          </w:p>
          <w:p>
            <w:pPr>
              <w:pStyle w:val="59"/>
              <w:shd w:val="clear" w:color="auto" w:fill="auto"/>
              <w:tabs>
                <w:tab w:val="left" w:pos="914"/>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a．</w:t>
            </w:r>
            <w:r>
              <w:rPr>
                <w:color w:val="000000" w:themeColor="text1"/>
                <w:kern w:val="2"/>
                <w:sz w:val="21"/>
                <w:szCs w:val="21"/>
                <w:highlight w:val="none"/>
              </w:rPr>
              <w:t>投标函按招标文件规定填报了项目名称、标段号、补遗书编号（如有)、投标价（包括大写金额和小写金额)；</w:t>
            </w:r>
          </w:p>
          <w:p>
            <w:pPr>
              <w:pStyle w:val="59"/>
              <w:shd w:val="clear" w:color="auto" w:fill="auto"/>
              <w:tabs>
                <w:tab w:val="left" w:pos="914"/>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b．</w:t>
            </w:r>
            <w:r>
              <w:rPr>
                <w:color w:val="000000" w:themeColor="text1"/>
                <w:kern w:val="2"/>
                <w:sz w:val="21"/>
                <w:szCs w:val="21"/>
                <w:highlight w:val="none"/>
              </w:rPr>
              <w:t>已标价工程量清单说明文字与招标文件规定一致，未进行实质性修改和删减；</w:t>
            </w:r>
          </w:p>
          <w:p>
            <w:pPr>
              <w:pStyle w:val="59"/>
              <w:shd w:val="clear" w:color="auto" w:fill="auto"/>
              <w:tabs>
                <w:tab w:val="left" w:pos="914"/>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c．</w:t>
            </w:r>
            <w:r>
              <w:rPr>
                <w:color w:val="000000" w:themeColor="text1"/>
                <w:kern w:val="2"/>
                <w:sz w:val="21"/>
                <w:szCs w:val="21"/>
                <w:highlight w:val="none"/>
              </w:rPr>
              <w:t>投标文件组成齐全完整，内容均按规定填写。</w:t>
            </w:r>
          </w:p>
          <w:p>
            <w:pPr>
              <w:pStyle w:val="59"/>
              <w:shd w:val="clear" w:color="auto" w:fill="auto"/>
              <w:tabs>
                <w:tab w:val="left" w:pos="914"/>
              </w:tabs>
              <w:spacing w:before="0" w:line="360" w:lineRule="atLeast"/>
              <w:ind w:firstLine="420" w:firstLineChars="200"/>
              <w:jc w:val="both"/>
              <w:rPr>
                <w:color w:val="000000" w:themeColor="text1"/>
                <w:kern w:val="2"/>
                <w:sz w:val="21"/>
                <w:szCs w:val="21"/>
                <w:highlight w:val="none"/>
              </w:rPr>
            </w:pPr>
            <w:r>
              <w:rPr>
                <w:rFonts w:hint="eastAsia"/>
                <w:color w:val="000000" w:themeColor="text1"/>
                <w:kern w:val="2"/>
                <w:sz w:val="21"/>
                <w:szCs w:val="21"/>
                <w:highlight w:val="none"/>
              </w:rPr>
              <w:t>（2）</w:t>
            </w:r>
            <w:r>
              <w:rPr>
                <w:color w:val="000000" w:themeColor="text1"/>
                <w:kern w:val="2"/>
                <w:sz w:val="21"/>
                <w:szCs w:val="21"/>
                <w:highlight w:val="none"/>
              </w:rPr>
              <w:t>投标文件上法定代表人或其委托代理人的签字、投标人的单位章盖章齐全，符合招标文件规定。</w:t>
            </w:r>
          </w:p>
          <w:p>
            <w:pPr>
              <w:pStyle w:val="59"/>
              <w:shd w:val="clear" w:color="auto" w:fill="auto"/>
              <w:tabs>
                <w:tab w:val="left" w:pos="914"/>
              </w:tabs>
              <w:spacing w:before="0" w:line="360" w:lineRule="atLeast"/>
              <w:ind w:firstLine="420" w:firstLineChars="200"/>
              <w:jc w:val="both"/>
              <w:rPr>
                <w:rFonts w:hint="eastAsia"/>
                <w:color w:val="000000" w:themeColor="text1"/>
                <w:kern w:val="2"/>
                <w:sz w:val="21"/>
                <w:szCs w:val="21"/>
                <w:highlight w:val="none"/>
              </w:rPr>
            </w:pPr>
            <w:r>
              <w:rPr>
                <w:rFonts w:hint="eastAsia"/>
                <w:color w:val="000000" w:themeColor="text1"/>
                <w:kern w:val="2"/>
                <w:sz w:val="21"/>
                <w:szCs w:val="21"/>
                <w:highlight w:val="none"/>
              </w:rPr>
              <w:t>（3）投</w:t>
            </w:r>
            <w:r>
              <w:rPr>
                <w:rFonts w:hint="eastAsia"/>
                <w:color w:val="000000" w:themeColor="text1"/>
                <w:kern w:val="2"/>
                <w:sz w:val="21"/>
                <w:szCs w:val="21"/>
                <w:highlight w:val="none"/>
                <w:lang w:val="zh-CN"/>
              </w:rPr>
              <w:t>标报价未超过招标文件设定的最高投标限价</w:t>
            </w:r>
            <w:r>
              <w:rPr>
                <w:rFonts w:hint="eastAsia"/>
                <w:color w:val="000000" w:themeColor="text1"/>
                <w:kern w:val="2"/>
                <w:sz w:val="21"/>
                <w:szCs w:val="21"/>
                <w:highlight w:val="none"/>
              </w:rPr>
              <w:t>。</w:t>
            </w:r>
          </w:p>
          <w:p>
            <w:pPr>
              <w:pStyle w:val="59"/>
              <w:shd w:val="clear" w:color="auto" w:fill="auto"/>
              <w:tabs>
                <w:tab w:val="left" w:pos="914"/>
              </w:tabs>
              <w:spacing w:before="0" w:line="360" w:lineRule="atLeast"/>
              <w:ind w:firstLine="420" w:firstLineChars="200"/>
              <w:jc w:val="both"/>
              <w:rPr>
                <w:rFonts w:hint="eastAsia"/>
                <w:color w:val="000000" w:themeColor="text1"/>
                <w:kern w:val="2"/>
                <w:sz w:val="21"/>
                <w:szCs w:val="21"/>
                <w:highlight w:val="none"/>
                <w:lang w:val="zh-CN"/>
              </w:rPr>
            </w:pPr>
            <w:r>
              <w:rPr>
                <w:rFonts w:hint="eastAsia"/>
                <w:color w:val="000000" w:themeColor="text1"/>
                <w:kern w:val="2"/>
                <w:sz w:val="21"/>
                <w:szCs w:val="21"/>
                <w:highlight w:val="none"/>
              </w:rPr>
              <w:t>（4）</w:t>
            </w:r>
            <w:r>
              <w:rPr>
                <w:rFonts w:hint="eastAsia"/>
                <w:color w:val="000000" w:themeColor="text1"/>
                <w:kern w:val="2"/>
                <w:sz w:val="21"/>
                <w:szCs w:val="21"/>
                <w:highlight w:val="none"/>
                <w:lang w:val="zh-CN"/>
              </w:rPr>
              <w:t>投标报价的大写金额能够确定具体数值。</w:t>
            </w:r>
          </w:p>
          <w:p>
            <w:pPr>
              <w:pStyle w:val="59"/>
              <w:shd w:val="clear" w:color="auto" w:fill="auto"/>
              <w:tabs>
                <w:tab w:val="left" w:pos="914"/>
              </w:tabs>
              <w:spacing w:before="0" w:line="360" w:lineRule="atLeast"/>
              <w:ind w:firstLine="420" w:firstLineChars="200"/>
              <w:jc w:val="both"/>
              <w:rPr>
                <w:rFonts w:hint="eastAsia"/>
                <w:color w:val="000000" w:themeColor="text1"/>
                <w:kern w:val="2"/>
                <w:sz w:val="21"/>
                <w:szCs w:val="21"/>
                <w:highlight w:val="none"/>
                <w:lang w:val="zh-CN"/>
              </w:rPr>
            </w:pPr>
            <w:r>
              <w:rPr>
                <w:rFonts w:hint="eastAsia"/>
                <w:color w:val="000000" w:themeColor="text1"/>
                <w:kern w:val="2"/>
                <w:sz w:val="21"/>
                <w:szCs w:val="21"/>
                <w:highlight w:val="none"/>
                <w:lang w:val="zh-CN"/>
              </w:rPr>
              <w:t>（5）同一投标人未提交两个以上不同的投标报价。</w:t>
            </w:r>
          </w:p>
          <w:p>
            <w:pPr>
              <w:pStyle w:val="59"/>
              <w:shd w:val="clear" w:color="auto" w:fill="auto"/>
              <w:tabs>
                <w:tab w:val="left" w:pos="914"/>
              </w:tabs>
              <w:spacing w:before="0" w:line="360" w:lineRule="atLeast"/>
              <w:ind w:firstLine="420" w:firstLineChars="200"/>
              <w:jc w:val="both"/>
              <w:rPr>
                <w:rFonts w:hint="eastAsia"/>
                <w:color w:val="000000" w:themeColor="text1"/>
                <w:kern w:val="2"/>
                <w:sz w:val="21"/>
                <w:szCs w:val="21"/>
                <w:highlight w:val="none"/>
                <w:lang w:val="zh-CN"/>
              </w:rPr>
            </w:pPr>
            <w:r>
              <w:rPr>
                <w:rFonts w:hint="eastAsia"/>
                <w:color w:val="000000" w:themeColor="text1"/>
                <w:kern w:val="2"/>
                <w:sz w:val="21"/>
                <w:szCs w:val="21"/>
                <w:highlight w:val="none"/>
                <w:lang w:val="zh-CN"/>
              </w:rPr>
              <w:t>（6）投标人未提交调价函。</w:t>
            </w:r>
          </w:p>
          <w:p>
            <w:pPr>
              <w:pStyle w:val="59"/>
              <w:shd w:val="clear" w:color="auto" w:fill="auto"/>
              <w:tabs>
                <w:tab w:val="left" w:pos="914"/>
              </w:tabs>
              <w:spacing w:before="0" w:line="360" w:lineRule="atLeast"/>
              <w:ind w:firstLine="420" w:firstLineChars="200"/>
              <w:jc w:val="both"/>
              <w:rPr>
                <w:bCs/>
                <w:color w:val="000000" w:themeColor="text1"/>
                <w:szCs w:val="21"/>
                <w:highlight w:val="none"/>
                <w:lang w:val="zh-CN"/>
              </w:rPr>
            </w:pPr>
            <w:r>
              <w:rPr>
                <w:rFonts w:hint="eastAsia"/>
                <w:color w:val="000000" w:themeColor="text1"/>
                <w:kern w:val="2"/>
                <w:sz w:val="21"/>
                <w:szCs w:val="21"/>
                <w:highlight w:val="none"/>
                <w:lang w:val="zh-CN"/>
              </w:rPr>
              <w:t>（7）投标人填写完毕的工程量固化清单未对工程量固化清单电子文件中的数据、格式和运算定义进行修改；工程量固化清单中的投标报价和投标函大写金额报价一致。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2.1.2</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资格评审标准</w:t>
            </w:r>
          </w:p>
        </w:tc>
        <w:tc>
          <w:tcPr>
            <w:tcW w:w="7232" w:type="dxa"/>
            <w:tcBorders>
              <w:top w:val="single" w:color="000000" w:sz="6" w:space="0"/>
              <w:left w:val="single" w:color="000000" w:sz="6" w:space="0"/>
              <w:bottom w:val="single" w:color="000000" w:sz="6" w:space="0"/>
              <w:right w:val="single" w:color="000000" w:sz="12" w:space="0"/>
            </w:tcBorders>
            <w:vAlign w:val="center"/>
          </w:tcPr>
          <w:p>
            <w:pPr>
              <w:shd w:val="clear" w:color="auto" w:fill="auto"/>
              <w:tabs>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（1）</w:t>
            </w:r>
            <w:r>
              <w:rPr>
                <w:rStyle w:val="288"/>
                <w:color w:val="000000" w:themeColor="text1"/>
                <w:sz w:val="21"/>
                <w:szCs w:val="21"/>
                <w:highlight w:val="none"/>
              </w:rPr>
              <w:t>投标人具备有效的营业执照</w:t>
            </w:r>
            <w:r>
              <w:rPr>
                <w:rStyle w:val="288"/>
                <w:rFonts w:hint="eastAsia"/>
                <w:color w:val="000000" w:themeColor="text1"/>
                <w:sz w:val="21"/>
                <w:szCs w:val="21"/>
                <w:highlight w:val="none"/>
              </w:rPr>
              <w:t>、组织机构代码证、</w:t>
            </w:r>
            <w:r>
              <w:rPr>
                <w:rStyle w:val="288"/>
                <w:color w:val="000000" w:themeColor="text1"/>
                <w:sz w:val="21"/>
                <w:szCs w:val="21"/>
                <w:highlight w:val="none"/>
              </w:rPr>
              <w:t>资质证书、安全生产许可证</w:t>
            </w:r>
            <w:r>
              <w:rPr>
                <w:rStyle w:val="288"/>
                <w:rFonts w:hint="eastAsia"/>
                <w:color w:val="000000" w:themeColor="text1"/>
                <w:sz w:val="21"/>
                <w:szCs w:val="21"/>
                <w:highlight w:val="none"/>
              </w:rPr>
              <w:t>、</w:t>
            </w:r>
            <w:r>
              <w:rPr>
                <w:rStyle w:val="288"/>
                <w:color w:val="000000" w:themeColor="text1"/>
                <w:sz w:val="21"/>
                <w:szCs w:val="21"/>
                <w:highlight w:val="none"/>
              </w:rPr>
              <w:t>基本账户开户许可证</w:t>
            </w:r>
            <w:r>
              <w:rPr>
                <w:rFonts w:hint="eastAsia"/>
                <w:bCs/>
                <w:color w:val="000000" w:themeColor="text1"/>
                <w:szCs w:val="21"/>
                <w:highlight w:val="none"/>
                <w:lang w:val="zh-CN"/>
              </w:rPr>
              <w:t>或开户证明</w:t>
            </w:r>
            <w:r>
              <w:rPr>
                <w:rStyle w:val="288"/>
                <w:rFonts w:hint="eastAsia"/>
                <w:color w:val="000000" w:themeColor="text1"/>
                <w:sz w:val="21"/>
                <w:szCs w:val="21"/>
                <w:highlight w:val="none"/>
              </w:rPr>
              <w:t>。</w:t>
            </w:r>
          </w:p>
          <w:p>
            <w:pPr>
              <w:shd w:val="clear" w:color="auto" w:fill="auto"/>
              <w:tabs>
                <w:tab w:val="left" w:pos="1615"/>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（2）</w:t>
            </w:r>
            <w:r>
              <w:rPr>
                <w:rStyle w:val="288"/>
                <w:color w:val="000000" w:themeColor="text1"/>
                <w:sz w:val="21"/>
                <w:szCs w:val="21"/>
                <w:highlight w:val="none"/>
              </w:rPr>
              <w:t>投标人的资质等级符合招标文件规定</w:t>
            </w:r>
            <w:r>
              <w:rPr>
                <w:rStyle w:val="288"/>
                <w:rFonts w:hint="eastAsia"/>
                <w:color w:val="000000" w:themeColor="text1"/>
                <w:sz w:val="21"/>
                <w:szCs w:val="21"/>
                <w:highlight w:val="none"/>
              </w:rPr>
              <w:t>。</w:t>
            </w:r>
          </w:p>
          <w:p>
            <w:pPr>
              <w:shd w:val="clear" w:color="auto" w:fill="auto"/>
              <w:tabs>
                <w:tab w:val="left" w:pos="1646"/>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（3）</w:t>
            </w:r>
            <w:r>
              <w:rPr>
                <w:rStyle w:val="288"/>
                <w:color w:val="000000" w:themeColor="text1"/>
                <w:sz w:val="21"/>
                <w:szCs w:val="21"/>
                <w:highlight w:val="none"/>
              </w:rPr>
              <w:t>投标人的财务状况符合招标文件规定</w:t>
            </w:r>
            <w:r>
              <w:rPr>
                <w:rStyle w:val="288"/>
                <w:rFonts w:hint="eastAsia"/>
                <w:color w:val="000000" w:themeColor="text1"/>
                <w:sz w:val="21"/>
                <w:szCs w:val="21"/>
                <w:highlight w:val="none"/>
              </w:rPr>
              <w:t>。</w:t>
            </w:r>
          </w:p>
          <w:p>
            <w:pPr>
              <w:shd w:val="clear" w:color="auto" w:fill="auto"/>
              <w:tabs>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（4）</w:t>
            </w:r>
            <w:r>
              <w:rPr>
                <w:rStyle w:val="288"/>
                <w:color w:val="000000" w:themeColor="text1"/>
                <w:sz w:val="21"/>
                <w:szCs w:val="21"/>
                <w:highlight w:val="none"/>
              </w:rPr>
              <w:t>投标人的类似项目业绩符合招标文件规定</w:t>
            </w:r>
            <w:r>
              <w:rPr>
                <w:rStyle w:val="288"/>
                <w:rFonts w:hint="eastAsia"/>
                <w:color w:val="000000" w:themeColor="text1"/>
                <w:sz w:val="21"/>
                <w:szCs w:val="21"/>
                <w:highlight w:val="none"/>
              </w:rPr>
              <w:t>。</w:t>
            </w:r>
          </w:p>
          <w:p>
            <w:pPr>
              <w:shd w:val="clear" w:color="auto" w:fill="auto"/>
              <w:tabs>
                <w:tab w:val="left" w:pos="1646"/>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（5）</w:t>
            </w:r>
            <w:r>
              <w:rPr>
                <w:rStyle w:val="288"/>
                <w:color w:val="000000" w:themeColor="text1"/>
                <w:sz w:val="21"/>
                <w:szCs w:val="21"/>
                <w:highlight w:val="none"/>
              </w:rPr>
              <w:t>投标人的信誉符合招标文件规定</w:t>
            </w:r>
            <w:r>
              <w:rPr>
                <w:rStyle w:val="288"/>
                <w:rFonts w:hint="eastAsia"/>
                <w:color w:val="000000" w:themeColor="text1"/>
                <w:sz w:val="21"/>
                <w:szCs w:val="21"/>
                <w:highlight w:val="none"/>
              </w:rPr>
              <w:t>。</w:t>
            </w:r>
          </w:p>
          <w:p>
            <w:pPr>
              <w:shd w:val="clear" w:color="auto" w:fill="auto"/>
              <w:tabs>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（6）</w:t>
            </w:r>
            <w:r>
              <w:rPr>
                <w:rStyle w:val="288"/>
                <w:color w:val="000000" w:themeColor="text1"/>
                <w:sz w:val="21"/>
                <w:szCs w:val="21"/>
                <w:highlight w:val="none"/>
              </w:rPr>
              <w:t>投标人</w:t>
            </w:r>
            <w:r>
              <w:rPr>
                <w:rStyle w:val="288"/>
                <w:rFonts w:hint="eastAsia"/>
                <w:color w:val="000000" w:themeColor="text1"/>
                <w:sz w:val="21"/>
                <w:szCs w:val="21"/>
                <w:highlight w:val="none"/>
              </w:rPr>
              <w:t>的项目经理和项目总工</w:t>
            </w:r>
            <w:r>
              <w:rPr>
                <w:rStyle w:val="288"/>
                <w:color w:val="000000" w:themeColor="text1"/>
                <w:sz w:val="21"/>
                <w:szCs w:val="21"/>
                <w:highlight w:val="none"/>
              </w:rPr>
              <w:t>资格、在岗情况符合招标文件规定</w:t>
            </w:r>
            <w:r>
              <w:rPr>
                <w:rStyle w:val="288"/>
                <w:rFonts w:hint="eastAsia"/>
                <w:color w:val="000000" w:themeColor="text1"/>
                <w:sz w:val="21"/>
                <w:szCs w:val="21"/>
                <w:highlight w:val="none"/>
              </w:rPr>
              <w:t>。</w:t>
            </w:r>
          </w:p>
          <w:p>
            <w:pPr>
              <w:shd w:val="clear" w:color="auto" w:fill="auto"/>
              <w:tabs>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（7）</w:t>
            </w:r>
            <w:r>
              <w:rPr>
                <w:rStyle w:val="288"/>
                <w:color w:val="000000" w:themeColor="text1"/>
                <w:sz w:val="21"/>
                <w:szCs w:val="21"/>
                <w:highlight w:val="none"/>
              </w:rPr>
              <w:t>投标人不存在第二章“投标人须知”第1.4.3项或第1.4.4项规定的任何一种情形</w:t>
            </w:r>
            <w:r>
              <w:rPr>
                <w:rStyle w:val="288"/>
                <w:rFonts w:hint="eastAsia"/>
                <w:color w:val="000000" w:themeColor="text1"/>
                <w:sz w:val="21"/>
                <w:szCs w:val="21"/>
                <w:highlight w:val="none"/>
              </w:rPr>
              <w:t>。</w:t>
            </w:r>
          </w:p>
          <w:p>
            <w:pPr>
              <w:shd w:val="clear" w:color="auto" w:fill="auto"/>
              <w:tabs>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（8）</w:t>
            </w:r>
            <w:r>
              <w:rPr>
                <w:rStyle w:val="288"/>
                <w:color w:val="000000" w:themeColor="text1"/>
                <w:sz w:val="21"/>
                <w:szCs w:val="21"/>
                <w:highlight w:val="none"/>
              </w:rPr>
              <w:t>投标人符合第二章“投标人须知”第1.4.5项规定</w:t>
            </w:r>
            <w:r>
              <w:rPr>
                <w:rStyle w:val="288"/>
                <w:rFonts w:hint="eastAsia"/>
                <w:color w:val="000000" w:themeColor="text1"/>
                <w:sz w:val="21"/>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2.2.1</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第一个信封评分分值构成 ：</w:t>
            </w:r>
          </w:p>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(总分100分)</w:t>
            </w:r>
          </w:p>
        </w:tc>
        <w:tc>
          <w:tcPr>
            <w:tcW w:w="7232" w:type="dxa"/>
            <w:tcBorders>
              <w:top w:val="single" w:color="000000" w:sz="6" w:space="0"/>
              <w:left w:val="single" w:color="000000" w:sz="6" w:space="0"/>
              <w:bottom w:val="single" w:color="000000" w:sz="6" w:space="0"/>
              <w:right w:val="single" w:color="000000" w:sz="12" w:space="0"/>
            </w:tcBorders>
            <w:vAlign w:val="center"/>
          </w:tcPr>
          <w:p>
            <w:pPr>
              <w:shd w:val="clear" w:color="auto" w:fill="auto"/>
              <w:tabs>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施工组织设计：      40分</w:t>
            </w:r>
          </w:p>
          <w:p>
            <w:pPr>
              <w:shd w:val="clear" w:color="auto" w:fill="auto"/>
              <w:tabs>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主要人员：          25分</w:t>
            </w:r>
          </w:p>
          <w:p>
            <w:pPr>
              <w:shd w:val="clear" w:color="auto" w:fill="auto"/>
              <w:tabs>
                <w:tab w:val="left" w:pos="2133"/>
              </w:tabs>
              <w:spacing w:before="0" w:after="0" w:line="360" w:lineRule="atLeast"/>
              <w:ind w:firstLine="420" w:firstLineChars="200"/>
              <w:jc w:val="both"/>
              <w:rPr>
                <w:rStyle w:val="288"/>
                <w:color w:val="000000" w:themeColor="text1"/>
                <w:sz w:val="21"/>
                <w:szCs w:val="21"/>
                <w:highlight w:val="none"/>
              </w:rPr>
            </w:pPr>
            <w:r>
              <w:rPr>
                <w:rStyle w:val="288"/>
                <w:rFonts w:hint="eastAsia"/>
                <w:color w:val="000000" w:themeColor="text1"/>
                <w:sz w:val="21"/>
                <w:szCs w:val="21"/>
                <w:highlight w:val="none"/>
              </w:rPr>
              <w:t>履约信誉：          15分</w:t>
            </w:r>
          </w:p>
          <w:p>
            <w:pPr>
              <w:shd w:val="clear" w:color="auto" w:fill="auto"/>
              <w:tabs>
                <w:tab w:val="left" w:pos="2133"/>
              </w:tabs>
              <w:spacing w:before="0" w:after="0" w:line="360" w:lineRule="atLeast"/>
              <w:ind w:firstLine="420" w:firstLineChars="200"/>
              <w:jc w:val="both"/>
              <w:rPr>
                <w:color w:val="000000" w:themeColor="text1"/>
                <w:szCs w:val="21"/>
                <w:highlight w:val="none"/>
              </w:rPr>
            </w:pPr>
            <w:r>
              <w:rPr>
                <w:rStyle w:val="288"/>
                <w:rFonts w:hint="eastAsia"/>
                <w:color w:val="000000" w:themeColor="text1"/>
                <w:sz w:val="21"/>
                <w:szCs w:val="21"/>
                <w:highlight w:val="none"/>
              </w:rPr>
              <w:t xml:space="preserve">企业业绩：          </w:t>
            </w:r>
            <w:r>
              <w:rPr>
                <w:rStyle w:val="288"/>
                <w:rFonts w:hint="eastAsia"/>
                <w:color w:val="000000" w:themeColor="text1"/>
                <w:sz w:val="21"/>
                <w:szCs w:val="21"/>
                <w:highlight w:val="none"/>
                <w:lang w:eastAsia="zh-CN"/>
              </w:rPr>
              <w:t>2</w:t>
            </w:r>
            <w:r>
              <w:rPr>
                <w:rStyle w:val="288"/>
                <w:rFonts w:hint="eastAsia"/>
                <w:color w:val="000000" w:themeColor="text1"/>
                <w:sz w:val="21"/>
                <w:szCs w:val="21"/>
                <w:highlight w:val="none"/>
              </w:rPr>
              <w:t>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2.2.3</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第二个信封</w:t>
            </w:r>
          </w:p>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详细评审标准</w:t>
            </w:r>
          </w:p>
        </w:tc>
        <w:tc>
          <w:tcPr>
            <w:tcW w:w="7232" w:type="dxa"/>
            <w:tcBorders>
              <w:top w:val="single" w:color="000000" w:sz="6" w:space="0"/>
              <w:left w:val="single" w:color="000000" w:sz="6" w:space="0"/>
              <w:bottom w:val="single" w:color="000000" w:sz="6" w:space="0"/>
              <w:right w:val="single" w:color="000000" w:sz="12" w:space="0"/>
            </w:tcBorders>
            <w:vAlign w:val="center"/>
          </w:tcPr>
          <w:p>
            <w:pPr>
              <w:spacing w:line="360" w:lineRule="atLeast"/>
              <w:ind w:left="113" w:leftChars="54" w:right="113"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评标价计算公式：</w:t>
            </w:r>
          </w:p>
          <w:p>
            <w:pPr>
              <w:spacing w:line="360" w:lineRule="atLeast"/>
              <w:ind w:left="113" w:leftChars="54" w:right="113"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评标价=投标函文字报价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3.2.4</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Lines="10" w:afterLines="10"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通过第一个信封详细评审的投标人数量</w:t>
            </w:r>
          </w:p>
        </w:tc>
        <w:tc>
          <w:tcPr>
            <w:tcW w:w="7232" w:type="dxa"/>
            <w:tcBorders>
              <w:top w:val="single" w:color="000000" w:sz="6" w:space="0"/>
              <w:left w:val="single" w:color="000000" w:sz="6" w:space="0"/>
              <w:bottom w:val="single" w:color="000000" w:sz="6" w:space="0"/>
              <w:right w:val="single" w:color="000000" w:sz="12" w:space="0"/>
            </w:tcBorders>
            <w:vAlign w:val="center"/>
          </w:tcPr>
          <w:p>
            <w:pPr>
              <w:spacing w:line="360" w:lineRule="atLeast"/>
              <w:ind w:left="113" w:leftChars="54" w:right="113"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按照投标人的商务和技术得分由高到低排序，选择前3名通过详细评审。</w:t>
            </w:r>
          </w:p>
        </w:tc>
      </w:tr>
    </w:tbl>
    <w:p>
      <w:pPr>
        <w:rPr>
          <w:color w:val="000000" w:themeColor="text1"/>
          <w:highlight w:val="none"/>
        </w:rPr>
      </w:pPr>
    </w:p>
    <w:p>
      <w:pPr>
        <w:rPr>
          <w:color w:val="000000" w:themeColor="text1"/>
          <w:highlight w:val="none"/>
        </w:rPr>
      </w:pPr>
    </w:p>
    <w:tbl>
      <w:tblPr>
        <w:tblStyle w:val="43"/>
        <w:tblW w:w="51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40"/>
        <w:gridCol w:w="675"/>
        <w:gridCol w:w="653"/>
        <w:gridCol w:w="1336"/>
        <w:gridCol w:w="2150"/>
        <w:gridCol w:w="8"/>
        <w:gridCol w:w="784"/>
        <w:gridCol w:w="3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518" w:type="pct"/>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条款号</w:t>
            </w:r>
          </w:p>
        </w:tc>
        <w:tc>
          <w:tcPr>
            <w:tcW w:w="2789" w:type="pct"/>
            <w:gridSpan w:val="6"/>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评分因素与权重分值</w:t>
            </w:r>
          </w:p>
        </w:tc>
        <w:tc>
          <w:tcPr>
            <w:tcW w:w="1692" w:type="pct"/>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18" w:type="pct"/>
            <w:vMerge w:val="continue"/>
            <w:vAlign w:val="center"/>
          </w:tcPr>
          <w:p>
            <w:pPr>
              <w:jc w:val="center"/>
              <w:rPr>
                <w:rFonts w:ascii="宋体" w:hAnsi="宋体"/>
                <w:color w:val="000000" w:themeColor="text1"/>
                <w:szCs w:val="21"/>
                <w:highlight w:val="none"/>
              </w:rPr>
            </w:pPr>
          </w:p>
        </w:tc>
        <w:tc>
          <w:tcPr>
            <w:tcW w:w="661" w:type="pct"/>
            <w:gridSpan w:val="2"/>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评分因素</w:t>
            </w:r>
          </w:p>
        </w:tc>
        <w:tc>
          <w:tcPr>
            <w:tcW w:w="665" w:type="pc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评分因素</w:t>
            </w:r>
          </w:p>
          <w:p>
            <w:pPr>
              <w:jc w:val="center"/>
              <w:rPr>
                <w:rFonts w:ascii="宋体" w:hAnsi="宋体"/>
                <w:color w:val="000000" w:themeColor="text1"/>
                <w:szCs w:val="21"/>
                <w:highlight w:val="none"/>
              </w:rPr>
            </w:pPr>
            <w:r>
              <w:rPr>
                <w:rFonts w:hint="eastAsia" w:ascii="宋体" w:hAnsi="宋体"/>
                <w:color w:val="000000" w:themeColor="text1"/>
                <w:szCs w:val="21"/>
                <w:highlight w:val="none"/>
              </w:rPr>
              <w:t>权重分值</w:t>
            </w:r>
          </w:p>
        </w:tc>
        <w:tc>
          <w:tcPr>
            <w:tcW w:w="1070" w:type="pc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各评分因素细分项</w:t>
            </w:r>
          </w:p>
        </w:tc>
        <w:tc>
          <w:tcPr>
            <w:tcW w:w="394" w:type="pct"/>
            <w:gridSpan w:val="2"/>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分值</w:t>
            </w:r>
          </w:p>
        </w:tc>
        <w:tc>
          <w:tcPr>
            <w:tcW w:w="1692" w:type="pct"/>
            <w:vMerge w:val="continue"/>
            <w:vAlign w:val="center"/>
          </w:tcPr>
          <w:p>
            <w:pPr>
              <w:jc w:val="center"/>
              <w:rPr>
                <w:rFonts w:ascii="宋体" w:hAnsi="宋体"/>
                <w:color w:val="000000" w:themeColor="text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518" w:type="pct"/>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2.2.2（1）</w:t>
            </w:r>
          </w:p>
        </w:tc>
        <w:tc>
          <w:tcPr>
            <w:tcW w:w="661" w:type="pct"/>
            <w:gridSpan w:val="2"/>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施工组织设计</w:t>
            </w:r>
          </w:p>
        </w:tc>
        <w:tc>
          <w:tcPr>
            <w:tcW w:w="665" w:type="pct"/>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40分</w:t>
            </w:r>
          </w:p>
        </w:tc>
        <w:tc>
          <w:tcPr>
            <w:tcW w:w="1070"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关键工程的施工方案、方法与技术措施</w:t>
            </w:r>
          </w:p>
        </w:tc>
        <w:tc>
          <w:tcPr>
            <w:tcW w:w="394" w:type="pct"/>
            <w:gridSpan w:val="2"/>
            <w:vAlign w:val="center"/>
          </w:tcPr>
          <w:p>
            <w:pPr>
              <w:autoSpaceDE w:val="0"/>
              <w:autoSpaceDN w:val="0"/>
              <w:adjustRightInd w:val="0"/>
              <w:spacing w:line="360" w:lineRule="atLeast"/>
              <w:jc w:val="center"/>
              <w:rPr>
                <w:rFonts w:ascii="宋体" w:hAnsi="宋体" w:cs="宋体"/>
                <w:bCs/>
                <w:color w:val="000000" w:themeColor="text1"/>
                <w:szCs w:val="21"/>
                <w:highlight w:val="none"/>
              </w:rPr>
            </w:pPr>
            <w:r>
              <w:rPr>
                <w:rFonts w:hint="eastAsia" w:ascii="宋体" w:hAnsi="宋体" w:cs="宋体"/>
                <w:bCs/>
                <w:color w:val="000000" w:themeColor="text1"/>
                <w:szCs w:val="21"/>
                <w:highlight w:val="none"/>
              </w:rPr>
              <w:t>20</w:t>
            </w:r>
          </w:p>
        </w:tc>
        <w:tc>
          <w:tcPr>
            <w:tcW w:w="1692" w:type="pct"/>
            <w:vAlign w:val="center"/>
          </w:tcPr>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好，16-20 分；</w:t>
            </w:r>
          </w:p>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较好，12-16分；</w:t>
            </w:r>
          </w:p>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一般，12分；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exact"/>
          <w:jc w:val="center"/>
        </w:trPr>
        <w:tc>
          <w:tcPr>
            <w:tcW w:w="518" w:type="pct"/>
            <w:vMerge w:val="continue"/>
            <w:vAlign w:val="center"/>
          </w:tcPr>
          <w:p>
            <w:pPr>
              <w:jc w:val="center"/>
              <w:rPr>
                <w:rFonts w:ascii="宋体" w:hAnsi="宋体"/>
                <w:color w:val="000000" w:themeColor="text1"/>
                <w:szCs w:val="21"/>
                <w:highlight w:val="none"/>
              </w:rPr>
            </w:pPr>
          </w:p>
        </w:tc>
        <w:tc>
          <w:tcPr>
            <w:tcW w:w="661" w:type="pct"/>
            <w:gridSpan w:val="2"/>
            <w:vMerge w:val="continue"/>
            <w:vAlign w:val="center"/>
          </w:tcPr>
          <w:p>
            <w:pPr>
              <w:jc w:val="center"/>
              <w:rPr>
                <w:rFonts w:ascii="宋体" w:hAnsi="宋体"/>
                <w:color w:val="000000" w:themeColor="text1"/>
                <w:szCs w:val="21"/>
                <w:highlight w:val="none"/>
              </w:rPr>
            </w:pPr>
          </w:p>
        </w:tc>
        <w:tc>
          <w:tcPr>
            <w:tcW w:w="665" w:type="pct"/>
            <w:vMerge w:val="continue"/>
            <w:vAlign w:val="center"/>
          </w:tcPr>
          <w:p>
            <w:pPr>
              <w:jc w:val="center"/>
              <w:rPr>
                <w:rFonts w:ascii="宋体" w:hAnsi="宋体"/>
                <w:color w:val="000000" w:themeColor="text1"/>
                <w:szCs w:val="21"/>
                <w:highlight w:val="none"/>
              </w:rPr>
            </w:pPr>
          </w:p>
        </w:tc>
        <w:tc>
          <w:tcPr>
            <w:tcW w:w="1070"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工期保证体系及保证措施</w:t>
            </w:r>
          </w:p>
        </w:tc>
        <w:tc>
          <w:tcPr>
            <w:tcW w:w="394" w:type="pct"/>
            <w:gridSpan w:val="2"/>
            <w:vAlign w:val="center"/>
          </w:tcPr>
          <w:p>
            <w:pPr>
              <w:autoSpaceDE w:val="0"/>
              <w:autoSpaceDN w:val="0"/>
              <w:adjustRightInd w:val="0"/>
              <w:spacing w:line="360" w:lineRule="atLeast"/>
              <w:jc w:val="center"/>
              <w:rPr>
                <w:rFonts w:ascii="宋体" w:hAnsi="宋体" w:cs="宋体"/>
                <w:bCs/>
                <w:color w:val="000000" w:themeColor="text1"/>
                <w:szCs w:val="21"/>
                <w:highlight w:val="none"/>
                <w:lang w:val="zh-CN"/>
              </w:rPr>
            </w:pPr>
            <w:r>
              <w:rPr>
                <w:rFonts w:hint="eastAsia" w:ascii="宋体" w:hAnsi="宋体" w:cs="宋体"/>
                <w:bCs/>
                <w:color w:val="000000" w:themeColor="text1"/>
                <w:szCs w:val="21"/>
                <w:highlight w:val="none"/>
              </w:rPr>
              <w:t>3</w:t>
            </w:r>
          </w:p>
        </w:tc>
        <w:tc>
          <w:tcPr>
            <w:tcW w:w="1692" w:type="pct"/>
            <w:vAlign w:val="center"/>
          </w:tcPr>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好，2.4-3.0分；</w:t>
            </w:r>
          </w:p>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较好，1.8-2.4分；</w:t>
            </w:r>
          </w:p>
          <w:p>
            <w:pPr>
              <w:rPr>
                <w:rFonts w:ascii="宋体" w:hAnsi="宋体"/>
                <w:color w:val="000000" w:themeColor="text1"/>
                <w:szCs w:val="21"/>
                <w:highlight w:val="none"/>
              </w:rPr>
            </w:pPr>
            <w:r>
              <w:rPr>
                <w:rFonts w:hint="eastAsia" w:ascii="宋体" w:hAnsi="宋体"/>
                <w:color w:val="000000" w:themeColor="text1"/>
                <w:kern w:val="0"/>
                <w:szCs w:val="21"/>
                <w:highlight w:val="none"/>
              </w:rPr>
              <w:t>一般，1.8分；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7" w:hRule="exact"/>
          <w:jc w:val="center"/>
        </w:trPr>
        <w:tc>
          <w:tcPr>
            <w:tcW w:w="518" w:type="pct"/>
            <w:vMerge w:val="continue"/>
            <w:vAlign w:val="center"/>
          </w:tcPr>
          <w:p>
            <w:pPr>
              <w:jc w:val="center"/>
              <w:rPr>
                <w:rFonts w:ascii="宋体" w:hAnsi="宋体"/>
                <w:color w:val="000000" w:themeColor="text1"/>
                <w:szCs w:val="21"/>
                <w:highlight w:val="none"/>
              </w:rPr>
            </w:pPr>
          </w:p>
        </w:tc>
        <w:tc>
          <w:tcPr>
            <w:tcW w:w="661" w:type="pct"/>
            <w:gridSpan w:val="2"/>
            <w:vMerge w:val="continue"/>
            <w:vAlign w:val="center"/>
          </w:tcPr>
          <w:p>
            <w:pPr>
              <w:jc w:val="center"/>
              <w:rPr>
                <w:rFonts w:ascii="宋体" w:hAnsi="宋体"/>
                <w:color w:val="000000" w:themeColor="text1"/>
                <w:szCs w:val="21"/>
                <w:highlight w:val="none"/>
              </w:rPr>
            </w:pPr>
          </w:p>
        </w:tc>
        <w:tc>
          <w:tcPr>
            <w:tcW w:w="665" w:type="pct"/>
            <w:vMerge w:val="continue"/>
            <w:vAlign w:val="center"/>
          </w:tcPr>
          <w:p>
            <w:pPr>
              <w:jc w:val="center"/>
              <w:rPr>
                <w:rFonts w:ascii="宋体" w:hAnsi="宋体"/>
                <w:color w:val="000000" w:themeColor="text1"/>
                <w:szCs w:val="21"/>
                <w:highlight w:val="none"/>
              </w:rPr>
            </w:pPr>
          </w:p>
        </w:tc>
        <w:tc>
          <w:tcPr>
            <w:tcW w:w="1070"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工程质量管理体系及保证措施</w:t>
            </w:r>
          </w:p>
        </w:tc>
        <w:tc>
          <w:tcPr>
            <w:tcW w:w="394" w:type="pct"/>
            <w:gridSpan w:val="2"/>
            <w:vAlign w:val="center"/>
          </w:tcPr>
          <w:p>
            <w:pPr>
              <w:pStyle w:val="400"/>
              <w:tabs>
                <w:tab w:val="left" w:pos="457"/>
              </w:tabs>
              <w:spacing w:before="60" w:line="360" w:lineRule="atLeast"/>
              <w:jc w:val="center"/>
              <w:rPr>
                <w:color w:val="000000" w:themeColor="text1"/>
                <w:sz w:val="21"/>
                <w:szCs w:val="21"/>
                <w:highlight w:val="none"/>
              </w:rPr>
            </w:pPr>
            <w:r>
              <w:rPr>
                <w:rFonts w:hint="eastAsia"/>
                <w:color w:val="000000" w:themeColor="text1"/>
                <w:sz w:val="21"/>
                <w:szCs w:val="21"/>
                <w:highlight w:val="none"/>
              </w:rPr>
              <w:t>5</w:t>
            </w:r>
          </w:p>
        </w:tc>
        <w:tc>
          <w:tcPr>
            <w:tcW w:w="1692" w:type="pct"/>
            <w:vAlign w:val="center"/>
          </w:tcPr>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好，4-5分；</w:t>
            </w:r>
          </w:p>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较好，3-4分；</w:t>
            </w:r>
          </w:p>
          <w:p>
            <w:pPr>
              <w:rPr>
                <w:rFonts w:ascii="宋体" w:hAnsi="宋体"/>
                <w:color w:val="000000" w:themeColor="text1"/>
                <w:szCs w:val="21"/>
                <w:highlight w:val="none"/>
              </w:rPr>
            </w:pPr>
            <w:r>
              <w:rPr>
                <w:rFonts w:hint="eastAsia" w:ascii="宋体" w:hAnsi="宋体"/>
                <w:color w:val="000000" w:themeColor="text1"/>
                <w:kern w:val="0"/>
                <w:szCs w:val="21"/>
                <w:highlight w:val="none"/>
              </w:rPr>
              <w:t>一般，3分；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1" w:hRule="exact"/>
          <w:jc w:val="center"/>
        </w:trPr>
        <w:tc>
          <w:tcPr>
            <w:tcW w:w="518" w:type="pct"/>
            <w:vMerge w:val="continue"/>
            <w:vAlign w:val="center"/>
          </w:tcPr>
          <w:p>
            <w:pPr>
              <w:jc w:val="center"/>
              <w:rPr>
                <w:rFonts w:ascii="宋体" w:hAnsi="宋体"/>
                <w:color w:val="000000" w:themeColor="text1"/>
                <w:szCs w:val="21"/>
                <w:highlight w:val="none"/>
              </w:rPr>
            </w:pPr>
          </w:p>
        </w:tc>
        <w:tc>
          <w:tcPr>
            <w:tcW w:w="661" w:type="pct"/>
            <w:gridSpan w:val="2"/>
            <w:vMerge w:val="continue"/>
            <w:vAlign w:val="center"/>
          </w:tcPr>
          <w:p>
            <w:pPr>
              <w:jc w:val="center"/>
              <w:rPr>
                <w:rFonts w:ascii="宋体" w:hAnsi="宋体"/>
                <w:color w:val="000000" w:themeColor="text1"/>
                <w:szCs w:val="21"/>
                <w:highlight w:val="none"/>
              </w:rPr>
            </w:pPr>
          </w:p>
        </w:tc>
        <w:tc>
          <w:tcPr>
            <w:tcW w:w="665" w:type="pct"/>
            <w:vMerge w:val="continue"/>
            <w:vAlign w:val="center"/>
          </w:tcPr>
          <w:p>
            <w:pPr>
              <w:jc w:val="center"/>
              <w:rPr>
                <w:rFonts w:ascii="宋体" w:hAnsi="宋体"/>
                <w:color w:val="000000" w:themeColor="text1"/>
                <w:szCs w:val="21"/>
                <w:highlight w:val="none"/>
              </w:rPr>
            </w:pPr>
          </w:p>
        </w:tc>
        <w:tc>
          <w:tcPr>
            <w:tcW w:w="1070"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安全生产管理体系及保证措施</w:t>
            </w:r>
          </w:p>
        </w:tc>
        <w:tc>
          <w:tcPr>
            <w:tcW w:w="394" w:type="pct"/>
            <w:gridSpan w:val="2"/>
            <w:vAlign w:val="center"/>
          </w:tcPr>
          <w:p>
            <w:pPr>
              <w:pStyle w:val="400"/>
              <w:tabs>
                <w:tab w:val="left" w:pos="457"/>
              </w:tabs>
              <w:spacing w:before="60" w:line="360" w:lineRule="atLeast"/>
              <w:jc w:val="center"/>
              <w:rPr>
                <w:color w:val="000000" w:themeColor="text1"/>
                <w:sz w:val="21"/>
                <w:szCs w:val="21"/>
                <w:highlight w:val="none"/>
              </w:rPr>
            </w:pPr>
            <w:r>
              <w:rPr>
                <w:rFonts w:hint="eastAsia"/>
                <w:color w:val="000000" w:themeColor="text1"/>
                <w:sz w:val="21"/>
                <w:szCs w:val="21"/>
                <w:highlight w:val="none"/>
              </w:rPr>
              <w:t>5</w:t>
            </w:r>
          </w:p>
        </w:tc>
        <w:tc>
          <w:tcPr>
            <w:tcW w:w="1692" w:type="pct"/>
            <w:vAlign w:val="center"/>
          </w:tcPr>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好，4-5分；</w:t>
            </w:r>
          </w:p>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较好，3-4分；</w:t>
            </w:r>
          </w:p>
          <w:p>
            <w:pPr>
              <w:rPr>
                <w:rFonts w:ascii="宋体" w:hAnsi="宋体"/>
                <w:color w:val="000000" w:themeColor="text1"/>
                <w:szCs w:val="21"/>
                <w:highlight w:val="none"/>
              </w:rPr>
            </w:pPr>
            <w:r>
              <w:rPr>
                <w:rFonts w:hint="eastAsia" w:ascii="宋体" w:hAnsi="宋体"/>
                <w:color w:val="000000" w:themeColor="text1"/>
                <w:kern w:val="0"/>
                <w:szCs w:val="21"/>
                <w:highlight w:val="none"/>
              </w:rPr>
              <w:t>一般，3分；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9" w:hRule="atLeast"/>
          <w:jc w:val="center"/>
        </w:trPr>
        <w:tc>
          <w:tcPr>
            <w:tcW w:w="518" w:type="pct"/>
            <w:vMerge w:val="continue"/>
            <w:vAlign w:val="center"/>
          </w:tcPr>
          <w:p>
            <w:pPr>
              <w:jc w:val="center"/>
              <w:rPr>
                <w:rFonts w:ascii="宋体" w:hAnsi="宋体"/>
                <w:color w:val="000000" w:themeColor="text1"/>
                <w:szCs w:val="21"/>
                <w:highlight w:val="none"/>
              </w:rPr>
            </w:pPr>
          </w:p>
        </w:tc>
        <w:tc>
          <w:tcPr>
            <w:tcW w:w="661" w:type="pct"/>
            <w:gridSpan w:val="2"/>
            <w:vMerge w:val="continue"/>
            <w:vAlign w:val="center"/>
          </w:tcPr>
          <w:p>
            <w:pPr>
              <w:jc w:val="center"/>
              <w:rPr>
                <w:rFonts w:ascii="宋体" w:hAnsi="宋体"/>
                <w:color w:val="000000" w:themeColor="text1"/>
                <w:szCs w:val="21"/>
                <w:highlight w:val="none"/>
              </w:rPr>
            </w:pPr>
          </w:p>
        </w:tc>
        <w:tc>
          <w:tcPr>
            <w:tcW w:w="665" w:type="pct"/>
            <w:vMerge w:val="continue"/>
            <w:vAlign w:val="center"/>
          </w:tcPr>
          <w:p>
            <w:pPr>
              <w:jc w:val="center"/>
              <w:rPr>
                <w:rFonts w:ascii="宋体" w:hAnsi="宋体"/>
                <w:color w:val="000000" w:themeColor="text1"/>
                <w:szCs w:val="21"/>
                <w:highlight w:val="none"/>
              </w:rPr>
            </w:pPr>
          </w:p>
        </w:tc>
        <w:tc>
          <w:tcPr>
            <w:tcW w:w="1070"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环境保护、水土保持、文明施工、文物保护保证体系及保证措施</w:t>
            </w:r>
          </w:p>
        </w:tc>
        <w:tc>
          <w:tcPr>
            <w:tcW w:w="394" w:type="pct"/>
            <w:gridSpan w:val="2"/>
            <w:vAlign w:val="center"/>
          </w:tcPr>
          <w:p>
            <w:pPr>
              <w:pStyle w:val="400"/>
              <w:tabs>
                <w:tab w:val="left" w:pos="457"/>
              </w:tabs>
              <w:spacing w:before="60" w:line="360" w:lineRule="atLeast"/>
              <w:jc w:val="center"/>
              <w:rPr>
                <w:color w:val="000000" w:themeColor="text1"/>
                <w:sz w:val="21"/>
                <w:szCs w:val="21"/>
                <w:highlight w:val="none"/>
              </w:rPr>
            </w:pPr>
            <w:r>
              <w:rPr>
                <w:rFonts w:hint="eastAsia"/>
                <w:color w:val="000000" w:themeColor="text1"/>
                <w:sz w:val="21"/>
                <w:szCs w:val="21"/>
                <w:highlight w:val="none"/>
              </w:rPr>
              <w:t>5</w:t>
            </w:r>
          </w:p>
        </w:tc>
        <w:tc>
          <w:tcPr>
            <w:tcW w:w="1692" w:type="pct"/>
            <w:vAlign w:val="center"/>
          </w:tcPr>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好，4-5分；</w:t>
            </w:r>
          </w:p>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较好，3-4分；</w:t>
            </w:r>
          </w:p>
          <w:p>
            <w:pPr>
              <w:rPr>
                <w:rFonts w:ascii="宋体" w:hAnsi="宋体"/>
                <w:color w:val="000000" w:themeColor="text1"/>
                <w:szCs w:val="21"/>
                <w:highlight w:val="none"/>
              </w:rPr>
            </w:pPr>
            <w:r>
              <w:rPr>
                <w:rFonts w:hint="eastAsia" w:ascii="宋体" w:hAnsi="宋体"/>
                <w:color w:val="000000" w:themeColor="text1"/>
                <w:kern w:val="0"/>
                <w:szCs w:val="21"/>
                <w:highlight w:val="none"/>
              </w:rPr>
              <w:t>一般，3分；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18" w:type="pct"/>
            <w:vMerge w:val="continue"/>
            <w:vAlign w:val="center"/>
          </w:tcPr>
          <w:p>
            <w:pPr>
              <w:jc w:val="center"/>
              <w:rPr>
                <w:rFonts w:ascii="宋体" w:hAnsi="宋体"/>
                <w:color w:val="000000" w:themeColor="text1"/>
                <w:szCs w:val="21"/>
                <w:highlight w:val="none"/>
              </w:rPr>
            </w:pPr>
          </w:p>
        </w:tc>
        <w:tc>
          <w:tcPr>
            <w:tcW w:w="661" w:type="pct"/>
            <w:gridSpan w:val="2"/>
            <w:vMerge w:val="continue"/>
            <w:vAlign w:val="center"/>
          </w:tcPr>
          <w:p>
            <w:pPr>
              <w:jc w:val="center"/>
              <w:rPr>
                <w:rFonts w:ascii="宋体" w:hAnsi="宋体"/>
                <w:color w:val="000000" w:themeColor="text1"/>
                <w:szCs w:val="21"/>
                <w:highlight w:val="none"/>
              </w:rPr>
            </w:pPr>
          </w:p>
        </w:tc>
        <w:tc>
          <w:tcPr>
            <w:tcW w:w="665" w:type="pct"/>
            <w:vMerge w:val="continue"/>
            <w:vAlign w:val="center"/>
          </w:tcPr>
          <w:p>
            <w:pPr>
              <w:jc w:val="center"/>
              <w:rPr>
                <w:rFonts w:ascii="宋体" w:hAnsi="宋体"/>
                <w:color w:val="000000" w:themeColor="text1"/>
                <w:szCs w:val="21"/>
                <w:highlight w:val="none"/>
              </w:rPr>
            </w:pPr>
          </w:p>
        </w:tc>
        <w:tc>
          <w:tcPr>
            <w:tcW w:w="1070"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项目风险预测与防范，事故应急预案</w:t>
            </w:r>
          </w:p>
        </w:tc>
        <w:tc>
          <w:tcPr>
            <w:tcW w:w="394" w:type="pct"/>
            <w:gridSpan w:val="2"/>
            <w:vAlign w:val="center"/>
          </w:tcPr>
          <w:p>
            <w:pPr>
              <w:pStyle w:val="400"/>
              <w:tabs>
                <w:tab w:val="left" w:pos="457"/>
              </w:tabs>
              <w:spacing w:before="60" w:line="360" w:lineRule="atLeast"/>
              <w:jc w:val="center"/>
              <w:rPr>
                <w:color w:val="000000" w:themeColor="text1"/>
                <w:sz w:val="21"/>
                <w:szCs w:val="21"/>
                <w:highlight w:val="none"/>
              </w:rPr>
            </w:pPr>
            <w:r>
              <w:rPr>
                <w:rFonts w:hint="eastAsia"/>
                <w:color w:val="000000" w:themeColor="text1"/>
                <w:sz w:val="21"/>
                <w:szCs w:val="21"/>
                <w:highlight w:val="none"/>
              </w:rPr>
              <w:t>2</w:t>
            </w:r>
          </w:p>
        </w:tc>
        <w:tc>
          <w:tcPr>
            <w:tcW w:w="1692" w:type="pct"/>
            <w:vAlign w:val="center"/>
          </w:tcPr>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好，1.6-2分；</w:t>
            </w:r>
          </w:p>
          <w:p>
            <w:pPr>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较好，1.2-1.6分；</w:t>
            </w:r>
          </w:p>
          <w:p>
            <w:pPr>
              <w:rPr>
                <w:rFonts w:ascii="宋体" w:hAnsi="宋体"/>
                <w:color w:val="000000" w:themeColor="text1"/>
                <w:szCs w:val="21"/>
                <w:highlight w:val="none"/>
              </w:rPr>
            </w:pPr>
            <w:r>
              <w:rPr>
                <w:rFonts w:hint="eastAsia" w:ascii="宋体" w:hAnsi="宋体"/>
                <w:color w:val="000000" w:themeColor="text1"/>
                <w:kern w:val="0"/>
                <w:szCs w:val="21"/>
                <w:highlight w:val="none"/>
              </w:rPr>
              <w:t>一般，1.2分；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1" w:hRule="exact"/>
          <w:jc w:val="center"/>
        </w:trPr>
        <w:tc>
          <w:tcPr>
            <w:tcW w:w="518" w:type="pct"/>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2.2.2（2）</w:t>
            </w:r>
          </w:p>
        </w:tc>
        <w:tc>
          <w:tcPr>
            <w:tcW w:w="661" w:type="pct"/>
            <w:gridSpan w:val="2"/>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主要人员</w:t>
            </w:r>
          </w:p>
        </w:tc>
        <w:tc>
          <w:tcPr>
            <w:tcW w:w="665" w:type="pct"/>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25分</w:t>
            </w:r>
          </w:p>
        </w:tc>
        <w:tc>
          <w:tcPr>
            <w:tcW w:w="1070"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项目经理任职资格与业绩</w:t>
            </w:r>
          </w:p>
        </w:tc>
        <w:tc>
          <w:tcPr>
            <w:tcW w:w="394" w:type="pct"/>
            <w:gridSpan w:val="2"/>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15</w:t>
            </w:r>
          </w:p>
        </w:tc>
        <w:tc>
          <w:tcPr>
            <w:tcW w:w="1692" w:type="pct"/>
            <w:vAlign w:val="center"/>
          </w:tcPr>
          <w:p>
            <w:pPr>
              <w:adjustRightInd w:val="0"/>
              <w:snapToGrid w:val="0"/>
              <w:spacing w:line="360" w:lineRule="atLeast"/>
              <w:jc w:val="left"/>
              <w:rPr>
                <w:rFonts w:hint="eastAsia" w:ascii="宋体" w:hAnsi="宋体"/>
                <w:color w:val="000000" w:themeColor="text1"/>
                <w:szCs w:val="21"/>
                <w:highlight w:val="none"/>
              </w:rPr>
            </w:pPr>
            <w:r>
              <w:rPr>
                <w:rFonts w:hint="eastAsia" w:ascii="宋体" w:hAnsi="宋体"/>
                <w:color w:val="000000" w:themeColor="text1"/>
                <w:szCs w:val="21"/>
                <w:highlight w:val="none"/>
              </w:rPr>
              <w:t>YA01、YA03标段满足资格审查条件得9分，每担任过1项二级或二级以上公路施工的项目经理</w:t>
            </w:r>
            <w:r>
              <w:rPr>
                <w:rFonts w:ascii="宋体" w:hAnsi="宋体"/>
                <w:color w:val="000000" w:themeColor="text1"/>
                <w:szCs w:val="21"/>
                <w:highlight w:val="none"/>
              </w:rPr>
              <w:t>加</w:t>
            </w:r>
            <w:r>
              <w:rPr>
                <w:rFonts w:hint="eastAsia" w:ascii="宋体" w:hAnsi="宋体"/>
                <w:color w:val="000000" w:themeColor="text1"/>
                <w:szCs w:val="21"/>
                <w:highlight w:val="none"/>
              </w:rPr>
              <w:t>6</w:t>
            </w:r>
            <w:r>
              <w:rPr>
                <w:rFonts w:ascii="宋体" w:hAnsi="宋体"/>
                <w:color w:val="000000" w:themeColor="text1"/>
                <w:szCs w:val="21"/>
                <w:highlight w:val="none"/>
              </w:rPr>
              <w:t>分</w:t>
            </w:r>
            <w:r>
              <w:rPr>
                <w:rFonts w:hint="eastAsia" w:ascii="宋体" w:hAnsi="宋体"/>
                <w:color w:val="000000" w:themeColor="text1"/>
                <w:szCs w:val="21"/>
                <w:highlight w:val="none"/>
              </w:rPr>
              <w:t>，最多加6分。</w:t>
            </w:r>
          </w:p>
          <w:p>
            <w:pPr>
              <w:adjustRightInd w:val="0"/>
              <w:snapToGrid w:val="0"/>
              <w:spacing w:line="360" w:lineRule="atLeast"/>
              <w:jc w:val="left"/>
              <w:rPr>
                <w:rFonts w:ascii="宋体" w:hAnsi="宋体"/>
                <w:color w:val="000000" w:themeColor="text1"/>
                <w:szCs w:val="21"/>
                <w:highlight w:val="none"/>
              </w:rPr>
            </w:pPr>
            <w:r>
              <w:rPr>
                <w:rFonts w:hint="eastAsia" w:ascii="楷体" w:hAnsi="楷体" w:eastAsia="楷体"/>
                <w:color w:val="000000" w:themeColor="text1"/>
                <w:szCs w:val="21"/>
                <w:highlight w:val="none"/>
              </w:rPr>
              <w:t>注：项目经理个人业绩均应为国内新建或改扩建公路的施工业绩</w:t>
            </w:r>
            <w:r>
              <w:rPr>
                <w:rFonts w:hint="eastAsia" w:ascii="楷体" w:hAnsi="楷体" w:eastAsia="楷体"/>
                <w:color w:val="000000" w:themeColor="text1"/>
                <w:szCs w:val="21"/>
                <w:highlight w:val="none"/>
                <w:lang w:eastAsia="zh-CN"/>
              </w:rPr>
              <w:t>（施工内容必须含有路基、桥梁、路面三者之一）</w:t>
            </w:r>
            <w:r>
              <w:rPr>
                <w:rFonts w:hint="eastAsia" w:ascii="楷体" w:hAnsi="楷体" w:eastAsia="楷体"/>
                <w:color w:val="000000" w:themeColor="text1"/>
                <w:szCs w:val="21"/>
                <w:highlight w:val="none"/>
              </w:rPr>
              <w:t>，养护工程施工业绩不予认定；个人业绩均应是已</w:t>
            </w:r>
            <w:r>
              <w:rPr>
                <w:rFonts w:ascii="楷体" w:hAnsi="楷体" w:eastAsia="楷体"/>
                <w:color w:val="000000" w:themeColor="text1"/>
                <w:szCs w:val="21"/>
                <w:highlight w:val="none"/>
              </w:rPr>
              <w:t>列入交通运输主管部门“公路建设市场信用信息管理系统”并</w:t>
            </w:r>
            <w:r>
              <w:rPr>
                <w:rFonts w:hint="eastAsia" w:ascii="楷体" w:hAnsi="楷体" w:eastAsia="楷体"/>
                <w:color w:val="000000" w:themeColor="text1"/>
                <w:szCs w:val="21"/>
                <w:highlight w:val="none"/>
              </w:rPr>
              <w:t>公开的总包已建业绩。</w:t>
            </w:r>
          </w:p>
          <w:p>
            <w:pPr>
              <w:adjustRightInd w:val="0"/>
              <w:snapToGrid w:val="0"/>
              <w:spacing w:line="360" w:lineRule="atLeast"/>
              <w:jc w:val="left"/>
              <w:rPr>
                <w:rFonts w:hint="eastAsia" w:ascii="宋体" w:hAnsi="宋体"/>
                <w:color w:val="000000" w:themeColor="text1"/>
                <w:szCs w:val="21"/>
                <w:highlight w:val="none"/>
              </w:rPr>
            </w:pPr>
            <w:r>
              <w:rPr>
                <w:rFonts w:hint="eastAsia" w:ascii="宋体" w:hAnsi="宋体"/>
                <w:color w:val="000000" w:themeColor="text1"/>
                <w:szCs w:val="21"/>
                <w:highlight w:val="none"/>
              </w:rPr>
              <w:t>YA02标段满足资格审查条件得9分，每担任过1项隧道施工的项目经理</w:t>
            </w:r>
            <w:r>
              <w:rPr>
                <w:rFonts w:ascii="宋体" w:hAnsi="宋体"/>
                <w:color w:val="000000" w:themeColor="text1"/>
                <w:szCs w:val="21"/>
                <w:highlight w:val="none"/>
              </w:rPr>
              <w:t>加</w:t>
            </w:r>
            <w:r>
              <w:rPr>
                <w:rFonts w:hint="eastAsia" w:ascii="宋体" w:hAnsi="宋体"/>
                <w:color w:val="000000" w:themeColor="text1"/>
                <w:szCs w:val="21"/>
                <w:highlight w:val="none"/>
              </w:rPr>
              <w:t>6</w:t>
            </w:r>
            <w:r>
              <w:rPr>
                <w:rFonts w:ascii="宋体" w:hAnsi="宋体"/>
                <w:color w:val="000000" w:themeColor="text1"/>
                <w:szCs w:val="21"/>
                <w:highlight w:val="none"/>
              </w:rPr>
              <w:t>分</w:t>
            </w:r>
            <w:r>
              <w:rPr>
                <w:rFonts w:hint="eastAsia" w:ascii="宋体" w:hAnsi="宋体"/>
                <w:color w:val="000000" w:themeColor="text1"/>
                <w:szCs w:val="21"/>
                <w:highlight w:val="none"/>
              </w:rPr>
              <w:t>，最多加6分。</w:t>
            </w:r>
          </w:p>
          <w:p>
            <w:pPr>
              <w:adjustRightInd w:val="0"/>
              <w:snapToGrid w:val="0"/>
              <w:spacing w:line="360" w:lineRule="atLeast"/>
              <w:jc w:val="left"/>
              <w:rPr>
                <w:rFonts w:ascii="宋体" w:hAnsi="宋体"/>
                <w:color w:val="000000" w:themeColor="text1"/>
                <w:szCs w:val="21"/>
                <w:highlight w:val="none"/>
              </w:rPr>
            </w:pPr>
            <w:r>
              <w:rPr>
                <w:rFonts w:hint="eastAsia" w:ascii="楷体" w:hAnsi="楷体" w:eastAsia="楷体"/>
                <w:color w:val="000000" w:themeColor="text1"/>
                <w:szCs w:val="21"/>
                <w:highlight w:val="none"/>
              </w:rPr>
              <w:t>注：项目经理个人业绩均应为国内新建或改扩建公路的施工业绩</w:t>
            </w:r>
            <w:r>
              <w:rPr>
                <w:rFonts w:hint="eastAsia" w:ascii="楷体" w:hAnsi="楷体" w:eastAsia="楷体"/>
                <w:color w:val="000000" w:themeColor="text1"/>
                <w:szCs w:val="21"/>
                <w:highlight w:val="none"/>
                <w:lang w:eastAsia="zh-CN"/>
              </w:rPr>
              <w:t>（施工内容必须含有</w:t>
            </w:r>
            <w:r>
              <w:rPr>
                <w:rFonts w:hint="eastAsia" w:ascii="楷体" w:hAnsi="楷体" w:eastAsia="楷体"/>
                <w:color w:val="000000" w:themeColor="text1"/>
                <w:szCs w:val="21"/>
                <w:highlight w:val="none"/>
                <w:lang w:val="en-US" w:eastAsia="zh-CN"/>
              </w:rPr>
              <w:t>隧道</w:t>
            </w:r>
            <w:r>
              <w:rPr>
                <w:rFonts w:hint="eastAsia" w:ascii="楷体" w:hAnsi="楷体" w:eastAsia="楷体"/>
                <w:color w:val="000000" w:themeColor="text1"/>
                <w:szCs w:val="21"/>
                <w:highlight w:val="none"/>
                <w:lang w:eastAsia="zh-CN"/>
              </w:rPr>
              <w:t>）</w:t>
            </w:r>
            <w:r>
              <w:rPr>
                <w:rFonts w:hint="eastAsia" w:ascii="楷体" w:hAnsi="楷体" w:eastAsia="楷体"/>
                <w:color w:val="000000" w:themeColor="text1"/>
                <w:szCs w:val="21"/>
                <w:highlight w:val="none"/>
              </w:rPr>
              <w:t>，养护工程施工业绩不予认定；个人业绩均应是已</w:t>
            </w:r>
            <w:r>
              <w:rPr>
                <w:rFonts w:ascii="楷体" w:hAnsi="楷体" w:eastAsia="楷体"/>
                <w:color w:val="000000" w:themeColor="text1"/>
                <w:szCs w:val="21"/>
                <w:highlight w:val="none"/>
              </w:rPr>
              <w:t>列入交通运输主管部门“公路建设市场信用信息管理系统”并</w:t>
            </w:r>
            <w:r>
              <w:rPr>
                <w:rFonts w:hint="eastAsia" w:ascii="楷体" w:hAnsi="楷体" w:eastAsia="楷体"/>
                <w:color w:val="000000" w:themeColor="text1"/>
                <w:szCs w:val="21"/>
                <w:highlight w:val="none"/>
              </w:rPr>
              <w:t>公开的总包已建业绩。</w:t>
            </w:r>
          </w:p>
          <w:p>
            <w:pPr>
              <w:adjustRightInd w:val="0"/>
              <w:snapToGrid w:val="0"/>
              <w:spacing w:line="360" w:lineRule="atLeast"/>
              <w:jc w:val="left"/>
              <w:rPr>
                <w:rFonts w:ascii="宋体" w:hAnsi="宋体"/>
                <w:color w:val="000000" w:themeColor="text1"/>
                <w:szCs w:val="21"/>
                <w:highlight w:val="none"/>
              </w:rPr>
            </w:pPr>
          </w:p>
          <w:p>
            <w:pPr>
              <w:adjustRightInd w:val="0"/>
              <w:snapToGrid w:val="0"/>
              <w:jc w:val="left"/>
              <w:rPr>
                <w:rFonts w:ascii="楷体" w:hAnsi="楷体" w:eastAsia="楷体"/>
                <w:color w:val="000000" w:themeColor="text1"/>
                <w:szCs w:val="21"/>
                <w:highlight w:val="none"/>
              </w:rPr>
            </w:pPr>
          </w:p>
          <w:p>
            <w:pPr>
              <w:adjustRightInd w:val="0"/>
              <w:snapToGrid w:val="0"/>
              <w:jc w:val="left"/>
              <w:rPr>
                <w:rFonts w:ascii="宋体" w:hAnsi="宋体"/>
                <w:color w:val="000000" w:themeColor="text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3" w:hRule="exact"/>
          <w:jc w:val="center"/>
        </w:trPr>
        <w:tc>
          <w:tcPr>
            <w:tcW w:w="518" w:type="pct"/>
            <w:vMerge w:val="continue"/>
            <w:vAlign w:val="center"/>
          </w:tcPr>
          <w:p>
            <w:pPr>
              <w:jc w:val="center"/>
              <w:rPr>
                <w:rFonts w:ascii="宋体" w:hAnsi="宋体"/>
                <w:color w:val="000000" w:themeColor="text1"/>
                <w:szCs w:val="21"/>
                <w:highlight w:val="none"/>
              </w:rPr>
            </w:pPr>
          </w:p>
        </w:tc>
        <w:tc>
          <w:tcPr>
            <w:tcW w:w="661" w:type="pct"/>
            <w:gridSpan w:val="2"/>
            <w:vMerge w:val="continue"/>
            <w:vAlign w:val="center"/>
          </w:tcPr>
          <w:p>
            <w:pPr>
              <w:jc w:val="center"/>
              <w:rPr>
                <w:rFonts w:ascii="宋体" w:hAnsi="宋体"/>
                <w:color w:val="000000" w:themeColor="text1"/>
                <w:szCs w:val="21"/>
                <w:highlight w:val="none"/>
              </w:rPr>
            </w:pPr>
          </w:p>
        </w:tc>
        <w:tc>
          <w:tcPr>
            <w:tcW w:w="665" w:type="pct"/>
            <w:vMerge w:val="continue"/>
            <w:vAlign w:val="center"/>
          </w:tcPr>
          <w:p>
            <w:pPr>
              <w:jc w:val="center"/>
              <w:rPr>
                <w:rFonts w:ascii="宋体" w:hAnsi="宋体"/>
                <w:color w:val="000000" w:themeColor="text1"/>
                <w:szCs w:val="21"/>
                <w:highlight w:val="none"/>
              </w:rPr>
            </w:pPr>
          </w:p>
        </w:tc>
        <w:tc>
          <w:tcPr>
            <w:tcW w:w="1070"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项目总工任职资格与业绩</w:t>
            </w:r>
          </w:p>
        </w:tc>
        <w:tc>
          <w:tcPr>
            <w:tcW w:w="394" w:type="pct"/>
            <w:gridSpan w:val="2"/>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1692" w:type="pct"/>
            <w:vAlign w:val="center"/>
          </w:tcPr>
          <w:p>
            <w:pPr>
              <w:adjustRightInd w:val="0"/>
              <w:snapToGrid w:val="0"/>
              <w:spacing w:line="360" w:lineRule="atLeast"/>
              <w:jc w:val="left"/>
              <w:rPr>
                <w:rFonts w:hint="eastAsia" w:ascii="宋体" w:hAnsi="宋体"/>
                <w:color w:val="000000" w:themeColor="text1"/>
                <w:szCs w:val="21"/>
                <w:highlight w:val="none"/>
              </w:rPr>
            </w:pPr>
            <w:r>
              <w:rPr>
                <w:rFonts w:hint="eastAsia" w:ascii="宋体" w:hAnsi="宋体"/>
                <w:color w:val="000000" w:themeColor="text1"/>
                <w:szCs w:val="21"/>
                <w:highlight w:val="none"/>
              </w:rPr>
              <w:t>YA01、YA03标段满足资格审查条件得6分，每担任过1项二级或二级以上公路施工的项目总工</w:t>
            </w:r>
            <w:r>
              <w:rPr>
                <w:rFonts w:ascii="宋体" w:hAnsi="宋体"/>
                <w:color w:val="000000" w:themeColor="text1"/>
                <w:szCs w:val="21"/>
                <w:highlight w:val="none"/>
              </w:rPr>
              <w:t>加</w:t>
            </w:r>
            <w:r>
              <w:rPr>
                <w:rFonts w:hint="eastAsia" w:ascii="宋体" w:hAnsi="宋体"/>
                <w:color w:val="000000" w:themeColor="text1"/>
                <w:szCs w:val="21"/>
                <w:highlight w:val="none"/>
              </w:rPr>
              <w:t>4</w:t>
            </w:r>
            <w:r>
              <w:rPr>
                <w:rFonts w:ascii="宋体" w:hAnsi="宋体"/>
                <w:color w:val="000000" w:themeColor="text1"/>
                <w:szCs w:val="21"/>
                <w:highlight w:val="none"/>
              </w:rPr>
              <w:t>分</w:t>
            </w:r>
            <w:r>
              <w:rPr>
                <w:rFonts w:hint="eastAsia" w:ascii="宋体" w:hAnsi="宋体"/>
                <w:color w:val="000000" w:themeColor="text1"/>
                <w:szCs w:val="21"/>
                <w:highlight w:val="none"/>
              </w:rPr>
              <w:t>，最多加4分。</w:t>
            </w:r>
          </w:p>
          <w:p>
            <w:pPr>
              <w:adjustRightInd w:val="0"/>
              <w:snapToGrid w:val="0"/>
              <w:spacing w:line="360" w:lineRule="atLeast"/>
              <w:jc w:val="left"/>
              <w:rPr>
                <w:rFonts w:hint="eastAsia" w:ascii="楷体" w:hAnsi="楷体" w:eastAsia="楷体"/>
                <w:color w:val="000000" w:themeColor="text1"/>
                <w:szCs w:val="21"/>
                <w:highlight w:val="none"/>
              </w:rPr>
            </w:pPr>
            <w:r>
              <w:rPr>
                <w:rFonts w:hint="eastAsia" w:ascii="楷体" w:hAnsi="楷体" w:eastAsia="楷体"/>
                <w:color w:val="000000" w:themeColor="text1"/>
                <w:szCs w:val="21"/>
                <w:highlight w:val="none"/>
              </w:rPr>
              <w:t>注：项目总工个人业绩均应为国内新建或改扩建公路的施工业绩</w:t>
            </w:r>
            <w:r>
              <w:rPr>
                <w:rFonts w:hint="eastAsia" w:ascii="楷体" w:hAnsi="楷体" w:eastAsia="楷体"/>
                <w:color w:val="000000" w:themeColor="text1"/>
                <w:szCs w:val="21"/>
                <w:highlight w:val="none"/>
                <w:lang w:eastAsia="zh-CN"/>
              </w:rPr>
              <w:t>（施工内容必须含有路基、桥梁、路面三者之一）</w:t>
            </w:r>
            <w:r>
              <w:rPr>
                <w:rFonts w:hint="eastAsia" w:ascii="楷体" w:hAnsi="楷体" w:eastAsia="楷体"/>
                <w:color w:val="000000" w:themeColor="text1"/>
                <w:szCs w:val="21"/>
                <w:highlight w:val="none"/>
              </w:rPr>
              <w:t>，养护工程施工业绩不予认定；个人业绩均应是已</w:t>
            </w:r>
            <w:r>
              <w:rPr>
                <w:rFonts w:ascii="楷体" w:hAnsi="楷体" w:eastAsia="楷体"/>
                <w:color w:val="000000" w:themeColor="text1"/>
                <w:szCs w:val="21"/>
                <w:highlight w:val="none"/>
              </w:rPr>
              <w:t>列入交通运输主管部门“公路建设市场信用信息管理系统”并</w:t>
            </w:r>
            <w:r>
              <w:rPr>
                <w:rFonts w:hint="eastAsia" w:ascii="楷体" w:hAnsi="楷体" w:eastAsia="楷体"/>
                <w:color w:val="000000" w:themeColor="text1"/>
                <w:szCs w:val="21"/>
                <w:highlight w:val="none"/>
              </w:rPr>
              <w:t>公开的总包已建业绩。</w:t>
            </w:r>
          </w:p>
          <w:p>
            <w:pPr>
              <w:adjustRightInd w:val="0"/>
              <w:snapToGrid w:val="0"/>
              <w:spacing w:line="360" w:lineRule="atLeast"/>
              <w:jc w:val="left"/>
              <w:rPr>
                <w:rFonts w:hint="eastAsia" w:ascii="宋体" w:hAnsi="宋体"/>
                <w:color w:val="000000" w:themeColor="text1"/>
                <w:szCs w:val="21"/>
                <w:highlight w:val="none"/>
              </w:rPr>
            </w:pPr>
            <w:r>
              <w:rPr>
                <w:rFonts w:hint="eastAsia" w:ascii="宋体" w:hAnsi="宋体"/>
                <w:color w:val="000000" w:themeColor="text1"/>
                <w:szCs w:val="21"/>
                <w:highlight w:val="none"/>
              </w:rPr>
              <w:t>YA02标段满足资格审查条件得6分，每担任过1项隧道施工的项目总工</w:t>
            </w:r>
            <w:r>
              <w:rPr>
                <w:rFonts w:ascii="宋体" w:hAnsi="宋体"/>
                <w:color w:val="000000" w:themeColor="text1"/>
                <w:szCs w:val="21"/>
                <w:highlight w:val="none"/>
              </w:rPr>
              <w:t>加</w:t>
            </w:r>
            <w:r>
              <w:rPr>
                <w:rFonts w:hint="eastAsia" w:ascii="宋体" w:hAnsi="宋体"/>
                <w:color w:val="000000" w:themeColor="text1"/>
                <w:szCs w:val="21"/>
                <w:highlight w:val="none"/>
              </w:rPr>
              <w:t>4</w:t>
            </w:r>
            <w:r>
              <w:rPr>
                <w:rFonts w:ascii="宋体" w:hAnsi="宋体"/>
                <w:color w:val="000000" w:themeColor="text1"/>
                <w:szCs w:val="21"/>
                <w:highlight w:val="none"/>
              </w:rPr>
              <w:t>分</w:t>
            </w:r>
            <w:r>
              <w:rPr>
                <w:rFonts w:hint="eastAsia" w:ascii="宋体" w:hAnsi="宋体"/>
                <w:color w:val="000000" w:themeColor="text1"/>
                <w:szCs w:val="21"/>
                <w:highlight w:val="none"/>
              </w:rPr>
              <w:t>，最多加4分。</w:t>
            </w:r>
          </w:p>
          <w:p>
            <w:pPr>
              <w:adjustRightInd w:val="0"/>
              <w:snapToGrid w:val="0"/>
              <w:spacing w:line="360" w:lineRule="atLeast"/>
              <w:jc w:val="left"/>
              <w:rPr>
                <w:rFonts w:hint="eastAsia" w:ascii="楷体" w:hAnsi="楷体" w:eastAsia="楷体"/>
                <w:color w:val="000000" w:themeColor="text1"/>
                <w:szCs w:val="21"/>
                <w:highlight w:val="none"/>
              </w:rPr>
            </w:pPr>
            <w:r>
              <w:rPr>
                <w:rFonts w:hint="eastAsia" w:ascii="楷体" w:hAnsi="楷体" w:eastAsia="楷体"/>
                <w:color w:val="000000" w:themeColor="text1"/>
                <w:szCs w:val="21"/>
                <w:highlight w:val="none"/>
              </w:rPr>
              <w:t>注：项目总工个人业绩均应为国内新建或改扩建公路的施工业绩</w:t>
            </w:r>
            <w:r>
              <w:rPr>
                <w:rFonts w:hint="eastAsia" w:ascii="楷体" w:hAnsi="楷体" w:eastAsia="楷体"/>
                <w:color w:val="000000" w:themeColor="text1"/>
                <w:szCs w:val="21"/>
                <w:highlight w:val="none"/>
                <w:lang w:eastAsia="zh-CN"/>
              </w:rPr>
              <w:t>（施工内容必须含有</w:t>
            </w:r>
            <w:r>
              <w:rPr>
                <w:rFonts w:hint="eastAsia" w:ascii="楷体" w:hAnsi="楷体" w:eastAsia="楷体"/>
                <w:color w:val="000000" w:themeColor="text1"/>
                <w:szCs w:val="21"/>
                <w:highlight w:val="none"/>
                <w:lang w:val="en-US" w:eastAsia="zh-CN"/>
              </w:rPr>
              <w:t>隧道</w:t>
            </w:r>
            <w:r>
              <w:rPr>
                <w:rFonts w:hint="eastAsia" w:ascii="楷体" w:hAnsi="楷体" w:eastAsia="楷体"/>
                <w:color w:val="000000" w:themeColor="text1"/>
                <w:szCs w:val="21"/>
                <w:highlight w:val="none"/>
                <w:lang w:eastAsia="zh-CN"/>
              </w:rPr>
              <w:t>）</w:t>
            </w:r>
            <w:r>
              <w:rPr>
                <w:rFonts w:hint="eastAsia" w:ascii="楷体" w:hAnsi="楷体" w:eastAsia="楷体"/>
                <w:color w:val="000000" w:themeColor="text1"/>
                <w:szCs w:val="21"/>
                <w:highlight w:val="none"/>
              </w:rPr>
              <w:t>，养护工程施工业绩不予认定；个人业绩均应是已</w:t>
            </w:r>
            <w:r>
              <w:rPr>
                <w:rFonts w:ascii="楷体" w:hAnsi="楷体" w:eastAsia="楷体"/>
                <w:color w:val="000000" w:themeColor="text1"/>
                <w:szCs w:val="21"/>
                <w:highlight w:val="none"/>
              </w:rPr>
              <w:t>列入交通运输主管部门“公路建设市场信用信息管理系统”并</w:t>
            </w:r>
            <w:r>
              <w:rPr>
                <w:rFonts w:hint="eastAsia" w:ascii="楷体" w:hAnsi="楷体" w:eastAsia="楷体"/>
                <w:color w:val="000000" w:themeColor="text1"/>
                <w:szCs w:val="21"/>
                <w:highlight w:val="none"/>
              </w:rPr>
              <w:t>公开的总包已建业绩。</w:t>
            </w:r>
          </w:p>
          <w:p>
            <w:pPr>
              <w:adjustRightInd w:val="0"/>
              <w:snapToGrid w:val="0"/>
              <w:spacing w:line="360" w:lineRule="atLeast"/>
              <w:jc w:val="left"/>
              <w:rPr>
                <w:rFonts w:hint="eastAsia" w:ascii="宋体" w:hAnsi="宋体"/>
                <w:color w:val="000000" w:themeColor="text1"/>
                <w:szCs w:val="21"/>
                <w:highlight w:val="none"/>
              </w:rPr>
            </w:pPr>
          </w:p>
          <w:p>
            <w:pPr>
              <w:adjustRightInd w:val="0"/>
              <w:snapToGrid w:val="0"/>
              <w:jc w:val="left"/>
              <w:rPr>
                <w:rFonts w:ascii="楷体" w:hAnsi="楷体" w:eastAsia="楷体"/>
                <w:color w:val="000000" w:themeColor="text1"/>
                <w:szCs w:val="21"/>
                <w:highlight w:val="none"/>
              </w:rPr>
            </w:pPr>
          </w:p>
          <w:p>
            <w:pPr>
              <w:adjustRightInd w:val="0"/>
              <w:snapToGrid w:val="0"/>
              <w:jc w:val="left"/>
              <w:rPr>
                <w:rFonts w:ascii="宋体" w:hAnsi="宋体"/>
                <w:color w:val="000000" w:themeColor="text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2" w:hRule="exact"/>
          <w:jc w:val="center"/>
        </w:trPr>
        <w:tc>
          <w:tcPr>
            <w:tcW w:w="518" w:type="pct"/>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2.2.2（3）</w:t>
            </w:r>
          </w:p>
        </w:tc>
        <w:tc>
          <w:tcPr>
            <w:tcW w:w="336" w:type="pct"/>
            <w:vMerge w:val="restar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其他因素</w:t>
            </w:r>
          </w:p>
        </w:tc>
        <w:tc>
          <w:tcPr>
            <w:tcW w:w="325" w:type="pc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企业业绩</w:t>
            </w:r>
          </w:p>
        </w:tc>
        <w:tc>
          <w:tcPr>
            <w:tcW w:w="665" w:type="pc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20分</w:t>
            </w:r>
          </w:p>
        </w:tc>
        <w:tc>
          <w:tcPr>
            <w:tcW w:w="1074" w:type="pct"/>
            <w:gridSpan w:val="2"/>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企业施工业绩</w:t>
            </w:r>
          </w:p>
        </w:tc>
        <w:tc>
          <w:tcPr>
            <w:tcW w:w="390" w:type="pct"/>
            <w:vAlign w:val="center"/>
          </w:tcPr>
          <w:p>
            <w:pPr>
              <w:ind w:right="113"/>
              <w:jc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20</w:t>
            </w:r>
          </w:p>
        </w:tc>
        <w:tc>
          <w:tcPr>
            <w:tcW w:w="1692" w:type="pct"/>
            <w:vAlign w:val="center"/>
          </w:tcPr>
          <w:p>
            <w:pPr>
              <w:ind w:right="113"/>
              <w:rPr>
                <w:rFonts w:ascii="宋体" w:hAnsi="宋体"/>
                <w:color w:val="000000" w:themeColor="text1"/>
                <w:szCs w:val="21"/>
                <w:highlight w:val="none"/>
              </w:rPr>
            </w:pPr>
            <w:r>
              <w:rPr>
                <w:rFonts w:hint="eastAsia" w:ascii="宋体" w:hAnsi="宋体"/>
                <w:color w:val="000000" w:themeColor="text1"/>
                <w:szCs w:val="21"/>
                <w:highlight w:val="none"/>
              </w:rPr>
              <w:t>YA01、YA03标段</w:t>
            </w:r>
          </w:p>
          <w:p>
            <w:pPr>
              <w:ind w:right="113"/>
              <w:rPr>
                <w:rFonts w:ascii="宋体" w:hAnsi="宋体"/>
                <w:color w:val="000000" w:themeColor="text1"/>
                <w:szCs w:val="21"/>
                <w:highlight w:val="none"/>
              </w:rPr>
            </w:pPr>
            <w:r>
              <w:rPr>
                <w:rFonts w:hint="eastAsia" w:ascii="宋体" w:hAnsi="宋体"/>
                <w:color w:val="000000" w:themeColor="text1"/>
                <w:szCs w:val="21"/>
                <w:highlight w:val="none"/>
              </w:rPr>
              <w:t>（1）满足资格审查条件得12分。</w:t>
            </w:r>
          </w:p>
          <w:p>
            <w:pPr>
              <w:ind w:right="113"/>
              <w:rPr>
                <w:rFonts w:ascii="宋体" w:hAnsi="宋体"/>
                <w:color w:val="000000" w:themeColor="text1"/>
                <w:szCs w:val="21"/>
                <w:highlight w:val="none"/>
              </w:rPr>
            </w:pPr>
            <w:r>
              <w:rPr>
                <w:rFonts w:hint="eastAsia" w:ascii="宋体" w:hAnsi="宋体"/>
                <w:color w:val="000000" w:themeColor="text1"/>
                <w:szCs w:val="21"/>
                <w:highlight w:val="none"/>
              </w:rPr>
              <w:t>（2）每增加1项有效的二级或二级以上公路路基工程或沥青混凝土路面工程施工业绩加8分，最多加8分。</w:t>
            </w:r>
          </w:p>
          <w:p>
            <w:pPr>
              <w:ind w:right="113"/>
              <w:rPr>
                <w:rFonts w:ascii="宋体" w:hAnsi="宋体"/>
                <w:color w:val="000000" w:themeColor="text1"/>
                <w:szCs w:val="21"/>
                <w:highlight w:val="none"/>
              </w:rPr>
            </w:pPr>
            <w:r>
              <w:rPr>
                <w:rFonts w:hint="eastAsia" w:ascii="宋体" w:hAnsi="宋体"/>
                <w:color w:val="000000" w:themeColor="text1"/>
                <w:szCs w:val="21"/>
                <w:highlight w:val="none"/>
              </w:rPr>
              <w:t>YA02标段</w:t>
            </w:r>
          </w:p>
          <w:p>
            <w:pPr>
              <w:ind w:right="113"/>
              <w:rPr>
                <w:rFonts w:ascii="宋体" w:hAnsi="宋体"/>
                <w:color w:val="000000" w:themeColor="text1"/>
                <w:szCs w:val="21"/>
                <w:highlight w:val="none"/>
              </w:rPr>
            </w:pPr>
            <w:r>
              <w:rPr>
                <w:rFonts w:hint="eastAsia" w:ascii="宋体" w:hAnsi="宋体"/>
                <w:color w:val="000000" w:themeColor="text1"/>
                <w:szCs w:val="21"/>
                <w:highlight w:val="none"/>
              </w:rPr>
              <w:t>（1）满足资格审查条件得12分。</w:t>
            </w:r>
          </w:p>
          <w:p>
            <w:pPr>
              <w:ind w:right="113"/>
              <w:rPr>
                <w:rFonts w:ascii="宋体" w:hAnsi="宋体"/>
                <w:color w:val="000000" w:themeColor="text1"/>
                <w:szCs w:val="21"/>
                <w:highlight w:val="none"/>
              </w:rPr>
            </w:pPr>
            <w:r>
              <w:rPr>
                <w:rFonts w:hint="eastAsia" w:ascii="宋体" w:hAnsi="宋体"/>
                <w:color w:val="000000" w:themeColor="text1"/>
                <w:szCs w:val="21"/>
                <w:highlight w:val="none"/>
              </w:rPr>
              <w:t>（2）每增加1项有效的二级或二级以上公路路基工程或沥青混凝土路面工程施工业绩加4分，最多加4分。</w:t>
            </w:r>
          </w:p>
          <w:p>
            <w:pPr>
              <w:ind w:right="113"/>
              <w:rPr>
                <w:rFonts w:ascii="宋体" w:hAnsi="宋体"/>
                <w:color w:val="000000" w:themeColor="text1"/>
                <w:szCs w:val="21"/>
                <w:highlight w:val="none"/>
              </w:rPr>
            </w:pPr>
            <w:r>
              <w:rPr>
                <w:rFonts w:ascii="宋体" w:hAnsi="宋体"/>
                <w:color w:val="000000" w:themeColor="text1"/>
                <w:szCs w:val="21"/>
                <w:highlight w:val="none"/>
              </w:rPr>
              <w:t>（</w:t>
            </w:r>
            <w:r>
              <w:rPr>
                <w:rFonts w:hint="eastAsia" w:ascii="宋体" w:hAnsi="宋体"/>
                <w:color w:val="000000" w:themeColor="text1"/>
                <w:szCs w:val="21"/>
                <w:highlight w:val="none"/>
              </w:rPr>
              <w:t>3）每增加1项有效的隧道施工业绩加4分，最多加4分。</w:t>
            </w:r>
          </w:p>
          <w:p>
            <w:pPr>
              <w:ind w:right="113"/>
              <w:rPr>
                <w:rFonts w:ascii="宋体" w:hAnsi="宋体"/>
                <w:color w:val="000000" w:themeColor="text1"/>
                <w:szCs w:val="21"/>
                <w:highlight w:val="none"/>
              </w:rPr>
            </w:pPr>
            <w:r>
              <w:rPr>
                <w:rFonts w:hint="eastAsia" w:ascii="宋体" w:hAnsi="宋体"/>
                <w:color w:val="000000" w:themeColor="text1"/>
                <w:szCs w:val="21"/>
                <w:highlight w:val="none"/>
              </w:rPr>
              <w:t>有效的业绩是指</w:t>
            </w:r>
            <w:r>
              <w:rPr>
                <w:rFonts w:hint="eastAsia" w:ascii="楷体" w:hAnsi="楷体" w:eastAsia="楷体"/>
                <w:color w:val="000000" w:themeColor="text1"/>
                <w:szCs w:val="21"/>
                <w:highlight w:val="none"/>
              </w:rPr>
              <w:t>2015年1月1日以后交工的国内新建或改扩建公路施工业绩，且应是已列入交通运输主管部门“公路建设市场信用信息管理系统”并公开的主包已建业绩或分包已建业绩。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4" w:hRule="atLeast"/>
          <w:jc w:val="center"/>
        </w:trPr>
        <w:tc>
          <w:tcPr>
            <w:tcW w:w="518" w:type="pct"/>
            <w:vMerge w:val="continue"/>
            <w:vAlign w:val="center"/>
          </w:tcPr>
          <w:p>
            <w:pPr>
              <w:jc w:val="center"/>
              <w:rPr>
                <w:rFonts w:ascii="宋体" w:hAnsi="宋体"/>
                <w:color w:val="000000" w:themeColor="text1"/>
                <w:szCs w:val="21"/>
                <w:highlight w:val="none"/>
              </w:rPr>
            </w:pPr>
          </w:p>
        </w:tc>
        <w:tc>
          <w:tcPr>
            <w:tcW w:w="336" w:type="pct"/>
            <w:vMerge w:val="continue"/>
            <w:vAlign w:val="center"/>
          </w:tcPr>
          <w:p>
            <w:pPr>
              <w:jc w:val="center"/>
              <w:rPr>
                <w:rFonts w:ascii="宋体" w:hAnsi="宋体"/>
                <w:color w:val="000000" w:themeColor="text1"/>
                <w:szCs w:val="21"/>
                <w:highlight w:val="none"/>
              </w:rPr>
            </w:pPr>
          </w:p>
        </w:tc>
        <w:tc>
          <w:tcPr>
            <w:tcW w:w="325" w:type="pc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履约信誉</w:t>
            </w:r>
          </w:p>
        </w:tc>
        <w:tc>
          <w:tcPr>
            <w:tcW w:w="665" w:type="pct"/>
            <w:vAlign w:val="center"/>
          </w:tcPr>
          <w:p>
            <w:pPr>
              <w:jc w:val="center"/>
              <w:rPr>
                <w:rFonts w:ascii="宋体" w:hAnsi="宋体"/>
                <w:color w:val="000000" w:themeColor="text1"/>
                <w:szCs w:val="21"/>
                <w:highlight w:val="none"/>
                <w:u w:val="single"/>
              </w:rPr>
            </w:pPr>
            <w:r>
              <w:rPr>
                <w:rFonts w:hint="eastAsia" w:ascii="宋体" w:hAnsi="宋体"/>
                <w:color w:val="000000" w:themeColor="text1"/>
                <w:szCs w:val="21"/>
                <w:highlight w:val="none"/>
              </w:rPr>
              <w:t>15分</w:t>
            </w:r>
          </w:p>
        </w:tc>
        <w:tc>
          <w:tcPr>
            <w:tcW w:w="1074" w:type="pct"/>
            <w:gridSpan w:val="2"/>
            <w:vAlign w:val="center"/>
          </w:tcPr>
          <w:p>
            <w:pPr>
              <w:adjustRightInd w:val="0"/>
              <w:snapToGrid w:val="0"/>
              <w:spacing w:before="100" w:beforeAutospacing="1" w:after="100" w:afterAutospacing="1" w:line="360" w:lineRule="atLeast"/>
              <w:jc w:val="center"/>
              <w:rPr>
                <w:rFonts w:ascii="宋体" w:hAnsi="宋体"/>
                <w:color w:val="000000" w:themeColor="text1"/>
                <w:szCs w:val="21"/>
                <w:highlight w:val="none"/>
              </w:rPr>
            </w:pPr>
            <w:r>
              <w:rPr>
                <w:rFonts w:hint="eastAsia" w:ascii="宋体" w:hAnsi="宋体"/>
                <w:color w:val="000000" w:themeColor="text1"/>
                <w:szCs w:val="21"/>
                <w:highlight w:val="none"/>
              </w:rPr>
              <w:t>企业信用</w:t>
            </w:r>
          </w:p>
        </w:tc>
        <w:tc>
          <w:tcPr>
            <w:tcW w:w="390" w:type="pct"/>
            <w:vAlign w:val="center"/>
          </w:tcPr>
          <w:p>
            <w:pPr>
              <w:jc w:val="center"/>
              <w:rPr>
                <w:rFonts w:ascii="宋体" w:hAnsi="宋体"/>
                <w:color w:val="000000" w:themeColor="text1"/>
                <w:szCs w:val="21"/>
                <w:highlight w:val="none"/>
              </w:rPr>
            </w:pPr>
            <w:r>
              <w:rPr>
                <w:rFonts w:hint="eastAsia" w:ascii="宋体" w:hAnsi="宋体"/>
                <w:color w:val="000000" w:themeColor="text1"/>
                <w:szCs w:val="21"/>
                <w:highlight w:val="none"/>
              </w:rPr>
              <w:t>15</w:t>
            </w:r>
          </w:p>
        </w:tc>
        <w:tc>
          <w:tcPr>
            <w:tcW w:w="1692" w:type="pct"/>
            <w:vAlign w:val="center"/>
          </w:tcPr>
          <w:p>
            <w:pPr>
              <w:autoSpaceDE w:val="0"/>
              <w:autoSpaceDN w:val="0"/>
              <w:rPr>
                <w:rFonts w:ascii="宋体" w:hAnsi="宋体"/>
                <w:color w:val="000000" w:themeColor="text1"/>
                <w:szCs w:val="21"/>
                <w:highlight w:val="none"/>
              </w:rPr>
            </w:pPr>
            <w:r>
              <w:rPr>
                <w:rFonts w:hint="eastAsia" w:ascii="宋体" w:hAnsi="宋体"/>
                <w:color w:val="000000" w:themeColor="text1"/>
                <w:szCs w:val="21"/>
                <w:highlight w:val="none"/>
              </w:rPr>
              <w:t>本次评标按照以下投标人的企业信用作为评分标准：</w:t>
            </w:r>
          </w:p>
          <w:p>
            <w:pPr>
              <w:autoSpaceDE w:val="0"/>
              <w:autoSpaceDN w:val="0"/>
              <w:rPr>
                <w:rFonts w:ascii="宋体" w:hAnsi="宋体"/>
                <w:color w:val="000000" w:themeColor="text1"/>
                <w:szCs w:val="21"/>
                <w:highlight w:val="none"/>
              </w:rPr>
            </w:pPr>
            <w:r>
              <w:rPr>
                <w:rFonts w:hint="eastAsia" w:ascii="宋体" w:hAnsi="宋体"/>
                <w:color w:val="000000" w:themeColor="text1"/>
                <w:szCs w:val="21"/>
                <w:highlight w:val="none"/>
              </w:rPr>
              <w:t>一、列入“交通运输部关于公布2020年公路水运工程建设领域守信典型企业目录的公告”中的投标人。</w:t>
            </w:r>
          </w:p>
          <w:p>
            <w:pPr>
              <w:autoSpaceDE w:val="0"/>
              <w:autoSpaceDN w:val="0"/>
              <w:rPr>
                <w:rFonts w:ascii="宋体" w:hAnsi="宋体"/>
                <w:color w:val="000000" w:themeColor="text1"/>
                <w:szCs w:val="21"/>
                <w:highlight w:val="none"/>
              </w:rPr>
            </w:pPr>
            <w:r>
              <w:rPr>
                <w:rFonts w:hint="eastAsia" w:ascii="宋体" w:hAnsi="宋体"/>
                <w:color w:val="000000" w:themeColor="text1"/>
                <w:szCs w:val="21"/>
                <w:highlight w:val="none"/>
              </w:rPr>
              <w:t>二、企业在以下规定中获得的信用评价：</w:t>
            </w:r>
          </w:p>
          <w:p>
            <w:pPr>
              <w:autoSpaceDE w:val="0"/>
              <w:autoSpaceDN w:val="0"/>
              <w:rPr>
                <w:rFonts w:ascii="宋体" w:hAnsi="宋体"/>
                <w:color w:val="000000" w:themeColor="text1"/>
                <w:szCs w:val="21"/>
                <w:highlight w:val="none"/>
              </w:rPr>
            </w:pPr>
            <w:r>
              <w:rPr>
                <w:rFonts w:hint="eastAsia" w:ascii="宋体" w:hAnsi="宋体"/>
                <w:color w:val="000000" w:themeColor="text1"/>
                <w:szCs w:val="21"/>
                <w:highlight w:val="none"/>
              </w:rPr>
              <w:t>（1）交通运输部“全国公路建设市场信用信息管理系统”“全国公路从业单位信用评价结果”中投标人的吉林省2019年度企业信用等级；</w:t>
            </w:r>
          </w:p>
          <w:p>
            <w:pPr>
              <w:autoSpaceDE w:val="0"/>
              <w:autoSpaceDN w:val="0"/>
              <w:rPr>
                <w:rFonts w:ascii="宋体" w:hAnsi="宋体"/>
                <w:color w:val="000000" w:themeColor="text1"/>
                <w:szCs w:val="21"/>
                <w:highlight w:val="none"/>
              </w:rPr>
            </w:pPr>
            <w:r>
              <w:rPr>
                <w:rFonts w:hint="eastAsia" w:ascii="宋体" w:hAnsi="宋体"/>
                <w:color w:val="000000" w:themeColor="text1"/>
                <w:szCs w:val="21"/>
                <w:highlight w:val="none"/>
              </w:rPr>
              <w:t>（2）交通运输部“全国公路建设市场信用信息管理系统”“全国公路从业单位信用评价结果”中投标人的全国综合评价2019年度企业信用等级；</w:t>
            </w:r>
          </w:p>
          <w:p>
            <w:pPr>
              <w:autoSpaceDE w:val="0"/>
              <w:autoSpaceDN w:val="0"/>
              <w:rPr>
                <w:rFonts w:ascii="宋体" w:hAnsi="宋体"/>
                <w:color w:val="000000" w:themeColor="text1"/>
                <w:szCs w:val="21"/>
                <w:highlight w:val="none"/>
              </w:rPr>
            </w:pPr>
            <w:r>
              <w:rPr>
                <w:rFonts w:ascii="宋体" w:hAnsi="宋体"/>
                <w:color w:val="000000" w:themeColor="text1"/>
                <w:szCs w:val="21"/>
                <w:highlight w:val="none"/>
              </w:rPr>
              <w:t>（</w:t>
            </w:r>
            <w:r>
              <w:rPr>
                <w:rFonts w:hint="eastAsia" w:ascii="宋体" w:hAnsi="宋体"/>
                <w:color w:val="000000" w:themeColor="text1"/>
                <w:szCs w:val="21"/>
                <w:highlight w:val="none"/>
              </w:rPr>
              <w:t>3</w:t>
            </w:r>
            <w:r>
              <w:rPr>
                <w:rFonts w:ascii="宋体" w:hAnsi="宋体"/>
                <w:color w:val="000000" w:themeColor="text1"/>
                <w:szCs w:val="21"/>
                <w:highlight w:val="none"/>
              </w:rPr>
              <w:t>）</w:t>
            </w:r>
            <w:r>
              <w:rPr>
                <w:rFonts w:hint="eastAsia" w:ascii="宋体" w:hAnsi="宋体"/>
                <w:color w:val="000000" w:themeColor="text1"/>
                <w:szCs w:val="21"/>
                <w:highlight w:val="none"/>
              </w:rPr>
              <w:t>同一投标人同时具有上述吉林省和全国综合评价的，以信用等级低的为准。</w:t>
            </w:r>
          </w:p>
          <w:p>
            <w:pPr>
              <w:autoSpaceDE w:val="0"/>
              <w:autoSpaceDN w:val="0"/>
              <w:rPr>
                <w:rFonts w:ascii="宋体" w:hAnsi="宋体"/>
                <w:color w:val="000000" w:themeColor="text1"/>
                <w:szCs w:val="21"/>
                <w:highlight w:val="none"/>
              </w:rPr>
            </w:pPr>
            <w:r>
              <w:rPr>
                <w:rFonts w:hint="eastAsia" w:ascii="宋体" w:hAnsi="宋体"/>
                <w:color w:val="000000" w:themeColor="text1"/>
                <w:szCs w:val="21"/>
                <w:highlight w:val="none"/>
              </w:rPr>
              <w:t>（4）无上述吉林省和全国综合评价且未列入交通运输部“全国公路建设市场信用信息管理系统”“不良信用记录”的，按A级对待，否则按D级对待。</w:t>
            </w:r>
          </w:p>
          <w:p>
            <w:pPr>
              <w:autoSpaceDE w:val="0"/>
              <w:autoSpaceDN w:val="0"/>
              <w:rPr>
                <w:rFonts w:ascii="宋体" w:hAnsi="宋体"/>
                <w:color w:val="000000" w:themeColor="text1"/>
                <w:szCs w:val="21"/>
                <w:highlight w:val="none"/>
              </w:rPr>
            </w:pPr>
            <w:r>
              <w:rPr>
                <w:rFonts w:hint="eastAsia" w:ascii="宋体" w:hAnsi="宋体"/>
                <w:color w:val="000000" w:themeColor="text1"/>
                <w:szCs w:val="21"/>
                <w:highlight w:val="none"/>
              </w:rPr>
              <w:t>三、同一投标人即列入“交通运输部关于公布2020年公路水运工程建设领域守信典型企业目录的公告”又在交通运输部“全国公路建设市场信用信息管理系统”“全国公路从业单位信用评价结果”中列入吉林省2019年度企业信用等级的，以“全国公路从业单位信用评价结果”中投标人的吉林省2019年度企业信用等级作为企业信用评分标准。</w:t>
            </w:r>
          </w:p>
          <w:p>
            <w:pPr>
              <w:autoSpaceDE w:val="0"/>
              <w:autoSpaceDN w:val="0"/>
              <w:rPr>
                <w:rFonts w:ascii="宋体" w:hAnsi="宋体"/>
                <w:color w:val="000000" w:themeColor="text1"/>
                <w:szCs w:val="21"/>
                <w:highlight w:val="none"/>
              </w:rPr>
            </w:pPr>
          </w:p>
          <w:p>
            <w:pPr>
              <w:autoSpaceDE w:val="0"/>
              <w:autoSpaceDN w:val="0"/>
              <w:rPr>
                <w:rFonts w:ascii="宋体" w:hAnsi="宋体"/>
                <w:color w:val="000000" w:themeColor="text1"/>
                <w:szCs w:val="21"/>
                <w:highlight w:val="none"/>
              </w:rPr>
            </w:pPr>
            <w:r>
              <w:rPr>
                <w:rFonts w:hint="eastAsia" w:ascii="宋体" w:hAnsi="宋体"/>
                <w:color w:val="000000" w:themeColor="text1"/>
                <w:szCs w:val="21"/>
                <w:highlight w:val="none"/>
              </w:rPr>
              <w:t>列入“交通运输部关于公布2020年公路水运工程建设领域守信典型企业目录的公告”或信用评价AA级、</w:t>
            </w:r>
            <w:r>
              <w:rPr>
                <w:rFonts w:ascii="宋体" w:hAnsi="宋体"/>
                <w:color w:val="000000" w:themeColor="text1"/>
                <w:szCs w:val="21"/>
                <w:highlight w:val="none"/>
              </w:rPr>
              <w:t>A</w:t>
            </w:r>
            <w:r>
              <w:rPr>
                <w:rFonts w:hint="eastAsia" w:ascii="宋体" w:hAnsi="宋体"/>
                <w:color w:val="000000" w:themeColor="text1"/>
                <w:szCs w:val="21"/>
                <w:highlight w:val="none"/>
              </w:rPr>
              <w:t>级、</w:t>
            </w:r>
            <w:r>
              <w:rPr>
                <w:rFonts w:ascii="宋体" w:hAnsi="宋体"/>
                <w:color w:val="000000" w:themeColor="text1"/>
                <w:szCs w:val="21"/>
                <w:highlight w:val="none"/>
              </w:rPr>
              <w:t>B</w:t>
            </w:r>
            <w:r>
              <w:rPr>
                <w:rFonts w:hint="eastAsia" w:ascii="宋体" w:hAnsi="宋体"/>
                <w:color w:val="000000" w:themeColor="text1"/>
                <w:szCs w:val="21"/>
                <w:highlight w:val="none"/>
              </w:rPr>
              <w:t>级得15分；C级得 9分；D级得0分。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0" w:hRule="atLeast"/>
          <w:jc w:val="center"/>
        </w:trPr>
        <w:tc>
          <w:tcPr>
            <w:tcW w:w="5000" w:type="pct"/>
            <w:gridSpan w:val="8"/>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需要补充的其他内容：</w:t>
            </w:r>
          </w:p>
          <w:p>
            <w:pPr>
              <w:rPr>
                <w:rFonts w:ascii="宋体" w:hAnsi="宋体"/>
                <w:color w:val="000000" w:themeColor="text1"/>
                <w:szCs w:val="21"/>
                <w:highlight w:val="none"/>
              </w:rPr>
            </w:pPr>
            <w:r>
              <w:rPr>
                <w:rFonts w:hint="eastAsia" w:ascii="宋体" w:hAnsi="宋体"/>
                <w:color w:val="000000" w:themeColor="text1"/>
                <w:szCs w:val="21"/>
                <w:highlight w:val="none"/>
              </w:rPr>
              <w:t>施工组织设计</w:t>
            </w:r>
            <w:r>
              <w:rPr>
                <w:rFonts w:hint="eastAsia" w:ascii="宋体" w:hAnsi="宋体"/>
                <w:color w:val="000000" w:themeColor="text1"/>
                <w:highlight w:val="none"/>
              </w:rPr>
              <w:t>得分一般不得低于其权重分值的60%，且得分应以评标委员会各成员的打分平均值确定，该平均值以去掉一个最高值和一个最低值计算。评标委员会成员的评分低于权重分值60%的，应在评标报告中作出说明。</w:t>
            </w:r>
          </w:p>
        </w:tc>
      </w:tr>
    </w:tbl>
    <w:p>
      <w:pPr>
        <w:rPr>
          <w:color w:val="000000" w:themeColor="text1"/>
          <w:highlight w:val="none"/>
        </w:rPr>
      </w:pPr>
    </w:p>
    <w:p>
      <w:pPr>
        <w:widowControl/>
        <w:jc w:val="left"/>
        <w:rPr>
          <w:color w:val="000000" w:themeColor="text1"/>
          <w:highlight w:val="none"/>
        </w:rPr>
      </w:pPr>
      <w:r>
        <w:rPr>
          <w:color w:val="000000" w:themeColor="text1"/>
          <w:highlight w:val="none"/>
        </w:rPr>
        <w:br w:type="page"/>
      </w:r>
    </w:p>
    <w:p>
      <w:pPr>
        <w:spacing w:line="400" w:lineRule="exact"/>
        <w:jc w:val="center"/>
        <w:outlineLvl w:val="2"/>
        <w:rPr>
          <w:rFonts w:ascii="黑体" w:hAnsi="黑体" w:eastAsia="黑体"/>
          <w:color w:val="000000" w:themeColor="text1"/>
          <w:sz w:val="24"/>
          <w:szCs w:val="24"/>
          <w:highlight w:val="none"/>
        </w:rPr>
      </w:pPr>
      <w:bookmarkStart w:id="31" w:name="_Toc530555341"/>
      <w:bookmarkStart w:id="32" w:name="_Toc58269160"/>
      <w:r>
        <w:rPr>
          <w:rFonts w:ascii="黑体" w:hAnsi="黑体" w:eastAsia="黑体"/>
          <w:color w:val="000000" w:themeColor="text1"/>
          <w:sz w:val="24"/>
          <w:szCs w:val="24"/>
          <w:highlight w:val="none"/>
        </w:rPr>
        <w:t>评标办法</w:t>
      </w:r>
      <w:r>
        <w:rPr>
          <w:rFonts w:hint="eastAsia" w:ascii="黑体" w:hAnsi="黑体" w:eastAsia="黑体"/>
          <w:color w:val="000000" w:themeColor="text1"/>
          <w:sz w:val="24"/>
          <w:szCs w:val="24"/>
          <w:highlight w:val="none"/>
        </w:rPr>
        <w:t>正文</w:t>
      </w:r>
      <w:bookmarkEnd w:id="31"/>
      <w:bookmarkEnd w:id="32"/>
    </w:p>
    <w:p>
      <w:pPr>
        <w:rPr>
          <w:b/>
          <w:highlight w:val="none"/>
        </w:rPr>
      </w:pPr>
      <w:bookmarkStart w:id="33" w:name="_Toc35268506"/>
      <w:bookmarkStart w:id="34" w:name="_Toc234382664"/>
      <w:r>
        <w:rPr>
          <w:b/>
          <w:highlight w:val="none"/>
        </w:rPr>
        <w:t>1. 评标方法</w:t>
      </w:r>
      <w:bookmarkEnd w:id="33"/>
      <w:bookmarkEnd w:id="34"/>
    </w:p>
    <w:p>
      <w:pPr>
        <w:spacing w:line="360" w:lineRule="auto"/>
        <w:rPr>
          <w:highlight w:val="none"/>
        </w:rPr>
      </w:pPr>
      <w:bookmarkStart w:id="35" w:name="_Toc35268507"/>
      <w:bookmarkStart w:id="36" w:name="_Toc234382665"/>
      <w:r>
        <w:rPr>
          <w:highlight w:val="none"/>
        </w:rPr>
        <w:t>本次评标采用</w:t>
      </w:r>
      <w:r>
        <w:rPr>
          <w:rFonts w:hint="eastAsia"/>
          <w:highlight w:val="none"/>
        </w:rPr>
        <w:t>技术评分最低标价</w:t>
      </w:r>
      <w:r>
        <w:rPr>
          <w:highlight w:val="none"/>
        </w:rPr>
        <w:t>法。评标委员会对满足招标文件实质要求的投标文件</w:t>
      </w:r>
      <w:r>
        <w:rPr>
          <w:rFonts w:hint="eastAsia"/>
          <w:highlight w:val="none"/>
        </w:rPr>
        <w:t>的施工组织设计、主要人员、技术能力等因素进行评分</w:t>
      </w:r>
      <w:r>
        <w:rPr>
          <w:highlight w:val="none"/>
        </w:rPr>
        <w:t>，</w:t>
      </w:r>
      <w:r>
        <w:rPr>
          <w:rFonts w:hint="eastAsia"/>
          <w:highlight w:val="none"/>
        </w:rPr>
        <w:t>按照得分由高到低排序，对排名在招标文件规定数量以内的投标人的报价文件进行评审</w:t>
      </w:r>
      <w:r>
        <w:rPr>
          <w:highlight w:val="none"/>
        </w:rPr>
        <w:t>，</w:t>
      </w:r>
      <w:r>
        <w:rPr>
          <w:rFonts w:hint="eastAsia"/>
          <w:highlight w:val="none"/>
        </w:rPr>
        <w:t>按照评标价由低到高顺序推荐中标候选人，或根据招标人授权直接确定中标人，但投标报价低于其成本的除外。评标价相等时，评标委员会应按照评标办法前附表规定的优先次序推荐中标候选人或确定中标人</w:t>
      </w:r>
      <w:r>
        <w:rPr>
          <w:highlight w:val="none"/>
        </w:rPr>
        <w:t>。</w:t>
      </w:r>
    </w:p>
    <w:p>
      <w:pPr>
        <w:rPr>
          <w:b/>
          <w:highlight w:val="none"/>
        </w:rPr>
      </w:pPr>
      <w:r>
        <w:rPr>
          <w:b/>
          <w:highlight w:val="none"/>
        </w:rPr>
        <w:t>2. 评审标准</w:t>
      </w:r>
      <w:bookmarkEnd w:id="35"/>
      <w:bookmarkEnd w:id="36"/>
    </w:p>
    <w:p>
      <w:pPr>
        <w:spacing w:line="360" w:lineRule="auto"/>
        <w:rPr>
          <w:highlight w:val="none"/>
        </w:rPr>
      </w:pPr>
      <w:bookmarkStart w:id="37" w:name="_Toc35268508"/>
      <w:r>
        <w:rPr>
          <w:highlight w:val="none"/>
        </w:rPr>
        <w:t>2.1 初步评审标准</w:t>
      </w:r>
      <w:bookmarkEnd w:id="37"/>
    </w:p>
    <w:p>
      <w:pPr>
        <w:spacing w:line="360" w:lineRule="auto"/>
        <w:rPr>
          <w:highlight w:val="none"/>
        </w:rPr>
      </w:pPr>
      <w:bookmarkStart w:id="38" w:name="_Toc35268509"/>
      <w:r>
        <w:rPr>
          <w:highlight w:val="none"/>
        </w:rPr>
        <w:t>2.1.1 形式评审标准：见评标办法前附表。</w:t>
      </w:r>
    </w:p>
    <w:p>
      <w:pPr>
        <w:spacing w:line="360" w:lineRule="auto"/>
        <w:rPr>
          <w:highlight w:val="none"/>
        </w:rPr>
      </w:pPr>
      <w:r>
        <w:rPr>
          <w:highlight w:val="none"/>
        </w:rPr>
        <w:t>2.1.2 资格评审标准：见评标办法前附表（适用于未进行资格预审的）。</w:t>
      </w:r>
    </w:p>
    <w:p>
      <w:pPr>
        <w:spacing w:line="360" w:lineRule="auto"/>
        <w:rPr>
          <w:highlight w:val="none"/>
        </w:rPr>
      </w:pPr>
      <w:r>
        <w:rPr>
          <w:highlight w:val="none"/>
        </w:rPr>
        <w:t>2.1.2 资格评审标准：见资格预审文件第三章“资格审查办法”详细审查标准（适用于已进行资格预审的）。</w:t>
      </w:r>
    </w:p>
    <w:p>
      <w:pPr>
        <w:spacing w:line="360" w:lineRule="auto"/>
        <w:rPr>
          <w:highlight w:val="none"/>
        </w:rPr>
      </w:pPr>
      <w:r>
        <w:rPr>
          <w:highlight w:val="none"/>
        </w:rPr>
        <w:t>2.1.3 响应性评审标准：见评标办法前附表。</w:t>
      </w:r>
    </w:p>
    <w:p>
      <w:pPr>
        <w:spacing w:line="360" w:lineRule="auto"/>
        <w:rPr>
          <w:highlight w:val="none"/>
        </w:rPr>
      </w:pPr>
      <w:r>
        <w:rPr>
          <w:highlight w:val="none"/>
        </w:rPr>
        <w:t xml:space="preserve">2.2 </w:t>
      </w:r>
      <w:r>
        <w:rPr>
          <w:rFonts w:hint="eastAsia"/>
          <w:highlight w:val="none"/>
        </w:rPr>
        <w:t>分值构成与评分标准</w:t>
      </w:r>
      <w:bookmarkEnd w:id="38"/>
    </w:p>
    <w:p>
      <w:pPr>
        <w:spacing w:line="360" w:lineRule="auto"/>
        <w:rPr>
          <w:highlight w:val="none"/>
        </w:rPr>
      </w:pPr>
      <w:bookmarkStart w:id="39" w:name="_Toc35268510"/>
      <w:r>
        <w:rPr>
          <w:rFonts w:hint="eastAsia"/>
          <w:highlight w:val="none"/>
        </w:rPr>
        <w:t>2.2.1 第一个信封评分分值构成</w:t>
      </w:r>
    </w:p>
    <w:p>
      <w:pPr>
        <w:spacing w:line="360" w:lineRule="auto"/>
        <w:rPr>
          <w:highlight w:val="none"/>
        </w:rPr>
      </w:pPr>
      <w:r>
        <w:rPr>
          <w:rFonts w:hint="eastAsia"/>
          <w:highlight w:val="none"/>
        </w:rPr>
        <w:t>（1）施工组织设计：见评标办法前附表；</w:t>
      </w:r>
    </w:p>
    <w:p>
      <w:pPr>
        <w:spacing w:line="360" w:lineRule="auto"/>
        <w:rPr>
          <w:highlight w:val="none"/>
        </w:rPr>
      </w:pPr>
      <w:r>
        <w:rPr>
          <w:rFonts w:hint="eastAsia"/>
          <w:highlight w:val="none"/>
        </w:rPr>
        <w:t>（2）主要人员：见评标办法前附表；</w:t>
      </w:r>
    </w:p>
    <w:p>
      <w:pPr>
        <w:spacing w:line="360" w:lineRule="auto"/>
        <w:rPr>
          <w:highlight w:val="none"/>
        </w:rPr>
      </w:pPr>
      <w:r>
        <w:rPr>
          <w:rFonts w:hint="eastAsia"/>
          <w:highlight w:val="none"/>
        </w:rPr>
        <w:t>（3）其他评分因素：见评标办法前附表。</w:t>
      </w:r>
    </w:p>
    <w:p>
      <w:pPr>
        <w:spacing w:line="360" w:lineRule="auto"/>
        <w:rPr>
          <w:highlight w:val="none"/>
        </w:rPr>
      </w:pPr>
      <w:r>
        <w:rPr>
          <w:rFonts w:hint="eastAsia"/>
          <w:highlight w:val="none"/>
        </w:rPr>
        <w:t>2.2.2第一个信封评分标准</w:t>
      </w:r>
    </w:p>
    <w:p>
      <w:pPr>
        <w:spacing w:line="360" w:lineRule="auto"/>
        <w:rPr>
          <w:highlight w:val="none"/>
        </w:rPr>
      </w:pPr>
      <w:r>
        <w:rPr>
          <w:rFonts w:hint="eastAsia"/>
          <w:highlight w:val="none"/>
        </w:rPr>
        <w:t>（1）施工组织设计评分标准：见评标办法前附表；</w:t>
      </w:r>
    </w:p>
    <w:p>
      <w:pPr>
        <w:spacing w:line="360" w:lineRule="auto"/>
        <w:rPr>
          <w:highlight w:val="none"/>
        </w:rPr>
      </w:pPr>
      <w:r>
        <w:rPr>
          <w:rFonts w:hint="eastAsia"/>
          <w:highlight w:val="none"/>
        </w:rPr>
        <w:t>（2）主要人员评分标准：见评标办法前附表；</w:t>
      </w:r>
    </w:p>
    <w:p>
      <w:pPr>
        <w:spacing w:line="360" w:lineRule="auto"/>
        <w:rPr>
          <w:highlight w:val="none"/>
        </w:rPr>
      </w:pPr>
      <w:r>
        <w:rPr>
          <w:rFonts w:hint="eastAsia"/>
          <w:highlight w:val="none"/>
        </w:rPr>
        <w:t>（3）其他因素评分标准：见评标办法前附表。</w:t>
      </w:r>
    </w:p>
    <w:p>
      <w:pPr>
        <w:spacing w:line="360" w:lineRule="auto"/>
        <w:rPr>
          <w:highlight w:val="none"/>
        </w:rPr>
      </w:pPr>
      <w:r>
        <w:rPr>
          <w:rFonts w:hint="eastAsia"/>
          <w:highlight w:val="none"/>
        </w:rPr>
        <w:t>2.2.3第二个信封详细评审标准：见评标办法前附表。</w:t>
      </w:r>
    </w:p>
    <w:p>
      <w:pPr>
        <w:rPr>
          <w:b/>
          <w:highlight w:val="none"/>
        </w:rPr>
      </w:pPr>
      <w:r>
        <w:rPr>
          <w:b/>
          <w:highlight w:val="none"/>
        </w:rPr>
        <w:t>3. 评标程序</w:t>
      </w:r>
      <w:bookmarkEnd w:id="39"/>
    </w:p>
    <w:p>
      <w:pPr>
        <w:spacing w:line="360" w:lineRule="auto"/>
        <w:rPr>
          <w:highlight w:val="none"/>
        </w:rPr>
      </w:pPr>
      <w:bookmarkStart w:id="40" w:name="_Toc35268511"/>
      <w:r>
        <w:rPr>
          <w:highlight w:val="none"/>
        </w:rPr>
        <w:t xml:space="preserve">3.1 </w:t>
      </w:r>
      <w:r>
        <w:rPr>
          <w:rFonts w:hint="eastAsia"/>
          <w:highlight w:val="none"/>
        </w:rPr>
        <w:t>第一个信封</w:t>
      </w:r>
      <w:r>
        <w:rPr>
          <w:highlight w:val="none"/>
        </w:rPr>
        <w:t>初步评审</w:t>
      </w:r>
      <w:bookmarkEnd w:id="40"/>
    </w:p>
    <w:p>
      <w:pPr>
        <w:spacing w:line="360" w:lineRule="auto"/>
        <w:rPr>
          <w:highlight w:val="none"/>
        </w:rPr>
      </w:pPr>
      <w:bookmarkStart w:id="41" w:name="_Toc35268512"/>
      <w:r>
        <w:rPr>
          <w:rFonts w:hint="eastAsia"/>
          <w:highlight w:val="none"/>
        </w:rPr>
        <w:t>3.1.1 评标委员会可以要求投标人提交第二章“投标人须知”第3.5.1项至第3.5.6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spacing w:line="360" w:lineRule="auto"/>
        <w:rPr>
          <w:highlight w:val="none"/>
        </w:rPr>
      </w:pPr>
      <w:r>
        <w:rPr>
          <w:rFonts w:hint="eastAsia"/>
          <w:highlight w:val="none"/>
        </w:rPr>
        <w:t>3.1.1 评标委员会依据本章第2.1.1项、第2.1.3项规定的评审标准对投标文件第一个信封（商务及技术文件）进行初步评审。有一项不符合评审标准的，评标委员会应否决其投标。当投标人资格预审申请文件的内容发生重大变化时，评标委员会依据本章第2.1.2项规定的标准对其更新资料进行评审。（适用于已进行资格预审的）</w:t>
      </w:r>
    </w:p>
    <w:p>
      <w:pPr>
        <w:spacing w:line="360" w:lineRule="auto"/>
        <w:rPr>
          <w:highlight w:val="none"/>
        </w:rPr>
      </w:pPr>
      <w:r>
        <w:rPr>
          <w:highlight w:val="none"/>
        </w:rPr>
        <w:t>3.</w:t>
      </w:r>
      <w:r>
        <w:rPr>
          <w:rFonts w:hint="eastAsia"/>
          <w:highlight w:val="none"/>
        </w:rPr>
        <w:t>2</w:t>
      </w:r>
      <w:r>
        <w:rPr>
          <w:highlight w:val="none"/>
        </w:rPr>
        <w:t xml:space="preserve"> </w:t>
      </w:r>
      <w:r>
        <w:rPr>
          <w:rFonts w:hint="eastAsia"/>
          <w:highlight w:val="none"/>
        </w:rPr>
        <w:t>第一个信封详细评审</w:t>
      </w:r>
      <w:bookmarkEnd w:id="41"/>
    </w:p>
    <w:p>
      <w:pPr>
        <w:spacing w:line="360" w:lineRule="auto"/>
        <w:rPr>
          <w:highlight w:val="none"/>
        </w:rPr>
      </w:pPr>
      <w:bookmarkStart w:id="42" w:name="_Toc35268513"/>
      <w:r>
        <w:rPr>
          <w:rFonts w:hint="eastAsia"/>
          <w:highlight w:val="none"/>
        </w:rPr>
        <w:t>3.2.1评标委员会按本章第2.2款规定的量化因素和分值进行打分，并计算出各投标人的商务和技术得分。</w:t>
      </w:r>
    </w:p>
    <w:p>
      <w:pPr>
        <w:spacing w:line="360" w:lineRule="auto"/>
        <w:rPr>
          <w:highlight w:val="none"/>
        </w:rPr>
      </w:pPr>
      <w:r>
        <w:rPr>
          <w:rFonts w:hint="eastAsia"/>
          <w:highlight w:val="none"/>
        </w:rPr>
        <w:t>（1）按本章第2.2.2（1）目规定的评审因素和分值对施工组织设计部分计算出得分A；</w:t>
      </w:r>
    </w:p>
    <w:p>
      <w:pPr>
        <w:spacing w:line="360" w:lineRule="auto"/>
        <w:rPr>
          <w:highlight w:val="none"/>
        </w:rPr>
      </w:pPr>
      <w:r>
        <w:rPr>
          <w:rFonts w:hint="eastAsia"/>
          <w:highlight w:val="none"/>
        </w:rPr>
        <w:t>（2）按本章第2.2.2（2）目规定的评审因素和分值对主要人员部分计算出得分B；</w:t>
      </w:r>
    </w:p>
    <w:p>
      <w:pPr>
        <w:spacing w:line="360" w:lineRule="auto"/>
        <w:rPr>
          <w:highlight w:val="none"/>
        </w:rPr>
      </w:pPr>
      <w:r>
        <w:rPr>
          <w:rFonts w:hint="eastAsia"/>
          <w:highlight w:val="none"/>
        </w:rPr>
        <w:t>（3）按本章第2.2.2（3）目规定的评审因素和分值对其他部分计算出得分C。</w:t>
      </w:r>
    </w:p>
    <w:p>
      <w:pPr>
        <w:spacing w:line="360" w:lineRule="auto"/>
        <w:rPr>
          <w:highlight w:val="none"/>
        </w:rPr>
      </w:pPr>
      <w:r>
        <w:rPr>
          <w:rFonts w:hint="eastAsia"/>
          <w:highlight w:val="none"/>
        </w:rPr>
        <w:t>3.2.2投标人的商务和技术得分分值计算保留小数点后两位，小数点后第三位“四舍五入”。</w:t>
      </w:r>
    </w:p>
    <w:p>
      <w:pPr>
        <w:spacing w:line="360" w:lineRule="auto"/>
        <w:rPr>
          <w:highlight w:val="none"/>
        </w:rPr>
      </w:pPr>
      <w:r>
        <w:rPr>
          <w:rFonts w:hint="eastAsia"/>
          <w:highlight w:val="none"/>
        </w:rPr>
        <w:t>3.2.3投标人的商务和技术得分=A+B+C。</w:t>
      </w:r>
    </w:p>
    <w:p>
      <w:pPr>
        <w:spacing w:line="360" w:lineRule="auto"/>
        <w:rPr>
          <w:highlight w:val="none"/>
        </w:rPr>
      </w:pPr>
      <w:r>
        <w:rPr>
          <w:rFonts w:hint="eastAsia"/>
          <w:highlight w:val="none"/>
        </w:rPr>
        <w:t>3.2.4评标委员会按照投标人的商务和技术得分由高到低排序，排名在评标办法前附表规定数量以内的投标人，其投标文件第一个信封（商务及技术文件）通过详细评审。</w:t>
      </w:r>
    </w:p>
    <w:p>
      <w:pPr>
        <w:spacing w:line="360" w:lineRule="auto"/>
        <w:rPr>
          <w:highlight w:val="none"/>
        </w:rPr>
      </w:pPr>
      <w:r>
        <w:rPr>
          <w:rFonts w:hint="eastAsia"/>
          <w:highlight w:val="none"/>
        </w:rPr>
        <w:t>3.2.5通过投标文件第一个信封（商务及技术文件）初步评审的投标人不少于3个且未超过评标办法前附表第3.2.4项规定数量的，均通过投标文件第一个信封（商务及技术文件）详细评审，不再对投标人的商务和技术文件进行评分。</w:t>
      </w:r>
    </w:p>
    <w:p>
      <w:pPr>
        <w:spacing w:line="360" w:lineRule="auto"/>
        <w:rPr>
          <w:highlight w:val="none"/>
        </w:rPr>
      </w:pPr>
      <w:r>
        <w:rPr>
          <w:highlight w:val="none"/>
        </w:rPr>
        <w:t>3.</w:t>
      </w:r>
      <w:r>
        <w:rPr>
          <w:rFonts w:hint="eastAsia"/>
          <w:highlight w:val="none"/>
        </w:rPr>
        <w:t>3</w:t>
      </w:r>
      <w:r>
        <w:rPr>
          <w:highlight w:val="none"/>
        </w:rPr>
        <w:t xml:space="preserve"> </w:t>
      </w:r>
      <w:r>
        <w:rPr>
          <w:rFonts w:hint="eastAsia"/>
          <w:highlight w:val="none"/>
        </w:rPr>
        <w:t>第二个信封开标</w:t>
      </w:r>
      <w:bookmarkEnd w:id="42"/>
    </w:p>
    <w:p>
      <w:pPr>
        <w:spacing w:line="360" w:lineRule="auto"/>
        <w:rPr>
          <w:highlight w:val="none"/>
        </w:rPr>
      </w:pPr>
      <w:bookmarkStart w:id="43" w:name="_Toc35268514"/>
      <w:r>
        <w:rPr>
          <w:rFonts w:hint="eastAsia"/>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spacing w:line="360" w:lineRule="auto"/>
        <w:rPr>
          <w:highlight w:val="none"/>
        </w:rPr>
      </w:pPr>
      <w:r>
        <w:rPr>
          <w:highlight w:val="none"/>
        </w:rPr>
        <w:t>3.</w:t>
      </w:r>
      <w:r>
        <w:rPr>
          <w:rFonts w:hint="eastAsia"/>
          <w:highlight w:val="none"/>
        </w:rPr>
        <w:t>4</w:t>
      </w:r>
      <w:r>
        <w:rPr>
          <w:highlight w:val="none"/>
        </w:rPr>
        <w:t xml:space="preserve"> </w:t>
      </w:r>
      <w:r>
        <w:rPr>
          <w:rFonts w:hint="eastAsia"/>
          <w:highlight w:val="none"/>
        </w:rPr>
        <w:t>第二个信封</w:t>
      </w:r>
      <w:r>
        <w:rPr>
          <w:highlight w:val="none"/>
        </w:rPr>
        <w:t>初步评审</w:t>
      </w:r>
      <w:bookmarkEnd w:id="43"/>
    </w:p>
    <w:p>
      <w:pPr>
        <w:spacing w:line="360" w:lineRule="auto"/>
        <w:rPr>
          <w:highlight w:val="none"/>
        </w:rPr>
      </w:pPr>
      <w:bookmarkStart w:id="44" w:name="_Toc35268515"/>
      <w:r>
        <w:rPr>
          <w:rFonts w:hint="eastAsia"/>
          <w:highlight w:val="none"/>
        </w:rPr>
        <w:t>3.4.1 评标委员会依据本章第2.1.1项、第2.1.3项规定的评审标准对投标文件第二个信封（报价文件）进行初步评审。有一项不符合评审标准的，评标委员会应否决其投标。</w:t>
      </w:r>
    </w:p>
    <w:p>
      <w:pPr>
        <w:spacing w:line="360" w:lineRule="auto"/>
        <w:rPr>
          <w:highlight w:val="none"/>
        </w:rPr>
      </w:pPr>
      <w:r>
        <w:rPr>
          <w:rFonts w:hint="eastAsia"/>
          <w:highlight w:val="none"/>
        </w:rPr>
        <w:t>3.4.2</w:t>
      </w:r>
      <w:r>
        <w:rPr>
          <w:rFonts w:hint="eastAsia"/>
          <w:highlight w:val="none"/>
        </w:rPr>
        <w:footnoteReference w:id="1"/>
      </w:r>
      <w:r>
        <w:rPr>
          <w:rFonts w:hint="eastAsia"/>
          <w:highlight w:val="none"/>
        </w:rPr>
        <w:t xml:space="preserve"> 投标报价有算术错误的，评标委员会按以下原则对投标报价进行修正，修正的价格经投标人书面确认后具有约束力。投标人不接受修正价格的，评标委员会应否决其投标。</w:t>
      </w:r>
    </w:p>
    <w:p>
      <w:pPr>
        <w:spacing w:line="360" w:lineRule="auto"/>
        <w:rPr>
          <w:highlight w:val="none"/>
        </w:rPr>
      </w:pPr>
      <w:r>
        <w:rPr>
          <w:rFonts w:hint="eastAsia"/>
          <w:highlight w:val="none"/>
        </w:rPr>
        <w:t>（1）投标文件中的大写金额与小写金额不一致的，以大写金额为准；</w:t>
      </w:r>
    </w:p>
    <w:p>
      <w:pPr>
        <w:spacing w:line="360" w:lineRule="auto"/>
        <w:rPr>
          <w:highlight w:val="none"/>
        </w:rPr>
      </w:pPr>
      <w:r>
        <w:rPr>
          <w:rFonts w:hint="eastAsia"/>
          <w:highlight w:val="none"/>
        </w:rPr>
        <w:t>（2）总价金额与依据单价计算出的结果不一致的，以单价金额为准修正总价，但单价金额小数点有明显错误的除外；</w:t>
      </w:r>
    </w:p>
    <w:p>
      <w:pPr>
        <w:spacing w:line="360" w:lineRule="auto"/>
        <w:rPr>
          <w:highlight w:val="none"/>
        </w:rPr>
      </w:pPr>
      <w:r>
        <w:rPr>
          <w:rFonts w:hint="eastAsia"/>
          <w:highlight w:val="none"/>
        </w:rPr>
        <w:t>（3）当单价与数量相乘不等于合价时，以单价计算为准，如果单价有明显的小数点位置差错，应以标出的合价为准，同时对单价予以修正；</w:t>
      </w:r>
    </w:p>
    <w:p>
      <w:pPr>
        <w:spacing w:line="360" w:lineRule="auto"/>
        <w:rPr>
          <w:highlight w:val="none"/>
        </w:rPr>
      </w:pPr>
      <w:r>
        <w:rPr>
          <w:rFonts w:hint="eastAsia"/>
          <w:highlight w:val="none"/>
        </w:rPr>
        <w:t>（4）当各子目的合价累计不等于总价时，应以各子目合价累计数为准，修正总价。</w:t>
      </w:r>
    </w:p>
    <w:p>
      <w:pPr>
        <w:spacing w:line="360" w:lineRule="auto"/>
        <w:rPr>
          <w:highlight w:val="none"/>
        </w:rPr>
      </w:pPr>
      <w:r>
        <w:rPr>
          <w:rFonts w:hint="eastAsia"/>
          <w:highlight w:val="none"/>
        </w:rPr>
        <w:t>3.4.3 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rPr>
          <w:highlight w:val="none"/>
        </w:rPr>
      </w:pPr>
      <w:r>
        <w:rPr>
          <w:rFonts w:hint="eastAsia"/>
          <w:highlight w:val="none"/>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rPr>
          <w:highlight w:val="none"/>
        </w:rPr>
      </w:pPr>
      <w:r>
        <w:rPr>
          <w:rFonts w:hint="eastAsia"/>
          <w:highlight w:val="none"/>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rPr>
          <w:highlight w:val="none"/>
        </w:rPr>
      </w:pPr>
      <w:r>
        <w:rPr>
          <w:rFonts w:hint="eastAsia"/>
          <w:highlight w:val="none"/>
        </w:rPr>
        <w:t>（3）当单价与数量的乘积与合价（金额）虽然一致，但投标人修改了该子目的工程数量，则其合价按招标人给定的工程数量乘以投标人所报单价予以修正。</w:t>
      </w:r>
    </w:p>
    <w:p>
      <w:pPr>
        <w:spacing w:line="360" w:lineRule="auto"/>
        <w:rPr>
          <w:highlight w:val="none"/>
        </w:rPr>
      </w:pPr>
      <w:r>
        <w:rPr>
          <w:rFonts w:hint="eastAsia"/>
          <w:highlight w:val="none"/>
        </w:rPr>
        <w:t>3.4.4 修正后的最终投标报价若超过最高投标限价（如有），评标委员会应否决其投标。</w:t>
      </w:r>
    </w:p>
    <w:p>
      <w:pPr>
        <w:spacing w:line="360" w:lineRule="auto"/>
        <w:rPr>
          <w:highlight w:val="none"/>
        </w:rPr>
      </w:pPr>
      <w:r>
        <w:rPr>
          <w:highlight w:val="none"/>
        </w:rPr>
        <w:t>3.</w:t>
      </w:r>
      <w:r>
        <w:rPr>
          <w:rFonts w:hint="eastAsia"/>
          <w:highlight w:val="none"/>
        </w:rPr>
        <w:t>5</w:t>
      </w:r>
      <w:r>
        <w:rPr>
          <w:highlight w:val="none"/>
        </w:rPr>
        <w:t xml:space="preserve">  </w:t>
      </w:r>
      <w:r>
        <w:rPr>
          <w:rFonts w:hint="eastAsia"/>
          <w:highlight w:val="none"/>
        </w:rPr>
        <w:t>第二个信封</w:t>
      </w:r>
      <w:r>
        <w:rPr>
          <w:highlight w:val="none"/>
        </w:rPr>
        <w:t>详细评审</w:t>
      </w:r>
      <w:bookmarkEnd w:id="44"/>
    </w:p>
    <w:p>
      <w:pPr>
        <w:spacing w:line="360" w:lineRule="auto"/>
        <w:rPr>
          <w:highlight w:val="none"/>
        </w:rPr>
      </w:pPr>
      <w:r>
        <w:rPr>
          <w:rFonts w:hint="eastAsia"/>
          <w:highlight w:val="none"/>
        </w:rPr>
        <w:t>3.5.1 评标委员会按本章第2.2款规定的量化因素和标准进行价格折算，计算出评标价，并编制价格比较一览表。</w:t>
      </w:r>
    </w:p>
    <w:p>
      <w:pPr>
        <w:spacing w:line="360" w:lineRule="auto"/>
        <w:rPr>
          <w:highlight w:val="none"/>
        </w:rPr>
      </w:pPr>
      <w:r>
        <w:rPr>
          <w:rFonts w:hint="eastAsia"/>
          <w:highlight w:val="none"/>
        </w:rPr>
        <w:t>3.5.2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spacing w:line="360" w:lineRule="auto"/>
        <w:rPr>
          <w:highlight w:val="none"/>
        </w:rPr>
      </w:pPr>
      <w:bookmarkStart w:id="45" w:name="_Toc35268516"/>
      <w:r>
        <w:rPr>
          <w:highlight w:val="none"/>
        </w:rPr>
        <w:t>3.</w:t>
      </w:r>
      <w:r>
        <w:rPr>
          <w:rFonts w:hint="eastAsia"/>
          <w:highlight w:val="none"/>
        </w:rPr>
        <w:t>6</w:t>
      </w:r>
      <w:r>
        <w:rPr>
          <w:highlight w:val="none"/>
        </w:rPr>
        <w:t xml:space="preserve">  投标文件</w:t>
      </w:r>
      <w:r>
        <w:rPr>
          <w:rFonts w:hint="eastAsia"/>
          <w:highlight w:val="none"/>
        </w:rPr>
        <w:t>相关信息的核查</w:t>
      </w:r>
      <w:bookmarkEnd w:id="45"/>
    </w:p>
    <w:p>
      <w:pPr>
        <w:spacing w:line="360" w:lineRule="auto"/>
        <w:rPr>
          <w:highlight w:val="none"/>
        </w:rPr>
      </w:pPr>
      <w:bookmarkStart w:id="46" w:name="_Toc35268517"/>
      <w:r>
        <w:rPr>
          <w:rFonts w:hint="eastAsia"/>
          <w:highlight w:val="none"/>
        </w:rPr>
        <w:t>3.6.1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360" w:lineRule="auto"/>
        <w:rPr>
          <w:highlight w:val="none"/>
        </w:rPr>
      </w:pPr>
      <w:r>
        <w:rPr>
          <w:rFonts w:hint="eastAsia"/>
          <w:highlight w:val="none"/>
        </w:rPr>
        <w:t>3.6.2评标委员会应对在评标过程中发现的投标人与投标人之间、投标人与招标人之间存在的串通投标的情形进行评审和认定。投标人存在串通投标、弄虚作假、行贿等违法行为的，评标委员会应否决其投标。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rPr>
          <w:highlight w:val="none"/>
        </w:rPr>
      </w:pPr>
      <w:r>
        <w:rPr>
          <w:rFonts w:hint="eastAsia"/>
          <w:highlight w:val="none"/>
        </w:rPr>
        <w:t>（1）有下列情形之一的，属于投标人相互串通投标：</w:t>
      </w:r>
    </w:p>
    <w:p>
      <w:pPr>
        <w:spacing w:line="360" w:lineRule="auto"/>
        <w:rPr>
          <w:highlight w:val="none"/>
        </w:rPr>
      </w:pPr>
      <w:r>
        <w:rPr>
          <w:rFonts w:hint="eastAsia"/>
          <w:highlight w:val="none"/>
        </w:rPr>
        <w:t>a.投标人之间协商投标报价等投标文件的实质性内容；</w:t>
      </w:r>
    </w:p>
    <w:p>
      <w:pPr>
        <w:spacing w:line="360" w:lineRule="auto"/>
        <w:rPr>
          <w:highlight w:val="none"/>
        </w:rPr>
      </w:pPr>
      <w:r>
        <w:rPr>
          <w:rFonts w:hint="eastAsia"/>
          <w:highlight w:val="none"/>
        </w:rPr>
        <w:t>b.投标人之间约定中标人；</w:t>
      </w:r>
    </w:p>
    <w:p>
      <w:pPr>
        <w:spacing w:line="360" w:lineRule="auto"/>
        <w:rPr>
          <w:highlight w:val="none"/>
        </w:rPr>
      </w:pPr>
      <w:r>
        <w:rPr>
          <w:rFonts w:hint="eastAsia"/>
          <w:highlight w:val="none"/>
        </w:rPr>
        <w:t>c.投标人之间约定部分投标人放弃投标或中标；</w:t>
      </w:r>
    </w:p>
    <w:p>
      <w:pPr>
        <w:spacing w:line="360" w:lineRule="auto"/>
        <w:rPr>
          <w:highlight w:val="none"/>
        </w:rPr>
      </w:pPr>
      <w:r>
        <w:rPr>
          <w:rFonts w:hint="eastAsia"/>
          <w:highlight w:val="none"/>
        </w:rPr>
        <w:t>d.属于同一集团、协会、商会等组织成员的投标人按照该组织要求协同投标；</w:t>
      </w:r>
    </w:p>
    <w:p>
      <w:pPr>
        <w:spacing w:line="360" w:lineRule="auto"/>
        <w:rPr>
          <w:highlight w:val="none"/>
        </w:rPr>
      </w:pPr>
      <w:r>
        <w:rPr>
          <w:rFonts w:hint="eastAsia"/>
          <w:highlight w:val="none"/>
        </w:rPr>
        <w:t>e.投标人之间为谋取中标或者排斥特定投标人而采取的其他联合行动。</w:t>
      </w:r>
    </w:p>
    <w:p>
      <w:pPr>
        <w:spacing w:line="360" w:lineRule="auto"/>
        <w:rPr>
          <w:highlight w:val="none"/>
        </w:rPr>
      </w:pPr>
      <w:r>
        <w:rPr>
          <w:rFonts w:hint="eastAsia"/>
          <w:highlight w:val="none"/>
        </w:rPr>
        <w:t>（2）有下列情形之一的，视为投标人相互串通投标：</w:t>
      </w:r>
    </w:p>
    <w:p>
      <w:pPr>
        <w:spacing w:line="360" w:lineRule="auto"/>
        <w:rPr>
          <w:highlight w:val="none"/>
        </w:rPr>
      </w:pPr>
      <w:r>
        <w:rPr>
          <w:rFonts w:hint="eastAsia"/>
          <w:highlight w:val="none"/>
        </w:rPr>
        <w:t>a.不同投标人的投标文件由同一单位或者个人编制；</w:t>
      </w:r>
    </w:p>
    <w:p>
      <w:pPr>
        <w:spacing w:line="360" w:lineRule="auto"/>
        <w:rPr>
          <w:highlight w:val="none"/>
        </w:rPr>
      </w:pPr>
      <w:r>
        <w:rPr>
          <w:rFonts w:hint="eastAsia"/>
          <w:highlight w:val="none"/>
        </w:rPr>
        <w:t>b.不同投标人委托同一单位或个人办理投标事宜；</w:t>
      </w:r>
    </w:p>
    <w:p>
      <w:pPr>
        <w:spacing w:line="360" w:lineRule="auto"/>
        <w:rPr>
          <w:highlight w:val="none"/>
        </w:rPr>
      </w:pPr>
      <w:r>
        <w:rPr>
          <w:rFonts w:hint="eastAsia"/>
          <w:highlight w:val="none"/>
        </w:rPr>
        <w:t>c.不同投标人的投标文件载明的项目管理成员为同一人；</w:t>
      </w:r>
    </w:p>
    <w:p>
      <w:pPr>
        <w:spacing w:line="360" w:lineRule="auto"/>
        <w:rPr>
          <w:highlight w:val="none"/>
        </w:rPr>
      </w:pPr>
      <w:r>
        <w:rPr>
          <w:rFonts w:hint="eastAsia"/>
          <w:highlight w:val="none"/>
        </w:rPr>
        <w:t>d.不同投标人的投标文件异常一致或者投标报价呈规律性差异；</w:t>
      </w:r>
    </w:p>
    <w:p>
      <w:pPr>
        <w:spacing w:line="360" w:lineRule="auto"/>
        <w:rPr>
          <w:highlight w:val="none"/>
        </w:rPr>
      </w:pPr>
      <w:r>
        <w:rPr>
          <w:rFonts w:hint="eastAsia"/>
          <w:highlight w:val="none"/>
        </w:rPr>
        <w:t>e.不同投标人的投标文件相互混装；</w:t>
      </w:r>
    </w:p>
    <w:p>
      <w:pPr>
        <w:spacing w:line="360" w:lineRule="auto"/>
        <w:rPr>
          <w:highlight w:val="none"/>
        </w:rPr>
      </w:pPr>
      <w:r>
        <w:rPr>
          <w:rFonts w:hint="eastAsia"/>
          <w:highlight w:val="none"/>
        </w:rPr>
        <w:t>f.不同投标人的投标保证金从同一单位或个人的账户转出。</w:t>
      </w:r>
    </w:p>
    <w:p>
      <w:pPr>
        <w:spacing w:line="360" w:lineRule="auto"/>
        <w:rPr>
          <w:highlight w:val="none"/>
        </w:rPr>
      </w:pPr>
      <w:r>
        <w:rPr>
          <w:rFonts w:hint="eastAsia"/>
          <w:highlight w:val="none"/>
        </w:rPr>
        <w:t>（3）有下列情形之一的，属于招标人与投标人串通投标：</w:t>
      </w:r>
    </w:p>
    <w:p>
      <w:pPr>
        <w:spacing w:line="360" w:lineRule="auto"/>
        <w:rPr>
          <w:highlight w:val="none"/>
        </w:rPr>
      </w:pPr>
      <w:r>
        <w:rPr>
          <w:rFonts w:hint="eastAsia"/>
          <w:highlight w:val="none"/>
        </w:rPr>
        <w:t>a.招标人在开标前开启投标文件并将有关信息泄露给其他投标人；</w:t>
      </w:r>
    </w:p>
    <w:p>
      <w:pPr>
        <w:spacing w:line="360" w:lineRule="auto"/>
        <w:rPr>
          <w:highlight w:val="none"/>
        </w:rPr>
      </w:pPr>
      <w:r>
        <w:rPr>
          <w:rFonts w:hint="eastAsia"/>
          <w:highlight w:val="none"/>
        </w:rPr>
        <w:t>b.招标人直接或间接向投标人泄露标底、评标委员会成员等信息；</w:t>
      </w:r>
    </w:p>
    <w:p>
      <w:pPr>
        <w:spacing w:line="360" w:lineRule="auto"/>
        <w:rPr>
          <w:highlight w:val="none"/>
        </w:rPr>
      </w:pPr>
      <w:r>
        <w:rPr>
          <w:rFonts w:hint="eastAsia"/>
          <w:highlight w:val="none"/>
        </w:rPr>
        <w:t>c.招标人明示或暗示投标人压低或抬高投标报价；</w:t>
      </w:r>
    </w:p>
    <w:p>
      <w:pPr>
        <w:spacing w:line="360" w:lineRule="auto"/>
        <w:rPr>
          <w:highlight w:val="none"/>
        </w:rPr>
      </w:pPr>
      <w:r>
        <w:rPr>
          <w:rFonts w:hint="eastAsia"/>
          <w:highlight w:val="none"/>
        </w:rPr>
        <w:t>d.招标人授意投标人撤换、修改投标文件；</w:t>
      </w:r>
    </w:p>
    <w:p>
      <w:pPr>
        <w:spacing w:line="360" w:lineRule="auto"/>
        <w:rPr>
          <w:highlight w:val="none"/>
        </w:rPr>
      </w:pPr>
      <w:r>
        <w:rPr>
          <w:rFonts w:hint="eastAsia"/>
          <w:highlight w:val="none"/>
        </w:rPr>
        <w:t>e.招标人明示或暗示投标人为特定投标人中标提供方便；</w:t>
      </w:r>
    </w:p>
    <w:p>
      <w:pPr>
        <w:spacing w:line="360" w:lineRule="auto"/>
        <w:rPr>
          <w:highlight w:val="none"/>
        </w:rPr>
      </w:pPr>
      <w:r>
        <w:rPr>
          <w:rFonts w:hint="eastAsia"/>
          <w:highlight w:val="none"/>
        </w:rPr>
        <w:t>f.招标人与投标人为谋求特定投标人中标而采取的其他串通行为。</w:t>
      </w:r>
    </w:p>
    <w:p>
      <w:pPr>
        <w:spacing w:line="360" w:lineRule="auto"/>
        <w:rPr>
          <w:highlight w:val="none"/>
        </w:rPr>
      </w:pPr>
      <w:r>
        <w:rPr>
          <w:rFonts w:hint="eastAsia"/>
          <w:highlight w:val="none"/>
        </w:rPr>
        <w:t>（4）投标人有下列情形之一的，属于弄虚作假的行为：</w:t>
      </w:r>
    </w:p>
    <w:p>
      <w:pPr>
        <w:spacing w:line="360" w:lineRule="auto"/>
        <w:rPr>
          <w:highlight w:val="none"/>
        </w:rPr>
      </w:pPr>
      <w:r>
        <w:rPr>
          <w:rFonts w:hint="eastAsia"/>
          <w:highlight w:val="none"/>
        </w:rPr>
        <w:t>a.使用通过受让或租借等方式获取的资格、资质证书投标；</w:t>
      </w:r>
    </w:p>
    <w:p>
      <w:pPr>
        <w:spacing w:line="360" w:lineRule="auto"/>
        <w:rPr>
          <w:highlight w:val="none"/>
        </w:rPr>
      </w:pPr>
      <w:r>
        <w:rPr>
          <w:rFonts w:hint="eastAsia"/>
          <w:highlight w:val="none"/>
        </w:rPr>
        <w:t>b.使用伪造、变造的许可证件；</w:t>
      </w:r>
    </w:p>
    <w:p>
      <w:pPr>
        <w:spacing w:line="360" w:lineRule="auto"/>
        <w:rPr>
          <w:highlight w:val="none"/>
        </w:rPr>
      </w:pPr>
      <w:r>
        <w:rPr>
          <w:rFonts w:hint="eastAsia"/>
          <w:highlight w:val="none"/>
        </w:rPr>
        <w:t>c.提供虚假的财务状况或业绩；</w:t>
      </w:r>
    </w:p>
    <w:p>
      <w:pPr>
        <w:spacing w:line="360" w:lineRule="auto"/>
        <w:rPr>
          <w:highlight w:val="none"/>
        </w:rPr>
      </w:pPr>
      <w:r>
        <w:rPr>
          <w:rFonts w:hint="eastAsia"/>
          <w:highlight w:val="none"/>
        </w:rPr>
        <w:t>d.提供虚假的项目负责人或主要技术人员简历、劳动关系证明；</w:t>
      </w:r>
    </w:p>
    <w:p>
      <w:pPr>
        <w:spacing w:line="360" w:lineRule="auto"/>
        <w:rPr>
          <w:highlight w:val="none"/>
        </w:rPr>
      </w:pPr>
      <w:r>
        <w:rPr>
          <w:rFonts w:hint="eastAsia"/>
          <w:highlight w:val="none"/>
        </w:rPr>
        <w:t>e.提供虚假的信用状况；</w:t>
      </w:r>
    </w:p>
    <w:p>
      <w:pPr>
        <w:spacing w:line="360" w:lineRule="auto"/>
        <w:rPr>
          <w:highlight w:val="none"/>
        </w:rPr>
      </w:pPr>
      <w:r>
        <w:rPr>
          <w:rFonts w:hint="eastAsia"/>
          <w:highlight w:val="none"/>
        </w:rPr>
        <w:t>f.其他弄虚作假的行为。</w:t>
      </w:r>
    </w:p>
    <w:p>
      <w:pPr>
        <w:spacing w:line="360" w:lineRule="auto"/>
        <w:rPr>
          <w:highlight w:val="none"/>
        </w:rPr>
      </w:pPr>
      <w:r>
        <w:rPr>
          <w:highlight w:val="none"/>
        </w:rPr>
        <w:t>3.</w:t>
      </w:r>
      <w:r>
        <w:rPr>
          <w:rFonts w:hint="eastAsia"/>
          <w:highlight w:val="none"/>
        </w:rPr>
        <w:t>7</w:t>
      </w:r>
      <w:r>
        <w:rPr>
          <w:highlight w:val="none"/>
        </w:rPr>
        <w:t xml:space="preserve">  投标文件的澄清和</w:t>
      </w:r>
      <w:r>
        <w:rPr>
          <w:rFonts w:hint="eastAsia"/>
          <w:highlight w:val="none"/>
        </w:rPr>
        <w:t>说明</w:t>
      </w:r>
      <w:bookmarkEnd w:id="46"/>
    </w:p>
    <w:p>
      <w:pPr>
        <w:spacing w:line="360" w:lineRule="auto"/>
        <w:rPr>
          <w:highlight w:val="none"/>
        </w:rPr>
      </w:pPr>
      <w:bookmarkStart w:id="47" w:name="_Toc35268518"/>
      <w:r>
        <w:rPr>
          <w:rFonts w:hint="eastAsia"/>
          <w:highlight w:val="none"/>
        </w:rPr>
        <w:t>3.7.1在评标过程中，评标委员会可以书面形式要求投标人对所提交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rPr>
          <w:highlight w:val="none"/>
        </w:rPr>
      </w:pPr>
      <w:r>
        <w:rPr>
          <w:rFonts w:hint="eastAsia"/>
          <w:highlight w:val="none"/>
        </w:rPr>
        <w:t>3.7.2 澄清和说明不得超出投标文件的范围或改变投标文件的实质性内容（算术性错误修正的除外）。投标人的书面澄清、说明属于投标文件的组成部分。</w:t>
      </w:r>
    </w:p>
    <w:p>
      <w:pPr>
        <w:spacing w:line="360" w:lineRule="auto"/>
        <w:rPr>
          <w:highlight w:val="none"/>
        </w:rPr>
      </w:pPr>
      <w:r>
        <w:rPr>
          <w:rFonts w:hint="eastAsia"/>
          <w:highlight w:val="none"/>
        </w:rPr>
        <w:t>3.7.3 评标委员会不得暗示或诱导投标人作出澄清、说明，对投标人提交的澄清、说明有疑问的，可以要求投标人进一步澄清或说明，直至满足评标委员会的要求。</w:t>
      </w:r>
    </w:p>
    <w:p>
      <w:pPr>
        <w:spacing w:line="360" w:lineRule="auto"/>
        <w:rPr>
          <w:highlight w:val="none"/>
        </w:rPr>
      </w:pPr>
      <w:r>
        <w:rPr>
          <w:rFonts w:hint="eastAsia"/>
          <w:highlight w:val="none"/>
        </w:rPr>
        <w:t>3.7.4 凡超出招标文件规定的或给发包人带来未曾要求的利益的变化、偏差或其他因素在评标时不予考虑。</w:t>
      </w:r>
    </w:p>
    <w:p>
      <w:pPr>
        <w:spacing w:line="360" w:lineRule="auto"/>
        <w:rPr>
          <w:highlight w:val="none"/>
        </w:rPr>
      </w:pPr>
      <w:r>
        <w:rPr>
          <w:highlight w:val="none"/>
        </w:rPr>
        <w:t>3.</w:t>
      </w:r>
      <w:r>
        <w:rPr>
          <w:rFonts w:hint="eastAsia"/>
          <w:highlight w:val="none"/>
        </w:rPr>
        <w:t>8</w:t>
      </w:r>
      <w:r>
        <w:rPr>
          <w:highlight w:val="none"/>
        </w:rPr>
        <w:t xml:space="preserve">  </w:t>
      </w:r>
      <w:r>
        <w:rPr>
          <w:rFonts w:hint="eastAsia"/>
          <w:highlight w:val="none"/>
        </w:rPr>
        <w:t>不得否决投标的情形</w:t>
      </w:r>
      <w:bookmarkEnd w:id="47"/>
    </w:p>
    <w:p>
      <w:pPr>
        <w:spacing w:line="360" w:lineRule="auto"/>
        <w:rPr>
          <w:highlight w:val="none"/>
        </w:rPr>
      </w:pPr>
      <w:bookmarkStart w:id="48" w:name="_Toc35268519"/>
      <w:r>
        <w:rPr>
          <w:rFonts w:hint="eastAsia"/>
          <w:highlight w:val="none"/>
        </w:rPr>
        <w:t>投标文件存在第二章“投标人须知”第1.12.3项所列情形的，均视为细微偏差，评标委员会不得否决投标人的投标，应按照第二章“投标人须知”第1.12.4项规定的原则处理。</w:t>
      </w:r>
    </w:p>
    <w:p>
      <w:pPr>
        <w:spacing w:line="360" w:lineRule="auto"/>
        <w:rPr>
          <w:highlight w:val="none"/>
        </w:rPr>
      </w:pPr>
      <w:r>
        <w:rPr>
          <w:highlight w:val="none"/>
        </w:rPr>
        <w:t>3.</w:t>
      </w:r>
      <w:r>
        <w:rPr>
          <w:rFonts w:hint="eastAsia"/>
          <w:highlight w:val="none"/>
        </w:rPr>
        <w:t>9</w:t>
      </w:r>
      <w:r>
        <w:rPr>
          <w:highlight w:val="none"/>
        </w:rPr>
        <w:t xml:space="preserve">  评标结果</w:t>
      </w:r>
      <w:bookmarkEnd w:id="48"/>
    </w:p>
    <w:p>
      <w:pPr>
        <w:spacing w:line="360" w:lineRule="auto"/>
        <w:rPr>
          <w:highlight w:val="none"/>
        </w:rPr>
      </w:pPr>
      <w:r>
        <w:rPr>
          <w:rFonts w:hint="eastAsia"/>
          <w:highlight w:val="none"/>
        </w:rPr>
        <w:t>3.9.1除第二章“投标人须知”前附表授权直接确定中标人外，评标委员会按照评标价由低到高的顺序推荐中标候选人，并标明排序。</w:t>
      </w:r>
    </w:p>
    <w:p>
      <w:pPr>
        <w:spacing w:line="360" w:lineRule="auto"/>
        <w:rPr>
          <w:highlight w:val="none"/>
        </w:rPr>
      </w:pPr>
      <w:r>
        <w:rPr>
          <w:rFonts w:hint="eastAsia"/>
          <w:highlight w:val="none"/>
        </w:rPr>
        <w:t>3.9.2 评标委员会完成评标后，应向招标人提交书面评标报告。</w:t>
      </w:r>
    </w:p>
    <w:p>
      <w:pPr>
        <w:spacing w:line="360" w:lineRule="auto"/>
        <w:rPr>
          <w:highlight w:val="none"/>
        </w:rPr>
      </w:pPr>
      <w:r>
        <w:rPr>
          <w:highlight w:val="none"/>
        </w:rPr>
        <w:br w:type="page"/>
      </w:r>
    </w:p>
    <w:p>
      <w:pPr>
        <w:spacing w:beforeLines="50" w:afterLines="50" w:line="400" w:lineRule="exact"/>
        <w:rPr>
          <w:rFonts w:hint="eastAsia" w:ascii="黑体" w:hAnsi="黑体" w:eastAsia="黑体" w:cs="Times New Roman"/>
          <w:b w:val="0"/>
          <w:bCs w:val="0"/>
          <w:color w:val="000000" w:themeColor="text1"/>
          <w:kern w:val="2"/>
          <w:sz w:val="24"/>
          <w:szCs w:val="24"/>
          <w:highlight w:val="none"/>
          <w:lang w:val="en-US" w:eastAsia="zh-CN" w:bidi="ar-SA"/>
        </w:rPr>
      </w:pPr>
      <w:r>
        <w:rPr>
          <w:rFonts w:hint="eastAsia" w:ascii="黑体" w:hAnsi="黑体" w:eastAsia="黑体" w:cs="Times New Roman"/>
          <w:b w:val="0"/>
          <w:bCs w:val="0"/>
          <w:color w:val="000000" w:themeColor="text1"/>
          <w:kern w:val="2"/>
          <w:sz w:val="24"/>
          <w:szCs w:val="24"/>
          <w:highlight w:val="none"/>
          <w:lang w:val="en-US" w:eastAsia="zh-CN" w:bidi="ar-SA"/>
        </w:rPr>
        <w:t>9．公开时间</w:t>
      </w:r>
    </w:p>
    <w:p>
      <w:pPr>
        <w:snapToGrid w:val="0"/>
        <w:spacing w:line="40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本次招标文件关键内容信息公开时间至2020年1</w:t>
      </w:r>
      <w:r>
        <w:rPr>
          <w:rFonts w:hint="eastAsia" w:asciiTheme="minorEastAsia" w:hAnsiTheme="minorEastAsia" w:eastAsiaTheme="minorEastAsia"/>
          <w:color w:val="000000" w:themeColor="text1"/>
          <w:szCs w:val="21"/>
          <w:lang w:val="en-US" w:eastAsia="zh-CN"/>
        </w:rPr>
        <w:t>2</w:t>
      </w:r>
      <w:r>
        <w:rPr>
          <w:rFonts w:hint="eastAsia" w:asciiTheme="minorEastAsia" w:hAnsiTheme="minorEastAsia" w:eastAsiaTheme="minorEastAsia"/>
          <w:color w:val="000000" w:themeColor="text1"/>
          <w:szCs w:val="21"/>
        </w:rPr>
        <w:t>月2</w:t>
      </w:r>
      <w:r>
        <w:rPr>
          <w:rFonts w:hint="eastAsia" w:asciiTheme="minorEastAsia" w:hAnsiTheme="minorEastAsia" w:eastAsiaTheme="minorEastAsia"/>
          <w:color w:val="000000" w:themeColor="text1"/>
          <w:szCs w:val="21"/>
          <w:lang w:val="en-US" w:eastAsia="zh-CN"/>
        </w:rPr>
        <w:t>7</w:t>
      </w:r>
      <w:r>
        <w:rPr>
          <w:rFonts w:hint="eastAsia" w:asciiTheme="minorEastAsia" w:hAnsiTheme="minorEastAsia" w:eastAsiaTheme="minorEastAsia"/>
          <w:color w:val="000000" w:themeColor="text1"/>
          <w:szCs w:val="21"/>
        </w:rPr>
        <w:t>日结束。</w:t>
      </w:r>
      <w:bookmarkStart w:id="49" w:name="_Toc455238563"/>
    </w:p>
    <w:p>
      <w:pPr>
        <w:spacing w:beforeLines="50" w:afterLines="50" w:line="400" w:lineRule="exact"/>
        <w:rPr>
          <w:rFonts w:hint="eastAsia" w:ascii="黑体" w:hAnsi="黑体" w:eastAsia="黑体" w:cs="Times New Roman"/>
          <w:b w:val="0"/>
          <w:bCs w:val="0"/>
          <w:color w:val="000000" w:themeColor="text1"/>
          <w:kern w:val="2"/>
          <w:sz w:val="24"/>
          <w:szCs w:val="24"/>
          <w:highlight w:val="none"/>
          <w:lang w:val="en-US" w:eastAsia="zh-CN" w:bidi="ar-SA"/>
        </w:rPr>
      </w:pPr>
      <w:r>
        <w:rPr>
          <w:rFonts w:hint="eastAsia" w:ascii="黑体" w:hAnsi="黑体" w:eastAsia="黑体" w:cs="Times New Roman"/>
          <w:b w:val="0"/>
          <w:bCs w:val="0"/>
          <w:color w:val="000000" w:themeColor="text1"/>
          <w:kern w:val="2"/>
          <w:sz w:val="24"/>
          <w:szCs w:val="24"/>
          <w:highlight w:val="none"/>
          <w:lang w:val="en-US" w:eastAsia="zh-CN" w:bidi="ar-SA"/>
        </w:rPr>
        <w:t>10．联系方式</w:t>
      </w:r>
      <w:bookmarkEnd w:id="49"/>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招标人：延边珲乌公路改建项目建设办公室</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地  址：吉林省延吉市公园路5568号</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邮政编码：133000</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联系人：程昭钦</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电  话：0433-3135706</w:t>
      </w:r>
    </w:p>
    <w:p>
      <w:pPr>
        <w:adjustRightInd w:val="0"/>
        <w:snapToGrid w:val="0"/>
        <w:spacing w:beforeLines="30" w:afterLines="30"/>
        <w:ind w:firstLine="420" w:firstLineChars="200"/>
        <w:rPr>
          <w:rFonts w:ascii="宋体" w:hAnsi="宋体"/>
          <w:color w:val="000000" w:themeColor="text1"/>
          <w:szCs w:val="21"/>
          <w:highlight w:val="none"/>
        </w:rPr>
      </w:pP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招标代理机构：吉林建宇工程咨询有限公司</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地  址：延吉市人民路2239-3001号</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邮政编码：133000</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联系人：焦艳</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电  话：0433-8316525</w:t>
      </w:r>
    </w:p>
    <w:p>
      <w:pPr>
        <w:adjustRightInd w:val="0"/>
        <w:snapToGrid w:val="0"/>
        <w:spacing w:beforeLines="30" w:afterLines="30"/>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电子邮箱：yjsjy8543@163.com</w:t>
      </w:r>
    </w:p>
    <w:p>
      <w:pPr>
        <w:spacing w:line="400" w:lineRule="exact"/>
        <w:ind w:firstLine="420" w:firstLineChars="200"/>
        <w:rPr>
          <w:rFonts w:ascii="宋体" w:hAnsi="宋体"/>
          <w:szCs w:val="21"/>
        </w:rPr>
      </w:pPr>
      <w:r>
        <w:rPr>
          <w:rFonts w:hint="eastAsia" w:ascii="宋体" w:hAnsi="宋体"/>
          <w:szCs w:val="21"/>
        </w:rPr>
        <w:t xml:space="preserve">                                      </w:t>
      </w:r>
    </w:p>
    <w:p>
      <w:pPr>
        <w:autoSpaceDE w:val="0"/>
        <w:autoSpaceDN w:val="0"/>
        <w:adjustRightInd w:val="0"/>
        <w:snapToGrid w:val="0"/>
        <w:spacing w:beforeLines="30" w:afterLines="30"/>
        <w:ind w:firstLine="210" w:firstLineChars="100"/>
        <w:jc w:val="right"/>
        <w:rPr>
          <w:rFonts w:ascii="宋体" w:hAnsi="宋体"/>
          <w:color w:val="000000" w:themeColor="text1"/>
          <w:szCs w:val="24"/>
          <w:highlight w:val="none"/>
        </w:rPr>
      </w:pPr>
      <w:r>
        <w:rPr>
          <w:rFonts w:hint="eastAsia" w:ascii="宋体" w:hAnsi="宋体"/>
          <w:color w:val="000000" w:themeColor="text1"/>
          <w:szCs w:val="24"/>
          <w:highlight w:val="none"/>
        </w:rPr>
        <w:t>2020年12月</w:t>
      </w:r>
      <w:r>
        <w:rPr>
          <w:rFonts w:hint="eastAsia" w:ascii="宋体" w:hAnsi="宋体"/>
          <w:color w:val="000000" w:themeColor="text1"/>
          <w:szCs w:val="24"/>
          <w:highlight w:val="none"/>
          <w:lang w:val="en-US" w:eastAsia="zh-CN"/>
        </w:rPr>
        <w:t>14</w:t>
      </w:r>
      <w:r>
        <w:rPr>
          <w:rFonts w:hint="eastAsia" w:ascii="宋体" w:hAnsi="宋体"/>
          <w:color w:val="000000" w:themeColor="text1"/>
          <w:szCs w:val="24"/>
          <w:highlight w:val="none"/>
        </w:rPr>
        <w:t>日</w:t>
      </w:r>
    </w:p>
    <w:p>
      <w:pPr>
        <w:widowControl/>
        <w:spacing w:line="480" w:lineRule="exact"/>
        <w:ind w:left="9316" w:hanging="9316" w:hangingChars="2900"/>
        <w:jc w:val="left"/>
        <w:rPr>
          <w:rFonts w:ascii="黑体" w:hAnsi="黑体" w:eastAsia="黑体"/>
          <w:b/>
          <w:color w:val="000000" w:themeColor="text1"/>
          <w:sz w:val="32"/>
          <w:szCs w:val="32"/>
        </w:rPr>
      </w:pPr>
    </w:p>
    <w:sectPr>
      <w:footnotePr>
        <w:numFmt w:val="decimalEnclosedCircleChinese"/>
        <w:numRestart w:val="eachPage"/>
      </w:footnotePr>
      <w:pgSz w:w="11900" w:h="16840"/>
      <w:pgMar w:top="1134" w:right="1134" w:bottom="1134" w:left="1134"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Sans Unicode">
    <w:panose1 w:val="020B0602030504020204"/>
    <w:charset w:val="00"/>
    <w:family w:val="swiss"/>
    <w:pitch w:val="default"/>
    <w:sig w:usb0="80001AFF" w:usb1="0000396B" w:usb2="00000000" w:usb3="00000000" w:csb0="200000BF" w:csb1="D7F70000"/>
  </w:font>
  <w:font w:name="Sylfaen">
    <w:panose1 w:val="010A0502050306030303"/>
    <w:charset w:val="00"/>
    <w:family w:val="roman"/>
    <w:pitch w:val="default"/>
    <w:sig w:usb0="04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PMingLiU">
    <w:altName w:val="Microsoft JhengHei UI"/>
    <w:panose1 w:val="02010601000101010101"/>
    <w:charset w:val="88"/>
    <w:family w:val="auto"/>
    <w:pitch w:val="default"/>
    <w:sig w:usb0="00000000" w:usb1="00000000" w:usb2="00000010" w:usb3="00000000" w:csb0="00100000" w:csb1="00000000"/>
  </w:font>
  <w:font w:name="MingLiU">
    <w:altName w:val="PMingLiU-ExtB"/>
    <w:panose1 w:val="02010609000101010101"/>
    <w:charset w:val="88"/>
    <w:family w:val="modern"/>
    <w:pitch w:val="default"/>
    <w:sig w:usb0="00000000" w:usb1="00000000" w:usb2="00000010" w:usb3="00000000" w:csb0="00100000" w:csb1="00000000"/>
  </w:font>
  <w:font w:name="CordiaUPC">
    <w:altName w:val="Microsoft Sans Serif"/>
    <w:panose1 w:val="00000000000000000000"/>
    <w:charset w:val="DE"/>
    <w:family w:val="swiss"/>
    <w:pitch w:val="default"/>
    <w:sig w:usb0="00000000" w:usb1="00000000" w:usb2="00000000" w:usb3="00000000" w:csb0="00010001" w:csb1="0000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00" w:usb3="00000000" w:csb0="00040001" w:csb1="00000000"/>
  </w:font>
  <w:font w:name="David">
    <w:altName w:val="Arial"/>
    <w:panose1 w:val="00000000000000000000"/>
    <w:charset w:val="B1"/>
    <w:family w:val="swiss"/>
    <w:pitch w:val="default"/>
    <w:sig w:usb0="00000000" w:usb1="00000000" w:usb2="00000000" w:usb3="00000000" w:csb0="00000021"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方正超粗黑简体">
    <w:altName w:val="黑体"/>
    <w:panose1 w:val="00000000000000000000"/>
    <w:charset w:val="86"/>
    <w:family w:val="script"/>
    <w:pitch w:val="default"/>
    <w:sig w:usb0="00000000" w:usb1="00000000" w:usb2="00000010" w:usb3="00000000" w:csb0="00040000" w:csb1="00000000"/>
  </w:font>
  <w:font w:name="Microsoft JhengHei UI">
    <w:panose1 w:val="020B0604030504040204"/>
    <w:charset w:val="88"/>
    <w:family w:val="auto"/>
    <w:pitch w:val="default"/>
    <w:sig w:usb0="0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2"/>
        <w:jc w:val="both"/>
        <w:rPr>
          <w:rFonts w:ascii="楷体" w:hAnsi="楷体" w:eastAsia="楷体"/>
        </w:rPr>
      </w:pPr>
      <w:r>
        <w:rPr>
          <w:rStyle w:val="53"/>
        </w:rPr>
        <w:footnoteRef/>
      </w:r>
      <w:r>
        <w:rPr>
          <w:rFonts w:hint="eastAsia" w:ascii="楷体" w:hAnsi="楷体" w:eastAsia="楷体"/>
        </w:rPr>
        <w:t xml:space="preserve"> a.“投标人须知前附表”用于进一步明确正文中的未尽事宜，凡“投标人须知前附表”对本章正文内容进行完善和补充的，均以“投标人须知前附表”为准；未进行完善和补充的，以本章正文内容为准。</w:t>
      </w:r>
    </w:p>
    <w:p>
      <w:pPr>
        <w:pStyle w:val="32"/>
        <w:ind w:firstLine="180" w:firstLineChars="100"/>
        <w:jc w:val="both"/>
        <w:rPr>
          <w:rFonts w:ascii="楷体" w:hAnsi="楷体" w:eastAsia="楷体"/>
        </w:rPr>
      </w:pPr>
      <w:r>
        <w:rPr>
          <w:rFonts w:hint="eastAsia" w:ascii="楷体" w:hAnsi="楷体" w:eastAsia="楷体"/>
        </w:rPr>
        <w:t>b.“投标人须知前附表”中的附录表格同属“投标人须知前附表”内容，具有同等效力。</w:t>
      </w:r>
    </w:p>
    <w:p>
      <w:pPr>
        <w:pStyle w:val="32"/>
        <w:ind w:firstLine="180" w:firstLineChars="100"/>
        <w:jc w:val="both"/>
        <w:rPr>
          <w:rFonts w:ascii="楷体" w:hAnsi="楷体" w:eastAsia="楷体"/>
        </w:rPr>
      </w:pPr>
      <w:r>
        <w:rPr>
          <w:rFonts w:hint="eastAsia" w:ascii="楷体" w:hAnsi="楷体" w:eastAsia="楷体"/>
        </w:rPr>
        <w:t>c.“投标人须知前附表”中条款号与本章正文条款号为对应关系。</w:t>
      </w:r>
    </w:p>
  </w:footnote>
  <w:footnote w:id="1">
    <w:p>
      <w:pPr>
        <w:pStyle w:val="32"/>
      </w:pPr>
      <w:r>
        <w:rPr>
          <w:rStyle w:val="53"/>
        </w:rPr>
        <w:footnoteRef/>
      </w:r>
      <w:r>
        <w:t xml:space="preserve"> </w:t>
      </w:r>
      <w:r>
        <w:rPr>
          <w:rFonts w:hint="eastAsia"/>
        </w:rPr>
        <w:t>如本项目招标采用第二章“投标人须知”第3.2.1项（2）目规定的由投标人按照招标人提供的工程量清单填写本合同各工程子目的单价、合价和总额价方式，则评标委员会按照本章第3.4.2项和第3.4.3项的规定对投标人的投标报价进行修正。如本项目招标采用第二章“投标人须知”第3.2.1项（1）目规定的投标人按照招标人提供的工程量固化清单电子文件填写工程量清单的，无须按照本章第3.4.2项和第3.4.3项的规定对投标报价进行修正，第3.4.2项至第3.4.4项内容不适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69FF2"/>
    <w:multiLevelType w:val="singleLevel"/>
    <w:tmpl w:val="8AD69FF2"/>
    <w:lvl w:ilvl="0" w:tentative="0">
      <w:start w:val="4"/>
      <w:numFmt w:val="decimal"/>
      <w:suff w:val="nothing"/>
      <w:lvlText w:val="（%1）"/>
      <w:lvlJc w:val="left"/>
    </w:lvl>
  </w:abstractNum>
  <w:abstractNum w:abstractNumId="1">
    <w:nsid w:val="1B344560"/>
    <w:multiLevelType w:val="multilevel"/>
    <w:tmpl w:val="1B344560"/>
    <w:lvl w:ilvl="0" w:tentative="0">
      <w:start w:val="1"/>
      <w:numFmt w:val="decimal"/>
      <w:pStyle w:val="368"/>
      <w:suff w:val="nothing"/>
      <w:lvlText w:val="（%1）"/>
      <w:lvlJc w:val="left"/>
      <w:pPr>
        <w:ind w:left="0" w:firstLine="40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24ED472F"/>
    <w:multiLevelType w:val="multilevel"/>
    <w:tmpl w:val="24ED472F"/>
    <w:lvl w:ilvl="0" w:tentative="0">
      <w:start w:val="1"/>
      <w:numFmt w:val="decimal"/>
      <w:pStyle w:val="367"/>
      <w:suff w:val="nothing"/>
      <w:lvlText w:val="（%1）"/>
      <w:lvlJc w:val="left"/>
      <w:pPr>
        <w:ind w:left="0" w:firstLine="40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34A26185"/>
    <w:multiLevelType w:val="multilevel"/>
    <w:tmpl w:val="34A26185"/>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D050ADF"/>
    <w:multiLevelType w:val="multilevel"/>
    <w:tmpl w:val="7D050ADF"/>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val="1"/>
  <w:bordersDoNotSurroundHeader w:val="1"/>
  <w:bordersDoNotSurroundFooter w:val="1"/>
  <w:hideSpellingErrors/>
  <w:doNotTrackMoves/>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22355"/>
    <w:rsid w:val="00000B9B"/>
    <w:rsid w:val="0000164E"/>
    <w:rsid w:val="00001854"/>
    <w:rsid w:val="00001EB2"/>
    <w:rsid w:val="00002670"/>
    <w:rsid w:val="00002CF2"/>
    <w:rsid w:val="00002D37"/>
    <w:rsid w:val="00003556"/>
    <w:rsid w:val="00003685"/>
    <w:rsid w:val="00003EBA"/>
    <w:rsid w:val="00004381"/>
    <w:rsid w:val="000055C5"/>
    <w:rsid w:val="00005739"/>
    <w:rsid w:val="000058E7"/>
    <w:rsid w:val="000062B2"/>
    <w:rsid w:val="000068D5"/>
    <w:rsid w:val="00010A3D"/>
    <w:rsid w:val="00010CA3"/>
    <w:rsid w:val="000111B0"/>
    <w:rsid w:val="00011388"/>
    <w:rsid w:val="00011480"/>
    <w:rsid w:val="0001261F"/>
    <w:rsid w:val="00012D41"/>
    <w:rsid w:val="00012EAF"/>
    <w:rsid w:val="0001355C"/>
    <w:rsid w:val="00013B9C"/>
    <w:rsid w:val="00014625"/>
    <w:rsid w:val="00014DEA"/>
    <w:rsid w:val="00015328"/>
    <w:rsid w:val="00015A90"/>
    <w:rsid w:val="00015DB8"/>
    <w:rsid w:val="0001651E"/>
    <w:rsid w:val="00016CDD"/>
    <w:rsid w:val="00017827"/>
    <w:rsid w:val="00017FBE"/>
    <w:rsid w:val="000203C5"/>
    <w:rsid w:val="00020684"/>
    <w:rsid w:val="000207BA"/>
    <w:rsid w:val="00020B18"/>
    <w:rsid w:val="0002185E"/>
    <w:rsid w:val="00021F4F"/>
    <w:rsid w:val="00022437"/>
    <w:rsid w:val="0002244B"/>
    <w:rsid w:val="000233EF"/>
    <w:rsid w:val="00023AA1"/>
    <w:rsid w:val="00023F1C"/>
    <w:rsid w:val="000240A3"/>
    <w:rsid w:val="000246DD"/>
    <w:rsid w:val="00024CAF"/>
    <w:rsid w:val="00025945"/>
    <w:rsid w:val="00025D97"/>
    <w:rsid w:val="0002642A"/>
    <w:rsid w:val="00026758"/>
    <w:rsid w:val="00026EDE"/>
    <w:rsid w:val="000276C7"/>
    <w:rsid w:val="00027CFB"/>
    <w:rsid w:val="00030B33"/>
    <w:rsid w:val="00030C58"/>
    <w:rsid w:val="00030CA0"/>
    <w:rsid w:val="0003163D"/>
    <w:rsid w:val="0003216C"/>
    <w:rsid w:val="000321CD"/>
    <w:rsid w:val="00033D43"/>
    <w:rsid w:val="000345CF"/>
    <w:rsid w:val="0003563D"/>
    <w:rsid w:val="00035782"/>
    <w:rsid w:val="00035B0E"/>
    <w:rsid w:val="00036DE6"/>
    <w:rsid w:val="00036FDC"/>
    <w:rsid w:val="0003787D"/>
    <w:rsid w:val="0004083E"/>
    <w:rsid w:val="00040C6A"/>
    <w:rsid w:val="000412D1"/>
    <w:rsid w:val="0004139F"/>
    <w:rsid w:val="000414C3"/>
    <w:rsid w:val="00042733"/>
    <w:rsid w:val="000435F0"/>
    <w:rsid w:val="000439F1"/>
    <w:rsid w:val="000443B5"/>
    <w:rsid w:val="00044E96"/>
    <w:rsid w:val="00044ED6"/>
    <w:rsid w:val="00045885"/>
    <w:rsid w:val="00045D64"/>
    <w:rsid w:val="0004660A"/>
    <w:rsid w:val="000466E5"/>
    <w:rsid w:val="00046751"/>
    <w:rsid w:val="00046D60"/>
    <w:rsid w:val="00047021"/>
    <w:rsid w:val="00047744"/>
    <w:rsid w:val="00047858"/>
    <w:rsid w:val="00047B78"/>
    <w:rsid w:val="0005070F"/>
    <w:rsid w:val="000509B5"/>
    <w:rsid w:val="0005207B"/>
    <w:rsid w:val="000522F1"/>
    <w:rsid w:val="00052D21"/>
    <w:rsid w:val="00052EC1"/>
    <w:rsid w:val="0005386B"/>
    <w:rsid w:val="00053966"/>
    <w:rsid w:val="00053BED"/>
    <w:rsid w:val="00053CBB"/>
    <w:rsid w:val="0005439D"/>
    <w:rsid w:val="00054423"/>
    <w:rsid w:val="0005479B"/>
    <w:rsid w:val="0005578C"/>
    <w:rsid w:val="00055EB7"/>
    <w:rsid w:val="0005680E"/>
    <w:rsid w:val="000574B5"/>
    <w:rsid w:val="000606E6"/>
    <w:rsid w:val="0006081B"/>
    <w:rsid w:val="00060927"/>
    <w:rsid w:val="00060AAD"/>
    <w:rsid w:val="0006119D"/>
    <w:rsid w:val="000613C2"/>
    <w:rsid w:val="000615E0"/>
    <w:rsid w:val="00062093"/>
    <w:rsid w:val="00062669"/>
    <w:rsid w:val="00062BA0"/>
    <w:rsid w:val="0006313A"/>
    <w:rsid w:val="000631D3"/>
    <w:rsid w:val="0006344F"/>
    <w:rsid w:val="000639E1"/>
    <w:rsid w:val="00063C68"/>
    <w:rsid w:val="000655D9"/>
    <w:rsid w:val="000656CC"/>
    <w:rsid w:val="0006580E"/>
    <w:rsid w:val="00065D5D"/>
    <w:rsid w:val="00065E5B"/>
    <w:rsid w:val="000670FF"/>
    <w:rsid w:val="00070427"/>
    <w:rsid w:val="00070FC5"/>
    <w:rsid w:val="00071C06"/>
    <w:rsid w:val="00072755"/>
    <w:rsid w:val="000727F1"/>
    <w:rsid w:val="00072932"/>
    <w:rsid w:val="0007315A"/>
    <w:rsid w:val="00073C91"/>
    <w:rsid w:val="0007479F"/>
    <w:rsid w:val="00074C0D"/>
    <w:rsid w:val="00074FD7"/>
    <w:rsid w:val="00075463"/>
    <w:rsid w:val="0007556A"/>
    <w:rsid w:val="00076C84"/>
    <w:rsid w:val="00076CEA"/>
    <w:rsid w:val="0007710A"/>
    <w:rsid w:val="000771CE"/>
    <w:rsid w:val="00077776"/>
    <w:rsid w:val="00077902"/>
    <w:rsid w:val="00080185"/>
    <w:rsid w:val="000806C2"/>
    <w:rsid w:val="000817BB"/>
    <w:rsid w:val="00081911"/>
    <w:rsid w:val="00081AB7"/>
    <w:rsid w:val="00081FA9"/>
    <w:rsid w:val="000823F5"/>
    <w:rsid w:val="00082571"/>
    <w:rsid w:val="00082E7C"/>
    <w:rsid w:val="00082ECE"/>
    <w:rsid w:val="0008332C"/>
    <w:rsid w:val="00083B53"/>
    <w:rsid w:val="00083C5B"/>
    <w:rsid w:val="000846AF"/>
    <w:rsid w:val="00084768"/>
    <w:rsid w:val="00084825"/>
    <w:rsid w:val="00084A3F"/>
    <w:rsid w:val="00086A94"/>
    <w:rsid w:val="00086F8E"/>
    <w:rsid w:val="00087060"/>
    <w:rsid w:val="0008707D"/>
    <w:rsid w:val="0008788F"/>
    <w:rsid w:val="00087CBE"/>
    <w:rsid w:val="0009019A"/>
    <w:rsid w:val="00090609"/>
    <w:rsid w:val="00091064"/>
    <w:rsid w:val="000911C9"/>
    <w:rsid w:val="000911D3"/>
    <w:rsid w:val="000915FA"/>
    <w:rsid w:val="00091A9D"/>
    <w:rsid w:val="00091C2F"/>
    <w:rsid w:val="00091EC3"/>
    <w:rsid w:val="00092FA6"/>
    <w:rsid w:val="0009309D"/>
    <w:rsid w:val="000932AD"/>
    <w:rsid w:val="0009360A"/>
    <w:rsid w:val="00094763"/>
    <w:rsid w:val="00094FE3"/>
    <w:rsid w:val="00095312"/>
    <w:rsid w:val="0009570A"/>
    <w:rsid w:val="00095B77"/>
    <w:rsid w:val="00095D2B"/>
    <w:rsid w:val="00095F52"/>
    <w:rsid w:val="000964C3"/>
    <w:rsid w:val="00096973"/>
    <w:rsid w:val="00096A6E"/>
    <w:rsid w:val="00096D0D"/>
    <w:rsid w:val="00097035"/>
    <w:rsid w:val="00097046"/>
    <w:rsid w:val="000979C9"/>
    <w:rsid w:val="00097ABD"/>
    <w:rsid w:val="00097BC4"/>
    <w:rsid w:val="000A04D7"/>
    <w:rsid w:val="000A081E"/>
    <w:rsid w:val="000A0843"/>
    <w:rsid w:val="000A08F0"/>
    <w:rsid w:val="000A0A7D"/>
    <w:rsid w:val="000A0D58"/>
    <w:rsid w:val="000A0EED"/>
    <w:rsid w:val="000A12A7"/>
    <w:rsid w:val="000A133F"/>
    <w:rsid w:val="000A1F24"/>
    <w:rsid w:val="000A22D7"/>
    <w:rsid w:val="000A282A"/>
    <w:rsid w:val="000A2B04"/>
    <w:rsid w:val="000A2B29"/>
    <w:rsid w:val="000A2E29"/>
    <w:rsid w:val="000A3325"/>
    <w:rsid w:val="000A3478"/>
    <w:rsid w:val="000A3487"/>
    <w:rsid w:val="000A39C9"/>
    <w:rsid w:val="000A3A37"/>
    <w:rsid w:val="000A41A9"/>
    <w:rsid w:val="000A46D3"/>
    <w:rsid w:val="000A4A6A"/>
    <w:rsid w:val="000A66CE"/>
    <w:rsid w:val="000A6C8B"/>
    <w:rsid w:val="000A6FA4"/>
    <w:rsid w:val="000A7BC8"/>
    <w:rsid w:val="000B059E"/>
    <w:rsid w:val="000B05D2"/>
    <w:rsid w:val="000B1499"/>
    <w:rsid w:val="000B1DEF"/>
    <w:rsid w:val="000B1F3B"/>
    <w:rsid w:val="000B2598"/>
    <w:rsid w:val="000B2C45"/>
    <w:rsid w:val="000B31D3"/>
    <w:rsid w:val="000B38B2"/>
    <w:rsid w:val="000B38B4"/>
    <w:rsid w:val="000B3D8D"/>
    <w:rsid w:val="000B43C1"/>
    <w:rsid w:val="000B577A"/>
    <w:rsid w:val="000B68B2"/>
    <w:rsid w:val="000B69B8"/>
    <w:rsid w:val="000B7483"/>
    <w:rsid w:val="000B7836"/>
    <w:rsid w:val="000B790F"/>
    <w:rsid w:val="000B794F"/>
    <w:rsid w:val="000B7AA8"/>
    <w:rsid w:val="000C01B4"/>
    <w:rsid w:val="000C0CE8"/>
    <w:rsid w:val="000C1111"/>
    <w:rsid w:val="000C177A"/>
    <w:rsid w:val="000C1828"/>
    <w:rsid w:val="000C201D"/>
    <w:rsid w:val="000C2657"/>
    <w:rsid w:val="000C26D3"/>
    <w:rsid w:val="000C2AFF"/>
    <w:rsid w:val="000C2E1B"/>
    <w:rsid w:val="000C3455"/>
    <w:rsid w:val="000C3501"/>
    <w:rsid w:val="000C3A43"/>
    <w:rsid w:val="000C46D8"/>
    <w:rsid w:val="000C4CD7"/>
    <w:rsid w:val="000C5100"/>
    <w:rsid w:val="000C53F3"/>
    <w:rsid w:val="000C54E2"/>
    <w:rsid w:val="000C5F63"/>
    <w:rsid w:val="000C6ED6"/>
    <w:rsid w:val="000C703E"/>
    <w:rsid w:val="000C730E"/>
    <w:rsid w:val="000C73F5"/>
    <w:rsid w:val="000C782E"/>
    <w:rsid w:val="000C7A2E"/>
    <w:rsid w:val="000C7EA2"/>
    <w:rsid w:val="000C7FC0"/>
    <w:rsid w:val="000D05FA"/>
    <w:rsid w:val="000D0B2A"/>
    <w:rsid w:val="000D1825"/>
    <w:rsid w:val="000D1A97"/>
    <w:rsid w:val="000D28D1"/>
    <w:rsid w:val="000D2F97"/>
    <w:rsid w:val="000D3453"/>
    <w:rsid w:val="000D36FB"/>
    <w:rsid w:val="000D39B3"/>
    <w:rsid w:val="000D41EF"/>
    <w:rsid w:val="000D4386"/>
    <w:rsid w:val="000D4724"/>
    <w:rsid w:val="000D49A6"/>
    <w:rsid w:val="000D4BFA"/>
    <w:rsid w:val="000D4D2D"/>
    <w:rsid w:val="000D504E"/>
    <w:rsid w:val="000D525A"/>
    <w:rsid w:val="000D563E"/>
    <w:rsid w:val="000D5A8E"/>
    <w:rsid w:val="000D5B83"/>
    <w:rsid w:val="000D5D86"/>
    <w:rsid w:val="000D600E"/>
    <w:rsid w:val="000D667E"/>
    <w:rsid w:val="000D6848"/>
    <w:rsid w:val="000D6A87"/>
    <w:rsid w:val="000D6DCF"/>
    <w:rsid w:val="000D6F16"/>
    <w:rsid w:val="000D74D3"/>
    <w:rsid w:val="000D78EC"/>
    <w:rsid w:val="000D7B4C"/>
    <w:rsid w:val="000D7F1F"/>
    <w:rsid w:val="000E0673"/>
    <w:rsid w:val="000E080D"/>
    <w:rsid w:val="000E100D"/>
    <w:rsid w:val="000E181B"/>
    <w:rsid w:val="000E244B"/>
    <w:rsid w:val="000E3023"/>
    <w:rsid w:val="000E32C4"/>
    <w:rsid w:val="000E3368"/>
    <w:rsid w:val="000E3E37"/>
    <w:rsid w:val="000E4B1E"/>
    <w:rsid w:val="000E4BCB"/>
    <w:rsid w:val="000E5520"/>
    <w:rsid w:val="000E571C"/>
    <w:rsid w:val="000E571E"/>
    <w:rsid w:val="000E58CD"/>
    <w:rsid w:val="000E5EF1"/>
    <w:rsid w:val="000E64A8"/>
    <w:rsid w:val="000E6B45"/>
    <w:rsid w:val="000E6F18"/>
    <w:rsid w:val="000E7BA3"/>
    <w:rsid w:val="000F06EA"/>
    <w:rsid w:val="000F17C3"/>
    <w:rsid w:val="000F1AC1"/>
    <w:rsid w:val="000F1B64"/>
    <w:rsid w:val="000F26AF"/>
    <w:rsid w:val="000F2922"/>
    <w:rsid w:val="000F2D38"/>
    <w:rsid w:val="000F2D4E"/>
    <w:rsid w:val="000F3729"/>
    <w:rsid w:val="000F37E4"/>
    <w:rsid w:val="000F3ADE"/>
    <w:rsid w:val="000F3B6B"/>
    <w:rsid w:val="000F4181"/>
    <w:rsid w:val="000F426B"/>
    <w:rsid w:val="000F4514"/>
    <w:rsid w:val="000F520B"/>
    <w:rsid w:val="000F53F1"/>
    <w:rsid w:val="000F550F"/>
    <w:rsid w:val="000F5D10"/>
    <w:rsid w:val="000F5ECB"/>
    <w:rsid w:val="000F61AD"/>
    <w:rsid w:val="000F66CF"/>
    <w:rsid w:val="000F68AF"/>
    <w:rsid w:val="000F7074"/>
    <w:rsid w:val="000F7647"/>
    <w:rsid w:val="000F7766"/>
    <w:rsid w:val="000F7ACF"/>
    <w:rsid w:val="000F7F19"/>
    <w:rsid w:val="00100186"/>
    <w:rsid w:val="00100587"/>
    <w:rsid w:val="0010077E"/>
    <w:rsid w:val="001011BF"/>
    <w:rsid w:val="00102AE2"/>
    <w:rsid w:val="001047A6"/>
    <w:rsid w:val="00104A3C"/>
    <w:rsid w:val="00104AEB"/>
    <w:rsid w:val="001058DB"/>
    <w:rsid w:val="00105DEA"/>
    <w:rsid w:val="001077E7"/>
    <w:rsid w:val="0011028D"/>
    <w:rsid w:val="001105B9"/>
    <w:rsid w:val="00110690"/>
    <w:rsid w:val="00110CF9"/>
    <w:rsid w:val="00111820"/>
    <w:rsid w:val="0011184C"/>
    <w:rsid w:val="00111887"/>
    <w:rsid w:val="00111951"/>
    <w:rsid w:val="00111A4A"/>
    <w:rsid w:val="00111AB9"/>
    <w:rsid w:val="00111C2D"/>
    <w:rsid w:val="001125F6"/>
    <w:rsid w:val="001126A8"/>
    <w:rsid w:val="001129BB"/>
    <w:rsid w:val="00113FE3"/>
    <w:rsid w:val="00114197"/>
    <w:rsid w:val="00114986"/>
    <w:rsid w:val="00114A4D"/>
    <w:rsid w:val="00114CFC"/>
    <w:rsid w:val="00115738"/>
    <w:rsid w:val="00115BFD"/>
    <w:rsid w:val="001167B7"/>
    <w:rsid w:val="00116A43"/>
    <w:rsid w:val="00117180"/>
    <w:rsid w:val="0011753E"/>
    <w:rsid w:val="0011798E"/>
    <w:rsid w:val="00120AD6"/>
    <w:rsid w:val="001215FC"/>
    <w:rsid w:val="001219AE"/>
    <w:rsid w:val="00121A12"/>
    <w:rsid w:val="00121BC5"/>
    <w:rsid w:val="00122492"/>
    <w:rsid w:val="00123DBA"/>
    <w:rsid w:val="00123E43"/>
    <w:rsid w:val="00125C69"/>
    <w:rsid w:val="00125DBD"/>
    <w:rsid w:val="0012687C"/>
    <w:rsid w:val="001269F9"/>
    <w:rsid w:val="00127235"/>
    <w:rsid w:val="0012788D"/>
    <w:rsid w:val="0012795A"/>
    <w:rsid w:val="00127E03"/>
    <w:rsid w:val="00130528"/>
    <w:rsid w:val="001307F1"/>
    <w:rsid w:val="00131013"/>
    <w:rsid w:val="001310F7"/>
    <w:rsid w:val="001311A0"/>
    <w:rsid w:val="00131583"/>
    <w:rsid w:val="0013179E"/>
    <w:rsid w:val="00131BA0"/>
    <w:rsid w:val="001324BD"/>
    <w:rsid w:val="001336DC"/>
    <w:rsid w:val="00133DD3"/>
    <w:rsid w:val="00134416"/>
    <w:rsid w:val="00134439"/>
    <w:rsid w:val="00134797"/>
    <w:rsid w:val="00134C8E"/>
    <w:rsid w:val="00134C98"/>
    <w:rsid w:val="0013533C"/>
    <w:rsid w:val="00137624"/>
    <w:rsid w:val="00137660"/>
    <w:rsid w:val="00137768"/>
    <w:rsid w:val="001379EB"/>
    <w:rsid w:val="00137BD9"/>
    <w:rsid w:val="00137F26"/>
    <w:rsid w:val="001402D9"/>
    <w:rsid w:val="00141C93"/>
    <w:rsid w:val="00141FED"/>
    <w:rsid w:val="0014218B"/>
    <w:rsid w:val="00142912"/>
    <w:rsid w:val="001431B8"/>
    <w:rsid w:val="001436EF"/>
    <w:rsid w:val="00143A83"/>
    <w:rsid w:val="00143D28"/>
    <w:rsid w:val="00143EB0"/>
    <w:rsid w:val="0014423A"/>
    <w:rsid w:val="001449BD"/>
    <w:rsid w:val="00144BF3"/>
    <w:rsid w:val="00144D72"/>
    <w:rsid w:val="00145084"/>
    <w:rsid w:val="0014545A"/>
    <w:rsid w:val="001462A2"/>
    <w:rsid w:val="001466FB"/>
    <w:rsid w:val="001474F9"/>
    <w:rsid w:val="00150022"/>
    <w:rsid w:val="001508D1"/>
    <w:rsid w:val="00151444"/>
    <w:rsid w:val="0015398E"/>
    <w:rsid w:val="00153BD3"/>
    <w:rsid w:val="00153CBB"/>
    <w:rsid w:val="00154D17"/>
    <w:rsid w:val="001550A7"/>
    <w:rsid w:val="001555BF"/>
    <w:rsid w:val="00156859"/>
    <w:rsid w:val="0015685F"/>
    <w:rsid w:val="00157007"/>
    <w:rsid w:val="00157303"/>
    <w:rsid w:val="0015791D"/>
    <w:rsid w:val="00157AA1"/>
    <w:rsid w:val="00157CE6"/>
    <w:rsid w:val="0016068D"/>
    <w:rsid w:val="00160EA8"/>
    <w:rsid w:val="001617FE"/>
    <w:rsid w:val="00162114"/>
    <w:rsid w:val="001625CB"/>
    <w:rsid w:val="00162802"/>
    <w:rsid w:val="0016294E"/>
    <w:rsid w:val="00162B87"/>
    <w:rsid w:val="00162D6A"/>
    <w:rsid w:val="00163435"/>
    <w:rsid w:val="00163EF1"/>
    <w:rsid w:val="0016450C"/>
    <w:rsid w:val="0016506F"/>
    <w:rsid w:val="001650E5"/>
    <w:rsid w:val="00165DCF"/>
    <w:rsid w:val="001660B3"/>
    <w:rsid w:val="0016707A"/>
    <w:rsid w:val="00167B53"/>
    <w:rsid w:val="001701A0"/>
    <w:rsid w:val="001703D6"/>
    <w:rsid w:val="00170F05"/>
    <w:rsid w:val="00171834"/>
    <w:rsid w:val="00171C31"/>
    <w:rsid w:val="00171C36"/>
    <w:rsid w:val="00171D93"/>
    <w:rsid w:val="0017207C"/>
    <w:rsid w:val="00172277"/>
    <w:rsid w:val="001740C2"/>
    <w:rsid w:val="001743D5"/>
    <w:rsid w:val="00174836"/>
    <w:rsid w:val="00174BF4"/>
    <w:rsid w:val="00176472"/>
    <w:rsid w:val="00177814"/>
    <w:rsid w:val="00177DEE"/>
    <w:rsid w:val="00180082"/>
    <w:rsid w:val="00180709"/>
    <w:rsid w:val="00180778"/>
    <w:rsid w:val="001820F2"/>
    <w:rsid w:val="001821AB"/>
    <w:rsid w:val="00182251"/>
    <w:rsid w:val="00182324"/>
    <w:rsid w:val="001823E8"/>
    <w:rsid w:val="00182CDB"/>
    <w:rsid w:val="0018317D"/>
    <w:rsid w:val="0018361A"/>
    <w:rsid w:val="00183B51"/>
    <w:rsid w:val="0018403F"/>
    <w:rsid w:val="001840AD"/>
    <w:rsid w:val="001845E7"/>
    <w:rsid w:val="001847A1"/>
    <w:rsid w:val="00185023"/>
    <w:rsid w:val="00185465"/>
    <w:rsid w:val="0018579A"/>
    <w:rsid w:val="00186581"/>
    <w:rsid w:val="001869C7"/>
    <w:rsid w:val="00186D76"/>
    <w:rsid w:val="001870F1"/>
    <w:rsid w:val="0018728D"/>
    <w:rsid w:val="00187339"/>
    <w:rsid w:val="0018754D"/>
    <w:rsid w:val="00190D26"/>
    <w:rsid w:val="00190DA9"/>
    <w:rsid w:val="00190F58"/>
    <w:rsid w:val="001914CC"/>
    <w:rsid w:val="00191F94"/>
    <w:rsid w:val="001922FD"/>
    <w:rsid w:val="001926BD"/>
    <w:rsid w:val="0019346D"/>
    <w:rsid w:val="00193C85"/>
    <w:rsid w:val="00193CFF"/>
    <w:rsid w:val="00194185"/>
    <w:rsid w:val="00194312"/>
    <w:rsid w:val="0019442A"/>
    <w:rsid w:val="0019477D"/>
    <w:rsid w:val="00195160"/>
    <w:rsid w:val="00197072"/>
    <w:rsid w:val="0019746E"/>
    <w:rsid w:val="001978BF"/>
    <w:rsid w:val="00197E31"/>
    <w:rsid w:val="001A0345"/>
    <w:rsid w:val="001A130E"/>
    <w:rsid w:val="001A1B14"/>
    <w:rsid w:val="001A1B30"/>
    <w:rsid w:val="001A1E86"/>
    <w:rsid w:val="001A2006"/>
    <w:rsid w:val="001A2538"/>
    <w:rsid w:val="001A2AD4"/>
    <w:rsid w:val="001A362B"/>
    <w:rsid w:val="001A4023"/>
    <w:rsid w:val="001A42BD"/>
    <w:rsid w:val="001A575F"/>
    <w:rsid w:val="001A6F43"/>
    <w:rsid w:val="001B0F91"/>
    <w:rsid w:val="001B1CF2"/>
    <w:rsid w:val="001B1DE3"/>
    <w:rsid w:val="001B25CB"/>
    <w:rsid w:val="001B2D59"/>
    <w:rsid w:val="001B2DAC"/>
    <w:rsid w:val="001B30ED"/>
    <w:rsid w:val="001B37A6"/>
    <w:rsid w:val="001B37EC"/>
    <w:rsid w:val="001B4598"/>
    <w:rsid w:val="001B4686"/>
    <w:rsid w:val="001B4B8C"/>
    <w:rsid w:val="001B5036"/>
    <w:rsid w:val="001B5352"/>
    <w:rsid w:val="001B5B1B"/>
    <w:rsid w:val="001B5BCB"/>
    <w:rsid w:val="001B601A"/>
    <w:rsid w:val="001B6098"/>
    <w:rsid w:val="001B703F"/>
    <w:rsid w:val="001B77CD"/>
    <w:rsid w:val="001C12A4"/>
    <w:rsid w:val="001C1586"/>
    <w:rsid w:val="001C3382"/>
    <w:rsid w:val="001C3423"/>
    <w:rsid w:val="001C3A37"/>
    <w:rsid w:val="001C3DB3"/>
    <w:rsid w:val="001C455B"/>
    <w:rsid w:val="001C49DC"/>
    <w:rsid w:val="001C5832"/>
    <w:rsid w:val="001C6164"/>
    <w:rsid w:val="001C644E"/>
    <w:rsid w:val="001C6FE6"/>
    <w:rsid w:val="001D049F"/>
    <w:rsid w:val="001D0C95"/>
    <w:rsid w:val="001D0E1D"/>
    <w:rsid w:val="001D1530"/>
    <w:rsid w:val="001D1A1B"/>
    <w:rsid w:val="001D24EB"/>
    <w:rsid w:val="001D26EC"/>
    <w:rsid w:val="001D2BDA"/>
    <w:rsid w:val="001D2D75"/>
    <w:rsid w:val="001D2DE1"/>
    <w:rsid w:val="001D35A4"/>
    <w:rsid w:val="001D3C63"/>
    <w:rsid w:val="001D43F3"/>
    <w:rsid w:val="001D46F6"/>
    <w:rsid w:val="001D50BF"/>
    <w:rsid w:val="001D5A27"/>
    <w:rsid w:val="001D60DA"/>
    <w:rsid w:val="001D7345"/>
    <w:rsid w:val="001E16F3"/>
    <w:rsid w:val="001E18CC"/>
    <w:rsid w:val="001E19C3"/>
    <w:rsid w:val="001E1B16"/>
    <w:rsid w:val="001E2080"/>
    <w:rsid w:val="001E2148"/>
    <w:rsid w:val="001E2780"/>
    <w:rsid w:val="001E2B69"/>
    <w:rsid w:val="001E2C0C"/>
    <w:rsid w:val="001E3C4B"/>
    <w:rsid w:val="001E3FBF"/>
    <w:rsid w:val="001E4ABF"/>
    <w:rsid w:val="001E4EEB"/>
    <w:rsid w:val="001E54E1"/>
    <w:rsid w:val="001E5626"/>
    <w:rsid w:val="001E56C6"/>
    <w:rsid w:val="001E62A5"/>
    <w:rsid w:val="001E6AAD"/>
    <w:rsid w:val="001E76FE"/>
    <w:rsid w:val="001E7855"/>
    <w:rsid w:val="001E787C"/>
    <w:rsid w:val="001E79E4"/>
    <w:rsid w:val="001F0038"/>
    <w:rsid w:val="001F0353"/>
    <w:rsid w:val="001F0C32"/>
    <w:rsid w:val="001F0F85"/>
    <w:rsid w:val="001F15B3"/>
    <w:rsid w:val="001F1991"/>
    <w:rsid w:val="001F23B3"/>
    <w:rsid w:val="001F2A8E"/>
    <w:rsid w:val="001F30DD"/>
    <w:rsid w:val="001F35F1"/>
    <w:rsid w:val="001F387F"/>
    <w:rsid w:val="001F38FE"/>
    <w:rsid w:val="001F39AF"/>
    <w:rsid w:val="001F41B7"/>
    <w:rsid w:val="001F4347"/>
    <w:rsid w:val="001F4534"/>
    <w:rsid w:val="001F4C4A"/>
    <w:rsid w:val="001F4D90"/>
    <w:rsid w:val="001F50A0"/>
    <w:rsid w:val="001F5570"/>
    <w:rsid w:val="001F56E8"/>
    <w:rsid w:val="001F5777"/>
    <w:rsid w:val="001F5833"/>
    <w:rsid w:val="001F5BB3"/>
    <w:rsid w:val="001F5CCC"/>
    <w:rsid w:val="001F5D9E"/>
    <w:rsid w:val="001F60A7"/>
    <w:rsid w:val="001F6407"/>
    <w:rsid w:val="001F6594"/>
    <w:rsid w:val="001F668B"/>
    <w:rsid w:val="001F673A"/>
    <w:rsid w:val="001F7602"/>
    <w:rsid w:val="002000D5"/>
    <w:rsid w:val="002007AB"/>
    <w:rsid w:val="00200B2E"/>
    <w:rsid w:val="00201008"/>
    <w:rsid w:val="002024BF"/>
    <w:rsid w:val="00202553"/>
    <w:rsid w:val="00202692"/>
    <w:rsid w:val="0020270F"/>
    <w:rsid w:val="00202D77"/>
    <w:rsid w:val="002035F5"/>
    <w:rsid w:val="00203D40"/>
    <w:rsid w:val="0020455C"/>
    <w:rsid w:val="0020461C"/>
    <w:rsid w:val="0020486A"/>
    <w:rsid w:val="002052AA"/>
    <w:rsid w:val="00205530"/>
    <w:rsid w:val="0020571C"/>
    <w:rsid w:val="00205B1B"/>
    <w:rsid w:val="00205F48"/>
    <w:rsid w:val="00205F9E"/>
    <w:rsid w:val="00206682"/>
    <w:rsid w:val="0020685F"/>
    <w:rsid w:val="00206863"/>
    <w:rsid w:val="00206867"/>
    <w:rsid w:val="00206EE4"/>
    <w:rsid w:val="00206FD2"/>
    <w:rsid w:val="0020737F"/>
    <w:rsid w:val="002109E2"/>
    <w:rsid w:val="00210D35"/>
    <w:rsid w:val="00210FA2"/>
    <w:rsid w:val="00211279"/>
    <w:rsid w:val="00211EE3"/>
    <w:rsid w:val="00212DA1"/>
    <w:rsid w:val="002130B8"/>
    <w:rsid w:val="00214436"/>
    <w:rsid w:val="0021531F"/>
    <w:rsid w:val="00215FBC"/>
    <w:rsid w:val="00216930"/>
    <w:rsid w:val="002171A6"/>
    <w:rsid w:val="00217C7F"/>
    <w:rsid w:val="0022000C"/>
    <w:rsid w:val="00220279"/>
    <w:rsid w:val="00220729"/>
    <w:rsid w:val="002208FD"/>
    <w:rsid w:val="00220C36"/>
    <w:rsid w:val="00221DA9"/>
    <w:rsid w:val="002221A2"/>
    <w:rsid w:val="00222624"/>
    <w:rsid w:val="002230B5"/>
    <w:rsid w:val="00223855"/>
    <w:rsid w:val="002250AF"/>
    <w:rsid w:val="002253DB"/>
    <w:rsid w:val="002254EF"/>
    <w:rsid w:val="00226E28"/>
    <w:rsid w:val="002271EA"/>
    <w:rsid w:val="00227356"/>
    <w:rsid w:val="002276EA"/>
    <w:rsid w:val="00230027"/>
    <w:rsid w:val="0023056F"/>
    <w:rsid w:val="00230CDA"/>
    <w:rsid w:val="00230DCC"/>
    <w:rsid w:val="0023133F"/>
    <w:rsid w:val="00231677"/>
    <w:rsid w:val="00231EA0"/>
    <w:rsid w:val="00232138"/>
    <w:rsid w:val="00233324"/>
    <w:rsid w:val="00233701"/>
    <w:rsid w:val="00233BBA"/>
    <w:rsid w:val="0023418C"/>
    <w:rsid w:val="00234E4A"/>
    <w:rsid w:val="00235176"/>
    <w:rsid w:val="00235621"/>
    <w:rsid w:val="0023594C"/>
    <w:rsid w:val="002359CB"/>
    <w:rsid w:val="002360F9"/>
    <w:rsid w:val="002362E3"/>
    <w:rsid w:val="00236867"/>
    <w:rsid w:val="002371CF"/>
    <w:rsid w:val="002404D0"/>
    <w:rsid w:val="00240628"/>
    <w:rsid w:val="00241B43"/>
    <w:rsid w:val="002425D0"/>
    <w:rsid w:val="00242C82"/>
    <w:rsid w:val="00243146"/>
    <w:rsid w:val="00243B78"/>
    <w:rsid w:val="00244756"/>
    <w:rsid w:val="00245597"/>
    <w:rsid w:val="002458B3"/>
    <w:rsid w:val="0024662A"/>
    <w:rsid w:val="002468CD"/>
    <w:rsid w:val="00247186"/>
    <w:rsid w:val="002471B6"/>
    <w:rsid w:val="00247838"/>
    <w:rsid w:val="00247B1A"/>
    <w:rsid w:val="00247D45"/>
    <w:rsid w:val="00250196"/>
    <w:rsid w:val="002502BF"/>
    <w:rsid w:val="0025082A"/>
    <w:rsid w:val="002510EC"/>
    <w:rsid w:val="002512A7"/>
    <w:rsid w:val="00251E4A"/>
    <w:rsid w:val="00252276"/>
    <w:rsid w:val="0025266D"/>
    <w:rsid w:val="00252873"/>
    <w:rsid w:val="002528E1"/>
    <w:rsid w:val="00252F4E"/>
    <w:rsid w:val="00253187"/>
    <w:rsid w:val="00253499"/>
    <w:rsid w:val="0025531A"/>
    <w:rsid w:val="002560F7"/>
    <w:rsid w:val="0025631D"/>
    <w:rsid w:val="00256E1A"/>
    <w:rsid w:val="00257583"/>
    <w:rsid w:val="00257688"/>
    <w:rsid w:val="002577BF"/>
    <w:rsid w:val="0025788E"/>
    <w:rsid w:val="00257F5C"/>
    <w:rsid w:val="002603FA"/>
    <w:rsid w:val="00261024"/>
    <w:rsid w:val="00261058"/>
    <w:rsid w:val="0026118E"/>
    <w:rsid w:val="00261605"/>
    <w:rsid w:val="00261698"/>
    <w:rsid w:val="00262A6D"/>
    <w:rsid w:val="00262F7E"/>
    <w:rsid w:val="002636AA"/>
    <w:rsid w:val="00263912"/>
    <w:rsid w:val="00263D2C"/>
    <w:rsid w:val="00263D40"/>
    <w:rsid w:val="00264518"/>
    <w:rsid w:val="002646D2"/>
    <w:rsid w:val="002649DB"/>
    <w:rsid w:val="00265AE7"/>
    <w:rsid w:val="002662CC"/>
    <w:rsid w:val="00267658"/>
    <w:rsid w:val="00267734"/>
    <w:rsid w:val="00267E45"/>
    <w:rsid w:val="0027011F"/>
    <w:rsid w:val="002704F2"/>
    <w:rsid w:val="00270E17"/>
    <w:rsid w:val="00270E46"/>
    <w:rsid w:val="0027106E"/>
    <w:rsid w:val="0027143E"/>
    <w:rsid w:val="002714D2"/>
    <w:rsid w:val="00271504"/>
    <w:rsid w:val="00271EAD"/>
    <w:rsid w:val="002722D6"/>
    <w:rsid w:val="00272599"/>
    <w:rsid w:val="00273860"/>
    <w:rsid w:val="002738CE"/>
    <w:rsid w:val="00273D88"/>
    <w:rsid w:val="00274FCE"/>
    <w:rsid w:val="002759D7"/>
    <w:rsid w:val="00275BDF"/>
    <w:rsid w:val="0027615A"/>
    <w:rsid w:val="002767CA"/>
    <w:rsid w:val="00277165"/>
    <w:rsid w:val="00277E73"/>
    <w:rsid w:val="00277FAB"/>
    <w:rsid w:val="002800DE"/>
    <w:rsid w:val="0028033B"/>
    <w:rsid w:val="00280747"/>
    <w:rsid w:val="00280C76"/>
    <w:rsid w:val="00280FD0"/>
    <w:rsid w:val="0028148D"/>
    <w:rsid w:val="0028179F"/>
    <w:rsid w:val="00281969"/>
    <w:rsid w:val="002822F4"/>
    <w:rsid w:val="002830DB"/>
    <w:rsid w:val="002834BE"/>
    <w:rsid w:val="002846AE"/>
    <w:rsid w:val="0028483C"/>
    <w:rsid w:val="00284840"/>
    <w:rsid w:val="0028507F"/>
    <w:rsid w:val="00285773"/>
    <w:rsid w:val="002858C9"/>
    <w:rsid w:val="00285AAA"/>
    <w:rsid w:val="00286DB9"/>
    <w:rsid w:val="00286DC2"/>
    <w:rsid w:val="00291CFC"/>
    <w:rsid w:val="002925DE"/>
    <w:rsid w:val="00292750"/>
    <w:rsid w:val="002929F4"/>
    <w:rsid w:val="00292A9B"/>
    <w:rsid w:val="00292DE5"/>
    <w:rsid w:val="00292EE9"/>
    <w:rsid w:val="00293687"/>
    <w:rsid w:val="00293C43"/>
    <w:rsid w:val="0029454A"/>
    <w:rsid w:val="0029527C"/>
    <w:rsid w:val="00295988"/>
    <w:rsid w:val="00295CD6"/>
    <w:rsid w:val="002967E7"/>
    <w:rsid w:val="00296839"/>
    <w:rsid w:val="00297229"/>
    <w:rsid w:val="002973D8"/>
    <w:rsid w:val="00297695"/>
    <w:rsid w:val="00297945"/>
    <w:rsid w:val="00297A1E"/>
    <w:rsid w:val="00297A7C"/>
    <w:rsid w:val="002A08F2"/>
    <w:rsid w:val="002A1B42"/>
    <w:rsid w:val="002A1B78"/>
    <w:rsid w:val="002A1C5E"/>
    <w:rsid w:val="002A215E"/>
    <w:rsid w:val="002A2200"/>
    <w:rsid w:val="002A23F6"/>
    <w:rsid w:val="002A2D44"/>
    <w:rsid w:val="002A3D7B"/>
    <w:rsid w:val="002A4073"/>
    <w:rsid w:val="002A4F7A"/>
    <w:rsid w:val="002A5BDF"/>
    <w:rsid w:val="002A6B8B"/>
    <w:rsid w:val="002A6CAC"/>
    <w:rsid w:val="002A778A"/>
    <w:rsid w:val="002B12C3"/>
    <w:rsid w:val="002B1CFB"/>
    <w:rsid w:val="002B246E"/>
    <w:rsid w:val="002B29BE"/>
    <w:rsid w:val="002B2A63"/>
    <w:rsid w:val="002B2AB4"/>
    <w:rsid w:val="002B2EC8"/>
    <w:rsid w:val="002B31D2"/>
    <w:rsid w:val="002B31D9"/>
    <w:rsid w:val="002B3323"/>
    <w:rsid w:val="002B386E"/>
    <w:rsid w:val="002B3A54"/>
    <w:rsid w:val="002B3B9D"/>
    <w:rsid w:val="002B4E4E"/>
    <w:rsid w:val="002B4F4A"/>
    <w:rsid w:val="002B569E"/>
    <w:rsid w:val="002B6213"/>
    <w:rsid w:val="002B675C"/>
    <w:rsid w:val="002B6AEA"/>
    <w:rsid w:val="002B6C45"/>
    <w:rsid w:val="002B6C9A"/>
    <w:rsid w:val="002B78A8"/>
    <w:rsid w:val="002B7AF6"/>
    <w:rsid w:val="002B7F76"/>
    <w:rsid w:val="002C05A9"/>
    <w:rsid w:val="002C15F0"/>
    <w:rsid w:val="002C1A47"/>
    <w:rsid w:val="002C1B3E"/>
    <w:rsid w:val="002C1BC5"/>
    <w:rsid w:val="002C1D30"/>
    <w:rsid w:val="002C1D91"/>
    <w:rsid w:val="002C251E"/>
    <w:rsid w:val="002C3754"/>
    <w:rsid w:val="002C387F"/>
    <w:rsid w:val="002C4254"/>
    <w:rsid w:val="002C430B"/>
    <w:rsid w:val="002C4648"/>
    <w:rsid w:val="002C5225"/>
    <w:rsid w:val="002C5CD1"/>
    <w:rsid w:val="002C5FAC"/>
    <w:rsid w:val="002C65FA"/>
    <w:rsid w:val="002C6B8C"/>
    <w:rsid w:val="002C6F26"/>
    <w:rsid w:val="002C7869"/>
    <w:rsid w:val="002D05E1"/>
    <w:rsid w:val="002D158A"/>
    <w:rsid w:val="002D17CD"/>
    <w:rsid w:val="002D1C22"/>
    <w:rsid w:val="002D1C47"/>
    <w:rsid w:val="002D2BCE"/>
    <w:rsid w:val="002D32AA"/>
    <w:rsid w:val="002D33EE"/>
    <w:rsid w:val="002D3437"/>
    <w:rsid w:val="002D3D55"/>
    <w:rsid w:val="002D3E0F"/>
    <w:rsid w:val="002D410E"/>
    <w:rsid w:val="002D5070"/>
    <w:rsid w:val="002D5233"/>
    <w:rsid w:val="002D5A2A"/>
    <w:rsid w:val="002D66C2"/>
    <w:rsid w:val="002D6C73"/>
    <w:rsid w:val="002D71E8"/>
    <w:rsid w:val="002D7450"/>
    <w:rsid w:val="002D7846"/>
    <w:rsid w:val="002E0899"/>
    <w:rsid w:val="002E0F9D"/>
    <w:rsid w:val="002E1B89"/>
    <w:rsid w:val="002E20D5"/>
    <w:rsid w:val="002E2270"/>
    <w:rsid w:val="002E23FC"/>
    <w:rsid w:val="002E29A1"/>
    <w:rsid w:val="002E4A40"/>
    <w:rsid w:val="002E5427"/>
    <w:rsid w:val="002E5C2C"/>
    <w:rsid w:val="002E5DFD"/>
    <w:rsid w:val="002E66CF"/>
    <w:rsid w:val="002E6E59"/>
    <w:rsid w:val="002E76DF"/>
    <w:rsid w:val="002E7819"/>
    <w:rsid w:val="002F0CCD"/>
    <w:rsid w:val="002F0F99"/>
    <w:rsid w:val="002F14E0"/>
    <w:rsid w:val="002F172F"/>
    <w:rsid w:val="002F2006"/>
    <w:rsid w:val="002F2A4D"/>
    <w:rsid w:val="002F30A4"/>
    <w:rsid w:val="002F3F8A"/>
    <w:rsid w:val="002F4393"/>
    <w:rsid w:val="002F441F"/>
    <w:rsid w:val="002F4686"/>
    <w:rsid w:val="002F4FD5"/>
    <w:rsid w:val="002F645A"/>
    <w:rsid w:val="002F7134"/>
    <w:rsid w:val="002F71CE"/>
    <w:rsid w:val="002F71EE"/>
    <w:rsid w:val="002F7274"/>
    <w:rsid w:val="002F729E"/>
    <w:rsid w:val="0030010C"/>
    <w:rsid w:val="003008CD"/>
    <w:rsid w:val="00300BC3"/>
    <w:rsid w:val="00301387"/>
    <w:rsid w:val="00301394"/>
    <w:rsid w:val="00301513"/>
    <w:rsid w:val="0030198A"/>
    <w:rsid w:val="003019DD"/>
    <w:rsid w:val="00301BCC"/>
    <w:rsid w:val="00302080"/>
    <w:rsid w:val="00302133"/>
    <w:rsid w:val="00302257"/>
    <w:rsid w:val="00302440"/>
    <w:rsid w:val="00302ED7"/>
    <w:rsid w:val="003036DB"/>
    <w:rsid w:val="00303B2D"/>
    <w:rsid w:val="00303C6F"/>
    <w:rsid w:val="00304CF2"/>
    <w:rsid w:val="003064EB"/>
    <w:rsid w:val="00306A23"/>
    <w:rsid w:val="00306B34"/>
    <w:rsid w:val="003071C7"/>
    <w:rsid w:val="00307512"/>
    <w:rsid w:val="00307D6F"/>
    <w:rsid w:val="003101C2"/>
    <w:rsid w:val="00310203"/>
    <w:rsid w:val="003108AF"/>
    <w:rsid w:val="00310FC1"/>
    <w:rsid w:val="003115EB"/>
    <w:rsid w:val="00311C6A"/>
    <w:rsid w:val="003123E4"/>
    <w:rsid w:val="003126C9"/>
    <w:rsid w:val="003132E7"/>
    <w:rsid w:val="00313E1F"/>
    <w:rsid w:val="003143BD"/>
    <w:rsid w:val="0031457B"/>
    <w:rsid w:val="00314E8C"/>
    <w:rsid w:val="00314EDC"/>
    <w:rsid w:val="003151A0"/>
    <w:rsid w:val="00315F05"/>
    <w:rsid w:val="003160A8"/>
    <w:rsid w:val="00316615"/>
    <w:rsid w:val="0031692A"/>
    <w:rsid w:val="00316ABB"/>
    <w:rsid w:val="00316D46"/>
    <w:rsid w:val="00317866"/>
    <w:rsid w:val="00317983"/>
    <w:rsid w:val="00320103"/>
    <w:rsid w:val="00321084"/>
    <w:rsid w:val="00321E0E"/>
    <w:rsid w:val="00322ED0"/>
    <w:rsid w:val="00322FCC"/>
    <w:rsid w:val="0032376A"/>
    <w:rsid w:val="0032377E"/>
    <w:rsid w:val="00323D00"/>
    <w:rsid w:val="00323E3F"/>
    <w:rsid w:val="0032401E"/>
    <w:rsid w:val="00324059"/>
    <w:rsid w:val="00324333"/>
    <w:rsid w:val="00325624"/>
    <w:rsid w:val="00325771"/>
    <w:rsid w:val="00325B3A"/>
    <w:rsid w:val="0032622B"/>
    <w:rsid w:val="003263F4"/>
    <w:rsid w:val="00327427"/>
    <w:rsid w:val="003279A9"/>
    <w:rsid w:val="00327D17"/>
    <w:rsid w:val="0033001E"/>
    <w:rsid w:val="003313FF"/>
    <w:rsid w:val="00332464"/>
    <w:rsid w:val="0033249F"/>
    <w:rsid w:val="00332C36"/>
    <w:rsid w:val="00332E7F"/>
    <w:rsid w:val="003356E2"/>
    <w:rsid w:val="00335CCF"/>
    <w:rsid w:val="00336143"/>
    <w:rsid w:val="00336371"/>
    <w:rsid w:val="003365CF"/>
    <w:rsid w:val="00336F8D"/>
    <w:rsid w:val="003371EE"/>
    <w:rsid w:val="00337325"/>
    <w:rsid w:val="00337860"/>
    <w:rsid w:val="00337C93"/>
    <w:rsid w:val="00340B05"/>
    <w:rsid w:val="00340BD5"/>
    <w:rsid w:val="00340FAC"/>
    <w:rsid w:val="00341764"/>
    <w:rsid w:val="00341989"/>
    <w:rsid w:val="003420A5"/>
    <w:rsid w:val="00342236"/>
    <w:rsid w:val="00342566"/>
    <w:rsid w:val="00342A5C"/>
    <w:rsid w:val="00342AC0"/>
    <w:rsid w:val="00344CAB"/>
    <w:rsid w:val="003450BE"/>
    <w:rsid w:val="00345BB7"/>
    <w:rsid w:val="003460C9"/>
    <w:rsid w:val="0034629A"/>
    <w:rsid w:val="003469D2"/>
    <w:rsid w:val="00346F13"/>
    <w:rsid w:val="00347367"/>
    <w:rsid w:val="00347514"/>
    <w:rsid w:val="0034765F"/>
    <w:rsid w:val="00347A1C"/>
    <w:rsid w:val="00347AC2"/>
    <w:rsid w:val="00347E0F"/>
    <w:rsid w:val="00350565"/>
    <w:rsid w:val="0035088A"/>
    <w:rsid w:val="003510EE"/>
    <w:rsid w:val="00352910"/>
    <w:rsid w:val="00353962"/>
    <w:rsid w:val="00354E57"/>
    <w:rsid w:val="00355A92"/>
    <w:rsid w:val="00355AF0"/>
    <w:rsid w:val="00355F56"/>
    <w:rsid w:val="003565D6"/>
    <w:rsid w:val="0035669F"/>
    <w:rsid w:val="0035690B"/>
    <w:rsid w:val="00357139"/>
    <w:rsid w:val="00360358"/>
    <w:rsid w:val="0036059E"/>
    <w:rsid w:val="00360643"/>
    <w:rsid w:val="003612DE"/>
    <w:rsid w:val="003613E0"/>
    <w:rsid w:val="00361A2E"/>
    <w:rsid w:val="0036252F"/>
    <w:rsid w:val="0036286F"/>
    <w:rsid w:val="00362C3C"/>
    <w:rsid w:val="00363370"/>
    <w:rsid w:val="00363F14"/>
    <w:rsid w:val="003647C0"/>
    <w:rsid w:val="00364E03"/>
    <w:rsid w:val="003655C7"/>
    <w:rsid w:val="00365844"/>
    <w:rsid w:val="00365885"/>
    <w:rsid w:val="00365891"/>
    <w:rsid w:val="00365A1E"/>
    <w:rsid w:val="00365B23"/>
    <w:rsid w:val="00365F75"/>
    <w:rsid w:val="00366C8D"/>
    <w:rsid w:val="0036735E"/>
    <w:rsid w:val="00370027"/>
    <w:rsid w:val="00370527"/>
    <w:rsid w:val="00371047"/>
    <w:rsid w:val="003715AF"/>
    <w:rsid w:val="003717FD"/>
    <w:rsid w:val="00372488"/>
    <w:rsid w:val="00372A68"/>
    <w:rsid w:val="00372C45"/>
    <w:rsid w:val="00372D28"/>
    <w:rsid w:val="0037305D"/>
    <w:rsid w:val="00373068"/>
    <w:rsid w:val="003733A9"/>
    <w:rsid w:val="003735EA"/>
    <w:rsid w:val="00374324"/>
    <w:rsid w:val="00374D20"/>
    <w:rsid w:val="00375AA7"/>
    <w:rsid w:val="00376035"/>
    <w:rsid w:val="00376A5F"/>
    <w:rsid w:val="00376B4B"/>
    <w:rsid w:val="00376C2B"/>
    <w:rsid w:val="00376F67"/>
    <w:rsid w:val="003770C8"/>
    <w:rsid w:val="003807AC"/>
    <w:rsid w:val="00380B8C"/>
    <w:rsid w:val="00380ECF"/>
    <w:rsid w:val="003815EF"/>
    <w:rsid w:val="0038168B"/>
    <w:rsid w:val="003819BA"/>
    <w:rsid w:val="00382053"/>
    <w:rsid w:val="003823CF"/>
    <w:rsid w:val="0038240A"/>
    <w:rsid w:val="003829E4"/>
    <w:rsid w:val="00382F2A"/>
    <w:rsid w:val="00382FCB"/>
    <w:rsid w:val="0038315A"/>
    <w:rsid w:val="003838B5"/>
    <w:rsid w:val="00383D1C"/>
    <w:rsid w:val="003843F1"/>
    <w:rsid w:val="0038572D"/>
    <w:rsid w:val="00385D42"/>
    <w:rsid w:val="00386E8B"/>
    <w:rsid w:val="00387C2A"/>
    <w:rsid w:val="00387FDE"/>
    <w:rsid w:val="00390FA3"/>
    <w:rsid w:val="00391E80"/>
    <w:rsid w:val="00392276"/>
    <w:rsid w:val="00392C29"/>
    <w:rsid w:val="00392E49"/>
    <w:rsid w:val="00392F3B"/>
    <w:rsid w:val="0039347E"/>
    <w:rsid w:val="0039358E"/>
    <w:rsid w:val="00393900"/>
    <w:rsid w:val="00393C5A"/>
    <w:rsid w:val="003940DB"/>
    <w:rsid w:val="003942FB"/>
    <w:rsid w:val="003945B7"/>
    <w:rsid w:val="00394F54"/>
    <w:rsid w:val="00395233"/>
    <w:rsid w:val="00395314"/>
    <w:rsid w:val="0039553D"/>
    <w:rsid w:val="00395690"/>
    <w:rsid w:val="00396841"/>
    <w:rsid w:val="00396A36"/>
    <w:rsid w:val="003971DD"/>
    <w:rsid w:val="00397802"/>
    <w:rsid w:val="003A01CB"/>
    <w:rsid w:val="003A02DC"/>
    <w:rsid w:val="003A08FB"/>
    <w:rsid w:val="003A14CA"/>
    <w:rsid w:val="003A1A7B"/>
    <w:rsid w:val="003A1A8F"/>
    <w:rsid w:val="003A2240"/>
    <w:rsid w:val="003A2C94"/>
    <w:rsid w:val="003A3151"/>
    <w:rsid w:val="003A3910"/>
    <w:rsid w:val="003A3CF3"/>
    <w:rsid w:val="003A407C"/>
    <w:rsid w:val="003A40D0"/>
    <w:rsid w:val="003A4273"/>
    <w:rsid w:val="003A4712"/>
    <w:rsid w:val="003A4919"/>
    <w:rsid w:val="003A5AB5"/>
    <w:rsid w:val="003A759F"/>
    <w:rsid w:val="003B2C42"/>
    <w:rsid w:val="003B3662"/>
    <w:rsid w:val="003B4276"/>
    <w:rsid w:val="003B5A6D"/>
    <w:rsid w:val="003B5AAD"/>
    <w:rsid w:val="003B5B96"/>
    <w:rsid w:val="003B5D4F"/>
    <w:rsid w:val="003B5EE0"/>
    <w:rsid w:val="003B69B6"/>
    <w:rsid w:val="003B6E1E"/>
    <w:rsid w:val="003B6FB8"/>
    <w:rsid w:val="003B73C4"/>
    <w:rsid w:val="003B774C"/>
    <w:rsid w:val="003B7CA7"/>
    <w:rsid w:val="003B7FBC"/>
    <w:rsid w:val="003B7FDE"/>
    <w:rsid w:val="003C00DF"/>
    <w:rsid w:val="003C091C"/>
    <w:rsid w:val="003C0A87"/>
    <w:rsid w:val="003C16BD"/>
    <w:rsid w:val="003C2CB2"/>
    <w:rsid w:val="003C2EE2"/>
    <w:rsid w:val="003C31CF"/>
    <w:rsid w:val="003C38BC"/>
    <w:rsid w:val="003C3F7F"/>
    <w:rsid w:val="003C4799"/>
    <w:rsid w:val="003C4BA9"/>
    <w:rsid w:val="003C54D4"/>
    <w:rsid w:val="003C5C83"/>
    <w:rsid w:val="003C62DF"/>
    <w:rsid w:val="003C69A7"/>
    <w:rsid w:val="003C6C05"/>
    <w:rsid w:val="003C6FDA"/>
    <w:rsid w:val="003C7550"/>
    <w:rsid w:val="003C7C8F"/>
    <w:rsid w:val="003D02CC"/>
    <w:rsid w:val="003D0509"/>
    <w:rsid w:val="003D0A3F"/>
    <w:rsid w:val="003D0DF7"/>
    <w:rsid w:val="003D0E59"/>
    <w:rsid w:val="003D10D1"/>
    <w:rsid w:val="003D15E8"/>
    <w:rsid w:val="003D1A95"/>
    <w:rsid w:val="003D1CC4"/>
    <w:rsid w:val="003D1DE1"/>
    <w:rsid w:val="003D2778"/>
    <w:rsid w:val="003D27DA"/>
    <w:rsid w:val="003D2890"/>
    <w:rsid w:val="003D298E"/>
    <w:rsid w:val="003D3E2B"/>
    <w:rsid w:val="003D410E"/>
    <w:rsid w:val="003D440F"/>
    <w:rsid w:val="003D54A5"/>
    <w:rsid w:val="003D5F36"/>
    <w:rsid w:val="003D6086"/>
    <w:rsid w:val="003D6449"/>
    <w:rsid w:val="003D65AB"/>
    <w:rsid w:val="003D6C05"/>
    <w:rsid w:val="003D732B"/>
    <w:rsid w:val="003E032C"/>
    <w:rsid w:val="003E06CE"/>
    <w:rsid w:val="003E0F91"/>
    <w:rsid w:val="003E138C"/>
    <w:rsid w:val="003E1895"/>
    <w:rsid w:val="003E222D"/>
    <w:rsid w:val="003E236E"/>
    <w:rsid w:val="003E24CA"/>
    <w:rsid w:val="003E29A5"/>
    <w:rsid w:val="003E2C88"/>
    <w:rsid w:val="003E32A6"/>
    <w:rsid w:val="003E48F5"/>
    <w:rsid w:val="003E4C78"/>
    <w:rsid w:val="003E5B67"/>
    <w:rsid w:val="003E658F"/>
    <w:rsid w:val="003E66B8"/>
    <w:rsid w:val="003E74C1"/>
    <w:rsid w:val="003E7851"/>
    <w:rsid w:val="003F11E3"/>
    <w:rsid w:val="003F1469"/>
    <w:rsid w:val="003F20EB"/>
    <w:rsid w:val="003F2737"/>
    <w:rsid w:val="003F2C42"/>
    <w:rsid w:val="003F2DE3"/>
    <w:rsid w:val="003F3213"/>
    <w:rsid w:val="003F35AA"/>
    <w:rsid w:val="003F3892"/>
    <w:rsid w:val="003F4057"/>
    <w:rsid w:val="003F40CF"/>
    <w:rsid w:val="003F44B1"/>
    <w:rsid w:val="003F44C6"/>
    <w:rsid w:val="003F488E"/>
    <w:rsid w:val="003F4D81"/>
    <w:rsid w:val="003F4EA0"/>
    <w:rsid w:val="003F5232"/>
    <w:rsid w:val="003F5399"/>
    <w:rsid w:val="003F61F7"/>
    <w:rsid w:val="003F663A"/>
    <w:rsid w:val="003F679D"/>
    <w:rsid w:val="003F6A28"/>
    <w:rsid w:val="003F6BF2"/>
    <w:rsid w:val="003F6E78"/>
    <w:rsid w:val="003F6ECB"/>
    <w:rsid w:val="003F7118"/>
    <w:rsid w:val="003F7A52"/>
    <w:rsid w:val="00401590"/>
    <w:rsid w:val="004015A1"/>
    <w:rsid w:val="00401AF1"/>
    <w:rsid w:val="00401D29"/>
    <w:rsid w:val="00401DB4"/>
    <w:rsid w:val="00402B1A"/>
    <w:rsid w:val="0040467D"/>
    <w:rsid w:val="00404AC2"/>
    <w:rsid w:val="00404CA3"/>
    <w:rsid w:val="00404D85"/>
    <w:rsid w:val="0040521B"/>
    <w:rsid w:val="00405240"/>
    <w:rsid w:val="00405325"/>
    <w:rsid w:val="0040589F"/>
    <w:rsid w:val="004059EF"/>
    <w:rsid w:val="004077D8"/>
    <w:rsid w:val="00407A18"/>
    <w:rsid w:val="00410111"/>
    <w:rsid w:val="0041061D"/>
    <w:rsid w:val="00410A34"/>
    <w:rsid w:val="00410AD7"/>
    <w:rsid w:val="00411412"/>
    <w:rsid w:val="00411CC1"/>
    <w:rsid w:val="00411EA7"/>
    <w:rsid w:val="00412B3E"/>
    <w:rsid w:val="0041343A"/>
    <w:rsid w:val="00413473"/>
    <w:rsid w:val="00414A70"/>
    <w:rsid w:val="00415127"/>
    <w:rsid w:val="00415150"/>
    <w:rsid w:val="004154C0"/>
    <w:rsid w:val="00415A9D"/>
    <w:rsid w:val="00415AA9"/>
    <w:rsid w:val="004168CE"/>
    <w:rsid w:val="00417A51"/>
    <w:rsid w:val="00417B17"/>
    <w:rsid w:val="00417D8A"/>
    <w:rsid w:val="00420420"/>
    <w:rsid w:val="00420E6F"/>
    <w:rsid w:val="00422779"/>
    <w:rsid w:val="004239AD"/>
    <w:rsid w:val="00424763"/>
    <w:rsid w:val="00424A23"/>
    <w:rsid w:val="0042544A"/>
    <w:rsid w:val="0042565C"/>
    <w:rsid w:val="00425B2C"/>
    <w:rsid w:val="00425D2D"/>
    <w:rsid w:val="00425E80"/>
    <w:rsid w:val="00425ECD"/>
    <w:rsid w:val="004262AD"/>
    <w:rsid w:val="004268BE"/>
    <w:rsid w:val="00426B83"/>
    <w:rsid w:val="0042738B"/>
    <w:rsid w:val="00427BC2"/>
    <w:rsid w:val="00430200"/>
    <w:rsid w:val="0043152F"/>
    <w:rsid w:val="004315AC"/>
    <w:rsid w:val="004320BE"/>
    <w:rsid w:val="00432324"/>
    <w:rsid w:val="0043233D"/>
    <w:rsid w:val="00433072"/>
    <w:rsid w:val="00433F54"/>
    <w:rsid w:val="00434275"/>
    <w:rsid w:val="004344FF"/>
    <w:rsid w:val="004351A0"/>
    <w:rsid w:val="0043538A"/>
    <w:rsid w:val="0043628A"/>
    <w:rsid w:val="004364C1"/>
    <w:rsid w:val="0043665F"/>
    <w:rsid w:val="00436A50"/>
    <w:rsid w:val="00437401"/>
    <w:rsid w:val="00437719"/>
    <w:rsid w:val="00437759"/>
    <w:rsid w:val="00437D6C"/>
    <w:rsid w:val="00440100"/>
    <w:rsid w:val="004403BD"/>
    <w:rsid w:val="00440903"/>
    <w:rsid w:val="00441369"/>
    <w:rsid w:val="004414E5"/>
    <w:rsid w:val="00442569"/>
    <w:rsid w:val="00442B88"/>
    <w:rsid w:val="00442F5C"/>
    <w:rsid w:val="00443087"/>
    <w:rsid w:val="00443728"/>
    <w:rsid w:val="00443F9A"/>
    <w:rsid w:val="00444DAF"/>
    <w:rsid w:val="00444E4F"/>
    <w:rsid w:val="00444F22"/>
    <w:rsid w:val="00444F99"/>
    <w:rsid w:val="0044582E"/>
    <w:rsid w:val="00445961"/>
    <w:rsid w:val="004459F8"/>
    <w:rsid w:val="00445A98"/>
    <w:rsid w:val="00445AA9"/>
    <w:rsid w:val="00445AAE"/>
    <w:rsid w:val="00445BF4"/>
    <w:rsid w:val="00446010"/>
    <w:rsid w:val="00446C98"/>
    <w:rsid w:val="00446F20"/>
    <w:rsid w:val="00450D4C"/>
    <w:rsid w:val="00450F92"/>
    <w:rsid w:val="004511BC"/>
    <w:rsid w:val="0045157D"/>
    <w:rsid w:val="00451F6D"/>
    <w:rsid w:val="004522FD"/>
    <w:rsid w:val="00452636"/>
    <w:rsid w:val="00453218"/>
    <w:rsid w:val="004532CA"/>
    <w:rsid w:val="0045366E"/>
    <w:rsid w:val="00453C57"/>
    <w:rsid w:val="00453DDA"/>
    <w:rsid w:val="004548AC"/>
    <w:rsid w:val="004548C1"/>
    <w:rsid w:val="0045511C"/>
    <w:rsid w:val="004554B1"/>
    <w:rsid w:val="004554F3"/>
    <w:rsid w:val="0045576A"/>
    <w:rsid w:val="0045600E"/>
    <w:rsid w:val="004562A7"/>
    <w:rsid w:val="00456705"/>
    <w:rsid w:val="00456837"/>
    <w:rsid w:val="004569B9"/>
    <w:rsid w:val="004578F6"/>
    <w:rsid w:val="004604B2"/>
    <w:rsid w:val="00460908"/>
    <w:rsid w:val="00460B33"/>
    <w:rsid w:val="00461064"/>
    <w:rsid w:val="0046106E"/>
    <w:rsid w:val="00461193"/>
    <w:rsid w:val="00461362"/>
    <w:rsid w:val="00461849"/>
    <w:rsid w:val="00461BA2"/>
    <w:rsid w:val="004620BF"/>
    <w:rsid w:val="0046305A"/>
    <w:rsid w:val="00463695"/>
    <w:rsid w:val="00463A37"/>
    <w:rsid w:val="0046409D"/>
    <w:rsid w:val="0046471C"/>
    <w:rsid w:val="00464A9D"/>
    <w:rsid w:val="00464E2F"/>
    <w:rsid w:val="00464E97"/>
    <w:rsid w:val="0046576C"/>
    <w:rsid w:val="00465E8F"/>
    <w:rsid w:val="004660D9"/>
    <w:rsid w:val="004661B9"/>
    <w:rsid w:val="0046682E"/>
    <w:rsid w:val="004669AE"/>
    <w:rsid w:val="0046765A"/>
    <w:rsid w:val="00467DAB"/>
    <w:rsid w:val="004703E1"/>
    <w:rsid w:val="00470768"/>
    <w:rsid w:val="004708AA"/>
    <w:rsid w:val="00470A90"/>
    <w:rsid w:val="00471323"/>
    <w:rsid w:val="00471909"/>
    <w:rsid w:val="00472197"/>
    <w:rsid w:val="004722B5"/>
    <w:rsid w:val="00472398"/>
    <w:rsid w:val="0047248E"/>
    <w:rsid w:val="004732A5"/>
    <w:rsid w:val="004741D8"/>
    <w:rsid w:val="00474367"/>
    <w:rsid w:val="004745A3"/>
    <w:rsid w:val="004745B6"/>
    <w:rsid w:val="00474A2A"/>
    <w:rsid w:val="00476E80"/>
    <w:rsid w:val="0047710A"/>
    <w:rsid w:val="0047718E"/>
    <w:rsid w:val="004772D1"/>
    <w:rsid w:val="00477D9D"/>
    <w:rsid w:val="00477DD7"/>
    <w:rsid w:val="00477E05"/>
    <w:rsid w:val="0048036B"/>
    <w:rsid w:val="00480509"/>
    <w:rsid w:val="00480596"/>
    <w:rsid w:val="00480722"/>
    <w:rsid w:val="004809BA"/>
    <w:rsid w:val="00480AF4"/>
    <w:rsid w:val="0048160E"/>
    <w:rsid w:val="00481664"/>
    <w:rsid w:val="00483061"/>
    <w:rsid w:val="004833CE"/>
    <w:rsid w:val="00483C40"/>
    <w:rsid w:val="00483CE2"/>
    <w:rsid w:val="0048412E"/>
    <w:rsid w:val="004843D2"/>
    <w:rsid w:val="00484620"/>
    <w:rsid w:val="00484D77"/>
    <w:rsid w:val="00484EC1"/>
    <w:rsid w:val="00485347"/>
    <w:rsid w:val="00485597"/>
    <w:rsid w:val="00486FE7"/>
    <w:rsid w:val="0048710D"/>
    <w:rsid w:val="004876F6"/>
    <w:rsid w:val="004877DD"/>
    <w:rsid w:val="004903B9"/>
    <w:rsid w:val="00490AD9"/>
    <w:rsid w:val="00491093"/>
    <w:rsid w:val="00491424"/>
    <w:rsid w:val="00491A5C"/>
    <w:rsid w:val="00491F05"/>
    <w:rsid w:val="00492AF7"/>
    <w:rsid w:val="00492E5C"/>
    <w:rsid w:val="00493525"/>
    <w:rsid w:val="00493ABD"/>
    <w:rsid w:val="0049468B"/>
    <w:rsid w:val="00494854"/>
    <w:rsid w:val="00494D8A"/>
    <w:rsid w:val="0049547B"/>
    <w:rsid w:val="0049573D"/>
    <w:rsid w:val="00495BB9"/>
    <w:rsid w:val="00496AB3"/>
    <w:rsid w:val="00496C35"/>
    <w:rsid w:val="00496FDD"/>
    <w:rsid w:val="00497270"/>
    <w:rsid w:val="004A01CB"/>
    <w:rsid w:val="004A03AF"/>
    <w:rsid w:val="004A03CB"/>
    <w:rsid w:val="004A0924"/>
    <w:rsid w:val="004A113D"/>
    <w:rsid w:val="004A3E78"/>
    <w:rsid w:val="004A46E6"/>
    <w:rsid w:val="004A492C"/>
    <w:rsid w:val="004A530A"/>
    <w:rsid w:val="004A6E52"/>
    <w:rsid w:val="004A7096"/>
    <w:rsid w:val="004A7562"/>
    <w:rsid w:val="004A7C72"/>
    <w:rsid w:val="004B18F4"/>
    <w:rsid w:val="004B1BEE"/>
    <w:rsid w:val="004B1D59"/>
    <w:rsid w:val="004B1D6D"/>
    <w:rsid w:val="004B28E4"/>
    <w:rsid w:val="004B2FBF"/>
    <w:rsid w:val="004B3B79"/>
    <w:rsid w:val="004B3B93"/>
    <w:rsid w:val="004B45D5"/>
    <w:rsid w:val="004B4D6B"/>
    <w:rsid w:val="004B5055"/>
    <w:rsid w:val="004B60AA"/>
    <w:rsid w:val="004B612B"/>
    <w:rsid w:val="004B7385"/>
    <w:rsid w:val="004B7716"/>
    <w:rsid w:val="004B7C42"/>
    <w:rsid w:val="004C0DC8"/>
    <w:rsid w:val="004C1727"/>
    <w:rsid w:val="004C19C9"/>
    <w:rsid w:val="004C21F6"/>
    <w:rsid w:val="004C24D0"/>
    <w:rsid w:val="004C2F42"/>
    <w:rsid w:val="004C30C5"/>
    <w:rsid w:val="004C3820"/>
    <w:rsid w:val="004C3877"/>
    <w:rsid w:val="004C3AC0"/>
    <w:rsid w:val="004C3B0B"/>
    <w:rsid w:val="004C3B77"/>
    <w:rsid w:val="004C3F6D"/>
    <w:rsid w:val="004C47F2"/>
    <w:rsid w:val="004C49FE"/>
    <w:rsid w:val="004C522D"/>
    <w:rsid w:val="004C5597"/>
    <w:rsid w:val="004C55D3"/>
    <w:rsid w:val="004C56BF"/>
    <w:rsid w:val="004C6492"/>
    <w:rsid w:val="004C6E22"/>
    <w:rsid w:val="004C746C"/>
    <w:rsid w:val="004C75C7"/>
    <w:rsid w:val="004C76A7"/>
    <w:rsid w:val="004C78C7"/>
    <w:rsid w:val="004C7C01"/>
    <w:rsid w:val="004D1E4B"/>
    <w:rsid w:val="004D21D5"/>
    <w:rsid w:val="004D2562"/>
    <w:rsid w:val="004D275B"/>
    <w:rsid w:val="004D2EB6"/>
    <w:rsid w:val="004D3302"/>
    <w:rsid w:val="004D37AE"/>
    <w:rsid w:val="004D3A6C"/>
    <w:rsid w:val="004D3CDA"/>
    <w:rsid w:val="004D3E75"/>
    <w:rsid w:val="004D430F"/>
    <w:rsid w:val="004D49AC"/>
    <w:rsid w:val="004D4DEF"/>
    <w:rsid w:val="004D5134"/>
    <w:rsid w:val="004D5196"/>
    <w:rsid w:val="004D529E"/>
    <w:rsid w:val="004D5330"/>
    <w:rsid w:val="004D55AE"/>
    <w:rsid w:val="004D5A8B"/>
    <w:rsid w:val="004D5AC1"/>
    <w:rsid w:val="004D5AE5"/>
    <w:rsid w:val="004D5C4A"/>
    <w:rsid w:val="004D5FA0"/>
    <w:rsid w:val="004D6D54"/>
    <w:rsid w:val="004D6DD6"/>
    <w:rsid w:val="004D71E3"/>
    <w:rsid w:val="004D7956"/>
    <w:rsid w:val="004D79D6"/>
    <w:rsid w:val="004E0152"/>
    <w:rsid w:val="004E03A0"/>
    <w:rsid w:val="004E0A57"/>
    <w:rsid w:val="004E0B69"/>
    <w:rsid w:val="004E128C"/>
    <w:rsid w:val="004E1681"/>
    <w:rsid w:val="004E25D5"/>
    <w:rsid w:val="004E2693"/>
    <w:rsid w:val="004E344A"/>
    <w:rsid w:val="004E3855"/>
    <w:rsid w:val="004E39B6"/>
    <w:rsid w:val="004E3AA2"/>
    <w:rsid w:val="004E4184"/>
    <w:rsid w:val="004E5683"/>
    <w:rsid w:val="004E58DF"/>
    <w:rsid w:val="004E59A9"/>
    <w:rsid w:val="004E5AB4"/>
    <w:rsid w:val="004E6501"/>
    <w:rsid w:val="004E6D5A"/>
    <w:rsid w:val="004E6DAB"/>
    <w:rsid w:val="004E6DE6"/>
    <w:rsid w:val="004E6E9A"/>
    <w:rsid w:val="004E702E"/>
    <w:rsid w:val="004E7170"/>
    <w:rsid w:val="004E74A9"/>
    <w:rsid w:val="004F0CBE"/>
    <w:rsid w:val="004F13AC"/>
    <w:rsid w:val="004F2903"/>
    <w:rsid w:val="004F2E21"/>
    <w:rsid w:val="004F2EE2"/>
    <w:rsid w:val="004F400E"/>
    <w:rsid w:val="004F45A3"/>
    <w:rsid w:val="004F4903"/>
    <w:rsid w:val="004F4982"/>
    <w:rsid w:val="004F49FE"/>
    <w:rsid w:val="004F4EF0"/>
    <w:rsid w:val="004F5835"/>
    <w:rsid w:val="004F5B96"/>
    <w:rsid w:val="004F630D"/>
    <w:rsid w:val="004F64E0"/>
    <w:rsid w:val="004F6BCA"/>
    <w:rsid w:val="004F75ED"/>
    <w:rsid w:val="00501682"/>
    <w:rsid w:val="005019F1"/>
    <w:rsid w:val="00501A6C"/>
    <w:rsid w:val="00501CA0"/>
    <w:rsid w:val="00502191"/>
    <w:rsid w:val="00502221"/>
    <w:rsid w:val="0050399D"/>
    <w:rsid w:val="0050436A"/>
    <w:rsid w:val="00504A25"/>
    <w:rsid w:val="00504D77"/>
    <w:rsid w:val="0050580C"/>
    <w:rsid w:val="00505A11"/>
    <w:rsid w:val="00505DD4"/>
    <w:rsid w:val="0050614A"/>
    <w:rsid w:val="00506174"/>
    <w:rsid w:val="00506756"/>
    <w:rsid w:val="00506C47"/>
    <w:rsid w:val="00506E40"/>
    <w:rsid w:val="005077D2"/>
    <w:rsid w:val="005105B0"/>
    <w:rsid w:val="00510A15"/>
    <w:rsid w:val="00510F14"/>
    <w:rsid w:val="00510F2A"/>
    <w:rsid w:val="005115DC"/>
    <w:rsid w:val="005126D2"/>
    <w:rsid w:val="00512776"/>
    <w:rsid w:val="00512ADF"/>
    <w:rsid w:val="00512BDB"/>
    <w:rsid w:val="005132DD"/>
    <w:rsid w:val="00513B04"/>
    <w:rsid w:val="005143DC"/>
    <w:rsid w:val="00514642"/>
    <w:rsid w:val="00515653"/>
    <w:rsid w:val="00515B57"/>
    <w:rsid w:val="005162DA"/>
    <w:rsid w:val="00516964"/>
    <w:rsid w:val="00516A67"/>
    <w:rsid w:val="0051739F"/>
    <w:rsid w:val="005174A8"/>
    <w:rsid w:val="00517770"/>
    <w:rsid w:val="00517F99"/>
    <w:rsid w:val="0052091B"/>
    <w:rsid w:val="00520A32"/>
    <w:rsid w:val="00521181"/>
    <w:rsid w:val="0052199A"/>
    <w:rsid w:val="00522059"/>
    <w:rsid w:val="005225C1"/>
    <w:rsid w:val="005226ED"/>
    <w:rsid w:val="00522A60"/>
    <w:rsid w:val="00522DFC"/>
    <w:rsid w:val="00522FE7"/>
    <w:rsid w:val="00523252"/>
    <w:rsid w:val="005235C2"/>
    <w:rsid w:val="0052367C"/>
    <w:rsid w:val="00523D16"/>
    <w:rsid w:val="00524470"/>
    <w:rsid w:val="0052473F"/>
    <w:rsid w:val="00524C12"/>
    <w:rsid w:val="00524E1F"/>
    <w:rsid w:val="00524EA1"/>
    <w:rsid w:val="00525225"/>
    <w:rsid w:val="00525275"/>
    <w:rsid w:val="00525B2C"/>
    <w:rsid w:val="00525B45"/>
    <w:rsid w:val="00526215"/>
    <w:rsid w:val="005263C6"/>
    <w:rsid w:val="00526665"/>
    <w:rsid w:val="0052687F"/>
    <w:rsid w:val="005271D1"/>
    <w:rsid w:val="00530712"/>
    <w:rsid w:val="00530787"/>
    <w:rsid w:val="00530CE2"/>
    <w:rsid w:val="00531A4D"/>
    <w:rsid w:val="00531B76"/>
    <w:rsid w:val="005323BB"/>
    <w:rsid w:val="00532408"/>
    <w:rsid w:val="00533359"/>
    <w:rsid w:val="005337D1"/>
    <w:rsid w:val="00533A01"/>
    <w:rsid w:val="0053494C"/>
    <w:rsid w:val="005358AE"/>
    <w:rsid w:val="00535AAC"/>
    <w:rsid w:val="00535AFD"/>
    <w:rsid w:val="00535DBF"/>
    <w:rsid w:val="00535DFC"/>
    <w:rsid w:val="00536686"/>
    <w:rsid w:val="005367A7"/>
    <w:rsid w:val="00536D62"/>
    <w:rsid w:val="005371F5"/>
    <w:rsid w:val="005375CB"/>
    <w:rsid w:val="00537839"/>
    <w:rsid w:val="00537CFA"/>
    <w:rsid w:val="00537FBB"/>
    <w:rsid w:val="00540449"/>
    <w:rsid w:val="00540F26"/>
    <w:rsid w:val="00540FD1"/>
    <w:rsid w:val="00541953"/>
    <w:rsid w:val="00541B06"/>
    <w:rsid w:val="00542B89"/>
    <w:rsid w:val="0054519E"/>
    <w:rsid w:val="005452B3"/>
    <w:rsid w:val="005465E0"/>
    <w:rsid w:val="00547193"/>
    <w:rsid w:val="00547264"/>
    <w:rsid w:val="005475F5"/>
    <w:rsid w:val="00547F53"/>
    <w:rsid w:val="00550105"/>
    <w:rsid w:val="00550507"/>
    <w:rsid w:val="00550911"/>
    <w:rsid w:val="00551262"/>
    <w:rsid w:val="0055159D"/>
    <w:rsid w:val="00551631"/>
    <w:rsid w:val="0055182C"/>
    <w:rsid w:val="00552ED3"/>
    <w:rsid w:val="0055494C"/>
    <w:rsid w:val="005551E5"/>
    <w:rsid w:val="00555843"/>
    <w:rsid w:val="00555AC6"/>
    <w:rsid w:val="00555CD3"/>
    <w:rsid w:val="00555CD8"/>
    <w:rsid w:val="0055600F"/>
    <w:rsid w:val="00556A05"/>
    <w:rsid w:val="00556D4C"/>
    <w:rsid w:val="00556D92"/>
    <w:rsid w:val="00557128"/>
    <w:rsid w:val="00557203"/>
    <w:rsid w:val="00557CF1"/>
    <w:rsid w:val="0056044D"/>
    <w:rsid w:val="00560895"/>
    <w:rsid w:val="00560BF3"/>
    <w:rsid w:val="00560E89"/>
    <w:rsid w:val="00561118"/>
    <w:rsid w:val="00561697"/>
    <w:rsid w:val="00561A14"/>
    <w:rsid w:val="00562C5E"/>
    <w:rsid w:val="00563184"/>
    <w:rsid w:val="0056329E"/>
    <w:rsid w:val="00563CC1"/>
    <w:rsid w:val="00563D0F"/>
    <w:rsid w:val="00563F2E"/>
    <w:rsid w:val="005641B8"/>
    <w:rsid w:val="0056488E"/>
    <w:rsid w:val="00564B8B"/>
    <w:rsid w:val="00566889"/>
    <w:rsid w:val="0056690C"/>
    <w:rsid w:val="00566B87"/>
    <w:rsid w:val="00566F24"/>
    <w:rsid w:val="00567083"/>
    <w:rsid w:val="00567193"/>
    <w:rsid w:val="005675A3"/>
    <w:rsid w:val="00570444"/>
    <w:rsid w:val="0057076D"/>
    <w:rsid w:val="005713AC"/>
    <w:rsid w:val="00571CBB"/>
    <w:rsid w:val="005721EB"/>
    <w:rsid w:val="00572348"/>
    <w:rsid w:val="0057260F"/>
    <w:rsid w:val="0057264D"/>
    <w:rsid w:val="0057321A"/>
    <w:rsid w:val="00573C19"/>
    <w:rsid w:val="0057415E"/>
    <w:rsid w:val="00574515"/>
    <w:rsid w:val="005746D3"/>
    <w:rsid w:val="00574A29"/>
    <w:rsid w:val="00574FAD"/>
    <w:rsid w:val="005751E9"/>
    <w:rsid w:val="00575A5C"/>
    <w:rsid w:val="005760C8"/>
    <w:rsid w:val="005764CB"/>
    <w:rsid w:val="00576581"/>
    <w:rsid w:val="00576FC3"/>
    <w:rsid w:val="0057725E"/>
    <w:rsid w:val="005778D3"/>
    <w:rsid w:val="005807D1"/>
    <w:rsid w:val="00580BE0"/>
    <w:rsid w:val="00581268"/>
    <w:rsid w:val="00581C29"/>
    <w:rsid w:val="00581CFE"/>
    <w:rsid w:val="00582592"/>
    <w:rsid w:val="00582EAD"/>
    <w:rsid w:val="00582F74"/>
    <w:rsid w:val="005832EC"/>
    <w:rsid w:val="005834D9"/>
    <w:rsid w:val="00583B1B"/>
    <w:rsid w:val="00583FBE"/>
    <w:rsid w:val="00584673"/>
    <w:rsid w:val="00584C9B"/>
    <w:rsid w:val="005853B9"/>
    <w:rsid w:val="005854F0"/>
    <w:rsid w:val="0058596A"/>
    <w:rsid w:val="00585BA9"/>
    <w:rsid w:val="00586C93"/>
    <w:rsid w:val="00586D8B"/>
    <w:rsid w:val="00587077"/>
    <w:rsid w:val="0058715A"/>
    <w:rsid w:val="00587E1B"/>
    <w:rsid w:val="0059000B"/>
    <w:rsid w:val="005906D2"/>
    <w:rsid w:val="00590860"/>
    <w:rsid w:val="005910C4"/>
    <w:rsid w:val="005915A5"/>
    <w:rsid w:val="005933A1"/>
    <w:rsid w:val="00593986"/>
    <w:rsid w:val="005942F5"/>
    <w:rsid w:val="00594CA3"/>
    <w:rsid w:val="005958E9"/>
    <w:rsid w:val="00595D95"/>
    <w:rsid w:val="00595DF3"/>
    <w:rsid w:val="00596093"/>
    <w:rsid w:val="00597572"/>
    <w:rsid w:val="005979B2"/>
    <w:rsid w:val="00597F9D"/>
    <w:rsid w:val="005A02F6"/>
    <w:rsid w:val="005A142B"/>
    <w:rsid w:val="005A1B7E"/>
    <w:rsid w:val="005A2507"/>
    <w:rsid w:val="005A2856"/>
    <w:rsid w:val="005A28FA"/>
    <w:rsid w:val="005A2DC7"/>
    <w:rsid w:val="005A3592"/>
    <w:rsid w:val="005A42AE"/>
    <w:rsid w:val="005A454D"/>
    <w:rsid w:val="005A4615"/>
    <w:rsid w:val="005A501B"/>
    <w:rsid w:val="005A5193"/>
    <w:rsid w:val="005A52AA"/>
    <w:rsid w:val="005A53BB"/>
    <w:rsid w:val="005A586D"/>
    <w:rsid w:val="005A5FEA"/>
    <w:rsid w:val="005A74FA"/>
    <w:rsid w:val="005B02D8"/>
    <w:rsid w:val="005B0480"/>
    <w:rsid w:val="005B1095"/>
    <w:rsid w:val="005B1CB2"/>
    <w:rsid w:val="005B1E04"/>
    <w:rsid w:val="005B1E93"/>
    <w:rsid w:val="005B2166"/>
    <w:rsid w:val="005B33B4"/>
    <w:rsid w:val="005B3438"/>
    <w:rsid w:val="005B377D"/>
    <w:rsid w:val="005B3837"/>
    <w:rsid w:val="005B386C"/>
    <w:rsid w:val="005B3EC3"/>
    <w:rsid w:val="005B4343"/>
    <w:rsid w:val="005B467A"/>
    <w:rsid w:val="005B4974"/>
    <w:rsid w:val="005B49D8"/>
    <w:rsid w:val="005B4D4C"/>
    <w:rsid w:val="005B4E14"/>
    <w:rsid w:val="005B4F93"/>
    <w:rsid w:val="005B5321"/>
    <w:rsid w:val="005B5696"/>
    <w:rsid w:val="005B59EB"/>
    <w:rsid w:val="005B5B2D"/>
    <w:rsid w:val="005B5F5E"/>
    <w:rsid w:val="005B6689"/>
    <w:rsid w:val="005B6B20"/>
    <w:rsid w:val="005B7046"/>
    <w:rsid w:val="005B70B2"/>
    <w:rsid w:val="005C00D5"/>
    <w:rsid w:val="005C02F2"/>
    <w:rsid w:val="005C1BCA"/>
    <w:rsid w:val="005C1D86"/>
    <w:rsid w:val="005C1DF0"/>
    <w:rsid w:val="005C1E83"/>
    <w:rsid w:val="005C375B"/>
    <w:rsid w:val="005C4259"/>
    <w:rsid w:val="005C4A22"/>
    <w:rsid w:val="005C4C26"/>
    <w:rsid w:val="005C4C2E"/>
    <w:rsid w:val="005C4D93"/>
    <w:rsid w:val="005C5039"/>
    <w:rsid w:val="005C565B"/>
    <w:rsid w:val="005C5B56"/>
    <w:rsid w:val="005C5B88"/>
    <w:rsid w:val="005C5C1E"/>
    <w:rsid w:val="005C5E9A"/>
    <w:rsid w:val="005C6127"/>
    <w:rsid w:val="005C67B0"/>
    <w:rsid w:val="005C67E7"/>
    <w:rsid w:val="005C6B53"/>
    <w:rsid w:val="005C73B1"/>
    <w:rsid w:val="005C741D"/>
    <w:rsid w:val="005D0041"/>
    <w:rsid w:val="005D067B"/>
    <w:rsid w:val="005D0D81"/>
    <w:rsid w:val="005D0DF5"/>
    <w:rsid w:val="005D1A5E"/>
    <w:rsid w:val="005D1AC8"/>
    <w:rsid w:val="005D1EDD"/>
    <w:rsid w:val="005D2097"/>
    <w:rsid w:val="005D211F"/>
    <w:rsid w:val="005D3040"/>
    <w:rsid w:val="005D30E7"/>
    <w:rsid w:val="005D31B9"/>
    <w:rsid w:val="005D40E1"/>
    <w:rsid w:val="005D4671"/>
    <w:rsid w:val="005D4BA8"/>
    <w:rsid w:val="005D4C71"/>
    <w:rsid w:val="005D587D"/>
    <w:rsid w:val="005D6023"/>
    <w:rsid w:val="005D604C"/>
    <w:rsid w:val="005D615C"/>
    <w:rsid w:val="005D616D"/>
    <w:rsid w:val="005D666B"/>
    <w:rsid w:val="005D6D23"/>
    <w:rsid w:val="005D7E59"/>
    <w:rsid w:val="005E0726"/>
    <w:rsid w:val="005E115E"/>
    <w:rsid w:val="005E119D"/>
    <w:rsid w:val="005E1636"/>
    <w:rsid w:val="005E1686"/>
    <w:rsid w:val="005E2334"/>
    <w:rsid w:val="005E2941"/>
    <w:rsid w:val="005E3076"/>
    <w:rsid w:val="005E3190"/>
    <w:rsid w:val="005E3816"/>
    <w:rsid w:val="005E3ADA"/>
    <w:rsid w:val="005E4268"/>
    <w:rsid w:val="005E46FF"/>
    <w:rsid w:val="005E4E88"/>
    <w:rsid w:val="005E534E"/>
    <w:rsid w:val="005E5A5A"/>
    <w:rsid w:val="005E6D71"/>
    <w:rsid w:val="005E7328"/>
    <w:rsid w:val="005E7355"/>
    <w:rsid w:val="005E7F5F"/>
    <w:rsid w:val="005F04C9"/>
    <w:rsid w:val="005F15B0"/>
    <w:rsid w:val="005F199A"/>
    <w:rsid w:val="005F301E"/>
    <w:rsid w:val="005F3664"/>
    <w:rsid w:val="005F36A6"/>
    <w:rsid w:val="005F38DF"/>
    <w:rsid w:val="005F3ACA"/>
    <w:rsid w:val="005F3BAD"/>
    <w:rsid w:val="005F3D78"/>
    <w:rsid w:val="005F3D8B"/>
    <w:rsid w:val="005F424C"/>
    <w:rsid w:val="005F4F26"/>
    <w:rsid w:val="005F55C1"/>
    <w:rsid w:val="005F5E78"/>
    <w:rsid w:val="005F6336"/>
    <w:rsid w:val="005F6338"/>
    <w:rsid w:val="005F6D5B"/>
    <w:rsid w:val="005F74A1"/>
    <w:rsid w:val="005F7DD6"/>
    <w:rsid w:val="005F7FEC"/>
    <w:rsid w:val="005F7FF3"/>
    <w:rsid w:val="00600AC1"/>
    <w:rsid w:val="00601410"/>
    <w:rsid w:val="006021AD"/>
    <w:rsid w:val="0060221C"/>
    <w:rsid w:val="00602A50"/>
    <w:rsid w:val="00602C99"/>
    <w:rsid w:val="006033B7"/>
    <w:rsid w:val="006035B5"/>
    <w:rsid w:val="00603655"/>
    <w:rsid w:val="00603BE8"/>
    <w:rsid w:val="00603EDA"/>
    <w:rsid w:val="0060426D"/>
    <w:rsid w:val="0060472D"/>
    <w:rsid w:val="006050E6"/>
    <w:rsid w:val="0060511E"/>
    <w:rsid w:val="006055F7"/>
    <w:rsid w:val="00605F52"/>
    <w:rsid w:val="0060615F"/>
    <w:rsid w:val="00606211"/>
    <w:rsid w:val="006064B2"/>
    <w:rsid w:val="00606780"/>
    <w:rsid w:val="00606BAB"/>
    <w:rsid w:val="00607295"/>
    <w:rsid w:val="00607649"/>
    <w:rsid w:val="00607D0B"/>
    <w:rsid w:val="00607F3E"/>
    <w:rsid w:val="00610944"/>
    <w:rsid w:val="00610ABF"/>
    <w:rsid w:val="00610F0C"/>
    <w:rsid w:val="00611495"/>
    <w:rsid w:val="00611575"/>
    <w:rsid w:val="00611A45"/>
    <w:rsid w:val="00611E8D"/>
    <w:rsid w:val="00611F54"/>
    <w:rsid w:val="006122B8"/>
    <w:rsid w:val="00612452"/>
    <w:rsid w:val="0061286A"/>
    <w:rsid w:val="00612C35"/>
    <w:rsid w:val="00612ED5"/>
    <w:rsid w:val="00612F5A"/>
    <w:rsid w:val="00613393"/>
    <w:rsid w:val="0061431D"/>
    <w:rsid w:val="006143BF"/>
    <w:rsid w:val="00614D10"/>
    <w:rsid w:val="00614D26"/>
    <w:rsid w:val="00615203"/>
    <w:rsid w:val="00615926"/>
    <w:rsid w:val="0061598E"/>
    <w:rsid w:val="00615FEB"/>
    <w:rsid w:val="0061605D"/>
    <w:rsid w:val="006160A2"/>
    <w:rsid w:val="006160B7"/>
    <w:rsid w:val="0061786B"/>
    <w:rsid w:val="00620413"/>
    <w:rsid w:val="006209FA"/>
    <w:rsid w:val="00620D4B"/>
    <w:rsid w:val="00621142"/>
    <w:rsid w:val="00621878"/>
    <w:rsid w:val="00621E32"/>
    <w:rsid w:val="006221C2"/>
    <w:rsid w:val="006225FE"/>
    <w:rsid w:val="006232EB"/>
    <w:rsid w:val="006237B5"/>
    <w:rsid w:val="006238BB"/>
    <w:rsid w:val="00623C3F"/>
    <w:rsid w:val="00623C42"/>
    <w:rsid w:val="00624F10"/>
    <w:rsid w:val="00625049"/>
    <w:rsid w:val="00625420"/>
    <w:rsid w:val="0062710E"/>
    <w:rsid w:val="006272C2"/>
    <w:rsid w:val="00627433"/>
    <w:rsid w:val="00627A6D"/>
    <w:rsid w:val="006303A3"/>
    <w:rsid w:val="006303BF"/>
    <w:rsid w:val="0063121B"/>
    <w:rsid w:val="0063156F"/>
    <w:rsid w:val="006317C0"/>
    <w:rsid w:val="00631F96"/>
    <w:rsid w:val="0063441F"/>
    <w:rsid w:val="006345A0"/>
    <w:rsid w:val="00634A8E"/>
    <w:rsid w:val="00635125"/>
    <w:rsid w:val="00635619"/>
    <w:rsid w:val="0063580C"/>
    <w:rsid w:val="00635F14"/>
    <w:rsid w:val="00637EA2"/>
    <w:rsid w:val="00640928"/>
    <w:rsid w:val="00640962"/>
    <w:rsid w:val="006409A6"/>
    <w:rsid w:val="00640A16"/>
    <w:rsid w:val="00641E59"/>
    <w:rsid w:val="00642200"/>
    <w:rsid w:val="0064221A"/>
    <w:rsid w:val="006432AC"/>
    <w:rsid w:val="006436D4"/>
    <w:rsid w:val="00643F99"/>
    <w:rsid w:val="006445DD"/>
    <w:rsid w:val="00644935"/>
    <w:rsid w:val="00644CD4"/>
    <w:rsid w:val="00644CFA"/>
    <w:rsid w:val="00644F93"/>
    <w:rsid w:val="00645279"/>
    <w:rsid w:val="006452B3"/>
    <w:rsid w:val="00645312"/>
    <w:rsid w:val="006455B6"/>
    <w:rsid w:val="00645618"/>
    <w:rsid w:val="00645B7B"/>
    <w:rsid w:val="00646501"/>
    <w:rsid w:val="006465D7"/>
    <w:rsid w:val="0064736F"/>
    <w:rsid w:val="00647590"/>
    <w:rsid w:val="00647CA3"/>
    <w:rsid w:val="00647D75"/>
    <w:rsid w:val="00650642"/>
    <w:rsid w:val="00650789"/>
    <w:rsid w:val="00650C35"/>
    <w:rsid w:val="00650DD7"/>
    <w:rsid w:val="00651861"/>
    <w:rsid w:val="006519F8"/>
    <w:rsid w:val="006520BC"/>
    <w:rsid w:val="00652171"/>
    <w:rsid w:val="0065238F"/>
    <w:rsid w:val="00652AC9"/>
    <w:rsid w:val="0065341A"/>
    <w:rsid w:val="00653479"/>
    <w:rsid w:val="00653637"/>
    <w:rsid w:val="00653B5B"/>
    <w:rsid w:val="00653BC7"/>
    <w:rsid w:val="00654865"/>
    <w:rsid w:val="0065497A"/>
    <w:rsid w:val="006549C8"/>
    <w:rsid w:val="00654B19"/>
    <w:rsid w:val="00655164"/>
    <w:rsid w:val="0065568B"/>
    <w:rsid w:val="006556F8"/>
    <w:rsid w:val="006557C5"/>
    <w:rsid w:val="00655A6C"/>
    <w:rsid w:val="00655CCE"/>
    <w:rsid w:val="00656274"/>
    <w:rsid w:val="006564CB"/>
    <w:rsid w:val="006574A7"/>
    <w:rsid w:val="00657648"/>
    <w:rsid w:val="006577D0"/>
    <w:rsid w:val="00657869"/>
    <w:rsid w:val="0066007D"/>
    <w:rsid w:val="0066034F"/>
    <w:rsid w:val="006603CC"/>
    <w:rsid w:val="00660453"/>
    <w:rsid w:val="00660B16"/>
    <w:rsid w:val="00660E43"/>
    <w:rsid w:val="00660FDD"/>
    <w:rsid w:val="006610DB"/>
    <w:rsid w:val="00661545"/>
    <w:rsid w:val="0066170E"/>
    <w:rsid w:val="00661963"/>
    <w:rsid w:val="00661B01"/>
    <w:rsid w:val="00662A3D"/>
    <w:rsid w:val="006632A1"/>
    <w:rsid w:val="00663BC8"/>
    <w:rsid w:val="00664889"/>
    <w:rsid w:val="00664E2E"/>
    <w:rsid w:val="0066511C"/>
    <w:rsid w:val="006659A9"/>
    <w:rsid w:val="00666245"/>
    <w:rsid w:val="00666309"/>
    <w:rsid w:val="0066686F"/>
    <w:rsid w:val="00667082"/>
    <w:rsid w:val="00667596"/>
    <w:rsid w:val="006707B8"/>
    <w:rsid w:val="00671587"/>
    <w:rsid w:val="00672009"/>
    <w:rsid w:val="00672661"/>
    <w:rsid w:val="00672674"/>
    <w:rsid w:val="00672CF0"/>
    <w:rsid w:val="006732FD"/>
    <w:rsid w:val="006735C8"/>
    <w:rsid w:val="00673A80"/>
    <w:rsid w:val="00674220"/>
    <w:rsid w:val="006746A3"/>
    <w:rsid w:val="0067477A"/>
    <w:rsid w:val="0067654F"/>
    <w:rsid w:val="0067716A"/>
    <w:rsid w:val="006774B0"/>
    <w:rsid w:val="006775A2"/>
    <w:rsid w:val="00677A8A"/>
    <w:rsid w:val="00677F91"/>
    <w:rsid w:val="0068135B"/>
    <w:rsid w:val="0068195E"/>
    <w:rsid w:val="00681A53"/>
    <w:rsid w:val="006823DB"/>
    <w:rsid w:val="00682D85"/>
    <w:rsid w:val="0068341B"/>
    <w:rsid w:val="0068341E"/>
    <w:rsid w:val="00683D92"/>
    <w:rsid w:val="006843D8"/>
    <w:rsid w:val="006848CF"/>
    <w:rsid w:val="0068523D"/>
    <w:rsid w:val="00686307"/>
    <w:rsid w:val="006866C7"/>
    <w:rsid w:val="006871DF"/>
    <w:rsid w:val="00687565"/>
    <w:rsid w:val="00690810"/>
    <w:rsid w:val="00690CE6"/>
    <w:rsid w:val="00690D18"/>
    <w:rsid w:val="00690E50"/>
    <w:rsid w:val="0069171D"/>
    <w:rsid w:val="00691821"/>
    <w:rsid w:val="00691DEF"/>
    <w:rsid w:val="00692064"/>
    <w:rsid w:val="006922B5"/>
    <w:rsid w:val="006922B6"/>
    <w:rsid w:val="00692C25"/>
    <w:rsid w:val="00692DAC"/>
    <w:rsid w:val="00692E76"/>
    <w:rsid w:val="00693448"/>
    <w:rsid w:val="00693724"/>
    <w:rsid w:val="006937FF"/>
    <w:rsid w:val="006939F3"/>
    <w:rsid w:val="00693D3A"/>
    <w:rsid w:val="006941AE"/>
    <w:rsid w:val="00695318"/>
    <w:rsid w:val="00695558"/>
    <w:rsid w:val="00695808"/>
    <w:rsid w:val="006973EA"/>
    <w:rsid w:val="006A010C"/>
    <w:rsid w:val="006A0898"/>
    <w:rsid w:val="006A0AD0"/>
    <w:rsid w:val="006A0E7E"/>
    <w:rsid w:val="006A0F55"/>
    <w:rsid w:val="006A117F"/>
    <w:rsid w:val="006A1333"/>
    <w:rsid w:val="006A143C"/>
    <w:rsid w:val="006A1471"/>
    <w:rsid w:val="006A1737"/>
    <w:rsid w:val="006A181C"/>
    <w:rsid w:val="006A225A"/>
    <w:rsid w:val="006A39D2"/>
    <w:rsid w:val="006A47EA"/>
    <w:rsid w:val="006A4973"/>
    <w:rsid w:val="006A4C4B"/>
    <w:rsid w:val="006A5244"/>
    <w:rsid w:val="006A565A"/>
    <w:rsid w:val="006A589A"/>
    <w:rsid w:val="006A6854"/>
    <w:rsid w:val="006A69A8"/>
    <w:rsid w:val="006A7188"/>
    <w:rsid w:val="006A73B1"/>
    <w:rsid w:val="006A73B4"/>
    <w:rsid w:val="006A784E"/>
    <w:rsid w:val="006A7FB6"/>
    <w:rsid w:val="006B0372"/>
    <w:rsid w:val="006B1174"/>
    <w:rsid w:val="006B128F"/>
    <w:rsid w:val="006B21F5"/>
    <w:rsid w:val="006B23F9"/>
    <w:rsid w:val="006B2922"/>
    <w:rsid w:val="006B2E33"/>
    <w:rsid w:val="006B309E"/>
    <w:rsid w:val="006B392A"/>
    <w:rsid w:val="006B3B9D"/>
    <w:rsid w:val="006B3F85"/>
    <w:rsid w:val="006B42BC"/>
    <w:rsid w:val="006B4B93"/>
    <w:rsid w:val="006B50C5"/>
    <w:rsid w:val="006B51E5"/>
    <w:rsid w:val="006B5C3B"/>
    <w:rsid w:val="006B6CC2"/>
    <w:rsid w:val="006B6F82"/>
    <w:rsid w:val="006B7470"/>
    <w:rsid w:val="006B7F32"/>
    <w:rsid w:val="006C0103"/>
    <w:rsid w:val="006C0C49"/>
    <w:rsid w:val="006C0D32"/>
    <w:rsid w:val="006C11BD"/>
    <w:rsid w:val="006C1DC7"/>
    <w:rsid w:val="006C1E35"/>
    <w:rsid w:val="006C21DE"/>
    <w:rsid w:val="006C23D4"/>
    <w:rsid w:val="006C264F"/>
    <w:rsid w:val="006C2E36"/>
    <w:rsid w:val="006C36C7"/>
    <w:rsid w:val="006C412F"/>
    <w:rsid w:val="006C443A"/>
    <w:rsid w:val="006C4DF4"/>
    <w:rsid w:val="006C4F83"/>
    <w:rsid w:val="006C518E"/>
    <w:rsid w:val="006C5A74"/>
    <w:rsid w:val="006C64FE"/>
    <w:rsid w:val="006C6605"/>
    <w:rsid w:val="006C6F2F"/>
    <w:rsid w:val="006C7596"/>
    <w:rsid w:val="006D001C"/>
    <w:rsid w:val="006D0EF3"/>
    <w:rsid w:val="006D1464"/>
    <w:rsid w:val="006D1633"/>
    <w:rsid w:val="006D1A56"/>
    <w:rsid w:val="006D1F83"/>
    <w:rsid w:val="006D2BB4"/>
    <w:rsid w:val="006D31D4"/>
    <w:rsid w:val="006D334E"/>
    <w:rsid w:val="006D387E"/>
    <w:rsid w:val="006D4414"/>
    <w:rsid w:val="006D45A6"/>
    <w:rsid w:val="006D46DA"/>
    <w:rsid w:val="006D5CE6"/>
    <w:rsid w:val="006D71F7"/>
    <w:rsid w:val="006D7780"/>
    <w:rsid w:val="006D7C56"/>
    <w:rsid w:val="006E0225"/>
    <w:rsid w:val="006E0367"/>
    <w:rsid w:val="006E0466"/>
    <w:rsid w:val="006E0B64"/>
    <w:rsid w:val="006E0C36"/>
    <w:rsid w:val="006E12A8"/>
    <w:rsid w:val="006E18F7"/>
    <w:rsid w:val="006E20A1"/>
    <w:rsid w:val="006E270F"/>
    <w:rsid w:val="006E33AE"/>
    <w:rsid w:val="006E3452"/>
    <w:rsid w:val="006E4853"/>
    <w:rsid w:val="006E4FEC"/>
    <w:rsid w:val="006E52B9"/>
    <w:rsid w:val="006E5966"/>
    <w:rsid w:val="006E59B7"/>
    <w:rsid w:val="006E68DA"/>
    <w:rsid w:val="006E6B5E"/>
    <w:rsid w:val="006E6E4C"/>
    <w:rsid w:val="006E6FAD"/>
    <w:rsid w:val="006E7B88"/>
    <w:rsid w:val="006F09EF"/>
    <w:rsid w:val="006F118C"/>
    <w:rsid w:val="006F1A8F"/>
    <w:rsid w:val="006F243C"/>
    <w:rsid w:val="006F270B"/>
    <w:rsid w:val="006F2E66"/>
    <w:rsid w:val="006F3296"/>
    <w:rsid w:val="006F3563"/>
    <w:rsid w:val="006F3FAE"/>
    <w:rsid w:val="006F4145"/>
    <w:rsid w:val="006F4280"/>
    <w:rsid w:val="006F42FA"/>
    <w:rsid w:val="006F4371"/>
    <w:rsid w:val="006F43B0"/>
    <w:rsid w:val="006F4464"/>
    <w:rsid w:val="006F4ECA"/>
    <w:rsid w:val="006F5805"/>
    <w:rsid w:val="006F5B58"/>
    <w:rsid w:val="006F69EF"/>
    <w:rsid w:val="006F6B8F"/>
    <w:rsid w:val="006F6D2E"/>
    <w:rsid w:val="006F7371"/>
    <w:rsid w:val="007001A4"/>
    <w:rsid w:val="00700373"/>
    <w:rsid w:val="00700F78"/>
    <w:rsid w:val="007012AF"/>
    <w:rsid w:val="00702166"/>
    <w:rsid w:val="00702217"/>
    <w:rsid w:val="007026C5"/>
    <w:rsid w:val="007027A0"/>
    <w:rsid w:val="00703580"/>
    <w:rsid w:val="0070365F"/>
    <w:rsid w:val="00703F71"/>
    <w:rsid w:val="0070407B"/>
    <w:rsid w:val="00704BDA"/>
    <w:rsid w:val="007050E1"/>
    <w:rsid w:val="007060C5"/>
    <w:rsid w:val="007062EF"/>
    <w:rsid w:val="007064D2"/>
    <w:rsid w:val="00707631"/>
    <w:rsid w:val="00707664"/>
    <w:rsid w:val="00710628"/>
    <w:rsid w:val="007106B2"/>
    <w:rsid w:val="00710873"/>
    <w:rsid w:val="007118E6"/>
    <w:rsid w:val="00712830"/>
    <w:rsid w:val="00712D5F"/>
    <w:rsid w:val="00712E40"/>
    <w:rsid w:val="00712EB3"/>
    <w:rsid w:val="00712F95"/>
    <w:rsid w:val="00713E07"/>
    <w:rsid w:val="007152D3"/>
    <w:rsid w:val="00715AED"/>
    <w:rsid w:val="007167FE"/>
    <w:rsid w:val="00716CB0"/>
    <w:rsid w:val="00716CC9"/>
    <w:rsid w:val="0071756F"/>
    <w:rsid w:val="00717798"/>
    <w:rsid w:val="00717CE1"/>
    <w:rsid w:val="007200B3"/>
    <w:rsid w:val="00720907"/>
    <w:rsid w:val="00720B62"/>
    <w:rsid w:val="00721779"/>
    <w:rsid w:val="007218D9"/>
    <w:rsid w:val="00722156"/>
    <w:rsid w:val="0072218F"/>
    <w:rsid w:val="00722329"/>
    <w:rsid w:val="00722424"/>
    <w:rsid w:val="00722AFC"/>
    <w:rsid w:val="00722B62"/>
    <w:rsid w:val="00722F06"/>
    <w:rsid w:val="00723A54"/>
    <w:rsid w:val="00723F64"/>
    <w:rsid w:val="0072418A"/>
    <w:rsid w:val="007251C1"/>
    <w:rsid w:val="007255F4"/>
    <w:rsid w:val="00725B08"/>
    <w:rsid w:val="007261DC"/>
    <w:rsid w:val="007265FC"/>
    <w:rsid w:val="00726A5E"/>
    <w:rsid w:val="00726AAC"/>
    <w:rsid w:val="00726E09"/>
    <w:rsid w:val="00726F08"/>
    <w:rsid w:val="0072716B"/>
    <w:rsid w:val="0072739C"/>
    <w:rsid w:val="00727EB3"/>
    <w:rsid w:val="00730653"/>
    <w:rsid w:val="007309E8"/>
    <w:rsid w:val="00730CC9"/>
    <w:rsid w:val="00730CF9"/>
    <w:rsid w:val="00730FAC"/>
    <w:rsid w:val="007311B8"/>
    <w:rsid w:val="007312A4"/>
    <w:rsid w:val="007314BB"/>
    <w:rsid w:val="007314F7"/>
    <w:rsid w:val="0073150B"/>
    <w:rsid w:val="00731F75"/>
    <w:rsid w:val="00732051"/>
    <w:rsid w:val="00732298"/>
    <w:rsid w:val="007325DA"/>
    <w:rsid w:val="00732D74"/>
    <w:rsid w:val="00733652"/>
    <w:rsid w:val="00733B40"/>
    <w:rsid w:val="00733C9A"/>
    <w:rsid w:val="00733DA9"/>
    <w:rsid w:val="0073471A"/>
    <w:rsid w:val="00734C2C"/>
    <w:rsid w:val="00734C37"/>
    <w:rsid w:val="00734F11"/>
    <w:rsid w:val="00735501"/>
    <w:rsid w:val="00735589"/>
    <w:rsid w:val="00735C30"/>
    <w:rsid w:val="0073609C"/>
    <w:rsid w:val="00736A63"/>
    <w:rsid w:val="00737908"/>
    <w:rsid w:val="007401C2"/>
    <w:rsid w:val="00740B02"/>
    <w:rsid w:val="00740CDD"/>
    <w:rsid w:val="00741370"/>
    <w:rsid w:val="007417FA"/>
    <w:rsid w:val="007429BB"/>
    <w:rsid w:val="00742A50"/>
    <w:rsid w:val="00743749"/>
    <w:rsid w:val="00743CDC"/>
    <w:rsid w:val="007440E3"/>
    <w:rsid w:val="007443DB"/>
    <w:rsid w:val="007446CB"/>
    <w:rsid w:val="00744FDB"/>
    <w:rsid w:val="007469F6"/>
    <w:rsid w:val="0074786E"/>
    <w:rsid w:val="00750337"/>
    <w:rsid w:val="00750378"/>
    <w:rsid w:val="00750CAB"/>
    <w:rsid w:val="0075183E"/>
    <w:rsid w:val="00751E4A"/>
    <w:rsid w:val="00752216"/>
    <w:rsid w:val="00753221"/>
    <w:rsid w:val="0075377A"/>
    <w:rsid w:val="00754173"/>
    <w:rsid w:val="007545D2"/>
    <w:rsid w:val="00754630"/>
    <w:rsid w:val="00754CA0"/>
    <w:rsid w:val="00754D30"/>
    <w:rsid w:val="00754E77"/>
    <w:rsid w:val="00755387"/>
    <w:rsid w:val="007562C6"/>
    <w:rsid w:val="00756383"/>
    <w:rsid w:val="0075641B"/>
    <w:rsid w:val="00756610"/>
    <w:rsid w:val="007566B8"/>
    <w:rsid w:val="00756C75"/>
    <w:rsid w:val="00756E1C"/>
    <w:rsid w:val="007571DE"/>
    <w:rsid w:val="00757792"/>
    <w:rsid w:val="007577B9"/>
    <w:rsid w:val="007579FF"/>
    <w:rsid w:val="0076019A"/>
    <w:rsid w:val="00760A59"/>
    <w:rsid w:val="007613BA"/>
    <w:rsid w:val="0076144E"/>
    <w:rsid w:val="00761658"/>
    <w:rsid w:val="00761D1A"/>
    <w:rsid w:val="0076226C"/>
    <w:rsid w:val="007623C7"/>
    <w:rsid w:val="00762495"/>
    <w:rsid w:val="0076269B"/>
    <w:rsid w:val="00762ADD"/>
    <w:rsid w:val="00762B50"/>
    <w:rsid w:val="00762D07"/>
    <w:rsid w:val="00763450"/>
    <w:rsid w:val="00763AC4"/>
    <w:rsid w:val="00763D1A"/>
    <w:rsid w:val="00764B0A"/>
    <w:rsid w:val="00765215"/>
    <w:rsid w:val="007653C8"/>
    <w:rsid w:val="007656C5"/>
    <w:rsid w:val="00765759"/>
    <w:rsid w:val="00765B08"/>
    <w:rsid w:val="00765DAB"/>
    <w:rsid w:val="00767731"/>
    <w:rsid w:val="00767BE1"/>
    <w:rsid w:val="00770512"/>
    <w:rsid w:val="00770924"/>
    <w:rsid w:val="007720C6"/>
    <w:rsid w:val="00772550"/>
    <w:rsid w:val="00773284"/>
    <w:rsid w:val="00773D87"/>
    <w:rsid w:val="00774453"/>
    <w:rsid w:val="00774C3E"/>
    <w:rsid w:val="007753C8"/>
    <w:rsid w:val="00775BEE"/>
    <w:rsid w:val="0077615C"/>
    <w:rsid w:val="007771B3"/>
    <w:rsid w:val="007774BD"/>
    <w:rsid w:val="00777FC3"/>
    <w:rsid w:val="00780A22"/>
    <w:rsid w:val="00780F08"/>
    <w:rsid w:val="00781842"/>
    <w:rsid w:val="007822BA"/>
    <w:rsid w:val="00782E8F"/>
    <w:rsid w:val="007835EF"/>
    <w:rsid w:val="00783D6C"/>
    <w:rsid w:val="007840E2"/>
    <w:rsid w:val="00784D57"/>
    <w:rsid w:val="00784EB4"/>
    <w:rsid w:val="007857C5"/>
    <w:rsid w:val="00785B57"/>
    <w:rsid w:val="00785BB1"/>
    <w:rsid w:val="00785E64"/>
    <w:rsid w:val="00786B90"/>
    <w:rsid w:val="00786ED3"/>
    <w:rsid w:val="00787042"/>
    <w:rsid w:val="007871B2"/>
    <w:rsid w:val="007876A1"/>
    <w:rsid w:val="0079090A"/>
    <w:rsid w:val="007911EF"/>
    <w:rsid w:val="007916C5"/>
    <w:rsid w:val="00791BB6"/>
    <w:rsid w:val="00792509"/>
    <w:rsid w:val="00792C9F"/>
    <w:rsid w:val="007932A6"/>
    <w:rsid w:val="00793608"/>
    <w:rsid w:val="007940F4"/>
    <w:rsid w:val="0079461B"/>
    <w:rsid w:val="0079487C"/>
    <w:rsid w:val="00794B48"/>
    <w:rsid w:val="0079504B"/>
    <w:rsid w:val="00795254"/>
    <w:rsid w:val="0079552A"/>
    <w:rsid w:val="007957A9"/>
    <w:rsid w:val="007958D2"/>
    <w:rsid w:val="0079653B"/>
    <w:rsid w:val="0079659F"/>
    <w:rsid w:val="007969C9"/>
    <w:rsid w:val="00797A53"/>
    <w:rsid w:val="007A0192"/>
    <w:rsid w:val="007A1EB2"/>
    <w:rsid w:val="007A2971"/>
    <w:rsid w:val="007A32D4"/>
    <w:rsid w:val="007A35A9"/>
    <w:rsid w:val="007A3A02"/>
    <w:rsid w:val="007A4D96"/>
    <w:rsid w:val="007A5C3B"/>
    <w:rsid w:val="007A61E0"/>
    <w:rsid w:val="007A67CE"/>
    <w:rsid w:val="007A6F52"/>
    <w:rsid w:val="007A76A5"/>
    <w:rsid w:val="007B0023"/>
    <w:rsid w:val="007B00F3"/>
    <w:rsid w:val="007B080F"/>
    <w:rsid w:val="007B0840"/>
    <w:rsid w:val="007B15C5"/>
    <w:rsid w:val="007B15F3"/>
    <w:rsid w:val="007B1D53"/>
    <w:rsid w:val="007B1DD9"/>
    <w:rsid w:val="007B244D"/>
    <w:rsid w:val="007B2BF1"/>
    <w:rsid w:val="007B36CC"/>
    <w:rsid w:val="007B3B2E"/>
    <w:rsid w:val="007B3B65"/>
    <w:rsid w:val="007B469F"/>
    <w:rsid w:val="007B5103"/>
    <w:rsid w:val="007B5479"/>
    <w:rsid w:val="007B5768"/>
    <w:rsid w:val="007B5B01"/>
    <w:rsid w:val="007B632E"/>
    <w:rsid w:val="007B71A4"/>
    <w:rsid w:val="007B7444"/>
    <w:rsid w:val="007B7654"/>
    <w:rsid w:val="007B7919"/>
    <w:rsid w:val="007B7AFD"/>
    <w:rsid w:val="007B7E5B"/>
    <w:rsid w:val="007C0038"/>
    <w:rsid w:val="007C0232"/>
    <w:rsid w:val="007C14BD"/>
    <w:rsid w:val="007C1A8D"/>
    <w:rsid w:val="007C25A8"/>
    <w:rsid w:val="007C2B05"/>
    <w:rsid w:val="007C39AE"/>
    <w:rsid w:val="007C3E6E"/>
    <w:rsid w:val="007C40DC"/>
    <w:rsid w:val="007C4416"/>
    <w:rsid w:val="007C4C57"/>
    <w:rsid w:val="007C5133"/>
    <w:rsid w:val="007C53EB"/>
    <w:rsid w:val="007C551A"/>
    <w:rsid w:val="007C5C4B"/>
    <w:rsid w:val="007C5C92"/>
    <w:rsid w:val="007C5CCA"/>
    <w:rsid w:val="007C6D20"/>
    <w:rsid w:val="007C6FAC"/>
    <w:rsid w:val="007C70DD"/>
    <w:rsid w:val="007C7A8D"/>
    <w:rsid w:val="007C7F13"/>
    <w:rsid w:val="007C7F8C"/>
    <w:rsid w:val="007D0263"/>
    <w:rsid w:val="007D0554"/>
    <w:rsid w:val="007D0599"/>
    <w:rsid w:val="007D0739"/>
    <w:rsid w:val="007D0C36"/>
    <w:rsid w:val="007D0D63"/>
    <w:rsid w:val="007D0FB8"/>
    <w:rsid w:val="007D1068"/>
    <w:rsid w:val="007D117B"/>
    <w:rsid w:val="007D1329"/>
    <w:rsid w:val="007D177A"/>
    <w:rsid w:val="007D2256"/>
    <w:rsid w:val="007D299D"/>
    <w:rsid w:val="007D3AE0"/>
    <w:rsid w:val="007D445C"/>
    <w:rsid w:val="007D4A76"/>
    <w:rsid w:val="007D4B98"/>
    <w:rsid w:val="007D4BEA"/>
    <w:rsid w:val="007D56E8"/>
    <w:rsid w:val="007D646C"/>
    <w:rsid w:val="007D69CD"/>
    <w:rsid w:val="007D69D9"/>
    <w:rsid w:val="007D7400"/>
    <w:rsid w:val="007D7719"/>
    <w:rsid w:val="007D776B"/>
    <w:rsid w:val="007E031E"/>
    <w:rsid w:val="007E0843"/>
    <w:rsid w:val="007E0EC3"/>
    <w:rsid w:val="007E1700"/>
    <w:rsid w:val="007E1809"/>
    <w:rsid w:val="007E1D88"/>
    <w:rsid w:val="007E28B8"/>
    <w:rsid w:val="007E294F"/>
    <w:rsid w:val="007E2BDB"/>
    <w:rsid w:val="007E2D8B"/>
    <w:rsid w:val="007E31CF"/>
    <w:rsid w:val="007E4195"/>
    <w:rsid w:val="007E4943"/>
    <w:rsid w:val="007E4B64"/>
    <w:rsid w:val="007E6090"/>
    <w:rsid w:val="007E67E7"/>
    <w:rsid w:val="007E6BAA"/>
    <w:rsid w:val="007E6DA7"/>
    <w:rsid w:val="007E6FB2"/>
    <w:rsid w:val="007E7474"/>
    <w:rsid w:val="007E7704"/>
    <w:rsid w:val="007F043A"/>
    <w:rsid w:val="007F0559"/>
    <w:rsid w:val="007F1705"/>
    <w:rsid w:val="007F267E"/>
    <w:rsid w:val="007F320B"/>
    <w:rsid w:val="007F3622"/>
    <w:rsid w:val="007F3A88"/>
    <w:rsid w:val="007F3E20"/>
    <w:rsid w:val="007F3E76"/>
    <w:rsid w:val="007F439E"/>
    <w:rsid w:val="007F56E0"/>
    <w:rsid w:val="007F613D"/>
    <w:rsid w:val="007F6434"/>
    <w:rsid w:val="007F66BD"/>
    <w:rsid w:val="007F7923"/>
    <w:rsid w:val="007F7B83"/>
    <w:rsid w:val="0080031A"/>
    <w:rsid w:val="00802227"/>
    <w:rsid w:val="008034D4"/>
    <w:rsid w:val="00803592"/>
    <w:rsid w:val="008038AF"/>
    <w:rsid w:val="00805654"/>
    <w:rsid w:val="008056DB"/>
    <w:rsid w:val="00806AB4"/>
    <w:rsid w:val="00806B90"/>
    <w:rsid w:val="00806EB5"/>
    <w:rsid w:val="00807639"/>
    <w:rsid w:val="00807730"/>
    <w:rsid w:val="00807A05"/>
    <w:rsid w:val="00807BB9"/>
    <w:rsid w:val="00811A10"/>
    <w:rsid w:val="00812608"/>
    <w:rsid w:val="00812690"/>
    <w:rsid w:val="00812D7B"/>
    <w:rsid w:val="00812F6D"/>
    <w:rsid w:val="0081309F"/>
    <w:rsid w:val="008132B2"/>
    <w:rsid w:val="00813462"/>
    <w:rsid w:val="00815244"/>
    <w:rsid w:val="008153C5"/>
    <w:rsid w:val="008165CD"/>
    <w:rsid w:val="008166C5"/>
    <w:rsid w:val="00816A60"/>
    <w:rsid w:val="00816B13"/>
    <w:rsid w:val="008171E0"/>
    <w:rsid w:val="00817AC7"/>
    <w:rsid w:val="00817BB7"/>
    <w:rsid w:val="0082029E"/>
    <w:rsid w:val="008205E9"/>
    <w:rsid w:val="008214BF"/>
    <w:rsid w:val="0082199D"/>
    <w:rsid w:val="0082264D"/>
    <w:rsid w:val="00822D19"/>
    <w:rsid w:val="008233F0"/>
    <w:rsid w:val="0082385C"/>
    <w:rsid w:val="0082465F"/>
    <w:rsid w:val="008246E7"/>
    <w:rsid w:val="00824AA7"/>
    <w:rsid w:val="00824B64"/>
    <w:rsid w:val="00824CED"/>
    <w:rsid w:val="00825DB7"/>
    <w:rsid w:val="00826CE2"/>
    <w:rsid w:val="00826D9E"/>
    <w:rsid w:val="00827A91"/>
    <w:rsid w:val="008302B0"/>
    <w:rsid w:val="00830851"/>
    <w:rsid w:val="008308A9"/>
    <w:rsid w:val="00832074"/>
    <w:rsid w:val="00832187"/>
    <w:rsid w:val="00832386"/>
    <w:rsid w:val="0083291E"/>
    <w:rsid w:val="00833414"/>
    <w:rsid w:val="00833483"/>
    <w:rsid w:val="008337C1"/>
    <w:rsid w:val="00833A0A"/>
    <w:rsid w:val="00833BBB"/>
    <w:rsid w:val="00833C30"/>
    <w:rsid w:val="0083411D"/>
    <w:rsid w:val="0083453B"/>
    <w:rsid w:val="00834B25"/>
    <w:rsid w:val="00835207"/>
    <w:rsid w:val="0083535D"/>
    <w:rsid w:val="00835DC7"/>
    <w:rsid w:val="00835DDC"/>
    <w:rsid w:val="0083655A"/>
    <w:rsid w:val="0083696F"/>
    <w:rsid w:val="008377A7"/>
    <w:rsid w:val="008377CD"/>
    <w:rsid w:val="00837976"/>
    <w:rsid w:val="00837DF8"/>
    <w:rsid w:val="00837EED"/>
    <w:rsid w:val="00837F01"/>
    <w:rsid w:val="00837F6F"/>
    <w:rsid w:val="00840586"/>
    <w:rsid w:val="00841BFD"/>
    <w:rsid w:val="00841E2B"/>
    <w:rsid w:val="00842C07"/>
    <w:rsid w:val="00842F83"/>
    <w:rsid w:val="00843107"/>
    <w:rsid w:val="00843D1B"/>
    <w:rsid w:val="008449B5"/>
    <w:rsid w:val="00844E48"/>
    <w:rsid w:val="0084535B"/>
    <w:rsid w:val="0084549C"/>
    <w:rsid w:val="008455CD"/>
    <w:rsid w:val="00845B6E"/>
    <w:rsid w:val="00845C60"/>
    <w:rsid w:val="00846106"/>
    <w:rsid w:val="008462CB"/>
    <w:rsid w:val="00846EEB"/>
    <w:rsid w:val="00847B7A"/>
    <w:rsid w:val="008501C5"/>
    <w:rsid w:val="008503CB"/>
    <w:rsid w:val="00850947"/>
    <w:rsid w:val="00850B5D"/>
    <w:rsid w:val="00850E55"/>
    <w:rsid w:val="008515D6"/>
    <w:rsid w:val="00852628"/>
    <w:rsid w:val="00852C00"/>
    <w:rsid w:val="00852EEB"/>
    <w:rsid w:val="00853CFB"/>
    <w:rsid w:val="0085433D"/>
    <w:rsid w:val="008543C9"/>
    <w:rsid w:val="0085495D"/>
    <w:rsid w:val="0085535A"/>
    <w:rsid w:val="00855520"/>
    <w:rsid w:val="00855890"/>
    <w:rsid w:val="008563D7"/>
    <w:rsid w:val="00856B0C"/>
    <w:rsid w:val="00856C0F"/>
    <w:rsid w:val="0085717C"/>
    <w:rsid w:val="00857867"/>
    <w:rsid w:val="00857CA7"/>
    <w:rsid w:val="00860323"/>
    <w:rsid w:val="00862286"/>
    <w:rsid w:val="008623EE"/>
    <w:rsid w:val="00862AF3"/>
    <w:rsid w:val="00862AFF"/>
    <w:rsid w:val="008637B1"/>
    <w:rsid w:val="00863E35"/>
    <w:rsid w:val="008642DB"/>
    <w:rsid w:val="008646A8"/>
    <w:rsid w:val="00864E17"/>
    <w:rsid w:val="008652F5"/>
    <w:rsid w:val="008657B3"/>
    <w:rsid w:val="008658A3"/>
    <w:rsid w:val="00865A89"/>
    <w:rsid w:val="00865D8C"/>
    <w:rsid w:val="008661B2"/>
    <w:rsid w:val="008662EE"/>
    <w:rsid w:val="00866F94"/>
    <w:rsid w:val="0086750D"/>
    <w:rsid w:val="00867796"/>
    <w:rsid w:val="00867DA0"/>
    <w:rsid w:val="00867F66"/>
    <w:rsid w:val="0087045E"/>
    <w:rsid w:val="00870782"/>
    <w:rsid w:val="0087163C"/>
    <w:rsid w:val="00871A50"/>
    <w:rsid w:val="00871F50"/>
    <w:rsid w:val="00872238"/>
    <w:rsid w:val="008725BC"/>
    <w:rsid w:val="0087270A"/>
    <w:rsid w:val="00872BE9"/>
    <w:rsid w:val="008747A2"/>
    <w:rsid w:val="008752C3"/>
    <w:rsid w:val="00875BA9"/>
    <w:rsid w:val="00876E1B"/>
    <w:rsid w:val="00877690"/>
    <w:rsid w:val="008778C7"/>
    <w:rsid w:val="00880217"/>
    <w:rsid w:val="00880828"/>
    <w:rsid w:val="00880BE8"/>
    <w:rsid w:val="00881075"/>
    <w:rsid w:val="008811EE"/>
    <w:rsid w:val="00881674"/>
    <w:rsid w:val="00882ECE"/>
    <w:rsid w:val="00883055"/>
    <w:rsid w:val="00883064"/>
    <w:rsid w:val="00883145"/>
    <w:rsid w:val="0088372B"/>
    <w:rsid w:val="00883B59"/>
    <w:rsid w:val="008847C2"/>
    <w:rsid w:val="00884970"/>
    <w:rsid w:val="00884F2D"/>
    <w:rsid w:val="0088554C"/>
    <w:rsid w:val="00885632"/>
    <w:rsid w:val="00885920"/>
    <w:rsid w:val="008859B4"/>
    <w:rsid w:val="00886494"/>
    <w:rsid w:val="0088680C"/>
    <w:rsid w:val="0088785E"/>
    <w:rsid w:val="00890244"/>
    <w:rsid w:val="008907D9"/>
    <w:rsid w:val="008916A4"/>
    <w:rsid w:val="00891BE9"/>
    <w:rsid w:val="008922E9"/>
    <w:rsid w:val="008932E9"/>
    <w:rsid w:val="00893326"/>
    <w:rsid w:val="00893B5E"/>
    <w:rsid w:val="00894253"/>
    <w:rsid w:val="00894834"/>
    <w:rsid w:val="008967AE"/>
    <w:rsid w:val="0089695A"/>
    <w:rsid w:val="00896DF2"/>
    <w:rsid w:val="00897C13"/>
    <w:rsid w:val="008A1AF7"/>
    <w:rsid w:val="008A1CEA"/>
    <w:rsid w:val="008A2B4E"/>
    <w:rsid w:val="008A341E"/>
    <w:rsid w:val="008A3BB8"/>
    <w:rsid w:val="008A482B"/>
    <w:rsid w:val="008A4896"/>
    <w:rsid w:val="008A4B15"/>
    <w:rsid w:val="008A568D"/>
    <w:rsid w:val="008A5B5D"/>
    <w:rsid w:val="008A5BAF"/>
    <w:rsid w:val="008A7E4D"/>
    <w:rsid w:val="008A7E56"/>
    <w:rsid w:val="008B031F"/>
    <w:rsid w:val="008B04C5"/>
    <w:rsid w:val="008B1076"/>
    <w:rsid w:val="008B17E6"/>
    <w:rsid w:val="008B1B35"/>
    <w:rsid w:val="008B1E49"/>
    <w:rsid w:val="008B2680"/>
    <w:rsid w:val="008B2BDA"/>
    <w:rsid w:val="008B2EC6"/>
    <w:rsid w:val="008B3B60"/>
    <w:rsid w:val="008B3E52"/>
    <w:rsid w:val="008B4831"/>
    <w:rsid w:val="008B51C5"/>
    <w:rsid w:val="008B5D4B"/>
    <w:rsid w:val="008B64AD"/>
    <w:rsid w:val="008B6564"/>
    <w:rsid w:val="008B69A0"/>
    <w:rsid w:val="008B69FB"/>
    <w:rsid w:val="008C0036"/>
    <w:rsid w:val="008C0412"/>
    <w:rsid w:val="008C071F"/>
    <w:rsid w:val="008C0802"/>
    <w:rsid w:val="008C0B68"/>
    <w:rsid w:val="008C13B2"/>
    <w:rsid w:val="008C15F0"/>
    <w:rsid w:val="008C22C7"/>
    <w:rsid w:val="008C234E"/>
    <w:rsid w:val="008C2362"/>
    <w:rsid w:val="008C2ACD"/>
    <w:rsid w:val="008C2E21"/>
    <w:rsid w:val="008C2E97"/>
    <w:rsid w:val="008C2EC6"/>
    <w:rsid w:val="008C312E"/>
    <w:rsid w:val="008C3697"/>
    <w:rsid w:val="008C40D0"/>
    <w:rsid w:val="008C51B0"/>
    <w:rsid w:val="008C52DB"/>
    <w:rsid w:val="008C5BC6"/>
    <w:rsid w:val="008C6AD1"/>
    <w:rsid w:val="008C6E06"/>
    <w:rsid w:val="008C7067"/>
    <w:rsid w:val="008C7135"/>
    <w:rsid w:val="008C7EA5"/>
    <w:rsid w:val="008D0D06"/>
    <w:rsid w:val="008D0D10"/>
    <w:rsid w:val="008D1028"/>
    <w:rsid w:val="008D139B"/>
    <w:rsid w:val="008D151D"/>
    <w:rsid w:val="008D1D11"/>
    <w:rsid w:val="008D22E4"/>
    <w:rsid w:val="008D2B63"/>
    <w:rsid w:val="008D2D37"/>
    <w:rsid w:val="008D3208"/>
    <w:rsid w:val="008D42B3"/>
    <w:rsid w:val="008D46EE"/>
    <w:rsid w:val="008D4838"/>
    <w:rsid w:val="008D4C95"/>
    <w:rsid w:val="008D4F3F"/>
    <w:rsid w:val="008D514C"/>
    <w:rsid w:val="008D52AA"/>
    <w:rsid w:val="008D61AE"/>
    <w:rsid w:val="008D63BC"/>
    <w:rsid w:val="008D653E"/>
    <w:rsid w:val="008D6B13"/>
    <w:rsid w:val="008D7FCE"/>
    <w:rsid w:val="008E015C"/>
    <w:rsid w:val="008E020D"/>
    <w:rsid w:val="008E08A2"/>
    <w:rsid w:val="008E094C"/>
    <w:rsid w:val="008E09D4"/>
    <w:rsid w:val="008E0CBB"/>
    <w:rsid w:val="008E0D9F"/>
    <w:rsid w:val="008E1E4E"/>
    <w:rsid w:val="008E238E"/>
    <w:rsid w:val="008E249C"/>
    <w:rsid w:val="008E25C8"/>
    <w:rsid w:val="008E2EDF"/>
    <w:rsid w:val="008E3045"/>
    <w:rsid w:val="008E393D"/>
    <w:rsid w:val="008E3ABB"/>
    <w:rsid w:val="008E3E9F"/>
    <w:rsid w:val="008E4269"/>
    <w:rsid w:val="008E441C"/>
    <w:rsid w:val="008E487B"/>
    <w:rsid w:val="008E51BC"/>
    <w:rsid w:val="008E5BA1"/>
    <w:rsid w:val="008E5F01"/>
    <w:rsid w:val="008E60A5"/>
    <w:rsid w:val="008E624F"/>
    <w:rsid w:val="008E6DCE"/>
    <w:rsid w:val="008E7041"/>
    <w:rsid w:val="008E7591"/>
    <w:rsid w:val="008E78BF"/>
    <w:rsid w:val="008E79BC"/>
    <w:rsid w:val="008F00A7"/>
    <w:rsid w:val="008F04AB"/>
    <w:rsid w:val="008F04D7"/>
    <w:rsid w:val="008F09D5"/>
    <w:rsid w:val="008F0E49"/>
    <w:rsid w:val="008F151B"/>
    <w:rsid w:val="008F17C5"/>
    <w:rsid w:val="008F346B"/>
    <w:rsid w:val="008F38F8"/>
    <w:rsid w:val="008F39D6"/>
    <w:rsid w:val="008F3B1F"/>
    <w:rsid w:val="008F3EDF"/>
    <w:rsid w:val="008F3F09"/>
    <w:rsid w:val="008F48B3"/>
    <w:rsid w:val="008F4ACE"/>
    <w:rsid w:val="008F6367"/>
    <w:rsid w:val="008F63BD"/>
    <w:rsid w:val="008F6511"/>
    <w:rsid w:val="008F667C"/>
    <w:rsid w:val="008F7AE5"/>
    <w:rsid w:val="008F7B58"/>
    <w:rsid w:val="00900A9F"/>
    <w:rsid w:val="00900E95"/>
    <w:rsid w:val="00901CD3"/>
    <w:rsid w:val="009028AC"/>
    <w:rsid w:val="00903698"/>
    <w:rsid w:val="00904821"/>
    <w:rsid w:val="00904FA0"/>
    <w:rsid w:val="0090577E"/>
    <w:rsid w:val="00905D73"/>
    <w:rsid w:val="00906214"/>
    <w:rsid w:val="0090631D"/>
    <w:rsid w:val="00906EFC"/>
    <w:rsid w:val="0090746A"/>
    <w:rsid w:val="009074F6"/>
    <w:rsid w:val="0090750B"/>
    <w:rsid w:val="00907E9B"/>
    <w:rsid w:val="00910A16"/>
    <w:rsid w:val="00911F62"/>
    <w:rsid w:val="00912010"/>
    <w:rsid w:val="0091342F"/>
    <w:rsid w:val="0091374F"/>
    <w:rsid w:val="00913D05"/>
    <w:rsid w:val="0091421C"/>
    <w:rsid w:val="00915AAE"/>
    <w:rsid w:val="00915B8F"/>
    <w:rsid w:val="00915EC5"/>
    <w:rsid w:val="00916073"/>
    <w:rsid w:val="00916610"/>
    <w:rsid w:val="009174AC"/>
    <w:rsid w:val="009177FC"/>
    <w:rsid w:val="00917A58"/>
    <w:rsid w:val="0092033B"/>
    <w:rsid w:val="00921456"/>
    <w:rsid w:val="009223E1"/>
    <w:rsid w:val="00922730"/>
    <w:rsid w:val="00922C61"/>
    <w:rsid w:val="0092312C"/>
    <w:rsid w:val="009237F8"/>
    <w:rsid w:val="00923B78"/>
    <w:rsid w:val="0092486D"/>
    <w:rsid w:val="00925296"/>
    <w:rsid w:val="00925B31"/>
    <w:rsid w:val="009265FD"/>
    <w:rsid w:val="0092741B"/>
    <w:rsid w:val="00930F8F"/>
    <w:rsid w:val="00931230"/>
    <w:rsid w:val="00931256"/>
    <w:rsid w:val="0093188D"/>
    <w:rsid w:val="00931A14"/>
    <w:rsid w:val="00931C13"/>
    <w:rsid w:val="00931E46"/>
    <w:rsid w:val="00931ED0"/>
    <w:rsid w:val="009321F6"/>
    <w:rsid w:val="0093309A"/>
    <w:rsid w:val="00934598"/>
    <w:rsid w:val="00934717"/>
    <w:rsid w:val="009355A3"/>
    <w:rsid w:val="009355D6"/>
    <w:rsid w:val="009360F4"/>
    <w:rsid w:val="0093621C"/>
    <w:rsid w:val="00936A48"/>
    <w:rsid w:val="009370CB"/>
    <w:rsid w:val="0093727A"/>
    <w:rsid w:val="00937B9E"/>
    <w:rsid w:val="00937D24"/>
    <w:rsid w:val="00937F04"/>
    <w:rsid w:val="009410DD"/>
    <w:rsid w:val="00941A05"/>
    <w:rsid w:val="00941D51"/>
    <w:rsid w:val="009420B1"/>
    <w:rsid w:val="0094292F"/>
    <w:rsid w:val="00943787"/>
    <w:rsid w:val="009437C9"/>
    <w:rsid w:val="009438E7"/>
    <w:rsid w:val="00943D0C"/>
    <w:rsid w:val="00943E4C"/>
    <w:rsid w:val="009443DA"/>
    <w:rsid w:val="00944430"/>
    <w:rsid w:val="009447A8"/>
    <w:rsid w:val="009448F9"/>
    <w:rsid w:val="00944A56"/>
    <w:rsid w:val="009452FA"/>
    <w:rsid w:val="0094570A"/>
    <w:rsid w:val="00945782"/>
    <w:rsid w:val="00945DA8"/>
    <w:rsid w:val="009462AC"/>
    <w:rsid w:val="0094666E"/>
    <w:rsid w:val="009467BD"/>
    <w:rsid w:val="0094742C"/>
    <w:rsid w:val="0094783B"/>
    <w:rsid w:val="009502AC"/>
    <w:rsid w:val="009507B4"/>
    <w:rsid w:val="009509E8"/>
    <w:rsid w:val="009516C1"/>
    <w:rsid w:val="00951951"/>
    <w:rsid w:val="00951A26"/>
    <w:rsid w:val="00951AC8"/>
    <w:rsid w:val="00952FE3"/>
    <w:rsid w:val="009531CE"/>
    <w:rsid w:val="00953AA9"/>
    <w:rsid w:val="00953ACF"/>
    <w:rsid w:val="00954219"/>
    <w:rsid w:val="009547BA"/>
    <w:rsid w:val="00954A00"/>
    <w:rsid w:val="009557A1"/>
    <w:rsid w:val="00955845"/>
    <w:rsid w:val="00955D57"/>
    <w:rsid w:val="00956651"/>
    <w:rsid w:val="00956E75"/>
    <w:rsid w:val="00960601"/>
    <w:rsid w:val="00960ACB"/>
    <w:rsid w:val="00960C38"/>
    <w:rsid w:val="00960C7C"/>
    <w:rsid w:val="009612EF"/>
    <w:rsid w:val="00961314"/>
    <w:rsid w:val="009619DE"/>
    <w:rsid w:val="00961BE2"/>
    <w:rsid w:val="00962661"/>
    <w:rsid w:val="00962B51"/>
    <w:rsid w:val="00962C47"/>
    <w:rsid w:val="009630B2"/>
    <w:rsid w:val="009630CD"/>
    <w:rsid w:val="009639E5"/>
    <w:rsid w:val="009640D1"/>
    <w:rsid w:val="00964248"/>
    <w:rsid w:val="009644AE"/>
    <w:rsid w:val="0096498E"/>
    <w:rsid w:val="00964C9A"/>
    <w:rsid w:val="009650D8"/>
    <w:rsid w:val="00965458"/>
    <w:rsid w:val="00965715"/>
    <w:rsid w:val="0096584E"/>
    <w:rsid w:val="00965957"/>
    <w:rsid w:val="00965A8B"/>
    <w:rsid w:val="00965CFB"/>
    <w:rsid w:val="00966282"/>
    <w:rsid w:val="009665A6"/>
    <w:rsid w:val="00966DD5"/>
    <w:rsid w:val="009673F5"/>
    <w:rsid w:val="009700DF"/>
    <w:rsid w:val="009701EA"/>
    <w:rsid w:val="00970F72"/>
    <w:rsid w:val="0097172F"/>
    <w:rsid w:val="009717E0"/>
    <w:rsid w:val="00971AA2"/>
    <w:rsid w:val="00972ABF"/>
    <w:rsid w:val="00972C69"/>
    <w:rsid w:val="0097341A"/>
    <w:rsid w:val="009734EB"/>
    <w:rsid w:val="009737C0"/>
    <w:rsid w:val="009737FC"/>
    <w:rsid w:val="00975E26"/>
    <w:rsid w:val="0097794D"/>
    <w:rsid w:val="00977FA4"/>
    <w:rsid w:val="0098022A"/>
    <w:rsid w:val="00980A34"/>
    <w:rsid w:val="00980C25"/>
    <w:rsid w:val="00981233"/>
    <w:rsid w:val="009812C2"/>
    <w:rsid w:val="00981307"/>
    <w:rsid w:val="00981D1D"/>
    <w:rsid w:val="009823B0"/>
    <w:rsid w:val="009823B8"/>
    <w:rsid w:val="00982804"/>
    <w:rsid w:val="009829BE"/>
    <w:rsid w:val="00982C05"/>
    <w:rsid w:val="00982C33"/>
    <w:rsid w:val="00983F6A"/>
    <w:rsid w:val="00984CEF"/>
    <w:rsid w:val="00985269"/>
    <w:rsid w:val="009852D6"/>
    <w:rsid w:val="0098578B"/>
    <w:rsid w:val="009857A2"/>
    <w:rsid w:val="00985CB3"/>
    <w:rsid w:val="00985D26"/>
    <w:rsid w:val="009861A3"/>
    <w:rsid w:val="009865A1"/>
    <w:rsid w:val="00986B89"/>
    <w:rsid w:val="009875FB"/>
    <w:rsid w:val="00990512"/>
    <w:rsid w:val="00990638"/>
    <w:rsid w:val="00990BDB"/>
    <w:rsid w:val="00990EBE"/>
    <w:rsid w:val="00991105"/>
    <w:rsid w:val="009912B4"/>
    <w:rsid w:val="009913BC"/>
    <w:rsid w:val="009914FA"/>
    <w:rsid w:val="00991F4D"/>
    <w:rsid w:val="00991FE5"/>
    <w:rsid w:val="009936C9"/>
    <w:rsid w:val="00993D51"/>
    <w:rsid w:val="0099423C"/>
    <w:rsid w:val="0099432B"/>
    <w:rsid w:val="00994D96"/>
    <w:rsid w:val="00994F9F"/>
    <w:rsid w:val="0099624D"/>
    <w:rsid w:val="00996F5A"/>
    <w:rsid w:val="00997101"/>
    <w:rsid w:val="009973A1"/>
    <w:rsid w:val="00997428"/>
    <w:rsid w:val="00997D4F"/>
    <w:rsid w:val="00997E26"/>
    <w:rsid w:val="009A075B"/>
    <w:rsid w:val="009A07BD"/>
    <w:rsid w:val="009A0A76"/>
    <w:rsid w:val="009A1AB4"/>
    <w:rsid w:val="009A1F1F"/>
    <w:rsid w:val="009A210F"/>
    <w:rsid w:val="009A278E"/>
    <w:rsid w:val="009A36A5"/>
    <w:rsid w:val="009A38C7"/>
    <w:rsid w:val="009A3985"/>
    <w:rsid w:val="009A3BFE"/>
    <w:rsid w:val="009A47CF"/>
    <w:rsid w:val="009A4B34"/>
    <w:rsid w:val="009A4B3E"/>
    <w:rsid w:val="009A540B"/>
    <w:rsid w:val="009A57B8"/>
    <w:rsid w:val="009A5B96"/>
    <w:rsid w:val="009A5E0B"/>
    <w:rsid w:val="009A60A2"/>
    <w:rsid w:val="009A682D"/>
    <w:rsid w:val="009A6AD5"/>
    <w:rsid w:val="009A6B90"/>
    <w:rsid w:val="009A77E2"/>
    <w:rsid w:val="009A7B51"/>
    <w:rsid w:val="009A7E8F"/>
    <w:rsid w:val="009B02DD"/>
    <w:rsid w:val="009B02ED"/>
    <w:rsid w:val="009B04C4"/>
    <w:rsid w:val="009B06EA"/>
    <w:rsid w:val="009B0784"/>
    <w:rsid w:val="009B0A11"/>
    <w:rsid w:val="009B0AC3"/>
    <w:rsid w:val="009B139E"/>
    <w:rsid w:val="009B1507"/>
    <w:rsid w:val="009B1617"/>
    <w:rsid w:val="009B1666"/>
    <w:rsid w:val="009B1728"/>
    <w:rsid w:val="009B179A"/>
    <w:rsid w:val="009B1A64"/>
    <w:rsid w:val="009B1CF5"/>
    <w:rsid w:val="009B1F0E"/>
    <w:rsid w:val="009B2323"/>
    <w:rsid w:val="009B2749"/>
    <w:rsid w:val="009B329B"/>
    <w:rsid w:val="009B4390"/>
    <w:rsid w:val="009B43CE"/>
    <w:rsid w:val="009B534B"/>
    <w:rsid w:val="009B584B"/>
    <w:rsid w:val="009B6224"/>
    <w:rsid w:val="009B6635"/>
    <w:rsid w:val="009B6C8E"/>
    <w:rsid w:val="009B78E5"/>
    <w:rsid w:val="009B7BB8"/>
    <w:rsid w:val="009C056A"/>
    <w:rsid w:val="009C0586"/>
    <w:rsid w:val="009C1FA0"/>
    <w:rsid w:val="009C24C1"/>
    <w:rsid w:val="009C2BD8"/>
    <w:rsid w:val="009C311B"/>
    <w:rsid w:val="009C3615"/>
    <w:rsid w:val="009C3D5F"/>
    <w:rsid w:val="009C3F6E"/>
    <w:rsid w:val="009C4016"/>
    <w:rsid w:val="009C44CA"/>
    <w:rsid w:val="009C4A37"/>
    <w:rsid w:val="009C4DC5"/>
    <w:rsid w:val="009C6995"/>
    <w:rsid w:val="009C6B26"/>
    <w:rsid w:val="009C6FF0"/>
    <w:rsid w:val="009C711E"/>
    <w:rsid w:val="009C7296"/>
    <w:rsid w:val="009C7D94"/>
    <w:rsid w:val="009D0DC5"/>
    <w:rsid w:val="009D0FAB"/>
    <w:rsid w:val="009D0FFE"/>
    <w:rsid w:val="009D1A35"/>
    <w:rsid w:val="009D1F93"/>
    <w:rsid w:val="009D20BC"/>
    <w:rsid w:val="009D2661"/>
    <w:rsid w:val="009D2A08"/>
    <w:rsid w:val="009D36DC"/>
    <w:rsid w:val="009D374F"/>
    <w:rsid w:val="009D43E1"/>
    <w:rsid w:val="009D440B"/>
    <w:rsid w:val="009D5056"/>
    <w:rsid w:val="009D5482"/>
    <w:rsid w:val="009D5554"/>
    <w:rsid w:val="009D57C9"/>
    <w:rsid w:val="009D5B41"/>
    <w:rsid w:val="009D5E1E"/>
    <w:rsid w:val="009D6B0A"/>
    <w:rsid w:val="009D70BC"/>
    <w:rsid w:val="009D7689"/>
    <w:rsid w:val="009D7EBB"/>
    <w:rsid w:val="009E0877"/>
    <w:rsid w:val="009E0DF7"/>
    <w:rsid w:val="009E17E7"/>
    <w:rsid w:val="009E1845"/>
    <w:rsid w:val="009E264F"/>
    <w:rsid w:val="009E26A6"/>
    <w:rsid w:val="009E27C5"/>
    <w:rsid w:val="009E2903"/>
    <w:rsid w:val="009E3650"/>
    <w:rsid w:val="009E41AC"/>
    <w:rsid w:val="009E41F6"/>
    <w:rsid w:val="009E6157"/>
    <w:rsid w:val="009E61D3"/>
    <w:rsid w:val="009E61ED"/>
    <w:rsid w:val="009E62BE"/>
    <w:rsid w:val="009E6356"/>
    <w:rsid w:val="009E7354"/>
    <w:rsid w:val="009E748D"/>
    <w:rsid w:val="009E7522"/>
    <w:rsid w:val="009E7A90"/>
    <w:rsid w:val="009E7BDB"/>
    <w:rsid w:val="009F0A7A"/>
    <w:rsid w:val="009F1244"/>
    <w:rsid w:val="009F1B64"/>
    <w:rsid w:val="009F217B"/>
    <w:rsid w:val="009F21F7"/>
    <w:rsid w:val="009F2B7B"/>
    <w:rsid w:val="009F3C5B"/>
    <w:rsid w:val="009F3D8F"/>
    <w:rsid w:val="009F3FC3"/>
    <w:rsid w:val="009F4396"/>
    <w:rsid w:val="009F49C2"/>
    <w:rsid w:val="009F4F09"/>
    <w:rsid w:val="009F4F8F"/>
    <w:rsid w:val="009F4FF2"/>
    <w:rsid w:val="009F5AD8"/>
    <w:rsid w:val="009F5F1C"/>
    <w:rsid w:val="009F629D"/>
    <w:rsid w:val="009F6A82"/>
    <w:rsid w:val="009F75EC"/>
    <w:rsid w:val="009F7C94"/>
    <w:rsid w:val="00A00409"/>
    <w:rsid w:val="00A00541"/>
    <w:rsid w:val="00A0086C"/>
    <w:rsid w:val="00A008AB"/>
    <w:rsid w:val="00A0183B"/>
    <w:rsid w:val="00A01CE7"/>
    <w:rsid w:val="00A02B34"/>
    <w:rsid w:val="00A02D35"/>
    <w:rsid w:val="00A031F1"/>
    <w:rsid w:val="00A036F5"/>
    <w:rsid w:val="00A03E45"/>
    <w:rsid w:val="00A040A4"/>
    <w:rsid w:val="00A0435B"/>
    <w:rsid w:val="00A043A5"/>
    <w:rsid w:val="00A045D2"/>
    <w:rsid w:val="00A04990"/>
    <w:rsid w:val="00A051FD"/>
    <w:rsid w:val="00A056BE"/>
    <w:rsid w:val="00A058B3"/>
    <w:rsid w:val="00A05971"/>
    <w:rsid w:val="00A05A43"/>
    <w:rsid w:val="00A06549"/>
    <w:rsid w:val="00A0732F"/>
    <w:rsid w:val="00A07748"/>
    <w:rsid w:val="00A10D69"/>
    <w:rsid w:val="00A119C4"/>
    <w:rsid w:val="00A124EB"/>
    <w:rsid w:val="00A125D4"/>
    <w:rsid w:val="00A128B7"/>
    <w:rsid w:val="00A12F6D"/>
    <w:rsid w:val="00A130DF"/>
    <w:rsid w:val="00A13145"/>
    <w:rsid w:val="00A132E7"/>
    <w:rsid w:val="00A137F7"/>
    <w:rsid w:val="00A13DFE"/>
    <w:rsid w:val="00A13E18"/>
    <w:rsid w:val="00A153C9"/>
    <w:rsid w:val="00A157EB"/>
    <w:rsid w:val="00A1661A"/>
    <w:rsid w:val="00A167BB"/>
    <w:rsid w:val="00A16C75"/>
    <w:rsid w:val="00A20567"/>
    <w:rsid w:val="00A20667"/>
    <w:rsid w:val="00A216DB"/>
    <w:rsid w:val="00A21BED"/>
    <w:rsid w:val="00A21D95"/>
    <w:rsid w:val="00A2215B"/>
    <w:rsid w:val="00A221E1"/>
    <w:rsid w:val="00A222EC"/>
    <w:rsid w:val="00A224C9"/>
    <w:rsid w:val="00A2287F"/>
    <w:rsid w:val="00A22AE9"/>
    <w:rsid w:val="00A22DC8"/>
    <w:rsid w:val="00A2352B"/>
    <w:rsid w:val="00A23A7A"/>
    <w:rsid w:val="00A23F8E"/>
    <w:rsid w:val="00A243DD"/>
    <w:rsid w:val="00A24810"/>
    <w:rsid w:val="00A24BE1"/>
    <w:rsid w:val="00A24C33"/>
    <w:rsid w:val="00A24D69"/>
    <w:rsid w:val="00A25454"/>
    <w:rsid w:val="00A256DB"/>
    <w:rsid w:val="00A2601C"/>
    <w:rsid w:val="00A26560"/>
    <w:rsid w:val="00A2658D"/>
    <w:rsid w:val="00A27392"/>
    <w:rsid w:val="00A277B9"/>
    <w:rsid w:val="00A27852"/>
    <w:rsid w:val="00A30187"/>
    <w:rsid w:val="00A303B5"/>
    <w:rsid w:val="00A30917"/>
    <w:rsid w:val="00A30E93"/>
    <w:rsid w:val="00A314BD"/>
    <w:rsid w:val="00A31CF5"/>
    <w:rsid w:val="00A341C1"/>
    <w:rsid w:val="00A34275"/>
    <w:rsid w:val="00A34452"/>
    <w:rsid w:val="00A344A5"/>
    <w:rsid w:val="00A344E6"/>
    <w:rsid w:val="00A345CA"/>
    <w:rsid w:val="00A3519F"/>
    <w:rsid w:val="00A357EF"/>
    <w:rsid w:val="00A35AAF"/>
    <w:rsid w:val="00A371D0"/>
    <w:rsid w:val="00A37B14"/>
    <w:rsid w:val="00A37BAC"/>
    <w:rsid w:val="00A40C0C"/>
    <w:rsid w:val="00A40D96"/>
    <w:rsid w:val="00A41D4D"/>
    <w:rsid w:val="00A42731"/>
    <w:rsid w:val="00A428DF"/>
    <w:rsid w:val="00A431D9"/>
    <w:rsid w:val="00A436F2"/>
    <w:rsid w:val="00A43881"/>
    <w:rsid w:val="00A44427"/>
    <w:rsid w:val="00A44439"/>
    <w:rsid w:val="00A4454D"/>
    <w:rsid w:val="00A44A9F"/>
    <w:rsid w:val="00A45E58"/>
    <w:rsid w:val="00A461F3"/>
    <w:rsid w:val="00A4636C"/>
    <w:rsid w:val="00A46737"/>
    <w:rsid w:val="00A46804"/>
    <w:rsid w:val="00A46A7B"/>
    <w:rsid w:val="00A46ABD"/>
    <w:rsid w:val="00A46D8D"/>
    <w:rsid w:val="00A47678"/>
    <w:rsid w:val="00A501F2"/>
    <w:rsid w:val="00A502CB"/>
    <w:rsid w:val="00A506F0"/>
    <w:rsid w:val="00A50882"/>
    <w:rsid w:val="00A50A25"/>
    <w:rsid w:val="00A51304"/>
    <w:rsid w:val="00A51307"/>
    <w:rsid w:val="00A51AD6"/>
    <w:rsid w:val="00A51D98"/>
    <w:rsid w:val="00A51E8A"/>
    <w:rsid w:val="00A52936"/>
    <w:rsid w:val="00A52B0D"/>
    <w:rsid w:val="00A52E03"/>
    <w:rsid w:val="00A5379F"/>
    <w:rsid w:val="00A5415B"/>
    <w:rsid w:val="00A542E4"/>
    <w:rsid w:val="00A547F7"/>
    <w:rsid w:val="00A55772"/>
    <w:rsid w:val="00A5627C"/>
    <w:rsid w:val="00A5646E"/>
    <w:rsid w:val="00A56D97"/>
    <w:rsid w:val="00A57107"/>
    <w:rsid w:val="00A578C7"/>
    <w:rsid w:val="00A57ACA"/>
    <w:rsid w:val="00A60103"/>
    <w:rsid w:val="00A60B77"/>
    <w:rsid w:val="00A60C69"/>
    <w:rsid w:val="00A6105F"/>
    <w:rsid w:val="00A61988"/>
    <w:rsid w:val="00A62F68"/>
    <w:rsid w:val="00A633FB"/>
    <w:rsid w:val="00A63562"/>
    <w:rsid w:val="00A63827"/>
    <w:rsid w:val="00A64E39"/>
    <w:rsid w:val="00A6510B"/>
    <w:rsid w:val="00A659B6"/>
    <w:rsid w:val="00A65D2A"/>
    <w:rsid w:val="00A66902"/>
    <w:rsid w:val="00A66E0B"/>
    <w:rsid w:val="00A66FB6"/>
    <w:rsid w:val="00A676E7"/>
    <w:rsid w:val="00A67AEF"/>
    <w:rsid w:val="00A67F99"/>
    <w:rsid w:val="00A70346"/>
    <w:rsid w:val="00A7035A"/>
    <w:rsid w:val="00A7055B"/>
    <w:rsid w:val="00A70D7C"/>
    <w:rsid w:val="00A724F4"/>
    <w:rsid w:val="00A72C59"/>
    <w:rsid w:val="00A72F06"/>
    <w:rsid w:val="00A734CD"/>
    <w:rsid w:val="00A73802"/>
    <w:rsid w:val="00A73A4A"/>
    <w:rsid w:val="00A73DD1"/>
    <w:rsid w:val="00A73EF2"/>
    <w:rsid w:val="00A74B0C"/>
    <w:rsid w:val="00A74B5E"/>
    <w:rsid w:val="00A75498"/>
    <w:rsid w:val="00A7593C"/>
    <w:rsid w:val="00A7625C"/>
    <w:rsid w:val="00A76841"/>
    <w:rsid w:val="00A76C6D"/>
    <w:rsid w:val="00A76C9B"/>
    <w:rsid w:val="00A77414"/>
    <w:rsid w:val="00A7764A"/>
    <w:rsid w:val="00A80576"/>
    <w:rsid w:val="00A81169"/>
    <w:rsid w:val="00A81FC3"/>
    <w:rsid w:val="00A82057"/>
    <w:rsid w:val="00A83581"/>
    <w:rsid w:val="00A837B0"/>
    <w:rsid w:val="00A83A90"/>
    <w:rsid w:val="00A84455"/>
    <w:rsid w:val="00A8472A"/>
    <w:rsid w:val="00A84763"/>
    <w:rsid w:val="00A8531B"/>
    <w:rsid w:val="00A85547"/>
    <w:rsid w:val="00A86BB0"/>
    <w:rsid w:val="00A875F7"/>
    <w:rsid w:val="00A87966"/>
    <w:rsid w:val="00A90A7F"/>
    <w:rsid w:val="00A90D0B"/>
    <w:rsid w:val="00A90FDC"/>
    <w:rsid w:val="00A910FB"/>
    <w:rsid w:val="00A911B2"/>
    <w:rsid w:val="00A914D8"/>
    <w:rsid w:val="00A91FDE"/>
    <w:rsid w:val="00A92815"/>
    <w:rsid w:val="00A92E3B"/>
    <w:rsid w:val="00A92E6C"/>
    <w:rsid w:val="00A92FA1"/>
    <w:rsid w:val="00A938EE"/>
    <w:rsid w:val="00A93A88"/>
    <w:rsid w:val="00A941F9"/>
    <w:rsid w:val="00A9474C"/>
    <w:rsid w:val="00A94BBB"/>
    <w:rsid w:val="00A95247"/>
    <w:rsid w:val="00A958EA"/>
    <w:rsid w:val="00A97668"/>
    <w:rsid w:val="00A979B0"/>
    <w:rsid w:val="00A97BCF"/>
    <w:rsid w:val="00AA068D"/>
    <w:rsid w:val="00AA0E2C"/>
    <w:rsid w:val="00AA1010"/>
    <w:rsid w:val="00AA1073"/>
    <w:rsid w:val="00AA2179"/>
    <w:rsid w:val="00AA31BA"/>
    <w:rsid w:val="00AA341B"/>
    <w:rsid w:val="00AA3476"/>
    <w:rsid w:val="00AA3A9C"/>
    <w:rsid w:val="00AA4316"/>
    <w:rsid w:val="00AA4415"/>
    <w:rsid w:val="00AA4565"/>
    <w:rsid w:val="00AA5C54"/>
    <w:rsid w:val="00AA6169"/>
    <w:rsid w:val="00AA62DE"/>
    <w:rsid w:val="00AA7526"/>
    <w:rsid w:val="00AA759A"/>
    <w:rsid w:val="00AA77FF"/>
    <w:rsid w:val="00AB0EC8"/>
    <w:rsid w:val="00AB13FB"/>
    <w:rsid w:val="00AB19E5"/>
    <w:rsid w:val="00AB1FC6"/>
    <w:rsid w:val="00AB2334"/>
    <w:rsid w:val="00AB25D5"/>
    <w:rsid w:val="00AB282B"/>
    <w:rsid w:val="00AB29D4"/>
    <w:rsid w:val="00AB31D4"/>
    <w:rsid w:val="00AB33D2"/>
    <w:rsid w:val="00AB3C7E"/>
    <w:rsid w:val="00AB3E49"/>
    <w:rsid w:val="00AB4FB3"/>
    <w:rsid w:val="00AB4FCE"/>
    <w:rsid w:val="00AB5187"/>
    <w:rsid w:val="00AB51B7"/>
    <w:rsid w:val="00AB7373"/>
    <w:rsid w:val="00AB7F0C"/>
    <w:rsid w:val="00AC12A1"/>
    <w:rsid w:val="00AC174D"/>
    <w:rsid w:val="00AC1DD8"/>
    <w:rsid w:val="00AC1FCC"/>
    <w:rsid w:val="00AC3420"/>
    <w:rsid w:val="00AC37D6"/>
    <w:rsid w:val="00AC3F38"/>
    <w:rsid w:val="00AC41EC"/>
    <w:rsid w:val="00AC4945"/>
    <w:rsid w:val="00AC4D7B"/>
    <w:rsid w:val="00AC4E4F"/>
    <w:rsid w:val="00AC510D"/>
    <w:rsid w:val="00AC52F4"/>
    <w:rsid w:val="00AC5A58"/>
    <w:rsid w:val="00AC5BA2"/>
    <w:rsid w:val="00AC6698"/>
    <w:rsid w:val="00AC6858"/>
    <w:rsid w:val="00AC6FA2"/>
    <w:rsid w:val="00AC7CC8"/>
    <w:rsid w:val="00AC7E32"/>
    <w:rsid w:val="00AD0DA9"/>
    <w:rsid w:val="00AD0F11"/>
    <w:rsid w:val="00AD12D8"/>
    <w:rsid w:val="00AD1571"/>
    <w:rsid w:val="00AD1B5D"/>
    <w:rsid w:val="00AD1E68"/>
    <w:rsid w:val="00AD31B3"/>
    <w:rsid w:val="00AD34BC"/>
    <w:rsid w:val="00AD35AE"/>
    <w:rsid w:val="00AD43E9"/>
    <w:rsid w:val="00AD51D3"/>
    <w:rsid w:val="00AD56C0"/>
    <w:rsid w:val="00AD5A28"/>
    <w:rsid w:val="00AD6847"/>
    <w:rsid w:val="00AD6F38"/>
    <w:rsid w:val="00AD7946"/>
    <w:rsid w:val="00AD7AB1"/>
    <w:rsid w:val="00AE0440"/>
    <w:rsid w:val="00AE077D"/>
    <w:rsid w:val="00AE0DA0"/>
    <w:rsid w:val="00AE0DF1"/>
    <w:rsid w:val="00AE193C"/>
    <w:rsid w:val="00AE2602"/>
    <w:rsid w:val="00AE2A8E"/>
    <w:rsid w:val="00AE2B0E"/>
    <w:rsid w:val="00AE39ED"/>
    <w:rsid w:val="00AE4064"/>
    <w:rsid w:val="00AE546F"/>
    <w:rsid w:val="00AE63B7"/>
    <w:rsid w:val="00AE640D"/>
    <w:rsid w:val="00AE65BF"/>
    <w:rsid w:val="00AE67EF"/>
    <w:rsid w:val="00AE6B83"/>
    <w:rsid w:val="00AE7045"/>
    <w:rsid w:val="00AE71E4"/>
    <w:rsid w:val="00AE760C"/>
    <w:rsid w:val="00AF0100"/>
    <w:rsid w:val="00AF143B"/>
    <w:rsid w:val="00AF159E"/>
    <w:rsid w:val="00AF17A2"/>
    <w:rsid w:val="00AF2AC7"/>
    <w:rsid w:val="00AF30F1"/>
    <w:rsid w:val="00AF315B"/>
    <w:rsid w:val="00AF3753"/>
    <w:rsid w:val="00AF3979"/>
    <w:rsid w:val="00AF3D78"/>
    <w:rsid w:val="00AF41BE"/>
    <w:rsid w:val="00AF43E7"/>
    <w:rsid w:val="00AF4750"/>
    <w:rsid w:val="00AF4CF8"/>
    <w:rsid w:val="00AF54B8"/>
    <w:rsid w:val="00AF62E9"/>
    <w:rsid w:val="00AF64F2"/>
    <w:rsid w:val="00AF6A71"/>
    <w:rsid w:val="00AF6CB7"/>
    <w:rsid w:val="00AF6F0D"/>
    <w:rsid w:val="00AF6F4A"/>
    <w:rsid w:val="00B00D47"/>
    <w:rsid w:val="00B00F82"/>
    <w:rsid w:val="00B01F18"/>
    <w:rsid w:val="00B0250C"/>
    <w:rsid w:val="00B0293C"/>
    <w:rsid w:val="00B02A4F"/>
    <w:rsid w:val="00B04084"/>
    <w:rsid w:val="00B04237"/>
    <w:rsid w:val="00B04375"/>
    <w:rsid w:val="00B045CE"/>
    <w:rsid w:val="00B0468F"/>
    <w:rsid w:val="00B04823"/>
    <w:rsid w:val="00B05053"/>
    <w:rsid w:val="00B051C5"/>
    <w:rsid w:val="00B05A31"/>
    <w:rsid w:val="00B05BA2"/>
    <w:rsid w:val="00B05DF5"/>
    <w:rsid w:val="00B05F59"/>
    <w:rsid w:val="00B067DF"/>
    <w:rsid w:val="00B073E9"/>
    <w:rsid w:val="00B077DA"/>
    <w:rsid w:val="00B10A3E"/>
    <w:rsid w:val="00B10F1A"/>
    <w:rsid w:val="00B110EC"/>
    <w:rsid w:val="00B11D9D"/>
    <w:rsid w:val="00B11EA0"/>
    <w:rsid w:val="00B12066"/>
    <w:rsid w:val="00B12566"/>
    <w:rsid w:val="00B12E55"/>
    <w:rsid w:val="00B12FC2"/>
    <w:rsid w:val="00B1356B"/>
    <w:rsid w:val="00B13C2A"/>
    <w:rsid w:val="00B143C4"/>
    <w:rsid w:val="00B147EB"/>
    <w:rsid w:val="00B1530B"/>
    <w:rsid w:val="00B15DB5"/>
    <w:rsid w:val="00B164E9"/>
    <w:rsid w:val="00B1666B"/>
    <w:rsid w:val="00B16995"/>
    <w:rsid w:val="00B16D19"/>
    <w:rsid w:val="00B17275"/>
    <w:rsid w:val="00B1773A"/>
    <w:rsid w:val="00B179BD"/>
    <w:rsid w:val="00B2084F"/>
    <w:rsid w:val="00B20AAA"/>
    <w:rsid w:val="00B20CE8"/>
    <w:rsid w:val="00B216F8"/>
    <w:rsid w:val="00B2176E"/>
    <w:rsid w:val="00B22618"/>
    <w:rsid w:val="00B22786"/>
    <w:rsid w:val="00B23252"/>
    <w:rsid w:val="00B2375D"/>
    <w:rsid w:val="00B23873"/>
    <w:rsid w:val="00B24211"/>
    <w:rsid w:val="00B24DDB"/>
    <w:rsid w:val="00B25A1F"/>
    <w:rsid w:val="00B25BA2"/>
    <w:rsid w:val="00B2605C"/>
    <w:rsid w:val="00B26943"/>
    <w:rsid w:val="00B3072F"/>
    <w:rsid w:val="00B30D88"/>
    <w:rsid w:val="00B30EBA"/>
    <w:rsid w:val="00B313F5"/>
    <w:rsid w:val="00B3163F"/>
    <w:rsid w:val="00B31728"/>
    <w:rsid w:val="00B32026"/>
    <w:rsid w:val="00B32C9A"/>
    <w:rsid w:val="00B33011"/>
    <w:rsid w:val="00B33B7D"/>
    <w:rsid w:val="00B340EF"/>
    <w:rsid w:val="00B343E5"/>
    <w:rsid w:val="00B345A9"/>
    <w:rsid w:val="00B349E4"/>
    <w:rsid w:val="00B351FE"/>
    <w:rsid w:val="00B355C2"/>
    <w:rsid w:val="00B359DB"/>
    <w:rsid w:val="00B36063"/>
    <w:rsid w:val="00B36954"/>
    <w:rsid w:val="00B36E14"/>
    <w:rsid w:val="00B3700E"/>
    <w:rsid w:val="00B37158"/>
    <w:rsid w:val="00B373EA"/>
    <w:rsid w:val="00B40393"/>
    <w:rsid w:val="00B4071D"/>
    <w:rsid w:val="00B40A30"/>
    <w:rsid w:val="00B40EE6"/>
    <w:rsid w:val="00B41451"/>
    <w:rsid w:val="00B4156F"/>
    <w:rsid w:val="00B42A72"/>
    <w:rsid w:val="00B42D80"/>
    <w:rsid w:val="00B42DD4"/>
    <w:rsid w:val="00B4415A"/>
    <w:rsid w:val="00B47063"/>
    <w:rsid w:val="00B474E7"/>
    <w:rsid w:val="00B50264"/>
    <w:rsid w:val="00B50728"/>
    <w:rsid w:val="00B5098F"/>
    <w:rsid w:val="00B50C58"/>
    <w:rsid w:val="00B50E5B"/>
    <w:rsid w:val="00B512E8"/>
    <w:rsid w:val="00B5147D"/>
    <w:rsid w:val="00B51889"/>
    <w:rsid w:val="00B51ADB"/>
    <w:rsid w:val="00B52252"/>
    <w:rsid w:val="00B52AC1"/>
    <w:rsid w:val="00B53563"/>
    <w:rsid w:val="00B54A95"/>
    <w:rsid w:val="00B54B6A"/>
    <w:rsid w:val="00B55265"/>
    <w:rsid w:val="00B55821"/>
    <w:rsid w:val="00B55926"/>
    <w:rsid w:val="00B559DC"/>
    <w:rsid w:val="00B55A87"/>
    <w:rsid w:val="00B55C03"/>
    <w:rsid w:val="00B56B55"/>
    <w:rsid w:val="00B56E9A"/>
    <w:rsid w:val="00B57169"/>
    <w:rsid w:val="00B57B82"/>
    <w:rsid w:val="00B60396"/>
    <w:rsid w:val="00B60C9C"/>
    <w:rsid w:val="00B611E8"/>
    <w:rsid w:val="00B615E6"/>
    <w:rsid w:val="00B63555"/>
    <w:rsid w:val="00B635C8"/>
    <w:rsid w:val="00B63785"/>
    <w:rsid w:val="00B64078"/>
    <w:rsid w:val="00B64F78"/>
    <w:rsid w:val="00B65454"/>
    <w:rsid w:val="00B657C3"/>
    <w:rsid w:val="00B65CFA"/>
    <w:rsid w:val="00B66B24"/>
    <w:rsid w:val="00B66E4B"/>
    <w:rsid w:val="00B67E5E"/>
    <w:rsid w:val="00B70D2F"/>
    <w:rsid w:val="00B71178"/>
    <w:rsid w:val="00B71BDE"/>
    <w:rsid w:val="00B71E60"/>
    <w:rsid w:val="00B72072"/>
    <w:rsid w:val="00B72991"/>
    <w:rsid w:val="00B72B05"/>
    <w:rsid w:val="00B72B74"/>
    <w:rsid w:val="00B72C34"/>
    <w:rsid w:val="00B72CB2"/>
    <w:rsid w:val="00B72CEF"/>
    <w:rsid w:val="00B72F63"/>
    <w:rsid w:val="00B7382E"/>
    <w:rsid w:val="00B738FB"/>
    <w:rsid w:val="00B73CC3"/>
    <w:rsid w:val="00B73E33"/>
    <w:rsid w:val="00B74D01"/>
    <w:rsid w:val="00B750A8"/>
    <w:rsid w:val="00B751C5"/>
    <w:rsid w:val="00B7574A"/>
    <w:rsid w:val="00B76347"/>
    <w:rsid w:val="00B766CF"/>
    <w:rsid w:val="00B76BB2"/>
    <w:rsid w:val="00B773F6"/>
    <w:rsid w:val="00B77519"/>
    <w:rsid w:val="00B77FEC"/>
    <w:rsid w:val="00B80090"/>
    <w:rsid w:val="00B80F0F"/>
    <w:rsid w:val="00B810F3"/>
    <w:rsid w:val="00B81110"/>
    <w:rsid w:val="00B82F39"/>
    <w:rsid w:val="00B82FA3"/>
    <w:rsid w:val="00B8300A"/>
    <w:rsid w:val="00B830CF"/>
    <w:rsid w:val="00B8322D"/>
    <w:rsid w:val="00B8362D"/>
    <w:rsid w:val="00B85096"/>
    <w:rsid w:val="00B857AA"/>
    <w:rsid w:val="00B85821"/>
    <w:rsid w:val="00B85DC7"/>
    <w:rsid w:val="00B86D1E"/>
    <w:rsid w:val="00B8739E"/>
    <w:rsid w:val="00B904AE"/>
    <w:rsid w:val="00B90B77"/>
    <w:rsid w:val="00B90F76"/>
    <w:rsid w:val="00B91DD5"/>
    <w:rsid w:val="00B92393"/>
    <w:rsid w:val="00B9242B"/>
    <w:rsid w:val="00B924E8"/>
    <w:rsid w:val="00B924F7"/>
    <w:rsid w:val="00B93677"/>
    <w:rsid w:val="00B937DD"/>
    <w:rsid w:val="00B94263"/>
    <w:rsid w:val="00B9426D"/>
    <w:rsid w:val="00B943CA"/>
    <w:rsid w:val="00B94415"/>
    <w:rsid w:val="00B9443D"/>
    <w:rsid w:val="00B9545B"/>
    <w:rsid w:val="00B95671"/>
    <w:rsid w:val="00B95960"/>
    <w:rsid w:val="00B959EB"/>
    <w:rsid w:val="00B95F8B"/>
    <w:rsid w:val="00B96040"/>
    <w:rsid w:val="00B9688D"/>
    <w:rsid w:val="00B96ACB"/>
    <w:rsid w:val="00B96CB4"/>
    <w:rsid w:val="00B96EA3"/>
    <w:rsid w:val="00B96F47"/>
    <w:rsid w:val="00B96F96"/>
    <w:rsid w:val="00B97633"/>
    <w:rsid w:val="00B97921"/>
    <w:rsid w:val="00BA11CF"/>
    <w:rsid w:val="00BA126B"/>
    <w:rsid w:val="00BA194F"/>
    <w:rsid w:val="00BA1A9D"/>
    <w:rsid w:val="00BA2AB7"/>
    <w:rsid w:val="00BA3300"/>
    <w:rsid w:val="00BA34A6"/>
    <w:rsid w:val="00BA4086"/>
    <w:rsid w:val="00BA4496"/>
    <w:rsid w:val="00BA4FC2"/>
    <w:rsid w:val="00BA5338"/>
    <w:rsid w:val="00BA542B"/>
    <w:rsid w:val="00BA56F0"/>
    <w:rsid w:val="00BA6B09"/>
    <w:rsid w:val="00BA7711"/>
    <w:rsid w:val="00BB03EC"/>
    <w:rsid w:val="00BB0BAC"/>
    <w:rsid w:val="00BB0D93"/>
    <w:rsid w:val="00BB122F"/>
    <w:rsid w:val="00BB131C"/>
    <w:rsid w:val="00BB1931"/>
    <w:rsid w:val="00BB1E31"/>
    <w:rsid w:val="00BB30DF"/>
    <w:rsid w:val="00BB3820"/>
    <w:rsid w:val="00BB39FE"/>
    <w:rsid w:val="00BB3A5A"/>
    <w:rsid w:val="00BB3E47"/>
    <w:rsid w:val="00BB41E2"/>
    <w:rsid w:val="00BB4554"/>
    <w:rsid w:val="00BB4C70"/>
    <w:rsid w:val="00BB4DFA"/>
    <w:rsid w:val="00BB4F4F"/>
    <w:rsid w:val="00BB536D"/>
    <w:rsid w:val="00BB58AB"/>
    <w:rsid w:val="00BB6B60"/>
    <w:rsid w:val="00BB6DD8"/>
    <w:rsid w:val="00BB72B3"/>
    <w:rsid w:val="00BB77AC"/>
    <w:rsid w:val="00BB796B"/>
    <w:rsid w:val="00BC0AEB"/>
    <w:rsid w:val="00BC0C7C"/>
    <w:rsid w:val="00BC14F5"/>
    <w:rsid w:val="00BC161A"/>
    <w:rsid w:val="00BC25F6"/>
    <w:rsid w:val="00BC283F"/>
    <w:rsid w:val="00BC2858"/>
    <w:rsid w:val="00BC2B06"/>
    <w:rsid w:val="00BC2E19"/>
    <w:rsid w:val="00BC3366"/>
    <w:rsid w:val="00BC3858"/>
    <w:rsid w:val="00BC4848"/>
    <w:rsid w:val="00BC4F97"/>
    <w:rsid w:val="00BC56F8"/>
    <w:rsid w:val="00BC6B75"/>
    <w:rsid w:val="00BC6F96"/>
    <w:rsid w:val="00BC74F2"/>
    <w:rsid w:val="00BC7F88"/>
    <w:rsid w:val="00BD03EC"/>
    <w:rsid w:val="00BD0742"/>
    <w:rsid w:val="00BD0988"/>
    <w:rsid w:val="00BD0A84"/>
    <w:rsid w:val="00BD0D06"/>
    <w:rsid w:val="00BD16A8"/>
    <w:rsid w:val="00BD1C33"/>
    <w:rsid w:val="00BD1D36"/>
    <w:rsid w:val="00BD39C6"/>
    <w:rsid w:val="00BD39D9"/>
    <w:rsid w:val="00BD3DD9"/>
    <w:rsid w:val="00BD416C"/>
    <w:rsid w:val="00BD459C"/>
    <w:rsid w:val="00BD4689"/>
    <w:rsid w:val="00BD481B"/>
    <w:rsid w:val="00BD5B93"/>
    <w:rsid w:val="00BD634A"/>
    <w:rsid w:val="00BD65B2"/>
    <w:rsid w:val="00BD6637"/>
    <w:rsid w:val="00BD681B"/>
    <w:rsid w:val="00BD6A8F"/>
    <w:rsid w:val="00BD73A3"/>
    <w:rsid w:val="00BE0547"/>
    <w:rsid w:val="00BE07F9"/>
    <w:rsid w:val="00BE1816"/>
    <w:rsid w:val="00BE217C"/>
    <w:rsid w:val="00BE22B3"/>
    <w:rsid w:val="00BE2425"/>
    <w:rsid w:val="00BE28F5"/>
    <w:rsid w:val="00BE33F8"/>
    <w:rsid w:val="00BE3472"/>
    <w:rsid w:val="00BE380E"/>
    <w:rsid w:val="00BE414E"/>
    <w:rsid w:val="00BE4B68"/>
    <w:rsid w:val="00BE4B82"/>
    <w:rsid w:val="00BE52AA"/>
    <w:rsid w:val="00BE5E42"/>
    <w:rsid w:val="00BE614C"/>
    <w:rsid w:val="00BE6696"/>
    <w:rsid w:val="00BE6FF6"/>
    <w:rsid w:val="00BF04F0"/>
    <w:rsid w:val="00BF144A"/>
    <w:rsid w:val="00BF1E3C"/>
    <w:rsid w:val="00BF26A4"/>
    <w:rsid w:val="00BF2C83"/>
    <w:rsid w:val="00BF332F"/>
    <w:rsid w:val="00BF33EC"/>
    <w:rsid w:val="00BF3C8A"/>
    <w:rsid w:val="00BF477B"/>
    <w:rsid w:val="00BF4A5C"/>
    <w:rsid w:val="00BF4C75"/>
    <w:rsid w:val="00BF4E1C"/>
    <w:rsid w:val="00BF5196"/>
    <w:rsid w:val="00BF611A"/>
    <w:rsid w:val="00BF6144"/>
    <w:rsid w:val="00BF61FE"/>
    <w:rsid w:val="00BF7087"/>
    <w:rsid w:val="00BF722D"/>
    <w:rsid w:val="00BF7A93"/>
    <w:rsid w:val="00BF7D4A"/>
    <w:rsid w:val="00C00208"/>
    <w:rsid w:val="00C00619"/>
    <w:rsid w:val="00C017B5"/>
    <w:rsid w:val="00C01E86"/>
    <w:rsid w:val="00C01F00"/>
    <w:rsid w:val="00C0204A"/>
    <w:rsid w:val="00C0273F"/>
    <w:rsid w:val="00C02A9D"/>
    <w:rsid w:val="00C0318E"/>
    <w:rsid w:val="00C0392B"/>
    <w:rsid w:val="00C03A41"/>
    <w:rsid w:val="00C03C03"/>
    <w:rsid w:val="00C03C3D"/>
    <w:rsid w:val="00C03EEA"/>
    <w:rsid w:val="00C050E3"/>
    <w:rsid w:val="00C058D7"/>
    <w:rsid w:val="00C05909"/>
    <w:rsid w:val="00C05AE3"/>
    <w:rsid w:val="00C07F8A"/>
    <w:rsid w:val="00C100D1"/>
    <w:rsid w:val="00C11084"/>
    <w:rsid w:val="00C113A0"/>
    <w:rsid w:val="00C11FE6"/>
    <w:rsid w:val="00C120F7"/>
    <w:rsid w:val="00C1255F"/>
    <w:rsid w:val="00C1385D"/>
    <w:rsid w:val="00C13C37"/>
    <w:rsid w:val="00C14CAD"/>
    <w:rsid w:val="00C14E7E"/>
    <w:rsid w:val="00C15157"/>
    <w:rsid w:val="00C1529B"/>
    <w:rsid w:val="00C157F7"/>
    <w:rsid w:val="00C15CCE"/>
    <w:rsid w:val="00C16E4F"/>
    <w:rsid w:val="00C170FE"/>
    <w:rsid w:val="00C17950"/>
    <w:rsid w:val="00C17AE1"/>
    <w:rsid w:val="00C17B6D"/>
    <w:rsid w:val="00C17F43"/>
    <w:rsid w:val="00C20B45"/>
    <w:rsid w:val="00C211CB"/>
    <w:rsid w:val="00C2157F"/>
    <w:rsid w:val="00C218B8"/>
    <w:rsid w:val="00C21A22"/>
    <w:rsid w:val="00C21CA7"/>
    <w:rsid w:val="00C22414"/>
    <w:rsid w:val="00C22B3B"/>
    <w:rsid w:val="00C22E29"/>
    <w:rsid w:val="00C238EA"/>
    <w:rsid w:val="00C24341"/>
    <w:rsid w:val="00C24640"/>
    <w:rsid w:val="00C25213"/>
    <w:rsid w:val="00C25BCE"/>
    <w:rsid w:val="00C25F17"/>
    <w:rsid w:val="00C27255"/>
    <w:rsid w:val="00C300BA"/>
    <w:rsid w:val="00C3085D"/>
    <w:rsid w:val="00C313B9"/>
    <w:rsid w:val="00C32323"/>
    <w:rsid w:val="00C329B1"/>
    <w:rsid w:val="00C34196"/>
    <w:rsid w:val="00C34A8C"/>
    <w:rsid w:val="00C34F15"/>
    <w:rsid w:val="00C350FB"/>
    <w:rsid w:val="00C3538E"/>
    <w:rsid w:val="00C356E0"/>
    <w:rsid w:val="00C3574E"/>
    <w:rsid w:val="00C359CE"/>
    <w:rsid w:val="00C364C0"/>
    <w:rsid w:val="00C368AC"/>
    <w:rsid w:val="00C371FA"/>
    <w:rsid w:val="00C37D5C"/>
    <w:rsid w:val="00C40821"/>
    <w:rsid w:val="00C40BED"/>
    <w:rsid w:val="00C413F3"/>
    <w:rsid w:val="00C4164E"/>
    <w:rsid w:val="00C41B95"/>
    <w:rsid w:val="00C41F4C"/>
    <w:rsid w:val="00C42BB5"/>
    <w:rsid w:val="00C4320F"/>
    <w:rsid w:val="00C4376F"/>
    <w:rsid w:val="00C450BD"/>
    <w:rsid w:val="00C4579D"/>
    <w:rsid w:val="00C46DCF"/>
    <w:rsid w:val="00C4731B"/>
    <w:rsid w:val="00C47674"/>
    <w:rsid w:val="00C479FB"/>
    <w:rsid w:val="00C47AE3"/>
    <w:rsid w:val="00C47B84"/>
    <w:rsid w:val="00C501DA"/>
    <w:rsid w:val="00C51BE4"/>
    <w:rsid w:val="00C51F6B"/>
    <w:rsid w:val="00C5244E"/>
    <w:rsid w:val="00C52D86"/>
    <w:rsid w:val="00C533E4"/>
    <w:rsid w:val="00C534DC"/>
    <w:rsid w:val="00C539A6"/>
    <w:rsid w:val="00C54060"/>
    <w:rsid w:val="00C55DA6"/>
    <w:rsid w:val="00C55EBC"/>
    <w:rsid w:val="00C56CAF"/>
    <w:rsid w:val="00C56CD0"/>
    <w:rsid w:val="00C57983"/>
    <w:rsid w:val="00C603BB"/>
    <w:rsid w:val="00C621AA"/>
    <w:rsid w:val="00C6284C"/>
    <w:rsid w:val="00C62BFE"/>
    <w:rsid w:val="00C62C64"/>
    <w:rsid w:val="00C6373C"/>
    <w:rsid w:val="00C637DA"/>
    <w:rsid w:val="00C638B2"/>
    <w:rsid w:val="00C63940"/>
    <w:rsid w:val="00C64434"/>
    <w:rsid w:val="00C6490E"/>
    <w:rsid w:val="00C65883"/>
    <w:rsid w:val="00C6636E"/>
    <w:rsid w:val="00C66880"/>
    <w:rsid w:val="00C66B24"/>
    <w:rsid w:val="00C66B35"/>
    <w:rsid w:val="00C66BA8"/>
    <w:rsid w:val="00C6724E"/>
    <w:rsid w:val="00C675E7"/>
    <w:rsid w:val="00C679F1"/>
    <w:rsid w:val="00C67A83"/>
    <w:rsid w:val="00C70526"/>
    <w:rsid w:val="00C710C1"/>
    <w:rsid w:val="00C71455"/>
    <w:rsid w:val="00C71C53"/>
    <w:rsid w:val="00C72233"/>
    <w:rsid w:val="00C722E5"/>
    <w:rsid w:val="00C72505"/>
    <w:rsid w:val="00C72D7A"/>
    <w:rsid w:val="00C72FA2"/>
    <w:rsid w:val="00C73C5F"/>
    <w:rsid w:val="00C74219"/>
    <w:rsid w:val="00C749A7"/>
    <w:rsid w:val="00C749FB"/>
    <w:rsid w:val="00C74AA4"/>
    <w:rsid w:val="00C74CE0"/>
    <w:rsid w:val="00C74FFB"/>
    <w:rsid w:val="00C7537A"/>
    <w:rsid w:val="00C759D9"/>
    <w:rsid w:val="00C75A06"/>
    <w:rsid w:val="00C767AE"/>
    <w:rsid w:val="00C76AE6"/>
    <w:rsid w:val="00C80A33"/>
    <w:rsid w:val="00C80AD3"/>
    <w:rsid w:val="00C80CA8"/>
    <w:rsid w:val="00C814FE"/>
    <w:rsid w:val="00C81C31"/>
    <w:rsid w:val="00C82288"/>
    <w:rsid w:val="00C827E2"/>
    <w:rsid w:val="00C82C46"/>
    <w:rsid w:val="00C82C91"/>
    <w:rsid w:val="00C84AB3"/>
    <w:rsid w:val="00C85FD9"/>
    <w:rsid w:val="00C86370"/>
    <w:rsid w:val="00C86440"/>
    <w:rsid w:val="00C866A2"/>
    <w:rsid w:val="00C86D6A"/>
    <w:rsid w:val="00C87615"/>
    <w:rsid w:val="00C87672"/>
    <w:rsid w:val="00C87D8D"/>
    <w:rsid w:val="00C87EC7"/>
    <w:rsid w:val="00C90057"/>
    <w:rsid w:val="00C90C93"/>
    <w:rsid w:val="00C91694"/>
    <w:rsid w:val="00C91800"/>
    <w:rsid w:val="00C91CC0"/>
    <w:rsid w:val="00C93019"/>
    <w:rsid w:val="00C930F3"/>
    <w:rsid w:val="00C93A9E"/>
    <w:rsid w:val="00C93D86"/>
    <w:rsid w:val="00C94894"/>
    <w:rsid w:val="00C94C1A"/>
    <w:rsid w:val="00C95525"/>
    <w:rsid w:val="00C957AA"/>
    <w:rsid w:val="00C976B3"/>
    <w:rsid w:val="00C97857"/>
    <w:rsid w:val="00C97DFC"/>
    <w:rsid w:val="00CA0029"/>
    <w:rsid w:val="00CA00AF"/>
    <w:rsid w:val="00CA040A"/>
    <w:rsid w:val="00CA0B43"/>
    <w:rsid w:val="00CA2BAB"/>
    <w:rsid w:val="00CA360D"/>
    <w:rsid w:val="00CA3E1E"/>
    <w:rsid w:val="00CA4294"/>
    <w:rsid w:val="00CA5733"/>
    <w:rsid w:val="00CA596C"/>
    <w:rsid w:val="00CA66AF"/>
    <w:rsid w:val="00CA6796"/>
    <w:rsid w:val="00CA6863"/>
    <w:rsid w:val="00CA7817"/>
    <w:rsid w:val="00CA7C96"/>
    <w:rsid w:val="00CA7D51"/>
    <w:rsid w:val="00CB0295"/>
    <w:rsid w:val="00CB033A"/>
    <w:rsid w:val="00CB08EE"/>
    <w:rsid w:val="00CB1913"/>
    <w:rsid w:val="00CB2181"/>
    <w:rsid w:val="00CB2562"/>
    <w:rsid w:val="00CB3002"/>
    <w:rsid w:val="00CB3AE7"/>
    <w:rsid w:val="00CB40D9"/>
    <w:rsid w:val="00CB56DC"/>
    <w:rsid w:val="00CB5D26"/>
    <w:rsid w:val="00CB5E6B"/>
    <w:rsid w:val="00CB6111"/>
    <w:rsid w:val="00CB6209"/>
    <w:rsid w:val="00CB6406"/>
    <w:rsid w:val="00CB6DE7"/>
    <w:rsid w:val="00CB72BF"/>
    <w:rsid w:val="00CB72F6"/>
    <w:rsid w:val="00CB7839"/>
    <w:rsid w:val="00CB7B82"/>
    <w:rsid w:val="00CC1B71"/>
    <w:rsid w:val="00CC1C82"/>
    <w:rsid w:val="00CC2428"/>
    <w:rsid w:val="00CC2784"/>
    <w:rsid w:val="00CC2B42"/>
    <w:rsid w:val="00CC309E"/>
    <w:rsid w:val="00CC33B2"/>
    <w:rsid w:val="00CC379A"/>
    <w:rsid w:val="00CC4003"/>
    <w:rsid w:val="00CC471F"/>
    <w:rsid w:val="00CC4B35"/>
    <w:rsid w:val="00CC5778"/>
    <w:rsid w:val="00CC5C35"/>
    <w:rsid w:val="00CC672E"/>
    <w:rsid w:val="00CC6B1D"/>
    <w:rsid w:val="00CC6CEF"/>
    <w:rsid w:val="00CC782D"/>
    <w:rsid w:val="00CC794C"/>
    <w:rsid w:val="00CD0613"/>
    <w:rsid w:val="00CD0949"/>
    <w:rsid w:val="00CD096B"/>
    <w:rsid w:val="00CD0CA8"/>
    <w:rsid w:val="00CD0D55"/>
    <w:rsid w:val="00CD0DB9"/>
    <w:rsid w:val="00CD1130"/>
    <w:rsid w:val="00CD373B"/>
    <w:rsid w:val="00CD442C"/>
    <w:rsid w:val="00CD44F7"/>
    <w:rsid w:val="00CD4E65"/>
    <w:rsid w:val="00CD5577"/>
    <w:rsid w:val="00CD5DA7"/>
    <w:rsid w:val="00CD6447"/>
    <w:rsid w:val="00CD6F13"/>
    <w:rsid w:val="00CE0A9A"/>
    <w:rsid w:val="00CE154C"/>
    <w:rsid w:val="00CE1D31"/>
    <w:rsid w:val="00CE334B"/>
    <w:rsid w:val="00CE3412"/>
    <w:rsid w:val="00CE3740"/>
    <w:rsid w:val="00CE3BE2"/>
    <w:rsid w:val="00CE3C41"/>
    <w:rsid w:val="00CE4123"/>
    <w:rsid w:val="00CE43C4"/>
    <w:rsid w:val="00CE4403"/>
    <w:rsid w:val="00CE55A0"/>
    <w:rsid w:val="00CE5689"/>
    <w:rsid w:val="00CE56CD"/>
    <w:rsid w:val="00CE5D02"/>
    <w:rsid w:val="00CE65BC"/>
    <w:rsid w:val="00CE671D"/>
    <w:rsid w:val="00CE69BD"/>
    <w:rsid w:val="00CE6D30"/>
    <w:rsid w:val="00CE77E8"/>
    <w:rsid w:val="00CE7946"/>
    <w:rsid w:val="00CE7E29"/>
    <w:rsid w:val="00CE7F02"/>
    <w:rsid w:val="00CF09FC"/>
    <w:rsid w:val="00CF0FF9"/>
    <w:rsid w:val="00CF1A33"/>
    <w:rsid w:val="00CF2ED6"/>
    <w:rsid w:val="00CF2FF0"/>
    <w:rsid w:val="00CF304E"/>
    <w:rsid w:val="00CF31A6"/>
    <w:rsid w:val="00CF41F7"/>
    <w:rsid w:val="00CF469F"/>
    <w:rsid w:val="00CF6055"/>
    <w:rsid w:val="00CF6255"/>
    <w:rsid w:val="00CF62F2"/>
    <w:rsid w:val="00CF6A02"/>
    <w:rsid w:val="00CF7137"/>
    <w:rsid w:val="00CF72BE"/>
    <w:rsid w:val="00CF7E72"/>
    <w:rsid w:val="00CF7EB1"/>
    <w:rsid w:val="00CF7EC0"/>
    <w:rsid w:val="00D00758"/>
    <w:rsid w:val="00D0090E"/>
    <w:rsid w:val="00D011D4"/>
    <w:rsid w:val="00D01218"/>
    <w:rsid w:val="00D0123A"/>
    <w:rsid w:val="00D01444"/>
    <w:rsid w:val="00D020DE"/>
    <w:rsid w:val="00D02712"/>
    <w:rsid w:val="00D02D6A"/>
    <w:rsid w:val="00D035E8"/>
    <w:rsid w:val="00D03A8B"/>
    <w:rsid w:val="00D0413E"/>
    <w:rsid w:val="00D05092"/>
    <w:rsid w:val="00D0528A"/>
    <w:rsid w:val="00D05E39"/>
    <w:rsid w:val="00D06236"/>
    <w:rsid w:val="00D062A9"/>
    <w:rsid w:val="00D07CC0"/>
    <w:rsid w:val="00D1019A"/>
    <w:rsid w:val="00D10382"/>
    <w:rsid w:val="00D104D1"/>
    <w:rsid w:val="00D10E87"/>
    <w:rsid w:val="00D124DE"/>
    <w:rsid w:val="00D142ED"/>
    <w:rsid w:val="00D1493F"/>
    <w:rsid w:val="00D14E8F"/>
    <w:rsid w:val="00D15B2F"/>
    <w:rsid w:val="00D15C77"/>
    <w:rsid w:val="00D16309"/>
    <w:rsid w:val="00D173EE"/>
    <w:rsid w:val="00D17A77"/>
    <w:rsid w:val="00D202B4"/>
    <w:rsid w:val="00D20301"/>
    <w:rsid w:val="00D203A8"/>
    <w:rsid w:val="00D20592"/>
    <w:rsid w:val="00D20A1C"/>
    <w:rsid w:val="00D20EEB"/>
    <w:rsid w:val="00D228A6"/>
    <w:rsid w:val="00D22D28"/>
    <w:rsid w:val="00D23073"/>
    <w:rsid w:val="00D23A18"/>
    <w:rsid w:val="00D24BDA"/>
    <w:rsid w:val="00D24F65"/>
    <w:rsid w:val="00D252CD"/>
    <w:rsid w:val="00D252FD"/>
    <w:rsid w:val="00D263C3"/>
    <w:rsid w:val="00D264D4"/>
    <w:rsid w:val="00D264DF"/>
    <w:rsid w:val="00D271E3"/>
    <w:rsid w:val="00D274D8"/>
    <w:rsid w:val="00D27C2B"/>
    <w:rsid w:val="00D27F50"/>
    <w:rsid w:val="00D3013E"/>
    <w:rsid w:val="00D30C2D"/>
    <w:rsid w:val="00D31386"/>
    <w:rsid w:val="00D316E1"/>
    <w:rsid w:val="00D31908"/>
    <w:rsid w:val="00D31B12"/>
    <w:rsid w:val="00D31EB8"/>
    <w:rsid w:val="00D323E3"/>
    <w:rsid w:val="00D328B0"/>
    <w:rsid w:val="00D33F8E"/>
    <w:rsid w:val="00D3438A"/>
    <w:rsid w:val="00D34421"/>
    <w:rsid w:val="00D34482"/>
    <w:rsid w:val="00D347AE"/>
    <w:rsid w:val="00D35048"/>
    <w:rsid w:val="00D356C4"/>
    <w:rsid w:val="00D3662C"/>
    <w:rsid w:val="00D36AB5"/>
    <w:rsid w:val="00D37461"/>
    <w:rsid w:val="00D37887"/>
    <w:rsid w:val="00D37932"/>
    <w:rsid w:val="00D401D6"/>
    <w:rsid w:val="00D40B80"/>
    <w:rsid w:val="00D40B8E"/>
    <w:rsid w:val="00D40BCE"/>
    <w:rsid w:val="00D40E04"/>
    <w:rsid w:val="00D424C2"/>
    <w:rsid w:val="00D42644"/>
    <w:rsid w:val="00D429CA"/>
    <w:rsid w:val="00D42E63"/>
    <w:rsid w:val="00D4303F"/>
    <w:rsid w:val="00D4357C"/>
    <w:rsid w:val="00D4359A"/>
    <w:rsid w:val="00D445CB"/>
    <w:rsid w:val="00D44F43"/>
    <w:rsid w:val="00D45C98"/>
    <w:rsid w:val="00D45E28"/>
    <w:rsid w:val="00D464DE"/>
    <w:rsid w:val="00D468CD"/>
    <w:rsid w:val="00D46B68"/>
    <w:rsid w:val="00D4707A"/>
    <w:rsid w:val="00D47081"/>
    <w:rsid w:val="00D47172"/>
    <w:rsid w:val="00D4729B"/>
    <w:rsid w:val="00D503AC"/>
    <w:rsid w:val="00D504A4"/>
    <w:rsid w:val="00D51FFD"/>
    <w:rsid w:val="00D520D3"/>
    <w:rsid w:val="00D52AD9"/>
    <w:rsid w:val="00D53227"/>
    <w:rsid w:val="00D5399E"/>
    <w:rsid w:val="00D55746"/>
    <w:rsid w:val="00D56C49"/>
    <w:rsid w:val="00D56CD7"/>
    <w:rsid w:val="00D60378"/>
    <w:rsid w:val="00D60BC4"/>
    <w:rsid w:val="00D60F5D"/>
    <w:rsid w:val="00D61132"/>
    <w:rsid w:val="00D611A4"/>
    <w:rsid w:val="00D611D1"/>
    <w:rsid w:val="00D6154D"/>
    <w:rsid w:val="00D61AB8"/>
    <w:rsid w:val="00D6248C"/>
    <w:rsid w:val="00D624A1"/>
    <w:rsid w:val="00D624FC"/>
    <w:rsid w:val="00D63654"/>
    <w:rsid w:val="00D63936"/>
    <w:rsid w:val="00D63E18"/>
    <w:rsid w:val="00D64F1D"/>
    <w:rsid w:val="00D651AC"/>
    <w:rsid w:val="00D657FD"/>
    <w:rsid w:val="00D65C1C"/>
    <w:rsid w:val="00D65F20"/>
    <w:rsid w:val="00D665C3"/>
    <w:rsid w:val="00D66D5B"/>
    <w:rsid w:val="00D673F1"/>
    <w:rsid w:val="00D67D04"/>
    <w:rsid w:val="00D700AC"/>
    <w:rsid w:val="00D71623"/>
    <w:rsid w:val="00D7375F"/>
    <w:rsid w:val="00D73EA0"/>
    <w:rsid w:val="00D73F5F"/>
    <w:rsid w:val="00D74AB1"/>
    <w:rsid w:val="00D750DB"/>
    <w:rsid w:val="00D75111"/>
    <w:rsid w:val="00D76345"/>
    <w:rsid w:val="00D765A4"/>
    <w:rsid w:val="00D7666B"/>
    <w:rsid w:val="00D77738"/>
    <w:rsid w:val="00D77A78"/>
    <w:rsid w:val="00D77C0C"/>
    <w:rsid w:val="00D80376"/>
    <w:rsid w:val="00D805FF"/>
    <w:rsid w:val="00D80A78"/>
    <w:rsid w:val="00D8134E"/>
    <w:rsid w:val="00D8196C"/>
    <w:rsid w:val="00D81D5C"/>
    <w:rsid w:val="00D81DFD"/>
    <w:rsid w:val="00D81F1E"/>
    <w:rsid w:val="00D81F26"/>
    <w:rsid w:val="00D824E7"/>
    <w:rsid w:val="00D82909"/>
    <w:rsid w:val="00D835A7"/>
    <w:rsid w:val="00D836C0"/>
    <w:rsid w:val="00D84D09"/>
    <w:rsid w:val="00D84ED8"/>
    <w:rsid w:val="00D85DFC"/>
    <w:rsid w:val="00D85FAC"/>
    <w:rsid w:val="00D8731B"/>
    <w:rsid w:val="00D8743F"/>
    <w:rsid w:val="00D90E64"/>
    <w:rsid w:val="00D91B9E"/>
    <w:rsid w:val="00D91BD7"/>
    <w:rsid w:val="00D948D7"/>
    <w:rsid w:val="00D94BC7"/>
    <w:rsid w:val="00D95911"/>
    <w:rsid w:val="00D960BF"/>
    <w:rsid w:val="00D960F1"/>
    <w:rsid w:val="00D96FDA"/>
    <w:rsid w:val="00D97273"/>
    <w:rsid w:val="00D97D31"/>
    <w:rsid w:val="00DA031E"/>
    <w:rsid w:val="00DA0C56"/>
    <w:rsid w:val="00DA185E"/>
    <w:rsid w:val="00DA2FF9"/>
    <w:rsid w:val="00DA3E6D"/>
    <w:rsid w:val="00DA4B20"/>
    <w:rsid w:val="00DA59BD"/>
    <w:rsid w:val="00DA6556"/>
    <w:rsid w:val="00DA6672"/>
    <w:rsid w:val="00DA6856"/>
    <w:rsid w:val="00DA6A91"/>
    <w:rsid w:val="00DA702E"/>
    <w:rsid w:val="00DA7141"/>
    <w:rsid w:val="00DA7E52"/>
    <w:rsid w:val="00DB022B"/>
    <w:rsid w:val="00DB0319"/>
    <w:rsid w:val="00DB0A66"/>
    <w:rsid w:val="00DB0BE5"/>
    <w:rsid w:val="00DB0C3D"/>
    <w:rsid w:val="00DB0D7B"/>
    <w:rsid w:val="00DB1204"/>
    <w:rsid w:val="00DB14A2"/>
    <w:rsid w:val="00DB191C"/>
    <w:rsid w:val="00DB2912"/>
    <w:rsid w:val="00DB318A"/>
    <w:rsid w:val="00DB31C5"/>
    <w:rsid w:val="00DB35AC"/>
    <w:rsid w:val="00DB38B4"/>
    <w:rsid w:val="00DB4157"/>
    <w:rsid w:val="00DB41AD"/>
    <w:rsid w:val="00DB4E55"/>
    <w:rsid w:val="00DB50B7"/>
    <w:rsid w:val="00DB5787"/>
    <w:rsid w:val="00DB5AC0"/>
    <w:rsid w:val="00DB5DD4"/>
    <w:rsid w:val="00DB70FD"/>
    <w:rsid w:val="00DB7C5D"/>
    <w:rsid w:val="00DC0383"/>
    <w:rsid w:val="00DC0A8B"/>
    <w:rsid w:val="00DC0DFF"/>
    <w:rsid w:val="00DC1043"/>
    <w:rsid w:val="00DC195A"/>
    <w:rsid w:val="00DC1DBC"/>
    <w:rsid w:val="00DC21CB"/>
    <w:rsid w:val="00DC45DC"/>
    <w:rsid w:val="00DC515C"/>
    <w:rsid w:val="00DC55A4"/>
    <w:rsid w:val="00DC5B2E"/>
    <w:rsid w:val="00DC637D"/>
    <w:rsid w:val="00DC6BA3"/>
    <w:rsid w:val="00DC7422"/>
    <w:rsid w:val="00DC75A6"/>
    <w:rsid w:val="00DC7BC9"/>
    <w:rsid w:val="00DC7FF9"/>
    <w:rsid w:val="00DD0DF1"/>
    <w:rsid w:val="00DD0E92"/>
    <w:rsid w:val="00DD12AB"/>
    <w:rsid w:val="00DD3377"/>
    <w:rsid w:val="00DD3665"/>
    <w:rsid w:val="00DD3B04"/>
    <w:rsid w:val="00DD3BC3"/>
    <w:rsid w:val="00DD42F2"/>
    <w:rsid w:val="00DD44AB"/>
    <w:rsid w:val="00DD4762"/>
    <w:rsid w:val="00DD4A04"/>
    <w:rsid w:val="00DD4E5E"/>
    <w:rsid w:val="00DD509C"/>
    <w:rsid w:val="00DD5693"/>
    <w:rsid w:val="00DD5A62"/>
    <w:rsid w:val="00DD6EB8"/>
    <w:rsid w:val="00DD6F85"/>
    <w:rsid w:val="00DD7BB4"/>
    <w:rsid w:val="00DD7BBC"/>
    <w:rsid w:val="00DE009E"/>
    <w:rsid w:val="00DE05CF"/>
    <w:rsid w:val="00DE22AE"/>
    <w:rsid w:val="00DE2782"/>
    <w:rsid w:val="00DE31BB"/>
    <w:rsid w:val="00DE375F"/>
    <w:rsid w:val="00DE38A6"/>
    <w:rsid w:val="00DE3D0A"/>
    <w:rsid w:val="00DE3D21"/>
    <w:rsid w:val="00DE4816"/>
    <w:rsid w:val="00DE4830"/>
    <w:rsid w:val="00DE5A4E"/>
    <w:rsid w:val="00DE5C45"/>
    <w:rsid w:val="00DE5DC9"/>
    <w:rsid w:val="00DE5DD2"/>
    <w:rsid w:val="00DE746A"/>
    <w:rsid w:val="00DE7474"/>
    <w:rsid w:val="00DE799F"/>
    <w:rsid w:val="00DE7F27"/>
    <w:rsid w:val="00DF018B"/>
    <w:rsid w:val="00DF01C0"/>
    <w:rsid w:val="00DF0963"/>
    <w:rsid w:val="00DF1DE7"/>
    <w:rsid w:val="00DF1F18"/>
    <w:rsid w:val="00DF2A0E"/>
    <w:rsid w:val="00DF3C37"/>
    <w:rsid w:val="00DF3D21"/>
    <w:rsid w:val="00DF3FDA"/>
    <w:rsid w:val="00DF4C56"/>
    <w:rsid w:val="00DF5075"/>
    <w:rsid w:val="00DF6376"/>
    <w:rsid w:val="00DF6991"/>
    <w:rsid w:val="00DF6A46"/>
    <w:rsid w:val="00DF7E24"/>
    <w:rsid w:val="00E00473"/>
    <w:rsid w:val="00E004FE"/>
    <w:rsid w:val="00E005D2"/>
    <w:rsid w:val="00E00643"/>
    <w:rsid w:val="00E00D83"/>
    <w:rsid w:val="00E014CA"/>
    <w:rsid w:val="00E021C8"/>
    <w:rsid w:val="00E0281B"/>
    <w:rsid w:val="00E03B9D"/>
    <w:rsid w:val="00E04932"/>
    <w:rsid w:val="00E0494E"/>
    <w:rsid w:val="00E04F88"/>
    <w:rsid w:val="00E051BC"/>
    <w:rsid w:val="00E051E5"/>
    <w:rsid w:val="00E05424"/>
    <w:rsid w:val="00E0570D"/>
    <w:rsid w:val="00E05C99"/>
    <w:rsid w:val="00E05E52"/>
    <w:rsid w:val="00E06FB9"/>
    <w:rsid w:val="00E071F1"/>
    <w:rsid w:val="00E07FC7"/>
    <w:rsid w:val="00E10377"/>
    <w:rsid w:val="00E10602"/>
    <w:rsid w:val="00E109AC"/>
    <w:rsid w:val="00E10F93"/>
    <w:rsid w:val="00E115B8"/>
    <w:rsid w:val="00E115D2"/>
    <w:rsid w:val="00E11B2D"/>
    <w:rsid w:val="00E11C0D"/>
    <w:rsid w:val="00E1242D"/>
    <w:rsid w:val="00E131FE"/>
    <w:rsid w:val="00E133CE"/>
    <w:rsid w:val="00E13CEA"/>
    <w:rsid w:val="00E14298"/>
    <w:rsid w:val="00E145B7"/>
    <w:rsid w:val="00E14714"/>
    <w:rsid w:val="00E14999"/>
    <w:rsid w:val="00E14BCC"/>
    <w:rsid w:val="00E15174"/>
    <w:rsid w:val="00E1525D"/>
    <w:rsid w:val="00E15714"/>
    <w:rsid w:val="00E15947"/>
    <w:rsid w:val="00E15AE7"/>
    <w:rsid w:val="00E16329"/>
    <w:rsid w:val="00E1670A"/>
    <w:rsid w:val="00E168F9"/>
    <w:rsid w:val="00E16AB9"/>
    <w:rsid w:val="00E17961"/>
    <w:rsid w:val="00E17C08"/>
    <w:rsid w:val="00E204CE"/>
    <w:rsid w:val="00E205F1"/>
    <w:rsid w:val="00E2063F"/>
    <w:rsid w:val="00E207F1"/>
    <w:rsid w:val="00E20824"/>
    <w:rsid w:val="00E20B01"/>
    <w:rsid w:val="00E20BCD"/>
    <w:rsid w:val="00E21607"/>
    <w:rsid w:val="00E22001"/>
    <w:rsid w:val="00E22355"/>
    <w:rsid w:val="00E22640"/>
    <w:rsid w:val="00E22853"/>
    <w:rsid w:val="00E229D8"/>
    <w:rsid w:val="00E22AB5"/>
    <w:rsid w:val="00E22DAE"/>
    <w:rsid w:val="00E22EE7"/>
    <w:rsid w:val="00E2308E"/>
    <w:rsid w:val="00E2374C"/>
    <w:rsid w:val="00E23DFB"/>
    <w:rsid w:val="00E24007"/>
    <w:rsid w:val="00E24426"/>
    <w:rsid w:val="00E2445E"/>
    <w:rsid w:val="00E25375"/>
    <w:rsid w:val="00E26247"/>
    <w:rsid w:val="00E2667C"/>
    <w:rsid w:val="00E26DC1"/>
    <w:rsid w:val="00E27A9A"/>
    <w:rsid w:val="00E27B69"/>
    <w:rsid w:val="00E27F7C"/>
    <w:rsid w:val="00E30345"/>
    <w:rsid w:val="00E30E47"/>
    <w:rsid w:val="00E329FC"/>
    <w:rsid w:val="00E32BB8"/>
    <w:rsid w:val="00E33850"/>
    <w:rsid w:val="00E33C81"/>
    <w:rsid w:val="00E33CE8"/>
    <w:rsid w:val="00E34169"/>
    <w:rsid w:val="00E342A1"/>
    <w:rsid w:val="00E343D4"/>
    <w:rsid w:val="00E34782"/>
    <w:rsid w:val="00E34CF0"/>
    <w:rsid w:val="00E34D60"/>
    <w:rsid w:val="00E3518F"/>
    <w:rsid w:val="00E35D05"/>
    <w:rsid w:val="00E35E6A"/>
    <w:rsid w:val="00E37512"/>
    <w:rsid w:val="00E37BB7"/>
    <w:rsid w:val="00E37C9C"/>
    <w:rsid w:val="00E408D6"/>
    <w:rsid w:val="00E410C5"/>
    <w:rsid w:val="00E41C29"/>
    <w:rsid w:val="00E422B0"/>
    <w:rsid w:val="00E425C4"/>
    <w:rsid w:val="00E426A9"/>
    <w:rsid w:val="00E42F7D"/>
    <w:rsid w:val="00E4342C"/>
    <w:rsid w:val="00E43F5B"/>
    <w:rsid w:val="00E456C1"/>
    <w:rsid w:val="00E45F37"/>
    <w:rsid w:val="00E46251"/>
    <w:rsid w:val="00E462ED"/>
    <w:rsid w:val="00E46671"/>
    <w:rsid w:val="00E469AC"/>
    <w:rsid w:val="00E47E76"/>
    <w:rsid w:val="00E502F7"/>
    <w:rsid w:val="00E50311"/>
    <w:rsid w:val="00E505B3"/>
    <w:rsid w:val="00E506D6"/>
    <w:rsid w:val="00E50980"/>
    <w:rsid w:val="00E5115C"/>
    <w:rsid w:val="00E516E5"/>
    <w:rsid w:val="00E51E77"/>
    <w:rsid w:val="00E522A8"/>
    <w:rsid w:val="00E52F4D"/>
    <w:rsid w:val="00E53E07"/>
    <w:rsid w:val="00E53E6C"/>
    <w:rsid w:val="00E545E6"/>
    <w:rsid w:val="00E54A69"/>
    <w:rsid w:val="00E55109"/>
    <w:rsid w:val="00E555E3"/>
    <w:rsid w:val="00E55B0C"/>
    <w:rsid w:val="00E55EC8"/>
    <w:rsid w:val="00E563E4"/>
    <w:rsid w:val="00E5649D"/>
    <w:rsid w:val="00E564C0"/>
    <w:rsid w:val="00E5790B"/>
    <w:rsid w:val="00E60748"/>
    <w:rsid w:val="00E6137E"/>
    <w:rsid w:val="00E61956"/>
    <w:rsid w:val="00E6197D"/>
    <w:rsid w:val="00E61B3A"/>
    <w:rsid w:val="00E61DA6"/>
    <w:rsid w:val="00E628A6"/>
    <w:rsid w:val="00E62ABF"/>
    <w:rsid w:val="00E62E85"/>
    <w:rsid w:val="00E63970"/>
    <w:rsid w:val="00E63C31"/>
    <w:rsid w:val="00E63E14"/>
    <w:rsid w:val="00E6448B"/>
    <w:rsid w:val="00E64562"/>
    <w:rsid w:val="00E64C7B"/>
    <w:rsid w:val="00E65041"/>
    <w:rsid w:val="00E65124"/>
    <w:rsid w:val="00E65518"/>
    <w:rsid w:val="00E657AA"/>
    <w:rsid w:val="00E6589B"/>
    <w:rsid w:val="00E66A74"/>
    <w:rsid w:val="00E66B15"/>
    <w:rsid w:val="00E671BD"/>
    <w:rsid w:val="00E672E7"/>
    <w:rsid w:val="00E6789C"/>
    <w:rsid w:val="00E67AB9"/>
    <w:rsid w:val="00E67AD1"/>
    <w:rsid w:val="00E70857"/>
    <w:rsid w:val="00E70F77"/>
    <w:rsid w:val="00E719C8"/>
    <w:rsid w:val="00E71DA1"/>
    <w:rsid w:val="00E7250B"/>
    <w:rsid w:val="00E72F3E"/>
    <w:rsid w:val="00E72F73"/>
    <w:rsid w:val="00E735E6"/>
    <w:rsid w:val="00E73982"/>
    <w:rsid w:val="00E73A40"/>
    <w:rsid w:val="00E73F6D"/>
    <w:rsid w:val="00E741A3"/>
    <w:rsid w:val="00E745D6"/>
    <w:rsid w:val="00E74A03"/>
    <w:rsid w:val="00E751F9"/>
    <w:rsid w:val="00E756E3"/>
    <w:rsid w:val="00E757FC"/>
    <w:rsid w:val="00E75CAD"/>
    <w:rsid w:val="00E769A3"/>
    <w:rsid w:val="00E7795F"/>
    <w:rsid w:val="00E7798C"/>
    <w:rsid w:val="00E779E0"/>
    <w:rsid w:val="00E803F8"/>
    <w:rsid w:val="00E805A5"/>
    <w:rsid w:val="00E806C7"/>
    <w:rsid w:val="00E80A0F"/>
    <w:rsid w:val="00E80EB7"/>
    <w:rsid w:val="00E819DB"/>
    <w:rsid w:val="00E81B4D"/>
    <w:rsid w:val="00E82149"/>
    <w:rsid w:val="00E82BDE"/>
    <w:rsid w:val="00E8323B"/>
    <w:rsid w:val="00E83612"/>
    <w:rsid w:val="00E83CE0"/>
    <w:rsid w:val="00E83E7C"/>
    <w:rsid w:val="00E84F56"/>
    <w:rsid w:val="00E852F9"/>
    <w:rsid w:val="00E867E0"/>
    <w:rsid w:val="00E8690D"/>
    <w:rsid w:val="00E86A66"/>
    <w:rsid w:val="00E8743E"/>
    <w:rsid w:val="00E90912"/>
    <w:rsid w:val="00E92795"/>
    <w:rsid w:val="00E92E24"/>
    <w:rsid w:val="00E935F9"/>
    <w:rsid w:val="00E93686"/>
    <w:rsid w:val="00E9437C"/>
    <w:rsid w:val="00E94688"/>
    <w:rsid w:val="00E94AEC"/>
    <w:rsid w:val="00E95D27"/>
    <w:rsid w:val="00E95E2F"/>
    <w:rsid w:val="00E96A90"/>
    <w:rsid w:val="00E96BE4"/>
    <w:rsid w:val="00E96C2D"/>
    <w:rsid w:val="00E9737E"/>
    <w:rsid w:val="00E9759D"/>
    <w:rsid w:val="00E97C1F"/>
    <w:rsid w:val="00E97D7A"/>
    <w:rsid w:val="00E97F09"/>
    <w:rsid w:val="00EA0F46"/>
    <w:rsid w:val="00EA1323"/>
    <w:rsid w:val="00EA1383"/>
    <w:rsid w:val="00EA18A5"/>
    <w:rsid w:val="00EA19BD"/>
    <w:rsid w:val="00EA1E5E"/>
    <w:rsid w:val="00EA25D9"/>
    <w:rsid w:val="00EA35BB"/>
    <w:rsid w:val="00EA37BE"/>
    <w:rsid w:val="00EA390E"/>
    <w:rsid w:val="00EA3F42"/>
    <w:rsid w:val="00EA421A"/>
    <w:rsid w:val="00EA4679"/>
    <w:rsid w:val="00EA512B"/>
    <w:rsid w:val="00EA5886"/>
    <w:rsid w:val="00EA6772"/>
    <w:rsid w:val="00EA6B12"/>
    <w:rsid w:val="00EA6BB1"/>
    <w:rsid w:val="00EA6C27"/>
    <w:rsid w:val="00EA729E"/>
    <w:rsid w:val="00EA72E9"/>
    <w:rsid w:val="00EA7331"/>
    <w:rsid w:val="00EA7C31"/>
    <w:rsid w:val="00EB0986"/>
    <w:rsid w:val="00EB0AF9"/>
    <w:rsid w:val="00EB0D2A"/>
    <w:rsid w:val="00EB1E84"/>
    <w:rsid w:val="00EB2259"/>
    <w:rsid w:val="00EB233D"/>
    <w:rsid w:val="00EB250C"/>
    <w:rsid w:val="00EB30D1"/>
    <w:rsid w:val="00EB3107"/>
    <w:rsid w:val="00EB3856"/>
    <w:rsid w:val="00EB4048"/>
    <w:rsid w:val="00EB4C9B"/>
    <w:rsid w:val="00EB4CA3"/>
    <w:rsid w:val="00EB4E88"/>
    <w:rsid w:val="00EB5244"/>
    <w:rsid w:val="00EB5906"/>
    <w:rsid w:val="00EB59F9"/>
    <w:rsid w:val="00EB5EE9"/>
    <w:rsid w:val="00EB60C7"/>
    <w:rsid w:val="00EB638F"/>
    <w:rsid w:val="00EB6821"/>
    <w:rsid w:val="00EB6F26"/>
    <w:rsid w:val="00EB748F"/>
    <w:rsid w:val="00EB7CBB"/>
    <w:rsid w:val="00EB7D06"/>
    <w:rsid w:val="00EB7FC9"/>
    <w:rsid w:val="00EC0749"/>
    <w:rsid w:val="00EC1875"/>
    <w:rsid w:val="00EC1FC3"/>
    <w:rsid w:val="00EC2D22"/>
    <w:rsid w:val="00EC2EE6"/>
    <w:rsid w:val="00EC2F5A"/>
    <w:rsid w:val="00EC5420"/>
    <w:rsid w:val="00EC5617"/>
    <w:rsid w:val="00EC596D"/>
    <w:rsid w:val="00EC6339"/>
    <w:rsid w:val="00EC6C39"/>
    <w:rsid w:val="00EC6CC5"/>
    <w:rsid w:val="00EC7A1A"/>
    <w:rsid w:val="00EC7D1C"/>
    <w:rsid w:val="00ED0940"/>
    <w:rsid w:val="00ED0D35"/>
    <w:rsid w:val="00ED1907"/>
    <w:rsid w:val="00ED1CA9"/>
    <w:rsid w:val="00ED21C6"/>
    <w:rsid w:val="00ED23AB"/>
    <w:rsid w:val="00ED3133"/>
    <w:rsid w:val="00ED37BB"/>
    <w:rsid w:val="00ED3954"/>
    <w:rsid w:val="00ED5835"/>
    <w:rsid w:val="00ED58C6"/>
    <w:rsid w:val="00ED5A87"/>
    <w:rsid w:val="00ED6078"/>
    <w:rsid w:val="00ED6777"/>
    <w:rsid w:val="00ED67AA"/>
    <w:rsid w:val="00ED73A7"/>
    <w:rsid w:val="00ED74D5"/>
    <w:rsid w:val="00ED7EB3"/>
    <w:rsid w:val="00EE05C7"/>
    <w:rsid w:val="00EE06F7"/>
    <w:rsid w:val="00EE09E2"/>
    <w:rsid w:val="00EE0C74"/>
    <w:rsid w:val="00EE12C1"/>
    <w:rsid w:val="00EE1687"/>
    <w:rsid w:val="00EE19D5"/>
    <w:rsid w:val="00EE290E"/>
    <w:rsid w:val="00EE29CA"/>
    <w:rsid w:val="00EE2D1E"/>
    <w:rsid w:val="00EE3D05"/>
    <w:rsid w:val="00EE40A5"/>
    <w:rsid w:val="00EE4611"/>
    <w:rsid w:val="00EE4AA9"/>
    <w:rsid w:val="00EE537D"/>
    <w:rsid w:val="00EE6123"/>
    <w:rsid w:val="00EE7A69"/>
    <w:rsid w:val="00EE7DD1"/>
    <w:rsid w:val="00EF0E2B"/>
    <w:rsid w:val="00EF1035"/>
    <w:rsid w:val="00EF1481"/>
    <w:rsid w:val="00EF149B"/>
    <w:rsid w:val="00EF183F"/>
    <w:rsid w:val="00EF1D38"/>
    <w:rsid w:val="00EF2184"/>
    <w:rsid w:val="00EF2916"/>
    <w:rsid w:val="00EF31C2"/>
    <w:rsid w:val="00EF33CB"/>
    <w:rsid w:val="00EF35A8"/>
    <w:rsid w:val="00EF3683"/>
    <w:rsid w:val="00EF3C22"/>
    <w:rsid w:val="00EF3D3F"/>
    <w:rsid w:val="00EF4904"/>
    <w:rsid w:val="00EF4FBC"/>
    <w:rsid w:val="00EF5F71"/>
    <w:rsid w:val="00EF62C6"/>
    <w:rsid w:val="00EF6432"/>
    <w:rsid w:val="00EF6DE7"/>
    <w:rsid w:val="00EF7A07"/>
    <w:rsid w:val="00F000BA"/>
    <w:rsid w:val="00F00642"/>
    <w:rsid w:val="00F01337"/>
    <w:rsid w:val="00F01C84"/>
    <w:rsid w:val="00F03105"/>
    <w:rsid w:val="00F0314C"/>
    <w:rsid w:val="00F032E1"/>
    <w:rsid w:val="00F0355D"/>
    <w:rsid w:val="00F04078"/>
    <w:rsid w:val="00F0410D"/>
    <w:rsid w:val="00F041AA"/>
    <w:rsid w:val="00F04768"/>
    <w:rsid w:val="00F05DF7"/>
    <w:rsid w:val="00F06374"/>
    <w:rsid w:val="00F06527"/>
    <w:rsid w:val="00F06A1F"/>
    <w:rsid w:val="00F06BF0"/>
    <w:rsid w:val="00F06C5A"/>
    <w:rsid w:val="00F072BA"/>
    <w:rsid w:val="00F073BC"/>
    <w:rsid w:val="00F07A18"/>
    <w:rsid w:val="00F07B07"/>
    <w:rsid w:val="00F07B09"/>
    <w:rsid w:val="00F07F46"/>
    <w:rsid w:val="00F101BF"/>
    <w:rsid w:val="00F105E2"/>
    <w:rsid w:val="00F1148D"/>
    <w:rsid w:val="00F11F71"/>
    <w:rsid w:val="00F12271"/>
    <w:rsid w:val="00F129BA"/>
    <w:rsid w:val="00F12BB4"/>
    <w:rsid w:val="00F13526"/>
    <w:rsid w:val="00F137F7"/>
    <w:rsid w:val="00F13CB1"/>
    <w:rsid w:val="00F140C1"/>
    <w:rsid w:val="00F14A10"/>
    <w:rsid w:val="00F14B57"/>
    <w:rsid w:val="00F1589B"/>
    <w:rsid w:val="00F15A0C"/>
    <w:rsid w:val="00F164C8"/>
    <w:rsid w:val="00F16C41"/>
    <w:rsid w:val="00F1752D"/>
    <w:rsid w:val="00F17780"/>
    <w:rsid w:val="00F17E3C"/>
    <w:rsid w:val="00F204A9"/>
    <w:rsid w:val="00F20770"/>
    <w:rsid w:val="00F20B70"/>
    <w:rsid w:val="00F21B23"/>
    <w:rsid w:val="00F23FB0"/>
    <w:rsid w:val="00F24096"/>
    <w:rsid w:val="00F2427C"/>
    <w:rsid w:val="00F24338"/>
    <w:rsid w:val="00F24403"/>
    <w:rsid w:val="00F24AA6"/>
    <w:rsid w:val="00F24C04"/>
    <w:rsid w:val="00F24CA2"/>
    <w:rsid w:val="00F24F75"/>
    <w:rsid w:val="00F25DF8"/>
    <w:rsid w:val="00F25F0F"/>
    <w:rsid w:val="00F25F24"/>
    <w:rsid w:val="00F26682"/>
    <w:rsid w:val="00F26BB4"/>
    <w:rsid w:val="00F272C8"/>
    <w:rsid w:val="00F27697"/>
    <w:rsid w:val="00F279EA"/>
    <w:rsid w:val="00F312F7"/>
    <w:rsid w:val="00F31614"/>
    <w:rsid w:val="00F31A9D"/>
    <w:rsid w:val="00F32690"/>
    <w:rsid w:val="00F32A9D"/>
    <w:rsid w:val="00F33530"/>
    <w:rsid w:val="00F337EA"/>
    <w:rsid w:val="00F33A3E"/>
    <w:rsid w:val="00F343E8"/>
    <w:rsid w:val="00F345FC"/>
    <w:rsid w:val="00F35A83"/>
    <w:rsid w:val="00F35DB1"/>
    <w:rsid w:val="00F363F1"/>
    <w:rsid w:val="00F364A3"/>
    <w:rsid w:val="00F36616"/>
    <w:rsid w:val="00F36C44"/>
    <w:rsid w:val="00F37019"/>
    <w:rsid w:val="00F3704E"/>
    <w:rsid w:val="00F37D61"/>
    <w:rsid w:val="00F4080D"/>
    <w:rsid w:val="00F4136B"/>
    <w:rsid w:val="00F41A66"/>
    <w:rsid w:val="00F41B79"/>
    <w:rsid w:val="00F41D76"/>
    <w:rsid w:val="00F421E8"/>
    <w:rsid w:val="00F42650"/>
    <w:rsid w:val="00F43975"/>
    <w:rsid w:val="00F43DEF"/>
    <w:rsid w:val="00F44E08"/>
    <w:rsid w:val="00F45966"/>
    <w:rsid w:val="00F462CE"/>
    <w:rsid w:val="00F4639B"/>
    <w:rsid w:val="00F47C63"/>
    <w:rsid w:val="00F502AF"/>
    <w:rsid w:val="00F50CA6"/>
    <w:rsid w:val="00F50F30"/>
    <w:rsid w:val="00F51065"/>
    <w:rsid w:val="00F5177B"/>
    <w:rsid w:val="00F521EC"/>
    <w:rsid w:val="00F526DF"/>
    <w:rsid w:val="00F52973"/>
    <w:rsid w:val="00F53593"/>
    <w:rsid w:val="00F5494F"/>
    <w:rsid w:val="00F550BE"/>
    <w:rsid w:val="00F55842"/>
    <w:rsid w:val="00F56304"/>
    <w:rsid w:val="00F56697"/>
    <w:rsid w:val="00F5776D"/>
    <w:rsid w:val="00F578EF"/>
    <w:rsid w:val="00F60177"/>
    <w:rsid w:val="00F603FA"/>
    <w:rsid w:val="00F60907"/>
    <w:rsid w:val="00F60A19"/>
    <w:rsid w:val="00F61304"/>
    <w:rsid w:val="00F613FB"/>
    <w:rsid w:val="00F616AF"/>
    <w:rsid w:val="00F61F33"/>
    <w:rsid w:val="00F629BC"/>
    <w:rsid w:val="00F62DF9"/>
    <w:rsid w:val="00F63471"/>
    <w:rsid w:val="00F63932"/>
    <w:rsid w:val="00F63A99"/>
    <w:rsid w:val="00F63B2C"/>
    <w:rsid w:val="00F641E4"/>
    <w:rsid w:val="00F642B8"/>
    <w:rsid w:val="00F6460A"/>
    <w:rsid w:val="00F64708"/>
    <w:rsid w:val="00F6470F"/>
    <w:rsid w:val="00F64949"/>
    <w:rsid w:val="00F64CC9"/>
    <w:rsid w:val="00F64DEE"/>
    <w:rsid w:val="00F65159"/>
    <w:rsid w:val="00F65B74"/>
    <w:rsid w:val="00F65C10"/>
    <w:rsid w:val="00F65FE6"/>
    <w:rsid w:val="00F661FD"/>
    <w:rsid w:val="00F667F1"/>
    <w:rsid w:val="00F66C14"/>
    <w:rsid w:val="00F67801"/>
    <w:rsid w:val="00F67B6A"/>
    <w:rsid w:val="00F705DB"/>
    <w:rsid w:val="00F7099E"/>
    <w:rsid w:val="00F712C9"/>
    <w:rsid w:val="00F71465"/>
    <w:rsid w:val="00F7162C"/>
    <w:rsid w:val="00F71DC8"/>
    <w:rsid w:val="00F7209C"/>
    <w:rsid w:val="00F72459"/>
    <w:rsid w:val="00F72B0E"/>
    <w:rsid w:val="00F731CB"/>
    <w:rsid w:val="00F733FB"/>
    <w:rsid w:val="00F733FD"/>
    <w:rsid w:val="00F736E5"/>
    <w:rsid w:val="00F73890"/>
    <w:rsid w:val="00F73B89"/>
    <w:rsid w:val="00F73C21"/>
    <w:rsid w:val="00F74A0C"/>
    <w:rsid w:val="00F753E1"/>
    <w:rsid w:val="00F75D81"/>
    <w:rsid w:val="00F76146"/>
    <w:rsid w:val="00F76159"/>
    <w:rsid w:val="00F76228"/>
    <w:rsid w:val="00F77868"/>
    <w:rsid w:val="00F8078A"/>
    <w:rsid w:val="00F80AB2"/>
    <w:rsid w:val="00F80B05"/>
    <w:rsid w:val="00F81A82"/>
    <w:rsid w:val="00F81B6B"/>
    <w:rsid w:val="00F81FE6"/>
    <w:rsid w:val="00F82388"/>
    <w:rsid w:val="00F82BE6"/>
    <w:rsid w:val="00F82F82"/>
    <w:rsid w:val="00F834A6"/>
    <w:rsid w:val="00F83E18"/>
    <w:rsid w:val="00F8409D"/>
    <w:rsid w:val="00F841B9"/>
    <w:rsid w:val="00F847DE"/>
    <w:rsid w:val="00F84D79"/>
    <w:rsid w:val="00F85507"/>
    <w:rsid w:val="00F867E4"/>
    <w:rsid w:val="00F8693D"/>
    <w:rsid w:val="00F86A60"/>
    <w:rsid w:val="00F86B19"/>
    <w:rsid w:val="00F86D6D"/>
    <w:rsid w:val="00F86EE2"/>
    <w:rsid w:val="00F871C9"/>
    <w:rsid w:val="00F87404"/>
    <w:rsid w:val="00F87702"/>
    <w:rsid w:val="00F87E42"/>
    <w:rsid w:val="00F90593"/>
    <w:rsid w:val="00F908B5"/>
    <w:rsid w:val="00F908FC"/>
    <w:rsid w:val="00F90DD2"/>
    <w:rsid w:val="00F911DA"/>
    <w:rsid w:val="00F9139E"/>
    <w:rsid w:val="00F91A0A"/>
    <w:rsid w:val="00F91D5A"/>
    <w:rsid w:val="00F91F46"/>
    <w:rsid w:val="00F9351B"/>
    <w:rsid w:val="00F95265"/>
    <w:rsid w:val="00F95C37"/>
    <w:rsid w:val="00F964DD"/>
    <w:rsid w:val="00F969D1"/>
    <w:rsid w:val="00F96A2B"/>
    <w:rsid w:val="00F96A2F"/>
    <w:rsid w:val="00F96B58"/>
    <w:rsid w:val="00F96D06"/>
    <w:rsid w:val="00F96E24"/>
    <w:rsid w:val="00F9711A"/>
    <w:rsid w:val="00F97657"/>
    <w:rsid w:val="00F97ABD"/>
    <w:rsid w:val="00FA09D8"/>
    <w:rsid w:val="00FA0CBD"/>
    <w:rsid w:val="00FA0F33"/>
    <w:rsid w:val="00FA0F9C"/>
    <w:rsid w:val="00FA1665"/>
    <w:rsid w:val="00FA18FA"/>
    <w:rsid w:val="00FA2518"/>
    <w:rsid w:val="00FA2B2B"/>
    <w:rsid w:val="00FA306A"/>
    <w:rsid w:val="00FA338A"/>
    <w:rsid w:val="00FA33DF"/>
    <w:rsid w:val="00FA3FF8"/>
    <w:rsid w:val="00FA4671"/>
    <w:rsid w:val="00FA4B9D"/>
    <w:rsid w:val="00FA542B"/>
    <w:rsid w:val="00FA547F"/>
    <w:rsid w:val="00FA567A"/>
    <w:rsid w:val="00FA5E83"/>
    <w:rsid w:val="00FA61A7"/>
    <w:rsid w:val="00FA6344"/>
    <w:rsid w:val="00FA6676"/>
    <w:rsid w:val="00FA6F73"/>
    <w:rsid w:val="00FA6FDE"/>
    <w:rsid w:val="00FA7103"/>
    <w:rsid w:val="00FB0090"/>
    <w:rsid w:val="00FB02EE"/>
    <w:rsid w:val="00FB068F"/>
    <w:rsid w:val="00FB0D5D"/>
    <w:rsid w:val="00FB1292"/>
    <w:rsid w:val="00FB1488"/>
    <w:rsid w:val="00FB2930"/>
    <w:rsid w:val="00FB29D9"/>
    <w:rsid w:val="00FB2AA1"/>
    <w:rsid w:val="00FB34EE"/>
    <w:rsid w:val="00FB3D60"/>
    <w:rsid w:val="00FB405B"/>
    <w:rsid w:val="00FB4A99"/>
    <w:rsid w:val="00FB5D25"/>
    <w:rsid w:val="00FB6386"/>
    <w:rsid w:val="00FB6780"/>
    <w:rsid w:val="00FB684C"/>
    <w:rsid w:val="00FB7086"/>
    <w:rsid w:val="00FB7D77"/>
    <w:rsid w:val="00FC01F3"/>
    <w:rsid w:val="00FC04F6"/>
    <w:rsid w:val="00FC0EE2"/>
    <w:rsid w:val="00FC21C4"/>
    <w:rsid w:val="00FC21CE"/>
    <w:rsid w:val="00FC21D2"/>
    <w:rsid w:val="00FC294F"/>
    <w:rsid w:val="00FC2A1B"/>
    <w:rsid w:val="00FC2A92"/>
    <w:rsid w:val="00FC2B75"/>
    <w:rsid w:val="00FC312D"/>
    <w:rsid w:val="00FC3855"/>
    <w:rsid w:val="00FC3E1E"/>
    <w:rsid w:val="00FC4028"/>
    <w:rsid w:val="00FC4312"/>
    <w:rsid w:val="00FC48AB"/>
    <w:rsid w:val="00FC4EB7"/>
    <w:rsid w:val="00FC612C"/>
    <w:rsid w:val="00FC6371"/>
    <w:rsid w:val="00FC68BA"/>
    <w:rsid w:val="00FC6BBA"/>
    <w:rsid w:val="00FC7A49"/>
    <w:rsid w:val="00FC7FCF"/>
    <w:rsid w:val="00FD02B0"/>
    <w:rsid w:val="00FD0AFE"/>
    <w:rsid w:val="00FD1204"/>
    <w:rsid w:val="00FD13AD"/>
    <w:rsid w:val="00FD1769"/>
    <w:rsid w:val="00FD1781"/>
    <w:rsid w:val="00FD17E9"/>
    <w:rsid w:val="00FD192F"/>
    <w:rsid w:val="00FD2B68"/>
    <w:rsid w:val="00FD2FE6"/>
    <w:rsid w:val="00FD3749"/>
    <w:rsid w:val="00FD41E9"/>
    <w:rsid w:val="00FD436A"/>
    <w:rsid w:val="00FD4619"/>
    <w:rsid w:val="00FD464C"/>
    <w:rsid w:val="00FD47C3"/>
    <w:rsid w:val="00FD53AD"/>
    <w:rsid w:val="00FD5BF8"/>
    <w:rsid w:val="00FD5D9C"/>
    <w:rsid w:val="00FD6941"/>
    <w:rsid w:val="00FD6DD0"/>
    <w:rsid w:val="00FD7231"/>
    <w:rsid w:val="00FD72A4"/>
    <w:rsid w:val="00FD77BC"/>
    <w:rsid w:val="00FD7D76"/>
    <w:rsid w:val="00FD7D86"/>
    <w:rsid w:val="00FE0482"/>
    <w:rsid w:val="00FE0759"/>
    <w:rsid w:val="00FE2937"/>
    <w:rsid w:val="00FE2E60"/>
    <w:rsid w:val="00FE31EF"/>
    <w:rsid w:val="00FE3AE2"/>
    <w:rsid w:val="00FE40A6"/>
    <w:rsid w:val="00FE46B4"/>
    <w:rsid w:val="00FE49EA"/>
    <w:rsid w:val="00FE514F"/>
    <w:rsid w:val="00FE5914"/>
    <w:rsid w:val="00FE5CF6"/>
    <w:rsid w:val="00FE5D6A"/>
    <w:rsid w:val="00FE5EF3"/>
    <w:rsid w:val="00FE61D6"/>
    <w:rsid w:val="00FE68D5"/>
    <w:rsid w:val="00FE69BA"/>
    <w:rsid w:val="00FE6BC3"/>
    <w:rsid w:val="00FE7067"/>
    <w:rsid w:val="00FE7C2D"/>
    <w:rsid w:val="00FF0BAC"/>
    <w:rsid w:val="00FF18AF"/>
    <w:rsid w:val="00FF1C80"/>
    <w:rsid w:val="00FF1FC5"/>
    <w:rsid w:val="00FF244E"/>
    <w:rsid w:val="00FF3427"/>
    <w:rsid w:val="00FF38C5"/>
    <w:rsid w:val="00FF4979"/>
    <w:rsid w:val="00FF52E1"/>
    <w:rsid w:val="00FF5A12"/>
    <w:rsid w:val="00FF5AA6"/>
    <w:rsid w:val="00FF5CB3"/>
    <w:rsid w:val="00FF5D9C"/>
    <w:rsid w:val="00FF60A9"/>
    <w:rsid w:val="00FF6644"/>
    <w:rsid w:val="00FF71B3"/>
    <w:rsid w:val="00FF7651"/>
    <w:rsid w:val="00FF7D00"/>
    <w:rsid w:val="00FF7EEA"/>
    <w:rsid w:val="02D46448"/>
    <w:rsid w:val="03427C3D"/>
    <w:rsid w:val="07884DDB"/>
    <w:rsid w:val="07E7040F"/>
    <w:rsid w:val="08EE4AC9"/>
    <w:rsid w:val="0A8A2985"/>
    <w:rsid w:val="0B500F4D"/>
    <w:rsid w:val="0ECE1FE1"/>
    <w:rsid w:val="109A6BBD"/>
    <w:rsid w:val="12AB3CD1"/>
    <w:rsid w:val="133245EF"/>
    <w:rsid w:val="14B01376"/>
    <w:rsid w:val="16EA15CB"/>
    <w:rsid w:val="17195C4C"/>
    <w:rsid w:val="17954F1E"/>
    <w:rsid w:val="17957720"/>
    <w:rsid w:val="18D327EB"/>
    <w:rsid w:val="1AF30CC9"/>
    <w:rsid w:val="1D465329"/>
    <w:rsid w:val="1EB158F9"/>
    <w:rsid w:val="1F0E3112"/>
    <w:rsid w:val="1FED3869"/>
    <w:rsid w:val="23867D8E"/>
    <w:rsid w:val="27C95CFE"/>
    <w:rsid w:val="27D50DF1"/>
    <w:rsid w:val="2B057C6A"/>
    <w:rsid w:val="2BE804E3"/>
    <w:rsid w:val="2E2F3B23"/>
    <w:rsid w:val="2EFE7A52"/>
    <w:rsid w:val="2F290F4A"/>
    <w:rsid w:val="2F86131E"/>
    <w:rsid w:val="2FD27634"/>
    <w:rsid w:val="32AC1BC5"/>
    <w:rsid w:val="356808C4"/>
    <w:rsid w:val="37632953"/>
    <w:rsid w:val="3A921CE0"/>
    <w:rsid w:val="3ACC0FF6"/>
    <w:rsid w:val="3ED94B97"/>
    <w:rsid w:val="407B2F27"/>
    <w:rsid w:val="41632DA3"/>
    <w:rsid w:val="41AF5B64"/>
    <w:rsid w:val="44557FA6"/>
    <w:rsid w:val="44A45CB7"/>
    <w:rsid w:val="490F3B04"/>
    <w:rsid w:val="49700E61"/>
    <w:rsid w:val="4BBE4071"/>
    <w:rsid w:val="4FBA4D46"/>
    <w:rsid w:val="51311E45"/>
    <w:rsid w:val="54C3564B"/>
    <w:rsid w:val="58FB0E2B"/>
    <w:rsid w:val="59326E63"/>
    <w:rsid w:val="59AF00CB"/>
    <w:rsid w:val="59D228EC"/>
    <w:rsid w:val="5A05583A"/>
    <w:rsid w:val="5C041E7A"/>
    <w:rsid w:val="5F130A82"/>
    <w:rsid w:val="602C533D"/>
    <w:rsid w:val="65F43BFC"/>
    <w:rsid w:val="684C0A63"/>
    <w:rsid w:val="69FA43AD"/>
    <w:rsid w:val="6AAD7855"/>
    <w:rsid w:val="6CC87DD3"/>
    <w:rsid w:val="71313324"/>
    <w:rsid w:val="731F084F"/>
    <w:rsid w:val="73D01176"/>
    <w:rsid w:val="77483692"/>
    <w:rsid w:val="775F6D0F"/>
    <w:rsid w:val="786C72E0"/>
    <w:rsid w:val="7AF63B33"/>
    <w:rsid w:val="7AFB06EB"/>
    <w:rsid w:val="7B474892"/>
    <w:rsid w:val="7C1D6C75"/>
    <w:rsid w:val="7D4124EF"/>
    <w:rsid w:val="7F4269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99"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0" w:semiHidden="0" w:name="endnote reference"/>
    <w:lsdException w:qFormat="1" w:unhideWhenUsed="0" w:uiPriority="0" w:semiHidden="0" w:name="endnote text"/>
    <w:lsdException w:uiPriority="99" w:name="table of authorities"/>
    <w:lsdException w:uiPriority="99" w:name="macro"/>
    <w:lsdException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60"/>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55"/>
    <w:qFormat/>
    <w:uiPriority w:val="0"/>
    <w:pPr>
      <w:tabs>
        <w:tab w:val="left" w:pos="315"/>
      </w:tabs>
      <w:spacing w:before="120" w:after="120"/>
      <w:outlineLvl w:val="3"/>
    </w:pPr>
    <w:rPr>
      <w:rFonts w:ascii="Cambria" w:hAnsi="Cambria" w:eastAsia="黑体"/>
      <w:bCs/>
      <w:sz w:val="24"/>
      <w:szCs w:val="28"/>
    </w:rPr>
  </w:style>
  <w:style w:type="paragraph" w:styleId="6">
    <w:name w:val="heading 5"/>
    <w:basedOn w:val="1"/>
    <w:next w:val="1"/>
    <w:link w:val="64"/>
    <w:qFormat/>
    <w:uiPriority w:val="0"/>
    <w:pPr>
      <w:tabs>
        <w:tab w:val="left" w:pos="420"/>
      </w:tabs>
      <w:spacing w:beforeLines="50" w:afterLines="50"/>
      <w:outlineLvl w:val="4"/>
    </w:pPr>
    <w:rPr>
      <w:bCs/>
      <w:szCs w:val="28"/>
    </w:rPr>
  </w:style>
  <w:style w:type="paragraph" w:styleId="7">
    <w:name w:val="heading 6"/>
    <w:basedOn w:val="1"/>
    <w:next w:val="1"/>
    <w:link w:val="66"/>
    <w:qFormat/>
    <w:uiPriority w:val="0"/>
    <w:pPr>
      <w:tabs>
        <w:tab w:val="left" w:pos="945"/>
      </w:tabs>
      <w:ind w:left="143" w:firstLine="425"/>
      <w:outlineLvl w:val="5"/>
    </w:pPr>
    <w:rPr>
      <w:rFonts w:ascii="Cambria" w:hAnsi="Cambria"/>
      <w:bCs/>
      <w:szCs w:val="24"/>
    </w:rPr>
  </w:style>
  <w:style w:type="paragraph" w:styleId="8">
    <w:name w:val="heading 7"/>
    <w:basedOn w:val="1"/>
    <w:next w:val="1"/>
    <w:link w:val="300"/>
    <w:qFormat/>
    <w:uiPriority w:val="0"/>
    <w:pPr>
      <w:keepNext/>
      <w:keepLines/>
      <w:widowControl/>
      <w:tabs>
        <w:tab w:val="left" w:pos="2520"/>
      </w:tabs>
      <w:spacing w:before="240" w:after="64" w:line="320" w:lineRule="auto"/>
      <w:ind w:left="1296" w:hanging="1296"/>
      <w:jc w:val="center"/>
      <w:outlineLvl w:val="6"/>
    </w:pPr>
    <w:rPr>
      <w:bCs/>
      <w:kern w:val="0"/>
      <w:sz w:val="24"/>
      <w:szCs w:val="24"/>
    </w:rPr>
  </w:style>
  <w:style w:type="paragraph" w:styleId="9">
    <w:name w:val="heading 8"/>
    <w:basedOn w:val="1"/>
    <w:next w:val="1"/>
    <w:link w:val="301"/>
    <w:qFormat/>
    <w:uiPriority w:val="0"/>
    <w:pPr>
      <w:keepNext/>
      <w:keepLines/>
      <w:widowControl/>
      <w:tabs>
        <w:tab w:val="left" w:pos="1440"/>
      </w:tabs>
      <w:spacing w:before="240" w:after="64" w:line="320" w:lineRule="auto"/>
      <w:ind w:left="1440" w:hanging="1440"/>
      <w:jc w:val="center"/>
      <w:outlineLvl w:val="7"/>
    </w:pPr>
    <w:rPr>
      <w:rFonts w:ascii="Arial" w:hAnsi="Arial" w:eastAsia="黑体"/>
      <w:b/>
      <w:kern w:val="0"/>
      <w:sz w:val="24"/>
      <w:szCs w:val="24"/>
    </w:rPr>
  </w:style>
  <w:style w:type="paragraph" w:styleId="10">
    <w:name w:val="heading 9"/>
    <w:basedOn w:val="1"/>
    <w:next w:val="1"/>
    <w:link w:val="302"/>
    <w:qFormat/>
    <w:uiPriority w:val="0"/>
    <w:pPr>
      <w:keepNext/>
      <w:keepLines/>
      <w:widowControl/>
      <w:tabs>
        <w:tab w:val="left" w:pos="1584"/>
      </w:tabs>
      <w:spacing w:before="240" w:after="64" w:line="320" w:lineRule="auto"/>
      <w:ind w:left="1584" w:hanging="1584"/>
      <w:jc w:val="center"/>
      <w:outlineLvl w:val="8"/>
    </w:pPr>
    <w:rPr>
      <w:rFonts w:ascii="Arial" w:hAnsi="Arial" w:eastAsia="黑体"/>
      <w:b/>
      <w:kern w:val="0"/>
      <w:szCs w:val="21"/>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0"/>
    <w:pPr>
      <w:ind w:left="1260"/>
      <w:jc w:val="left"/>
    </w:pPr>
    <w:rPr>
      <w:sz w:val="18"/>
      <w:szCs w:val="18"/>
    </w:rPr>
  </w:style>
  <w:style w:type="paragraph" w:styleId="12">
    <w:name w:val="Normal Indent"/>
    <w:basedOn w:val="1"/>
    <w:qFormat/>
    <w:uiPriority w:val="99"/>
    <w:pPr>
      <w:widowControl/>
      <w:ind w:firstLine="420" w:firstLineChars="200"/>
      <w:jc w:val="center"/>
    </w:pPr>
    <w:rPr>
      <w:b/>
      <w:kern w:val="0"/>
      <w:sz w:val="44"/>
      <w:szCs w:val="20"/>
    </w:rPr>
  </w:style>
  <w:style w:type="paragraph" w:styleId="13">
    <w:name w:val="Document Map"/>
    <w:basedOn w:val="1"/>
    <w:semiHidden/>
    <w:qFormat/>
    <w:uiPriority w:val="0"/>
    <w:pPr>
      <w:shd w:val="clear" w:color="auto" w:fill="000080"/>
    </w:pPr>
  </w:style>
  <w:style w:type="paragraph" w:styleId="14">
    <w:name w:val="toa heading"/>
    <w:basedOn w:val="1"/>
    <w:next w:val="1"/>
    <w:unhideWhenUsed/>
    <w:uiPriority w:val="99"/>
    <w:pPr>
      <w:spacing w:before="120"/>
    </w:pPr>
    <w:rPr>
      <w:rFonts w:ascii="Cambria" w:hAnsi="Cambria"/>
      <w:sz w:val="24"/>
      <w:szCs w:val="24"/>
    </w:rPr>
  </w:style>
  <w:style w:type="paragraph" w:styleId="15">
    <w:name w:val="annotation text"/>
    <w:basedOn w:val="1"/>
    <w:link w:val="303"/>
    <w:qFormat/>
    <w:uiPriority w:val="0"/>
    <w:pPr>
      <w:jc w:val="left"/>
    </w:pPr>
  </w:style>
  <w:style w:type="paragraph" w:styleId="16">
    <w:name w:val="Salutation"/>
    <w:basedOn w:val="1"/>
    <w:next w:val="1"/>
    <w:link w:val="379"/>
    <w:qFormat/>
    <w:uiPriority w:val="0"/>
    <w:rPr>
      <w:sz w:val="24"/>
      <w:szCs w:val="24"/>
    </w:rPr>
  </w:style>
  <w:style w:type="paragraph" w:styleId="17">
    <w:name w:val="Body Text"/>
    <w:basedOn w:val="1"/>
    <w:link w:val="192"/>
    <w:qFormat/>
    <w:uiPriority w:val="0"/>
    <w:rPr>
      <w:sz w:val="28"/>
      <w:szCs w:val="24"/>
    </w:rPr>
  </w:style>
  <w:style w:type="paragraph" w:styleId="18">
    <w:name w:val="Body Text Indent"/>
    <w:basedOn w:val="1"/>
    <w:qFormat/>
    <w:uiPriority w:val="0"/>
    <w:pPr>
      <w:ind w:firstLine="1120" w:firstLineChars="400"/>
    </w:pPr>
    <w:rPr>
      <w:sz w:val="28"/>
      <w:szCs w:val="24"/>
    </w:rPr>
  </w:style>
  <w:style w:type="paragraph" w:styleId="19">
    <w:name w:val="toc 5"/>
    <w:basedOn w:val="1"/>
    <w:next w:val="1"/>
    <w:unhideWhenUsed/>
    <w:qFormat/>
    <w:uiPriority w:val="0"/>
    <w:pPr>
      <w:ind w:left="840"/>
      <w:jc w:val="left"/>
    </w:pPr>
    <w:rPr>
      <w:sz w:val="18"/>
      <w:szCs w:val="18"/>
    </w:rPr>
  </w:style>
  <w:style w:type="paragraph" w:styleId="20">
    <w:name w:val="toc 3"/>
    <w:basedOn w:val="1"/>
    <w:next w:val="1"/>
    <w:unhideWhenUsed/>
    <w:qFormat/>
    <w:uiPriority w:val="39"/>
    <w:pPr>
      <w:tabs>
        <w:tab w:val="left" w:pos="740"/>
        <w:tab w:val="right" w:leader="dot" w:pos="9060"/>
      </w:tabs>
      <w:ind w:left="420"/>
      <w:jc w:val="left"/>
    </w:pPr>
    <w:rPr>
      <w:iCs/>
      <w:sz w:val="20"/>
      <w:szCs w:val="20"/>
    </w:rPr>
  </w:style>
  <w:style w:type="paragraph" w:styleId="21">
    <w:name w:val="Plain Text"/>
    <w:basedOn w:val="1"/>
    <w:link w:val="256"/>
    <w:qFormat/>
    <w:uiPriority w:val="0"/>
    <w:rPr>
      <w:rFonts w:ascii="宋体" w:hAnsi="Courier New" w:cs="Courier New"/>
      <w:szCs w:val="21"/>
    </w:rPr>
  </w:style>
  <w:style w:type="paragraph" w:styleId="22">
    <w:name w:val="toc 8"/>
    <w:basedOn w:val="1"/>
    <w:next w:val="1"/>
    <w:unhideWhenUsed/>
    <w:qFormat/>
    <w:uiPriority w:val="0"/>
    <w:pPr>
      <w:ind w:left="1470"/>
      <w:jc w:val="left"/>
    </w:pPr>
    <w:rPr>
      <w:sz w:val="18"/>
      <w:szCs w:val="18"/>
    </w:rPr>
  </w:style>
  <w:style w:type="paragraph" w:styleId="23">
    <w:name w:val="Date"/>
    <w:basedOn w:val="1"/>
    <w:next w:val="1"/>
    <w:link w:val="369"/>
    <w:qFormat/>
    <w:uiPriority w:val="0"/>
    <w:pPr>
      <w:ind w:left="100" w:leftChars="2500"/>
    </w:pPr>
    <w:rPr>
      <w:szCs w:val="24"/>
    </w:rPr>
  </w:style>
  <w:style w:type="paragraph" w:styleId="24">
    <w:name w:val="Body Text Indent 2"/>
    <w:basedOn w:val="1"/>
    <w:qFormat/>
    <w:uiPriority w:val="0"/>
    <w:pPr>
      <w:ind w:left="206" w:hanging="206" w:hangingChars="98"/>
    </w:pPr>
    <w:rPr>
      <w:szCs w:val="24"/>
    </w:rPr>
  </w:style>
  <w:style w:type="paragraph" w:styleId="25">
    <w:name w:val="endnote text"/>
    <w:basedOn w:val="1"/>
    <w:link w:val="394"/>
    <w:qFormat/>
    <w:uiPriority w:val="0"/>
    <w:pPr>
      <w:snapToGrid w:val="0"/>
      <w:jc w:val="left"/>
    </w:pPr>
    <w:rPr>
      <w:szCs w:val="24"/>
    </w:rPr>
  </w:style>
  <w:style w:type="paragraph" w:styleId="26">
    <w:name w:val="Balloon Text"/>
    <w:basedOn w:val="1"/>
    <w:link w:val="67"/>
    <w:unhideWhenUsed/>
    <w:qFormat/>
    <w:uiPriority w:val="0"/>
    <w:rPr>
      <w:kern w:val="0"/>
      <w:sz w:val="18"/>
      <w:szCs w:val="18"/>
    </w:rPr>
  </w:style>
  <w:style w:type="paragraph" w:styleId="27">
    <w:name w:val="footer"/>
    <w:basedOn w:val="1"/>
    <w:link w:val="62"/>
    <w:unhideWhenUsed/>
    <w:qFormat/>
    <w:uiPriority w:val="0"/>
    <w:pPr>
      <w:tabs>
        <w:tab w:val="center" w:pos="4153"/>
        <w:tab w:val="right" w:pos="8306"/>
      </w:tabs>
      <w:snapToGrid w:val="0"/>
      <w:jc w:val="left"/>
    </w:pPr>
    <w:rPr>
      <w:kern w:val="0"/>
      <w:sz w:val="18"/>
      <w:szCs w:val="18"/>
    </w:rPr>
  </w:style>
  <w:style w:type="paragraph" w:styleId="28">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right" w:leader="dot" w:pos="9060"/>
      </w:tabs>
      <w:spacing w:line="400" w:lineRule="exact"/>
      <w:jc w:val="left"/>
    </w:pPr>
    <w:rPr>
      <w:b/>
      <w:bCs/>
      <w:caps/>
      <w:sz w:val="20"/>
      <w:szCs w:val="20"/>
    </w:rPr>
  </w:style>
  <w:style w:type="paragraph" w:styleId="30">
    <w:name w:val="toc 4"/>
    <w:basedOn w:val="1"/>
    <w:next w:val="1"/>
    <w:unhideWhenUsed/>
    <w:qFormat/>
    <w:uiPriority w:val="0"/>
    <w:pPr>
      <w:ind w:left="630"/>
      <w:jc w:val="left"/>
    </w:pPr>
    <w:rPr>
      <w:sz w:val="18"/>
      <w:szCs w:val="18"/>
    </w:rPr>
  </w:style>
  <w:style w:type="paragraph" w:styleId="31">
    <w:name w:val="Subtitle"/>
    <w:basedOn w:val="1"/>
    <w:next w:val="1"/>
    <w:link w:val="56"/>
    <w:qFormat/>
    <w:uiPriority w:val="11"/>
    <w:pPr>
      <w:spacing w:before="240" w:after="60" w:line="312" w:lineRule="auto"/>
      <w:jc w:val="center"/>
      <w:outlineLvl w:val="1"/>
    </w:pPr>
    <w:rPr>
      <w:rFonts w:ascii="Cambria" w:hAnsi="Cambria"/>
      <w:b/>
      <w:bCs/>
      <w:kern w:val="28"/>
      <w:sz w:val="32"/>
      <w:szCs w:val="32"/>
    </w:rPr>
  </w:style>
  <w:style w:type="paragraph" w:styleId="32">
    <w:name w:val="footnote text"/>
    <w:basedOn w:val="1"/>
    <w:link w:val="70"/>
    <w:unhideWhenUsed/>
    <w:qFormat/>
    <w:uiPriority w:val="0"/>
    <w:pPr>
      <w:snapToGrid w:val="0"/>
      <w:jc w:val="left"/>
    </w:pPr>
    <w:rPr>
      <w:kern w:val="0"/>
      <w:sz w:val="18"/>
      <w:szCs w:val="18"/>
    </w:rPr>
  </w:style>
  <w:style w:type="paragraph" w:styleId="33">
    <w:name w:val="toc 6"/>
    <w:basedOn w:val="1"/>
    <w:next w:val="1"/>
    <w:unhideWhenUsed/>
    <w:qFormat/>
    <w:uiPriority w:val="0"/>
    <w:pPr>
      <w:ind w:left="1050"/>
      <w:jc w:val="left"/>
    </w:pPr>
    <w:rPr>
      <w:sz w:val="18"/>
      <w:szCs w:val="18"/>
    </w:rPr>
  </w:style>
  <w:style w:type="paragraph" w:styleId="34">
    <w:name w:val="Body Text Indent 3"/>
    <w:basedOn w:val="1"/>
    <w:link w:val="370"/>
    <w:qFormat/>
    <w:uiPriority w:val="0"/>
    <w:pPr>
      <w:spacing w:line="420" w:lineRule="exact"/>
      <w:ind w:firstLine="420" w:firstLineChars="200"/>
    </w:pPr>
    <w:rPr>
      <w:szCs w:val="24"/>
    </w:rPr>
  </w:style>
  <w:style w:type="paragraph" w:styleId="35">
    <w:name w:val="toc 2"/>
    <w:basedOn w:val="1"/>
    <w:next w:val="1"/>
    <w:link w:val="216"/>
    <w:unhideWhenUsed/>
    <w:qFormat/>
    <w:uiPriority w:val="39"/>
    <w:pPr>
      <w:tabs>
        <w:tab w:val="right" w:leader="dot" w:pos="9072"/>
      </w:tabs>
      <w:ind w:left="210"/>
      <w:jc w:val="left"/>
    </w:pPr>
    <w:rPr>
      <w:smallCaps/>
      <w:sz w:val="20"/>
      <w:szCs w:val="20"/>
    </w:rPr>
  </w:style>
  <w:style w:type="paragraph" w:styleId="36">
    <w:name w:val="toc 9"/>
    <w:basedOn w:val="1"/>
    <w:next w:val="1"/>
    <w:unhideWhenUsed/>
    <w:qFormat/>
    <w:uiPriority w:val="0"/>
    <w:pPr>
      <w:ind w:left="1680"/>
      <w:jc w:val="left"/>
    </w:pPr>
    <w:rPr>
      <w:sz w:val="18"/>
      <w:szCs w:val="18"/>
    </w:rPr>
  </w:style>
  <w:style w:type="paragraph" w:styleId="37">
    <w:name w:val="Body Text 2"/>
    <w:basedOn w:val="1"/>
    <w:qFormat/>
    <w:uiPriority w:val="0"/>
    <w:pPr>
      <w:spacing w:after="120" w:line="480" w:lineRule="auto"/>
    </w:pPr>
    <w:rPr>
      <w:szCs w:val="24"/>
    </w:rPr>
  </w:style>
  <w:style w:type="paragraph" w:styleId="38">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9">
    <w:name w:val="index 1"/>
    <w:basedOn w:val="1"/>
    <w:next w:val="1"/>
    <w:semiHidden/>
    <w:qFormat/>
    <w:uiPriority w:val="0"/>
    <w:rPr>
      <w:szCs w:val="24"/>
    </w:rPr>
  </w:style>
  <w:style w:type="paragraph" w:styleId="40">
    <w:name w:val="Title"/>
    <w:basedOn w:val="1"/>
    <w:link w:val="381"/>
    <w:qFormat/>
    <w:uiPriority w:val="0"/>
    <w:pPr>
      <w:widowControl/>
      <w:spacing w:before="240" w:after="60"/>
      <w:jc w:val="center"/>
      <w:outlineLvl w:val="0"/>
    </w:pPr>
    <w:rPr>
      <w:rFonts w:ascii="Arial" w:hAnsi="Arial" w:cs="Arial"/>
      <w:b/>
      <w:bCs/>
      <w:kern w:val="0"/>
      <w:sz w:val="44"/>
      <w:szCs w:val="32"/>
    </w:rPr>
  </w:style>
  <w:style w:type="paragraph" w:styleId="41">
    <w:name w:val="annotation subject"/>
    <w:basedOn w:val="15"/>
    <w:next w:val="15"/>
    <w:semiHidden/>
    <w:qFormat/>
    <w:uiPriority w:val="0"/>
    <w:rPr>
      <w:b/>
      <w:bCs/>
    </w:rPr>
  </w:style>
  <w:style w:type="paragraph" w:styleId="42">
    <w:name w:val="Body Text First Indent"/>
    <w:basedOn w:val="17"/>
    <w:link w:val="273"/>
    <w:unhideWhenUsed/>
    <w:qFormat/>
    <w:uiPriority w:val="0"/>
    <w:pPr>
      <w:spacing w:after="120"/>
      <w:ind w:firstLine="420" w:firstLineChars="100"/>
    </w:pPr>
    <w:rPr>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endnote reference"/>
    <w:unhideWhenUsed/>
    <w:qFormat/>
    <w:uiPriority w:val="0"/>
    <w:rPr>
      <w:vertAlign w:val="superscript"/>
    </w:rPr>
  </w:style>
  <w:style w:type="character" w:styleId="48">
    <w:name w:val="page number"/>
    <w:basedOn w:val="45"/>
    <w:qFormat/>
    <w:uiPriority w:val="0"/>
  </w:style>
  <w:style w:type="character" w:styleId="49">
    <w:name w:val="FollowedHyperlink"/>
    <w:unhideWhenUsed/>
    <w:qFormat/>
    <w:uiPriority w:val="99"/>
    <w:rPr>
      <w:color w:val="800080"/>
      <w:u w:val="single"/>
    </w:rPr>
  </w:style>
  <w:style w:type="character" w:styleId="50">
    <w:name w:val="Emphasis"/>
    <w:qFormat/>
    <w:uiPriority w:val="20"/>
    <w:rPr>
      <w:i/>
      <w:iCs/>
    </w:rPr>
  </w:style>
  <w:style w:type="character" w:styleId="51">
    <w:name w:val="Hyperlink"/>
    <w:unhideWhenUsed/>
    <w:qFormat/>
    <w:uiPriority w:val="99"/>
    <w:rPr>
      <w:color w:val="0000FF"/>
      <w:u w:val="singl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character" w:customStyle="1" w:styleId="54">
    <w:name w:val="正文文本 (2) + Times New Roman"/>
    <w:qFormat/>
    <w:uiPriority w:val="0"/>
    <w:rPr>
      <w:rFonts w:ascii="Times New Roman" w:hAnsi="Times New Roman" w:eastAsia="Times New Roman" w:cs="Times New Roman"/>
      <w:color w:val="000000"/>
      <w:spacing w:val="0"/>
      <w:w w:val="100"/>
      <w:position w:val="0"/>
      <w:sz w:val="24"/>
      <w:szCs w:val="24"/>
      <w:u w:val="none"/>
      <w:shd w:val="clear" w:color="auto" w:fill="FFFFFF"/>
      <w:lang w:val="en-US" w:eastAsia="en-US" w:bidi="en-US"/>
    </w:rPr>
  </w:style>
  <w:style w:type="character" w:customStyle="1" w:styleId="55">
    <w:name w:val="标题 4 Char1"/>
    <w:link w:val="5"/>
    <w:qFormat/>
    <w:uiPriority w:val="9"/>
    <w:rPr>
      <w:rFonts w:ascii="Cambria" w:hAnsi="Cambria" w:eastAsia="黑体"/>
      <w:bCs/>
      <w:kern w:val="2"/>
      <w:sz w:val="24"/>
      <w:szCs w:val="28"/>
    </w:rPr>
  </w:style>
  <w:style w:type="character" w:customStyle="1" w:styleId="56">
    <w:name w:val="副标题 Char1"/>
    <w:link w:val="31"/>
    <w:qFormat/>
    <w:uiPriority w:val="11"/>
    <w:rPr>
      <w:rFonts w:ascii="Cambria" w:hAnsi="Cambria" w:eastAsia="宋体" w:cs="Times New Roman"/>
      <w:b/>
      <w:bCs/>
      <w:kern w:val="28"/>
      <w:sz w:val="32"/>
      <w:szCs w:val="32"/>
    </w:rPr>
  </w:style>
  <w:style w:type="character" w:customStyle="1" w:styleId="57">
    <w:name w:val="font01"/>
    <w:qFormat/>
    <w:uiPriority w:val="0"/>
    <w:rPr>
      <w:rFonts w:hint="eastAsia" w:ascii="宋体" w:hAnsi="宋体" w:eastAsia="宋体" w:cs="宋体"/>
      <w:color w:val="000000"/>
      <w:sz w:val="22"/>
      <w:szCs w:val="22"/>
      <w:u w:val="single"/>
    </w:rPr>
  </w:style>
  <w:style w:type="character" w:customStyle="1" w:styleId="58">
    <w:name w:val="正文文本 (2)_"/>
    <w:link w:val="59"/>
    <w:qFormat/>
    <w:uiPriority w:val="0"/>
    <w:rPr>
      <w:rFonts w:ascii="宋体" w:hAnsi="宋体" w:cs="宋体"/>
      <w:sz w:val="22"/>
      <w:szCs w:val="22"/>
      <w:shd w:val="clear" w:color="auto" w:fill="FFFFFF"/>
    </w:rPr>
  </w:style>
  <w:style w:type="paragraph" w:customStyle="1" w:styleId="59">
    <w:name w:val="正文文本 (2)"/>
    <w:basedOn w:val="1"/>
    <w:link w:val="58"/>
    <w:qFormat/>
    <w:uiPriority w:val="0"/>
    <w:pPr>
      <w:shd w:val="clear" w:color="auto" w:fill="FFFFFF"/>
      <w:spacing w:before="300" w:line="439" w:lineRule="exact"/>
      <w:jc w:val="distribute"/>
    </w:pPr>
    <w:rPr>
      <w:rFonts w:ascii="宋体" w:hAnsi="宋体"/>
      <w:kern w:val="0"/>
      <w:sz w:val="22"/>
    </w:rPr>
  </w:style>
  <w:style w:type="character" w:customStyle="1" w:styleId="60">
    <w:name w:val="标题 3 Char1"/>
    <w:link w:val="4"/>
    <w:qFormat/>
    <w:uiPriority w:val="99"/>
    <w:rPr>
      <w:b/>
      <w:bCs/>
      <w:sz w:val="32"/>
      <w:szCs w:val="32"/>
    </w:rPr>
  </w:style>
  <w:style w:type="character" w:customStyle="1" w:styleId="61">
    <w:name w:val="页眉 Char1"/>
    <w:link w:val="28"/>
    <w:qFormat/>
    <w:uiPriority w:val="99"/>
    <w:rPr>
      <w:sz w:val="18"/>
      <w:szCs w:val="18"/>
    </w:rPr>
  </w:style>
  <w:style w:type="character" w:customStyle="1" w:styleId="62">
    <w:name w:val="页脚 Char1"/>
    <w:link w:val="27"/>
    <w:qFormat/>
    <w:uiPriority w:val="99"/>
    <w:rPr>
      <w:sz w:val="18"/>
      <w:szCs w:val="18"/>
    </w:rPr>
  </w:style>
  <w:style w:type="character" w:customStyle="1" w:styleId="63">
    <w:name w:val="标题 2 Char1"/>
    <w:link w:val="3"/>
    <w:qFormat/>
    <w:uiPriority w:val="9"/>
    <w:rPr>
      <w:rFonts w:ascii="Cambria" w:hAnsi="Cambria" w:eastAsia="宋体" w:cs="Times New Roman"/>
      <w:b/>
      <w:bCs/>
      <w:sz w:val="32"/>
      <w:szCs w:val="32"/>
    </w:rPr>
  </w:style>
  <w:style w:type="character" w:customStyle="1" w:styleId="64">
    <w:name w:val="标题 5 Char1"/>
    <w:link w:val="6"/>
    <w:qFormat/>
    <w:uiPriority w:val="9"/>
    <w:rPr>
      <w:bCs/>
      <w:kern w:val="2"/>
      <w:sz w:val="21"/>
      <w:szCs w:val="28"/>
    </w:rPr>
  </w:style>
  <w:style w:type="character" w:customStyle="1" w:styleId="65">
    <w:name w:val="Char Char10"/>
    <w:qFormat/>
    <w:uiPriority w:val="0"/>
    <w:rPr>
      <w:kern w:val="2"/>
      <w:sz w:val="18"/>
      <w:szCs w:val="18"/>
    </w:rPr>
  </w:style>
  <w:style w:type="character" w:customStyle="1" w:styleId="66">
    <w:name w:val="标题 6 Char1"/>
    <w:link w:val="7"/>
    <w:qFormat/>
    <w:uiPriority w:val="9"/>
    <w:rPr>
      <w:rFonts w:ascii="Cambria" w:hAnsi="Cambria"/>
      <w:bCs/>
      <w:kern w:val="2"/>
      <w:sz w:val="21"/>
      <w:szCs w:val="24"/>
    </w:rPr>
  </w:style>
  <w:style w:type="character" w:customStyle="1" w:styleId="67">
    <w:name w:val="批注框文本 Char1"/>
    <w:link w:val="26"/>
    <w:semiHidden/>
    <w:qFormat/>
    <w:uiPriority w:val="99"/>
    <w:rPr>
      <w:sz w:val="18"/>
      <w:szCs w:val="18"/>
    </w:rPr>
  </w:style>
  <w:style w:type="character" w:customStyle="1" w:styleId="68">
    <w:name w:val="正文文本 (2) + Lucida Sans Unicode"/>
    <w:qFormat/>
    <w:uiPriority w:val="0"/>
    <w:rPr>
      <w:rFonts w:ascii="Lucida Sans Unicode" w:hAnsi="Lucida Sans Unicode" w:eastAsia="Lucida Sans Unicode" w:cs="Lucida Sans Unicode"/>
      <w:b/>
      <w:bCs/>
      <w:color w:val="000000"/>
      <w:spacing w:val="0"/>
      <w:w w:val="100"/>
      <w:position w:val="0"/>
      <w:sz w:val="20"/>
      <w:szCs w:val="20"/>
      <w:u w:val="none"/>
      <w:shd w:val="clear" w:color="auto" w:fill="FFFFFF"/>
      <w:lang w:val="en-US" w:eastAsia="en-US" w:bidi="en-US"/>
    </w:rPr>
  </w:style>
  <w:style w:type="character" w:customStyle="1" w:styleId="69">
    <w:name w:val="标题 1 Char1"/>
    <w:link w:val="2"/>
    <w:qFormat/>
    <w:uiPriority w:val="9"/>
    <w:rPr>
      <w:b/>
      <w:bCs/>
      <w:kern w:val="44"/>
      <w:sz w:val="44"/>
      <w:szCs w:val="44"/>
    </w:rPr>
  </w:style>
  <w:style w:type="character" w:customStyle="1" w:styleId="70">
    <w:name w:val="脚注文本 Char1"/>
    <w:link w:val="32"/>
    <w:qFormat/>
    <w:uiPriority w:val="0"/>
    <w:rPr>
      <w:sz w:val="18"/>
      <w:szCs w:val="18"/>
    </w:rPr>
  </w:style>
  <w:style w:type="character" w:customStyle="1" w:styleId="71">
    <w:name w:val="font31"/>
    <w:qFormat/>
    <w:uiPriority w:val="0"/>
    <w:rPr>
      <w:rFonts w:hint="eastAsia" w:ascii="宋体" w:hAnsi="宋体" w:eastAsia="宋体" w:cs="宋体"/>
      <w:color w:val="000000"/>
      <w:sz w:val="22"/>
      <w:szCs w:val="22"/>
      <w:u w:val="none"/>
    </w:rPr>
  </w:style>
  <w:style w:type="character" w:customStyle="1" w:styleId="72">
    <w:name w:val="font11"/>
    <w:qFormat/>
    <w:uiPriority w:val="0"/>
    <w:rPr>
      <w:rFonts w:hint="eastAsia" w:ascii="宋体" w:hAnsi="宋体" w:eastAsia="宋体" w:cs="宋体"/>
      <w:color w:val="000000"/>
      <w:sz w:val="22"/>
      <w:szCs w:val="22"/>
      <w:u w:val="none"/>
    </w:rPr>
  </w:style>
  <w:style w:type="character" w:customStyle="1" w:styleId="73">
    <w:name w:val="其他_"/>
    <w:link w:val="74"/>
    <w:qFormat/>
    <w:uiPriority w:val="0"/>
    <w:rPr>
      <w:rFonts w:ascii="宋体" w:hAnsi="宋体" w:cs="宋体"/>
      <w:shd w:val="clear" w:color="auto" w:fill="FFFFFF"/>
      <w:lang w:val="zh-CN" w:bidi="zh-CN"/>
    </w:rPr>
  </w:style>
  <w:style w:type="paragraph" w:customStyle="1" w:styleId="74">
    <w:name w:val="其他"/>
    <w:basedOn w:val="1"/>
    <w:link w:val="73"/>
    <w:qFormat/>
    <w:uiPriority w:val="0"/>
    <w:pPr>
      <w:shd w:val="clear" w:color="auto" w:fill="FFFFFF"/>
      <w:spacing w:line="430" w:lineRule="auto"/>
      <w:ind w:firstLine="400"/>
      <w:jc w:val="distribute"/>
    </w:pPr>
    <w:rPr>
      <w:rFonts w:ascii="宋体" w:hAnsi="宋体" w:cs="宋体"/>
      <w:kern w:val="0"/>
      <w:sz w:val="20"/>
      <w:szCs w:val="20"/>
      <w:lang w:val="zh-CN" w:bidi="zh-CN"/>
    </w:rPr>
  </w:style>
  <w:style w:type="character" w:customStyle="1" w:styleId="75">
    <w:name w:val="正文文本 (2) + Sylfaen"/>
    <w:qFormat/>
    <w:uiPriority w:val="0"/>
    <w:rPr>
      <w:rFonts w:ascii="Sylfaen" w:hAnsi="Sylfaen" w:eastAsia="Sylfaen" w:cs="Sylfaen"/>
      <w:color w:val="000000"/>
      <w:spacing w:val="0"/>
      <w:w w:val="100"/>
      <w:position w:val="0"/>
      <w:sz w:val="22"/>
      <w:szCs w:val="22"/>
      <w:u w:val="none"/>
      <w:lang w:val="en-US" w:eastAsia="en-US" w:bidi="en-US"/>
    </w:rPr>
  </w:style>
  <w:style w:type="character" w:customStyle="1" w:styleId="76">
    <w:name w:val="正文文本 (2) + 间距 4 pt"/>
    <w:qFormat/>
    <w:uiPriority w:val="0"/>
    <w:rPr>
      <w:rFonts w:ascii="宋体" w:hAnsi="宋体" w:eastAsia="宋体" w:cs="宋体"/>
      <w:color w:val="000000"/>
      <w:spacing w:val="80"/>
      <w:w w:val="100"/>
      <w:position w:val="0"/>
      <w:sz w:val="22"/>
      <w:szCs w:val="22"/>
      <w:u w:val="none"/>
      <w:shd w:val="clear" w:color="auto" w:fill="FFFFFF"/>
      <w:lang w:val="zh-TW" w:eastAsia="zh-TW" w:bidi="zh-TW"/>
    </w:rPr>
  </w:style>
  <w:style w:type="paragraph" w:customStyle="1" w:styleId="77">
    <w:name w:val="CM100"/>
    <w:basedOn w:val="78"/>
    <w:next w:val="78"/>
    <w:qFormat/>
    <w:uiPriority w:val="99"/>
    <w:rPr>
      <w:rFonts w:cs="Times New Roman"/>
      <w:color w:val="auto"/>
    </w:rPr>
  </w:style>
  <w:style w:type="paragraph" w:customStyle="1" w:styleId="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9">
    <w:name w:val="CM46"/>
    <w:basedOn w:val="78"/>
    <w:next w:val="78"/>
    <w:qFormat/>
    <w:uiPriority w:val="99"/>
    <w:pPr>
      <w:spacing w:line="440" w:lineRule="atLeast"/>
    </w:pPr>
    <w:rPr>
      <w:rFonts w:cs="Times New Roman"/>
      <w:color w:val="auto"/>
    </w:rPr>
  </w:style>
  <w:style w:type="paragraph" w:customStyle="1" w:styleId="80">
    <w:name w:val="CM78"/>
    <w:basedOn w:val="78"/>
    <w:next w:val="78"/>
    <w:qFormat/>
    <w:uiPriority w:val="99"/>
    <w:rPr>
      <w:rFonts w:cs="Times New Roman"/>
      <w:color w:val="auto"/>
    </w:rPr>
  </w:style>
  <w:style w:type="paragraph" w:customStyle="1" w:styleId="81">
    <w:name w:val="CM18"/>
    <w:basedOn w:val="78"/>
    <w:next w:val="78"/>
    <w:qFormat/>
    <w:uiPriority w:val="99"/>
    <w:pPr>
      <w:spacing w:line="440" w:lineRule="atLeast"/>
    </w:pPr>
    <w:rPr>
      <w:rFonts w:cs="Times New Roman"/>
      <w:color w:val="auto"/>
    </w:rPr>
  </w:style>
  <w:style w:type="paragraph" w:customStyle="1" w:styleId="82">
    <w:name w:val="CM9"/>
    <w:basedOn w:val="78"/>
    <w:next w:val="78"/>
    <w:qFormat/>
    <w:uiPriority w:val="99"/>
    <w:rPr>
      <w:rFonts w:cs="Times New Roman"/>
      <w:color w:val="auto"/>
    </w:rPr>
  </w:style>
  <w:style w:type="paragraph" w:customStyle="1" w:styleId="83">
    <w:name w:val="CM6"/>
    <w:basedOn w:val="78"/>
    <w:next w:val="78"/>
    <w:qFormat/>
    <w:uiPriority w:val="99"/>
    <w:pPr>
      <w:spacing w:line="318" w:lineRule="atLeast"/>
    </w:pPr>
    <w:rPr>
      <w:rFonts w:cs="Times New Roman"/>
      <w:color w:val="auto"/>
    </w:rPr>
  </w:style>
  <w:style w:type="paragraph" w:customStyle="1" w:styleId="84">
    <w:name w:val="CM104"/>
    <w:basedOn w:val="78"/>
    <w:next w:val="78"/>
    <w:qFormat/>
    <w:uiPriority w:val="99"/>
    <w:rPr>
      <w:rFonts w:cs="Times New Roman"/>
      <w:color w:val="auto"/>
    </w:rPr>
  </w:style>
  <w:style w:type="paragraph" w:customStyle="1" w:styleId="85">
    <w:name w:val="CM10"/>
    <w:basedOn w:val="78"/>
    <w:next w:val="78"/>
    <w:qFormat/>
    <w:uiPriority w:val="99"/>
    <w:rPr>
      <w:rFonts w:cs="Times New Roman"/>
      <w:color w:val="auto"/>
    </w:rPr>
  </w:style>
  <w:style w:type="paragraph" w:customStyle="1" w:styleId="86">
    <w:name w:val="CM7"/>
    <w:basedOn w:val="78"/>
    <w:next w:val="78"/>
    <w:qFormat/>
    <w:uiPriority w:val="99"/>
    <w:pPr>
      <w:spacing w:line="318" w:lineRule="atLeast"/>
    </w:pPr>
    <w:rPr>
      <w:rFonts w:cs="Times New Roman"/>
      <w:color w:val="auto"/>
    </w:rPr>
  </w:style>
  <w:style w:type="paragraph" w:customStyle="1" w:styleId="87">
    <w:name w:val="CM45"/>
    <w:basedOn w:val="78"/>
    <w:next w:val="78"/>
    <w:qFormat/>
    <w:uiPriority w:val="99"/>
    <w:rPr>
      <w:rFonts w:cs="Times New Roman"/>
      <w:color w:val="auto"/>
    </w:rPr>
  </w:style>
  <w:style w:type="paragraph" w:customStyle="1" w:styleId="88">
    <w:name w:val="CM28"/>
    <w:basedOn w:val="78"/>
    <w:next w:val="78"/>
    <w:qFormat/>
    <w:uiPriority w:val="99"/>
    <w:pPr>
      <w:spacing w:line="398" w:lineRule="atLeast"/>
    </w:pPr>
    <w:rPr>
      <w:rFonts w:cs="Times New Roman"/>
      <w:color w:val="auto"/>
    </w:rPr>
  </w:style>
  <w:style w:type="paragraph" w:customStyle="1" w:styleId="89">
    <w:name w:val="CM19"/>
    <w:basedOn w:val="78"/>
    <w:next w:val="78"/>
    <w:qFormat/>
    <w:uiPriority w:val="99"/>
    <w:pPr>
      <w:spacing w:line="440" w:lineRule="atLeast"/>
    </w:pPr>
    <w:rPr>
      <w:rFonts w:cs="Times New Roman"/>
      <w:color w:val="auto"/>
    </w:rPr>
  </w:style>
  <w:style w:type="paragraph" w:customStyle="1" w:styleId="90">
    <w:name w:val="CM62"/>
    <w:basedOn w:val="78"/>
    <w:next w:val="78"/>
    <w:qFormat/>
    <w:uiPriority w:val="99"/>
    <w:rPr>
      <w:rFonts w:cs="Times New Roman"/>
      <w:color w:val="auto"/>
    </w:rPr>
  </w:style>
  <w:style w:type="paragraph" w:customStyle="1" w:styleId="91">
    <w:name w:val="CM110"/>
    <w:basedOn w:val="78"/>
    <w:next w:val="78"/>
    <w:qFormat/>
    <w:uiPriority w:val="99"/>
    <w:rPr>
      <w:rFonts w:cs="Times New Roman"/>
      <w:color w:val="auto"/>
    </w:rPr>
  </w:style>
  <w:style w:type="paragraph" w:customStyle="1" w:styleId="92">
    <w:name w:val="CM57"/>
    <w:basedOn w:val="78"/>
    <w:next w:val="78"/>
    <w:qFormat/>
    <w:uiPriority w:val="99"/>
    <w:pPr>
      <w:spacing w:line="400" w:lineRule="atLeast"/>
    </w:pPr>
    <w:rPr>
      <w:rFonts w:cs="Times New Roman"/>
      <w:color w:val="auto"/>
    </w:rPr>
  </w:style>
  <w:style w:type="paragraph" w:customStyle="1" w:styleId="93">
    <w:name w:val="CM101"/>
    <w:basedOn w:val="78"/>
    <w:next w:val="78"/>
    <w:qFormat/>
    <w:uiPriority w:val="99"/>
    <w:rPr>
      <w:rFonts w:cs="Times New Roman"/>
      <w:color w:val="auto"/>
    </w:rPr>
  </w:style>
  <w:style w:type="paragraph" w:customStyle="1" w:styleId="94">
    <w:name w:val="CM114"/>
    <w:basedOn w:val="78"/>
    <w:next w:val="78"/>
    <w:qFormat/>
    <w:uiPriority w:val="99"/>
    <w:rPr>
      <w:rFonts w:cs="Times New Roman"/>
      <w:color w:val="auto"/>
    </w:rPr>
  </w:style>
  <w:style w:type="paragraph" w:customStyle="1" w:styleId="95">
    <w:name w:val="CM105"/>
    <w:basedOn w:val="78"/>
    <w:next w:val="78"/>
    <w:qFormat/>
    <w:uiPriority w:val="99"/>
    <w:rPr>
      <w:rFonts w:cs="Times New Roman"/>
      <w:color w:val="auto"/>
    </w:rPr>
  </w:style>
  <w:style w:type="paragraph" w:customStyle="1" w:styleId="96">
    <w:name w:val="CM83"/>
    <w:basedOn w:val="78"/>
    <w:next w:val="78"/>
    <w:qFormat/>
    <w:uiPriority w:val="99"/>
    <w:pPr>
      <w:spacing w:line="400" w:lineRule="atLeast"/>
    </w:pPr>
    <w:rPr>
      <w:rFonts w:cs="Times New Roman"/>
      <w:color w:val="auto"/>
    </w:rPr>
  </w:style>
  <w:style w:type="paragraph" w:customStyle="1" w:styleId="97">
    <w:name w:val="Char Char Char Char"/>
    <w:basedOn w:val="1"/>
    <w:qFormat/>
    <w:uiPriority w:val="0"/>
    <w:pPr>
      <w:spacing w:line="360" w:lineRule="auto"/>
      <w:ind w:firstLine="200" w:firstLineChars="200"/>
    </w:pPr>
    <w:rPr>
      <w:rFonts w:ascii="宋体" w:hAnsi="宋体" w:cs="宋体"/>
      <w:sz w:val="24"/>
      <w:szCs w:val="24"/>
    </w:rPr>
  </w:style>
  <w:style w:type="paragraph" w:customStyle="1" w:styleId="98">
    <w:name w:val="CM94"/>
    <w:basedOn w:val="78"/>
    <w:next w:val="78"/>
    <w:qFormat/>
    <w:uiPriority w:val="99"/>
    <w:pPr>
      <w:spacing w:line="440" w:lineRule="atLeast"/>
    </w:pPr>
    <w:rPr>
      <w:rFonts w:cs="Times New Roman"/>
      <w:color w:val="auto"/>
    </w:rPr>
  </w:style>
  <w:style w:type="paragraph" w:customStyle="1" w:styleId="99">
    <w:name w:val="CM17"/>
    <w:basedOn w:val="78"/>
    <w:next w:val="78"/>
    <w:qFormat/>
    <w:uiPriority w:val="99"/>
    <w:pPr>
      <w:spacing w:line="440" w:lineRule="atLeast"/>
    </w:pPr>
    <w:rPr>
      <w:rFonts w:cs="Times New Roman"/>
      <w:color w:val="auto"/>
    </w:rPr>
  </w:style>
  <w:style w:type="paragraph" w:customStyle="1" w:styleId="100">
    <w:name w:val="CM109"/>
    <w:basedOn w:val="78"/>
    <w:next w:val="78"/>
    <w:qFormat/>
    <w:uiPriority w:val="99"/>
    <w:rPr>
      <w:rFonts w:cs="Times New Roman"/>
      <w:color w:val="auto"/>
    </w:rPr>
  </w:style>
  <w:style w:type="paragraph" w:customStyle="1" w:styleId="101">
    <w:name w:val="Char Char"/>
    <w:basedOn w:val="1"/>
    <w:qFormat/>
    <w:uiPriority w:val="0"/>
    <w:rPr>
      <w:rFonts w:ascii="Tahoma" w:hAnsi="Tahoma"/>
      <w:sz w:val="24"/>
      <w:szCs w:val="20"/>
    </w:rPr>
  </w:style>
  <w:style w:type="paragraph" w:customStyle="1" w:styleId="102">
    <w:name w:val="CM90"/>
    <w:basedOn w:val="78"/>
    <w:next w:val="78"/>
    <w:qFormat/>
    <w:uiPriority w:val="99"/>
    <w:pPr>
      <w:spacing w:line="440" w:lineRule="atLeast"/>
    </w:pPr>
    <w:rPr>
      <w:rFonts w:cs="Times New Roman"/>
      <w:color w:val="auto"/>
    </w:rPr>
  </w:style>
  <w:style w:type="paragraph" w:customStyle="1" w:styleId="103">
    <w:name w:val="CM49"/>
    <w:basedOn w:val="78"/>
    <w:next w:val="78"/>
    <w:qFormat/>
    <w:uiPriority w:val="99"/>
    <w:pPr>
      <w:spacing w:line="1020" w:lineRule="atLeast"/>
    </w:pPr>
    <w:rPr>
      <w:rFonts w:cs="Times New Roman"/>
      <w:color w:val="auto"/>
    </w:rPr>
  </w:style>
  <w:style w:type="paragraph" w:customStyle="1" w:styleId="104">
    <w:name w:val="CM96"/>
    <w:basedOn w:val="78"/>
    <w:next w:val="78"/>
    <w:qFormat/>
    <w:uiPriority w:val="99"/>
    <w:rPr>
      <w:rFonts w:cs="Times New Roman"/>
      <w:color w:val="auto"/>
    </w:rPr>
  </w:style>
  <w:style w:type="paragraph" w:customStyle="1" w:styleId="105">
    <w:name w:val="CM97"/>
    <w:basedOn w:val="78"/>
    <w:next w:val="78"/>
    <w:qFormat/>
    <w:uiPriority w:val="99"/>
    <w:rPr>
      <w:rFonts w:cs="Times New Roman"/>
      <w:color w:val="auto"/>
    </w:rPr>
  </w:style>
  <w:style w:type="paragraph" w:customStyle="1" w:styleId="106">
    <w:name w:val="CM64"/>
    <w:basedOn w:val="78"/>
    <w:next w:val="78"/>
    <w:qFormat/>
    <w:uiPriority w:val="99"/>
    <w:pPr>
      <w:spacing w:line="398" w:lineRule="atLeast"/>
    </w:pPr>
    <w:rPr>
      <w:rFonts w:cs="Times New Roman"/>
      <w:color w:val="auto"/>
    </w:rPr>
  </w:style>
  <w:style w:type="paragraph" w:customStyle="1" w:styleId="107">
    <w:name w:val="CM103"/>
    <w:basedOn w:val="78"/>
    <w:next w:val="78"/>
    <w:qFormat/>
    <w:uiPriority w:val="99"/>
    <w:rPr>
      <w:rFonts w:cs="Times New Roman"/>
      <w:color w:val="auto"/>
    </w:rPr>
  </w:style>
  <w:style w:type="paragraph" w:customStyle="1" w:styleId="108">
    <w:name w:val="CM5"/>
    <w:basedOn w:val="78"/>
    <w:next w:val="78"/>
    <w:qFormat/>
    <w:uiPriority w:val="99"/>
    <w:rPr>
      <w:rFonts w:cs="Times New Roman"/>
      <w:color w:val="auto"/>
    </w:rPr>
  </w:style>
  <w:style w:type="paragraph" w:customStyle="1" w:styleId="109">
    <w:name w:val="CM60"/>
    <w:basedOn w:val="78"/>
    <w:next w:val="78"/>
    <w:qFormat/>
    <w:uiPriority w:val="99"/>
    <w:pPr>
      <w:spacing w:line="400" w:lineRule="atLeast"/>
    </w:pPr>
    <w:rPr>
      <w:rFonts w:cs="Times New Roman"/>
      <w:color w:val="auto"/>
    </w:rPr>
  </w:style>
  <w:style w:type="paragraph" w:customStyle="1" w:styleId="110">
    <w:name w:val="CM70"/>
    <w:basedOn w:val="78"/>
    <w:next w:val="78"/>
    <w:qFormat/>
    <w:uiPriority w:val="99"/>
    <w:pPr>
      <w:spacing w:line="400" w:lineRule="atLeast"/>
    </w:pPr>
    <w:rPr>
      <w:rFonts w:cs="Times New Roman"/>
      <w:color w:val="auto"/>
    </w:rPr>
  </w:style>
  <w:style w:type="paragraph" w:customStyle="1" w:styleId="111">
    <w:name w:val="CM115"/>
    <w:basedOn w:val="78"/>
    <w:next w:val="78"/>
    <w:qFormat/>
    <w:uiPriority w:val="99"/>
    <w:rPr>
      <w:rFonts w:cs="Times New Roman"/>
      <w:color w:val="auto"/>
    </w:rPr>
  </w:style>
  <w:style w:type="paragraph" w:customStyle="1" w:styleId="112">
    <w:name w:val="CM4"/>
    <w:basedOn w:val="78"/>
    <w:next w:val="78"/>
    <w:qFormat/>
    <w:uiPriority w:val="99"/>
    <w:rPr>
      <w:rFonts w:cs="Times New Roman"/>
      <w:color w:val="auto"/>
    </w:rPr>
  </w:style>
  <w:style w:type="paragraph" w:customStyle="1" w:styleId="113">
    <w:name w:val="CM26"/>
    <w:basedOn w:val="78"/>
    <w:next w:val="78"/>
    <w:qFormat/>
    <w:uiPriority w:val="99"/>
    <w:pPr>
      <w:spacing w:line="400" w:lineRule="atLeast"/>
    </w:pPr>
    <w:rPr>
      <w:rFonts w:cs="Times New Roman"/>
      <w:color w:val="auto"/>
    </w:rPr>
  </w:style>
  <w:style w:type="paragraph" w:customStyle="1" w:styleId="114">
    <w:name w:val="CM74"/>
    <w:basedOn w:val="78"/>
    <w:next w:val="78"/>
    <w:qFormat/>
    <w:uiPriority w:val="99"/>
    <w:pPr>
      <w:spacing w:line="400" w:lineRule="atLeast"/>
    </w:pPr>
    <w:rPr>
      <w:rFonts w:cs="Times New Roman"/>
      <w:color w:val="auto"/>
    </w:rPr>
  </w:style>
  <w:style w:type="paragraph" w:customStyle="1" w:styleId="115">
    <w:name w:val="CM48"/>
    <w:basedOn w:val="78"/>
    <w:next w:val="78"/>
    <w:qFormat/>
    <w:uiPriority w:val="99"/>
    <w:pPr>
      <w:spacing w:line="440" w:lineRule="atLeast"/>
    </w:pPr>
    <w:rPr>
      <w:rFonts w:cs="Times New Roman"/>
      <w:color w:val="auto"/>
    </w:rPr>
  </w:style>
  <w:style w:type="paragraph" w:customStyle="1" w:styleId="116">
    <w:name w:val="CM84"/>
    <w:basedOn w:val="78"/>
    <w:next w:val="78"/>
    <w:qFormat/>
    <w:uiPriority w:val="99"/>
    <w:pPr>
      <w:spacing w:line="400" w:lineRule="atLeast"/>
    </w:pPr>
    <w:rPr>
      <w:rFonts w:cs="Times New Roman"/>
      <w:color w:val="auto"/>
    </w:rPr>
  </w:style>
  <w:style w:type="paragraph" w:customStyle="1" w:styleId="117">
    <w:name w:val="CM92"/>
    <w:basedOn w:val="78"/>
    <w:next w:val="78"/>
    <w:qFormat/>
    <w:uiPriority w:val="99"/>
    <w:pPr>
      <w:spacing w:line="443" w:lineRule="atLeast"/>
    </w:pPr>
    <w:rPr>
      <w:rFonts w:cs="Times New Roman"/>
      <w:color w:val="auto"/>
    </w:rPr>
  </w:style>
  <w:style w:type="paragraph" w:customStyle="1" w:styleId="118">
    <w:name w:val="CM8"/>
    <w:basedOn w:val="78"/>
    <w:next w:val="78"/>
    <w:qFormat/>
    <w:uiPriority w:val="99"/>
    <w:pPr>
      <w:spacing w:line="318" w:lineRule="atLeast"/>
    </w:pPr>
    <w:rPr>
      <w:rFonts w:cs="Times New Roman"/>
      <w:color w:val="auto"/>
    </w:rPr>
  </w:style>
  <w:style w:type="paragraph" w:customStyle="1" w:styleId="119">
    <w:name w:val="CM3"/>
    <w:basedOn w:val="78"/>
    <w:next w:val="78"/>
    <w:qFormat/>
    <w:uiPriority w:val="99"/>
    <w:pPr>
      <w:spacing w:line="500" w:lineRule="atLeast"/>
    </w:pPr>
    <w:rPr>
      <w:rFonts w:cs="Times New Roman"/>
      <w:color w:val="auto"/>
    </w:rPr>
  </w:style>
  <w:style w:type="paragraph" w:customStyle="1" w:styleId="120">
    <w:name w:val="CM108"/>
    <w:basedOn w:val="78"/>
    <w:next w:val="78"/>
    <w:qFormat/>
    <w:uiPriority w:val="99"/>
    <w:rPr>
      <w:rFonts w:cs="Times New Roman"/>
      <w:color w:val="auto"/>
    </w:rPr>
  </w:style>
  <w:style w:type="paragraph" w:customStyle="1" w:styleId="121">
    <w:name w:val="Char"/>
    <w:basedOn w:val="1"/>
    <w:qFormat/>
    <w:uiPriority w:val="0"/>
    <w:pPr>
      <w:spacing w:line="360" w:lineRule="auto"/>
      <w:ind w:firstLine="200" w:firstLineChars="200"/>
    </w:pPr>
    <w:rPr>
      <w:rFonts w:ascii="宋体" w:hAnsi="宋体" w:cs="宋体"/>
      <w:sz w:val="24"/>
      <w:szCs w:val="24"/>
    </w:rPr>
  </w:style>
  <w:style w:type="paragraph" w:customStyle="1" w:styleId="122">
    <w:name w:val="CM112"/>
    <w:basedOn w:val="78"/>
    <w:next w:val="78"/>
    <w:qFormat/>
    <w:uiPriority w:val="99"/>
    <w:rPr>
      <w:rFonts w:cs="Times New Roman"/>
      <w:color w:val="auto"/>
    </w:rPr>
  </w:style>
  <w:style w:type="paragraph" w:customStyle="1" w:styleId="123">
    <w:name w:val="CM88"/>
    <w:basedOn w:val="78"/>
    <w:next w:val="78"/>
    <w:qFormat/>
    <w:uiPriority w:val="99"/>
    <w:pPr>
      <w:spacing w:line="440" w:lineRule="atLeast"/>
    </w:pPr>
    <w:rPr>
      <w:rFonts w:cs="Times New Roman"/>
      <w:color w:val="auto"/>
    </w:rPr>
  </w:style>
  <w:style w:type="paragraph" w:customStyle="1" w:styleId="124">
    <w:name w:val="CM41"/>
    <w:basedOn w:val="78"/>
    <w:next w:val="78"/>
    <w:qFormat/>
    <w:uiPriority w:val="99"/>
    <w:pPr>
      <w:spacing w:line="400" w:lineRule="atLeast"/>
    </w:pPr>
    <w:rPr>
      <w:rFonts w:cs="Times New Roman"/>
      <w:color w:val="auto"/>
    </w:rPr>
  </w:style>
  <w:style w:type="paragraph" w:customStyle="1" w:styleId="125">
    <w:name w:val="Char1"/>
    <w:basedOn w:val="1"/>
    <w:qFormat/>
    <w:uiPriority w:val="0"/>
    <w:pPr>
      <w:spacing w:line="360" w:lineRule="auto"/>
      <w:ind w:firstLine="200" w:firstLineChars="200"/>
    </w:pPr>
    <w:rPr>
      <w:rFonts w:ascii="宋体" w:hAnsi="宋体" w:cs="宋体"/>
      <w:sz w:val="24"/>
      <w:szCs w:val="24"/>
    </w:rPr>
  </w:style>
  <w:style w:type="paragraph" w:customStyle="1" w:styleId="126">
    <w:name w:val="Char Char Char Char Char Char Char"/>
    <w:basedOn w:val="13"/>
    <w:qFormat/>
    <w:uiPriority w:val="0"/>
    <w:rPr>
      <w:rFonts w:ascii="Tahoma" w:hAnsi="Tahoma"/>
      <w:sz w:val="24"/>
    </w:rPr>
  </w:style>
  <w:style w:type="paragraph" w:customStyle="1" w:styleId="127">
    <w:name w:val="CM99"/>
    <w:basedOn w:val="78"/>
    <w:next w:val="78"/>
    <w:qFormat/>
    <w:uiPriority w:val="99"/>
    <w:rPr>
      <w:rFonts w:cs="Times New Roman"/>
      <w:color w:val="auto"/>
    </w:rPr>
  </w:style>
  <w:style w:type="paragraph" w:customStyle="1" w:styleId="128">
    <w:name w:val="CM20"/>
    <w:basedOn w:val="78"/>
    <w:next w:val="78"/>
    <w:qFormat/>
    <w:uiPriority w:val="99"/>
    <w:pPr>
      <w:spacing w:line="400" w:lineRule="atLeast"/>
    </w:pPr>
    <w:rPr>
      <w:rFonts w:cs="Times New Roman"/>
      <w:color w:val="auto"/>
    </w:rPr>
  </w:style>
  <w:style w:type="paragraph" w:customStyle="1" w:styleId="129">
    <w:name w:val="Char Char Char Char Char Char Char Char Char Char"/>
    <w:basedOn w:val="1"/>
    <w:qFormat/>
    <w:uiPriority w:val="0"/>
    <w:pPr>
      <w:spacing w:line="360" w:lineRule="auto"/>
      <w:ind w:firstLine="200" w:firstLineChars="200"/>
    </w:pPr>
    <w:rPr>
      <w:rFonts w:ascii="宋体" w:hAnsi="宋体" w:cs="宋体"/>
      <w:b/>
      <w:color w:val="000000"/>
      <w:sz w:val="24"/>
      <w:szCs w:val="24"/>
    </w:rPr>
  </w:style>
  <w:style w:type="paragraph" w:customStyle="1" w:styleId="130">
    <w:name w:val="样式3"/>
    <w:basedOn w:val="1"/>
    <w:qFormat/>
    <w:uiPriority w:val="0"/>
    <w:pPr>
      <w:keepNext/>
      <w:keepLines/>
      <w:spacing w:line="400" w:lineRule="exact"/>
      <w:outlineLvl w:val="0"/>
    </w:pPr>
    <w:rPr>
      <w:b/>
      <w:bCs/>
      <w:kern w:val="44"/>
      <w:sz w:val="28"/>
      <w:szCs w:val="44"/>
    </w:rPr>
  </w:style>
  <w:style w:type="paragraph" w:customStyle="1" w:styleId="131">
    <w:name w:val="CM44"/>
    <w:basedOn w:val="78"/>
    <w:next w:val="78"/>
    <w:qFormat/>
    <w:uiPriority w:val="99"/>
    <w:rPr>
      <w:rFonts w:cs="Times New Roman"/>
      <w:color w:val="auto"/>
    </w:rPr>
  </w:style>
  <w:style w:type="paragraph" w:customStyle="1" w:styleId="132">
    <w:name w:val="正文文本1"/>
    <w:basedOn w:val="1"/>
    <w:qFormat/>
    <w:uiPriority w:val="0"/>
    <w:pPr>
      <w:shd w:val="clear" w:color="auto" w:fill="FFFFFF"/>
      <w:spacing w:line="429" w:lineRule="auto"/>
      <w:ind w:firstLine="400"/>
      <w:jc w:val="distribute"/>
    </w:pPr>
    <w:rPr>
      <w:rFonts w:ascii="宋体" w:hAnsi="宋体" w:cs="宋体"/>
      <w:color w:val="000000"/>
      <w:kern w:val="0"/>
      <w:sz w:val="20"/>
      <w:szCs w:val="20"/>
    </w:rPr>
  </w:style>
  <w:style w:type="paragraph" w:customStyle="1" w:styleId="133">
    <w:name w:val="CM102"/>
    <w:basedOn w:val="78"/>
    <w:next w:val="78"/>
    <w:qFormat/>
    <w:uiPriority w:val="99"/>
    <w:rPr>
      <w:rFonts w:cs="Times New Roman"/>
      <w:color w:val="auto"/>
    </w:rPr>
  </w:style>
  <w:style w:type="paragraph" w:customStyle="1" w:styleId="134">
    <w:name w:val="CM25"/>
    <w:basedOn w:val="78"/>
    <w:next w:val="78"/>
    <w:qFormat/>
    <w:uiPriority w:val="99"/>
    <w:pPr>
      <w:spacing w:line="400" w:lineRule="atLeast"/>
    </w:pPr>
    <w:rPr>
      <w:rFonts w:cs="Times New Roman"/>
      <w:color w:val="auto"/>
    </w:rPr>
  </w:style>
  <w:style w:type="paragraph" w:customStyle="1" w:styleId="135">
    <w:name w:val="CM22"/>
    <w:basedOn w:val="78"/>
    <w:next w:val="78"/>
    <w:qFormat/>
    <w:uiPriority w:val="99"/>
    <w:rPr>
      <w:rFonts w:cs="Times New Roman"/>
      <w:color w:val="auto"/>
    </w:rPr>
  </w:style>
  <w:style w:type="paragraph" w:customStyle="1" w:styleId="136">
    <w:name w:val="CM35"/>
    <w:basedOn w:val="78"/>
    <w:next w:val="78"/>
    <w:qFormat/>
    <w:uiPriority w:val="99"/>
    <w:pPr>
      <w:spacing w:line="400" w:lineRule="atLeast"/>
    </w:pPr>
    <w:rPr>
      <w:rFonts w:cs="Times New Roman"/>
      <w:color w:val="auto"/>
    </w:rPr>
  </w:style>
  <w:style w:type="paragraph" w:customStyle="1" w:styleId="137">
    <w:name w:val="CM47"/>
    <w:basedOn w:val="78"/>
    <w:next w:val="78"/>
    <w:qFormat/>
    <w:uiPriority w:val="99"/>
    <w:pPr>
      <w:spacing w:line="540" w:lineRule="atLeast"/>
    </w:pPr>
    <w:rPr>
      <w:rFonts w:cs="Times New Roman"/>
      <w:color w:val="auto"/>
    </w:rPr>
  </w:style>
  <w:style w:type="paragraph" w:customStyle="1" w:styleId="138">
    <w:name w:val="CM54"/>
    <w:basedOn w:val="78"/>
    <w:next w:val="78"/>
    <w:qFormat/>
    <w:uiPriority w:val="99"/>
    <w:rPr>
      <w:rFonts w:cs="Times New Roman"/>
      <w:color w:val="auto"/>
    </w:rPr>
  </w:style>
  <w:style w:type="paragraph" w:customStyle="1" w:styleId="139">
    <w:name w:val="CM43"/>
    <w:basedOn w:val="78"/>
    <w:next w:val="78"/>
    <w:qFormat/>
    <w:uiPriority w:val="99"/>
    <w:pPr>
      <w:spacing w:line="440" w:lineRule="atLeast"/>
    </w:pPr>
    <w:rPr>
      <w:rFonts w:cs="Times New Roman"/>
      <w:color w:val="auto"/>
    </w:rPr>
  </w:style>
  <w:style w:type="paragraph" w:customStyle="1" w:styleId="140">
    <w:name w:val="CM55"/>
    <w:basedOn w:val="78"/>
    <w:next w:val="78"/>
    <w:qFormat/>
    <w:uiPriority w:val="99"/>
    <w:pPr>
      <w:spacing w:line="400" w:lineRule="atLeast"/>
    </w:pPr>
    <w:rPr>
      <w:rFonts w:cs="Times New Roman"/>
      <w:color w:val="auto"/>
    </w:rPr>
  </w:style>
  <w:style w:type="paragraph" w:customStyle="1" w:styleId="141">
    <w:name w:val="xl25"/>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142">
    <w:name w:val="CM95"/>
    <w:basedOn w:val="78"/>
    <w:next w:val="78"/>
    <w:qFormat/>
    <w:uiPriority w:val="99"/>
    <w:pPr>
      <w:spacing w:line="440" w:lineRule="atLeast"/>
    </w:pPr>
    <w:rPr>
      <w:rFonts w:cs="Times New Roman"/>
      <w:color w:val="auto"/>
    </w:rPr>
  </w:style>
  <w:style w:type="paragraph" w:customStyle="1" w:styleId="143">
    <w:name w:val="Char Char1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144">
    <w:name w:val="CM11"/>
    <w:basedOn w:val="78"/>
    <w:next w:val="78"/>
    <w:qFormat/>
    <w:uiPriority w:val="99"/>
    <w:pPr>
      <w:spacing w:line="313" w:lineRule="atLeast"/>
    </w:pPr>
    <w:rPr>
      <w:rFonts w:cs="Times New Roman"/>
      <w:color w:val="auto"/>
    </w:rPr>
  </w:style>
  <w:style w:type="paragraph" w:customStyle="1" w:styleId="145">
    <w:name w:val="_Style 121"/>
    <w:basedOn w:val="1"/>
    <w:qFormat/>
    <w:uiPriority w:val="0"/>
    <w:pPr>
      <w:spacing w:line="360" w:lineRule="auto"/>
      <w:ind w:firstLine="200" w:firstLineChars="200"/>
    </w:pPr>
    <w:rPr>
      <w:rFonts w:ascii="宋体" w:hAnsi="宋体" w:cs="宋体"/>
      <w:sz w:val="24"/>
      <w:szCs w:val="24"/>
    </w:rPr>
  </w:style>
  <w:style w:type="paragraph" w:customStyle="1" w:styleId="14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7">
    <w:name w:val="CM24"/>
    <w:basedOn w:val="78"/>
    <w:next w:val="78"/>
    <w:qFormat/>
    <w:uiPriority w:val="99"/>
    <w:pPr>
      <w:spacing w:line="400" w:lineRule="atLeast"/>
    </w:pPr>
    <w:rPr>
      <w:rFonts w:cs="Times New Roman"/>
      <w:color w:val="auto"/>
    </w:rPr>
  </w:style>
  <w:style w:type="paragraph" w:customStyle="1" w:styleId="148">
    <w:name w:val="CM98"/>
    <w:basedOn w:val="78"/>
    <w:next w:val="78"/>
    <w:qFormat/>
    <w:uiPriority w:val="99"/>
    <w:rPr>
      <w:rFonts w:cs="Times New Roman"/>
      <w:color w:val="auto"/>
    </w:rPr>
  </w:style>
  <w:style w:type="paragraph" w:customStyle="1" w:styleId="149">
    <w:name w:val="CM32"/>
    <w:basedOn w:val="78"/>
    <w:next w:val="78"/>
    <w:qFormat/>
    <w:uiPriority w:val="99"/>
    <w:pPr>
      <w:spacing w:line="400" w:lineRule="atLeast"/>
    </w:pPr>
    <w:rPr>
      <w:rFonts w:cs="Times New Roman"/>
      <w:color w:val="auto"/>
    </w:rPr>
  </w:style>
  <w:style w:type="paragraph" w:customStyle="1" w:styleId="150">
    <w:name w:val="CM12"/>
    <w:basedOn w:val="78"/>
    <w:next w:val="78"/>
    <w:qFormat/>
    <w:uiPriority w:val="99"/>
    <w:pPr>
      <w:spacing w:line="313" w:lineRule="atLeast"/>
    </w:pPr>
    <w:rPr>
      <w:rFonts w:cs="Times New Roman"/>
      <w:color w:val="auto"/>
    </w:rPr>
  </w:style>
  <w:style w:type="paragraph" w:customStyle="1" w:styleId="151">
    <w:name w:val="CM87"/>
    <w:basedOn w:val="78"/>
    <w:next w:val="78"/>
    <w:qFormat/>
    <w:uiPriority w:val="99"/>
    <w:pPr>
      <w:spacing w:line="440" w:lineRule="atLeast"/>
    </w:pPr>
    <w:rPr>
      <w:rFonts w:cs="Times New Roman"/>
      <w:color w:val="auto"/>
    </w:rPr>
  </w:style>
  <w:style w:type="paragraph" w:customStyle="1" w:styleId="152">
    <w:name w:val="CM1"/>
    <w:basedOn w:val="78"/>
    <w:next w:val="78"/>
    <w:qFormat/>
    <w:uiPriority w:val="99"/>
    <w:rPr>
      <w:rFonts w:cs="Times New Roman"/>
      <w:color w:val="auto"/>
    </w:rPr>
  </w:style>
  <w:style w:type="paragraph" w:customStyle="1" w:styleId="153">
    <w:name w:val="CM13"/>
    <w:basedOn w:val="78"/>
    <w:next w:val="78"/>
    <w:qFormat/>
    <w:uiPriority w:val="99"/>
    <w:rPr>
      <w:rFonts w:cs="Times New Roman"/>
      <w:color w:val="auto"/>
    </w:rPr>
  </w:style>
  <w:style w:type="paragraph" w:customStyle="1" w:styleId="154">
    <w:name w:val="CM40"/>
    <w:basedOn w:val="78"/>
    <w:next w:val="78"/>
    <w:qFormat/>
    <w:uiPriority w:val="99"/>
    <w:pPr>
      <w:spacing w:line="400" w:lineRule="atLeast"/>
    </w:pPr>
    <w:rPr>
      <w:rFonts w:cs="Times New Roman"/>
      <w:color w:val="auto"/>
    </w:rPr>
  </w:style>
  <w:style w:type="paragraph" w:customStyle="1" w:styleId="155">
    <w:name w:val="CM71"/>
    <w:basedOn w:val="78"/>
    <w:next w:val="78"/>
    <w:qFormat/>
    <w:uiPriority w:val="99"/>
    <w:rPr>
      <w:rFonts w:cs="Times New Roman"/>
      <w:color w:val="auto"/>
    </w:rPr>
  </w:style>
  <w:style w:type="paragraph" w:customStyle="1" w:styleId="156">
    <w:name w:val="CM2"/>
    <w:basedOn w:val="78"/>
    <w:next w:val="78"/>
    <w:qFormat/>
    <w:uiPriority w:val="99"/>
    <w:pPr>
      <w:spacing w:line="500" w:lineRule="atLeast"/>
    </w:pPr>
    <w:rPr>
      <w:rFonts w:cs="Times New Roman"/>
      <w:color w:val="auto"/>
    </w:rPr>
  </w:style>
  <w:style w:type="paragraph" w:styleId="157">
    <w:name w:val="List Paragraph"/>
    <w:basedOn w:val="1"/>
    <w:qFormat/>
    <w:uiPriority w:val="34"/>
    <w:pPr>
      <w:ind w:firstLine="420" w:firstLineChars="200"/>
    </w:pPr>
  </w:style>
  <w:style w:type="paragraph" w:customStyle="1" w:styleId="158">
    <w:name w:val="CM52"/>
    <w:basedOn w:val="78"/>
    <w:next w:val="78"/>
    <w:qFormat/>
    <w:uiPriority w:val="99"/>
    <w:pPr>
      <w:spacing w:line="400" w:lineRule="atLeast"/>
    </w:pPr>
    <w:rPr>
      <w:rFonts w:cs="Times New Roman"/>
      <w:color w:val="auto"/>
    </w:rPr>
  </w:style>
  <w:style w:type="paragraph" w:customStyle="1" w:styleId="159">
    <w:name w:val="CM34"/>
    <w:basedOn w:val="78"/>
    <w:next w:val="78"/>
    <w:qFormat/>
    <w:uiPriority w:val="99"/>
    <w:rPr>
      <w:rFonts w:cs="Times New Roman"/>
      <w:color w:val="auto"/>
    </w:rPr>
  </w:style>
  <w:style w:type="paragraph" w:customStyle="1" w:styleId="1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hAnsi="Courier New"/>
      <w:b/>
      <w:kern w:val="0"/>
      <w:sz w:val="44"/>
      <w:szCs w:val="20"/>
    </w:rPr>
  </w:style>
  <w:style w:type="paragraph" w:customStyle="1" w:styleId="161">
    <w:name w:val="CM107"/>
    <w:basedOn w:val="78"/>
    <w:next w:val="78"/>
    <w:qFormat/>
    <w:uiPriority w:val="99"/>
    <w:rPr>
      <w:rFonts w:cs="Times New Roman"/>
      <w:color w:val="auto"/>
    </w:rPr>
  </w:style>
  <w:style w:type="paragraph" w:customStyle="1" w:styleId="162">
    <w:name w:val="CM29"/>
    <w:basedOn w:val="78"/>
    <w:next w:val="78"/>
    <w:qFormat/>
    <w:uiPriority w:val="99"/>
    <w:pPr>
      <w:spacing w:line="400" w:lineRule="atLeast"/>
    </w:pPr>
    <w:rPr>
      <w:rFonts w:cs="Times New Roman"/>
      <w:color w:val="auto"/>
    </w:rPr>
  </w:style>
  <w:style w:type="paragraph" w:customStyle="1" w:styleId="163">
    <w:name w:val="标题 #7"/>
    <w:basedOn w:val="1"/>
    <w:link w:val="195"/>
    <w:qFormat/>
    <w:uiPriority w:val="0"/>
    <w:pPr>
      <w:shd w:val="clear" w:color="auto" w:fill="FFFFFF"/>
      <w:spacing w:before="100" w:beforeAutospacing="1" w:after="60" w:line="483" w:lineRule="exact"/>
      <w:ind w:left="5840"/>
      <w:jc w:val="right"/>
      <w:outlineLvl w:val="6"/>
    </w:pPr>
    <w:rPr>
      <w:rFonts w:ascii="宋体" w:hAnsi="宋体"/>
      <w:color w:val="000000"/>
      <w:kern w:val="0"/>
      <w:sz w:val="24"/>
      <w:szCs w:val="24"/>
    </w:rPr>
  </w:style>
  <w:style w:type="character" w:customStyle="1" w:styleId="164">
    <w:name w:val="MSG_EN_FONT_STYLE_NAME_TEMPLATE_ROLE_NUMBER MSG_EN_FONT_STYLE_NAME_BY_ROLE_TEXT 13 + MSG_EN_FONT_STYLE_MODIFER_SIZE 8.5"/>
    <w:qFormat/>
    <w:uiPriority w:val="0"/>
    <w:rPr>
      <w:rFonts w:ascii="PMingLiU" w:hAnsi="PMingLiU" w:eastAsia="PMingLiU" w:cs="PMingLiU"/>
      <w:color w:val="000000"/>
      <w:spacing w:val="0"/>
      <w:w w:val="100"/>
      <w:position w:val="0"/>
      <w:sz w:val="17"/>
      <w:szCs w:val="17"/>
      <w:u w:val="none"/>
      <w:shd w:val="clear" w:color="auto" w:fill="FFFFFF"/>
      <w:lang w:val="zh-CN" w:eastAsia="zh-CN" w:bidi="zh-CN"/>
    </w:rPr>
  </w:style>
  <w:style w:type="character" w:customStyle="1" w:styleId="165">
    <w:name w:val="MSG_EN_FONT_STYLE_NAME_TEMPLATE_ROLE_NUMBER MSG_EN_FONT_STYLE_NAME_BY_ROLE_TEXT 13_"/>
    <w:link w:val="166"/>
    <w:qFormat/>
    <w:uiPriority w:val="0"/>
    <w:rPr>
      <w:rFonts w:ascii="PMingLiU" w:hAnsi="PMingLiU" w:eastAsia="PMingLiU" w:cs="PMingLiU"/>
      <w:shd w:val="clear" w:color="auto" w:fill="FFFFFF"/>
    </w:rPr>
  </w:style>
  <w:style w:type="paragraph" w:customStyle="1" w:styleId="166">
    <w:name w:val="MSG_EN_FONT_STYLE_NAME_TEMPLATE_ROLE_NUMBER MSG_EN_FONT_STYLE_NAME_BY_ROLE_TEXT 131"/>
    <w:basedOn w:val="1"/>
    <w:link w:val="165"/>
    <w:qFormat/>
    <w:uiPriority w:val="0"/>
    <w:pPr>
      <w:shd w:val="clear" w:color="auto" w:fill="FFFFFF"/>
      <w:spacing w:before="340" w:after="160" w:line="398" w:lineRule="exact"/>
      <w:jc w:val="distribute"/>
    </w:pPr>
    <w:rPr>
      <w:rFonts w:ascii="PMingLiU" w:hAnsi="PMingLiU" w:eastAsia="PMingLiU"/>
      <w:kern w:val="0"/>
      <w:sz w:val="20"/>
      <w:szCs w:val="20"/>
    </w:rPr>
  </w:style>
  <w:style w:type="character" w:customStyle="1" w:styleId="167">
    <w:name w:val="MSG_EN_FONT_STYLE_NAME_TEMPLATE_ROLE_NUMBER MSG_EN_FONT_STYLE_NAME_BY_ROLE_TEXT 13 + MSG_EN_FONT_STYLE_MODIFER_NAME Courier New"/>
    <w:qFormat/>
    <w:uiPriority w:val="0"/>
    <w:rPr>
      <w:rFonts w:ascii="Courier New" w:hAnsi="Courier New" w:eastAsia="Courier New" w:cs="Courier New"/>
      <w:b/>
      <w:bCs/>
      <w:color w:val="000000"/>
      <w:spacing w:val="0"/>
      <w:w w:val="100"/>
      <w:position w:val="0"/>
      <w:sz w:val="26"/>
      <w:szCs w:val="26"/>
      <w:u w:val="none"/>
      <w:shd w:val="clear" w:color="auto" w:fill="FFFFFF"/>
      <w:lang w:val="en-US" w:eastAsia="en-US" w:bidi="en-US"/>
    </w:rPr>
  </w:style>
  <w:style w:type="character" w:customStyle="1" w:styleId="168">
    <w:name w:val="MSG_EN_FONT_STYLE_NAME_TEMPLATE_ROLE_NUMBER MSG_EN_FONT_STYLE_NAME_BY_ROLE_TEXT 13 + MSG_EN_FONT_STYLE_MODIFER_NAME Times New Roman4"/>
    <w:qFormat/>
    <w:uiPriority w:val="0"/>
    <w:rPr>
      <w:rFonts w:ascii="Times New Roman" w:hAnsi="Times New Roman" w:eastAsia="Times New Roman" w:cs="Times New Roman"/>
      <w:b/>
      <w:bCs/>
      <w:color w:val="000000"/>
      <w:spacing w:val="0"/>
      <w:w w:val="100"/>
      <w:position w:val="0"/>
      <w:sz w:val="16"/>
      <w:szCs w:val="16"/>
      <w:u w:val="none"/>
      <w:shd w:val="clear" w:color="auto" w:fill="FFFFFF"/>
      <w:lang w:val="en-US" w:eastAsia="en-US" w:bidi="en-US"/>
    </w:rPr>
  </w:style>
  <w:style w:type="character" w:customStyle="1" w:styleId="169">
    <w:name w:val="MSG_EN_FONT_STYLE_NAME_TEMPLATE_ROLE_NUMBER MSG_EN_FONT_STYLE_NAME_BY_ROLE_TEXT 5_"/>
    <w:link w:val="170"/>
    <w:qFormat/>
    <w:uiPriority w:val="0"/>
    <w:rPr>
      <w:rFonts w:ascii="PMingLiU" w:hAnsi="PMingLiU" w:eastAsia="PMingLiU" w:cs="PMingLiU"/>
      <w:sz w:val="17"/>
      <w:szCs w:val="17"/>
      <w:shd w:val="clear" w:color="auto" w:fill="FFFFFF"/>
    </w:rPr>
  </w:style>
  <w:style w:type="paragraph" w:customStyle="1" w:styleId="170">
    <w:name w:val="MSG_EN_FONT_STYLE_NAME_TEMPLATE_ROLE_NUMBER MSG_EN_FONT_STYLE_NAME_BY_ROLE_TEXT 5"/>
    <w:basedOn w:val="1"/>
    <w:link w:val="169"/>
    <w:qFormat/>
    <w:uiPriority w:val="0"/>
    <w:pPr>
      <w:shd w:val="clear" w:color="auto" w:fill="FFFFFF"/>
      <w:spacing w:before="5120" w:line="170" w:lineRule="exact"/>
      <w:jc w:val="left"/>
    </w:pPr>
    <w:rPr>
      <w:rFonts w:ascii="PMingLiU" w:hAnsi="PMingLiU" w:eastAsia="PMingLiU"/>
      <w:kern w:val="0"/>
      <w:sz w:val="17"/>
      <w:szCs w:val="17"/>
    </w:rPr>
  </w:style>
  <w:style w:type="character" w:customStyle="1" w:styleId="171">
    <w:name w:val="size style22"/>
    <w:qFormat/>
    <w:uiPriority w:val="0"/>
  </w:style>
  <w:style w:type="character" w:customStyle="1" w:styleId="172">
    <w:name w:val="Char2 Char Char"/>
    <w:qFormat/>
    <w:uiPriority w:val="0"/>
    <w:rPr>
      <w:sz w:val="18"/>
      <w:szCs w:val="18"/>
    </w:rPr>
  </w:style>
  <w:style w:type="character" w:customStyle="1" w:styleId="173">
    <w:name w:val="正文文本 (6)_"/>
    <w:link w:val="174"/>
    <w:qFormat/>
    <w:uiPriority w:val="0"/>
    <w:rPr>
      <w:rFonts w:ascii="MingLiU" w:hAnsi="MingLiU" w:eastAsia="MingLiU" w:cs="MingLiU"/>
      <w:sz w:val="19"/>
      <w:szCs w:val="19"/>
      <w:shd w:val="clear" w:color="auto" w:fill="FFFFFF"/>
    </w:rPr>
  </w:style>
  <w:style w:type="paragraph" w:customStyle="1" w:styleId="174">
    <w:name w:val="正文文本 (6)"/>
    <w:basedOn w:val="1"/>
    <w:link w:val="173"/>
    <w:qFormat/>
    <w:uiPriority w:val="0"/>
    <w:pPr>
      <w:shd w:val="clear" w:color="auto" w:fill="FFFFFF"/>
      <w:spacing w:before="120" w:after="240" w:line="0" w:lineRule="atLeast"/>
      <w:jc w:val="center"/>
    </w:pPr>
    <w:rPr>
      <w:rFonts w:ascii="MingLiU" w:hAnsi="MingLiU" w:eastAsia="MingLiU"/>
      <w:kern w:val="0"/>
      <w:sz w:val="19"/>
      <w:szCs w:val="19"/>
    </w:rPr>
  </w:style>
  <w:style w:type="character" w:customStyle="1" w:styleId="175">
    <w:name w:val="正文文本 (6) Exact"/>
    <w:qFormat/>
    <w:uiPriority w:val="0"/>
    <w:rPr>
      <w:rFonts w:ascii="MingLiU" w:hAnsi="MingLiU" w:eastAsia="MingLiU" w:cs="MingLiU"/>
      <w:sz w:val="19"/>
      <w:szCs w:val="19"/>
      <w:u w:val="none"/>
    </w:rPr>
  </w:style>
  <w:style w:type="character" w:customStyle="1" w:styleId="176">
    <w:name w:val="正文文本 (2) Exact"/>
    <w:qFormat/>
    <w:uiPriority w:val="0"/>
    <w:rPr>
      <w:rFonts w:ascii="MingLiU" w:hAnsi="MingLiU" w:eastAsia="MingLiU" w:cs="MingLiU"/>
      <w:sz w:val="22"/>
      <w:szCs w:val="22"/>
      <w:u w:val="none"/>
      <w:lang w:val="en-US" w:eastAsia="en-US" w:bidi="en-US"/>
    </w:rPr>
  </w:style>
  <w:style w:type="character" w:customStyle="1" w:styleId="177">
    <w:name w:val="正文文本 (2) + 9.5 pt"/>
    <w:qFormat/>
    <w:uiPriority w:val="0"/>
    <w:rPr>
      <w:rFonts w:ascii="MingLiU" w:hAnsi="MingLiU" w:eastAsia="MingLiU" w:cs="MingLiU"/>
      <w:color w:val="000000"/>
      <w:spacing w:val="0"/>
      <w:w w:val="100"/>
      <w:position w:val="0"/>
      <w:sz w:val="19"/>
      <w:szCs w:val="19"/>
      <w:shd w:val="clear" w:color="auto" w:fill="FFFFFF"/>
      <w:lang w:val="zh-TW" w:eastAsia="zh-TW" w:bidi="zh-TW"/>
    </w:rPr>
  </w:style>
  <w:style w:type="character" w:customStyle="1" w:styleId="178">
    <w:name w:val="标题 #8 (2)_"/>
    <w:link w:val="179"/>
    <w:qFormat/>
    <w:uiPriority w:val="0"/>
    <w:rPr>
      <w:rFonts w:ascii="MingLiU" w:hAnsi="MingLiU" w:eastAsia="MingLiU" w:cs="MingLiU"/>
      <w:spacing w:val="30"/>
      <w:shd w:val="clear" w:color="auto" w:fill="FFFFFF"/>
    </w:rPr>
  </w:style>
  <w:style w:type="paragraph" w:customStyle="1" w:styleId="179">
    <w:name w:val="标题 #8 (2)"/>
    <w:basedOn w:val="1"/>
    <w:link w:val="178"/>
    <w:qFormat/>
    <w:uiPriority w:val="0"/>
    <w:pPr>
      <w:shd w:val="clear" w:color="auto" w:fill="FFFFFF"/>
      <w:spacing w:after="240" w:line="0" w:lineRule="atLeast"/>
      <w:jc w:val="distribute"/>
      <w:outlineLvl w:val="7"/>
    </w:pPr>
    <w:rPr>
      <w:rFonts w:ascii="MingLiU" w:hAnsi="MingLiU" w:eastAsia="MingLiU"/>
      <w:spacing w:val="30"/>
      <w:kern w:val="0"/>
      <w:sz w:val="20"/>
      <w:szCs w:val="20"/>
    </w:rPr>
  </w:style>
  <w:style w:type="character" w:customStyle="1" w:styleId="180">
    <w:name w:val="标题 #8 (2) + 间距 0 pt"/>
    <w:qFormat/>
    <w:uiPriority w:val="0"/>
    <w:rPr>
      <w:rFonts w:ascii="MingLiU" w:hAnsi="MingLiU" w:eastAsia="MingLiU" w:cs="MingLiU"/>
      <w:color w:val="000000"/>
      <w:spacing w:val="0"/>
      <w:w w:val="100"/>
      <w:position w:val="0"/>
      <w:sz w:val="24"/>
      <w:szCs w:val="24"/>
      <w:shd w:val="clear" w:color="auto" w:fill="FFFFFF"/>
      <w:lang w:val="zh-TW" w:eastAsia="zh-TW" w:bidi="zh-TW"/>
    </w:rPr>
  </w:style>
  <w:style w:type="character" w:customStyle="1" w:styleId="181">
    <w:name w:val="表格标题 (3)_"/>
    <w:link w:val="182"/>
    <w:qFormat/>
    <w:uiPriority w:val="0"/>
    <w:rPr>
      <w:rFonts w:ascii="MingLiU" w:hAnsi="MingLiU" w:eastAsia="MingLiU" w:cs="MingLiU"/>
      <w:sz w:val="19"/>
      <w:szCs w:val="19"/>
      <w:shd w:val="clear" w:color="auto" w:fill="FFFFFF"/>
    </w:rPr>
  </w:style>
  <w:style w:type="paragraph" w:customStyle="1" w:styleId="182">
    <w:name w:val="表格标题 (3)"/>
    <w:basedOn w:val="1"/>
    <w:link w:val="181"/>
    <w:qFormat/>
    <w:uiPriority w:val="0"/>
    <w:pPr>
      <w:shd w:val="clear" w:color="auto" w:fill="FFFFFF"/>
      <w:spacing w:line="0" w:lineRule="atLeast"/>
      <w:jc w:val="left"/>
    </w:pPr>
    <w:rPr>
      <w:rFonts w:ascii="MingLiU" w:hAnsi="MingLiU" w:eastAsia="MingLiU"/>
      <w:kern w:val="0"/>
      <w:sz w:val="19"/>
      <w:szCs w:val="19"/>
    </w:rPr>
  </w:style>
  <w:style w:type="character" w:customStyle="1" w:styleId="183">
    <w:name w:val="正文文本 (2) + 10 pt"/>
    <w:qFormat/>
    <w:uiPriority w:val="99"/>
    <w:rPr>
      <w:rFonts w:ascii="MingLiU" w:hAnsi="MingLiU" w:eastAsia="MingLiU" w:cs="MingLiU"/>
      <w:b/>
      <w:bCs/>
      <w:color w:val="000000"/>
      <w:spacing w:val="0"/>
      <w:w w:val="100"/>
      <w:position w:val="0"/>
      <w:sz w:val="20"/>
      <w:szCs w:val="20"/>
      <w:u w:val="none"/>
      <w:lang w:val="zh-TW" w:eastAsia="zh-TW" w:bidi="zh-TW"/>
    </w:rPr>
  </w:style>
  <w:style w:type="character" w:customStyle="1" w:styleId="184">
    <w:name w:val="正文文本 (2) + 9 pt"/>
    <w:qFormat/>
    <w:uiPriority w:val="0"/>
    <w:rPr>
      <w:rFonts w:ascii="MingLiU" w:hAnsi="MingLiU" w:eastAsia="MingLiU" w:cs="MingLiU"/>
      <w:color w:val="000000"/>
      <w:spacing w:val="0"/>
      <w:w w:val="100"/>
      <w:position w:val="0"/>
      <w:sz w:val="18"/>
      <w:szCs w:val="18"/>
      <w:u w:val="none"/>
      <w:shd w:val="clear" w:color="auto" w:fill="FFFFFF"/>
      <w:lang w:val="en-US" w:eastAsia="en-US" w:bidi="en-US"/>
    </w:rPr>
  </w:style>
  <w:style w:type="character" w:customStyle="1" w:styleId="185">
    <w:name w:val="正文文本 (2) + CordiaUPC"/>
    <w:qFormat/>
    <w:uiPriority w:val="0"/>
    <w:rPr>
      <w:rFonts w:ascii="CordiaUPC" w:hAnsi="CordiaUPC" w:eastAsia="CordiaUPC" w:cs="CordiaUPC"/>
      <w:color w:val="000000"/>
      <w:spacing w:val="0"/>
      <w:w w:val="100"/>
      <w:position w:val="0"/>
      <w:sz w:val="26"/>
      <w:szCs w:val="26"/>
      <w:u w:val="none"/>
      <w:shd w:val="clear" w:color="auto" w:fill="FFFFFF"/>
      <w:lang w:val="en-US" w:eastAsia="en-US" w:bidi="en-US"/>
    </w:rPr>
  </w:style>
  <w:style w:type="character" w:customStyle="1" w:styleId="186">
    <w:name w:val="正文文本 (2) + 8 pt"/>
    <w:qFormat/>
    <w:uiPriority w:val="0"/>
    <w:rPr>
      <w:rFonts w:ascii="MingLiU" w:hAnsi="MingLiU" w:eastAsia="MingLiU" w:cs="MingLiU"/>
      <w:color w:val="000000"/>
      <w:spacing w:val="0"/>
      <w:w w:val="75"/>
      <w:position w:val="0"/>
      <w:sz w:val="16"/>
      <w:szCs w:val="16"/>
      <w:u w:val="none"/>
      <w:shd w:val="clear" w:color="auto" w:fill="FFFFFF"/>
      <w:lang w:val="en-US" w:eastAsia="en-US" w:bidi="en-US"/>
    </w:rPr>
  </w:style>
  <w:style w:type="character" w:customStyle="1" w:styleId="187">
    <w:name w:val="正文文本 (18)_"/>
    <w:link w:val="188"/>
    <w:qFormat/>
    <w:uiPriority w:val="0"/>
    <w:rPr>
      <w:rFonts w:ascii="MingLiU" w:hAnsi="MingLiU" w:eastAsia="MingLiU" w:cs="MingLiU"/>
      <w:spacing w:val="20"/>
      <w:sz w:val="23"/>
      <w:szCs w:val="23"/>
      <w:shd w:val="clear" w:color="auto" w:fill="FFFFFF"/>
    </w:rPr>
  </w:style>
  <w:style w:type="paragraph" w:customStyle="1" w:styleId="188">
    <w:name w:val="正文文本 (18)"/>
    <w:basedOn w:val="1"/>
    <w:link w:val="187"/>
    <w:qFormat/>
    <w:uiPriority w:val="0"/>
    <w:pPr>
      <w:shd w:val="clear" w:color="auto" w:fill="FFFFFF"/>
      <w:spacing w:line="559" w:lineRule="exact"/>
      <w:jc w:val="left"/>
    </w:pPr>
    <w:rPr>
      <w:rFonts w:ascii="MingLiU" w:hAnsi="MingLiU" w:eastAsia="MingLiU"/>
      <w:spacing w:val="20"/>
      <w:kern w:val="0"/>
      <w:sz w:val="23"/>
      <w:szCs w:val="23"/>
    </w:rPr>
  </w:style>
  <w:style w:type="character" w:customStyle="1" w:styleId="189">
    <w:name w:val="标题 #7 + 间距 1 pt"/>
    <w:qFormat/>
    <w:uiPriority w:val="0"/>
    <w:rPr>
      <w:rFonts w:ascii="MingLiU" w:hAnsi="MingLiU" w:eastAsia="MingLiU" w:cs="MingLiU"/>
      <w:color w:val="000000"/>
      <w:spacing w:val="20"/>
      <w:w w:val="100"/>
      <w:position w:val="0"/>
      <w:sz w:val="28"/>
      <w:szCs w:val="28"/>
      <w:shd w:val="clear" w:color="auto" w:fill="FFFFFF"/>
      <w:lang w:val="zh-TW" w:eastAsia="zh-TW" w:bidi="zh-TW"/>
    </w:rPr>
  </w:style>
  <w:style w:type="character" w:customStyle="1" w:styleId="190">
    <w:name w:val="正文文本 (18) + 间距 0 pt"/>
    <w:qFormat/>
    <w:uiPriority w:val="0"/>
    <w:rPr>
      <w:rFonts w:ascii="MingLiU" w:hAnsi="MingLiU" w:eastAsia="MingLiU" w:cs="MingLiU"/>
      <w:color w:val="000000"/>
      <w:spacing w:val="0"/>
      <w:w w:val="100"/>
      <w:position w:val="0"/>
      <w:sz w:val="23"/>
      <w:szCs w:val="23"/>
      <w:shd w:val="clear" w:color="auto" w:fill="FFFFFF"/>
      <w:lang w:val="zh-TW" w:eastAsia="zh-TW" w:bidi="zh-TW"/>
    </w:rPr>
  </w:style>
  <w:style w:type="character" w:customStyle="1" w:styleId="191">
    <w:name w:val="标题 #8 + 间距 0 pt"/>
    <w:qFormat/>
    <w:uiPriority w:val="0"/>
    <w:rPr>
      <w:rFonts w:ascii="MingLiU" w:hAnsi="MingLiU" w:eastAsia="MingLiU" w:cs="MingLiU"/>
      <w:color w:val="000000"/>
      <w:spacing w:val="0"/>
      <w:w w:val="100"/>
      <w:position w:val="0"/>
      <w:sz w:val="23"/>
      <w:szCs w:val="23"/>
      <w:shd w:val="clear" w:color="auto" w:fill="FFFFFF"/>
      <w:lang w:val="zh-TW" w:eastAsia="zh-TW" w:bidi="zh-TW"/>
    </w:rPr>
  </w:style>
  <w:style w:type="character" w:customStyle="1" w:styleId="192">
    <w:name w:val="正文文本 Char1"/>
    <w:link w:val="17"/>
    <w:qFormat/>
    <w:uiPriority w:val="1"/>
    <w:rPr>
      <w:kern w:val="2"/>
      <w:sz w:val="28"/>
      <w:szCs w:val="24"/>
    </w:rPr>
  </w:style>
  <w:style w:type="character" w:customStyle="1" w:styleId="193">
    <w:name w:val="页眉或页脚_"/>
    <w:qFormat/>
    <w:uiPriority w:val="0"/>
    <w:rPr>
      <w:rFonts w:ascii="MingLiU" w:hAnsi="MingLiU" w:eastAsia="MingLiU" w:cs="MingLiU"/>
      <w:b/>
      <w:bCs/>
      <w:sz w:val="20"/>
      <w:szCs w:val="20"/>
      <w:u w:val="none"/>
    </w:rPr>
  </w:style>
  <w:style w:type="character" w:customStyle="1" w:styleId="194">
    <w:name w:val="页眉或页脚"/>
    <w:qFormat/>
    <w:uiPriority w:val="0"/>
    <w:rPr>
      <w:rFonts w:ascii="MingLiU" w:hAnsi="MingLiU" w:eastAsia="MingLiU" w:cs="MingLiU"/>
      <w:b/>
      <w:bCs/>
      <w:color w:val="000000"/>
      <w:spacing w:val="0"/>
      <w:w w:val="100"/>
      <w:position w:val="0"/>
      <w:sz w:val="20"/>
      <w:szCs w:val="20"/>
      <w:u w:val="none"/>
      <w:lang w:val="zh-TW" w:eastAsia="zh-TW" w:bidi="zh-TW"/>
    </w:rPr>
  </w:style>
  <w:style w:type="character" w:customStyle="1" w:styleId="195">
    <w:name w:val="标题 #7_"/>
    <w:link w:val="163"/>
    <w:qFormat/>
    <w:uiPriority w:val="0"/>
    <w:rPr>
      <w:rFonts w:ascii="宋体" w:hAnsi="宋体" w:cs="宋体"/>
      <w:color w:val="000000"/>
      <w:sz w:val="24"/>
      <w:szCs w:val="24"/>
      <w:shd w:val="clear" w:color="auto" w:fill="FFFFFF"/>
    </w:rPr>
  </w:style>
  <w:style w:type="character" w:customStyle="1" w:styleId="196">
    <w:name w:val="标题 #8_"/>
    <w:link w:val="197"/>
    <w:qFormat/>
    <w:uiPriority w:val="0"/>
    <w:rPr>
      <w:rFonts w:ascii="MingLiU" w:hAnsi="MingLiU" w:eastAsia="MingLiU" w:cs="MingLiU"/>
      <w:spacing w:val="20"/>
      <w:sz w:val="23"/>
      <w:szCs w:val="23"/>
      <w:shd w:val="clear" w:color="auto" w:fill="FFFFFF"/>
    </w:rPr>
  </w:style>
  <w:style w:type="paragraph" w:customStyle="1" w:styleId="197">
    <w:name w:val="标题 #8"/>
    <w:basedOn w:val="1"/>
    <w:link w:val="196"/>
    <w:qFormat/>
    <w:uiPriority w:val="0"/>
    <w:pPr>
      <w:shd w:val="clear" w:color="auto" w:fill="FFFFFF"/>
      <w:spacing w:before="120" w:after="420" w:line="0" w:lineRule="atLeast"/>
      <w:jc w:val="left"/>
      <w:outlineLvl w:val="7"/>
    </w:pPr>
    <w:rPr>
      <w:rFonts w:ascii="MingLiU" w:hAnsi="MingLiU" w:eastAsia="MingLiU"/>
      <w:spacing w:val="20"/>
      <w:kern w:val="0"/>
      <w:sz w:val="23"/>
      <w:szCs w:val="23"/>
    </w:rPr>
  </w:style>
  <w:style w:type="character" w:customStyle="1" w:styleId="198">
    <w:name w:val="标题 #2 + 间距 3 pt"/>
    <w:qFormat/>
    <w:uiPriority w:val="0"/>
    <w:rPr>
      <w:rFonts w:ascii="MingLiU" w:hAnsi="MingLiU" w:eastAsia="MingLiU" w:cs="MingLiU"/>
      <w:color w:val="000000"/>
      <w:spacing w:val="70"/>
      <w:w w:val="100"/>
      <w:position w:val="0"/>
      <w:sz w:val="56"/>
      <w:szCs w:val="56"/>
      <w:u w:val="none"/>
      <w:lang w:val="zh-TW" w:eastAsia="zh-TW" w:bidi="zh-TW"/>
    </w:rPr>
  </w:style>
  <w:style w:type="character" w:customStyle="1" w:styleId="199">
    <w:name w:val="正文文本 (8)_"/>
    <w:link w:val="200"/>
    <w:qFormat/>
    <w:uiPriority w:val="0"/>
    <w:rPr>
      <w:rFonts w:ascii="MingLiU" w:hAnsi="MingLiU" w:eastAsia="MingLiU" w:cs="MingLiU"/>
      <w:spacing w:val="90"/>
      <w:sz w:val="28"/>
      <w:szCs w:val="28"/>
      <w:shd w:val="clear" w:color="auto" w:fill="FFFFFF"/>
    </w:rPr>
  </w:style>
  <w:style w:type="paragraph" w:customStyle="1" w:styleId="200">
    <w:name w:val="正文文本 (8)"/>
    <w:basedOn w:val="1"/>
    <w:link w:val="199"/>
    <w:qFormat/>
    <w:uiPriority w:val="0"/>
    <w:pPr>
      <w:shd w:val="clear" w:color="auto" w:fill="FFFFFF"/>
      <w:spacing w:before="900" w:line="600" w:lineRule="exact"/>
      <w:ind w:hanging="1800"/>
      <w:jc w:val="distribute"/>
    </w:pPr>
    <w:rPr>
      <w:rFonts w:ascii="MingLiU" w:hAnsi="MingLiU" w:eastAsia="MingLiU"/>
      <w:spacing w:val="90"/>
      <w:kern w:val="0"/>
      <w:sz w:val="28"/>
      <w:szCs w:val="28"/>
    </w:rPr>
  </w:style>
  <w:style w:type="character" w:customStyle="1" w:styleId="201">
    <w:name w:val="标题 #7 + 间距 0 pt"/>
    <w:qFormat/>
    <w:uiPriority w:val="0"/>
    <w:rPr>
      <w:rFonts w:ascii="MingLiU" w:hAnsi="MingLiU" w:eastAsia="MingLiU" w:cs="MingLiU"/>
      <w:color w:val="000000"/>
      <w:spacing w:val="0"/>
      <w:w w:val="100"/>
      <w:position w:val="0"/>
      <w:sz w:val="28"/>
      <w:szCs w:val="28"/>
      <w:u w:val="none"/>
      <w:shd w:val="clear" w:color="auto" w:fill="FFFFFF"/>
      <w:lang w:val="zh-TW" w:eastAsia="zh-TW" w:bidi="zh-TW"/>
    </w:rPr>
  </w:style>
  <w:style w:type="character" w:customStyle="1" w:styleId="202">
    <w:name w:val="正文文本 (2) + 间距 2 pt"/>
    <w:qFormat/>
    <w:uiPriority w:val="0"/>
    <w:rPr>
      <w:rFonts w:ascii="MingLiU" w:hAnsi="MingLiU" w:eastAsia="MingLiU" w:cs="MingLiU"/>
      <w:color w:val="000000"/>
      <w:spacing w:val="40"/>
      <w:w w:val="100"/>
      <w:position w:val="0"/>
      <w:sz w:val="22"/>
      <w:szCs w:val="22"/>
      <w:u w:val="none"/>
      <w:shd w:val="clear" w:color="auto" w:fill="FFFFFF"/>
      <w:lang w:val="zh-TW" w:eastAsia="zh-TW" w:bidi="zh-TW"/>
    </w:rPr>
  </w:style>
  <w:style w:type="character" w:customStyle="1" w:styleId="203">
    <w:name w:val="标题 #5 (2)_"/>
    <w:link w:val="204"/>
    <w:qFormat/>
    <w:uiPriority w:val="0"/>
    <w:rPr>
      <w:rFonts w:ascii="MingLiU" w:hAnsi="MingLiU" w:eastAsia="MingLiU" w:cs="MingLiU"/>
      <w:sz w:val="32"/>
      <w:szCs w:val="32"/>
      <w:shd w:val="clear" w:color="auto" w:fill="FFFFFF"/>
    </w:rPr>
  </w:style>
  <w:style w:type="paragraph" w:customStyle="1" w:styleId="204">
    <w:name w:val="标题 #5 (2)"/>
    <w:basedOn w:val="1"/>
    <w:link w:val="203"/>
    <w:qFormat/>
    <w:uiPriority w:val="0"/>
    <w:pPr>
      <w:shd w:val="clear" w:color="auto" w:fill="FFFFFF"/>
      <w:spacing w:line="0" w:lineRule="atLeast"/>
      <w:jc w:val="center"/>
      <w:outlineLvl w:val="4"/>
    </w:pPr>
    <w:rPr>
      <w:rFonts w:ascii="MingLiU" w:hAnsi="MingLiU" w:eastAsia="MingLiU"/>
      <w:kern w:val="0"/>
      <w:sz w:val="32"/>
      <w:szCs w:val="32"/>
    </w:rPr>
  </w:style>
  <w:style w:type="character" w:customStyle="1" w:styleId="205">
    <w:name w:val="正文文本 (20)_"/>
    <w:link w:val="206"/>
    <w:qFormat/>
    <w:uiPriority w:val="0"/>
    <w:rPr>
      <w:rFonts w:ascii="MingLiU" w:hAnsi="MingLiU" w:eastAsia="MingLiU" w:cs="MingLiU"/>
      <w:sz w:val="26"/>
      <w:szCs w:val="26"/>
      <w:shd w:val="clear" w:color="auto" w:fill="FFFFFF"/>
    </w:rPr>
  </w:style>
  <w:style w:type="paragraph" w:customStyle="1" w:styleId="206">
    <w:name w:val="正文文本 (20)"/>
    <w:basedOn w:val="1"/>
    <w:link w:val="205"/>
    <w:qFormat/>
    <w:uiPriority w:val="0"/>
    <w:pPr>
      <w:shd w:val="clear" w:color="auto" w:fill="FFFFFF"/>
      <w:spacing w:before="300" w:after="300" w:line="0" w:lineRule="atLeast"/>
    </w:pPr>
    <w:rPr>
      <w:rFonts w:ascii="MingLiU" w:hAnsi="MingLiU" w:eastAsia="MingLiU"/>
      <w:kern w:val="0"/>
      <w:sz w:val="26"/>
      <w:szCs w:val="26"/>
    </w:rPr>
  </w:style>
  <w:style w:type="character" w:customStyle="1" w:styleId="207">
    <w:name w:val="正文文本 (21)_"/>
    <w:link w:val="208"/>
    <w:qFormat/>
    <w:uiPriority w:val="0"/>
    <w:rPr>
      <w:rFonts w:ascii="MingLiU" w:hAnsi="MingLiU" w:eastAsia="MingLiU" w:cs="MingLiU"/>
      <w:spacing w:val="40"/>
      <w:szCs w:val="21"/>
      <w:shd w:val="clear" w:color="auto" w:fill="FFFFFF"/>
    </w:rPr>
  </w:style>
  <w:style w:type="paragraph" w:customStyle="1" w:styleId="208">
    <w:name w:val="正文文本 (21)"/>
    <w:basedOn w:val="1"/>
    <w:link w:val="207"/>
    <w:qFormat/>
    <w:uiPriority w:val="0"/>
    <w:pPr>
      <w:shd w:val="clear" w:color="auto" w:fill="FFFFFF"/>
      <w:spacing w:line="480" w:lineRule="exact"/>
      <w:ind w:firstLine="520"/>
      <w:jc w:val="distribute"/>
    </w:pPr>
    <w:rPr>
      <w:rFonts w:ascii="MingLiU" w:hAnsi="MingLiU" w:eastAsia="MingLiU"/>
      <w:spacing w:val="40"/>
      <w:kern w:val="0"/>
      <w:sz w:val="20"/>
      <w:szCs w:val="21"/>
    </w:rPr>
  </w:style>
  <w:style w:type="character" w:customStyle="1" w:styleId="209">
    <w:name w:val="标题 #7 (3)_"/>
    <w:link w:val="210"/>
    <w:qFormat/>
    <w:uiPriority w:val="0"/>
    <w:rPr>
      <w:rFonts w:ascii="MingLiU" w:hAnsi="MingLiU" w:eastAsia="MingLiU" w:cs="MingLiU"/>
      <w:sz w:val="26"/>
      <w:szCs w:val="26"/>
      <w:shd w:val="clear" w:color="auto" w:fill="FFFFFF"/>
    </w:rPr>
  </w:style>
  <w:style w:type="paragraph" w:customStyle="1" w:styleId="210">
    <w:name w:val="标题 #7 (3)"/>
    <w:basedOn w:val="1"/>
    <w:link w:val="209"/>
    <w:qFormat/>
    <w:uiPriority w:val="0"/>
    <w:pPr>
      <w:shd w:val="clear" w:color="auto" w:fill="FFFFFF"/>
      <w:spacing w:before="60" w:after="300" w:line="0" w:lineRule="atLeast"/>
      <w:jc w:val="left"/>
      <w:outlineLvl w:val="6"/>
    </w:pPr>
    <w:rPr>
      <w:rFonts w:ascii="MingLiU" w:hAnsi="MingLiU" w:eastAsia="MingLiU"/>
      <w:kern w:val="0"/>
      <w:sz w:val="26"/>
      <w:szCs w:val="26"/>
    </w:rPr>
  </w:style>
  <w:style w:type="character" w:customStyle="1" w:styleId="211">
    <w:name w:val="标题 #7 (4)_"/>
    <w:link w:val="212"/>
    <w:qFormat/>
    <w:uiPriority w:val="0"/>
    <w:rPr>
      <w:rFonts w:ascii="MingLiU" w:hAnsi="MingLiU" w:eastAsia="MingLiU" w:cs="MingLiU"/>
      <w:sz w:val="26"/>
      <w:szCs w:val="26"/>
      <w:shd w:val="clear" w:color="auto" w:fill="FFFFFF"/>
    </w:rPr>
  </w:style>
  <w:style w:type="paragraph" w:customStyle="1" w:styleId="212">
    <w:name w:val="标题 #7 (4)"/>
    <w:basedOn w:val="1"/>
    <w:link w:val="211"/>
    <w:qFormat/>
    <w:uiPriority w:val="0"/>
    <w:pPr>
      <w:shd w:val="clear" w:color="auto" w:fill="FFFFFF"/>
      <w:spacing w:before="60" w:after="300" w:line="0" w:lineRule="atLeast"/>
      <w:jc w:val="left"/>
      <w:outlineLvl w:val="6"/>
    </w:pPr>
    <w:rPr>
      <w:rFonts w:ascii="MingLiU" w:hAnsi="MingLiU" w:eastAsia="MingLiU"/>
      <w:kern w:val="0"/>
      <w:sz w:val="26"/>
      <w:szCs w:val="26"/>
    </w:rPr>
  </w:style>
  <w:style w:type="character" w:customStyle="1" w:styleId="213">
    <w:name w:val="标题 #7 (3) + 间距 1 pt"/>
    <w:qFormat/>
    <w:uiPriority w:val="0"/>
    <w:rPr>
      <w:rFonts w:ascii="MingLiU" w:hAnsi="MingLiU" w:eastAsia="MingLiU" w:cs="MingLiU"/>
      <w:color w:val="000000"/>
      <w:spacing w:val="20"/>
      <w:w w:val="100"/>
      <w:position w:val="0"/>
      <w:sz w:val="26"/>
      <w:szCs w:val="26"/>
      <w:shd w:val="clear" w:color="auto" w:fill="FFFFFF"/>
      <w:lang w:val="zh-TW" w:eastAsia="zh-TW" w:bidi="zh-TW"/>
    </w:rPr>
  </w:style>
  <w:style w:type="character" w:customStyle="1" w:styleId="214">
    <w:name w:val="正文文本 (8) + 间距 0 pt"/>
    <w:qFormat/>
    <w:uiPriority w:val="0"/>
    <w:rPr>
      <w:rFonts w:ascii="MingLiU" w:hAnsi="MingLiU" w:eastAsia="MingLiU" w:cs="MingLiU"/>
      <w:color w:val="000000"/>
      <w:spacing w:val="0"/>
      <w:w w:val="100"/>
      <w:position w:val="0"/>
      <w:sz w:val="28"/>
      <w:szCs w:val="28"/>
      <w:shd w:val="clear" w:color="auto" w:fill="FFFFFF"/>
      <w:lang w:val="zh-TW" w:eastAsia="zh-TW" w:bidi="zh-TW"/>
    </w:rPr>
  </w:style>
  <w:style w:type="character" w:customStyle="1" w:styleId="215">
    <w:name w:val="标题 #5 (2) + 间距 2 pt"/>
    <w:qFormat/>
    <w:uiPriority w:val="0"/>
    <w:rPr>
      <w:rFonts w:ascii="MingLiU" w:hAnsi="MingLiU" w:eastAsia="MingLiU" w:cs="MingLiU"/>
      <w:color w:val="000000"/>
      <w:spacing w:val="40"/>
      <w:w w:val="100"/>
      <w:position w:val="0"/>
      <w:sz w:val="32"/>
      <w:szCs w:val="32"/>
      <w:u w:val="none"/>
      <w:shd w:val="clear" w:color="auto" w:fill="FFFFFF"/>
      <w:lang w:val="zh-TW" w:eastAsia="zh-TW" w:bidi="zh-TW"/>
    </w:rPr>
  </w:style>
  <w:style w:type="character" w:customStyle="1" w:styleId="216">
    <w:name w:val="目录 2 Char"/>
    <w:link w:val="35"/>
    <w:qFormat/>
    <w:uiPriority w:val="0"/>
    <w:rPr>
      <w:smallCaps/>
      <w:kern w:val="2"/>
    </w:rPr>
  </w:style>
  <w:style w:type="character" w:customStyle="1" w:styleId="217">
    <w:name w:val="目录 (6)_"/>
    <w:link w:val="218"/>
    <w:qFormat/>
    <w:uiPriority w:val="0"/>
    <w:rPr>
      <w:rFonts w:ascii="MingLiU" w:hAnsi="MingLiU" w:eastAsia="MingLiU" w:cs="MingLiU"/>
      <w:sz w:val="23"/>
      <w:szCs w:val="23"/>
      <w:shd w:val="clear" w:color="auto" w:fill="FFFFFF"/>
    </w:rPr>
  </w:style>
  <w:style w:type="paragraph" w:customStyle="1" w:styleId="218">
    <w:name w:val="目录 (6)"/>
    <w:basedOn w:val="1"/>
    <w:link w:val="217"/>
    <w:qFormat/>
    <w:uiPriority w:val="0"/>
    <w:pPr>
      <w:shd w:val="clear" w:color="auto" w:fill="FFFFFF"/>
      <w:spacing w:line="478" w:lineRule="exact"/>
      <w:jc w:val="distribute"/>
    </w:pPr>
    <w:rPr>
      <w:rFonts w:ascii="MingLiU" w:hAnsi="MingLiU" w:eastAsia="MingLiU"/>
      <w:kern w:val="0"/>
      <w:sz w:val="23"/>
      <w:szCs w:val="23"/>
    </w:rPr>
  </w:style>
  <w:style w:type="character" w:customStyle="1" w:styleId="219">
    <w:name w:val="目录 (2) + 11.5 pt"/>
    <w:qFormat/>
    <w:uiPriority w:val="0"/>
    <w:rPr>
      <w:rFonts w:ascii="宋体" w:hAnsi="宋体" w:eastAsia="宋体" w:cs="MingLiU"/>
      <w:color w:val="000000"/>
      <w:spacing w:val="0"/>
      <w:w w:val="100"/>
      <w:position w:val="0"/>
      <w:sz w:val="23"/>
      <w:szCs w:val="23"/>
      <w:lang w:val="zh-TW" w:eastAsia="zh-TW" w:bidi="zh-TW"/>
    </w:rPr>
  </w:style>
  <w:style w:type="character" w:customStyle="1" w:styleId="220">
    <w:name w:val="目录 (7)_"/>
    <w:link w:val="221"/>
    <w:qFormat/>
    <w:uiPriority w:val="0"/>
    <w:rPr>
      <w:rFonts w:ascii="MingLiU" w:hAnsi="MingLiU" w:eastAsia="MingLiU" w:cs="MingLiU"/>
      <w:sz w:val="26"/>
      <w:szCs w:val="26"/>
      <w:shd w:val="clear" w:color="auto" w:fill="FFFFFF"/>
    </w:rPr>
  </w:style>
  <w:style w:type="paragraph" w:customStyle="1" w:styleId="221">
    <w:name w:val="目录 (7)"/>
    <w:basedOn w:val="1"/>
    <w:link w:val="220"/>
    <w:qFormat/>
    <w:uiPriority w:val="0"/>
    <w:pPr>
      <w:shd w:val="clear" w:color="auto" w:fill="FFFFFF"/>
      <w:spacing w:before="300" w:line="576" w:lineRule="exact"/>
      <w:ind w:hanging="520"/>
      <w:jc w:val="left"/>
    </w:pPr>
    <w:rPr>
      <w:rFonts w:ascii="MingLiU" w:hAnsi="MingLiU" w:eastAsia="MingLiU"/>
      <w:kern w:val="0"/>
      <w:sz w:val="26"/>
      <w:szCs w:val="26"/>
    </w:rPr>
  </w:style>
  <w:style w:type="character" w:customStyle="1" w:styleId="222">
    <w:name w:val="目录 (7) + 11.5 pt"/>
    <w:qFormat/>
    <w:uiPriority w:val="0"/>
    <w:rPr>
      <w:rFonts w:ascii="MingLiU" w:hAnsi="MingLiU" w:eastAsia="MingLiU" w:cs="MingLiU"/>
      <w:color w:val="000000"/>
      <w:spacing w:val="0"/>
      <w:w w:val="100"/>
      <w:position w:val="0"/>
      <w:sz w:val="23"/>
      <w:szCs w:val="23"/>
      <w:shd w:val="clear" w:color="auto" w:fill="FFFFFF"/>
      <w:lang w:val="zh-TW" w:eastAsia="zh-TW" w:bidi="zh-TW"/>
    </w:rPr>
  </w:style>
  <w:style w:type="character" w:customStyle="1" w:styleId="223">
    <w:name w:val="正文文本 (7)_"/>
    <w:qFormat/>
    <w:uiPriority w:val="0"/>
    <w:rPr>
      <w:rFonts w:ascii="MingLiU" w:hAnsi="MingLiU" w:eastAsia="MingLiU" w:cs="MingLiU"/>
      <w:u w:val="none"/>
    </w:rPr>
  </w:style>
  <w:style w:type="character" w:customStyle="1" w:styleId="224">
    <w:name w:val="正文文本 (9)_"/>
    <w:link w:val="225"/>
    <w:qFormat/>
    <w:uiPriority w:val="0"/>
    <w:rPr>
      <w:rFonts w:ascii="MingLiU" w:hAnsi="MingLiU" w:eastAsia="MingLiU" w:cs="MingLiU"/>
      <w:shd w:val="clear" w:color="auto" w:fill="FFFFFF"/>
    </w:rPr>
  </w:style>
  <w:style w:type="paragraph" w:customStyle="1" w:styleId="225">
    <w:name w:val="正文文本 (9)"/>
    <w:basedOn w:val="1"/>
    <w:link w:val="224"/>
    <w:qFormat/>
    <w:uiPriority w:val="0"/>
    <w:pPr>
      <w:shd w:val="clear" w:color="auto" w:fill="FFFFFF"/>
      <w:spacing w:before="600" w:line="451" w:lineRule="exact"/>
      <w:jc w:val="distribute"/>
    </w:pPr>
    <w:rPr>
      <w:rFonts w:ascii="MingLiU" w:hAnsi="MingLiU" w:eastAsia="MingLiU"/>
      <w:kern w:val="0"/>
      <w:sz w:val="20"/>
      <w:szCs w:val="20"/>
    </w:rPr>
  </w:style>
  <w:style w:type="character" w:customStyle="1" w:styleId="226">
    <w:name w:val="标题 #6_"/>
    <w:link w:val="227"/>
    <w:qFormat/>
    <w:uiPriority w:val="0"/>
    <w:rPr>
      <w:rFonts w:ascii="MingLiU" w:hAnsi="MingLiU" w:eastAsia="MingLiU" w:cs="MingLiU"/>
      <w:sz w:val="28"/>
      <w:szCs w:val="28"/>
      <w:shd w:val="clear" w:color="auto" w:fill="FFFFFF"/>
    </w:rPr>
  </w:style>
  <w:style w:type="paragraph" w:customStyle="1" w:styleId="227">
    <w:name w:val="标题 #6"/>
    <w:basedOn w:val="1"/>
    <w:link w:val="226"/>
    <w:qFormat/>
    <w:uiPriority w:val="0"/>
    <w:pPr>
      <w:shd w:val="clear" w:color="auto" w:fill="FFFFFF"/>
      <w:spacing w:before="720" w:after="420" w:line="0" w:lineRule="atLeast"/>
      <w:jc w:val="distribute"/>
      <w:outlineLvl w:val="5"/>
    </w:pPr>
    <w:rPr>
      <w:rFonts w:ascii="MingLiU" w:hAnsi="MingLiU" w:eastAsia="MingLiU"/>
      <w:kern w:val="0"/>
      <w:sz w:val="28"/>
      <w:szCs w:val="28"/>
    </w:rPr>
  </w:style>
  <w:style w:type="character" w:customStyle="1" w:styleId="228">
    <w:name w:val="正文文本 (14)_"/>
    <w:link w:val="229"/>
    <w:qFormat/>
    <w:uiPriority w:val="0"/>
    <w:rPr>
      <w:rFonts w:ascii="MingLiU" w:hAnsi="MingLiU" w:eastAsia="MingLiU" w:cs="MingLiU"/>
      <w:sz w:val="17"/>
      <w:szCs w:val="17"/>
      <w:shd w:val="clear" w:color="auto" w:fill="FFFFFF"/>
    </w:rPr>
  </w:style>
  <w:style w:type="paragraph" w:customStyle="1" w:styleId="229">
    <w:name w:val="正文文本 (14)"/>
    <w:basedOn w:val="1"/>
    <w:link w:val="228"/>
    <w:qFormat/>
    <w:uiPriority w:val="0"/>
    <w:pPr>
      <w:shd w:val="clear" w:color="auto" w:fill="FFFFFF"/>
      <w:spacing w:before="600" w:line="319" w:lineRule="exact"/>
      <w:jc w:val="distribute"/>
    </w:pPr>
    <w:rPr>
      <w:rFonts w:ascii="MingLiU" w:hAnsi="MingLiU" w:eastAsia="MingLiU"/>
      <w:kern w:val="0"/>
      <w:sz w:val="17"/>
      <w:szCs w:val="17"/>
    </w:rPr>
  </w:style>
  <w:style w:type="character" w:customStyle="1" w:styleId="230">
    <w:name w:val="正文文本 (14) Exact"/>
    <w:qFormat/>
    <w:uiPriority w:val="0"/>
    <w:rPr>
      <w:rFonts w:ascii="MingLiU" w:hAnsi="MingLiU" w:eastAsia="MingLiU" w:cs="MingLiU"/>
      <w:sz w:val="17"/>
      <w:szCs w:val="17"/>
      <w:u w:val="none"/>
    </w:rPr>
  </w:style>
  <w:style w:type="character" w:customStyle="1" w:styleId="231">
    <w:name w:val="正文文本 (2) + 间距 6 pt"/>
    <w:qFormat/>
    <w:uiPriority w:val="0"/>
    <w:rPr>
      <w:rFonts w:ascii="MingLiU" w:hAnsi="MingLiU" w:eastAsia="MingLiU" w:cs="MingLiU"/>
      <w:color w:val="000000"/>
      <w:spacing w:val="130"/>
      <w:w w:val="100"/>
      <w:position w:val="0"/>
      <w:sz w:val="22"/>
      <w:szCs w:val="22"/>
      <w:u w:val="none"/>
      <w:shd w:val="clear" w:color="auto" w:fill="FFFFFF"/>
      <w:lang w:val="zh-TW" w:eastAsia="zh-TW" w:bidi="zh-TW"/>
    </w:rPr>
  </w:style>
  <w:style w:type="character" w:customStyle="1" w:styleId="232">
    <w:name w:val="目录 (2) + 间距 3 pt"/>
    <w:qFormat/>
    <w:uiPriority w:val="0"/>
    <w:rPr>
      <w:rFonts w:ascii="宋体" w:hAnsi="宋体" w:eastAsia="宋体" w:cs="MingLiU"/>
      <w:color w:val="000000"/>
      <w:spacing w:val="60"/>
      <w:w w:val="100"/>
      <w:position w:val="0"/>
      <w:szCs w:val="22"/>
      <w:u w:val="none"/>
      <w:lang w:val="zh-TW" w:eastAsia="zh-TW" w:bidi="zh-TW"/>
    </w:rPr>
  </w:style>
  <w:style w:type="character" w:customStyle="1" w:styleId="233">
    <w:name w:val="正文文本 (2) + 11.5 pt"/>
    <w:qFormat/>
    <w:uiPriority w:val="0"/>
    <w:rPr>
      <w:rFonts w:ascii="MingLiU" w:hAnsi="MingLiU" w:eastAsia="MingLiU" w:cs="MingLiU"/>
      <w:color w:val="000000"/>
      <w:spacing w:val="0"/>
      <w:w w:val="100"/>
      <w:position w:val="0"/>
      <w:sz w:val="23"/>
      <w:szCs w:val="23"/>
      <w:u w:val="none"/>
      <w:shd w:val="clear" w:color="auto" w:fill="FFFFFF"/>
      <w:lang w:val="zh-TW" w:eastAsia="zh-TW" w:bidi="zh-TW"/>
    </w:rPr>
  </w:style>
  <w:style w:type="character" w:customStyle="1" w:styleId="234">
    <w:name w:val="正文文本 (22)_"/>
    <w:link w:val="235"/>
    <w:qFormat/>
    <w:uiPriority w:val="0"/>
    <w:rPr>
      <w:rFonts w:ascii="MingLiU" w:hAnsi="MingLiU" w:eastAsia="MingLiU" w:cs="MingLiU"/>
      <w:spacing w:val="20"/>
      <w:sz w:val="26"/>
      <w:szCs w:val="26"/>
      <w:shd w:val="clear" w:color="auto" w:fill="FFFFFF"/>
      <w:lang w:eastAsia="en-US" w:bidi="en-US"/>
    </w:rPr>
  </w:style>
  <w:style w:type="paragraph" w:customStyle="1" w:styleId="235">
    <w:name w:val="正文文本 (22)"/>
    <w:basedOn w:val="1"/>
    <w:link w:val="234"/>
    <w:qFormat/>
    <w:uiPriority w:val="0"/>
    <w:pPr>
      <w:shd w:val="clear" w:color="auto" w:fill="FFFFFF"/>
      <w:spacing w:before="120" w:after="360" w:line="0" w:lineRule="atLeast"/>
    </w:pPr>
    <w:rPr>
      <w:rFonts w:ascii="MingLiU" w:hAnsi="MingLiU" w:eastAsia="MingLiU" w:cs="MingLiU"/>
      <w:spacing w:val="20"/>
      <w:kern w:val="0"/>
      <w:sz w:val="26"/>
      <w:szCs w:val="26"/>
      <w:lang w:eastAsia="en-US" w:bidi="en-US"/>
    </w:rPr>
  </w:style>
  <w:style w:type="character" w:customStyle="1" w:styleId="236">
    <w:name w:val="正文文本 (2) + 间距 1 pt"/>
    <w:qFormat/>
    <w:uiPriority w:val="0"/>
    <w:rPr>
      <w:rFonts w:ascii="MingLiU" w:hAnsi="MingLiU" w:eastAsia="MingLiU" w:cs="MingLiU"/>
      <w:color w:val="000000"/>
      <w:spacing w:val="30"/>
      <w:w w:val="100"/>
      <w:position w:val="0"/>
      <w:sz w:val="22"/>
      <w:szCs w:val="22"/>
      <w:u w:val="none"/>
      <w:shd w:val="clear" w:color="auto" w:fill="FFFFFF"/>
      <w:lang w:val="zh-TW" w:eastAsia="zh-TW" w:bidi="zh-TW"/>
    </w:rPr>
  </w:style>
  <w:style w:type="character" w:customStyle="1" w:styleId="237">
    <w:name w:val="标题 #7 + 间距 7 pt"/>
    <w:qFormat/>
    <w:uiPriority w:val="0"/>
    <w:rPr>
      <w:rFonts w:ascii="MingLiU" w:hAnsi="MingLiU" w:eastAsia="MingLiU" w:cs="MingLiU"/>
      <w:color w:val="000000"/>
      <w:spacing w:val="140"/>
      <w:w w:val="100"/>
      <w:position w:val="0"/>
      <w:sz w:val="28"/>
      <w:szCs w:val="28"/>
      <w:u w:val="none"/>
      <w:shd w:val="clear" w:color="auto" w:fill="FFFFFF"/>
      <w:lang w:val="zh-TW" w:eastAsia="zh-TW" w:bidi="zh-TW"/>
    </w:rPr>
  </w:style>
  <w:style w:type="character" w:customStyle="1" w:styleId="238">
    <w:name w:val="目录 (2) + 间距 5 pt"/>
    <w:qFormat/>
    <w:uiPriority w:val="0"/>
    <w:rPr>
      <w:rFonts w:ascii="宋体" w:hAnsi="宋体" w:eastAsia="宋体" w:cs="MingLiU"/>
      <w:color w:val="000000"/>
      <w:spacing w:val="100"/>
      <w:w w:val="100"/>
      <w:position w:val="0"/>
      <w:szCs w:val="22"/>
      <w:u w:val="none"/>
      <w:lang w:val="zh-TW" w:eastAsia="zh-TW" w:bidi="zh-TW"/>
    </w:rPr>
  </w:style>
  <w:style w:type="character" w:customStyle="1" w:styleId="239">
    <w:name w:val="正文文本 (23) Exact"/>
    <w:link w:val="240"/>
    <w:qFormat/>
    <w:uiPriority w:val="0"/>
    <w:rPr>
      <w:rFonts w:ascii="MingLiU" w:hAnsi="MingLiU" w:eastAsia="MingLiU" w:cs="MingLiU"/>
      <w:sz w:val="18"/>
      <w:szCs w:val="18"/>
      <w:shd w:val="clear" w:color="auto" w:fill="FFFFFF"/>
    </w:rPr>
  </w:style>
  <w:style w:type="paragraph" w:customStyle="1" w:styleId="240">
    <w:name w:val="正文文本 (23)"/>
    <w:basedOn w:val="1"/>
    <w:link w:val="239"/>
    <w:qFormat/>
    <w:uiPriority w:val="0"/>
    <w:pPr>
      <w:shd w:val="clear" w:color="auto" w:fill="FFFFFF"/>
      <w:spacing w:line="0" w:lineRule="atLeast"/>
      <w:jc w:val="left"/>
    </w:pPr>
    <w:rPr>
      <w:rFonts w:ascii="MingLiU" w:hAnsi="MingLiU" w:eastAsia="MingLiU"/>
      <w:kern w:val="0"/>
      <w:sz w:val="18"/>
      <w:szCs w:val="18"/>
    </w:rPr>
  </w:style>
  <w:style w:type="character" w:customStyle="1" w:styleId="241">
    <w:name w:val="正文文本 (24) Exact"/>
    <w:link w:val="242"/>
    <w:qFormat/>
    <w:uiPriority w:val="0"/>
    <w:rPr>
      <w:rFonts w:ascii="MingLiU" w:hAnsi="MingLiU" w:eastAsia="MingLiU" w:cs="MingLiU"/>
      <w:spacing w:val="-20"/>
      <w:sz w:val="17"/>
      <w:szCs w:val="17"/>
      <w:shd w:val="clear" w:color="auto" w:fill="FFFFFF"/>
    </w:rPr>
  </w:style>
  <w:style w:type="paragraph" w:customStyle="1" w:styleId="242">
    <w:name w:val="正文文本 (24)"/>
    <w:basedOn w:val="1"/>
    <w:link w:val="241"/>
    <w:qFormat/>
    <w:uiPriority w:val="0"/>
    <w:pPr>
      <w:shd w:val="clear" w:color="auto" w:fill="FFFFFF"/>
      <w:spacing w:line="0" w:lineRule="atLeast"/>
      <w:jc w:val="left"/>
    </w:pPr>
    <w:rPr>
      <w:rFonts w:ascii="MingLiU" w:hAnsi="MingLiU" w:eastAsia="MingLiU"/>
      <w:spacing w:val="-20"/>
      <w:kern w:val="0"/>
      <w:sz w:val="17"/>
      <w:szCs w:val="17"/>
    </w:rPr>
  </w:style>
  <w:style w:type="character" w:customStyle="1" w:styleId="243">
    <w:name w:val="正文文本 (26) Exact"/>
    <w:link w:val="244"/>
    <w:qFormat/>
    <w:uiPriority w:val="0"/>
    <w:rPr>
      <w:rFonts w:ascii="MingLiU" w:hAnsi="MingLiU" w:eastAsia="MingLiU" w:cs="MingLiU"/>
      <w:spacing w:val="-20"/>
      <w:sz w:val="17"/>
      <w:szCs w:val="17"/>
      <w:shd w:val="clear" w:color="auto" w:fill="FFFFFF"/>
    </w:rPr>
  </w:style>
  <w:style w:type="paragraph" w:customStyle="1" w:styleId="244">
    <w:name w:val="正文文本 (26)"/>
    <w:basedOn w:val="1"/>
    <w:link w:val="243"/>
    <w:qFormat/>
    <w:uiPriority w:val="0"/>
    <w:pPr>
      <w:shd w:val="clear" w:color="auto" w:fill="FFFFFF"/>
      <w:spacing w:line="0" w:lineRule="atLeast"/>
      <w:jc w:val="left"/>
    </w:pPr>
    <w:rPr>
      <w:rFonts w:ascii="MingLiU" w:hAnsi="MingLiU" w:eastAsia="MingLiU"/>
      <w:spacing w:val="-20"/>
      <w:kern w:val="0"/>
      <w:sz w:val="17"/>
      <w:szCs w:val="17"/>
    </w:rPr>
  </w:style>
  <w:style w:type="character" w:customStyle="1" w:styleId="245">
    <w:name w:val="正文文本 (2) + 间距 7 pt"/>
    <w:qFormat/>
    <w:uiPriority w:val="0"/>
    <w:rPr>
      <w:rFonts w:ascii="MingLiU" w:hAnsi="MingLiU" w:eastAsia="MingLiU" w:cs="MingLiU"/>
      <w:color w:val="000000"/>
      <w:spacing w:val="150"/>
      <w:w w:val="100"/>
      <w:position w:val="0"/>
      <w:sz w:val="22"/>
      <w:szCs w:val="22"/>
      <w:u w:val="none"/>
      <w:shd w:val="clear" w:color="auto" w:fill="FFFFFF"/>
      <w:lang w:val="zh-TW" w:eastAsia="zh-TW" w:bidi="zh-TW"/>
    </w:rPr>
  </w:style>
  <w:style w:type="character" w:customStyle="1" w:styleId="246">
    <w:name w:val="正文文本 (25)_"/>
    <w:link w:val="247"/>
    <w:qFormat/>
    <w:uiPriority w:val="0"/>
    <w:rPr>
      <w:rFonts w:ascii="MingLiU" w:hAnsi="MingLiU" w:eastAsia="MingLiU" w:cs="MingLiU"/>
      <w:sz w:val="22"/>
      <w:shd w:val="clear" w:color="auto" w:fill="FFFFFF"/>
    </w:rPr>
  </w:style>
  <w:style w:type="paragraph" w:customStyle="1" w:styleId="247">
    <w:name w:val="正文文本 (25)"/>
    <w:basedOn w:val="1"/>
    <w:link w:val="246"/>
    <w:qFormat/>
    <w:uiPriority w:val="0"/>
    <w:pPr>
      <w:shd w:val="clear" w:color="auto" w:fill="FFFFFF"/>
      <w:spacing w:after="120" w:line="0" w:lineRule="atLeast"/>
      <w:jc w:val="distribute"/>
    </w:pPr>
    <w:rPr>
      <w:rFonts w:ascii="MingLiU" w:hAnsi="MingLiU" w:eastAsia="MingLiU"/>
      <w:kern w:val="0"/>
      <w:sz w:val="22"/>
      <w:szCs w:val="20"/>
    </w:rPr>
  </w:style>
  <w:style w:type="character" w:customStyle="1" w:styleId="248">
    <w:name w:val="正文文本 (27) Exact"/>
    <w:link w:val="249"/>
    <w:qFormat/>
    <w:uiPriority w:val="0"/>
    <w:rPr>
      <w:rFonts w:ascii="MingLiU" w:hAnsi="MingLiU" w:eastAsia="MingLiU" w:cs="MingLiU"/>
      <w:spacing w:val="40"/>
      <w:sz w:val="36"/>
      <w:szCs w:val="36"/>
      <w:shd w:val="clear" w:color="auto" w:fill="FFFFFF"/>
    </w:rPr>
  </w:style>
  <w:style w:type="paragraph" w:customStyle="1" w:styleId="249">
    <w:name w:val="正文文本 (27)"/>
    <w:basedOn w:val="1"/>
    <w:link w:val="248"/>
    <w:qFormat/>
    <w:uiPriority w:val="0"/>
    <w:pPr>
      <w:shd w:val="clear" w:color="auto" w:fill="FFFFFF"/>
      <w:spacing w:line="0" w:lineRule="atLeast"/>
      <w:jc w:val="left"/>
    </w:pPr>
    <w:rPr>
      <w:rFonts w:ascii="MingLiU" w:hAnsi="MingLiU" w:eastAsia="MingLiU"/>
      <w:spacing w:val="40"/>
      <w:kern w:val="0"/>
      <w:sz w:val="36"/>
      <w:szCs w:val="36"/>
    </w:rPr>
  </w:style>
  <w:style w:type="character" w:customStyle="1" w:styleId="250">
    <w:name w:val="正文文本 (9) Exact"/>
    <w:qFormat/>
    <w:uiPriority w:val="0"/>
    <w:rPr>
      <w:rFonts w:ascii="MingLiU" w:hAnsi="MingLiU" w:eastAsia="MingLiU" w:cs="MingLiU"/>
      <w:u w:val="none"/>
    </w:rPr>
  </w:style>
  <w:style w:type="character" w:customStyle="1" w:styleId="251">
    <w:name w:val="页眉或页脚 + Times New Roman"/>
    <w:qFormat/>
    <w:uiPriority w:val="0"/>
    <w:rPr>
      <w:rFonts w:ascii="Times New Roman" w:hAnsi="Times New Roman" w:eastAsia="Times New Roman" w:cs="Times New Roman"/>
      <w:b/>
      <w:bCs/>
      <w:color w:val="000000"/>
      <w:spacing w:val="0"/>
      <w:w w:val="100"/>
      <w:position w:val="0"/>
      <w:sz w:val="17"/>
      <w:szCs w:val="17"/>
      <w:u w:val="none"/>
      <w:lang w:val="en-US" w:eastAsia="en-US" w:bidi="en-US"/>
    </w:rPr>
  </w:style>
  <w:style w:type="character" w:customStyle="1" w:styleId="252">
    <w:name w:val="正文文本 (2) + 5 pt"/>
    <w:qFormat/>
    <w:uiPriority w:val="0"/>
    <w:rPr>
      <w:rFonts w:ascii="MingLiU" w:hAnsi="MingLiU" w:eastAsia="MingLiU" w:cs="MingLiU"/>
      <w:color w:val="000000"/>
      <w:spacing w:val="140"/>
      <w:w w:val="100"/>
      <w:position w:val="0"/>
      <w:sz w:val="10"/>
      <w:szCs w:val="10"/>
      <w:u w:val="none"/>
      <w:shd w:val="clear" w:color="auto" w:fill="FFFFFF"/>
      <w:lang w:val="zh-TW" w:eastAsia="zh-TW" w:bidi="zh-TW"/>
    </w:rPr>
  </w:style>
  <w:style w:type="character" w:customStyle="1" w:styleId="253">
    <w:name w:val="正文文本 (7)"/>
    <w:qFormat/>
    <w:uiPriority w:val="0"/>
    <w:rPr>
      <w:rFonts w:ascii="MingLiU" w:hAnsi="MingLiU" w:eastAsia="MingLiU" w:cs="MingLiU"/>
      <w:color w:val="000000"/>
      <w:spacing w:val="0"/>
      <w:w w:val="100"/>
      <w:position w:val="0"/>
      <w:sz w:val="24"/>
      <w:szCs w:val="24"/>
      <w:u w:val="none"/>
      <w:lang w:val="zh-TW" w:eastAsia="zh-TW" w:bidi="zh-TW"/>
    </w:rPr>
  </w:style>
  <w:style w:type="character" w:customStyle="1" w:styleId="254">
    <w:name w:val="正文文本 (2) + 9.5 pt17"/>
    <w:basedOn w:val="58"/>
    <w:qFormat/>
    <w:uiPriority w:val="0"/>
    <w:rPr>
      <w:rFonts w:ascii="宋体" w:hAnsi="宋体" w:eastAsia="宋体" w:cs="宋体"/>
      <w:b/>
      <w:bCs/>
      <w:color w:val="000000"/>
      <w:spacing w:val="0"/>
      <w:w w:val="100"/>
      <w:position w:val="0"/>
      <w:sz w:val="19"/>
      <w:szCs w:val="19"/>
      <w:u w:val="none"/>
      <w:shd w:val="clear" w:color="auto" w:fill="FFFFFF"/>
      <w:lang w:val="zh-CN" w:eastAsia="zh-CN" w:bidi="zh-CN"/>
    </w:rPr>
  </w:style>
  <w:style w:type="character" w:customStyle="1" w:styleId="255">
    <w:name w:val="正文文本 (8) + Arial Narrow"/>
    <w:basedOn w:val="199"/>
    <w:qFormat/>
    <w:uiPriority w:val="0"/>
    <w:rPr>
      <w:rFonts w:ascii="Arial Narrow" w:hAnsi="Arial Narrow" w:eastAsia="Arial Narrow" w:cs="Arial Narrow"/>
      <w:b/>
      <w:bCs/>
      <w:color w:val="000000"/>
      <w:spacing w:val="0"/>
      <w:w w:val="100"/>
      <w:position w:val="0"/>
      <w:sz w:val="24"/>
      <w:szCs w:val="24"/>
      <w:u w:val="none"/>
      <w:shd w:val="clear" w:color="auto" w:fill="FFFFFF"/>
      <w:lang w:val="en-US" w:eastAsia="en-US" w:bidi="en-US"/>
    </w:rPr>
  </w:style>
  <w:style w:type="character" w:customStyle="1" w:styleId="256">
    <w:name w:val="纯文本 Char2"/>
    <w:basedOn w:val="45"/>
    <w:link w:val="21"/>
    <w:qFormat/>
    <w:uiPriority w:val="0"/>
    <w:rPr>
      <w:rFonts w:ascii="宋体" w:hAnsi="Courier New" w:cs="Courier New"/>
      <w:kern w:val="2"/>
      <w:sz w:val="21"/>
      <w:szCs w:val="21"/>
    </w:rPr>
  </w:style>
  <w:style w:type="character" w:customStyle="1" w:styleId="257">
    <w:name w:val="Char Char4"/>
    <w:semiHidden/>
    <w:qFormat/>
    <w:locked/>
    <w:uiPriority w:val="0"/>
    <w:rPr>
      <w:sz w:val="18"/>
      <w:szCs w:val="18"/>
      <w:lang w:bidi="ar-SA"/>
    </w:rPr>
  </w:style>
  <w:style w:type="character" w:customStyle="1" w:styleId="258">
    <w:name w:val="纯文本 Char1"/>
    <w:qFormat/>
    <w:locked/>
    <w:uiPriority w:val="0"/>
    <w:rPr>
      <w:rFonts w:ascii="宋体" w:hAnsi="Courier New" w:eastAsia="宋体" w:cs="宋体"/>
      <w:szCs w:val="21"/>
    </w:rPr>
  </w:style>
  <w:style w:type="paragraph" w:customStyle="1" w:styleId="259">
    <w:name w:val="_Style 254"/>
    <w:basedOn w:val="1"/>
    <w:next w:val="157"/>
    <w:qFormat/>
    <w:uiPriority w:val="34"/>
    <w:pPr>
      <w:ind w:firstLine="420" w:firstLineChars="200"/>
    </w:pPr>
    <w:rPr>
      <w:rFonts w:ascii="Calibri" w:hAnsi="Calibri"/>
    </w:rPr>
  </w:style>
  <w:style w:type="character" w:customStyle="1" w:styleId="260">
    <w:name w:val="页脚 Char"/>
    <w:qFormat/>
    <w:uiPriority w:val="0"/>
    <w:rPr>
      <w:sz w:val="18"/>
      <w:szCs w:val="18"/>
    </w:rPr>
  </w:style>
  <w:style w:type="character" w:customStyle="1" w:styleId="261">
    <w:name w:val="标题 5 Char"/>
    <w:qFormat/>
    <w:uiPriority w:val="0"/>
    <w:rPr>
      <w:bCs/>
      <w:kern w:val="2"/>
      <w:sz w:val="21"/>
      <w:szCs w:val="28"/>
    </w:rPr>
  </w:style>
  <w:style w:type="character" w:customStyle="1" w:styleId="262">
    <w:name w:val="标题 1 Char"/>
    <w:qFormat/>
    <w:uiPriority w:val="9"/>
    <w:rPr>
      <w:b/>
      <w:bCs/>
      <w:kern w:val="44"/>
      <w:sz w:val="44"/>
      <w:szCs w:val="44"/>
    </w:rPr>
  </w:style>
  <w:style w:type="character" w:customStyle="1" w:styleId="263">
    <w:name w:val="标题 2 Char"/>
    <w:qFormat/>
    <w:uiPriority w:val="0"/>
    <w:rPr>
      <w:rFonts w:ascii="Cambria" w:hAnsi="Cambria" w:eastAsia="宋体" w:cs="Times New Roman"/>
      <w:b/>
      <w:bCs/>
      <w:sz w:val="32"/>
      <w:szCs w:val="32"/>
    </w:rPr>
  </w:style>
  <w:style w:type="character" w:customStyle="1" w:styleId="264">
    <w:name w:val="纯文本 Char"/>
    <w:qFormat/>
    <w:locked/>
    <w:uiPriority w:val="0"/>
    <w:rPr>
      <w:rFonts w:ascii="宋体" w:hAnsi="Courier New" w:cs="Courier New"/>
      <w:kern w:val="2"/>
      <w:sz w:val="21"/>
      <w:szCs w:val="21"/>
    </w:rPr>
  </w:style>
  <w:style w:type="character" w:customStyle="1" w:styleId="265">
    <w:name w:val="批注框文本 Char"/>
    <w:qFormat/>
    <w:uiPriority w:val="0"/>
    <w:rPr>
      <w:sz w:val="18"/>
      <w:szCs w:val="18"/>
    </w:rPr>
  </w:style>
  <w:style w:type="character" w:customStyle="1" w:styleId="266">
    <w:name w:val="标题 6 Char"/>
    <w:qFormat/>
    <w:uiPriority w:val="0"/>
    <w:rPr>
      <w:rFonts w:ascii="Cambria" w:hAnsi="Cambria"/>
      <w:bCs/>
      <w:kern w:val="2"/>
      <w:sz w:val="21"/>
      <w:szCs w:val="24"/>
    </w:rPr>
  </w:style>
  <w:style w:type="character" w:customStyle="1" w:styleId="267">
    <w:name w:val="正文文本 Char"/>
    <w:qFormat/>
    <w:uiPriority w:val="0"/>
    <w:rPr>
      <w:rFonts w:ascii="Times New Roman" w:hAnsi="Times New Roman"/>
      <w:kern w:val="2"/>
      <w:sz w:val="28"/>
      <w:szCs w:val="24"/>
    </w:rPr>
  </w:style>
  <w:style w:type="character" w:customStyle="1" w:styleId="268">
    <w:name w:val="Char Char11"/>
    <w:link w:val="269"/>
    <w:qFormat/>
    <w:uiPriority w:val="0"/>
    <w:rPr>
      <w:rFonts w:ascii="宋体" w:hAnsi="宋体" w:cs="宋体"/>
      <w:kern w:val="2"/>
      <w:sz w:val="24"/>
      <w:szCs w:val="24"/>
    </w:rPr>
  </w:style>
  <w:style w:type="paragraph" w:customStyle="1" w:styleId="269">
    <w:name w:val="Char2"/>
    <w:basedOn w:val="1"/>
    <w:link w:val="268"/>
    <w:qFormat/>
    <w:uiPriority w:val="0"/>
    <w:pPr>
      <w:spacing w:line="360" w:lineRule="auto"/>
      <w:ind w:firstLine="200" w:firstLineChars="200"/>
    </w:pPr>
    <w:rPr>
      <w:rFonts w:ascii="宋体" w:hAnsi="宋体" w:cs="宋体"/>
      <w:sz w:val="24"/>
      <w:szCs w:val="24"/>
    </w:rPr>
  </w:style>
  <w:style w:type="character" w:customStyle="1" w:styleId="270">
    <w:name w:val="副标题 Char"/>
    <w:qFormat/>
    <w:uiPriority w:val="11"/>
    <w:rPr>
      <w:rFonts w:ascii="Cambria" w:hAnsi="Cambria" w:eastAsia="宋体" w:cs="Times New Roman"/>
      <w:b/>
      <w:bCs/>
      <w:kern w:val="28"/>
      <w:sz w:val="32"/>
      <w:szCs w:val="32"/>
    </w:rPr>
  </w:style>
  <w:style w:type="character" w:customStyle="1" w:styleId="271">
    <w:name w:val="Char Char14"/>
    <w:qFormat/>
    <w:locked/>
    <w:uiPriority w:val="0"/>
    <w:rPr>
      <w:rFonts w:ascii="Calibri" w:hAnsi="Calibri" w:eastAsia="宋体" w:cs="Calibri"/>
      <w:kern w:val="2"/>
      <w:sz w:val="18"/>
      <w:szCs w:val="18"/>
      <w:lang w:val="en-US" w:eastAsia="zh-CN" w:bidi="ar-SA"/>
    </w:rPr>
  </w:style>
  <w:style w:type="character" w:customStyle="1" w:styleId="272">
    <w:name w:val="标题 4 Char"/>
    <w:qFormat/>
    <w:uiPriority w:val="0"/>
    <w:rPr>
      <w:rFonts w:ascii="Cambria" w:hAnsi="Cambria" w:eastAsia="黑体"/>
      <w:bCs/>
      <w:kern w:val="2"/>
      <w:sz w:val="24"/>
      <w:szCs w:val="28"/>
    </w:rPr>
  </w:style>
  <w:style w:type="character" w:customStyle="1" w:styleId="273">
    <w:name w:val="正文首行缩进 Char1"/>
    <w:link w:val="42"/>
    <w:qFormat/>
    <w:uiPriority w:val="0"/>
    <w:rPr>
      <w:rFonts w:ascii="Times New Roman" w:hAnsi="Times New Roman"/>
      <w:kern w:val="2"/>
      <w:sz w:val="21"/>
      <w:szCs w:val="24"/>
    </w:rPr>
  </w:style>
  <w:style w:type="character" w:customStyle="1" w:styleId="274">
    <w:name w:val="脚注文本 Char"/>
    <w:qFormat/>
    <w:uiPriority w:val="0"/>
    <w:rPr>
      <w:sz w:val="18"/>
      <w:szCs w:val="18"/>
    </w:rPr>
  </w:style>
  <w:style w:type="character" w:customStyle="1" w:styleId="275">
    <w:name w:val="标题 3 Char"/>
    <w:qFormat/>
    <w:uiPriority w:val="0"/>
    <w:rPr>
      <w:b/>
      <w:bCs/>
      <w:sz w:val="32"/>
      <w:szCs w:val="32"/>
    </w:rPr>
  </w:style>
  <w:style w:type="character" w:customStyle="1" w:styleId="276">
    <w:name w:val="页眉 Char"/>
    <w:qFormat/>
    <w:uiPriority w:val="99"/>
    <w:rPr>
      <w:sz w:val="18"/>
      <w:szCs w:val="18"/>
    </w:rPr>
  </w:style>
  <w:style w:type="paragraph" w:customStyle="1" w:styleId="277">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8">
    <w:name w:val="_Style 131"/>
    <w:next w:val="1"/>
    <w:unhideWhenUsed/>
    <w:uiPriority w:val="99"/>
    <w:pPr>
      <w:widowControl w:val="0"/>
      <w:jc w:val="both"/>
    </w:pPr>
    <w:rPr>
      <w:rFonts w:ascii="Calibri" w:hAnsi="Calibri" w:eastAsia="宋体" w:cs="Times New Roman"/>
      <w:kern w:val="2"/>
      <w:sz w:val="21"/>
      <w:szCs w:val="22"/>
      <w:lang w:val="en-US" w:eastAsia="zh-CN" w:bidi="ar-SA"/>
    </w:rPr>
  </w:style>
  <w:style w:type="paragraph" w:customStyle="1" w:styleId="279">
    <w:name w:val="Char Char Char Char Char Char Char1"/>
    <w:basedOn w:val="13"/>
    <w:uiPriority w:val="0"/>
    <w:rPr>
      <w:rFonts w:ascii="Tahoma" w:hAnsi="Tahoma"/>
      <w:sz w:val="24"/>
    </w:rPr>
  </w:style>
  <w:style w:type="paragraph" w:customStyle="1" w:styleId="280">
    <w:name w:val="Char Char Char Char Char Char Char Char Char Char Char Char Char"/>
    <w:basedOn w:val="1"/>
    <w:uiPriority w:val="0"/>
    <w:pPr>
      <w:spacing w:line="360" w:lineRule="auto"/>
      <w:ind w:firstLine="200" w:firstLineChars="200"/>
    </w:pPr>
    <w:rPr>
      <w:rFonts w:ascii="宋体" w:hAnsi="宋体" w:cs="宋体"/>
      <w:sz w:val="24"/>
      <w:szCs w:val="24"/>
    </w:rPr>
  </w:style>
  <w:style w:type="paragraph" w:customStyle="1" w:styleId="281">
    <w:name w:val="样式 标题 3 + (中文) 黑体 小四 非加粗 段前: 7.8 磅 段后: 0 磅 行距: 固定值 20 磅"/>
    <w:basedOn w:val="4"/>
    <w:uiPriority w:val="0"/>
    <w:pPr>
      <w:spacing w:before="0" w:after="0" w:line="400" w:lineRule="exact"/>
    </w:pPr>
    <w:rPr>
      <w:rFonts w:eastAsia="黑体" w:cs="宋体"/>
      <w:b w:val="0"/>
      <w:bCs w:val="0"/>
      <w:sz w:val="24"/>
      <w:szCs w:val="20"/>
    </w:rPr>
  </w:style>
  <w:style w:type="paragraph" w:customStyle="1" w:styleId="282">
    <w:name w:val="Char Char1 Char Char Char Char Char Char Char Char Char Char Char Char1"/>
    <w:basedOn w:val="1"/>
    <w:uiPriority w:val="0"/>
    <w:pPr>
      <w:spacing w:line="360" w:lineRule="auto"/>
      <w:ind w:firstLine="200" w:firstLineChars="200"/>
    </w:pPr>
    <w:rPr>
      <w:rFonts w:ascii="宋体" w:hAnsi="宋体" w:cs="宋体"/>
      <w:sz w:val="24"/>
      <w:szCs w:val="24"/>
    </w:rPr>
  </w:style>
  <w:style w:type="paragraph" w:customStyle="1" w:styleId="283">
    <w:name w:val="样式 标题 2 + Times New Roman 四号 非加粗 段前: 5 磅 段后: 0 磅 行距: 固定值 20..."/>
    <w:basedOn w:val="3"/>
    <w:uiPriority w:val="0"/>
    <w:pPr>
      <w:spacing w:before="100" w:after="0" w:line="400" w:lineRule="exact"/>
    </w:pPr>
    <w:rPr>
      <w:rFonts w:ascii="Times New Roman" w:hAnsi="Times New Roman" w:eastAsia="黑体" w:cs="宋体"/>
      <w:b w:val="0"/>
      <w:bCs w:val="0"/>
      <w:sz w:val="28"/>
      <w:szCs w:val="20"/>
    </w:rPr>
  </w:style>
  <w:style w:type="paragraph" w:customStyle="1" w:styleId="284">
    <w:name w:val="1 Char"/>
    <w:basedOn w:val="1"/>
    <w:uiPriority w:val="0"/>
    <w:pPr>
      <w:spacing w:line="360" w:lineRule="auto"/>
      <w:ind w:firstLine="200" w:firstLineChars="200"/>
    </w:pPr>
    <w:rPr>
      <w:rFonts w:ascii="宋体" w:hAnsi="宋体" w:cs="宋体"/>
      <w:sz w:val="24"/>
      <w:szCs w:val="24"/>
    </w:rPr>
  </w:style>
  <w:style w:type="paragraph" w:customStyle="1" w:styleId="285">
    <w:name w:val="Char Char Char Char Char Char Char Char Char Char1"/>
    <w:basedOn w:val="1"/>
    <w:uiPriority w:val="0"/>
    <w:pPr>
      <w:spacing w:line="360" w:lineRule="auto"/>
      <w:ind w:firstLine="200" w:firstLineChars="200"/>
    </w:pPr>
    <w:rPr>
      <w:rFonts w:ascii="宋体" w:hAnsi="宋体" w:cs="宋体"/>
      <w:sz w:val="24"/>
      <w:szCs w:val="24"/>
    </w:rPr>
  </w:style>
  <w:style w:type="paragraph" w:customStyle="1" w:styleId="286">
    <w:name w:val="列表段落1"/>
    <w:basedOn w:val="1"/>
    <w:uiPriority w:val="0"/>
    <w:pPr>
      <w:ind w:firstLine="420" w:firstLineChars="200"/>
    </w:pPr>
    <w:rPr>
      <w:rFonts w:ascii="Calibri" w:hAnsi="Calibri"/>
    </w:rPr>
  </w:style>
  <w:style w:type="table" w:customStyle="1" w:styleId="287">
    <w:name w:val="网格型1"/>
    <w:basedOn w:val="43"/>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8">
    <w:name w:val="正文文本 (7) + 间距 0 pt Exact"/>
    <w:uiPriority w:val="0"/>
    <w:rPr>
      <w:rFonts w:ascii="宋体" w:hAnsi="宋体" w:eastAsia="宋体" w:cs="宋体"/>
      <w:color w:val="000000"/>
      <w:spacing w:val="0"/>
      <w:w w:val="100"/>
      <w:position w:val="0"/>
      <w:sz w:val="22"/>
      <w:szCs w:val="22"/>
      <w:u w:val="none"/>
      <w:lang w:val="zh-TW" w:eastAsia="zh-TW" w:bidi="zh-TW"/>
    </w:rPr>
  </w:style>
  <w:style w:type="character" w:customStyle="1" w:styleId="289">
    <w:name w:val="Char2 Char Char1"/>
    <w:uiPriority w:val="0"/>
    <w:rPr>
      <w:sz w:val="18"/>
      <w:szCs w:val="18"/>
    </w:rPr>
  </w:style>
  <w:style w:type="character" w:customStyle="1" w:styleId="290">
    <w:name w:val="Char Char25"/>
    <w:uiPriority w:val="0"/>
    <w:rPr>
      <w:b/>
      <w:bCs/>
      <w:kern w:val="44"/>
      <w:sz w:val="44"/>
      <w:szCs w:val="44"/>
    </w:rPr>
  </w:style>
  <w:style w:type="character" w:customStyle="1" w:styleId="291">
    <w:name w:val="Char Char24"/>
    <w:uiPriority w:val="0"/>
    <w:rPr>
      <w:rFonts w:ascii="Cambria" w:hAnsi="Cambria" w:eastAsia="宋体" w:cs="Times New Roman"/>
      <w:b/>
      <w:bCs/>
      <w:sz w:val="32"/>
      <w:szCs w:val="32"/>
    </w:rPr>
  </w:style>
  <w:style w:type="character" w:customStyle="1" w:styleId="292">
    <w:name w:val="Char Char23"/>
    <w:uiPriority w:val="0"/>
    <w:rPr>
      <w:b/>
      <w:bCs/>
      <w:sz w:val="32"/>
      <w:szCs w:val="32"/>
    </w:rPr>
  </w:style>
  <w:style w:type="character" w:customStyle="1" w:styleId="293">
    <w:name w:val="Char Char22"/>
    <w:uiPriority w:val="0"/>
    <w:rPr>
      <w:rFonts w:ascii="Cambria" w:hAnsi="Cambria" w:eastAsia="黑体"/>
      <w:bCs/>
      <w:kern w:val="2"/>
      <w:sz w:val="24"/>
      <w:szCs w:val="28"/>
      <w:lang w:val="en-US" w:eastAsia="zh-CN" w:bidi="ar-SA"/>
    </w:rPr>
  </w:style>
  <w:style w:type="character" w:customStyle="1" w:styleId="294">
    <w:name w:val="Char Char21"/>
    <w:uiPriority w:val="0"/>
    <w:rPr>
      <w:rFonts w:ascii="Calibri" w:hAnsi="Calibri" w:eastAsia="宋体"/>
      <w:bCs/>
      <w:kern w:val="2"/>
      <w:sz w:val="21"/>
      <w:szCs w:val="28"/>
      <w:lang w:val="en-US" w:eastAsia="zh-CN" w:bidi="ar-SA"/>
    </w:rPr>
  </w:style>
  <w:style w:type="character" w:customStyle="1" w:styleId="295">
    <w:name w:val="Char Char20"/>
    <w:uiPriority w:val="0"/>
    <w:rPr>
      <w:rFonts w:ascii="Cambria" w:hAnsi="Cambria" w:eastAsia="宋体"/>
      <w:bCs/>
      <w:kern w:val="2"/>
      <w:sz w:val="21"/>
      <w:szCs w:val="24"/>
      <w:lang w:val="en-US" w:eastAsia="zh-CN" w:bidi="ar-SA"/>
    </w:rPr>
  </w:style>
  <w:style w:type="character" w:customStyle="1" w:styleId="296">
    <w:name w:val="Char Char16"/>
    <w:semiHidden/>
    <w:uiPriority w:val="0"/>
    <w:rPr>
      <w:sz w:val="18"/>
      <w:szCs w:val="18"/>
    </w:rPr>
  </w:style>
  <w:style w:type="character" w:customStyle="1" w:styleId="297">
    <w:name w:val="Char Char15"/>
    <w:semiHidden/>
    <w:uiPriority w:val="0"/>
    <w:rPr>
      <w:sz w:val="18"/>
      <w:szCs w:val="18"/>
    </w:rPr>
  </w:style>
  <w:style w:type="character" w:customStyle="1" w:styleId="298">
    <w:name w:val="Char Char13"/>
    <w:semiHidden/>
    <w:uiPriority w:val="0"/>
    <w:rPr>
      <w:sz w:val="18"/>
      <w:szCs w:val="18"/>
    </w:rPr>
  </w:style>
  <w:style w:type="character" w:customStyle="1" w:styleId="299">
    <w:name w:val="Char Char12"/>
    <w:uiPriority w:val="0"/>
    <w:rPr>
      <w:rFonts w:ascii="Cambria" w:hAnsi="Cambria" w:eastAsia="宋体" w:cs="Times New Roman"/>
      <w:b/>
      <w:bCs/>
      <w:kern w:val="28"/>
      <w:sz w:val="32"/>
      <w:szCs w:val="32"/>
    </w:rPr>
  </w:style>
  <w:style w:type="character" w:customStyle="1" w:styleId="300">
    <w:name w:val="标题 7 Char1"/>
    <w:link w:val="8"/>
    <w:uiPriority w:val="0"/>
    <w:rPr>
      <w:bCs/>
      <w:sz w:val="24"/>
      <w:szCs w:val="24"/>
    </w:rPr>
  </w:style>
  <w:style w:type="character" w:customStyle="1" w:styleId="301">
    <w:name w:val="标题 8 Char1"/>
    <w:link w:val="9"/>
    <w:uiPriority w:val="0"/>
    <w:rPr>
      <w:rFonts w:ascii="Arial" w:hAnsi="Arial" w:eastAsia="黑体"/>
      <w:b/>
      <w:sz w:val="24"/>
      <w:szCs w:val="24"/>
    </w:rPr>
  </w:style>
  <w:style w:type="character" w:customStyle="1" w:styleId="302">
    <w:name w:val="标题 9 Char1"/>
    <w:link w:val="10"/>
    <w:uiPriority w:val="0"/>
    <w:rPr>
      <w:rFonts w:ascii="Arial" w:hAnsi="Arial" w:eastAsia="黑体"/>
      <w:b/>
      <w:sz w:val="21"/>
      <w:szCs w:val="21"/>
    </w:rPr>
  </w:style>
  <w:style w:type="character" w:customStyle="1" w:styleId="303">
    <w:name w:val="批注文字 Char1"/>
    <w:link w:val="15"/>
    <w:uiPriority w:val="0"/>
    <w:rPr>
      <w:kern w:val="2"/>
      <w:sz w:val="21"/>
      <w:szCs w:val="22"/>
    </w:rPr>
  </w:style>
  <w:style w:type="paragraph" w:styleId="304">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305">
    <w:name w:val="未处理的提及1"/>
    <w:semiHidden/>
    <w:unhideWhenUsed/>
    <w:uiPriority w:val="99"/>
    <w:rPr>
      <w:color w:val="808080"/>
      <w:shd w:val="clear" w:color="auto" w:fill="E6E6E6"/>
    </w:rPr>
  </w:style>
  <w:style w:type="character" w:customStyle="1" w:styleId="306">
    <w:name w:val="标题 #6 (3)_"/>
    <w:link w:val="307"/>
    <w:uiPriority w:val="0"/>
    <w:rPr>
      <w:rFonts w:ascii="宋体" w:hAnsi="宋体" w:cs="宋体"/>
      <w:sz w:val="26"/>
      <w:szCs w:val="26"/>
      <w:shd w:val="clear" w:color="auto" w:fill="FFFFFF"/>
    </w:rPr>
  </w:style>
  <w:style w:type="paragraph" w:customStyle="1" w:styleId="307">
    <w:name w:val="标题 #6 (3)"/>
    <w:basedOn w:val="1"/>
    <w:link w:val="306"/>
    <w:uiPriority w:val="0"/>
    <w:pPr>
      <w:shd w:val="clear" w:color="auto" w:fill="FFFFFF"/>
      <w:spacing w:after="960" w:line="0" w:lineRule="atLeast"/>
      <w:jc w:val="left"/>
      <w:outlineLvl w:val="5"/>
    </w:pPr>
    <w:rPr>
      <w:rFonts w:ascii="宋体" w:hAnsi="宋体" w:cs="宋体"/>
      <w:kern w:val="0"/>
      <w:sz w:val="26"/>
      <w:szCs w:val="26"/>
    </w:rPr>
  </w:style>
  <w:style w:type="character" w:customStyle="1" w:styleId="308">
    <w:name w:val="正文文本 (19)_"/>
    <w:link w:val="309"/>
    <w:uiPriority w:val="0"/>
    <w:rPr>
      <w:rFonts w:ascii="宋体" w:hAnsi="宋体" w:cs="宋体"/>
      <w:b/>
      <w:bCs/>
      <w:sz w:val="23"/>
      <w:szCs w:val="23"/>
      <w:shd w:val="clear" w:color="auto" w:fill="FFFFFF"/>
    </w:rPr>
  </w:style>
  <w:style w:type="paragraph" w:customStyle="1" w:styleId="309">
    <w:name w:val="正文文本 (19)"/>
    <w:basedOn w:val="1"/>
    <w:link w:val="308"/>
    <w:uiPriority w:val="0"/>
    <w:pPr>
      <w:shd w:val="clear" w:color="auto" w:fill="FFFFFF"/>
      <w:spacing w:line="559" w:lineRule="exact"/>
      <w:jc w:val="left"/>
    </w:pPr>
    <w:rPr>
      <w:rFonts w:ascii="宋体" w:hAnsi="宋体" w:cs="宋体"/>
      <w:b/>
      <w:bCs/>
      <w:kern w:val="0"/>
      <w:sz w:val="23"/>
      <w:szCs w:val="23"/>
    </w:rPr>
  </w:style>
  <w:style w:type="character" w:customStyle="1" w:styleId="310">
    <w:name w:val="标题 #7 + 11 pt"/>
    <w:uiPriority w:val="0"/>
    <w:rPr>
      <w:rFonts w:ascii="宋体" w:hAnsi="宋体" w:eastAsia="宋体" w:cs="宋体"/>
      <w:b/>
      <w:bCs/>
      <w:color w:val="000000"/>
      <w:spacing w:val="0"/>
      <w:w w:val="100"/>
      <w:position w:val="0"/>
      <w:sz w:val="22"/>
      <w:szCs w:val="22"/>
      <w:u w:val="none"/>
      <w:lang w:val="en-US" w:eastAsia="en-US" w:bidi="en-US"/>
    </w:rPr>
  </w:style>
  <w:style w:type="character" w:customStyle="1" w:styleId="311">
    <w:name w:val="标题 #6 (3) + 间距 1 pt"/>
    <w:uiPriority w:val="0"/>
    <w:rPr>
      <w:rFonts w:ascii="宋体" w:hAnsi="宋体" w:eastAsia="宋体" w:cs="宋体"/>
      <w:color w:val="000000"/>
      <w:spacing w:val="30"/>
      <w:w w:val="100"/>
      <w:position w:val="0"/>
      <w:sz w:val="26"/>
      <w:szCs w:val="26"/>
      <w:u w:val="none"/>
      <w:lang w:val="zh-TW" w:eastAsia="zh-TW" w:bidi="zh-TW"/>
    </w:rPr>
  </w:style>
  <w:style w:type="character" w:customStyle="1" w:styleId="312">
    <w:name w:val="正文文本 (2) + 间距 -1 pt"/>
    <w:uiPriority w:val="0"/>
    <w:rPr>
      <w:rFonts w:ascii="宋体" w:hAnsi="宋体" w:eastAsia="宋体" w:cs="宋体"/>
      <w:color w:val="000000"/>
      <w:spacing w:val="-20"/>
      <w:w w:val="100"/>
      <w:position w:val="0"/>
      <w:sz w:val="22"/>
      <w:szCs w:val="22"/>
      <w:u w:val="none"/>
      <w:shd w:val="clear" w:color="auto" w:fill="FFFFFF"/>
      <w:lang w:val="en-US" w:eastAsia="en-US" w:bidi="en-US"/>
    </w:rPr>
  </w:style>
  <w:style w:type="character" w:customStyle="1" w:styleId="313">
    <w:name w:val="正文文本 (26)_"/>
    <w:uiPriority w:val="0"/>
    <w:rPr>
      <w:rFonts w:ascii="Times New Roman" w:hAnsi="Times New Roman" w:eastAsia="Times New Roman"/>
      <w:shd w:val="clear" w:color="auto" w:fill="FFFFFF"/>
      <w:lang w:eastAsia="en-US" w:bidi="en-US"/>
    </w:rPr>
  </w:style>
  <w:style w:type="character" w:customStyle="1" w:styleId="314">
    <w:name w:val="正文文本 (27)_"/>
    <w:uiPriority w:val="0"/>
    <w:rPr>
      <w:rFonts w:ascii="Times New Roman" w:hAnsi="Times New Roman" w:eastAsia="Times New Roman"/>
      <w:shd w:val="clear" w:color="auto" w:fill="FFFFFF"/>
      <w:lang w:eastAsia="en-US" w:bidi="en-US"/>
    </w:rPr>
  </w:style>
  <w:style w:type="character" w:customStyle="1" w:styleId="315">
    <w:name w:val="正文文本首行缩进 字符"/>
    <w:basedOn w:val="192"/>
    <w:semiHidden/>
    <w:uiPriority w:val="99"/>
    <w:rPr>
      <w:kern w:val="2"/>
      <w:sz w:val="21"/>
      <w:szCs w:val="22"/>
    </w:rPr>
  </w:style>
  <w:style w:type="paragraph" w:customStyle="1" w:styleId="316">
    <w:name w:val="_Style 314"/>
    <w:basedOn w:val="1"/>
    <w:next w:val="157"/>
    <w:link w:val="320"/>
    <w:qFormat/>
    <w:uiPriority w:val="0"/>
    <w:pPr>
      <w:ind w:firstLine="420" w:firstLineChars="200"/>
    </w:pPr>
    <w:rPr>
      <w:szCs w:val="24"/>
    </w:rPr>
  </w:style>
  <w:style w:type="character" w:customStyle="1" w:styleId="317">
    <w:name w:val="Char Char111"/>
    <w:link w:val="318"/>
    <w:uiPriority w:val="0"/>
    <w:rPr>
      <w:rFonts w:ascii="宋体" w:hAnsi="宋体" w:cs="宋体"/>
      <w:kern w:val="2"/>
      <w:sz w:val="24"/>
      <w:szCs w:val="24"/>
    </w:rPr>
  </w:style>
  <w:style w:type="paragraph" w:customStyle="1" w:styleId="318">
    <w:name w:val="Char3"/>
    <w:basedOn w:val="1"/>
    <w:link w:val="317"/>
    <w:uiPriority w:val="0"/>
    <w:pPr>
      <w:spacing w:line="360" w:lineRule="auto"/>
      <w:ind w:firstLine="200" w:firstLineChars="200"/>
    </w:pPr>
    <w:rPr>
      <w:rFonts w:ascii="宋体" w:hAnsi="宋体" w:cs="宋体"/>
      <w:sz w:val="24"/>
      <w:szCs w:val="24"/>
    </w:rPr>
  </w:style>
  <w:style w:type="character" w:customStyle="1" w:styleId="319">
    <w:name w:val="Char Char141"/>
    <w:locked/>
    <w:uiPriority w:val="0"/>
    <w:rPr>
      <w:rFonts w:ascii="Calibri" w:hAnsi="Calibri" w:eastAsia="宋体" w:cs="Calibri"/>
      <w:kern w:val="2"/>
      <w:sz w:val="18"/>
      <w:szCs w:val="18"/>
      <w:lang w:val="en-US" w:eastAsia="zh-CN" w:bidi="ar-SA"/>
    </w:rPr>
  </w:style>
  <w:style w:type="character" w:customStyle="1" w:styleId="320">
    <w:name w:val="正文首行缩进 Char"/>
    <w:link w:val="316"/>
    <w:uiPriority w:val="0"/>
    <w:rPr>
      <w:kern w:val="2"/>
      <w:sz w:val="21"/>
      <w:szCs w:val="24"/>
    </w:rPr>
  </w:style>
  <w:style w:type="paragraph" w:customStyle="1" w:styleId="321">
    <w:name w:val="Char Char Char Char Char Char Char2"/>
    <w:basedOn w:val="13"/>
    <w:uiPriority w:val="0"/>
    <w:rPr>
      <w:rFonts w:ascii="Tahoma" w:hAnsi="Tahoma"/>
      <w:sz w:val="24"/>
    </w:rPr>
  </w:style>
  <w:style w:type="paragraph" w:customStyle="1" w:styleId="322">
    <w:name w:val="Char Char Char Char Char Char Char Char Char Char Char Char Char1"/>
    <w:basedOn w:val="1"/>
    <w:uiPriority w:val="0"/>
    <w:pPr>
      <w:spacing w:line="360" w:lineRule="auto"/>
      <w:ind w:firstLine="200" w:firstLineChars="200"/>
    </w:pPr>
    <w:rPr>
      <w:rFonts w:ascii="宋体" w:hAnsi="宋体" w:cs="宋体"/>
      <w:sz w:val="24"/>
      <w:szCs w:val="24"/>
    </w:rPr>
  </w:style>
  <w:style w:type="paragraph" w:customStyle="1" w:styleId="323">
    <w:name w:val="Char Char1 Char Char Char Char Char Char Char Char Char Char Char Char2"/>
    <w:basedOn w:val="1"/>
    <w:uiPriority w:val="0"/>
    <w:pPr>
      <w:spacing w:line="360" w:lineRule="auto"/>
      <w:ind w:firstLine="200" w:firstLineChars="200"/>
    </w:pPr>
    <w:rPr>
      <w:rFonts w:ascii="宋体" w:hAnsi="宋体" w:cs="宋体"/>
      <w:sz w:val="24"/>
      <w:szCs w:val="24"/>
    </w:rPr>
  </w:style>
  <w:style w:type="paragraph" w:customStyle="1" w:styleId="324">
    <w:name w:val="Char Char Char Char Char Char Char Char Char Char2"/>
    <w:basedOn w:val="1"/>
    <w:uiPriority w:val="0"/>
    <w:pPr>
      <w:spacing w:line="360" w:lineRule="auto"/>
      <w:ind w:firstLine="200" w:firstLineChars="200"/>
    </w:pPr>
    <w:rPr>
      <w:rFonts w:ascii="宋体" w:hAnsi="宋体" w:cs="宋体"/>
      <w:sz w:val="24"/>
      <w:szCs w:val="24"/>
    </w:rPr>
  </w:style>
  <w:style w:type="paragraph" w:customStyle="1" w:styleId="325">
    <w:name w:val="列表段落2"/>
    <w:basedOn w:val="1"/>
    <w:uiPriority w:val="0"/>
    <w:pPr>
      <w:ind w:firstLine="420" w:firstLineChars="200"/>
    </w:pPr>
    <w:rPr>
      <w:rFonts w:ascii="Calibri" w:hAnsi="Calibri"/>
    </w:rPr>
  </w:style>
  <w:style w:type="table" w:customStyle="1" w:styleId="326">
    <w:name w:val="网格型2"/>
    <w:basedOn w:val="43"/>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27">
    <w:name w:val="Char Char251"/>
    <w:uiPriority w:val="0"/>
    <w:rPr>
      <w:b/>
      <w:bCs/>
      <w:kern w:val="44"/>
      <w:sz w:val="44"/>
      <w:szCs w:val="44"/>
    </w:rPr>
  </w:style>
  <w:style w:type="character" w:customStyle="1" w:styleId="328">
    <w:name w:val="Char Char241"/>
    <w:uiPriority w:val="0"/>
    <w:rPr>
      <w:rFonts w:ascii="Cambria" w:hAnsi="Cambria" w:eastAsia="宋体" w:cs="Times New Roman"/>
      <w:b/>
      <w:bCs/>
      <w:sz w:val="32"/>
      <w:szCs w:val="32"/>
    </w:rPr>
  </w:style>
  <w:style w:type="character" w:customStyle="1" w:styleId="329">
    <w:name w:val="Char Char231"/>
    <w:uiPriority w:val="0"/>
    <w:rPr>
      <w:b/>
      <w:bCs/>
      <w:sz w:val="32"/>
      <w:szCs w:val="32"/>
    </w:rPr>
  </w:style>
  <w:style w:type="character" w:customStyle="1" w:styleId="330">
    <w:name w:val="Char Char221"/>
    <w:uiPriority w:val="0"/>
    <w:rPr>
      <w:rFonts w:ascii="Cambria" w:hAnsi="Cambria" w:eastAsia="黑体"/>
      <w:bCs/>
      <w:kern w:val="2"/>
      <w:sz w:val="24"/>
      <w:szCs w:val="28"/>
      <w:lang w:val="en-US" w:eastAsia="zh-CN" w:bidi="ar-SA"/>
    </w:rPr>
  </w:style>
  <w:style w:type="character" w:customStyle="1" w:styleId="331">
    <w:name w:val="Char Char211"/>
    <w:uiPriority w:val="0"/>
    <w:rPr>
      <w:rFonts w:ascii="Calibri" w:hAnsi="Calibri" w:eastAsia="宋体"/>
      <w:bCs/>
      <w:kern w:val="2"/>
      <w:sz w:val="21"/>
      <w:szCs w:val="28"/>
      <w:lang w:val="en-US" w:eastAsia="zh-CN" w:bidi="ar-SA"/>
    </w:rPr>
  </w:style>
  <w:style w:type="character" w:customStyle="1" w:styleId="332">
    <w:name w:val="Char Char201"/>
    <w:uiPriority w:val="0"/>
    <w:rPr>
      <w:rFonts w:ascii="Cambria" w:hAnsi="Cambria" w:eastAsia="宋体"/>
      <w:bCs/>
      <w:kern w:val="2"/>
      <w:sz w:val="21"/>
      <w:szCs w:val="24"/>
      <w:lang w:val="en-US" w:eastAsia="zh-CN" w:bidi="ar-SA"/>
    </w:rPr>
  </w:style>
  <w:style w:type="character" w:customStyle="1" w:styleId="333">
    <w:name w:val="Char Char161"/>
    <w:semiHidden/>
    <w:uiPriority w:val="0"/>
    <w:rPr>
      <w:sz w:val="18"/>
      <w:szCs w:val="18"/>
    </w:rPr>
  </w:style>
  <w:style w:type="character" w:customStyle="1" w:styleId="334">
    <w:name w:val="Char Char151"/>
    <w:semiHidden/>
    <w:uiPriority w:val="0"/>
    <w:rPr>
      <w:sz w:val="18"/>
      <w:szCs w:val="18"/>
    </w:rPr>
  </w:style>
  <w:style w:type="character" w:customStyle="1" w:styleId="335">
    <w:name w:val="Char Char131"/>
    <w:semiHidden/>
    <w:uiPriority w:val="0"/>
    <w:rPr>
      <w:sz w:val="18"/>
      <w:szCs w:val="18"/>
    </w:rPr>
  </w:style>
  <w:style w:type="character" w:customStyle="1" w:styleId="336">
    <w:name w:val="Char Char121"/>
    <w:uiPriority w:val="0"/>
    <w:rPr>
      <w:rFonts w:ascii="Cambria" w:hAnsi="Cambria" w:eastAsia="宋体" w:cs="Times New Roman"/>
      <w:b/>
      <w:bCs/>
      <w:kern w:val="28"/>
      <w:sz w:val="32"/>
      <w:szCs w:val="32"/>
    </w:rPr>
  </w:style>
  <w:style w:type="character" w:customStyle="1" w:styleId="337">
    <w:name w:val="标题 7 Char"/>
    <w:uiPriority w:val="0"/>
    <w:rPr>
      <w:rFonts w:ascii="Times New Roman" w:hAnsi="Times New Roman"/>
      <w:bCs/>
      <w:sz w:val="24"/>
      <w:szCs w:val="24"/>
    </w:rPr>
  </w:style>
  <w:style w:type="character" w:customStyle="1" w:styleId="338">
    <w:name w:val="标题 8 Char"/>
    <w:uiPriority w:val="0"/>
    <w:rPr>
      <w:rFonts w:ascii="Arial" w:hAnsi="Arial" w:eastAsia="黑体"/>
      <w:b/>
      <w:sz w:val="24"/>
      <w:szCs w:val="24"/>
    </w:rPr>
  </w:style>
  <w:style w:type="character" w:customStyle="1" w:styleId="339">
    <w:name w:val="标题 9 Char"/>
    <w:uiPriority w:val="0"/>
    <w:rPr>
      <w:rFonts w:ascii="Arial" w:hAnsi="Arial" w:eastAsia="黑体"/>
      <w:b/>
      <w:sz w:val="21"/>
      <w:szCs w:val="21"/>
    </w:rPr>
  </w:style>
  <w:style w:type="character" w:customStyle="1" w:styleId="340">
    <w:name w:val="批注文字 Char"/>
    <w:uiPriority w:val="0"/>
    <w:rPr>
      <w:kern w:val="2"/>
      <w:sz w:val="21"/>
      <w:szCs w:val="22"/>
    </w:rPr>
  </w:style>
  <w:style w:type="paragraph" w:customStyle="1" w:styleId="341">
    <w:name w:val="_Style 339"/>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42">
    <w:name w:val="Char Char112"/>
    <w:link w:val="343"/>
    <w:uiPriority w:val="0"/>
    <w:rPr>
      <w:rFonts w:ascii="宋体" w:hAnsi="宋体" w:cs="宋体"/>
      <w:kern w:val="2"/>
      <w:sz w:val="24"/>
      <w:szCs w:val="24"/>
    </w:rPr>
  </w:style>
  <w:style w:type="paragraph" w:customStyle="1" w:styleId="343">
    <w:name w:val="Char4"/>
    <w:basedOn w:val="1"/>
    <w:link w:val="342"/>
    <w:uiPriority w:val="0"/>
    <w:pPr>
      <w:spacing w:line="360" w:lineRule="auto"/>
      <w:ind w:firstLine="200" w:firstLineChars="200"/>
    </w:pPr>
    <w:rPr>
      <w:rFonts w:ascii="宋体" w:hAnsi="宋体" w:cs="宋体"/>
      <w:sz w:val="24"/>
      <w:szCs w:val="24"/>
    </w:rPr>
  </w:style>
  <w:style w:type="character" w:customStyle="1" w:styleId="344">
    <w:name w:val="Char Char142"/>
    <w:locked/>
    <w:uiPriority w:val="0"/>
    <w:rPr>
      <w:rFonts w:ascii="Calibri" w:hAnsi="Calibri" w:eastAsia="宋体" w:cs="Calibri"/>
      <w:kern w:val="2"/>
      <w:sz w:val="18"/>
      <w:szCs w:val="18"/>
      <w:lang w:val="en-US" w:eastAsia="zh-CN" w:bidi="ar-SA"/>
    </w:rPr>
  </w:style>
  <w:style w:type="paragraph" w:customStyle="1" w:styleId="345">
    <w:name w:val="Char Char Char Char Char Char Char3"/>
    <w:basedOn w:val="13"/>
    <w:uiPriority w:val="0"/>
    <w:rPr>
      <w:rFonts w:ascii="Tahoma" w:hAnsi="Tahoma"/>
      <w:sz w:val="24"/>
    </w:rPr>
  </w:style>
  <w:style w:type="paragraph" w:customStyle="1" w:styleId="346">
    <w:name w:val="Char Char Char Char Char Char Char Char Char Char Char Char Char2"/>
    <w:basedOn w:val="1"/>
    <w:uiPriority w:val="0"/>
    <w:pPr>
      <w:spacing w:line="360" w:lineRule="auto"/>
      <w:ind w:firstLine="200" w:firstLineChars="200"/>
    </w:pPr>
    <w:rPr>
      <w:rFonts w:ascii="宋体" w:hAnsi="宋体" w:cs="宋体"/>
      <w:sz w:val="24"/>
      <w:szCs w:val="24"/>
    </w:rPr>
  </w:style>
  <w:style w:type="paragraph" w:customStyle="1" w:styleId="347">
    <w:name w:val="Char Char1 Char Char Char Char Char Char Char Char Char Char Char Char3"/>
    <w:basedOn w:val="1"/>
    <w:uiPriority w:val="0"/>
    <w:pPr>
      <w:spacing w:line="360" w:lineRule="auto"/>
      <w:ind w:firstLine="200" w:firstLineChars="200"/>
    </w:pPr>
    <w:rPr>
      <w:rFonts w:ascii="宋体" w:hAnsi="宋体" w:cs="宋体"/>
      <w:sz w:val="24"/>
      <w:szCs w:val="24"/>
    </w:rPr>
  </w:style>
  <w:style w:type="paragraph" w:customStyle="1" w:styleId="348">
    <w:name w:val="Char Char Char Char Char Char Char Char Char Char3"/>
    <w:basedOn w:val="1"/>
    <w:uiPriority w:val="0"/>
    <w:pPr>
      <w:spacing w:line="360" w:lineRule="auto"/>
      <w:ind w:firstLine="200" w:firstLineChars="200"/>
    </w:pPr>
    <w:rPr>
      <w:rFonts w:ascii="宋体" w:hAnsi="宋体" w:cs="宋体"/>
      <w:sz w:val="24"/>
      <w:szCs w:val="24"/>
    </w:rPr>
  </w:style>
  <w:style w:type="paragraph" w:customStyle="1" w:styleId="349">
    <w:name w:val="列出段落1"/>
    <w:basedOn w:val="1"/>
    <w:uiPriority w:val="0"/>
    <w:pPr>
      <w:ind w:firstLine="420" w:firstLineChars="200"/>
    </w:pPr>
    <w:rPr>
      <w:rFonts w:ascii="Calibri" w:hAnsi="Calibri"/>
    </w:rPr>
  </w:style>
  <w:style w:type="table" w:customStyle="1" w:styleId="350">
    <w:name w:val="网格型3"/>
    <w:basedOn w:val="43"/>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1">
    <w:name w:val="Char Char252"/>
    <w:uiPriority w:val="0"/>
    <w:rPr>
      <w:b/>
      <w:bCs/>
      <w:kern w:val="44"/>
      <w:sz w:val="44"/>
      <w:szCs w:val="44"/>
    </w:rPr>
  </w:style>
  <w:style w:type="character" w:customStyle="1" w:styleId="352">
    <w:name w:val="Char Char242"/>
    <w:uiPriority w:val="0"/>
    <w:rPr>
      <w:rFonts w:ascii="Cambria" w:hAnsi="Cambria" w:eastAsia="宋体" w:cs="Times New Roman"/>
      <w:b/>
      <w:bCs/>
      <w:sz w:val="32"/>
      <w:szCs w:val="32"/>
    </w:rPr>
  </w:style>
  <w:style w:type="character" w:customStyle="1" w:styleId="353">
    <w:name w:val="Char Char232"/>
    <w:uiPriority w:val="0"/>
    <w:rPr>
      <w:b/>
      <w:bCs/>
      <w:sz w:val="32"/>
      <w:szCs w:val="32"/>
    </w:rPr>
  </w:style>
  <w:style w:type="character" w:customStyle="1" w:styleId="354">
    <w:name w:val="Char Char222"/>
    <w:uiPriority w:val="0"/>
    <w:rPr>
      <w:rFonts w:ascii="Cambria" w:hAnsi="Cambria" w:eastAsia="黑体"/>
      <w:bCs/>
      <w:kern w:val="2"/>
      <w:sz w:val="24"/>
      <w:szCs w:val="28"/>
      <w:lang w:val="en-US" w:eastAsia="zh-CN" w:bidi="ar-SA"/>
    </w:rPr>
  </w:style>
  <w:style w:type="character" w:customStyle="1" w:styleId="355">
    <w:name w:val="Char Char212"/>
    <w:uiPriority w:val="0"/>
    <w:rPr>
      <w:rFonts w:ascii="Calibri" w:hAnsi="Calibri" w:eastAsia="宋体"/>
      <w:bCs/>
      <w:kern w:val="2"/>
      <w:sz w:val="21"/>
      <w:szCs w:val="28"/>
      <w:lang w:val="en-US" w:eastAsia="zh-CN" w:bidi="ar-SA"/>
    </w:rPr>
  </w:style>
  <w:style w:type="character" w:customStyle="1" w:styleId="356">
    <w:name w:val="Char Char202"/>
    <w:uiPriority w:val="0"/>
    <w:rPr>
      <w:rFonts w:ascii="Cambria" w:hAnsi="Cambria" w:eastAsia="宋体"/>
      <w:bCs/>
      <w:kern w:val="2"/>
      <w:sz w:val="21"/>
      <w:szCs w:val="24"/>
      <w:lang w:val="en-US" w:eastAsia="zh-CN" w:bidi="ar-SA"/>
    </w:rPr>
  </w:style>
  <w:style w:type="character" w:customStyle="1" w:styleId="357">
    <w:name w:val="Char Char162"/>
    <w:semiHidden/>
    <w:uiPriority w:val="0"/>
    <w:rPr>
      <w:sz w:val="18"/>
      <w:szCs w:val="18"/>
    </w:rPr>
  </w:style>
  <w:style w:type="character" w:customStyle="1" w:styleId="358">
    <w:name w:val="Char Char152"/>
    <w:semiHidden/>
    <w:uiPriority w:val="0"/>
    <w:rPr>
      <w:sz w:val="18"/>
      <w:szCs w:val="18"/>
    </w:rPr>
  </w:style>
  <w:style w:type="character" w:customStyle="1" w:styleId="359">
    <w:name w:val="Char Char132"/>
    <w:semiHidden/>
    <w:uiPriority w:val="0"/>
    <w:rPr>
      <w:sz w:val="18"/>
      <w:szCs w:val="18"/>
    </w:rPr>
  </w:style>
  <w:style w:type="character" w:customStyle="1" w:styleId="360">
    <w:name w:val="Char Char122"/>
    <w:uiPriority w:val="0"/>
    <w:rPr>
      <w:rFonts w:ascii="Cambria" w:hAnsi="Cambria" w:eastAsia="宋体" w:cs="Times New Roman"/>
      <w:b/>
      <w:bCs/>
      <w:kern w:val="28"/>
      <w:sz w:val="32"/>
      <w:szCs w:val="32"/>
    </w:rPr>
  </w:style>
  <w:style w:type="character" w:customStyle="1" w:styleId="361">
    <w:name w:val="未处理的提及2"/>
    <w:semiHidden/>
    <w:unhideWhenUsed/>
    <w:uiPriority w:val="99"/>
    <w:rPr>
      <w:color w:val="808080"/>
      <w:shd w:val="clear" w:color="auto" w:fill="E6E6E6"/>
    </w:rPr>
  </w:style>
  <w:style w:type="character" w:customStyle="1" w:styleId="362">
    <w:name w:val="标题 3 字符"/>
    <w:uiPriority w:val="99"/>
    <w:rPr>
      <w:b/>
      <w:bCs/>
      <w:sz w:val="32"/>
      <w:szCs w:val="32"/>
    </w:rPr>
  </w:style>
  <w:style w:type="character" w:customStyle="1" w:styleId="363">
    <w:name w:val="正文文本 (2) + 10 pt3"/>
    <w:uiPriority w:val="99"/>
    <w:rPr>
      <w:rFonts w:ascii="宋体" w:hAnsi="宋体" w:eastAsia="宋体" w:cs="宋体"/>
      <w:color w:val="000000"/>
      <w:spacing w:val="0"/>
      <w:w w:val="100"/>
      <w:position w:val="0"/>
      <w:sz w:val="20"/>
      <w:szCs w:val="20"/>
      <w:u w:val="none"/>
      <w:lang w:val="zh-TW" w:eastAsia="zh-TW"/>
    </w:rPr>
  </w:style>
  <w:style w:type="character" w:customStyle="1" w:styleId="364">
    <w:name w:val="正文文本 (2) + 10 pt4"/>
    <w:uiPriority w:val="99"/>
    <w:rPr>
      <w:rFonts w:ascii="宋体" w:hAnsi="宋体" w:eastAsia="宋体" w:cs="宋体"/>
      <w:color w:val="000000"/>
      <w:spacing w:val="20"/>
      <w:w w:val="100"/>
      <w:position w:val="0"/>
      <w:sz w:val="20"/>
      <w:szCs w:val="20"/>
      <w:u w:val="none"/>
      <w:lang w:val="zh-TW" w:eastAsia="zh-TW"/>
    </w:rPr>
  </w:style>
  <w:style w:type="character" w:customStyle="1" w:styleId="365">
    <w:name w:val="正文文本 (2) + Times New Roman1"/>
    <w:uiPriority w:val="99"/>
    <w:rPr>
      <w:rFonts w:ascii="Times New Roman" w:hAnsi="Times New Roman" w:eastAsia="宋体" w:cs="Times New Roman"/>
      <w:color w:val="000000"/>
      <w:spacing w:val="0"/>
      <w:w w:val="100"/>
      <w:position w:val="0"/>
      <w:sz w:val="20"/>
      <w:szCs w:val="20"/>
      <w:u w:val="none"/>
      <w:shd w:val="clear" w:color="auto" w:fill="FFFFFF"/>
      <w:lang w:val="en-US" w:eastAsia="en-US"/>
    </w:rPr>
  </w:style>
  <w:style w:type="character" w:customStyle="1" w:styleId="366">
    <w:name w:val="正文文本 (2) + Times New Roman2"/>
    <w:uiPriority w:val="99"/>
    <w:rPr>
      <w:rFonts w:ascii="Times New Roman" w:hAnsi="Times New Roman" w:eastAsia="宋体" w:cs="Times New Roman"/>
      <w:color w:val="000000"/>
      <w:spacing w:val="0"/>
      <w:w w:val="100"/>
      <w:position w:val="0"/>
      <w:sz w:val="20"/>
      <w:szCs w:val="20"/>
      <w:u w:val="none"/>
      <w:shd w:val="clear" w:color="auto" w:fill="FFFFFF"/>
      <w:lang w:val="en-US" w:eastAsia="en-US"/>
    </w:rPr>
  </w:style>
  <w:style w:type="paragraph" w:customStyle="1" w:styleId="367">
    <w:name w:val="一、"/>
    <w:next w:val="42"/>
    <w:uiPriority w:val="0"/>
    <w:pPr>
      <w:numPr>
        <w:ilvl w:val="0"/>
        <w:numId w:val="1"/>
      </w:numPr>
      <w:tabs>
        <w:tab w:val="left" w:pos="360"/>
        <w:tab w:val="left" w:pos="960"/>
      </w:tabs>
      <w:spacing w:before="240" w:after="240"/>
      <w:ind w:firstLine="0"/>
    </w:pPr>
    <w:rPr>
      <w:rFonts w:ascii="Times New Roman" w:hAnsi="Times New Roman" w:eastAsia="黑体" w:cs="Times New Roman"/>
      <w:sz w:val="28"/>
      <w:lang w:val="en-US" w:eastAsia="zh-CN" w:bidi="ar-SA"/>
    </w:rPr>
  </w:style>
  <w:style w:type="paragraph" w:customStyle="1" w:styleId="368">
    <w:name w:val="1."/>
    <w:basedOn w:val="1"/>
    <w:uiPriority w:val="0"/>
    <w:pPr>
      <w:numPr>
        <w:ilvl w:val="0"/>
        <w:numId w:val="2"/>
      </w:numPr>
      <w:spacing w:line="360" w:lineRule="auto"/>
      <w:ind w:firstLine="482"/>
    </w:pPr>
    <w:rPr>
      <w:sz w:val="28"/>
      <w:szCs w:val="20"/>
    </w:rPr>
  </w:style>
  <w:style w:type="character" w:customStyle="1" w:styleId="369">
    <w:name w:val="日期 Char"/>
    <w:link w:val="23"/>
    <w:uiPriority w:val="0"/>
    <w:rPr>
      <w:kern w:val="2"/>
      <w:sz w:val="21"/>
      <w:szCs w:val="24"/>
    </w:rPr>
  </w:style>
  <w:style w:type="character" w:customStyle="1" w:styleId="370">
    <w:name w:val="正文文本缩进 3 Char"/>
    <w:link w:val="34"/>
    <w:uiPriority w:val="0"/>
    <w:rPr>
      <w:kern w:val="2"/>
      <w:sz w:val="21"/>
      <w:szCs w:val="24"/>
    </w:rPr>
  </w:style>
  <w:style w:type="paragraph" w:customStyle="1" w:styleId="371">
    <w:name w:val="表中"/>
    <w:basedOn w:val="1"/>
    <w:uiPriority w:val="0"/>
    <w:pPr>
      <w:adjustRightInd w:val="0"/>
      <w:spacing w:line="360" w:lineRule="atLeast"/>
      <w:jc w:val="center"/>
      <w:textAlignment w:val="baseline"/>
    </w:pPr>
    <w:rPr>
      <w:kern w:val="0"/>
      <w:szCs w:val="20"/>
    </w:rPr>
  </w:style>
  <w:style w:type="paragraph" w:customStyle="1" w:styleId="372">
    <w:name w:val="表格文字"/>
    <w:basedOn w:val="1"/>
    <w:uiPriority w:val="0"/>
    <w:pPr>
      <w:adjustRightInd w:val="0"/>
      <w:spacing w:line="420" w:lineRule="atLeast"/>
      <w:jc w:val="left"/>
      <w:textAlignment w:val="baseline"/>
    </w:pPr>
    <w:rPr>
      <w:kern w:val="0"/>
      <w:szCs w:val="20"/>
    </w:rPr>
  </w:style>
  <w:style w:type="paragraph" w:customStyle="1" w:styleId="373">
    <w:name w:val="a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74">
    <w:name w:val="xl35"/>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375">
    <w:name w:val="Char Char Char Char Char Char1 Char Char Char Char"/>
    <w:basedOn w:val="1"/>
    <w:uiPriority w:val="0"/>
    <w:rPr>
      <w:rFonts w:ascii="仿宋_GB2312" w:eastAsia="仿宋_GB2312"/>
      <w:b/>
      <w:sz w:val="32"/>
      <w:szCs w:val="32"/>
    </w:rPr>
  </w:style>
  <w:style w:type="paragraph" w:customStyle="1" w:styleId="376">
    <w:name w:val="Char Char Char Char1"/>
    <w:basedOn w:val="1"/>
    <w:uiPriority w:val="0"/>
    <w:pPr>
      <w:widowControl/>
      <w:spacing w:after="160" w:line="240" w:lineRule="exact"/>
      <w:jc w:val="left"/>
    </w:pPr>
    <w:rPr>
      <w:szCs w:val="20"/>
    </w:rPr>
  </w:style>
  <w:style w:type="character" w:customStyle="1" w:styleId="377">
    <w:name w:val="tpc_content1"/>
    <w:uiPriority w:val="0"/>
    <w:rPr>
      <w:sz w:val="20"/>
      <w:szCs w:val="20"/>
    </w:rPr>
  </w:style>
  <w:style w:type="paragraph" w:customStyle="1" w:styleId="378">
    <w:name w:val="Char Char1"/>
    <w:basedOn w:val="1"/>
    <w:uiPriority w:val="0"/>
    <w:rPr>
      <w:rFonts w:ascii="Tahoma" w:hAnsi="Tahoma"/>
      <w:sz w:val="24"/>
      <w:szCs w:val="20"/>
    </w:rPr>
  </w:style>
  <w:style w:type="character" w:customStyle="1" w:styleId="379">
    <w:name w:val="称呼 Char"/>
    <w:basedOn w:val="45"/>
    <w:link w:val="16"/>
    <w:uiPriority w:val="0"/>
    <w:rPr>
      <w:kern w:val="2"/>
      <w:sz w:val="24"/>
      <w:szCs w:val="24"/>
    </w:rPr>
  </w:style>
  <w:style w:type="paragraph" w:customStyle="1" w:styleId="380">
    <w:name w:val="xl30"/>
    <w:basedOn w:val="1"/>
    <w:uiPriority w:val="0"/>
    <w:pPr>
      <w:widowControl/>
      <w:spacing w:before="100" w:beforeAutospacing="1" w:after="100" w:afterAutospacing="1"/>
      <w:jc w:val="center"/>
      <w:textAlignment w:val="center"/>
    </w:pPr>
    <w:rPr>
      <w:rFonts w:ascii="Arial Unicode MS" w:hAnsi="Arial Unicode MS" w:eastAsia="Arial Unicode MS" w:cs="Courier New"/>
      <w:b/>
      <w:bCs/>
      <w:kern w:val="0"/>
      <w:sz w:val="24"/>
      <w:szCs w:val="24"/>
    </w:rPr>
  </w:style>
  <w:style w:type="character" w:customStyle="1" w:styleId="381">
    <w:name w:val="标题 Char"/>
    <w:link w:val="40"/>
    <w:uiPriority w:val="0"/>
    <w:rPr>
      <w:rFonts w:ascii="Arial" w:hAnsi="Arial" w:cs="Arial"/>
      <w:b/>
      <w:bCs/>
      <w:sz w:val="44"/>
      <w:szCs w:val="32"/>
    </w:rPr>
  </w:style>
  <w:style w:type="paragraph" w:customStyle="1" w:styleId="382">
    <w:name w:val="标题 1_0"/>
    <w:basedOn w:val="1"/>
    <w:next w:val="1"/>
    <w:link w:val="383"/>
    <w:qFormat/>
    <w:uiPriority w:val="0"/>
    <w:pPr>
      <w:keepNext/>
      <w:keepLines/>
      <w:spacing w:before="340" w:after="330" w:line="578" w:lineRule="auto"/>
      <w:outlineLvl w:val="0"/>
    </w:pPr>
    <w:rPr>
      <w:b/>
      <w:bCs/>
      <w:kern w:val="44"/>
      <w:sz w:val="44"/>
      <w:szCs w:val="44"/>
    </w:rPr>
  </w:style>
  <w:style w:type="character" w:customStyle="1" w:styleId="383">
    <w:name w:val="标题 1 字符"/>
    <w:link w:val="382"/>
    <w:uiPriority w:val="0"/>
    <w:rPr>
      <w:b/>
      <w:bCs/>
      <w:kern w:val="44"/>
      <w:sz w:val="44"/>
      <w:szCs w:val="44"/>
    </w:rPr>
  </w:style>
  <w:style w:type="paragraph" w:customStyle="1" w:styleId="38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
    <w:name w:val="标题 4_0"/>
    <w:basedOn w:val="384"/>
    <w:next w:val="384"/>
    <w:link w:val="386"/>
    <w:qFormat/>
    <w:uiPriority w:val="0"/>
    <w:pPr>
      <w:keepNext/>
      <w:keepLines/>
      <w:spacing w:before="280" w:after="290" w:line="376" w:lineRule="auto"/>
      <w:outlineLvl w:val="3"/>
    </w:pPr>
    <w:rPr>
      <w:rFonts w:ascii="Arial" w:hAnsi="Arial" w:eastAsia="黑体"/>
      <w:b/>
      <w:bCs/>
      <w:sz w:val="28"/>
      <w:szCs w:val="28"/>
    </w:rPr>
  </w:style>
  <w:style w:type="character" w:customStyle="1" w:styleId="386">
    <w:name w:val="标题 4 字符"/>
    <w:link w:val="385"/>
    <w:uiPriority w:val="0"/>
    <w:rPr>
      <w:rFonts w:ascii="Arial" w:hAnsi="Arial" w:eastAsia="黑体"/>
      <w:b/>
      <w:bCs/>
      <w:kern w:val="2"/>
      <w:sz w:val="28"/>
      <w:szCs w:val="28"/>
    </w:rPr>
  </w:style>
  <w:style w:type="paragraph" w:customStyle="1" w:styleId="387">
    <w:name w:val="标题 5_0"/>
    <w:basedOn w:val="384"/>
    <w:next w:val="384"/>
    <w:link w:val="388"/>
    <w:qFormat/>
    <w:uiPriority w:val="0"/>
    <w:pPr>
      <w:keepNext/>
      <w:keepLines/>
      <w:spacing w:before="280" w:after="290" w:line="376" w:lineRule="auto"/>
      <w:outlineLvl w:val="4"/>
    </w:pPr>
    <w:rPr>
      <w:b/>
      <w:bCs/>
      <w:sz w:val="28"/>
      <w:szCs w:val="28"/>
    </w:rPr>
  </w:style>
  <w:style w:type="character" w:customStyle="1" w:styleId="388">
    <w:name w:val="标题 5 字符"/>
    <w:link w:val="387"/>
    <w:uiPriority w:val="0"/>
    <w:rPr>
      <w:b/>
      <w:bCs/>
      <w:kern w:val="2"/>
      <w:sz w:val="28"/>
      <w:szCs w:val="28"/>
    </w:rPr>
  </w:style>
  <w:style w:type="paragraph" w:customStyle="1" w:styleId="389">
    <w:name w:val="标题 3_0"/>
    <w:basedOn w:val="390"/>
    <w:next w:val="390"/>
    <w:link w:val="391"/>
    <w:unhideWhenUsed/>
    <w:qFormat/>
    <w:uiPriority w:val="0"/>
    <w:pPr>
      <w:keepNext/>
      <w:keepLines/>
      <w:spacing w:before="260" w:after="260" w:line="416" w:lineRule="auto"/>
      <w:outlineLvl w:val="2"/>
    </w:pPr>
    <w:rPr>
      <w:b/>
      <w:bCs/>
      <w:sz w:val="32"/>
      <w:szCs w:val="32"/>
    </w:rPr>
  </w:style>
  <w:style w:type="paragraph" w:customStyle="1" w:styleId="390">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1">
    <w:name w:val="标题 3 Char_0"/>
    <w:link w:val="389"/>
    <w:uiPriority w:val="0"/>
    <w:rPr>
      <w:b/>
      <w:bCs/>
      <w:kern w:val="2"/>
      <w:sz w:val="32"/>
      <w:szCs w:val="32"/>
    </w:rPr>
  </w:style>
  <w:style w:type="paragraph" w:customStyle="1" w:styleId="392">
    <w:name w:val="列出段落_0"/>
    <w:basedOn w:val="390"/>
    <w:qFormat/>
    <w:uiPriority w:val="0"/>
    <w:pPr>
      <w:ind w:firstLine="420" w:firstLineChars="200"/>
    </w:pPr>
    <w:rPr>
      <w:rFonts w:ascii="Calibri" w:hAnsi="Calibri"/>
    </w:rPr>
  </w:style>
  <w:style w:type="paragraph" w:customStyle="1" w:styleId="393">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4">
    <w:name w:val="尾注文本 Char"/>
    <w:link w:val="25"/>
    <w:uiPriority w:val="0"/>
    <w:rPr>
      <w:kern w:val="2"/>
      <w:sz w:val="21"/>
      <w:szCs w:val="24"/>
    </w:rPr>
  </w:style>
  <w:style w:type="character" w:customStyle="1" w:styleId="395">
    <w:name w:val="尾注文本 Char1"/>
    <w:uiPriority w:val="0"/>
    <w:rPr>
      <w:rFonts w:ascii="Calibri" w:hAnsi="Calibri"/>
      <w:kern w:val="2"/>
      <w:sz w:val="21"/>
      <w:szCs w:val="22"/>
    </w:rPr>
  </w:style>
  <w:style w:type="character" w:customStyle="1" w:styleId="396">
    <w:name w:val="style61"/>
    <w:uiPriority w:val="0"/>
    <w:rPr>
      <w:color w:val="333333"/>
    </w:rPr>
  </w:style>
  <w:style w:type="paragraph" w:customStyle="1" w:styleId="397">
    <w:name w:val="p0"/>
    <w:basedOn w:val="1"/>
    <w:uiPriority w:val="0"/>
    <w:pPr>
      <w:widowControl/>
    </w:pPr>
    <w:rPr>
      <w:kern w:val="0"/>
      <w:szCs w:val="21"/>
    </w:rPr>
  </w:style>
  <w:style w:type="character" w:customStyle="1" w:styleId="398">
    <w:name w:val="正文文本 (2) + Tahoma"/>
    <w:qFormat/>
    <w:uiPriority w:val="0"/>
    <w:rPr>
      <w:rFonts w:ascii="Tahoma" w:hAnsi="Tahoma" w:eastAsia="Tahoma" w:cs="Tahoma"/>
      <w:color w:val="000000"/>
      <w:spacing w:val="0"/>
      <w:w w:val="100"/>
      <w:position w:val="0"/>
      <w:sz w:val="18"/>
      <w:szCs w:val="18"/>
      <w:u w:val="none"/>
      <w:shd w:val="clear" w:color="auto" w:fill="FFFFFF"/>
      <w:lang w:val="en-US" w:eastAsia="en-US" w:bidi="en-US"/>
    </w:rPr>
  </w:style>
  <w:style w:type="character" w:customStyle="1" w:styleId="399">
    <w:name w:val="正文文本 (7) + David"/>
    <w:qFormat/>
    <w:uiPriority w:val="0"/>
    <w:rPr>
      <w:rFonts w:ascii="David" w:hAnsi="David" w:eastAsia="David" w:cs="David"/>
      <w:color w:val="000000"/>
      <w:spacing w:val="0"/>
      <w:w w:val="100"/>
      <w:position w:val="0"/>
      <w:sz w:val="42"/>
      <w:szCs w:val="42"/>
      <w:shd w:val="clear" w:color="auto" w:fill="FFFFFF"/>
      <w:lang w:val="en-US" w:eastAsia="en-US" w:bidi="en-US"/>
    </w:rPr>
  </w:style>
  <w:style w:type="paragraph" w:customStyle="1" w:styleId="400">
    <w:name w:val="Table Paragraph"/>
    <w:basedOn w:val="1"/>
    <w:qFormat/>
    <w:uiPriority w:val="1"/>
    <w:pPr>
      <w:autoSpaceDE w:val="0"/>
      <w:autoSpaceDN w:val="0"/>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FD4779-B4C5-437B-99C2-8857A4CCE00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2220</Words>
  <Characters>12660</Characters>
  <Lines>105</Lines>
  <Paragraphs>29</Paragraphs>
  <TotalTime>1</TotalTime>
  <ScaleCrop>false</ScaleCrop>
  <LinksUpToDate>false</LinksUpToDate>
  <CharactersWithSpaces>14851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2018-08-30T08:43:00Z</dcterms:created>
  <dc:creator>徐绍宇</dc:creator>
  <cp:lastModifiedBy>Administrator</cp:lastModifiedBy>
  <cp:lastPrinted>2020-09-14T01:13:00Z</cp:lastPrinted>
  <dcterms:modified xsi:type="dcterms:W3CDTF">2020-12-10T16:15:46Z</dcterms:modified>
  <dc:title>中华人民共和国</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