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694"/>
          <w:tab w:val="left" w:pos="3420"/>
        </w:tabs>
        <w:adjustRightInd w:val="0"/>
        <w:snapToGrid w:val="0"/>
        <w:spacing w:line="400" w:lineRule="exact"/>
        <w:jc w:val="center"/>
        <w:rPr>
          <w:rFonts w:hint="eastAsia" w:ascii="黑体" w:hAnsi="黑体" w:eastAsia="黑体"/>
          <w:sz w:val="28"/>
          <w:szCs w:val="28"/>
        </w:rPr>
      </w:pPr>
      <w:bookmarkStart w:id="0" w:name="_Hlk25683572"/>
      <w:r>
        <w:rPr>
          <w:rFonts w:hint="eastAsia" w:ascii="黑体" w:hAnsi="黑体" w:eastAsia="黑体"/>
          <w:sz w:val="28"/>
          <w:szCs w:val="28"/>
        </w:rPr>
        <w:t>延吉至长春高速公路大蒲柴河至烟筒山段、延吉至长春高速公路烟筒山至长春段、本溪至集安高速公路桓仁（省界）至集安段</w:t>
      </w:r>
      <w:bookmarkEnd w:id="0"/>
      <w:r>
        <w:rPr>
          <w:rFonts w:hint="eastAsia" w:ascii="黑体" w:hAnsi="黑体" w:eastAsia="黑体"/>
          <w:sz w:val="28"/>
          <w:szCs w:val="28"/>
        </w:rPr>
        <w:t>环境保护和水土保持</w:t>
      </w:r>
    </w:p>
    <w:p>
      <w:pPr>
        <w:tabs>
          <w:tab w:val="left" w:pos="2694"/>
          <w:tab w:val="left" w:pos="3420"/>
        </w:tabs>
        <w:adjustRightInd w:val="0"/>
        <w:snapToGrid w:val="0"/>
        <w:spacing w:line="400" w:lineRule="exact"/>
        <w:jc w:val="center"/>
        <w:rPr>
          <w:rFonts w:ascii="黑体" w:hAnsi="宋体" w:eastAsia="黑体" w:cs="宋体"/>
          <w:bCs/>
          <w:color w:val="000000"/>
          <w:kern w:val="0"/>
          <w:sz w:val="28"/>
          <w:szCs w:val="28"/>
          <w:lang w:val="zh-CN"/>
        </w:rPr>
      </w:pPr>
      <w:r>
        <w:rPr>
          <w:rFonts w:hint="eastAsia" w:ascii="黑体" w:hAnsi="黑体" w:eastAsia="黑体"/>
          <w:sz w:val="28"/>
          <w:szCs w:val="28"/>
        </w:rPr>
        <w:t>全过程技术服务招标</w:t>
      </w:r>
    </w:p>
    <w:p>
      <w:pPr>
        <w:tabs>
          <w:tab w:val="left" w:pos="5010"/>
        </w:tabs>
        <w:autoSpaceDE w:val="0"/>
        <w:autoSpaceDN w:val="0"/>
        <w:adjustRightInd w:val="0"/>
        <w:jc w:val="center"/>
        <w:rPr>
          <w:rFonts w:ascii="黑体" w:hAnsi="宋体" w:eastAsia="黑体"/>
          <w:bCs/>
          <w:color w:val="000000"/>
          <w:kern w:val="0"/>
          <w:sz w:val="40"/>
          <w:szCs w:val="32"/>
        </w:rPr>
      </w:pPr>
      <w:r>
        <w:rPr>
          <w:rFonts w:hint="eastAsia" w:ascii="黑体" w:eastAsia="黑体"/>
          <w:color w:val="000000"/>
          <w:sz w:val="40"/>
          <w:szCs w:val="32"/>
        </w:rPr>
        <w:t>关键内容</w:t>
      </w:r>
    </w:p>
    <w:p>
      <w:pPr>
        <w:adjustRightInd w:val="0"/>
        <w:snapToGrid w:val="0"/>
        <w:spacing w:beforeLines="50" w:afterLines="50"/>
        <w:ind w:firstLine="280" w:firstLineChars="100"/>
        <w:rPr>
          <w:rFonts w:hint="eastAsia" w:ascii="黑体" w:hAnsi="黑体" w:eastAsia="黑体"/>
          <w:sz w:val="28"/>
          <w:szCs w:val="28"/>
        </w:rPr>
      </w:pPr>
      <w:bookmarkStart w:id="1" w:name="_Toc462671337"/>
      <w:bookmarkStart w:id="2" w:name="_Toc498955117"/>
      <w:r>
        <w:rPr>
          <w:rFonts w:hint="eastAsia" w:ascii="黑体" w:hAnsi="黑体" w:eastAsia="黑体"/>
          <w:sz w:val="28"/>
          <w:szCs w:val="28"/>
        </w:rPr>
        <w:t>一、项目概况</w:t>
      </w:r>
    </w:p>
    <w:p>
      <w:pPr>
        <w:adjustRightInd w:val="0"/>
        <w:snapToGrid w:val="0"/>
        <w:spacing w:beforeLines="50" w:afterLines="50"/>
        <w:ind w:firstLine="240" w:firstLineChars="100"/>
        <w:rPr>
          <w:rFonts w:ascii="黑体" w:hAnsi="黑体" w:eastAsia="黑体"/>
          <w:sz w:val="24"/>
        </w:rPr>
      </w:pPr>
      <w:r>
        <w:rPr>
          <w:rFonts w:ascii="黑体" w:hAnsi="黑体" w:eastAsia="黑体"/>
          <w:sz w:val="24"/>
        </w:rPr>
        <w:t>1.招标条件</w:t>
      </w:r>
    </w:p>
    <w:p>
      <w:pPr>
        <w:autoSpaceDE w:val="0"/>
        <w:autoSpaceDN w:val="0"/>
        <w:adjustRightInd w:val="0"/>
        <w:spacing w:line="276" w:lineRule="auto"/>
        <w:ind w:firstLine="480" w:firstLineChars="200"/>
        <w:rPr>
          <w:rFonts w:hint="eastAsia" w:ascii="宋体" w:hAnsi="宋体"/>
          <w:kern w:val="0"/>
          <w:sz w:val="24"/>
        </w:rPr>
      </w:pPr>
      <w:r>
        <w:rPr>
          <w:rFonts w:hint="eastAsia" w:ascii="宋体" w:hAnsi="宋体"/>
          <w:kern w:val="0"/>
          <w:sz w:val="24"/>
        </w:rPr>
        <w:t>本招标项目延吉至长春高速公路大蒲柴河至烟筒山段、延吉至长春高速公路烟筒山至长春段、本溪至集安高速公路桓仁（省界）至集安段已具备招标条件，招标人为吉林中铁高速公路有限公司。现对该项目的</w:t>
      </w:r>
      <w:bookmarkStart w:id="3" w:name="_Hlk17663839"/>
      <w:r>
        <w:rPr>
          <w:rFonts w:hint="eastAsia" w:ascii="宋体" w:hAnsi="宋体"/>
          <w:kern w:val="0"/>
          <w:sz w:val="24"/>
        </w:rPr>
        <w:t>环境保护和水土保持全过程技术服务</w:t>
      </w:r>
      <w:bookmarkEnd w:id="3"/>
      <w:r>
        <w:rPr>
          <w:rFonts w:hint="eastAsia" w:ascii="宋体" w:hAnsi="宋体"/>
          <w:kern w:val="0"/>
          <w:sz w:val="24"/>
        </w:rPr>
        <w:t>进行公开招标。</w:t>
      </w:r>
    </w:p>
    <w:p>
      <w:pPr>
        <w:adjustRightInd w:val="0"/>
        <w:snapToGrid w:val="0"/>
        <w:spacing w:beforeLines="50" w:afterLines="50"/>
        <w:ind w:firstLine="240" w:firstLineChars="100"/>
        <w:rPr>
          <w:rFonts w:ascii="黑体" w:hAnsi="黑体" w:eastAsia="黑体"/>
          <w:sz w:val="24"/>
        </w:rPr>
      </w:pPr>
      <w:bookmarkStart w:id="4" w:name="_Toc436994094"/>
      <w:r>
        <w:rPr>
          <w:rFonts w:ascii="黑体" w:hAnsi="黑体" w:eastAsia="黑体"/>
          <w:sz w:val="24"/>
        </w:rPr>
        <w:t>2.项目概况与招标范围</w:t>
      </w:r>
      <w:bookmarkEnd w:id="4"/>
    </w:p>
    <w:p>
      <w:pPr>
        <w:autoSpaceDE w:val="0"/>
        <w:autoSpaceDN w:val="0"/>
        <w:adjustRightInd w:val="0"/>
        <w:spacing w:line="276" w:lineRule="auto"/>
        <w:ind w:firstLine="482" w:firstLineChars="200"/>
        <w:rPr>
          <w:rFonts w:ascii="宋体" w:hAnsi="宋体"/>
          <w:b/>
          <w:kern w:val="0"/>
          <w:sz w:val="24"/>
        </w:rPr>
      </w:pPr>
      <w:r>
        <w:rPr>
          <w:rFonts w:ascii="宋体" w:hAnsi="宋体"/>
          <w:b/>
          <w:kern w:val="0"/>
          <w:sz w:val="24"/>
        </w:rPr>
        <w:t>2.1 项目概况</w:t>
      </w:r>
    </w:p>
    <w:p>
      <w:pPr>
        <w:autoSpaceDE w:val="0"/>
        <w:autoSpaceDN w:val="0"/>
        <w:adjustRightInd w:val="0"/>
        <w:spacing w:line="276" w:lineRule="auto"/>
        <w:ind w:firstLine="480" w:firstLineChars="200"/>
        <w:rPr>
          <w:rFonts w:ascii="宋体" w:hAnsi="宋体"/>
          <w:kern w:val="0"/>
          <w:sz w:val="24"/>
        </w:rPr>
      </w:pPr>
      <w:r>
        <w:rPr>
          <w:rFonts w:hint="eastAsia" w:ascii="宋体" w:hAnsi="宋体"/>
          <w:kern w:val="0"/>
          <w:sz w:val="24"/>
        </w:rPr>
        <w:t>延吉至长春高速公路大蒲柴河至烟筒山段建设项目路线起于大蒲柴河镇金沙河屯，与在建的延蒲高速公路终点顺接，终点位于烟筒山互通处，路线主线全长191.374公里，二道甸子至烟筒山辅道23.128公里，老金厂连接线4.187公里，莲花山连接线0.7公里。</w:t>
      </w:r>
    </w:p>
    <w:p>
      <w:pPr>
        <w:autoSpaceDE w:val="0"/>
        <w:autoSpaceDN w:val="0"/>
        <w:adjustRightInd w:val="0"/>
        <w:spacing w:line="276" w:lineRule="auto"/>
        <w:ind w:firstLine="480" w:firstLineChars="200"/>
        <w:rPr>
          <w:rFonts w:ascii="宋体" w:hAnsi="宋体"/>
          <w:kern w:val="0"/>
          <w:sz w:val="24"/>
        </w:rPr>
      </w:pPr>
      <w:r>
        <w:rPr>
          <w:rFonts w:hint="eastAsia" w:ascii="宋体" w:hAnsi="宋体"/>
          <w:kern w:val="0"/>
          <w:sz w:val="24"/>
        </w:rPr>
        <w:t>延吉至长春高速公路烟筒山至长春段建设项目路线起于烟筒山镇西侧，与拟建的大蒲柴河至烟筒山高速公路终点顺接，终点位于洋浦互通处，路线全长92.518公里。</w:t>
      </w:r>
    </w:p>
    <w:p>
      <w:pPr>
        <w:autoSpaceDE w:val="0"/>
        <w:autoSpaceDN w:val="0"/>
        <w:adjustRightInd w:val="0"/>
        <w:spacing w:line="276" w:lineRule="auto"/>
        <w:ind w:firstLine="480" w:firstLineChars="200"/>
        <w:rPr>
          <w:rFonts w:ascii="宋体" w:hAnsi="宋体"/>
          <w:kern w:val="0"/>
          <w:sz w:val="24"/>
        </w:rPr>
      </w:pPr>
      <w:r>
        <w:rPr>
          <w:rFonts w:hint="eastAsia" w:ascii="宋体" w:hAnsi="宋体"/>
          <w:kern w:val="0"/>
          <w:sz w:val="24"/>
        </w:rPr>
        <w:t>本溪至集安高速公路桓仁（省界）至集安段建设项目路线起于吉辽省界挂牌岭，终点位于山城村，与集双高速公路连接，路线全长57.807公里。</w:t>
      </w:r>
    </w:p>
    <w:p>
      <w:pPr>
        <w:autoSpaceDE w:val="0"/>
        <w:autoSpaceDN w:val="0"/>
        <w:adjustRightInd w:val="0"/>
        <w:spacing w:line="276" w:lineRule="auto"/>
        <w:ind w:firstLine="482" w:firstLineChars="200"/>
        <w:rPr>
          <w:rFonts w:ascii="宋体" w:hAnsi="宋体"/>
          <w:b/>
          <w:kern w:val="0"/>
          <w:sz w:val="24"/>
        </w:rPr>
      </w:pPr>
      <w:r>
        <w:rPr>
          <w:rFonts w:hint="eastAsia" w:ascii="宋体" w:hAnsi="宋体"/>
          <w:b/>
          <w:kern w:val="0"/>
          <w:sz w:val="24"/>
        </w:rPr>
        <w:t>2.2 建设期</w:t>
      </w:r>
    </w:p>
    <w:p>
      <w:pPr>
        <w:autoSpaceDE w:val="0"/>
        <w:autoSpaceDN w:val="0"/>
        <w:adjustRightInd w:val="0"/>
        <w:spacing w:line="276" w:lineRule="auto"/>
        <w:ind w:firstLine="480" w:firstLineChars="200"/>
        <w:rPr>
          <w:rFonts w:ascii="宋体" w:hAnsi="宋体"/>
          <w:kern w:val="0"/>
          <w:sz w:val="24"/>
        </w:rPr>
      </w:pPr>
      <w:r>
        <w:rPr>
          <w:rFonts w:hint="eastAsia" w:ascii="宋体" w:hAnsi="宋体"/>
          <w:kern w:val="0"/>
          <w:sz w:val="24"/>
        </w:rPr>
        <w:t>自开工之日起4年。</w:t>
      </w:r>
    </w:p>
    <w:p>
      <w:pPr>
        <w:autoSpaceDE w:val="0"/>
        <w:autoSpaceDN w:val="0"/>
        <w:adjustRightInd w:val="0"/>
        <w:spacing w:line="276" w:lineRule="auto"/>
        <w:ind w:firstLine="482" w:firstLineChars="200"/>
        <w:rPr>
          <w:rFonts w:ascii="宋体" w:hAnsi="宋体"/>
          <w:b/>
          <w:kern w:val="0"/>
          <w:sz w:val="24"/>
        </w:rPr>
      </w:pPr>
      <w:r>
        <w:rPr>
          <w:rFonts w:ascii="宋体" w:hAnsi="宋体"/>
          <w:b/>
          <w:kern w:val="0"/>
          <w:sz w:val="24"/>
        </w:rPr>
        <w:t>2.</w:t>
      </w:r>
      <w:r>
        <w:rPr>
          <w:rFonts w:hint="eastAsia" w:ascii="宋体" w:hAnsi="宋体"/>
          <w:b/>
          <w:kern w:val="0"/>
          <w:sz w:val="24"/>
        </w:rPr>
        <w:t xml:space="preserve">3 </w:t>
      </w:r>
      <w:r>
        <w:rPr>
          <w:rFonts w:ascii="宋体" w:hAnsi="宋体"/>
          <w:b/>
          <w:kern w:val="0"/>
          <w:sz w:val="24"/>
        </w:rPr>
        <w:t>招标范围及标段划分</w:t>
      </w:r>
    </w:p>
    <w:p>
      <w:pPr>
        <w:autoSpaceDE w:val="0"/>
        <w:autoSpaceDN w:val="0"/>
        <w:adjustRightInd w:val="0"/>
        <w:spacing w:line="276" w:lineRule="auto"/>
        <w:ind w:firstLine="480" w:firstLineChars="200"/>
        <w:rPr>
          <w:rFonts w:ascii="宋体" w:hAnsi="宋体"/>
          <w:sz w:val="24"/>
        </w:rPr>
      </w:pPr>
      <w:r>
        <w:rPr>
          <w:rFonts w:hint="eastAsia" w:ascii="宋体" w:hAnsi="宋体"/>
          <w:kern w:val="0"/>
          <w:sz w:val="24"/>
        </w:rPr>
        <w:t>延吉至长春高速公路大蒲柴河至烟筒山段、延吉至长春高速公路烟筒山至长春段、本溪至集安高速公路桓仁（省界）至集安段</w:t>
      </w:r>
      <w:r>
        <w:rPr>
          <w:rFonts w:ascii="宋体" w:hAnsi="宋体"/>
          <w:sz w:val="24"/>
        </w:rPr>
        <w:t>全线范围内</w:t>
      </w:r>
      <w:r>
        <w:rPr>
          <w:rFonts w:hint="eastAsia" w:ascii="宋体" w:hAnsi="宋体"/>
          <w:sz w:val="24"/>
        </w:rPr>
        <w:t>所在区域与工程影响区域的</w:t>
      </w:r>
      <w:r>
        <w:rPr>
          <w:rFonts w:ascii="宋体" w:hAnsi="宋体"/>
          <w:kern w:val="0"/>
          <w:sz w:val="24"/>
        </w:rPr>
        <w:t>水土保持及环境保护技术服务</w:t>
      </w:r>
      <w:r>
        <w:rPr>
          <w:rFonts w:hint="eastAsia" w:ascii="宋体" w:hAnsi="宋体"/>
          <w:kern w:val="0"/>
          <w:sz w:val="24"/>
        </w:rPr>
        <w:t>，</w:t>
      </w:r>
      <w:r>
        <w:rPr>
          <w:rFonts w:ascii="宋体" w:hAnsi="宋体"/>
          <w:kern w:val="0"/>
          <w:sz w:val="24"/>
        </w:rPr>
        <w:t>划分1个标段，</w:t>
      </w:r>
      <w:r>
        <w:rPr>
          <w:rFonts w:hint="eastAsia" w:ascii="宋体" w:hAnsi="宋体"/>
          <w:kern w:val="0"/>
          <w:sz w:val="24"/>
        </w:rPr>
        <w:t>即SH01标段</w:t>
      </w:r>
      <w:r>
        <w:rPr>
          <w:rFonts w:ascii="宋体" w:hAnsi="宋体"/>
          <w:sz w:val="24"/>
        </w:rPr>
        <w:t>。</w:t>
      </w:r>
    </w:p>
    <w:p>
      <w:pPr>
        <w:autoSpaceDE w:val="0"/>
        <w:autoSpaceDN w:val="0"/>
        <w:adjustRightInd w:val="0"/>
        <w:spacing w:line="276" w:lineRule="auto"/>
        <w:ind w:firstLine="480" w:firstLineChars="200"/>
        <w:rPr>
          <w:rFonts w:ascii="宋体" w:hAnsi="宋体"/>
          <w:kern w:val="0"/>
          <w:sz w:val="24"/>
        </w:rPr>
      </w:pPr>
      <w:r>
        <w:rPr>
          <w:rFonts w:hint="eastAsia" w:ascii="宋体" w:hAnsi="宋体"/>
          <w:kern w:val="0"/>
          <w:sz w:val="24"/>
        </w:rPr>
        <w:t>招标范围</w:t>
      </w:r>
      <w:r>
        <w:rPr>
          <w:rFonts w:ascii="宋体" w:hAnsi="宋体"/>
          <w:kern w:val="0"/>
          <w:sz w:val="24"/>
        </w:rPr>
        <w:t>如下：</w:t>
      </w:r>
    </w:p>
    <w:p>
      <w:pPr>
        <w:autoSpaceDE w:val="0"/>
        <w:autoSpaceDN w:val="0"/>
        <w:adjustRightInd w:val="0"/>
        <w:spacing w:line="276" w:lineRule="auto"/>
        <w:ind w:firstLine="482" w:firstLineChars="200"/>
        <w:rPr>
          <w:rFonts w:ascii="宋体" w:hAnsi="宋体"/>
          <w:b/>
          <w:kern w:val="0"/>
          <w:sz w:val="24"/>
        </w:rPr>
      </w:pPr>
      <w:r>
        <w:rPr>
          <w:rFonts w:hint="eastAsia" w:ascii="宋体" w:hAnsi="宋体"/>
          <w:b/>
          <w:kern w:val="0"/>
          <w:sz w:val="24"/>
        </w:rPr>
        <w:t>2.3.1</w:t>
      </w:r>
      <w:r>
        <w:rPr>
          <w:rFonts w:ascii="宋体" w:hAnsi="宋体"/>
          <w:b/>
          <w:kern w:val="0"/>
          <w:sz w:val="24"/>
        </w:rPr>
        <w:t xml:space="preserve"> </w:t>
      </w:r>
      <w:bookmarkStart w:id="5" w:name="_Hlk42780070"/>
      <w:r>
        <w:rPr>
          <w:rFonts w:hint="eastAsia" w:ascii="宋体" w:hAnsi="宋体"/>
          <w:b/>
          <w:kern w:val="0"/>
          <w:sz w:val="24"/>
        </w:rPr>
        <w:t>水土保持技术服务</w:t>
      </w:r>
      <w:bookmarkEnd w:id="5"/>
    </w:p>
    <w:p>
      <w:pPr>
        <w:pStyle w:val="31"/>
        <w:adjustRightInd/>
        <w:spacing w:line="276" w:lineRule="auto"/>
        <w:ind w:firstLine="480" w:firstLineChars="200"/>
        <w:jc w:val="both"/>
        <w:rPr>
          <w:rFonts w:ascii="宋体" w:hAnsi="宋体" w:eastAsia="宋体" w:cs="Times New Roman"/>
          <w:color w:val="auto"/>
        </w:rPr>
      </w:pPr>
      <w:r>
        <w:rPr>
          <w:rFonts w:hint="eastAsia" w:ascii="宋体" w:hAnsi="宋体" w:eastAsia="宋体"/>
          <w:color w:val="auto"/>
        </w:rPr>
        <w:t>⑴</w:t>
      </w:r>
      <w:r>
        <w:rPr>
          <w:rFonts w:ascii="宋体" w:hAnsi="宋体" w:eastAsia="宋体"/>
          <w:color w:val="auto"/>
        </w:rPr>
        <w:t xml:space="preserve"> </w:t>
      </w:r>
      <w:bookmarkStart w:id="6" w:name="_Hlk42780076"/>
      <w:r>
        <w:rPr>
          <w:rFonts w:hint="eastAsia" w:ascii="宋体" w:hAnsi="宋体" w:eastAsia="宋体"/>
          <w:color w:val="auto"/>
        </w:rPr>
        <w:t>水土保持监理</w:t>
      </w:r>
      <w:bookmarkEnd w:id="6"/>
      <w:r>
        <w:rPr>
          <w:rFonts w:hint="eastAsia" w:ascii="宋体" w:hAnsi="宋体" w:eastAsia="宋体"/>
          <w:color w:val="auto"/>
        </w:rPr>
        <w:t>：</w:t>
      </w:r>
      <w:r>
        <w:rPr>
          <w:rFonts w:ascii="宋体" w:hAnsi="宋体" w:eastAsia="宋体" w:cs="Times New Roman"/>
          <w:color w:val="auto"/>
        </w:rPr>
        <w:t>根据水土保持相关法律法规规定，对项目进行施工期水土保持监理，</w:t>
      </w:r>
      <w:r>
        <w:rPr>
          <w:rFonts w:hint="eastAsia" w:ascii="宋体" w:hAnsi="宋体" w:eastAsia="宋体" w:cs="Times New Roman"/>
          <w:color w:val="auto"/>
        </w:rPr>
        <w:t>并定期提交监理报告，</w:t>
      </w:r>
      <w:r>
        <w:rPr>
          <w:rFonts w:ascii="宋体" w:hAnsi="宋体" w:eastAsia="宋体" w:cs="Times New Roman"/>
          <w:color w:val="auto"/>
        </w:rPr>
        <w:t>提交水土保持监理总结报告</w:t>
      </w:r>
      <w:r>
        <w:rPr>
          <w:rFonts w:hint="eastAsia" w:ascii="宋体" w:hAnsi="宋体" w:eastAsia="宋体" w:cs="Times New Roman"/>
          <w:color w:val="auto"/>
        </w:rPr>
        <w:t>等工作</w:t>
      </w:r>
      <w:r>
        <w:rPr>
          <w:rFonts w:ascii="宋体" w:hAnsi="宋体" w:eastAsia="宋体" w:cs="Times New Roman"/>
          <w:color w:val="auto"/>
        </w:rPr>
        <w:t>。</w:t>
      </w:r>
    </w:p>
    <w:p>
      <w:pPr>
        <w:pStyle w:val="31"/>
        <w:adjustRightInd/>
        <w:spacing w:line="276" w:lineRule="auto"/>
        <w:ind w:firstLine="480" w:firstLineChars="200"/>
        <w:jc w:val="both"/>
        <w:rPr>
          <w:rFonts w:ascii="宋体" w:hAnsi="宋体" w:eastAsia="宋体" w:cs="Times New Roman"/>
          <w:color w:val="auto"/>
        </w:rPr>
      </w:pPr>
      <w:bookmarkStart w:id="7" w:name="_Hlk62567853"/>
      <w:r>
        <w:rPr>
          <w:rFonts w:hint="eastAsia" w:ascii="宋体" w:hAnsi="宋体" w:eastAsia="宋体"/>
          <w:color w:val="auto"/>
        </w:rPr>
        <w:t>⑵</w:t>
      </w:r>
      <w:bookmarkEnd w:id="7"/>
      <w:bookmarkStart w:id="8" w:name="_Hlk42780083"/>
      <w:r>
        <w:rPr>
          <w:rFonts w:hint="eastAsia" w:ascii="宋体" w:hAnsi="宋体" w:eastAsia="宋体"/>
          <w:color w:val="auto"/>
        </w:rPr>
        <w:t xml:space="preserve"> 水土保持监测</w:t>
      </w:r>
      <w:bookmarkEnd w:id="8"/>
      <w:r>
        <w:rPr>
          <w:rFonts w:hint="eastAsia" w:ascii="宋体" w:hAnsi="宋体" w:eastAsia="宋体"/>
          <w:color w:val="auto"/>
        </w:rPr>
        <w:t>：</w:t>
      </w:r>
      <w:r>
        <w:rPr>
          <w:rFonts w:ascii="宋体" w:hAnsi="宋体" w:eastAsia="宋体" w:cs="Times New Roman"/>
          <w:color w:val="auto"/>
        </w:rPr>
        <w:t>根据水土保持相关法律法规规定和批复水土保持方案要求，对项目开展水土保持监测，</w:t>
      </w:r>
      <w:r>
        <w:rPr>
          <w:rFonts w:hint="eastAsia" w:ascii="宋体" w:hAnsi="宋体" w:eastAsia="宋体" w:cs="Times New Roman"/>
          <w:color w:val="auto"/>
        </w:rPr>
        <w:t>并定期提交监测报告，</w:t>
      </w:r>
      <w:r>
        <w:rPr>
          <w:rFonts w:ascii="宋体" w:hAnsi="宋体" w:eastAsia="宋体" w:cs="Times New Roman"/>
          <w:color w:val="auto"/>
        </w:rPr>
        <w:t>提交监测总结报告</w:t>
      </w:r>
      <w:r>
        <w:rPr>
          <w:rFonts w:hint="eastAsia" w:ascii="宋体" w:hAnsi="宋体" w:eastAsia="宋体" w:cs="Times New Roman"/>
          <w:color w:val="auto"/>
        </w:rPr>
        <w:t>等工作</w:t>
      </w:r>
      <w:r>
        <w:rPr>
          <w:rFonts w:ascii="宋体" w:hAnsi="宋体" w:eastAsia="宋体" w:cs="Times New Roman"/>
          <w:color w:val="auto"/>
        </w:rPr>
        <w:t>。</w:t>
      </w:r>
    </w:p>
    <w:p>
      <w:pPr>
        <w:pStyle w:val="31"/>
        <w:adjustRightInd/>
        <w:spacing w:line="276" w:lineRule="auto"/>
        <w:ind w:firstLine="480" w:firstLineChars="200"/>
        <w:jc w:val="both"/>
        <w:rPr>
          <w:rFonts w:ascii="宋体" w:hAnsi="宋体" w:eastAsia="宋体" w:cs="Times New Roman"/>
          <w:color w:val="auto"/>
        </w:rPr>
      </w:pPr>
      <w:r>
        <w:rPr>
          <w:rFonts w:hint="eastAsia" w:ascii="宋体" w:hAnsi="宋体" w:eastAsia="宋体"/>
          <w:color w:val="auto"/>
        </w:rPr>
        <w:t>⑶</w:t>
      </w:r>
      <w:bookmarkStart w:id="9" w:name="_Hlk42780090"/>
      <w:r>
        <w:rPr>
          <w:rFonts w:hint="eastAsia" w:ascii="宋体" w:hAnsi="宋体" w:eastAsia="宋体"/>
          <w:color w:val="auto"/>
        </w:rPr>
        <w:t xml:space="preserve"> 水土保持设施竣工验收</w:t>
      </w:r>
      <w:bookmarkEnd w:id="9"/>
      <w:r>
        <w:rPr>
          <w:rFonts w:hint="eastAsia" w:ascii="宋体" w:hAnsi="宋体" w:eastAsia="宋体"/>
          <w:color w:val="auto"/>
        </w:rPr>
        <w:t>：</w:t>
      </w:r>
      <w:r>
        <w:rPr>
          <w:rFonts w:ascii="宋体" w:hAnsi="宋体" w:eastAsia="宋体" w:cs="Times New Roman"/>
          <w:color w:val="auto"/>
        </w:rPr>
        <w:t>根据水土保持相关法律法规规定，对项目进行水土保持设施竣工验收，编制</w:t>
      </w:r>
      <w:r>
        <w:rPr>
          <w:rFonts w:hint="eastAsia" w:ascii="宋体" w:hAnsi="宋体" w:eastAsia="宋体" w:cs="Times New Roman"/>
          <w:color w:val="auto"/>
        </w:rPr>
        <w:t>验收</w:t>
      </w:r>
      <w:r>
        <w:rPr>
          <w:rFonts w:ascii="宋体" w:hAnsi="宋体" w:eastAsia="宋体" w:cs="Times New Roman"/>
          <w:color w:val="auto"/>
        </w:rPr>
        <w:t>报告，通过</w:t>
      </w:r>
      <w:r>
        <w:rPr>
          <w:rFonts w:hint="eastAsia" w:ascii="宋体" w:hAnsi="宋体" w:eastAsia="宋体" w:cs="Times New Roman"/>
          <w:color w:val="auto"/>
        </w:rPr>
        <w:t>行业主管部门</w:t>
      </w:r>
      <w:r>
        <w:rPr>
          <w:rFonts w:ascii="宋体" w:hAnsi="宋体" w:eastAsia="宋体" w:cs="Times New Roman"/>
          <w:color w:val="auto"/>
        </w:rPr>
        <w:t>验收</w:t>
      </w:r>
      <w:r>
        <w:rPr>
          <w:rFonts w:hint="eastAsia" w:ascii="宋体" w:hAnsi="宋体" w:eastAsia="宋体" w:cs="Times New Roman"/>
          <w:color w:val="auto"/>
        </w:rPr>
        <w:t>等工作</w:t>
      </w:r>
      <w:r>
        <w:rPr>
          <w:rFonts w:ascii="宋体" w:hAnsi="宋体" w:eastAsia="宋体" w:cs="Times New Roman"/>
          <w:color w:val="auto"/>
        </w:rPr>
        <w:t>。</w:t>
      </w:r>
    </w:p>
    <w:p>
      <w:pPr>
        <w:pStyle w:val="32"/>
        <w:autoSpaceDE w:val="0"/>
        <w:autoSpaceDN w:val="0"/>
        <w:spacing w:line="276" w:lineRule="auto"/>
        <w:ind w:left="482" w:firstLine="0" w:firstLineChars="0"/>
        <w:rPr>
          <w:rFonts w:ascii="宋体" w:hAnsi="宋体"/>
          <w:b/>
          <w:kern w:val="0"/>
          <w:sz w:val="24"/>
        </w:rPr>
      </w:pPr>
      <w:bookmarkStart w:id="10" w:name="_Hlk42780002"/>
      <w:r>
        <w:rPr>
          <w:rFonts w:hint="eastAsia" w:ascii="宋体" w:hAnsi="宋体"/>
          <w:b/>
          <w:kern w:val="0"/>
          <w:sz w:val="24"/>
        </w:rPr>
        <w:t>2.3.2 环境保护技术服务</w:t>
      </w:r>
      <w:bookmarkEnd w:id="10"/>
    </w:p>
    <w:p>
      <w:pPr>
        <w:autoSpaceDE w:val="0"/>
        <w:autoSpaceDN w:val="0"/>
        <w:spacing w:line="276" w:lineRule="auto"/>
        <w:ind w:firstLine="480"/>
        <w:rPr>
          <w:rFonts w:ascii="宋体" w:hAnsi="宋体"/>
          <w:sz w:val="24"/>
        </w:rPr>
      </w:pPr>
      <w:bookmarkStart w:id="11" w:name="_Hlk42780023"/>
      <w:r>
        <w:rPr>
          <w:rFonts w:hint="eastAsia" w:ascii="宋体" w:hAnsi="宋体"/>
          <w:sz w:val="24"/>
        </w:rPr>
        <w:t>⑴竣工环境保护验收</w:t>
      </w:r>
      <w:bookmarkEnd w:id="11"/>
      <w:r>
        <w:rPr>
          <w:rFonts w:hint="eastAsia" w:ascii="宋体" w:hAnsi="宋体"/>
          <w:sz w:val="24"/>
        </w:rPr>
        <w:t>：</w:t>
      </w:r>
      <w:r>
        <w:rPr>
          <w:rFonts w:ascii="宋体" w:hAnsi="宋体"/>
          <w:sz w:val="24"/>
        </w:rPr>
        <w:t>根据环境保护相关法律法规规定，</w:t>
      </w:r>
      <w:r>
        <w:rPr>
          <w:rFonts w:hint="eastAsia" w:ascii="宋体" w:hAnsi="宋体"/>
          <w:sz w:val="24"/>
        </w:rPr>
        <w:t>协助开展环境监理工作，</w:t>
      </w:r>
      <w:r>
        <w:rPr>
          <w:rFonts w:ascii="宋体" w:hAnsi="宋体"/>
          <w:sz w:val="24"/>
        </w:rPr>
        <w:t>对项目进行竣工环境保护验收调查，</w:t>
      </w:r>
      <w:r>
        <w:rPr>
          <w:rFonts w:hint="eastAsia" w:ascii="宋体" w:hAnsi="宋体"/>
          <w:sz w:val="24"/>
        </w:rPr>
        <w:t>开展验收阶段环境监测工作，</w:t>
      </w:r>
      <w:r>
        <w:rPr>
          <w:rFonts w:ascii="宋体" w:hAnsi="宋体"/>
          <w:sz w:val="24"/>
        </w:rPr>
        <w:t>编制</w:t>
      </w:r>
      <w:r>
        <w:rPr>
          <w:rFonts w:hint="eastAsia" w:ascii="宋体" w:hAnsi="宋体"/>
          <w:sz w:val="24"/>
        </w:rPr>
        <w:t>验收</w:t>
      </w:r>
      <w:r>
        <w:rPr>
          <w:rFonts w:ascii="宋体" w:hAnsi="宋体"/>
          <w:sz w:val="24"/>
        </w:rPr>
        <w:t>报告，通过</w:t>
      </w:r>
      <w:r>
        <w:rPr>
          <w:rFonts w:hint="eastAsia" w:ascii="宋体" w:hAnsi="宋体"/>
          <w:sz w:val="24"/>
        </w:rPr>
        <w:t>行业主管部门</w:t>
      </w:r>
      <w:r>
        <w:rPr>
          <w:rFonts w:ascii="宋体" w:hAnsi="宋体"/>
          <w:sz w:val="24"/>
        </w:rPr>
        <w:t>验收</w:t>
      </w:r>
      <w:r>
        <w:rPr>
          <w:rFonts w:hint="eastAsia" w:ascii="宋体" w:hAnsi="宋体"/>
          <w:sz w:val="24"/>
        </w:rPr>
        <w:t>等工作</w:t>
      </w:r>
      <w:r>
        <w:rPr>
          <w:rFonts w:ascii="宋体" w:hAnsi="宋体"/>
          <w:sz w:val="24"/>
        </w:rPr>
        <w:t>。</w:t>
      </w:r>
    </w:p>
    <w:p>
      <w:pPr>
        <w:autoSpaceDE w:val="0"/>
        <w:autoSpaceDN w:val="0"/>
        <w:spacing w:line="276" w:lineRule="auto"/>
        <w:ind w:firstLine="480" w:firstLineChars="200"/>
        <w:rPr>
          <w:rFonts w:ascii="宋体" w:hAnsi="宋体"/>
          <w:kern w:val="0"/>
          <w:sz w:val="24"/>
        </w:rPr>
      </w:pPr>
      <w:bookmarkStart w:id="12" w:name="_Hlk42780030"/>
      <w:r>
        <w:rPr>
          <w:rFonts w:hint="eastAsia" w:ascii="宋体" w:hAnsi="宋体"/>
          <w:sz w:val="24"/>
        </w:rPr>
        <w:t xml:space="preserve">⑵ </w:t>
      </w:r>
      <w:r>
        <w:rPr>
          <w:rFonts w:hint="eastAsia" w:ascii="宋体" w:hAnsi="宋体"/>
          <w:kern w:val="0"/>
          <w:sz w:val="24"/>
        </w:rPr>
        <w:t>突发</w:t>
      </w:r>
      <w:r>
        <w:rPr>
          <w:rFonts w:ascii="宋体" w:hAnsi="宋体"/>
          <w:kern w:val="0"/>
          <w:sz w:val="24"/>
        </w:rPr>
        <w:t>环境</w:t>
      </w:r>
      <w:r>
        <w:rPr>
          <w:rFonts w:hint="eastAsia" w:ascii="宋体" w:hAnsi="宋体" w:cs="新宋体"/>
          <w:kern w:val="0"/>
          <w:sz w:val="24"/>
        </w:rPr>
        <w:t>事件</w:t>
      </w:r>
      <w:r>
        <w:rPr>
          <w:rFonts w:ascii="宋体" w:hAnsi="宋体"/>
          <w:kern w:val="0"/>
          <w:sz w:val="24"/>
        </w:rPr>
        <w:t>应急预案编制及备案</w:t>
      </w:r>
      <w:bookmarkEnd w:id="12"/>
      <w:r>
        <w:rPr>
          <w:rFonts w:ascii="宋体" w:hAnsi="宋体"/>
          <w:kern w:val="0"/>
          <w:sz w:val="24"/>
        </w:rPr>
        <w:t>：根据环境保护相关法律法规规定和批复环境影响报告要求，编制项目</w:t>
      </w:r>
      <w:r>
        <w:rPr>
          <w:rFonts w:hint="eastAsia" w:ascii="宋体" w:hAnsi="宋体"/>
          <w:kern w:val="0"/>
          <w:sz w:val="24"/>
        </w:rPr>
        <w:t>突发</w:t>
      </w:r>
      <w:r>
        <w:rPr>
          <w:rFonts w:ascii="宋体" w:hAnsi="宋体"/>
          <w:kern w:val="0"/>
          <w:sz w:val="24"/>
        </w:rPr>
        <w:t>环境</w:t>
      </w:r>
      <w:r>
        <w:rPr>
          <w:rFonts w:hint="eastAsia" w:ascii="宋体" w:hAnsi="宋体" w:cs="新宋体"/>
          <w:kern w:val="0"/>
          <w:sz w:val="24"/>
        </w:rPr>
        <w:t>事件</w:t>
      </w:r>
      <w:r>
        <w:rPr>
          <w:rFonts w:ascii="宋体" w:hAnsi="宋体"/>
          <w:kern w:val="0"/>
          <w:sz w:val="24"/>
        </w:rPr>
        <w:t>应急预案，并在所在地生态环境行政主管部门进行备案。</w:t>
      </w:r>
    </w:p>
    <w:p>
      <w:pPr>
        <w:autoSpaceDE w:val="0"/>
        <w:autoSpaceDN w:val="0"/>
        <w:adjustRightInd w:val="0"/>
        <w:spacing w:line="276" w:lineRule="auto"/>
        <w:ind w:firstLine="482" w:firstLineChars="200"/>
        <w:rPr>
          <w:rFonts w:ascii="宋体" w:hAnsi="宋体"/>
          <w:kern w:val="0"/>
          <w:sz w:val="24"/>
        </w:rPr>
      </w:pPr>
      <w:r>
        <w:rPr>
          <w:rFonts w:ascii="宋体" w:hAnsi="宋体"/>
          <w:b/>
          <w:kern w:val="0"/>
          <w:sz w:val="24"/>
        </w:rPr>
        <w:t>2.</w:t>
      </w:r>
      <w:r>
        <w:rPr>
          <w:rFonts w:hint="eastAsia" w:ascii="宋体" w:hAnsi="宋体"/>
          <w:b/>
          <w:kern w:val="0"/>
          <w:sz w:val="24"/>
        </w:rPr>
        <w:t>4</w:t>
      </w:r>
      <w:r>
        <w:rPr>
          <w:rFonts w:ascii="宋体" w:hAnsi="宋体"/>
          <w:b/>
          <w:kern w:val="0"/>
          <w:sz w:val="24"/>
        </w:rPr>
        <w:t xml:space="preserve"> 服务期</w:t>
      </w:r>
      <w:r>
        <w:rPr>
          <w:rFonts w:hint="eastAsia" w:ascii="宋体" w:hAnsi="宋体"/>
          <w:b/>
          <w:kern w:val="0"/>
          <w:sz w:val="24"/>
        </w:rPr>
        <w:t>限</w:t>
      </w:r>
    </w:p>
    <w:p>
      <w:pPr>
        <w:autoSpaceDE w:val="0"/>
        <w:autoSpaceDN w:val="0"/>
        <w:adjustRightInd w:val="0"/>
        <w:spacing w:line="276" w:lineRule="auto"/>
        <w:ind w:firstLine="480" w:firstLineChars="200"/>
        <w:rPr>
          <w:rFonts w:ascii="宋体" w:hAnsi="宋体"/>
          <w:kern w:val="0"/>
          <w:sz w:val="24"/>
        </w:rPr>
      </w:pPr>
      <w:r>
        <w:rPr>
          <w:rFonts w:hint="eastAsia" w:ascii="宋体" w:hAnsi="宋体"/>
          <w:kern w:val="0"/>
          <w:sz w:val="24"/>
        </w:rPr>
        <w:t>自签订合同之日起至完成合同规定的全部工作且成果文件成功通过批复及验收为止。</w:t>
      </w:r>
    </w:p>
    <w:p>
      <w:pPr>
        <w:adjustRightInd w:val="0"/>
        <w:snapToGrid w:val="0"/>
        <w:spacing w:beforeLines="50" w:afterLines="50"/>
        <w:ind w:firstLine="280" w:firstLineChars="100"/>
        <w:rPr>
          <w:rFonts w:hint="eastAsia" w:ascii="黑体" w:hAnsi="黑体" w:eastAsia="黑体"/>
          <w:sz w:val="28"/>
          <w:szCs w:val="28"/>
        </w:rPr>
      </w:pPr>
      <w:r>
        <w:rPr>
          <w:rFonts w:hint="eastAsia" w:ascii="黑体" w:hAnsi="黑体" w:eastAsia="黑体"/>
          <w:sz w:val="28"/>
          <w:szCs w:val="28"/>
        </w:rPr>
        <w:t>二、对投标人的资格条件要求</w:t>
      </w:r>
    </w:p>
    <w:p>
      <w:pPr>
        <w:autoSpaceDE w:val="0"/>
        <w:autoSpaceDN w:val="0"/>
        <w:spacing w:line="276" w:lineRule="auto"/>
        <w:ind w:firstLine="480" w:firstLineChars="200"/>
        <w:rPr>
          <w:rFonts w:ascii="宋体" w:hAnsi="宋体"/>
          <w:kern w:val="0"/>
          <w:sz w:val="24"/>
        </w:rPr>
      </w:pPr>
      <w:r>
        <w:rPr>
          <w:rFonts w:hint="eastAsia" w:ascii="宋体" w:hAnsi="宋体"/>
          <w:kern w:val="0"/>
          <w:sz w:val="24"/>
        </w:rPr>
        <w:t>3</w:t>
      </w:r>
      <w:r>
        <w:rPr>
          <w:rFonts w:ascii="宋体" w:hAnsi="宋体"/>
          <w:kern w:val="0"/>
          <w:sz w:val="24"/>
        </w:rPr>
        <w:t>.1 投标人</w:t>
      </w:r>
      <w:r>
        <w:rPr>
          <w:rFonts w:hint="eastAsia" w:ascii="宋体" w:hAnsi="宋体"/>
          <w:kern w:val="0"/>
          <w:sz w:val="24"/>
        </w:rPr>
        <w:t>应</w:t>
      </w:r>
      <w:r>
        <w:rPr>
          <w:rFonts w:ascii="宋体" w:hAnsi="宋体"/>
          <w:kern w:val="0"/>
          <w:sz w:val="24"/>
        </w:rPr>
        <w:t>具有独立法人资格</w:t>
      </w:r>
      <w:r>
        <w:rPr>
          <w:rFonts w:hint="eastAsia" w:ascii="宋体" w:hAnsi="宋体"/>
          <w:kern w:val="0"/>
          <w:sz w:val="24"/>
        </w:rPr>
        <w:t>，具有以下资质和业绩，</w:t>
      </w:r>
      <w:r>
        <w:rPr>
          <w:rFonts w:ascii="宋体" w:hAnsi="宋体"/>
          <w:kern w:val="0"/>
          <w:sz w:val="24"/>
        </w:rPr>
        <w:t>并在人员等方面具有相应的能力。</w:t>
      </w:r>
    </w:p>
    <w:tbl>
      <w:tblPr>
        <w:tblStyle w:val="1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6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2456" w:type="dxa"/>
            <w:vAlign w:val="bottom"/>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ascii="宋体" w:hAnsi="宋体" w:cs="新宋体"/>
                <w:kern w:val="0"/>
                <w:sz w:val="24"/>
              </w:rPr>
            </w:pPr>
            <w:r>
              <w:rPr>
                <w:rFonts w:hint="eastAsia" w:ascii="宋体" w:hAnsi="宋体" w:cs="新宋体"/>
                <w:kern w:val="0"/>
                <w:sz w:val="24"/>
              </w:rPr>
              <w:t>资质要求</w:t>
            </w:r>
          </w:p>
        </w:tc>
        <w:tc>
          <w:tcPr>
            <w:tcW w:w="6724" w:type="dxa"/>
            <w:vAlign w:val="bottom"/>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ascii="宋体" w:hAnsi="宋体" w:cs="新宋体"/>
                <w:kern w:val="0"/>
                <w:sz w:val="24"/>
              </w:rPr>
            </w:pPr>
            <w:r>
              <w:rPr>
                <w:rFonts w:hint="eastAsia" w:ascii="宋体" w:hAnsi="宋体" w:cs="新宋体"/>
                <w:kern w:val="0"/>
                <w:sz w:val="24"/>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2" w:hRule="atLeast"/>
        </w:trPr>
        <w:tc>
          <w:tcPr>
            <w:tcW w:w="245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ascii="宋体" w:hAnsi="宋体" w:cs="新宋体"/>
                <w:kern w:val="0"/>
                <w:sz w:val="24"/>
              </w:rPr>
            </w:pPr>
            <w:r>
              <w:rPr>
                <w:rFonts w:hint="eastAsia" w:ascii="宋体" w:hAnsi="宋体" w:cs="新宋体"/>
                <w:kern w:val="0"/>
                <w:sz w:val="24"/>
              </w:rPr>
              <w:t>水土保持工程施工监理甲级资质</w:t>
            </w:r>
          </w:p>
        </w:tc>
        <w:tc>
          <w:tcPr>
            <w:tcW w:w="672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ascii="宋体" w:hAnsi="宋体" w:cs="新宋体"/>
                <w:color w:val="000000" w:themeColor="text1"/>
                <w:kern w:val="0"/>
                <w:sz w:val="24"/>
              </w:rPr>
            </w:pPr>
            <w:bookmarkStart w:id="13" w:name="_Hlk42780443"/>
            <w:r>
              <w:rPr>
                <w:rFonts w:hint="eastAsia" w:ascii="宋体" w:hAnsi="宋体" w:cs="新宋体"/>
                <w:kern w:val="0"/>
                <w:sz w:val="24"/>
              </w:rPr>
              <w:t>2016年1月1日后（以合同签订时间为准）</w:t>
            </w:r>
            <w:bookmarkEnd w:id="13"/>
            <w:r>
              <w:rPr>
                <w:rFonts w:hint="eastAsia" w:ascii="宋体" w:hAnsi="宋体" w:cs="新宋体"/>
                <w:color w:val="000000" w:themeColor="text1"/>
                <w:kern w:val="0"/>
                <w:sz w:val="24"/>
              </w:rPr>
              <w:t>，累计承担下列业绩：</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ascii="宋体" w:hAnsi="宋体" w:cs="新宋体"/>
                <w:color w:val="000000" w:themeColor="text1"/>
                <w:kern w:val="0"/>
                <w:sz w:val="24"/>
              </w:rPr>
            </w:pPr>
            <w:r>
              <w:rPr>
                <w:rFonts w:hint="eastAsia" w:ascii="宋体" w:hAnsi="宋体" w:cs="新宋体"/>
                <w:color w:val="000000" w:themeColor="text1"/>
                <w:kern w:val="0"/>
                <w:sz w:val="24"/>
              </w:rPr>
              <w:t>（1）</w:t>
            </w:r>
            <w:bookmarkStart w:id="14" w:name="_Hlk62200375"/>
            <w:r>
              <w:rPr>
                <w:rFonts w:hint="eastAsia" w:ascii="宋体" w:hAnsi="宋体" w:cs="新宋体"/>
                <w:color w:val="000000" w:themeColor="text1"/>
                <w:kern w:val="0"/>
                <w:sz w:val="24"/>
              </w:rPr>
              <w:t>铁路或公路工程建设项目</w:t>
            </w:r>
            <w:bookmarkEnd w:id="14"/>
            <w:r>
              <w:rPr>
                <w:rFonts w:hint="eastAsia" w:ascii="宋体" w:hAnsi="宋体" w:cs="新宋体"/>
                <w:color w:val="000000" w:themeColor="text1"/>
                <w:kern w:val="0"/>
                <w:sz w:val="24"/>
              </w:rPr>
              <w:t>水土保持监测、水土保持监理、水土保持设施竣工验收等</w:t>
            </w:r>
            <w:r>
              <w:rPr>
                <w:rFonts w:ascii="宋体" w:hAnsi="宋体" w:cs="新宋体"/>
                <w:color w:val="000000" w:themeColor="text1"/>
                <w:kern w:val="0"/>
                <w:sz w:val="24"/>
              </w:rPr>
              <w:t>3</w:t>
            </w:r>
            <w:r>
              <w:rPr>
                <w:rFonts w:hint="eastAsia" w:ascii="宋体" w:hAnsi="宋体" w:cs="新宋体"/>
                <w:color w:val="000000" w:themeColor="text1"/>
                <w:kern w:val="0"/>
                <w:sz w:val="24"/>
              </w:rPr>
              <w:t>项中的1项；</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ascii="宋体" w:hAnsi="宋体" w:cs="新宋体"/>
                <w:kern w:val="0"/>
                <w:sz w:val="24"/>
              </w:rPr>
            </w:pPr>
            <w:r>
              <w:rPr>
                <w:rFonts w:hint="eastAsia" w:ascii="宋体" w:hAnsi="宋体" w:cs="新宋体"/>
                <w:color w:val="000000" w:themeColor="text1"/>
                <w:kern w:val="0"/>
                <w:sz w:val="24"/>
              </w:rPr>
              <w:t>（2）</w:t>
            </w:r>
            <w:bookmarkStart w:id="15" w:name="_Hlk42780458"/>
            <w:r>
              <w:rPr>
                <w:rFonts w:hint="eastAsia" w:ascii="宋体" w:hAnsi="宋体" w:cs="新宋体"/>
                <w:color w:val="000000" w:themeColor="text1"/>
                <w:kern w:val="0"/>
                <w:sz w:val="24"/>
              </w:rPr>
              <w:t>铁路或公路工程建设项目竣工环境保</w:t>
            </w:r>
            <w:r>
              <w:rPr>
                <w:rFonts w:hint="eastAsia" w:ascii="宋体" w:hAnsi="宋体" w:cs="新宋体"/>
                <w:kern w:val="0"/>
                <w:sz w:val="24"/>
              </w:rPr>
              <w:t>护验收、突发环境事件应急预案等2项中的1项。</w:t>
            </w:r>
            <w:bookmarkEnd w:id="15"/>
          </w:p>
        </w:tc>
      </w:tr>
    </w:tbl>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textAlignment w:val="auto"/>
        <w:rPr>
          <w:rFonts w:ascii="宋体" w:hAnsi="宋体"/>
          <w:kern w:val="0"/>
          <w:sz w:val="24"/>
        </w:rPr>
      </w:pPr>
      <w:r>
        <w:rPr>
          <w:rFonts w:ascii="宋体" w:hAnsi="宋体"/>
          <w:kern w:val="0"/>
          <w:sz w:val="24"/>
        </w:rPr>
        <w:t>3.2 本</w:t>
      </w:r>
      <w:r>
        <w:rPr>
          <w:rFonts w:hint="eastAsia" w:ascii="宋体" w:hAnsi="宋体"/>
          <w:kern w:val="0"/>
          <w:sz w:val="24"/>
        </w:rPr>
        <w:t>项目</w:t>
      </w:r>
      <w:r>
        <w:rPr>
          <w:rFonts w:ascii="宋体" w:hAnsi="宋体"/>
          <w:kern w:val="0"/>
          <w:sz w:val="24"/>
        </w:rPr>
        <w:t>接受联合体投标。联合体投标的，应满足下列要求：联合体所有成员数量不得超过</w:t>
      </w:r>
      <w:r>
        <w:rPr>
          <w:rFonts w:hint="eastAsia" w:ascii="宋体" w:hAnsi="宋体"/>
          <w:kern w:val="0"/>
          <w:sz w:val="24"/>
        </w:rPr>
        <w:t>2</w:t>
      </w:r>
      <w:r>
        <w:rPr>
          <w:rFonts w:ascii="宋体" w:hAnsi="宋体"/>
          <w:kern w:val="0"/>
          <w:sz w:val="24"/>
        </w:rPr>
        <w:t>家；联合体各方不得再以自己名义单独或参加其他联合体在同一标段中投标。</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textAlignment w:val="auto"/>
        <w:rPr>
          <w:rFonts w:ascii="宋体" w:hAnsi="宋体"/>
          <w:kern w:val="0"/>
          <w:sz w:val="24"/>
        </w:rPr>
      </w:pPr>
      <w:r>
        <w:rPr>
          <w:rFonts w:ascii="宋体" w:hAnsi="宋体"/>
          <w:kern w:val="0"/>
          <w:sz w:val="24"/>
        </w:rPr>
        <w:t>3.3 单位负责人为同一人或者存在控股、管理关系的不同单位，不得同时参与本项目投标，否则相关投标均无效。</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textAlignment w:val="auto"/>
        <w:rPr>
          <w:rFonts w:ascii="宋体" w:hAnsi="宋体"/>
          <w:color w:val="000000"/>
          <w:szCs w:val="21"/>
        </w:rPr>
      </w:pPr>
      <w:r>
        <w:rPr>
          <w:rFonts w:ascii="宋体" w:hAnsi="宋体"/>
          <w:kern w:val="0"/>
          <w:sz w:val="24"/>
        </w:rPr>
        <w:t>3.</w:t>
      </w:r>
      <w:r>
        <w:rPr>
          <w:rFonts w:hint="eastAsia" w:ascii="宋体" w:hAnsi="宋体"/>
          <w:kern w:val="0"/>
          <w:sz w:val="24"/>
        </w:rPr>
        <w:t>4</w:t>
      </w:r>
      <w:r>
        <w:rPr>
          <w:rFonts w:hint="eastAsia" w:ascii="宋体" w:hAnsi="宋体"/>
          <w:sz w:val="24"/>
        </w:rPr>
        <w:t>在“信用中国”网站（https://www.creditchina.gov.cn/）中被列入失信被执行人的投标人，不得参加投标</w:t>
      </w:r>
      <w:bookmarkStart w:id="16" w:name="_Hlk17668643"/>
      <w:r>
        <w:rPr>
          <w:rFonts w:hint="eastAsia" w:ascii="宋体" w:hAnsi="宋体"/>
          <w:sz w:val="24"/>
        </w:rPr>
        <w:t>。</w:t>
      </w:r>
      <w:bookmarkEnd w:id="16"/>
    </w:p>
    <w:p>
      <w:pPr>
        <w:adjustRightInd w:val="0"/>
        <w:snapToGrid w:val="0"/>
        <w:spacing w:beforeLines="50" w:afterLines="50"/>
        <w:ind w:firstLine="280" w:firstLineChars="100"/>
        <w:rPr>
          <w:rFonts w:hint="eastAsia" w:ascii="黑体" w:hAnsi="黑体" w:eastAsia="黑体"/>
          <w:sz w:val="28"/>
          <w:szCs w:val="28"/>
        </w:rPr>
      </w:pPr>
      <w:r>
        <w:rPr>
          <w:rFonts w:hint="eastAsia" w:ascii="黑体" w:hAnsi="黑体" w:eastAsia="黑体"/>
          <w:sz w:val="28"/>
          <w:szCs w:val="28"/>
        </w:rPr>
        <w:t>三、资格审查办法</w:t>
      </w:r>
    </w:p>
    <w:p>
      <w:pPr>
        <w:adjustRightInd w:val="0"/>
        <w:snapToGrid w:val="0"/>
        <w:spacing w:beforeLines="50" w:afterLines="50"/>
        <w:ind w:firstLine="360" w:firstLineChars="150"/>
        <w:rPr>
          <w:rFonts w:hint="eastAsia" w:ascii="宋体" w:hAnsi="宋体"/>
          <w:sz w:val="24"/>
          <w:szCs w:val="24"/>
        </w:rPr>
      </w:pPr>
      <w:r>
        <w:rPr>
          <w:rFonts w:hint="eastAsia" w:ascii="宋体" w:hAnsi="宋体"/>
          <w:sz w:val="24"/>
          <w:szCs w:val="24"/>
        </w:rPr>
        <w:t>本项目采用资格后审，资格审查条件如下：</w:t>
      </w:r>
    </w:p>
    <w:p>
      <w:pPr>
        <w:pStyle w:val="5"/>
        <w:adjustRightInd w:val="0"/>
        <w:snapToGrid w:val="0"/>
        <w:spacing w:beforeLines="50" w:after="0"/>
        <w:ind w:firstLine="281" w:firstLineChars="100"/>
        <w:jc w:val="center"/>
        <w:rPr>
          <w:rFonts w:ascii="黑体" w:hAnsi="黑体"/>
          <w:lang w:val="zh-CN"/>
        </w:rPr>
      </w:pPr>
      <w:r>
        <w:rPr>
          <w:rFonts w:hint="eastAsia" w:ascii="黑体" w:hAnsi="黑体"/>
          <w:lang w:val="zh-CN"/>
        </w:rPr>
        <w:t>资格审查条件（资质最低要求）</w:t>
      </w:r>
    </w:p>
    <w:tbl>
      <w:tblPr>
        <w:tblStyle w:val="14"/>
        <w:tblW w:w="4946"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9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49" w:type="dxa"/>
            <w:vAlign w:val="center"/>
          </w:tcPr>
          <w:p>
            <w:pPr>
              <w:adjustRightInd w:val="0"/>
              <w:snapToGrid w:val="0"/>
              <w:spacing w:line="400" w:lineRule="atLeast"/>
              <w:ind w:firstLine="24" w:firstLineChars="10"/>
              <w:jc w:val="center"/>
              <w:rPr>
                <w:rFonts w:ascii="宋体" w:hAnsi="宋体"/>
                <w:color w:val="000000"/>
                <w:szCs w:val="21"/>
              </w:rPr>
            </w:pPr>
            <w:r>
              <w:rPr>
                <w:rFonts w:ascii="宋体" w:hAnsi="宋体"/>
                <w:sz w:val="24"/>
              </w:rPr>
              <w:t>资质等级要求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9749" w:type="dxa"/>
            <w:vAlign w:val="center"/>
          </w:tcPr>
          <w:p>
            <w:pPr>
              <w:autoSpaceDE w:val="0"/>
              <w:autoSpaceDN w:val="0"/>
              <w:adjustRightInd w:val="0"/>
              <w:spacing w:line="360" w:lineRule="auto"/>
              <w:jc w:val="left"/>
              <w:rPr>
                <w:rFonts w:ascii="宋体" w:hAnsi="宋体"/>
                <w:color w:val="000000"/>
                <w:szCs w:val="21"/>
              </w:rPr>
            </w:pPr>
            <w:r>
              <w:rPr>
                <w:rFonts w:hint="eastAsia" w:ascii="宋体" w:hAnsi="宋体" w:cs="新宋体"/>
                <w:kern w:val="0"/>
                <w:sz w:val="24"/>
              </w:rPr>
              <w:t>水土保持工程施工监理甲级资质</w:t>
            </w:r>
          </w:p>
        </w:tc>
      </w:tr>
    </w:tbl>
    <w:p>
      <w:pPr>
        <w:pStyle w:val="5"/>
        <w:adjustRightInd w:val="0"/>
        <w:snapToGrid w:val="0"/>
        <w:spacing w:beforeLines="50" w:after="0"/>
        <w:ind w:firstLine="281" w:firstLineChars="100"/>
        <w:jc w:val="center"/>
        <w:rPr>
          <w:rFonts w:ascii="黑体" w:hAnsi="黑体"/>
          <w:lang w:val="zh-CN"/>
        </w:rPr>
      </w:pPr>
      <w:r>
        <w:rPr>
          <w:rFonts w:hint="eastAsia" w:ascii="黑体" w:hAnsi="黑体"/>
          <w:lang w:val="zh-CN"/>
        </w:rPr>
        <w:t>资格审查条件（业绩最低要求）</w:t>
      </w:r>
    </w:p>
    <w:tbl>
      <w:tblPr>
        <w:tblStyle w:val="14"/>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55" w:type="dxa"/>
            <w:vAlign w:val="center"/>
          </w:tcPr>
          <w:p>
            <w:pPr>
              <w:adjustRightInd w:val="0"/>
              <w:snapToGrid w:val="0"/>
              <w:spacing w:line="400" w:lineRule="atLeast"/>
              <w:ind w:firstLine="24" w:firstLineChars="10"/>
              <w:jc w:val="center"/>
              <w:rPr>
                <w:rFonts w:ascii="楷体" w:hAnsi="楷体" w:eastAsia="楷体_GB2312"/>
                <w:color w:val="000000"/>
                <w:szCs w:val="21"/>
              </w:rPr>
            </w:pPr>
            <w:r>
              <w:rPr>
                <w:rFonts w:ascii="宋体" w:hAnsi="宋体"/>
                <w:sz w:val="24"/>
              </w:rPr>
              <w:t>业绩要求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9855" w:type="dxa"/>
            <w:vAlign w:val="center"/>
          </w:tcPr>
          <w:p>
            <w:pPr>
              <w:snapToGrid w:val="0"/>
              <w:spacing w:line="400" w:lineRule="exact"/>
              <w:jc w:val="left"/>
              <w:rPr>
                <w:rFonts w:ascii="宋体" w:hAnsi="宋体" w:cs="新宋体"/>
                <w:kern w:val="0"/>
                <w:sz w:val="24"/>
              </w:rPr>
            </w:pPr>
            <w:r>
              <w:rPr>
                <w:rFonts w:hint="eastAsia" w:ascii="宋体" w:hAnsi="宋体" w:cs="新宋体"/>
                <w:kern w:val="0"/>
                <w:sz w:val="24"/>
              </w:rPr>
              <w:t>2016年1月1日后（以合同签订时间为准），累计承担下列业绩：</w:t>
            </w:r>
          </w:p>
          <w:p>
            <w:pPr>
              <w:snapToGrid w:val="0"/>
              <w:spacing w:line="400" w:lineRule="exact"/>
              <w:jc w:val="left"/>
              <w:rPr>
                <w:rFonts w:ascii="宋体" w:hAnsi="宋体" w:cs="新宋体"/>
                <w:kern w:val="0"/>
                <w:sz w:val="24"/>
              </w:rPr>
            </w:pPr>
            <w:r>
              <w:rPr>
                <w:rFonts w:hint="eastAsia" w:ascii="宋体" w:hAnsi="宋体" w:cs="新宋体"/>
                <w:kern w:val="0"/>
                <w:sz w:val="24"/>
              </w:rPr>
              <w:t>（1）铁路或公路工程建设项目水土保持监测、水土保持监理、水土保持设施竣工验收等</w:t>
            </w:r>
            <w:r>
              <w:rPr>
                <w:rFonts w:ascii="宋体" w:hAnsi="宋体" w:cs="新宋体"/>
                <w:kern w:val="0"/>
                <w:sz w:val="24"/>
              </w:rPr>
              <w:t>3</w:t>
            </w:r>
            <w:r>
              <w:rPr>
                <w:rFonts w:hint="eastAsia" w:ascii="宋体" w:hAnsi="宋体" w:cs="新宋体"/>
                <w:kern w:val="0"/>
                <w:sz w:val="24"/>
              </w:rPr>
              <w:t>项中的1项；</w:t>
            </w:r>
          </w:p>
          <w:p>
            <w:pPr>
              <w:snapToGrid w:val="0"/>
              <w:spacing w:line="400" w:lineRule="exact"/>
              <w:jc w:val="left"/>
              <w:rPr>
                <w:rFonts w:hint="eastAsia" w:ascii="宋体" w:hAnsi="宋体" w:cs="新宋体"/>
                <w:kern w:val="0"/>
                <w:sz w:val="24"/>
              </w:rPr>
            </w:pPr>
            <w:r>
              <w:rPr>
                <w:rFonts w:hint="eastAsia" w:ascii="宋体" w:hAnsi="宋体" w:cs="新宋体"/>
                <w:kern w:val="0"/>
                <w:sz w:val="24"/>
              </w:rPr>
              <w:t>（2）铁路或公路工程建设项目竣工环境保护验收、突发环境事件应急预案等2项中的1项。</w:t>
            </w:r>
          </w:p>
          <w:p>
            <w:pPr>
              <w:ind w:firstLine="480" w:firstLineChars="200"/>
              <w:jc w:val="left"/>
              <w:rPr>
                <w:rFonts w:ascii="宋体" w:hAnsi="宋体" w:cs="宋体"/>
                <w:bCs/>
                <w:sz w:val="24"/>
              </w:rPr>
            </w:pPr>
            <w:r>
              <w:rPr>
                <w:rFonts w:hint="eastAsia" w:ascii="宋体" w:hAnsi="宋体" w:cs="宋体"/>
                <w:bCs/>
                <w:sz w:val="24"/>
              </w:rPr>
              <w:t>注：1.</w:t>
            </w:r>
            <w:r>
              <w:rPr>
                <w:rFonts w:hint="eastAsia" w:ascii="宋体" w:hAnsi="宋体" w:cs="宋体"/>
                <w:kern w:val="0"/>
                <w:sz w:val="24"/>
              </w:rPr>
              <w:t>同一合同含多个项目或同一项目中投标人同时承担多项技术工作的，可重复认定业绩</w:t>
            </w:r>
            <w:r>
              <w:rPr>
                <w:rFonts w:hint="eastAsia" w:ascii="宋体" w:hAnsi="宋体" w:cs="宋体"/>
                <w:bCs/>
                <w:sz w:val="24"/>
              </w:rPr>
              <w:t>。</w:t>
            </w:r>
          </w:p>
          <w:p>
            <w:pPr>
              <w:adjustRightInd w:val="0"/>
              <w:snapToGrid w:val="0"/>
              <w:spacing w:before="120" w:beforeLines="50" w:after="120" w:afterLines="50"/>
              <w:ind w:firstLine="840" w:firstLineChars="350"/>
              <w:rPr>
                <w:rFonts w:hint="eastAsia" w:ascii="宋体" w:hAnsi="宋体" w:cs="新宋体"/>
                <w:kern w:val="0"/>
                <w:sz w:val="24"/>
              </w:rPr>
            </w:pPr>
            <w:r>
              <w:rPr>
                <w:rFonts w:hint="eastAsia" w:ascii="宋体" w:hAnsi="宋体" w:cs="宋体"/>
                <w:bCs/>
                <w:sz w:val="24"/>
              </w:rPr>
              <w:t>2.</w:t>
            </w:r>
            <w:r>
              <w:rPr>
                <w:rFonts w:hint="eastAsia" w:ascii="宋体" w:hAnsi="宋体" w:cs="宋体"/>
                <w:sz w:val="24"/>
              </w:rPr>
              <w:t>以联合体形式投标的，按联合体所有成员的业绩之和计算。</w:t>
            </w:r>
          </w:p>
        </w:tc>
      </w:tr>
    </w:tbl>
    <w:p>
      <w:pPr>
        <w:pStyle w:val="5"/>
        <w:adjustRightInd w:val="0"/>
        <w:snapToGrid w:val="0"/>
        <w:spacing w:beforeLines="50" w:after="0"/>
        <w:ind w:firstLine="281" w:firstLineChars="100"/>
        <w:jc w:val="center"/>
        <w:rPr>
          <w:rFonts w:ascii="黑体" w:hAnsi="黑体"/>
          <w:lang w:val="zh-CN"/>
        </w:rPr>
      </w:pPr>
      <w:r>
        <w:rPr>
          <w:rFonts w:hint="eastAsia" w:ascii="黑体" w:hAnsi="黑体"/>
          <w:lang w:val="zh-CN"/>
        </w:rPr>
        <w:t>资格审查条件（信誉最低要求）</w:t>
      </w:r>
    </w:p>
    <w:tbl>
      <w:tblPr>
        <w:tblStyle w:val="14"/>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5000" w:type="pct"/>
            <w:vAlign w:val="center"/>
          </w:tcPr>
          <w:p>
            <w:pPr>
              <w:adjustRightInd w:val="0"/>
              <w:snapToGrid w:val="0"/>
              <w:spacing w:beforeLines="50"/>
              <w:jc w:val="center"/>
              <w:rPr>
                <w:rFonts w:ascii="宋体" w:hAnsi="宋体"/>
                <w:color w:val="000000"/>
                <w:szCs w:val="21"/>
              </w:rPr>
            </w:pPr>
            <w:r>
              <w:rPr>
                <w:rFonts w:hint="eastAsia" w:ascii="宋体" w:hAnsi="宋体"/>
                <w:color w:val="000000"/>
                <w:szCs w:val="21"/>
              </w:rPr>
              <w:t>信誉要求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5000" w:type="pct"/>
            <w:vAlign w:val="center"/>
          </w:tcPr>
          <w:p>
            <w:pPr>
              <w:adjustRightInd w:val="0"/>
              <w:snapToGrid w:val="0"/>
              <w:spacing w:beforeLines="50"/>
              <w:ind w:firstLine="210" w:firstLineChars="100"/>
              <w:rPr>
                <w:rFonts w:ascii="宋体" w:hAnsi="宋体"/>
                <w:szCs w:val="21"/>
              </w:rPr>
            </w:pPr>
            <w:r>
              <w:rPr>
                <w:rFonts w:hint="eastAsia" w:ascii="宋体" w:hAnsi="宋体" w:cs="宋体"/>
                <w:kern w:val="0"/>
                <w:szCs w:val="21"/>
              </w:rPr>
              <w:t>/</w:t>
            </w:r>
          </w:p>
        </w:tc>
      </w:tr>
    </w:tbl>
    <w:p>
      <w:pPr>
        <w:pStyle w:val="5"/>
        <w:adjustRightInd w:val="0"/>
        <w:snapToGrid w:val="0"/>
        <w:spacing w:beforeLines="50" w:after="0"/>
        <w:ind w:firstLine="281" w:firstLineChars="100"/>
        <w:jc w:val="center"/>
        <w:rPr>
          <w:rFonts w:ascii="黑体" w:hAnsi="黑体"/>
          <w:lang w:val="zh-CN"/>
        </w:rPr>
      </w:pPr>
      <w:r>
        <w:rPr>
          <w:rFonts w:hint="eastAsia" w:ascii="黑体" w:hAnsi="黑体"/>
          <w:lang w:val="zh-CN"/>
        </w:rPr>
        <w:t>资格审查条件（主要人员最低要求）</w:t>
      </w:r>
    </w:p>
    <w:p>
      <w:pPr>
        <w:rPr>
          <w:lang w:val="zh-CN"/>
        </w:rPr>
      </w:pPr>
    </w:p>
    <w:tbl>
      <w:tblPr>
        <w:tblStyle w:val="14"/>
        <w:tblW w:w="9483"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471"/>
        <w:gridCol w:w="819"/>
        <w:gridCol w:w="719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470" w:hRule="atLeast"/>
          <w:jc w:val="center"/>
        </w:trPr>
        <w:tc>
          <w:tcPr>
            <w:tcW w:w="14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24" w:firstLineChars="10"/>
              <w:jc w:val="center"/>
              <w:textAlignment w:val="auto"/>
              <w:rPr>
                <w:rFonts w:ascii="宋体" w:hAnsi="宋体"/>
                <w:sz w:val="24"/>
              </w:rPr>
            </w:pPr>
            <w:r>
              <w:rPr>
                <w:rFonts w:ascii="宋体" w:hAnsi="宋体"/>
                <w:sz w:val="24"/>
              </w:rPr>
              <w:t>人员</w:t>
            </w:r>
          </w:p>
        </w:tc>
        <w:tc>
          <w:tcPr>
            <w:tcW w:w="81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24" w:firstLineChars="10"/>
              <w:jc w:val="center"/>
              <w:textAlignment w:val="auto"/>
              <w:rPr>
                <w:rFonts w:ascii="宋体" w:hAnsi="宋体"/>
                <w:sz w:val="24"/>
              </w:rPr>
            </w:pPr>
            <w:r>
              <w:rPr>
                <w:rFonts w:ascii="宋体" w:hAnsi="宋体"/>
                <w:sz w:val="24"/>
              </w:rPr>
              <w:t>数量</w:t>
            </w:r>
          </w:p>
        </w:tc>
        <w:tc>
          <w:tcPr>
            <w:tcW w:w="719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24" w:firstLineChars="10"/>
              <w:jc w:val="center"/>
              <w:textAlignment w:val="auto"/>
              <w:rPr>
                <w:rFonts w:ascii="宋体" w:hAnsi="宋体"/>
                <w:sz w:val="24"/>
              </w:rPr>
            </w:pPr>
            <w:r>
              <w:rPr>
                <w:rFonts w:ascii="宋体" w:hAnsi="宋体"/>
                <w:sz w:val="24"/>
              </w:rPr>
              <w:t>资格要求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704" w:hRule="atLeast"/>
          <w:jc w:val="center"/>
        </w:trPr>
        <w:tc>
          <w:tcPr>
            <w:tcW w:w="14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24" w:firstLineChars="10"/>
              <w:jc w:val="center"/>
              <w:textAlignment w:val="auto"/>
              <w:rPr>
                <w:rFonts w:ascii="新宋体" w:hAnsi="新宋体" w:eastAsia="新宋体" w:cs="新宋体"/>
                <w:sz w:val="24"/>
              </w:rPr>
            </w:pPr>
            <w:r>
              <w:rPr>
                <w:rFonts w:hint="eastAsia" w:ascii="新宋体" w:hAnsi="新宋体" w:eastAsia="新宋体" w:cs="新宋体"/>
                <w:sz w:val="24"/>
              </w:rPr>
              <w:t>项目负责人</w:t>
            </w:r>
          </w:p>
        </w:tc>
        <w:tc>
          <w:tcPr>
            <w:tcW w:w="81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24" w:firstLineChars="10"/>
              <w:jc w:val="center"/>
              <w:textAlignment w:val="auto"/>
              <w:rPr>
                <w:rFonts w:ascii="新宋体" w:hAnsi="新宋体" w:eastAsia="新宋体" w:cs="新宋体"/>
                <w:sz w:val="24"/>
              </w:rPr>
            </w:pPr>
            <w:r>
              <w:rPr>
                <w:rFonts w:hint="eastAsia" w:ascii="新宋体" w:hAnsi="新宋体" w:eastAsia="新宋体" w:cs="新宋体"/>
                <w:sz w:val="24"/>
              </w:rPr>
              <w:t>1人</w:t>
            </w:r>
          </w:p>
        </w:tc>
        <w:tc>
          <w:tcPr>
            <w:tcW w:w="7193" w:type="dxa"/>
            <w:vAlign w:val="center"/>
          </w:tcPr>
          <w:p>
            <w:pPr>
              <w:keepNext w:val="0"/>
              <w:keepLines w:val="0"/>
              <w:pageBreakBefore w:val="0"/>
              <w:widowControl w:val="0"/>
              <w:kinsoku/>
              <w:wordWrap/>
              <w:overflowPunct/>
              <w:topLinePunct w:val="0"/>
              <w:autoSpaceDE/>
              <w:autoSpaceDN/>
              <w:bidi w:val="0"/>
              <w:spacing w:line="240" w:lineRule="auto"/>
              <w:textAlignment w:val="auto"/>
              <w:rPr>
                <w:rFonts w:ascii="宋体" w:hAnsi="宋体"/>
                <w:sz w:val="24"/>
              </w:rPr>
            </w:pPr>
            <w:r>
              <w:rPr>
                <w:rFonts w:hint="eastAsia" w:ascii="宋体" w:hAnsi="宋体"/>
                <w:sz w:val="24"/>
              </w:rPr>
              <w:t>（1）</w:t>
            </w:r>
            <w:r>
              <w:rPr>
                <w:rFonts w:ascii="宋体" w:hAnsi="宋体"/>
                <w:sz w:val="24"/>
              </w:rPr>
              <w:t>投标</w:t>
            </w:r>
            <w:r>
              <w:rPr>
                <w:rFonts w:hint="eastAsia" w:ascii="宋体" w:hAnsi="宋体"/>
                <w:sz w:val="24"/>
              </w:rPr>
              <w:t>人</w:t>
            </w:r>
            <w:r>
              <w:rPr>
                <w:rFonts w:ascii="宋体" w:hAnsi="宋体"/>
                <w:sz w:val="24"/>
              </w:rPr>
              <w:t>自有人员</w:t>
            </w:r>
            <w:r>
              <w:rPr>
                <w:rFonts w:hint="eastAsia" w:ascii="宋体" w:hAnsi="宋体"/>
                <w:sz w:val="24"/>
              </w:rPr>
              <w:t>（若为联合体投标，必须为联合体牵头人自有人员）；</w:t>
            </w:r>
          </w:p>
          <w:p>
            <w:pPr>
              <w:keepNext w:val="0"/>
              <w:keepLines w:val="0"/>
              <w:pageBreakBefore w:val="0"/>
              <w:widowControl w:val="0"/>
              <w:kinsoku/>
              <w:wordWrap/>
              <w:overflowPunct/>
              <w:topLinePunct w:val="0"/>
              <w:autoSpaceDE/>
              <w:autoSpaceDN/>
              <w:bidi w:val="0"/>
              <w:spacing w:line="240" w:lineRule="auto"/>
              <w:textAlignment w:val="auto"/>
              <w:rPr>
                <w:rFonts w:ascii="宋体" w:hAnsi="宋体"/>
                <w:sz w:val="24"/>
              </w:rPr>
            </w:pPr>
            <w:r>
              <w:rPr>
                <w:rFonts w:hint="eastAsia" w:ascii="宋体" w:hAnsi="宋体"/>
                <w:sz w:val="24"/>
              </w:rPr>
              <w:t>（2）具有环境保护或水土保持相关专业高级职称；</w:t>
            </w:r>
          </w:p>
          <w:p>
            <w:pPr>
              <w:keepNext w:val="0"/>
              <w:keepLines w:val="0"/>
              <w:pageBreakBefore w:val="0"/>
              <w:widowControl w:val="0"/>
              <w:kinsoku/>
              <w:wordWrap/>
              <w:overflowPunct/>
              <w:topLinePunct w:val="0"/>
              <w:autoSpaceDE/>
              <w:autoSpaceDN/>
              <w:bidi w:val="0"/>
              <w:spacing w:line="240" w:lineRule="auto"/>
              <w:textAlignment w:val="auto"/>
              <w:rPr>
                <w:rFonts w:ascii="宋体" w:hAnsi="宋体"/>
                <w:sz w:val="24"/>
              </w:rPr>
            </w:pPr>
            <w:r>
              <w:rPr>
                <w:rFonts w:hint="eastAsia" w:ascii="宋体" w:hAnsi="宋体"/>
                <w:sz w:val="24"/>
              </w:rPr>
              <w:t>（3）担任1项</w:t>
            </w:r>
            <w:r>
              <w:rPr>
                <w:rFonts w:hint="eastAsia" w:ascii="宋体" w:hAnsi="宋体" w:cs="新宋体"/>
                <w:kern w:val="0"/>
                <w:sz w:val="24"/>
              </w:rPr>
              <w:t>铁路或公路工程建设项目类似工作</w:t>
            </w:r>
            <w:r>
              <w:rPr>
                <w:rFonts w:hint="eastAsia" w:ascii="宋体" w:hAnsi="宋体"/>
                <w:sz w:val="24"/>
              </w:rPr>
              <w:t>的项目负责人（</w:t>
            </w:r>
            <w:r>
              <w:rPr>
                <w:rFonts w:hint="eastAsia" w:ascii="宋体" w:hAnsi="宋体" w:cs="新宋体"/>
                <w:kern w:val="0"/>
                <w:sz w:val="24"/>
              </w:rPr>
              <w:t>类似工作指水土保持监测、水土保持监理、水土保持设施竣工验收、竣工环境保护验收、突发环境事件应急预案5项中的1项</w:t>
            </w: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4" w:hRule="atLeast"/>
          <w:jc w:val="center"/>
        </w:trPr>
        <w:tc>
          <w:tcPr>
            <w:tcW w:w="1471"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24" w:firstLineChars="10"/>
              <w:jc w:val="center"/>
              <w:textAlignment w:val="auto"/>
              <w:rPr>
                <w:rFonts w:ascii="新宋体" w:hAnsi="新宋体" w:eastAsia="新宋体" w:cs="新宋体"/>
                <w:sz w:val="24"/>
              </w:rPr>
            </w:pPr>
            <w:r>
              <w:rPr>
                <w:rFonts w:hint="eastAsia" w:ascii="新宋体" w:hAnsi="新宋体" w:eastAsia="新宋体" w:cs="新宋体"/>
                <w:sz w:val="24"/>
              </w:rPr>
              <w:t>专业工程师</w:t>
            </w:r>
          </w:p>
        </w:tc>
        <w:tc>
          <w:tcPr>
            <w:tcW w:w="81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24" w:firstLineChars="10"/>
              <w:jc w:val="center"/>
              <w:textAlignment w:val="auto"/>
              <w:rPr>
                <w:rFonts w:ascii="新宋体" w:hAnsi="新宋体" w:eastAsia="新宋体" w:cs="新宋体"/>
                <w:sz w:val="36"/>
                <w:szCs w:val="36"/>
              </w:rPr>
            </w:pPr>
            <w:r>
              <w:rPr>
                <w:rFonts w:hint="eastAsia" w:ascii="新宋体" w:hAnsi="新宋体" w:eastAsia="新宋体" w:cs="新宋体"/>
                <w:sz w:val="24"/>
              </w:rPr>
              <w:t>8人</w:t>
            </w:r>
          </w:p>
        </w:tc>
        <w:tc>
          <w:tcPr>
            <w:tcW w:w="7193" w:type="dxa"/>
            <w:tcBorders>
              <w:bottom w:val="single" w:color="auto" w:sz="4" w:space="0"/>
            </w:tcBorders>
            <w:vAlign w:val="center"/>
          </w:tcPr>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sz w:val="24"/>
              </w:rPr>
            </w:pPr>
            <w:r>
              <w:rPr>
                <w:rFonts w:hint="eastAsia" w:ascii="宋体" w:hAnsi="宋体"/>
                <w:sz w:val="24"/>
              </w:rPr>
              <w:t>（1）</w:t>
            </w:r>
            <w:r>
              <w:rPr>
                <w:rFonts w:ascii="宋体" w:hAnsi="宋体"/>
                <w:sz w:val="24"/>
              </w:rPr>
              <w:t>投标</w:t>
            </w:r>
            <w:r>
              <w:rPr>
                <w:rFonts w:hint="eastAsia" w:ascii="宋体" w:hAnsi="宋体"/>
                <w:sz w:val="24"/>
              </w:rPr>
              <w:t>人</w:t>
            </w:r>
            <w:r>
              <w:rPr>
                <w:rFonts w:ascii="宋体" w:hAnsi="宋体"/>
                <w:sz w:val="24"/>
              </w:rPr>
              <w:t>自有人员</w:t>
            </w:r>
            <w:r>
              <w:rPr>
                <w:rFonts w:hint="eastAsia" w:ascii="宋体" w:hAnsi="宋体"/>
                <w:sz w:val="24"/>
              </w:rPr>
              <w:t>；</w:t>
            </w:r>
          </w:p>
          <w:p>
            <w:pPr>
              <w:keepNext w:val="0"/>
              <w:keepLines w:val="0"/>
              <w:pageBreakBefore w:val="0"/>
              <w:widowControl w:val="0"/>
              <w:kinsoku/>
              <w:wordWrap/>
              <w:overflowPunct/>
              <w:topLinePunct w:val="0"/>
              <w:autoSpaceDE/>
              <w:autoSpaceDN/>
              <w:bidi w:val="0"/>
              <w:spacing w:line="240" w:lineRule="auto"/>
              <w:textAlignment w:val="auto"/>
              <w:rPr>
                <w:rFonts w:ascii="宋体" w:hAnsi="宋体"/>
                <w:sz w:val="24"/>
              </w:rPr>
            </w:pPr>
            <w:r>
              <w:rPr>
                <w:rFonts w:hint="eastAsia" w:ascii="宋体" w:hAnsi="宋体"/>
                <w:sz w:val="24"/>
              </w:rPr>
              <w:t>（2）具有环境保护或水土保持相关专业中级或以上技术职称，至少1人具有水利工程建设监理工程师注册证书。</w:t>
            </w:r>
          </w:p>
        </w:tc>
      </w:tr>
    </w:tbl>
    <w:p>
      <w:pPr>
        <w:rPr>
          <w:rFonts w:ascii="宋体" w:hAnsi="宋体"/>
        </w:rPr>
      </w:pPr>
    </w:p>
    <w:p>
      <w:pPr>
        <w:spacing w:line="360" w:lineRule="auto"/>
        <w:ind w:firstLine="480" w:firstLineChars="200"/>
        <w:rPr>
          <w:rFonts w:ascii="宋体" w:hAnsi="宋体"/>
          <w:sz w:val="24"/>
        </w:rPr>
      </w:pPr>
      <w:r>
        <w:rPr>
          <w:rFonts w:ascii="宋体" w:hAnsi="宋体"/>
          <w:sz w:val="24"/>
        </w:rPr>
        <w:t>注：</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.如人员不能满足实际</w:t>
      </w:r>
      <w:r>
        <w:rPr>
          <w:rFonts w:hint="eastAsia" w:ascii="宋体" w:hAnsi="宋体"/>
          <w:sz w:val="24"/>
        </w:rPr>
        <w:t>工作</w:t>
      </w:r>
      <w:r>
        <w:rPr>
          <w:rFonts w:ascii="宋体" w:hAnsi="宋体"/>
          <w:sz w:val="24"/>
        </w:rPr>
        <w:t>需要，投标人应无条件增加相关人员，并自行承担相</w:t>
      </w:r>
      <w:r>
        <w:rPr>
          <w:rFonts w:hint="eastAsia" w:ascii="宋体" w:hAnsi="宋体"/>
          <w:sz w:val="24"/>
        </w:rPr>
        <w:t>关费用。</w:t>
      </w:r>
    </w:p>
    <w:p>
      <w:pPr>
        <w:ind w:firstLine="480" w:firstLineChars="200"/>
        <w:rPr>
          <w:rFonts w:ascii="楷体" w:hAnsi="楷体" w:eastAsia="楷体"/>
        </w:rPr>
      </w:pPr>
      <w:r>
        <w:rPr>
          <w:rFonts w:hint="eastAsia" w:ascii="宋体" w:hAnsi="宋体"/>
          <w:sz w:val="24"/>
        </w:rPr>
        <w:t>2.同一合同含多个项目或同一项目中同时承担多项技术工作的，可重复认定业绩。</w:t>
      </w:r>
    </w:p>
    <w:p>
      <w:pPr>
        <w:adjustRightInd w:val="0"/>
        <w:snapToGrid w:val="0"/>
        <w:spacing w:beforeLines="50" w:afterLines="50"/>
        <w:ind w:firstLine="280" w:firstLineChars="100"/>
        <w:rPr>
          <w:rFonts w:hint="eastAsia" w:ascii="黑体" w:hAnsi="黑体" w:eastAsia="黑体"/>
          <w:sz w:val="28"/>
          <w:szCs w:val="28"/>
        </w:rPr>
      </w:pPr>
      <w:r>
        <w:rPr>
          <w:rFonts w:hint="eastAsia" w:ascii="黑体" w:hAnsi="黑体" w:eastAsia="黑体"/>
          <w:sz w:val="28"/>
          <w:szCs w:val="28"/>
        </w:rPr>
        <w:t>四、评标办法</w:t>
      </w:r>
    </w:p>
    <w:p>
      <w:pPr>
        <w:adjustRightInd w:val="0"/>
        <w:snapToGrid w:val="0"/>
        <w:spacing w:beforeLines="50" w:afterLines="50"/>
        <w:ind w:firstLine="480" w:firstLineChars="200"/>
        <w:rPr>
          <w:rFonts w:hint="eastAsia" w:ascii="宋体" w:hAnsi="宋体"/>
          <w:szCs w:val="21"/>
        </w:rPr>
      </w:pPr>
      <w:r>
        <w:rPr>
          <w:rFonts w:ascii="宋体" w:hAnsi="宋体"/>
          <w:sz w:val="24"/>
        </w:rPr>
        <w:t>本次评标采用综合评估法。评标委员会对满足招标文件实质性要求的投标文件，按照本章第2.</w:t>
      </w:r>
      <w:r>
        <w:rPr>
          <w:rFonts w:ascii="宋体" w:hAnsi="宋体"/>
          <w:sz w:val="24"/>
          <w:highlight w:val="none"/>
        </w:rPr>
        <w:t>2款</w:t>
      </w:r>
      <w:r>
        <w:rPr>
          <w:rFonts w:ascii="宋体" w:hAnsi="宋体"/>
          <w:sz w:val="24"/>
        </w:rPr>
        <w:t>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pPr>
        <w:keepNext/>
        <w:keepLines/>
        <w:adjustRightInd w:val="0"/>
        <w:snapToGrid w:val="0"/>
        <w:outlineLvl w:val="2"/>
        <w:rPr>
          <w:rFonts w:ascii="宋体" w:hAnsi="宋体"/>
          <w:bCs/>
          <w:kern w:val="0"/>
          <w:sz w:val="32"/>
          <w:szCs w:val="32"/>
        </w:rPr>
      </w:pPr>
      <w:bookmarkStart w:id="17" w:name="_Toc49865713"/>
      <w:r>
        <w:rPr>
          <w:rFonts w:ascii="黑体" w:hAnsi="黑体" w:eastAsia="黑体"/>
          <w:bCs/>
          <w:kern w:val="0"/>
          <w:sz w:val="24"/>
        </w:rPr>
        <w:t>评标办法前附表</w:t>
      </w:r>
      <w:r>
        <w:rPr>
          <w:rFonts w:ascii="宋体" w:hAnsi="宋体"/>
          <w:bCs/>
          <w:kern w:val="0"/>
          <w:sz w:val="30"/>
          <w:szCs w:val="30"/>
          <w:vertAlign w:val="superscript"/>
        </w:rPr>
        <w:footnoteReference w:id="0"/>
      </w:r>
      <w:bookmarkEnd w:id="17"/>
    </w:p>
    <w:p>
      <w:pPr>
        <w:jc w:val="right"/>
      </w:pPr>
    </w:p>
    <w:tbl>
      <w:tblPr>
        <w:tblStyle w:val="14"/>
        <w:tblW w:w="907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823"/>
        <w:gridCol w:w="1374"/>
        <w:gridCol w:w="687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454" w:hRule="atLeast"/>
          <w:tblHeader/>
          <w:jc w:val="center"/>
        </w:trPr>
        <w:tc>
          <w:tcPr>
            <w:tcW w:w="2197" w:type="dxa"/>
            <w:gridSpan w:val="2"/>
            <w:vAlign w:val="center"/>
          </w:tcPr>
          <w:p>
            <w:pPr>
              <w:jc w:val="center"/>
              <w:rPr>
                <w:rFonts w:ascii="宋体" w:hAnsi="宋体"/>
                <w:b/>
                <w:bCs/>
                <w:szCs w:val="21"/>
              </w:rPr>
            </w:pPr>
            <w:r>
              <w:rPr>
                <w:rFonts w:ascii="宋体" w:hAnsi="宋体"/>
                <w:b/>
                <w:bCs/>
                <w:szCs w:val="21"/>
              </w:rPr>
              <w:t>条款号</w:t>
            </w:r>
          </w:p>
        </w:tc>
        <w:tc>
          <w:tcPr>
            <w:tcW w:w="6874" w:type="dxa"/>
            <w:vAlign w:val="center"/>
          </w:tcPr>
          <w:p>
            <w:pPr>
              <w:jc w:val="center"/>
              <w:rPr>
                <w:rFonts w:ascii="宋体" w:hAnsi="宋体"/>
                <w:b/>
                <w:bCs/>
              </w:rPr>
            </w:pPr>
            <w:r>
              <w:rPr>
                <w:rFonts w:ascii="宋体" w:hAnsi="宋体"/>
                <w:b/>
                <w:bCs/>
                <w:szCs w:val="21"/>
              </w:rPr>
              <w:t>评审因素与评审标准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218" w:hRule="atLeast"/>
          <w:jc w:val="center"/>
        </w:trPr>
        <w:tc>
          <w:tcPr>
            <w:tcW w:w="82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宋体" w:hAnsi="宋体"/>
                <w:sz w:val="24"/>
              </w:rPr>
            </w:pPr>
            <w:r>
              <w:rPr>
                <w:rFonts w:ascii="宋体" w:hAnsi="宋体"/>
                <w:sz w:val="24"/>
              </w:rPr>
              <w:t>1</w:t>
            </w:r>
          </w:p>
        </w:tc>
        <w:tc>
          <w:tcPr>
            <w:tcW w:w="137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宋体" w:hAnsi="宋体"/>
                <w:sz w:val="24"/>
              </w:rPr>
            </w:pPr>
            <w:r>
              <w:rPr>
                <w:rFonts w:ascii="宋体" w:hAnsi="宋体"/>
                <w:sz w:val="24"/>
              </w:rPr>
              <w:t>评标方法</w:t>
            </w:r>
          </w:p>
        </w:tc>
        <w:tc>
          <w:tcPr>
            <w:tcW w:w="687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sz w:val="24"/>
              </w:rPr>
            </w:pPr>
            <w:r>
              <w:rPr>
                <w:rFonts w:ascii="宋体" w:hAnsi="宋体"/>
                <w:sz w:val="24"/>
              </w:rPr>
              <w:t>评标委员会按</w:t>
            </w:r>
            <w:r>
              <w:rPr>
                <w:rFonts w:hint="eastAsia" w:ascii="宋体" w:hAnsi="宋体"/>
                <w:sz w:val="24"/>
              </w:rPr>
              <w:t>综合</w:t>
            </w:r>
            <w:r>
              <w:rPr>
                <w:rFonts w:ascii="宋体" w:hAnsi="宋体"/>
                <w:sz w:val="24"/>
              </w:rPr>
              <w:t>得分由高到低</w:t>
            </w:r>
            <w:r>
              <w:rPr>
                <w:rFonts w:hint="eastAsia" w:ascii="宋体" w:hAnsi="宋体"/>
                <w:sz w:val="24"/>
              </w:rPr>
              <w:t>的</w:t>
            </w:r>
            <w:r>
              <w:rPr>
                <w:rFonts w:ascii="宋体" w:hAnsi="宋体"/>
                <w:sz w:val="24"/>
              </w:rPr>
              <w:t>顺序推荐中标候选人，</w:t>
            </w:r>
            <w:r>
              <w:rPr>
                <w:rFonts w:hint="eastAsia" w:ascii="宋体" w:hAnsi="宋体"/>
                <w:sz w:val="24"/>
              </w:rPr>
              <w:t>综合</w:t>
            </w:r>
            <w:r>
              <w:rPr>
                <w:rFonts w:ascii="宋体" w:hAnsi="宋体"/>
                <w:sz w:val="24"/>
              </w:rPr>
              <w:t>得分相等时，评标委员会依次按照以下优先顺序推荐中标候选人：</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sz w:val="24"/>
              </w:rPr>
            </w:pPr>
            <w:r>
              <w:rPr>
                <w:rFonts w:ascii="宋体" w:hAnsi="宋体"/>
                <w:sz w:val="24"/>
              </w:rPr>
              <w:t>（1）</w:t>
            </w:r>
            <w:r>
              <w:rPr>
                <w:rFonts w:hint="eastAsia" w:ascii="宋体" w:hAnsi="宋体" w:cs="宋体"/>
                <w:kern w:val="0"/>
                <w:sz w:val="24"/>
              </w:rPr>
              <w:t>商务及技术得分较高的投标人优先；</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sz w:val="24"/>
              </w:rPr>
            </w:pPr>
            <w:r>
              <w:rPr>
                <w:rFonts w:ascii="宋体" w:hAnsi="宋体"/>
                <w:sz w:val="24"/>
              </w:rPr>
              <w:t>（</w:t>
            </w:r>
            <w:r>
              <w:rPr>
                <w:rFonts w:hint="eastAsia" w:ascii="宋体" w:hAnsi="宋体"/>
                <w:sz w:val="24"/>
              </w:rPr>
              <w:t>2</w:t>
            </w:r>
            <w:r>
              <w:rPr>
                <w:rFonts w:ascii="宋体" w:hAnsi="宋体"/>
                <w:sz w:val="24"/>
              </w:rPr>
              <w:t>）</w:t>
            </w:r>
            <w:r>
              <w:rPr>
                <w:rFonts w:hint="eastAsia" w:ascii="宋体" w:hAnsi="宋体"/>
                <w:sz w:val="24"/>
              </w:rPr>
              <w:t>技术建议书</w:t>
            </w:r>
            <w:r>
              <w:rPr>
                <w:rFonts w:hint="eastAsia" w:ascii="宋体" w:hAnsi="宋体" w:cs="宋体"/>
                <w:kern w:val="0"/>
                <w:sz w:val="24"/>
              </w:rPr>
              <w:t>得分较高的投标人优先</w:t>
            </w:r>
            <w:r>
              <w:rPr>
                <w:rFonts w:ascii="宋体" w:hAnsi="宋体"/>
                <w:sz w:val="24"/>
              </w:rPr>
              <w:t>；</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sz w:val="24"/>
              </w:rPr>
            </w:pPr>
            <w:r>
              <w:rPr>
                <w:rFonts w:ascii="宋体" w:hAnsi="宋体"/>
                <w:sz w:val="24"/>
              </w:rPr>
              <w:t>（</w:t>
            </w:r>
            <w:r>
              <w:rPr>
                <w:rFonts w:hint="eastAsia" w:ascii="宋体" w:hAnsi="宋体"/>
                <w:sz w:val="24"/>
              </w:rPr>
              <w:t>3</w:t>
            </w:r>
            <w:r>
              <w:rPr>
                <w:rFonts w:ascii="宋体" w:hAnsi="宋体"/>
                <w:sz w:val="24"/>
              </w:rPr>
              <w:t>）业绩</w:t>
            </w:r>
            <w:r>
              <w:rPr>
                <w:rFonts w:hint="eastAsia" w:ascii="宋体" w:hAnsi="宋体" w:cs="宋体"/>
                <w:kern w:val="0"/>
                <w:sz w:val="24"/>
              </w:rPr>
              <w:t>得分较高的投标人优先；</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sz w:val="24"/>
              </w:rPr>
            </w:pPr>
            <w:r>
              <w:rPr>
                <w:rFonts w:hint="eastAsia" w:ascii="宋体" w:hAnsi="宋体"/>
                <w:sz w:val="24"/>
              </w:rPr>
              <w:t>（4）评标委员会投票确定。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82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宋体" w:hAnsi="宋体"/>
                <w:sz w:val="24"/>
              </w:rPr>
            </w:pPr>
            <w:r>
              <w:rPr>
                <w:rFonts w:ascii="宋体" w:hAnsi="宋体"/>
                <w:sz w:val="24"/>
              </w:rPr>
              <w:t>2.1.1</w:t>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宋体" w:hAnsi="宋体"/>
                <w:sz w:val="24"/>
              </w:rPr>
            </w:pPr>
            <w:r>
              <w:rPr>
                <w:rFonts w:ascii="宋体" w:hAnsi="宋体"/>
                <w:sz w:val="24"/>
              </w:rPr>
              <w:t>2.1.3</w:t>
            </w:r>
          </w:p>
        </w:tc>
        <w:tc>
          <w:tcPr>
            <w:tcW w:w="137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宋体" w:hAnsi="宋体"/>
                <w:sz w:val="24"/>
              </w:rPr>
            </w:pPr>
            <w:r>
              <w:rPr>
                <w:rFonts w:ascii="宋体" w:hAnsi="宋体"/>
                <w:sz w:val="24"/>
              </w:rPr>
              <w:t>形式评审与响应性评审标准</w:t>
            </w:r>
          </w:p>
        </w:tc>
        <w:tc>
          <w:tcPr>
            <w:tcW w:w="687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黑体" w:hAnsi="黑体" w:eastAsia="黑体"/>
                <w:sz w:val="24"/>
              </w:rPr>
            </w:pPr>
            <w:r>
              <w:rPr>
                <w:rFonts w:ascii="黑体" w:hAnsi="黑体" w:eastAsia="黑体"/>
                <w:sz w:val="24"/>
              </w:rPr>
              <w:t>第一个信封（商务及技术文件）评审标准：</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sz w:val="24"/>
              </w:rPr>
            </w:pPr>
            <w:r>
              <w:rPr>
                <w:rFonts w:ascii="宋体" w:hAnsi="宋体"/>
                <w:sz w:val="24"/>
              </w:rPr>
              <w:t>（1）投标文件按照招标文件规定的格式、内容填写，字迹清晰可辨：</w:t>
            </w:r>
          </w:p>
          <w:p>
            <w:pPr>
              <w:keepNext w:val="0"/>
              <w:keepLines w:val="0"/>
              <w:pageBreakBefore w:val="0"/>
              <w:kinsoku/>
              <w:wordWrap/>
              <w:overflowPunct/>
              <w:topLinePunct w:val="0"/>
              <w:autoSpaceDE/>
              <w:autoSpaceDN/>
              <w:bidi w:val="0"/>
              <w:adjustRightInd/>
              <w:snapToGrid/>
              <w:spacing w:line="240" w:lineRule="auto"/>
              <w:ind w:firstLine="360" w:firstLineChars="150"/>
              <w:textAlignment w:val="auto"/>
              <w:rPr>
                <w:rFonts w:ascii="宋体" w:hAnsi="宋体"/>
                <w:sz w:val="24"/>
              </w:rPr>
            </w:pPr>
            <w:r>
              <w:rPr>
                <w:rFonts w:ascii="宋体" w:hAnsi="宋体"/>
                <w:sz w:val="24"/>
              </w:rPr>
              <w:t>a.投标函按招标文件规定填报了项目名称、标段号、补遗书编号（如有）、服务期限、质量目标及安全目标</w:t>
            </w:r>
            <w:r>
              <w:rPr>
                <w:rFonts w:hint="eastAsia" w:ascii="宋体" w:hAnsi="宋体"/>
                <w:sz w:val="24"/>
              </w:rPr>
              <w:t>。</w:t>
            </w:r>
          </w:p>
          <w:p>
            <w:pPr>
              <w:keepNext w:val="0"/>
              <w:keepLines w:val="0"/>
              <w:pageBreakBefore w:val="0"/>
              <w:kinsoku/>
              <w:wordWrap/>
              <w:overflowPunct/>
              <w:topLinePunct w:val="0"/>
              <w:autoSpaceDE/>
              <w:autoSpaceDN/>
              <w:bidi w:val="0"/>
              <w:adjustRightInd/>
              <w:snapToGrid/>
              <w:spacing w:line="240" w:lineRule="auto"/>
              <w:ind w:firstLine="360" w:firstLineChars="150"/>
              <w:textAlignment w:val="auto"/>
              <w:rPr>
                <w:rFonts w:ascii="宋体" w:hAnsi="宋体"/>
                <w:sz w:val="24"/>
              </w:rPr>
            </w:pPr>
            <w:r>
              <w:rPr>
                <w:rFonts w:ascii="宋体" w:hAnsi="宋体"/>
                <w:sz w:val="24"/>
              </w:rPr>
              <w:t>b.投标文件组成齐全完整，内容均按规定填写。</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sz w:val="24"/>
              </w:rPr>
            </w:pPr>
            <w:r>
              <w:rPr>
                <w:rFonts w:ascii="宋体" w:hAnsi="宋体"/>
                <w:sz w:val="24"/>
              </w:rPr>
              <w:t>（2）投标文件上法定代表人或其授权代理人的签字、投标人的单位章盖章齐全，符合招标文件规定。</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sz w:val="24"/>
              </w:rPr>
            </w:pPr>
            <w:r>
              <w:rPr>
                <w:rFonts w:ascii="宋体" w:hAnsi="宋体"/>
                <w:sz w:val="24"/>
              </w:rPr>
              <w:t>（3）投标人按照招标文件的规定提供了投标保证金：</w:t>
            </w:r>
          </w:p>
          <w:p>
            <w:pPr>
              <w:keepNext w:val="0"/>
              <w:keepLines w:val="0"/>
              <w:pageBreakBefore w:val="0"/>
              <w:kinsoku/>
              <w:wordWrap/>
              <w:overflowPunct/>
              <w:topLinePunct w:val="0"/>
              <w:autoSpaceDE/>
              <w:autoSpaceDN/>
              <w:bidi w:val="0"/>
              <w:adjustRightInd/>
              <w:snapToGrid/>
              <w:spacing w:line="240" w:lineRule="auto"/>
              <w:ind w:firstLine="360" w:firstLineChars="150"/>
              <w:textAlignment w:val="auto"/>
              <w:rPr>
                <w:rFonts w:ascii="宋体" w:hAnsi="宋体"/>
                <w:sz w:val="24"/>
              </w:rPr>
            </w:pPr>
            <w:r>
              <w:rPr>
                <w:rFonts w:ascii="宋体" w:hAnsi="宋体"/>
                <w:sz w:val="24"/>
              </w:rPr>
              <w:t>a.投标保证金金额符合招标文件规定的金额，且投标保证金有效期不少于投标有效期。</w:t>
            </w:r>
          </w:p>
          <w:p>
            <w:pPr>
              <w:keepNext w:val="0"/>
              <w:keepLines w:val="0"/>
              <w:pageBreakBefore w:val="0"/>
              <w:kinsoku/>
              <w:wordWrap/>
              <w:overflowPunct/>
              <w:topLinePunct w:val="0"/>
              <w:autoSpaceDE/>
              <w:autoSpaceDN/>
              <w:bidi w:val="0"/>
              <w:adjustRightInd/>
              <w:snapToGrid/>
              <w:spacing w:line="240" w:lineRule="auto"/>
              <w:ind w:firstLine="360" w:firstLineChars="150"/>
              <w:textAlignment w:val="auto"/>
              <w:rPr>
                <w:rFonts w:ascii="宋体" w:hAnsi="宋体"/>
                <w:sz w:val="24"/>
              </w:rPr>
            </w:pPr>
            <w:r>
              <w:rPr>
                <w:rFonts w:hint="eastAsia" w:ascii="宋体" w:hAnsi="宋体"/>
                <w:sz w:val="24"/>
              </w:rPr>
              <w:t>b.若投标保证金采用现金或支票形式提交，投标人应在投标截止时间之前</w:t>
            </w:r>
            <w:r>
              <w:rPr>
                <w:rFonts w:ascii="宋体" w:hAnsi="宋体"/>
                <w:sz w:val="24"/>
              </w:rPr>
              <w:t>，将投标保证金由投标人的基本账户</w:t>
            </w:r>
            <w:r>
              <w:rPr>
                <w:rFonts w:hint="eastAsia" w:ascii="宋体" w:hAnsi="宋体"/>
                <w:sz w:val="24"/>
              </w:rPr>
              <w:t>一次性</w:t>
            </w:r>
            <w:r>
              <w:rPr>
                <w:rFonts w:ascii="宋体" w:hAnsi="宋体"/>
                <w:sz w:val="24"/>
              </w:rPr>
              <w:t>转入</w:t>
            </w:r>
            <w:r>
              <w:rPr>
                <w:rFonts w:hint="eastAsia" w:ascii="宋体" w:hAnsi="宋体"/>
                <w:sz w:val="24"/>
              </w:rPr>
              <w:t>并到达</w:t>
            </w:r>
            <w:r>
              <w:rPr>
                <w:rFonts w:ascii="宋体" w:hAnsi="宋体"/>
                <w:sz w:val="24"/>
              </w:rPr>
              <w:t>招标人指定账户</w:t>
            </w:r>
            <w:r>
              <w:rPr>
                <w:rFonts w:hint="eastAsia" w:ascii="宋体" w:hAnsi="宋体"/>
                <w:sz w:val="24"/>
              </w:rPr>
              <w:t>。</w:t>
            </w:r>
          </w:p>
          <w:p>
            <w:pPr>
              <w:keepNext w:val="0"/>
              <w:keepLines w:val="0"/>
              <w:pageBreakBefore w:val="0"/>
              <w:kinsoku/>
              <w:wordWrap/>
              <w:overflowPunct/>
              <w:topLinePunct w:val="0"/>
              <w:autoSpaceDE/>
              <w:autoSpaceDN/>
              <w:bidi w:val="0"/>
              <w:adjustRightInd/>
              <w:snapToGrid/>
              <w:spacing w:line="240" w:lineRule="auto"/>
              <w:ind w:firstLine="360" w:firstLineChars="150"/>
              <w:textAlignment w:val="auto"/>
              <w:rPr>
                <w:rFonts w:ascii="宋体" w:hAnsi="宋体"/>
                <w:sz w:val="24"/>
              </w:rPr>
            </w:pPr>
            <w:r>
              <w:rPr>
                <w:rFonts w:hint="eastAsia" w:ascii="宋体" w:hAnsi="宋体"/>
                <w:sz w:val="24"/>
              </w:rPr>
              <w:t>c.若投标保证金采用银行保函形式提交，银行保函的格式、开具保函的银行均满足招标文件要求，</w:t>
            </w:r>
            <w:r>
              <w:rPr>
                <w:rFonts w:ascii="宋体" w:hAnsi="宋体"/>
                <w:sz w:val="24"/>
              </w:rPr>
              <w:t>且在</w:t>
            </w:r>
            <w:r>
              <w:rPr>
                <w:rFonts w:hint="eastAsia" w:ascii="宋体" w:hAnsi="宋体"/>
                <w:sz w:val="24"/>
              </w:rPr>
              <w:t>投标截止时间之前</w:t>
            </w:r>
            <w:r>
              <w:rPr>
                <w:rFonts w:ascii="宋体" w:hAnsi="宋体"/>
                <w:sz w:val="24"/>
              </w:rPr>
              <w:t>向招标人提交了银行保函原件</w:t>
            </w:r>
            <w:r>
              <w:rPr>
                <w:rFonts w:hint="eastAsia" w:ascii="宋体" w:hAnsi="宋体"/>
                <w:sz w:val="24"/>
              </w:rPr>
              <w:t>。</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sz w:val="24"/>
              </w:rPr>
            </w:pPr>
            <w:r>
              <w:rPr>
                <w:rFonts w:ascii="宋体" w:hAnsi="宋体"/>
                <w:sz w:val="24"/>
              </w:rPr>
              <w:t>（4）投标人法定代表人授权委托代理人签署投标文件的，须提交授权委托书，且授权人和被授权人均在授权委托书上签名，未使用印章、签名章或其他电子制版签名代替。</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sz w:val="24"/>
              </w:rPr>
            </w:pPr>
            <w:r>
              <w:rPr>
                <w:rFonts w:ascii="宋体" w:hAnsi="宋体"/>
                <w:sz w:val="24"/>
              </w:rPr>
              <w:t>（5）投标人法定代表人亲自签署投标文件的，提供了法定代表人身份证明，且法定代表人在法定代表人身份证明上签名，未使用印章、签名章或其他电子</w:t>
            </w:r>
            <w:r>
              <w:rPr>
                <w:rFonts w:ascii="宋体" w:hAnsi="宋体"/>
                <w:sz w:val="24"/>
                <w:highlight w:val="none"/>
              </w:rPr>
              <w:t>制版</w:t>
            </w:r>
            <w:r>
              <w:rPr>
                <w:rFonts w:ascii="宋体" w:hAnsi="宋体"/>
                <w:sz w:val="24"/>
              </w:rPr>
              <w:t>签名代替。</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sz w:val="24"/>
              </w:rPr>
            </w:pPr>
            <w:r>
              <w:rPr>
                <w:rFonts w:ascii="宋体" w:hAnsi="宋体"/>
                <w:sz w:val="24"/>
              </w:rPr>
              <w:t>（6）投标人以联合体形式投标时，联合体满足招标文件的要求：</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ascii="宋体" w:hAnsi="宋体"/>
                <w:sz w:val="24"/>
              </w:rPr>
            </w:pPr>
            <w:r>
              <w:rPr>
                <w:rFonts w:ascii="宋体" w:hAnsi="宋体"/>
                <w:sz w:val="24"/>
              </w:rPr>
              <w:t>投标人按照招标文件提供的格式签订了联合体协议书，明确各方承担连带责任，并明确了联合体牵头人。</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sz w:val="24"/>
              </w:rPr>
            </w:pPr>
            <w:r>
              <w:rPr>
                <w:rFonts w:ascii="宋体" w:hAnsi="宋体"/>
                <w:sz w:val="24"/>
              </w:rPr>
              <w:t>（7）同一投标人未提交两个以上不同的投标文件。</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sz w:val="24"/>
              </w:rPr>
            </w:pPr>
            <w:r>
              <w:rPr>
                <w:rFonts w:ascii="宋体" w:hAnsi="宋体"/>
                <w:sz w:val="24"/>
              </w:rPr>
              <w:t>（8）投标文件中未出现有关投标报价的内容。</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sz w:val="24"/>
              </w:rPr>
            </w:pPr>
            <w:r>
              <w:rPr>
                <w:rFonts w:ascii="宋体" w:hAnsi="宋体"/>
                <w:sz w:val="24"/>
              </w:rPr>
              <w:t>（9）投标文件载明的招标项目完成期限未超过招标文件规定的时限。</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sz w:val="24"/>
              </w:rPr>
            </w:pPr>
            <w:r>
              <w:rPr>
                <w:rFonts w:ascii="宋体" w:hAnsi="宋体"/>
                <w:sz w:val="24"/>
              </w:rPr>
              <w:t>（10）投标文件对招标文件的实质性要求和条件</w:t>
            </w:r>
            <w:r>
              <w:rPr>
                <w:rFonts w:ascii="宋体" w:hAnsi="宋体"/>
                <w:sz w:val="24"/>
                <w:highlight w:val="none"/>
              </w:rPr>
              <w:t>作出</w:t>
            </w:r>
            <w:r>
              <w:rPr>
                <w:rFonts w:ascii="宋体" w:hAnsi="宋体"/>
                <w:sz w:val="24"/>
              </w:rPr>
              <w:t>响应。</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sz w:val="24"/>
              </w:rPr>
            </w:pPr>
            <w:r>
              <w:rPr>
                <w:rFonts w:ascii="宋体" w:hAnsi="宋体"/>
                <w:sz w:val="24"/>
              </w:rPr>
              <w:t>（11）权利义务符合招标文件规定：</w:t>
            </w:r>
          </w:p>
          <w:p>
            <w:pPr>
              <w:keepNext w:val="0"/>
              <w:keepLines w:val="0"/>
              <w:pageBreakBefore w:val="0"/>
              <w:kinsoku/>
              <w:wordWrap/>
              <w:overflowPunct/>
              <w:topLinePunct w:val="0"/>
              <w:autoSpaceDE/>
              <w:autoSpaceDN/>
              <w:bidi w:val="0"/>
              <w:adjustRightInd/>
              <w:snapToGrid/>
              <w:spacing w:line="240" w:lineRule="auto"/>
              <w:ind w:firstLine="240" w:firstLineChars="100"/>
              <w:textAlignment w:val="auto"/>
              <w:rPr>
                <w:rFonts w:ascii="宋体" w:hAnsi="宋体"/>
                <w:sz w:val="24"/>
              </w:rPr>
            </w:pPr>
            <w:r>
              <w:rPr>
                <w:rFonts w:ascii="宋体" w:hAnsi="宋体"/>
                <w:sz w:val="24"/>
              </w:rPr>
              <w:t>a.投标人应接受招标文件规定的风险划分原则，未提出新的风险划分办法；</w:t>
            </w:r>
          </w:p>
          <w:p>
            <w:pPr>
              <w:keepNext w:val="0"/>
              <w:keepLines w:val="0"/>
              <w:pageBreakBefore w:val="0"/>
              <w:kinsoku/>
              <w:wordWrap/>
              <w:overflowPunct/>
              <w:topLinePunct w:val="0"/>
              <w:autoSpaceDE/>
              <w:autoSpaceDN/>
              <w:bidi w:val="0"/>
              <w:adjustRightInd/>
              <w:snapToGrid/>
              <w:spacing w:line="240" w:lineRule="auto"/>
              <w:ind w:left="113" w:right="113" w:firstLine="240" w:firstLineChars="100"/>
              <w:textAlignment w:val="auto"/>
              <w:rPr>
                <w:rFonts w:ascii="宋体" w:hAnsi="宋体"/>
                <w:sz w:val="24"/>
              </w:rPr>
            </w:pPr>
            <w:r>
              <w:rPr>
                <w:rFonts w:ascii="宋体" w:hAnsi="宋体"/>
                <w:sz w:val="24"/>
              </w:rPr>
              <w:t>b.投标人未增加发包人的责任范围，或减少投标人义务；</w:t>
            </w:r>
          </w:p>
          <w:p>
            <w:pPr>
              <w:keepNext w:val="0"/>
              <w:keepLines w:val="0"/>
              <w:pageBreakBefore w:val="0"/>
              <w:kinsoku/>
              <w:wordWrap/>
              <w:overflowPunct/>
              <w:topLinePunct w:val="0"/>
              <w:autoSpaceDE/>
              <w:autoSpaceDN/>
              <w:bidi w:val="0"/>
              <w:adjustRightInd/>
              <w:snapToGrid/>
              <w:spacing w:line="240" w:lineRule="auto"/>
              <w:ind w:left="113" w:right="113" w:firstLine="240" w:firstLineChars="100"/>
              <w:textAlignment w:val="auto"/>
              <w:rPr>
                <w:rFonts w:ascii="宋体" w:hAnsi="宋体"/>
                <w:sz w:val="24"/>
              </w:rPr>
            </w:pPr>
            <w:r>
              <w:rPr>
                <w:rFonts w:ascii="宋体" w:hAnsi="宋体"/>
                <w:sz w:val="24"/>
              </w:rPr>
              <w:t>c.投标人未提出不同的支付办法；</w:t>
            </w:r>
          </w:p>
          <w:p>
            <w:pPr>
              <w:keepNext w:val="0"/>
              <w:keepLines w:val="0"/>
              <w:pageBreakBefore w:val="0"/>
              <w:kinsoku/>
              <w:wordWrap/>
              <w:overflowPunct/>
              <w:topLinePunct w:val="0"/>
              <w:autoSpaceDE/>
              <w:autoSpaceDN/>
              <w:bidi w:val="0"/>
              <w:adjustRightInd/>
              <w:snapToGrid/>
              <w:spacing w:line="240" w:lineRule="auto"/>
              <w:ind w:left="113" w:right="113" w:firstLine="240" w:firstLineChars="100"/>
              <w:textAlignment w:val="auto"/>
              <w:rPr>
                <w:rFonts w:ascii="宋体" w:hAnsi="宋体"/>
                <w:sz w:val="24"/>
              </w:rPr>
            </w:pPr>
            <w:r>
              <w:rPr>
                <w:rFonts w:ascii="宋体" w:hAnsi="宋体"/>
                <w:sz w:val="24"/>
              </w:rPr>
              <w:t>d.投标人对合同纠纷、事故处理办法未提出异议；</w:t>
            </w:r>
          </w:p>
          <w:p>
            <w:pPr>
              <w:keepNext w:val="0"/>
              <w:keepLines w:val="0"/>
              <w:pageBreakBefore w:val="0"/>
              <w:kinsoku/>
              <w:wordWrap/>
              <w:overflowPunct/>
              <w:topLinePunct w:val="0"/>
              <w:autoSpaceDE/>
              <w:autoSpaceDN/>
              <w:bidi w:val="0"/>
              <w:adjustRightInd/>
              <w:snapToGrid/>
              <w:spacing w:line="240" w:lineRule="auto"/>
              <w:ind w:left="113" w:right="113" w:firstLine="240" w:firstLineChars="100"/>
              <w:textAlignment w:val="auto"/>
              <w:rPr>
                <w:rFonts w:ascii="宋体" w:hAnsi="宋体"/>
                <w:sz w:val="24"/>
              </w:rPr>
            </w:pPr>
            <w:r>
              <w:rPr>
                <w:rFonts w:ascii="宋体" w:hAnsi="宋体"/>
                <w:sz w:val="24"/>
              </w:rPr>
              <w:t>e.投标人在投标活动中无欺诈行为；</w:t>
            </w:r>
          </w:p>
          <w:p>
            <w:pPr>
              <w:keepNext w:val="0"/>
              <w:keepLines w:val="0"/>
              <w:pageBreakBefore w:val="0"/>
              <w:kinsoku/>
              <w:wordWrap/>
              <w:overflowPunct/>
              <w:topLinePunct w:val="0"/>
              <w:autoSpaceDE/>
              <w:autoSpaceDN/>
              <w:bidi w:val="0"/>
              <w:adjustRightInd/>
              <w:snapToGrid/>
              <w:spacing w:line="240" w:lineRule="auto"/>
              <w:ind w:firstLine="360" w:firstLineChars="150"/>
              <w:textAlignment w:val="auto"/>
              <w:rPr>
                <w:rFonts w:ascii="宋体" w:hAnsi="宋体"/>
                <w:sz w:val="24"/>
              </w:rPr>
            </w:pPr>
            <w:r>
              <w:rPr>
                <w:rFonts w:ascii="宋体" w:hAnsi="宋体"/>
                <w:sz w:val="24"/>
              </w:rPr>
              <w:t>f.投标人未对合同条款有重要保留。</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sz w:val="24"/>
              </w:rPr>
            </w:pPr>
            <w:r>
              <w:rPr>
                <w:rFonts w:ascii="宋体" w:hAnsi="宋体"/>
                <w:sz w:val="24"/>
              </w:rPr>
              <w:t>（12）投标文件正、副本份数符合招标文件第二章“投标人须知”第3.7.4项规定。</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sz w:val="24"/>
              </w:rPr>
            </w:pPr>
          </w:p>
          <w:p>
            <w:pPr>
              <w:keepNext w:val="0"/>
              <w:keepLines w:val="0"/>
              <w:pageBreakBefore w:val="0"/>
              <w:kinsoku/>
              <w:wordWrap/>
              <w:overflowPunct/>
              <w:topLinePunct w:val="0"/>
              <w:autoSpaceDE/>
              <w:autoSpaceDN/>
              <w:bidi w:val="0"/>
              <w:adjustRightInd/>
              <w:snapToGrid/>
              <w:spacing w:line="240" w:lineRule="auto"/>
              <w:textAlignment w:val="auto"/>
              <w:rPr>
                <w:rFonts w:ascii="黑体" w:hAnsi="黑体" w:eastAsia="黑体"/>
                <w:sz w:val="24"/>
              </w:rPr>
            </w:pPr>
            <w:r>
              <w:rPr>
                <w:rFonts w:ascii="黑体" w:hAnsi="黑体" w:eastAsia="黑体"/>
                <w:sz w:val="24"/>
              </w:rPr>
              <w:t>第二个信封（报价文件）评审标准：</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sz w:val="24"/>
              </w:rPr>
            </w:pPr>
            <w:r>
              <w:rPr>
                <w:rFonts w:ascii="宋体" w:hAnsi="宋体"/>
                <w:sz w:val="24"/>
              </w:rPr>
              <w:t>（1）</w:t>
            </w:r>
            <w:r>
              <w:rPr>
                <w:rFonts w:hint="eastAsia" w:ascii="宋体" w:hAnsi="宋体"/>
                <w:sz w:val="24"/>
              </w:rPr>
              <w:t>投标</w:t>
            </w:r>
            <w:r>
              <w:rPr>
                <w:rFonts w:ascii="宋体" w:hAnsi="宋体"/>
                <w:sz w:val="24"/>
              </w:rPr>
              <w:t>文件按照招标文件规定的格式、内容填写，字迹清晰可辨：</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ascii="宋体" w:hAnsi="宋体"/>
                <w:sz w:val="24"/>
              </w:rPr>
            </w:pPr>
            <w:r>
              <w:rPr>
                <w:rFonts w:ascii="宋体" w:hAnsi="宋体"/>
                <w:sz w:val="24"/>
              </w:rPr>
              <w:t>a.投标函按招标文件规定填报了</w:t>
            </w:r>
            <w:r>
              <w:rPr>
                <w:rFonts w:hint="eastAsia" w:ascii="宋体" w:hAnsi="宋体"/>
                <w:sz w:val="24"/>
              </w:rPr>
              <w:t>项目名称、标段号、补遗书编号（如有）、投标价（包括大写金额和小写金额）</w:t>
            </w:r>
            <w:r>
              <w:rPr>
                <w:rFonts w:ascii="宋体" w:hAnsi="宋体"/>
                <w:sz w:val="24"/>
              </w:rPr>
              <w:t>；</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ascii="宋体" w:hAnsi="宋体"/>
                <w:sz w:val="24"/>
              </w:rPr>
            </w:pPr>
            <w:r>
              <w:rPr>
                <w:rFonts w:ascii="宋体" w:hAnsi="宋体"/>
                <w:sz w:val="24"/>
              </w:rPr>
              <w:t>b.已标价报价清单说明文字与招标文件规定一致，未进行实质性修改和删减；</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ascii="宋体" w:hAnsi="宋体"/>
                <w:sz w:val="24"/>
              </w:rPr>
            </w:pPr>
            <w:r>
              <w:rPr>
                <w:rFonts w:ascii="宋体" w:hAnsi="宋体"/>
                <w:sz w:val="24"/>
              </w:rPr>
              <w:t>c.投标文件组成齐全完整，内容均按规定填写。</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sz w:val="24"/>
              </w:rPr>
            </w:pPr>
            <w:r>
              <w:rPr>
                <w:rFonts w:ascii="宋体" w:hAnsi="宋体"/>
                <w:sz w:val="24"/>
              </w:rPr>
              <w:t>（2）</w:t>
            </w:r>
            <w:r>
              <w:rPr>
                <w:rFonts w:hint="eastAsia" w:ascii="宋体" w:hAnsi="宋体"/>
                <w:sz w:val="24"/>
              </w:rPr>
              <w:t>投标</w:t>
            </w:r>
            <w:r>
              <w:rPr>
                <w:rFonts w:ascii="宋体" w:hAnsi="宋体"/>
                <w:sz w:val="24"/>
              </w:rPr>
              <w:t>文件上法定代表人或其授权代理人的签字、投标人的单位章盖章齐全，符合招标文件规定。</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sz w:val="24"/>
              </w:rPr>
            </w:pPr>
            <w:r>
              <w:rPr>
                <w:rFonts w:ascii="宋体" w:hAnsi="宋体"/>
                <w:sz w:val="24"/>
              </w:rPr>
              <w:t>（3）投标报价未超过招标文件设定的最高投标限价。</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sz w:val="24"/>
              </w:rPr>
            </w:pPr>
            <w:r>
              <w:rPr>
                <w:rFonts w:ascii="宋体" w:hAnsi="宋体"/>
                <w:sz w:val="24"/>
              </w:rPr>
              <w:t>（4）投标报价的大写金额能够确定具体数值。</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sz w:val="24"/>
              </w:rPr>
            </w:pPr>
            <w:r>
              <w:rPr>
                <w:rFonts w:ascii="宋体" w:hAnsi="宋体"/>
                <w:sz w:val="24"/>
              </w:rPr>
              <w:t>（5）同一投标人未提交两个以上不同的投标报价。</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sz w:val="24"/>
              </w:rPr>
            </w:pPr>
            <w:r>
              <w:rPr>
                <w:rFonts w:ascii="宋体" w:hAnsi="宋体"/>
                <w:sz w:val="24"/>
              </w:rPr>
              <w:t>（6）投标文件正、副本份数符合招标文件第二章“投标人须知”第3.7.4项规定。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62" w:hRule="atLeast"/>
          <w:jc w:val="center"/>
        </w:trPr>
        <w:tc>
          <w:tcPr>
            <w:tcW w:w="82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宋体" w:hAnsi="宋体"/>
                <w:sz w:val="24"/>
              </w:rPr>
            </w:pPr>
            <w:r>
              <w:rPr>
                <w:rFonts w:ascii="宋体" w:hAnsi="宋体"/>
                <w:sz w:val="24"/>
              </w:rPr>
              <w:t>2.1.2</w:t>
            </w:r>
          </w:p>
        </w:tc>
        <w:tc>
          <w:tcPr>
            <w:tcW w:w="137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宋体" w:hAnsi="宋体"/>
                <w:sz w:val="24"/>
              </w:rPr>
            </w:pPr>
            <w:r>
              <w:rPr>
                <w:rFonts w:ascii="宋体" w:hAnsi="宋体"/>
                <w:sz w:val="24"/>
              </w:rPr>
              <w:t>资格评审标准</w:t>
            </w:r>
          </w:p>
        </w:tc>
        <w:tc>
          <w:tcPr>
            <w:tcW w:w="687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sz w:val="24"/>
              </w:rPr>
            </w:pPr>
            <w:r>
              <w:rPr>
                <w:rFonts w:ascii="宋体" w:hAnsi="宋体"/>
                <w:sz w:val="24"/>
              </w:rPr>
              <w:t>（1）投标人具备有效的营业执照、资质证书和基本账户开户许可证</w:t>
            </w:r>
            <w:r>
              <w:rPr>
                <w:rFonts w:hint="eastAsia" w:ascii="宋体" w:hAnsi="宋体"/>
                <w:sz w:val="24"/>
              </w:rPr>
              <w:t>（或基本</w:t>
            </w:r>
            <w:r>
              <w:rPr>
                <w:rFonts w:ascii="宋体" w:hAnsi="宋体"/>
                <w:sz w:val="24"/>
              </w:rPr>
              <w:t>账户开户</w:t>
            </w:r>
            <w:r>
              <w:rPr>
                <w:rFonts w:hint="eastAsia" w:ascii="宋体" w:hAnsi="宋体"/>
                <w:sz w:val="24"/>
              </w:rPr>
              <w:t>证明）</w:t>
            </w:r>
            <w:r>
              <w:rPr>
                <w:rFonts w:ascii="宋体" w:hAnsi="宋体"/>
                <w:sz w:val="24"/>
              </w:rPr>
              <w:t>；</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sz w:val="24"/>
              </w:rPr>
            </w:pPr>
            <w:r>
              <w:rPr>
                <w:rFonts w:ascii="宋体" w:hAnsi="宋体"/>
                <w:sz w:val="24"/>
              </w:rPr>
              <w:t>（2）投标人的资质等级符合招标文件规定；</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sz w:val="24"/>
              </w:rPr>
            </w:pPr>
            <w:r>
              <w:rPr>
                <w:rFonts w:ascii="宋体" w:hAnsi="宋体"/>
                <w:sz w:val="24"/>
              </w:rPr>
              <w:t>（3）投标人的项目业绩符合招标文件规定；</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sz w:val="24"/>
              </w:rPr>
            </w:pPr>
            <w:r>
              <w:rPr>
                <w:rFonts w:ascii="宋体" w:hAnsi="宋体"/>
                <w:sz w:val="24"/>
              </w:rPr>
              <w:t>（4）投标人的信誉符合招标文件规定；</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sz w:val="24"/>
              </w:rPr>
            </w:pPr>
            <w:r>
              <w:rPr>
                <w:rFonts w:ascii="宋体" w:hAnsi="宋体"/>
                <w:sz w:val="24"/>
              </w:rPr>
              <w:t>（5）投标人的主要人员资格符合招标文件规定；</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sz w:val="24"/>
              </w:rPr>
            </w:pPr>
            <w:r>
              <w:rPr>
                <w:rFonts w:ascii="宋体" w:hAnsi="宋体"/>
                <w:sz w:val="24"/>
              </w:rPr>
              <w:t>（6）投标人的其他要求符合招标文件规定；</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sz w:val="24"/>
              </w:rPr>
            </w:pPr>
            <w:r>
              <w:rPr>
                <w:rFonts w:ascii="宋体" w:hAnsi="宋体"/>
                <w:sz w:val="24"/>
              </w:rPr>
              <w:t>（7）投标人不存在第二章“投标人须知”第 1.4.3 项或第 1.4.4 项规定的任何一种情形；</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sz w:val="24"/>
              </w:rPr>
            </w:pPr>
            <w:r>
              <w:rPr>
                <w:rFonts w:ascii="宋体" w:hAnsi="宋体"/>
                <w:sz w:val="24"/>
              </w:rPr>
              <w:t>（</w:t>
            </w:r>
            <w:r>
              <w:rPr>
                <w:rFonts w:hint="eastAsia" w:ascii="宋体" w:hAnsi="宋体"/>
                <w:sz w:val="24"/>
              </w:rPr>
              <w:t>8</w:t>
            </w:r>
            <w:r>
              <w:rPr>
                <w:rFonts w:ascii="宋体" w:hAnsi="宋体"/>
                <w:sz w:val="24"/>
              </w:rPr>
              <w:t>）以联合体形式参与投标的，联合体各方均未再以自己名义单独或参加其他联合体在同一标段中投标；独立参与投标的，投标人未同时参加联合体在同一标段中投标。</w:t>
            </w:r>
          </w:p>
        </w:tc>
      </w:tr>
    </w:tbl>
    <w:p>
      <w:pPr>
        <w:snapToGrid w:val="0"/>
        <w:jc w:val="right"/>
        <w:rPr>
          <w:rFonts w:ascii="宋体" w:hAnsi="宋体"/>
          <w:sz w:val="24"/>
        </w:rPr>
        <w:sectPr>
          <w:footnotePr>
            <w:numFmt w:val="decimalEnclosedCircleChinese"/>
          </w:footnotePr>
          <w:pgSz w:w="11906" w:h="16838"/>
          <w:pgMar w:top="1418" w:right="1474" w:bottom="1418" w:left="1588" w:header="851" w:footer="851" w:gutter="0"/>
          <w:cols w:space="720" w:num="1"/>
          <w:docGrid w:linePitch="312" w:charSpace="0"/>
        </w:sectPr>
      </w:pPr>
    </w:p>
    <w:p>
      <w:pPr>
        <w:snapToGrid w:val="0"/>
        <w:jc w:val="right"/>
        <w:rPr>
          <w:rFonts w:ascii="宋体" w:hAnsi="宋体"/>
          <w:sz w:val="24"/>
        </w:rPr>
      </w:pPr>
      <w:r>
        <w:rPr>
          <w:rFonts w:hint="eastAsia" w:ascii="宋体" w:hAnsi="宋体"/>
          <w:sz w:val="24"/>
        </w:rPr>
        <w:t>续上表</w:t>
      </w:r>
    </w:p>
    <w:tbl>
      <w:tblPr>
        <w:tblStyle w:val="14"/>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078"/>
        <w:gridCol w:w="1730"/>
        <w:gridCol w:w="626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1078" w:type="dxa"/>
          </w:tcPr>
          <w:p>
            <w:pPr>
              <w:spacing w:line="400" w:lineRule="atLeast"/>
              <w:jc w:val="center"/>
              <w:rPr>
                <w:rFonts w:ascii="宋体" w:hAnsi="宋体"/>
                <w:b/>
                <w:bCs/>
                <w:sz w:val="24"/>
              </w:rPr>
            </w:pPr>
            <w:r>
              <w:rPr>
                <w:rFonts w:ascii="宋体" w:hAnsi="宋体"/>
                <w:b/>
                <w:bCs/>
                <w:sz w:val="24"/>
              </w:rPr>
              <w:t>条款号</w:t>
            </w:r>
          </w:p>
        </w:tc>
        <w:tc>
          <w:tcPr>
            <w:tcW w:w="1730" w:type="dxa"/>
          </w:tcPr>
          <w:p>
            <w:pPr>
              <w:spacing w:line="400" w:lineRule="atLeast"/>
              <w:jc w:val="center"/>
              <w:rPr>
                <w:rFonts w:ascii="宋体" w:hAnsi="宋体"/>
                <w:b/>
                <w:bCs/>
                <w:sz w:val="24"/>
              </w:rPr>
            </w:pPr>
            <w:r>
              <w:rPr>
                <w:rFonts w:ascii="宋体" w:hAnsi="宋体"/>
                <w:b/>
                <w:bCs/>
                <w:sz w:val="24"/>
              </w:rPr>
              <w:t>条款内容</w:t>
            </w:r>
          </w:p>
        </w:tc>
        <w:tc>
          <w:tcPr>
            <w:tcW w:w="6263" w:type="dxa"/>
          </w:tcPr>
          <w:p>
            <w:pPr>
              <w:spacing w:line="400" w:lineRule="atLeast"/>
              <w:jc w:val="center"/>
              <w:rPr>
                <w:rFonts w:ascii="宋体" w:hAnsi="宋体"/>
                <w:b/>
                <w:bCs/>
                <w:sz w:val="24"/>
              </w:rPr>
            </w:pPr>
            <w:r>
              <w:rPr>
                <w:rFonts w:ascii="宋体" w:hAnsi="宋体"/>
                <w:b/>
                <w:bCs/>
                <w:sz w:val="24"/>
              </w:rPr>
              <w:t>编列内容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406" w:hRule="atLeast"/>
          <w:jc w:val="center"/>
        </w:trPr>
        <w:tc>
          <w:tcPr>
            <w:tcW w:w="1078" w:type="dxa"/>
            <w:vAlign w:val="center"/>
          </w:tcPr>
          <w:p>
            <w:pPr>
              <w:snapToGrid w:val="0"/>
              <w:spacing w:line="312" w:lineRule="auto"/>
              <w:jc w:val="center"/>
              <w:rPr>
                <w:rFonts w:ascii="宋体" w:hAnsi="宋体"/>
                <w:sz w:val="24"/>
              </w:rPr>
            </w:pPr>
            <w:r>
              <w:rPr>
                <w:rFonts w:ascii="宋体" w:hAnsi="宋体"/>
                <w:sz w:val="24"/>
              </w:rPr>
              <w:t>2.2.1</w:t>
            </w:r>
          </w:p>
        </w:tc>
        <w:tc>
          <w:tcPr>
            <w:tcW w:w="1730" w:type="dxa"/>
            <w:vAlign w:val="center"/>
          </w:tcPr>
          <w:p>
            <w:pPr>
              <w:snapToGrid w:val="0"/>
              <w:spacing w:line="312" w:lineRule="auto"/>
              <w:jc w:val="center"/>
              <w:rPr>
                <w:rFonts w:ascii="宋体" w:hAnsi="宋体"/>
                <w:sz w:val="24"/>
              </w:rPr>
            </w:pPr>
            <w:r>
              <w:rPr>
                <w:rFonts w:ascii="宋体" w:hAnsi="宋体"/>
                <w:sz w:val="24"/>
              </w:rPr>
              <w:t>分值构成</w:t>
            </w:r>
          </w:p>
          <w:p>
            <w:pPr>
              <w:snapToGrid w:val="0"/>
              <w:spacing w:line="312" w:lineRule="auto"/>
              <w:jc w:val="center"/>
              <w:rPr>
                <w:rFonts w:ascii="宋体" w:hAnsi="宋体"/>
                <w:sz w:val="24"/>
              </w:rPr>
            </w:pPr>
            <w:r>
              <w:rPr>
                <w:rFonts w:ascii="宋体" w:hAnsi="宋体"/>
                <w:sz w:val="24"/>
              </w:rPr>
              <w:t>（总分100分）</w:t>
            </w:r>
          </w:p>
        </w:tc>
        <w:tc>
          <w:tcPr>
            <w:tcW w:w="6263" w:type="dxa"/>
            <w:vAlign w:val="center"/>
          </w:tcPr>
          <w:p>
            <w:pPr>
              <w:snapToGrid w:val="0"/>
              <w:spacing w:line="312" w:lineRule="auto"/>
              <w:rPr>
                <w:rFonts w:ascii="宋体" w:hAnsi="宋体"/>
                <w:b/>
                <w:sz w:val="24"/>
              </w:rPr>
            </w:pPr>
            <w:r>
              <w:rPr>
                <w:rFonts w:ascii="宋体" w:hAnsi="宋体"/>
                <w:b/>
                <w:sz w:val="24"/>
              </w:rPr>
              <w:t>第一个信封（商务</w:t>
            </w:r>
            <w:r>
              <w:rPr>
                <w:rFonts w:hint="eastAsia" w:ascii="宋体" w:hAnsi="宋体"/>
                <w:b/>
                <w:sz w:val="24"/>
              </w:rPr>
              <w:t>及技术</w:t>
            </w:r>
            <w:r>
              <w:rPr>
                <w:rFonts w:ascii="宋体" w:hAnsi="宋体"/>
                <w:b/>
                <w:sz w:val="24"/>
              </w:rPr>
              <w:t>文件）评分分值构成：90分</w:t>
            </w:r>
          </w:p>
          <w:p>
            <w:pPr>
              <w:snapToGrid w:val="0"/>
              <w:spacing w:line="312" w:lineRule="auto"/>
              <w:rPr>
                <w:rFonts w:ascii="宋体" w:hAnsi="宋体"/>
                <w:sz w:val="24"/>
              </w:rPr>
            </w:pPr>
            <w:r>
              <w:rPr>
                <w:rFonts w:ascii="宋体" w:hAnsi="宋体"/>
                <w:sz w:val="24"/>
              </w:rPr>
              <w:t>技术建议书：</w:t>
            </w:r>
            <w:r>
              <w:rPr>
                <w:rFonts w:hint="eastAsia" w:ascii="宋体" w:hAnsi="宋体"/>
                <w:sz w:val="24"/>
              </w:rPr>
              <w:t>50</w:t>
            </w:r>
            <w:r>
              <w:rPr>
                <w:rFonts w:ascii="宋体" w:hAnsi="宋体"/>
                <w:sz w:val="24"/>
              </w:rPr>
              <w:t>分</w:t>
            </w:r>
          </w:p>
          <w:p>
            <w:pPr>
              <w:snapToGrid w:val="0"/>
              <w:spacing w:line="312" w:lineRule="auto"/>
              <w:rPr>
                <w:rFonts w:ascii="宋体" w:hAnsi="宋体"/>
                <w:sz w:val="24"/>
              </w:rPr>
            </w:pPr>
            <w:r>
              <w:rPr>
                <w:rFonts w:hint="eastAsia" w:ascii="宋体" w:hAnsi="宋体"/>
                <w:sz w:val="24"/>
              </w:rPr>
              <w:t>主要</w:t>
            </w:r>
            <w:r>
              <w:rPr>
                <w:rFonts w:ascii="宋体" w:hAnsi="宋体"/>
                <w:sz w:val="24"/>
              </w:rPr>
              <w:t>人员：</w:t>
            </w:r>
            <w:r>
              <w:rPr>
                <w:rFonts w:hint="eastAsia" w:ascii="宋体" w:hAnsi="宋体"/>
                <w:sz w:val="24"/>
              </w:rPr>
              <w:t>10</w:t>
            </w:r>
            <w:r>
              <w:rPr>
                <w:rFonts w:ascii="宋体" w:hAnsi="宋体"/>
                <w:sz w:val="24"/>
              </w:rPr>
              <w:t>分</w:t>
            </w:r>
          </w:p>
          <w:p>
            <w:pPr>
              <w:snapToGrid w:val="0"/>
              <w:spacing w:line="312" w:lineRule="auto"/>
              <w:rPr>
                <w:rFonts w:ascii="宋体" w:hAnsi="宋体"/>
                <w:sz w:val="24"/>
              </w:rPr>
            </w:pPr>
            <w:r>
              <w:rPr>
                <w:rFonts w:ascii="宋体" w:hAnsi="宋体"/>
                <w:sz w:val="24"/>
              </w:rPr>
              <w:t>业绩：</w:t>
            </w:r>
            <w:r>
              <w:rPr>
                <w:rFonts w:hint="eastAsia" w:ascii="宋体" w:hAnsi="宋体"/>
                <w:sz w:val="24"/>
              </w:rPr>
              <w:t>30</w:t>
            </w:r>
            <w:r>
              <w:rPr>
                <w:rFonts w:ascii="宋体" w:hAnsi="宋体"/>
                <w:sz w:val="24"/>
              </w:rPr>
              <w:t>分</w:t>
            </w:r>
          </w:p>
          <w:p>
            <w:pPr>
              <w:snapToGrid w:val="0"/>
              <w:spacing w:line="312" w:lineRule="auto"/>
              <w:rPr>
                <w:rFonts w:ascii="宋体" w:hAnsi="宋体"/>
                <w:b/>
                <w:sz w:val="24"/>
              </w:rPr>
            </w:pPr>
            <w:r>
              <w:rPr>
                <w:rFonts w:ascii="宋体" w:hAnsi="宋体"/>
                <w:b/>
                <w:sz w:val="24"/>
              </w:rPr>
              <w:t>第二个信封（报价文件）评分分值构成：10分</w:t>
            </w:r>
          </w:p>
          <w:p>
            <w:pPr>
              <w:snapToGrid w:val="0"/>
              <w:spacing w:line="312" w:lineRule="auto"/>
              <w:rPr>
                <w:rFonts w:ascii="宋体" w:hAnsi="宋体"/>
                <w:sz w:val="24"/>
              </w:rPr>
            </w:pPr>
            <w:r>
              <w:rPr>
                <w:rFonts w:ascii="宋体" w:hAnsi="宋体"/>
                <w:sz w:val="24"/>
              </w:rPr>
              <w:t>评标价：10分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07" w:hRule="atLeast"/>
          <w:jc w:val="center"/>
        </w:trPr>
        <w:tc>
          <w:tcPr>
            <w:tcW w:w="1078" w:type="dxa"/>
            <w:vAlign w:val="center"/>
          </w:tcPr>
          <w:p>
            <w:pPr>
              <w:spacing w:line="400" w:lineRule="atLeast"/>
              <w:jc w:val="center"/>
              <w:rPr>
                <w:rFonts w:ascii="宋体" w:hAnsi="宋体"/>
                <w:sz w:val="24"/>
              </w:rPr>
            </w:pPr>
            <w:r>
              <w:rPr>
                <w:rFonts w:ascii="宋体" w:hAnsi="宋体"/>
                <w:sz w:val="24"/>
              </w:rPr>
              <w:t>2.2.2</w:t>
            </w:r>
          </w:p>
        </w:tc>
        <w:tc>
          <w:tcPr>
            <w:tcW w:w="1730" w:type="dxa"/>
            <w:vAlign w:val="center"/>
          </w:tcPr>
          <w:p>
            <w:pPr>
              <w:spacing w:line="400" w:lineRule="atLeast"/>
              <w:jc w:val="center"/>
              <w:rPr>
                <w:rFonts w:ascii="宋体" w:hAnsi="宋体"/>
                <w:sz w:val="24"/>
              </w:rPr>
            </w:pPr>
            <w:r>
              <w:rPr>
                <w:rFonts w:ascii="宋体" w:hAnsi="宋体"/>
                <w:sz w:val="24"/>
              </w:rPr>
              <w:t>评标基准价计算方法</w:t>
            </w:r>
          </w:p>
        </w:tc>
        <w:tc>
          <w:tcPr>
            <w:tcW w:w="6263" w:type="dxa"/>
            <w:vAlign w:val="center"/>
          </w:tcPr>
          <w:p>
            <w:pPr>
              <w:snapToGrid w:val="0"/>
              <w:spacing w:line="288" w:lineRule="auto"/>
              <w:ind w:left="113" w:right="113" w:firstLine="240" w:firstLineChars="100"/>
              <w:jc w:val="left"/>
              <w:rPr>
                <w:rFonts w:ascii="宋体" w:hAnsi="宋体"/>
                <w:sz w:val="24"/>
              </w:rPr>
            </w:pPr>
            <w:r>
              <w:rPr>
                <w:rFonts w:ascii="宋体" w:hAnsi="宋体"/>
                <w:sz w:val="24"/>
              </w:rPr>
              <w:t>评标基准价的计算：在开标现场，招标人将当场计算并宣布评标基准价。</w:t>
            </w:r>
          </w:p>
          <w:p>
            <w:pPr>
              <w:snapToGrid w:val="0"/>
              <w:spacing w:line="288" w:lineRule="auto"/>
              <w:ind w:left="113" w:right="113" w:firstLine="240" w:firstLineChars="100"/>
              <w:jc w:val="left"/>
              <w:rPr>
                <w:rFonts w:ascii="宋体" w:hAnsi="宋体"/>
                <w:sz w:val="24"/>
              </w:rPr>
            </w:pPr>
            <w:r>
              <w:rPr>
                <w:rFonts w:ascii="宋体" w:hAnsi="宋体"/>
                <w:sz w:val="24"/>
              </w:rPr>
              <w:t>（1）评标价的确定：评标价＝投标函文字报价</w:t>
            </w:r>
          </w:p>
          <w:p>
            <w:pPr>
              <w:snapToGrid w:val="0"/>
              <w:spacing w:line="288" w:lineRule="auto"/>
              <w:ind w:left="113" w:right="113" w:firstLine="240" w:firstLineChars="100"/>
              <w:jc w:val="left"/>
              <w:rPr>
                <w:rFonts w:ascii="宋体" w:hAnsi="宋体"/>
                <w:sz w:val="24"/>
              </w:rPr>
            </w:pPr>
            <w:r>
              <w:rPr>
                <w:rFonts w:ascii="宋体" w:hAnsi="宋体"/>
                <w:sz w:val="24"/>
              </w:rPr>
              <w:t>（2）评标价平均值的计算：除按第二章“投标人须知”第5.2.4项规定开标现场被宣布为不进入评标基准价计算的投标报价之外， 所有投标人的评标价去掉一个最高值和一个最低值后的算术平均值即为评标价平均值（如果参与评标价平均值计算的有效投标人少于5 家时，则计算评标价平均值时不去掉最高值和最低值）。</w:t>
            </w:r>
          </w:p>
          <w:p>
            <w:pPr>
              <w:snapToGrid w:val="0"/>
              <w:spacing w:line="288" w:lineRule="auto"/>
              <w:ind w:left="113" w:right="113" w:firstLine="240" w:firstLineChars="100"/>
              <w:jc w:val="left"/>
              <w:rPr>
                <w:rFonts w:ascii="宋体" w:hAnsi="宋体"/>
                <w:sz w:val="24"/>
              </w:rPr>
            </w:pPr>
            <w:r>
              <w:rPr>
                <w:rFonts w:ascii="宋体" w:hAnsi="宋体"/>
                <w:sz w:val="24"/>
              </w:rPr>
              <w:t>（3）评标基准价的确定：将评标价平均值直接作为评标基准价。</w:t>
            </w:r>
          </w:p>
          <w:p>
            <w:pPr>
              <w:snapToGrid w:val="0"/>
              <w:spacing w:line="288" w:lineRule="auto"/>
              <w:ind w:left="113" w:right="113" w:firstLine="240" w:firstLineChars="100"/>
              <w:jc w:val="left"/>
              <w:rPr>
                <w:rFonts w:ascii="宋体" w:hAnsi="宋体"/>
                <w:sz w:val="24"/>
              </w:rPr>
            </w:pPr>
            <w:r>
              <w:rPr>
                <w:rFonts w:ascii="宋体" w:hAnsi="宋体"/>
                <w:sz w:val="24"/>
              </w:rPr>
              <w:t>在评标过程中，评标委员会应对招标人计算的评标基准价进行复核，存在计算错误的应予以修正并在评标报告中作出说明。除此之外，评标基准价在整个评标期间保持不变，不随任何因素发生变化</w:t>
            </w:r>
            <w:r>
              <w:rPr>
                <w:rFonts w:hint="eastAsia" w:ascii="宋体" w:hAnsi="宋体"/>
                <w:sz w:val="24"/>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156" w:hRule="atLeast"/>
          <w:jc w:val="center"/>
        </w:trPr>
        <w:tc>
          <w:tcPr>
            <w:tcW w:w="1078" w:type="dxa"/>
            <w:vAlign w:val="center"/>
          </w:tcPr>
          <w:p>
            <w:pPr>
              <w:spacing w:line="400" w:lineRule="atLeast"/>
              <w:jc w:val="center"/>
              <w:rPr>
                <w:rFonts w:ascii="宋体" w:hAnsi="宋体"/>
                <w:sz w:val="24"/>
              </w:rPr>
            </w:pPr>
            <w:r>
              <w:rPr>
                <w:rFonts w:hint="eastAsia" w:ascii="宋体" w:hAnsi="宋体"/>
                <w:sz w:val="24"/>
              </w:rPr>
              <w:t>2.2.3</w:t>
            </w:r>
          </w:p>
        </w:tc>
        <w:tc>
          <w:tcPr>
            <w:tcW w:w="1730" w:type="dxa"/>
            <w:vAlign w:val="center"/>
          </w:tcPr>
          <w:p>
            <w:pPr>
              <w:spacing w:line="400" w:lineRule="atLeast"/>
              <w:jc w:val="center"/>
              <w:rPr>
                <w:rFonts w:ascii="宋体" w:hAnsi="宋体"/>
                <w:sz w:val="24"/>
              </w:rPr>
            </w:pPr>
            <w:r>
              <w:rPr>
                <w:rFonts w:hint="eastAsia" w:ascii="宋体" w:hAnsi="宋体"/>
                <w:sz w:val="24"/>
              </w:rPr>
              <w:t>评标价的偏差 率计算公式</w:t>
            </w:r>
          </w:p>
        </w:tc>
        <w:tc>
          <w:tcPr>
            <w:tcW w:w="6263" w:type="dxa"/>
            <w:vAlign w:val="center"/>
          </w:tcPr>
          <w:p>
            <w:pPr>
              <w:pStyle w:val="30"/>
              <w:spacing w:line="273" w:lineRule="auto"/>
              <w:ind w:right="206" w:firstLine="234" w:firstLineChars="100"/>
              <w:rPr>
                <w:sz w:val="24"/>
              </w:rPr>
            </w:pPr>
            <w:r>
              <w:rPr>
                <w:spacing w:val="-3"/>
                <w:sz w:val="24"/>
              </w:rPr>
              <w:t>偏差率=100%×（投标人评标价－评标基准价）/评标</w:t>
            </w:r>
            <w:r>
              <w:rPr>
                <w:sz w:val="24"/>
              </w:rPr>
              <w:t xml:space="preserve">基准价 </w:t>
            </w:r>
          </w:p>
          <w:p>
            <w:pPr>
              <w:snapToGrid w:val="0"/>
              <w:spacing w:line="288" w:lineRule="auto"/>
              <w:ind w:right="113" w:firstLine="240" w:firstLineChars="100"/>
              <w:rPr>
                <w:rFonts w:ascii="宋体" w:hAnsi="宋体"/>
                <w:sz w:val="24"/>
              </w:rPr>
            </w:pPr>
            <w:r>
              <w:rPr>
                <w:rFonts w:ascii="宋体" w:hAnsi="宋体" w:cs="宋体"/>
                <w:sz w:val="24"/>
              </w:rPr>
              <w:t>偏差率保留2位小数。</w:t>
            </w:r>
          </w:p>
        </w:tc>
      </w:tr>
    </w:tbl>
    <w:p>
      <w:pPr>
        <w:spacing w:line="400" w:lineRule="atLeast"/>
        <w:rPr>
          <w:rFonts w:ascii="宋体" w:hAnsi="宋体"/>
          <w:sz w:val="30"/>
          <w:szCs w:val="30"/>
        </w:rPr>
        <w:sectPr>
          <w:footnotePr>
            <w:numFmt w:val="decimalEnclosedCircleChinese"/>
          </w:footnotePr>
          <w:pgSz w:w="11906" w:h="16838"/>
          <w:pgMar w:top="1418" w:right="1474" w:bottom="1418" w:left="1588" w:header="851" w:footer="851" w:gutter="0"/>
          <w:cols w:space="720" w:num="1"/>
          <w:docGrid w:linePitch="312" w:charSpace="0"/>
        </w:sectPr>
      </w:pPr>
    </w:p>
    <w:p>
      <w:pPr>
        <w:snapToGrid w:val="0"/>
        <w:jc w:val="right"/>
        <w:rPr>
          <w:rFonts w:ascii="宋体" w:hAnsi="宋体"/>
          <w:szCs w:val="21"/>
        </w:rPr>
      </w:pPr>
      <w:r>
        <w:rPr>
          <w:rFonts w:hint="eastAsia" w:ascii="宋体" w:hAnsi="宋体"/>
          <w:sz w:val="24"/>
        </w:rPr>
        <w:t>续上表</w:t>
      </w:r>
      <w:r>
        <w:rPr>
          <w:rFonts w:ascii="宋体" w:hAnsi="宋体"/>
          <w:szCs w:val="21"/>
        </w:rPr>
        <w:t xml:space="preserve"> </w:t>
      </w:r>
    </w:p>
    <w:tbl>
      <w:tblPr>
        <w:tblStyle w:val="14"/>
        <w:tblW w:w="92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3"/>
        <w:gridCol w:w="1032"/>
        <w:gridCol w:w="894"/>
        <w:gridCol w:w="2268"/>
        <w:gridCol w:w="911"/>
        <w:gridCol w:w="31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98" w:hRule="atLeast"/>
          <w:tblHeader/>
          <w:jc w:val="center"/>
        </w:trPr>
        <w:tc>
          <w:tcPr>
            <w:tcW w:w="6058" w:type="dxa"/>
            <w:gridSpan w:val="5"/>
            <w:vAlign w:val="center"/>
          </w:tcPr>
          <w:p>
            <w:pPr>
              <w:spacing w:line="276" w:lineRule="auto"/>
              <w:jc w:val="center"/>
              <w:rPr>
                <w:rFonts w:ascii="宋体" w:hAnsi="宋体"/>
                <w:b/>
                <w:sz w:val="24"/>
              </w:rPr>
            </w:pPr>
            <w:r>
              <w:rPr>
                <w:rFonts w:ascii="宋体" w:hAnsi="宋体"/>
                <w:b/>
                <w:sz w:val="24"/>
              </w:rPr>
              <w:t>评分因素与权重分值</w:t>
            </w:r>
          </w:p>
        </w:tc>
        <w:tc>
          <w:tcPr>
            <w:tcW w:w="3156" w:type="dxa"/>
            <w:vMerge w:val="restart"/>
            <w:vAlign w:val="center"/>
          </w:tcPr>
          <w:p>
            <w:pPr>
              <w:spacing w:line="276" w:lineRule="auto"/>
              <w:jc w:val="center"/>
              <w:rPr>
                <w:rFonts w:ascii="宋体" w:hAnsi="宋体"/>
                <w:b/>
                <w:sz w:val="24"/>
              </w:rPr>
            </w:pPr>
            <w:r>
              <w:rPr>
                <w:rFonts w:ascii="宋体" w:hAnsi="宋体"/>
                <w:b/>
                <w:sz w:val="24"/>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9" w:hRule="atLeast"/>
          <w:tblHeader/>
          <w:jc w:val="center"/>
        </w:trPr>
        <w:tc>
          <w:tcPr>
            <w:tcW w:w="953" w:type="dxa"/>
            <w:vAlign w:val="center"/>
          </w:tcPr>
          <w:p>
            <w:pPr>
              <w:spacing w:line="276" w:lineRule="auto"/>
              <w:jc w:val="center"/>
              <w:rPr>
                <w:rFonts w:ascii="宋体" w:hAnsi="宋体"/>
                <w:b/>
                <w:sz w:val="24"/>
              </w:rPr>
            </w:pPr>
            <w:r>
              <w:rPr>
                <w:rFonts w:ascii="宋体" w:hAnsi="宋体"/>
                <w:b/>
                <w:sz w:val="24"/>
              </w:rPr>
              <w:t>条款号</w:t>
            </w:r>
          </w:p>
        </w:tc>
        <w:tc>
          <w:tcPr>
            <w:tcW w:w="1032" w:type="dxa"/>
            <w:vAlign w:val="center"/>
          </w:tcPr>
          <w:p>
            <w:pPr>
              <w:spacing w:line="276" w:lineRule="auto"/>
              <w:jc w:val="center"/>
              <w:rPr>
                <w:rFonts w:hint="eastAsia" w:ascii="宋体" w:hAnsi="宋体"/>
                <w:b/>
                <w:sz w:val="24"/>
              </w:rPr>
            </w:pPr>
            <w:r>
              <w:rPr>
                <w:rFonts w:ascii="宋体" w:hAnsi="宋体"/>
                <w:b/>
                <w:sz w:val="24"/>
              </w:rPr>
              <w:t>评分</w:t>
            </w:r>
          </w:p>
          <w:p>
            <w:pPr>
              <w:spacing w:line="276" w:lineRule="auto"/>
              <w:jc w:val="center"/>
              <w:rPr>
                <w:rFonts w:ascii="宋体" w:hAnsi="宋体"/>
                <w:b/>
                <w:sz w:val="24"/>
              </w:rPr>
            </w:pPr>
            <w:r>
              <w:rPr>
                <w:rFonts w:ascii="宋体" w:hAnsi="宋体"/>
                <w:b/>
                <w:sz w:val="24"/>
              </w:rPr>
              <w:t>因素</w:t>
            </w:r>
          </w:p>
        </w:tc>
        <w:tc>
          <w:tcPr>
            <w:tcW w:w="894" w:type="dxa"/>
            <w:vAlign w:val="center"/>
          </w:tcPr>
          <w:p>
            <w:pPr>
              <w:spacing w:line="276" w:lineRule="auto"/>
              <w:jc w:val="center"/>
              <w:rPr>
                <w:rFonts w:ascii="宋体" w:hAnsi="宋体"/>
                <w:b/>
                <w:sz w:val="24"/>
              </w:rPr>
            </w:pPr>
            <w:r>
              <w:rPr>
                <w:rFonts w:ascii="宋体" w:hAnsi="宋体"/>
                <w:b/>
                <w:sz w:val="24"/>
              </w:rPr>
              <w:t>评分因素</w:t>
            </w:r>
          </w:p>
          <w:p>
            <w:pPr>
              <w:spacing w:line="276" w:lineRule="auto"/>
              <w:jc w:val="center"/>
              <w:rPr>
                <w:rFonts w:ascii="宋体" w:hAnsi="宋体"/>
                <w:b/>
                <w:sz w:val="24"/>
              </w:rPr>
            </w:pPr>
            <w:r>
              <w:rPr>
                <w:rFonts w:ascii="宋体" w:hAnsi="宋体"/>
                <w:b/>
                <w:sz w:val="24"/>
              </w:rPr>
              <w:t>权重分值</w:t>
            </w:r>
          </w:p>
        </w:tc>
        <w:tc>
          <w:tcPr>
            <w:tcW w:w="2268" w:type="dxa"/>
            <w:vAlign w:val="center"/>
          </w:tcPr>
          <w:p>
            <w:pPr>
              <w:spacing w:line="276" w:lineRule="auto"/>
              <w:jc w:val="center"/>
              <w:rPr>
                <w:rFonts w:ascii="宋体" w:hAnsi="宋体"/>
                <w:b/>
                <w:sz w:val="24"/>
              </w:rPr>
            </w:pPr>
            <w:r>
              <w:rPr>
                <w:rFonts w:ascii="宋体" w:hAnsi="宋体"/>
                <w:b/>
                <w:sz w:val="24"/>
              </w:rPr>
              <w:t>各评分因素细分项</w:t>
            </w:r>
          </w:p>
        </w:tc>
        <w:tc>
          <w:tcPr>
            <w:tcW w:w="911" w:type="dxa"/>
            <w:vAlign w:val="center"/>
          </w:tcPr>
          <w:p>
            <w:pPr>
              <w:spacing w:line="276" w:lineRule="auto"/>
              <w:jc w:val="center"/>
              <w:rPr>
                <w:rFonts w:ascii="宋体" w:hAnsi="宋体"/>
                <w:b/>
                <w:sz w:val="24"/>
              </w:rPr>
            </w:pPr>
            <w:r>
              <w:rPr>
                <w:rFonts w:ascii="宋体" w:hAnsi="宋体"/>
                <w:b/>
                <w:sz w:val="24"/>
              </w:rPr>
              <w:t>分值</w:t>
            </w:r>
          </w:p>
        </w:tc>
        <w:tc>
          <w:tcPr>
            <w:tcW w:w="3156" w:type="dxa"/>
            <w:vMerge w:val="continue"/>
            <w:vAlign w:val="center"/>
          </w:tcPr>
          <w:p>
            <w:pPr>
              <w:spacing w:line="276"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2" w:hRule="atLeast"/>
          <w:jc w:val="center"/>
        </w:trPr>
        <w:tc>
          <w:tcPr>
            <w:tcW w:w="953" w:type="dxa"/>
            <w:vMerge w:val="restart"/>
            <w:vAlign w:val="center"/>
          </w:tcPr>
          <w:p>
            <w:pPr>
              <w:spacing w:line="276" w:lineRule="auto"/>
              <w:ind w:right="113"/>
              <w:jc w:val="center"/>
              <w:rPr>
                <w:rFonts w:ascii="宋体" w:hAnsi="宋体"/>
                <w:sz w:val="24"/>
              </w:rPr>
            </w:pPr>
            <w:r>
              <w:rPr>
                <w:rFonts w:ascii="宋体" w:hAnsi="宋体"/>
                <w:sz w:val="24"/>
              </w:rPr>
              <w:t>2.2.4(1)</w:t>
            </w:r>
          </w:p>
        </w:tc>
        <w:tc>
          <w:tcPr>
            <w:tcW w:w="1032" w:type="dxa"/>
            <w:vMerge w:val="restart"/>
            <w:vAlign w:val="center"/>
          </w:tcPr>
          <w:p>
            <w:pPr>
              <w:spacing w:line="276" w:lineRule="auto"/>
              <w:ind w:right="113"/>
              <w:jc w:val="center"/>
              <w:rPr>
                <w:rFonts w:ascii="宋体" w:hAnsi="宋体"/>
                <w:sz w:val="24"/>
              </w:rPr>
            </w:pPr>
            <w:r>
              <w:rPr>
                <w:rFonts w:ascii="宋体" w:hAnsi="宋体"/>
                <w:sz w:val="24"/>
              </w:rPr>
              <w:t>技术建议书</w:t>
            </w:r>
          </w:p>
        </w:tc>
        <w:tc>
          <w:tcPr>
            <w:tcW w:w="894" w:type="dxa"/>
            <w:vMerge w:val="restart"/>
            <w:vAlign w:val="center"/>
          </w:tcPr>
          <w:p>
            <w:pPr>
              <w:spacing w:line="276" w:lineRule="auto"/>
              <w:ind w:right="113"/>
              <w:jc w:val="center"/>
              <w:rPr>
                <w:rFonts w:ascii="宋体" w:hAnsi="宋体"/>
                <w:sz w:val="24"/>
              </w:rPr>
            </w:pPr>
            <w:r>
              <w:rPr>
                <w:rFonts w:hint="eastAsia" w:ascii="宋体" w:hAnsi="宋体"/>
                <w:sz w:val="24"/>
              </w:rPr>
              <w:t>50</w:t>
            </w:r>
            <w:r>
              <w:rPr>
                <w:rFonts w:ascii="宋体" w:hAnsi="宋体"/>
                <w:sz w:val="24"/>
              </w:rPr>
              <w:t>分</w:t>
            </w:r>
          </w:p>
        </w:tc>
        <w:tc>
          <w:tcPr>
            <w:tcW w:w="2268" w:type="dxa"/>
            <w:vAlign w:val="center"/>
          </w:tcPr>
          <w:p>
            <w:pPr>
              <w:spacing w:line="276" w:lineRule="auto"/>
              <w:ind w:right="113"/>
              <w:jc w:val="center"/>
              <w:rPr>
                <w:rFonts w:ascii="宋体" w:hAnsi="宋体"/>
                <w:sz w:val="24"/>
              </w:rPr>
            </w:pPr>
            <w:r>
              <w:rPr>
                <w:rFonts w:ascii="宋体" w:hAnsi="宋体"/>
                <w:sz w:val="24"/>
              </w:rPr>
              <w:t>对环境保护与水土保持全过程技术服务（环保管家）的理解与认识</w:t>
            </w:r>
          </w:p>
        </w:tc>
        <w:tc>
          <w:tcPr>
            <w:tcW w:w="911" w:type="dxa"/>
            <w:vAlign w:val="center"/>
          </w:tcPr>
          <w:p>
            <w:pPr>
              <w:spacing w:line="276" w:lineRule="auto"/>
              <w:ind w:right="113"/>
              <w:jc w:val="center"/>
              <w:rPr>
                <w:rFonts w:ascii="宋体" w:hAnsi="宋体"/>
                <w:sz w:val="24"/>
              </w:rPr>
            </w:pPr>
            <w:r>
              <w:rPr>
                <w:rFonts w:ascii="宋体" w:hAnsi="宋体"/>
                <w:sz w:val="24"/>
              </w:rPr>
              <w:t>10分</w:t>
            </w:r>
          </w:p>
        </w:tc>
        <w:tc>
          <w:tcPr>
            <w:tcW w:w="3156" w:type="dxa"/>
            <w:vAlign w:val="center"/>
          </w:tcPr>
          <w:p>
            <w:pPr>
              <w:spacing w:line="276" w:lineRule="auto"/>
              <w:ind w:right="113"/>
              <w:jc w:val="left"/>
              <w:rPr>
                <w:rFonts w:ascii="宋体" w:hAnsi="宋体"/>
                <w:sz w:val="24"/>
              </w:rPr>
            </w:pPr>
            <w:r>
              <w:rPr>
                <w:rFonts w:hint="eastAsia" w:ascii="宋体" w:hAnsi="宋体"/>
                <w:sz w:val="24"/>
              </w:rPr>
              <w:t>一般</w:t>
            </w:r>
            <w:r>
              <w:rPr>
                <w:rFonts w:ascii="宋体" w:hAnsi="宋体"/>
                <w:sz w:val="24"/>
              </w:rPr>
              <w:t>，得</w:t>
            </w:r>
            <w:r>
              <w:rPr>
                <w:rFonts w:hint="eastAsia" w:ascii="宋体" w:hAnsi="宋体"/>
                <w:sz w:val="24"/>
              </w:rPr>
              <w:t>6</w:t>
            </w:r>
            <w:r>
              <w:rPr>
                <w:rFonts w:ascii="宋体" w:hAnsi="宋体"/>
                <w:sz w:val="24"/>
              </w:rPr>
              <w:t>分</w:t>
            </w:r>
            <w:r>
              <w:rPr>
                <w:rFonts w:hint="eastAsia" w:ascii="宋体" w:hAnsi="宋体"/>
                <w:sz w:val="24"/>
              </w:rPr>
              <w:t>；</w:t>
            </w:r>
          </w:p>
          <w:p>
            <w:pPr>
              <w:spacing w:line="276" w:lineRule="auto"/>
              <w:ind w:right="113"/>
              <w:jc w:val="left"/>
              <w:rPr>
                <w:rFonts w:ascii="宋体" w:hAnsi="宋体"/>
                <w:sz w:val="24"/>
              </w:rPr>
            </w:pPr>
            <w:r>
              <w:rPr>
                <w:rFonts w:hint="eastAsia" w:ascii="宋体" w:hAnsi="宋体"/>
                <w:sz w:val="24"/>
              </w:rPr>
              <w:t>较好</w:t>
            </w:r>
            <w:r>
              <w:rPr>
                <w:rFonts w:ascii="宋体" w:hAnsi="宋体"/>
                <w:sz w:val="24"/>
              </w:rPr>
              <w:t>，</w:t>
            </w:r>
            <w:r>
              <w:rPr>
                <w:rFonts w:hint="eastAsia" w:ascii="宋体" w:hAnsi="宋体"/>
                <w:sz w:val="24"/>
              </w:rPr>
              <w:t>得6</w:t>
            </w:r>
            <w:r>
              <w:rPr>
                <w:rFonts w:ascii="宋体" w:hAnsi="宋体"/>
                <w:sz w:val="24"/>
              </w:rPr>
              <w:t>-</w:t>
            </w:r>
            <w:r>
              <w:rPr>
                <w:rFonts w:hint="eastAsia" w:ascii="宋体" w:hAnsi="宋体"/>
                <w:sz w:val="24"/>
              </w:rPr>
              <w:t>8分；</w:t>
            </w:r>
          </w:p>
          <w:p>
            <w:pPr>
              <w:spacing w:line="276" w:lineRule="auto"/>
              <w:ind w:right="113"/>
              <w:jc w:val="left"/>
              <w:rPr>
                <w:rFonts w:ascii="宋体" w:hAnsi="宋体"/>
                <w:sz w:val="24"/>
              </w:rPr>
            </w:pPr>
            <w:r>
              <w:rPr>
                <w:rFonts w:hint="eastAsia" w:ascii="宋体" w:hAnsi="宋体"/>
                <w:sz w:val="24"/>
              </w:rPr>
              <w:t>满意，得8</w:t>
            </w:r>
            <w:r>
              <w:rPr>
                <w:rFonts w:ascii="宋体" w:hAnsi="宋体"/>
                <w:sz w:val="24"/>
              </w:rPr>
              <w:t>-10</w:t>
            </w:r>
            <w:r>
              <w:rPr>
                <w:rFonts w:hint="eastAsia" w:ascii="宋体" w:hAnsi="宋体"/>
                <w:sz w:val="24"/>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08" w:hRule="atLeast"/>
          <w:jc w:val="center"/>
        </w:trPr>
        <w:tc>
          <w:tcPr>
            <w:tcW w:w="953" w:type="dxa"/>
            <w:vMerge w:val="continue"/>
            <w:vAlign w:val="center"/>
          </w:tcPr>
          <w:p>
            <w:pPr>
              <w:spacing w:line="276" w:lineRule="auto"/>
              <w:ind w:right="113"/>
              <w:jc w:val="center"/>
              <w:rPr>
                <w:rFonts w:ascii="宋体" w:hAnsi="宋体"/>
                <w:sz w:val="24"/>
              </w:rPr>
            </w:pPr>
          </w:p>
        </w:tc>
        <w:tc>
          <w:tcPr>
            <w:tcW w:w="1032" w:type="dxa"/>
            <w:vMerge w:val="continue"/>
            <w:vAlign w:val="center"/>
          </w:tcPr>
          <w:p>
            <w:pPr>
              <w:spacing w:line="276" w:lineRule="auto"/>
              <w:ind w:right="113"/>
              <w:jc w:val="center"/>
              <w:rPr>
                <w:rFonts w:ascii="宋体" w:hAnsi="宋体"/>
                <w:sz w:val="24"/>
              </w:rPr>
            </w:pPr>
          </w:p>
        </w:tc>
        <w:tc>
          <w:tcPr>
            <w:tcW w:w="894" w:type="dxa"/>
            <w:vMerge w:val="continue"/>
            <w:vAlign w:val="center"/>
          </w:tcPr>
          <w:p>
            <w:pPr>
              <w:spacing w:line="276" w:lineRule="auto"/>
              <w:ind w:right="113"/>
              <w:jc w:val="center"/>
              <w:rPr>
                <w:rFonts w:ascii="宋体" w:hAnsi="宋体"/>
                <w:sz w:val="24"/>
              </w:rPr>
            </w:pPr>
          </w:p>
        </w:tc>
        <w:tc>
          <w:tcPr>
            <w:tcW w:w="2268" w:type="dxa"/>
            <w:vAlign w:val="center"/>
          </w:tcPr>
          <w:p>
            <w:pPr>
              <w:spacing w:line="276" w:lineRule="auto"/>
              <w:ind w:right="113"/>
              <w:jc w:val="center"/>
              <w:rPr>
                <w:rFonts w:ascii="宋体" w:hAnsi="宋体"/>
                <w:sz w:val="24"/>
              </w:rPr>
            </w:pPr>
            <w:r>
              <w:rPr>
                <w:rFonts w:ascii="宋体" w:hAnsi="宋体"/>
                <w:sz w:val="24"/>
              </w:rPr>
              <w:t>对环境保护与水土保持全过程技术服务（环保管家）包含的各项技术服务工作的认识与理解</w:t>
            </w:r>
          </w:p>
        </w:tc>
        <w:tc>
          <w:tcPr>
            <w:tcW w:w="911" w:type="dxa"/>
            <w:vAlign w:val="center"/>
          </w:tcPr>
          <w:p>
            <w:pPr>
              <w:spacing w:line="276" w:lineRule="auto"/>
              <w:ind w:right="113"/>
              <w:jc w:val="center"/>
              <w:rPr>
                <w:rFonts w:ascii="宋体" w:hAnsi="宋体"/>
                <w:sz w:val="24"/>
              </w:rPr>
            </w:pPr>
            <w:r>
              <w:rPr>
                <w:rFonts w:hint="eastAsia" w:ascii="宋体" w:hAnsi="宋体"/>
                <w:sz w:val="24"/>
              </w:rPr>
              <w:t>10</w:t>
            </w:r>
            <w:r>
              <w:rPr>
                <w:rFonts w:ascii="宋体" w:hAnsi="宋体"/>
                <w:sz w:val="24"/>
              </w:rPr>
              <w:t>分</w:t>
            </w:r>
          </w:p>
        </w:tc>
        <w:tc>
          <w:tcPr>
            <w:tcW w:w="3156" w:type="dxa"/>
            <w:vAlign w:val="center"/>
          </w:tcPr>
          <w:p>
            <w:pPr>
              <w:spacing w:line="276" w:lineRule="auto"/>
              <w:ind w:right="113"/>
              <w:jc w:val="left"/>
              <w:rPr>
                <w:rFonts w:ascii="宋体" w:hAnsi="宋体"/>
                <w:sz w:val="24"/>
              </w:rPr>
            </w:pPr>
            <w:r>
              <w:rPr>
                <w:rFonts w:hint="eastAsia" w:ascii="宋体" w:hAnsi="宋体"/>
                <w:sz w:val="24"/>
              </w:rPr>
              <w:t>一般</w:t>
            </w:r>
            <w:r>
              <w:rPr>
                <w:rFonts w:ascii="宋体" w:hAnsi="宋体"/>
                <w:sz w:val="24"/>
              </w:rPr>
              <w:t>，得</w:t>
            </w:r>
            <w:r>
              <w:rPr>
                <w:rFonts w:hint="eastAsia" w:ascii="宋体" w:hAnsi="宋体"/>
                <w:sz w:val="24"/>
              </w:rPr>
              <w:t>6</w:t>
            </w:r>
            <w:r>
              <w:rPr>
                <w:rFonts w:ascii="宋体" w:hAnsi="宋体"/>
                <w:sz w:val="24"/>
              </w:rPr>
              <w:t>分</w:t>
            </w:r>
            <w:r>
              <w:rPr>
                <w:rFonts w:hint="eastAsia" w:ascii="宋体" w:hAnsi="宋体"/>
                <w:sz w:val="24"/>
              </w:rPr>
              <w:t>；</w:t>
            </w:r>
          </w:p>
          <w:p>
            <w:pPr>
              <w:spacing w:line="276" w:lineRule="auto"/>
              <w:ind w:right="113"/>
              <w:jc w:val="left"/>
              <w:rPr>
                <w:rFonts w:ascii="宋体" w:hAnsi="宋体"/>
                <w:sz w:val="24"/>
              </w:rPr>
            </w:pPr>
            <w:r>
              <w:rPr>
                <w:rFonts w:hint="eastAsia" w:ascii="宋体" w:hAnsi="宋体"/>
                <w:sz w:val="24"/>
              </w:rPr>
              <w:t>较好</w:t>
            </w:r>
            <w:r>
              <w:rPr>
                <w:rFonts w:ascii="宋体" w:hAnsi="宋体"/>
                <w:sz w:val="24"/>
              </w:rPr>
              <w:t>，</w:t>
            </w:r>
            <w:r>
              <w:rPr>
                <w:rFonts w:hint="eastAsia" w:ascii="宋体" w:hAnsi="宋体"/>
                <w:sz w:val="24"/>
              </w:rPr>
              <w:t>得6</w:t>
            </w:r>
            <w:r>
              <w:rPr>
                <w:rFonts w:ascii="宋体" w:hAnsi="宋体"/>
                <w:sz w:val="24"/>
              </w:rPr>
              <w:t>-</w:t>
            </w:r>
            <w:r>
              <w:rPr>
                <w:rFonts w:hint="eastAsia" w:ascii="宋体" w:hAnsi="宋体"/>
                <w:sz w:val="24"/>
              </w:rPr>
              <w:t>8分；</w:t>
            </w:r>
          </w:p>
          <w:p>
            <w:pPr>
              <w:spacing w:line="276" w:lineRule="auto"/>
              <w:ind w:right="113"/>
              <w:jc w:val="left"/>
              <w:rPr>
                <w:rFonts w:ascii="宋体" w:hAnsi="宋体"/>
                <w:sz w:val="24"/>
              </w:rPr>
            </w:pPr>
            <w:r>
              <w:rPr>
                <w:rFonts w:hint="eastAsia" w:ascii="宋体" w:hAnsi="宋体"/>
                <w:sz w:val="24"/>
              </w:rPr>
              <w:t>满意，得8</w:t>
            </w:r>
            <w:r>
              <w:rPr>
                <w:rFonts w:ascii="宋体" w:hAnsi="宋体"/>
                <w:sz w:val="24"/>
              </w:rPr>
              <w:t>-10</w:t>
            </w:r>
            <w:r>
              <w:rPr>
                <w:rFonts w:hint="eastAsia" w:ascii="宋体" w:hAnsi="宋体"/>
                <w:sz w:val="24"/>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41" w:hRule="atLeast"/>
          <w:jc w:val="center"/>
        </w:trPr>
        <w:tc>
          <w:tcPr>
            <w:tcW w:w="953" w:type="dxa"/>
            <w:vMerge w:val="continue"/>
            <w:vAlign w:val="center"/>
          </w:tcPr>
          <w:p>
            <w:pPr>
              <w:spacing w:line="276" w:lineRule="auto"/>
              <w:ind w:right="113"/>
              <w:jc w:val="center"/>
              <w:rPr>
                <w:rFonts w:ascii="宋体" w:hAnsi="宋体"/>
                <w:sz w:val="24"/>
              </w:rPr>
            </w:pPr>
          </w:p>
        </w:tc>
        <w:tc>
          <w:tcPr>
            <w:tcW w:w="1032" w:type="dxa"/>
            <w:vMerge w:val="continue"/>
            <w:vAlign w:val="center"/>
          </w:tcPr>
          <w:p>
            <w:pPr>
              <w:spacing w:line="276" w:lineRule="auto"/>
              <w:ind w:right="113"/>
              <w:jc w:val="center"/>
              <w:rPr>
                <w:rFonts w:ascii="宋体" w:hAnsi="宋体"/>
                <w:sz w:val="24"/>
              </w:rPr>
            </w:pPr>
          </w:p>
        </w:tc>
        <w:tc>
          <w:tcPr>
            <w:tcW w:w="894" w:type="dxa"/>
            <w:vMerge w:val="continue"/>
            <w:vAlign w:val="center"/>
          </w:tcPr>
          <w:p>
            <w:pPr>
              <w:spacing w:line="276" w:lineRule="auto"/>
              <w:ind w:right="113"/>
              <w:jc w:val="center"/>
              <w:rPr>
                <w:rFonts w:ascii="宋体" w:hAnsi="宋体"/>
                <w:sz w:val="24"/>
              </w:rPr>
            </w:pPr>
          </w:p>
        </w:tc>
        <w:tc>
          <w:tcPr>
            <w:tcW w:w="2268" w:type="dxa"/>
            <w:vAlign w:val="center"/>
          </w:tcPr>
          <w:p>
            <w:pPr>
              <w:spacing w:line="276" w:lineRule="auto"/>
              <w:ind w:right="113"/>
              <w:jc w:val="center"/>
              <w:rPr>
                <w:rFonts w:ascii="宋体" w:hAnsi="宋体"/>
                <w:sz w:val="24"/>
              </w:rPr>
            </w:pPr>
            <w:r>
              <w:rPr>
                <w:rFonts w:ascii="宋体" w:hAnsi="宋体"/>
                <w:sz w:val="24"/>
              </w:rPr>
              <w:t>环境保护与水土保持全过程技术服务（环保管家）工作方案</w:t>
            </w:r>
          </w:p>
        </w:tc>
        <w:tc>
          <w:tcPr>
            <w:tcW w:w="911" w:type="dxa"/>
            <w:vAlign w:val="center"/>
          </w:tcPr>
          <w:p>
            <w:pPr>
              <w:spacing w:line="276" w:lineRule="auto"/>
              <w:ind w:right="113"/>
              <w:jc w:val="center"/>
              <w:rPr>
                <w:rFonts w:ascii="宋体" w:hAnsi="宋体"/>
                <w:sz w:val="24"/>
              </w:rPr>
            </w:pPr>
            <w:r>
              <w:rPr>
                <w:rFonts w:ascii="宋体" w:hAnsi="宋体"/>
                <w:sz w:val="24"/>
              </w:rPr>
              <w:t>1</w:t>
            </w:r>
            <w:r>
              <w:rPr>
                <w:rFonts w:hint="eastAsia" w:ascii="宋体" w:hAnsi="宋体"/>
                <w:sz w:val="24"/>
              </w:rPr>
              <w:t>5</w:t>
            </w:r>
            <w:r>
              <w:rPr>
                <w:rFonts w:ascii="宋体" w:hAnsi="宋体"/>
                <w:sz w:val="24"/>
              </w:rPr>
              <w:t>分</w:t>
            </w:r>
          </w:p>
        </w:tc>
        <w:tc>
          <w:tcPr>
            <w:tcW w:w="3156" w:type="dxa"/>
            <w:vAlign w:val="center"/>
          </w:tcPr>
          <w:p>
            <w:pPr>
              <w:spacing w:line="276" w:lineRule="auto"/>
              <w:ind w:right="113"/>
              <w:jc w:val="left"/>
              <w:rPr>
                <w:rFonts w:ascii="宋体" w:hAnsi="宋体"/>
                <w:sz w:val="24"/>
              </w:rPr>
            </w:pPr>
            <w:r>
              <w:rPr>
                <w:rFonts w:hint="eastAsia" w:ascii="宋体" w:hAnsi="宋体"/>
                <w:sz w:val="24"/>
              </w:rPr>
              <w:t>一般</w:t>
            </w:r>
            <w:r>
              <w:rPr>
                <w:rFonts w:ascii="宋体" w:hAnsi="宋体"/>
                <w:sz w:val="24"/>
              </w:rPr>
              <w:t>，得</w:t>
            </w:r>
            <w:r>
              <w:rPr>
                <w:rFonts w:hint="eastAsia" w:ascii="宋体" w:hAnsi="宋体"/>
                <w:sz w:val="24"/>
              </w:rPr>
              <w:t>9</w:t>
            </w:r>
            <w:r>
              <w:rPr>
                <w:rFonts w:ascii="宋体" w:hAnsi="宋体"/>
                <w:sz w:val="24"/>
              </w:rPr>
              <w:t>分</w:t>
            </w:r>
            <w:r>
              <w:rPr>
                <w:rFonts w:hint="eastAsia" w:ascii="宋体" w:hAnsi="宋体"/>
                <w:sz w:val="24"/>
              </w:rPr>
              <w:t>；</w:t>
            </w:r>
          </w:p>
          <w:p>
            <w:pPr>
              <w:spacing w:line="276" w:lineRule="auto"/>
              <w:ind w:right="113"/>
              <w:jc w:val="left"/>
              <w:rPr>
                <w:rFonts w:ascii="宋体" w:hAnsi="宋体"/>
                <w:sz w:val="24"/>
              </w:rPr>
            </w:pPr>
            <w:r>
              <w:rPr>
                <w:rFonts w:hint="eastAsia" w:ascii="宋体" w:hAnsi="宋体"/>
                <w:sz w:val="24"/>
              </w:rPr>
              <w:t>较好</w:t>
            </w:r>
            <w:r>
              <w:rPr>
                <w:rFonts w:ascii="宋体" w:hAnsi="宋体"/>
                <w:sz w:val="24"/>
              </w:rPr>
              <w:t>，</w:t>
            </w:r>
            <w:r>
              <w:rPr>
                <w:rFonts w:hint="eastAsia" w:ascii="宋体" w:hAnsi="宋体"/>
                <w:sz w:val="24"/>
              </w:rPr>
              <w:t>得9</w:t>
            </w:r>
            <w:r>
              <w:rPr>
                <w:rFonts w:ascii="宋体" w:hAnsi="宋体"/>
                <w:sz w:val="24"/>
              </w:rPr>
              <w:t>-</w:t>
            </w:r>
            <w:r>
              <w:rPr>
                <w:rFonts w:hint="eastAsia" w:ascii="宋体" w:hAnsi="宋体"/>
                <w:sz w:val="24"/>
              </w:rPr>
              <w:t>12分；</w:t>
            </w:r>
          </w:p>
          <w:p>
            <w:pPr>
              <w:spacing w:line="276" w:lineRule="auto"/>
              <w:ind w:right="113"/>
              <w:jc w:val="left"/>
              <w:rPr>
                <w:rFonts w:ascii="宋体" w:hAnsi="宋体"/>
                <w:sz w:val="24"/>
              </w:rPr>
            </w:pPr>
            <w:r>
              <w:rPr>
                <w:rFonts w:hint="eastAsia" w:ascii="宋体" w:hAnsi="宋体"/>
                <w:sz w:val="24"/>
              </w:rPr>
              <w:t>满意，得12</w:t>
            </w:r>
            <w:r>
              <w:rPr>
                <w:rFonts w:ascii="宋体" w:hAnsi="宋体"/>
                <w:sz w:val="24"/>
              </w:rPr>
              <w:t>-</w:t>
            </w:r>
            <w:r>
              <w:rPr>
                <w:rFonts w:hint="eastAsia" w:ascii="宋体" w:hAnsi="宋体"/>
                <w:sz w:val="24"/>
              </w:rPr>
              <w:t>15分。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61" w:hRule="atLeast"/>
          <w:jc w:val="center"/>
        </w:trPr>
        <w:tc>
          <w:tcPr>
            <w:tcW w:w="953" w:type="dxa"/>
            <w:vMerge w:val="continue"/>
            <w:vAlign w:val="center"/>
          </w:tcPr>
          <w:p>
            <w:pPr>
              <w:spacing w:line="276" w:lineRule="auto"/>
              <w:ind w:right="113"/>
              <w:jc w:val="center"/>
              <w:rPr>
                <w:rFonts w:ascii="宋体" w:hAnsi="宋体"/>
                <w:sz w:val="24"/>
              </w:rPr>
            </w:pPr>
          </w:p>
        </w:tc>
        <w:tc>
          <w:tcPr>
            <w:tcW w:w="1032" w:type="dxa"/>
            <w:vMerge w:val="continue"/>
            <w:vAlign w:val="center"/>
          </w:tcPr>
          <w:p>
            <w:pPr>
              <w:spacing w:line="276" w:lineRule="auto"/>
              <w:ind w:right="113"/>
              <w:jc w:val="center"/>
              <w:rPr>
                <w:rFonts w:ascii="宋体" w:hAnsi="宋体"/>
                <w:sz w:val="24"/>
              </w:rPr>
            </w:pPr>
          </w:p>
        </w:tc>
        <w:tc>
          <w:tcPr>
            <w:tcW w:w="894" w:type="dxa"/>
            <w:vMerge w:val="continue"/>
            <w:vAlign w:val="center"/>
          </w:tcPr>
          <w:p>
            <w:pPr>
              <w:spacing w:line="276" w:lineRule="auto"/>
              <w:ind w:right="113"/>
              <w:jc w:val="center"/>
              <w:rPr>
                <w:rFonts w:ascii="宋体" w:hAnsi="宋体"/>
                <w:sz w:val="24"/>
              </w:rPr>
            </w:pPr>
          </w:p>
        </w:tc>
        <w:tc>
          <w:tcPr>
            <w:tcW w:w="2268" w:type="dxa"/>
            <w:vAlign w:val="center"/>
          </w:tcPr>
          <w:p>
            <w:pPr>
              <w:spacing w:line="276" w:lineRule="auto"/>
              <w:ind w:right="113"/>
              <w:jc w:val="center"/>
              <w:rPr>
                <w:rFonts w:ascii="宋体" w:hAnsi="宋体"/>
                <w:sz w:val="24"/>
              </w:rPr>
            </w:pPr>
            <w:r>
              <w:rPr>
                <w:rFonts w:ascii="宋体" w:hAnsi="宋体"/>
                <w:sz w:val="24"/>
              </w:rPr>
              <w:t>环境保护与水土保持全过程技术服务（环保管家）重点难点及解决方案</w:t>
            </w:r>
          </w:p>
        </w:tc>
        <w:tc>
          <w:tcPr>
            <w:tcW w:w="911" w:type="dxa"/>
            <w:vAlign w:val="center"/>
          </w:tcPr>
          <w:p>
            <w:pPr>
              <w:spacing w:line="276" w:lineRule="auto"/>
              <w:ind w:right="113"/>
              <w:jc w:val="center"/>
              <w:rPr>
                <w:rFonts w:ascii="宋体" w:hAnsi="宋体"/>
                <w:sz w:val="24"/>
              </w:rPr>
            </w:pPr>
            <w:r>
              <w:rPr>
                <w:rFonts w:ascii="宋体" w:hAnsi="宋体"/>
                <w:sz w:val="24"/>
              </w:rPr>
              <w:t>10分</w:t>
            </w:r>
          </w:p>
        </w:tc>
        <w:tc>
          <w:tcPr>
            <w:tcW w:w="3156" w:type="dxa"/>
            <w:vAlign w:val="center"/>
          </w:tcPr>
          <w:p>
            <w:pPr>
              <w:spacing w:line="276" w:lineRule="auto"/>
              <w:ind w:right="113"/>
              <w:jc w:val="left"/>
              <w:rPr>
                <w:rFonts w:ascii="宋体" w:hAnsi="宋体"/>
                <w:sz w:val="24"/>
              </w:rPr>
            </w:pPr>
            <w:r>
              <w:rPr>
                <w:rFonts w:hint="eastAsia" w:ascii="宋体" w:hAnsi="宋体"/>
                <w:sz w:val="24"/>
              </w:rPr>
              <w:t>一般</w:t>
            </w:r>
            <w:r>
              <w:rPr>
                <w:rFonts w:ascii="宋体" w:hAnsi="宋体"/>
                <w:sz w:val="24"/>
              </w:rPr>
              <w:t>，得</w:t>
            </w:r>
            <w:r>
              <w:rPr>
                <w:rFonts w:hint="eastAsia" w:ascii="宋体" w:hAnsi="宋体"/>
                <w:sz w:val="24"/>
              </w:rPr>
              <w:t>6</w:t>
            </w:r>
            <w:r>
              <w:rPr>
                <w:rFonts w:ascii="宋体" w:hAnsi="宋体"/>
                <w:sz w:val="24"/>
              </w:rPr>
              <w:t>分</w:t>
            </w:r>
            <w:r>
              <w:rPr>
                <w:rFonts w:hint="eastAsia" w:ascii="宋体" w:hAnsi="宋体"/>
                <w:sz w:val="24"/>
              </w:rPr>
              <w:t>；</w:t>
            </w:r>
          </w:p>
          <w:p>
            <w:pPr>
              <w:spacing w:line="276" w:lineRule="auto"/>
              <w:ind w:right="113"/>
              <w:jc w:val="left"/>
              <w:rPr>
                <w:rFonts w:ascii="宋体" w:hAnsi="宋体"/>
                <w:sz w:val="24"/>
              </w:rPr>
            </w:pPr>
            <w:r>
              <w:rPr>
                <w:rFonts w:hint="eastAsia" w:ascii="宋体" w:hAnsi="宋体"/>
                <w:sz w:val="24"/>
              </w:rPr>
              <w:t>较好</w:t>
            </w:r>
            <w:r>
              <w:rPr>
                <w:rFonts w:ascii="宋体" w:hAnsi="宋体"/>
                <w:sz w:val="24"/>
              </w:rPr>
              <w:t>，</w:t>
            </w:r>
            <w:r>
              <w:rPr>
                <w:rFonts w:hint="eastAsia" w:ascii="宋体" w:hAnsi="宋体"/>
                <w:sz w:val="24"/>
              </w:rPr>
              <w:t>得6</w:t>
            </w:r>
            <w:r>
              <w:rPr>
                <w:rFonts w:ascii="宋体" w:hAnsi="宋体"/>
                <w:sz w:val="24"/>
              </w:rPr>
              <w:t>-</w:t>
            </w:r>
            <w:r>
              <w:rPr>
                <w:rFonts w:hint="eastAsia" w:ascii="宋体" w:hAnsi="宋体"/>
                <w:sz w:val="24"/>
              </w:rPr>
              <w:t>8分；</w:t>
            </w:r>
          </w:p>
          <w:p>
            <w:pPr>
              <w:spacing w:line="276" w:lineRule="auto"/>
              <w:ind w:right="113"/>
              <w:jc w:val="left"/>
              <w:rPr>
                <w:rFonts w:ascii="宋体" w:hAnsi="宋体"/>
                <w:sz w:val="24"/>
              </w:rPr>
            </w:pPr>
            <w:r>
              <w:rPr>
                <w:rFonts w:hint="eastAsia" w:ascii="宋体" w:hAnsi="宋体"/>
                <w:sz w:val="24"/>
              </w:rPr>
              <w:t>满意，得8</w:t>
            </w:r>
            <w:r>
              <w:rPr>
                <w:rFonts w:ascii="宋体" w:hAnsi="宋体"/>
                <w:sz w:val="24"/>
              </w:rPr>
              <w:t>-10</w:t>
            </w:r>
            <w:r>
              <w:rPr>
                <w:rFonts w:hint="eastAsia" w:ascii="宋体" w:hAnsi="宋体"/>
                <w:sz w:val="24"/>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2" w:hRule="atLeast"/>
          <w:jc w:val="center"/>
        </w:trPr>
        <w:tc>
          <w:tcPr>
            <w:tcW w:w="953" w:type="dxa"/>
            <w:vMerge w:val="continue"/>
            <w:vAlign w:val="center"/>
          </w:tcPr>
          <w:p>
            <w:pPr>
              <w:spacing w:line="276" w:lineRule="auto"/>
              <w:ind w:right="113"/>
              <w:jc w:val="center"/>
              <w:rPr>
                <w:rFonts w:ascii="宋体" w:hAnsi="宋体"/>
                <w:sz w:val="24"/>
              </w:rPr>
            </w:pPr>
          </w:p>
        </w:tc>
        <w:tc>
          <w:tcPr>
            <w:tcW w:w="1032" w:type="dxa"/>
            <w:vMerge w:val="continue"/>
            <w:vAlign w:val="center"/>
          </w:tcPr>
          <w:p>
            <w:pPr>
              <w:spacing w:line="276" w:lineRule="auto"/>
              <w:ind w:right="113"/>
              <w:jc w:val="center"/>
              <w:rPr>
                <w:rFonts w:ascii="宋体" w:hAnsi="宋体"/>
                <w:sz w:val="24"/>
              </w:rPr>
            </w:pPr>
          </w:p>
        </w:tc>
        <w:tc>
          <w:tcPr>
            <w:tcW w:w="894" w:type="dxa"/>
            <w:vMerge w:val="continue"/>
            <w:vAlign w:val="center"/>
          </w:tcPr>
          <w:p>
            <w:pPr>
              <w:spacing w:line="276" w:lineRule="auto"/>
              <w:ind w:right="113"/>
              <w:jc w:val="center"/>
              <w:rPr>
                <w:rFonts w:ascii="宋体" w:hAnsi="宋体"/>
                <w:sz w:val="24"/>
              </w:rPr>
            </w:pPr>
          </w:p>
        </w:tc>
        <w:tc>
          <w:tcPr>
            <w:tcW w:w="2268" w:type="dxa"/>
            <w:vAlign w:val="center"/>
          </w:tcPr>
          <w:p>
            <w:pPr>
              <w:spacing w:line="276" w:lineRule="auto"/>
              <w:ind w:right="113"/>
              <w:jc w:val="left"/>
              <w:rPr>
                <w:rFonts w:ascii="宋体" w:hAnsi="宋体"/>
                <w:sz w:val="24"/>
              </w:rPr>
            </w:pPr>
            <w:r>
              <w:rPr>
                <w:rFonts w:ascii="宋体" w:hAnsi="宋体"/>
                <w:sz w:val="24"/>
              </w:rPr>
              <w:t>工作质量保证措施与进度保证措施</w:t>
            </w:r>
          </w:p>
        </w:tc>
        <w:tc>
          <w:tcPr>
            <w:tcW w:w="911" w:type="dxa"/>
            <w:vAlign w:val="center"/>
          </w:tcPr>
          <w:p>
            <w:pPr>
              <w:spacing w:line="276" w:lineRule="auto"/>
              <w:ind w:right="113"/>
              <w:jc w:val="center"/>
              <w:rPr>
                <w:rFonts w:ascii="宋体" w:hAnsi="宋体"/>
                <w:sz w:val="24"/>
              </w:rPr>
            </w:pPr>
            <w:r>
              <w:rPr>
                <w:rFonts w:hint="eastAsia" w:ascii="宋体" w:hAnsi="宋体"/>
                <w:sz w:val="24"/>
              </w:rPr>
              <w:t>5</w:t>
            </w:r>
            <w:r>
              <w:rPr>
                <w:rFonts w:ascii="宋体" w:hAnsi="宋体"/>
                <w:sz w:val="24"/>
              </w:rPr>
              <w:t>分</w:t>
            </w:r>
          </w:p>
        </w:tc>
        <w:tc>
          <w:tcPr>
            <w:tcW w:w="3156" w:type="dxa"/>
            <w:vAlign w:val="center"/>
          </w:tcPr>
          <w:p>
            <w:pPr>
              <w:spacing w:line="276" w:lineRule="auto"/>
              <w:ind w:right="113"/>
              <w:jc w:val="left"/>
              <w:rPr>
                <w:rFonts w:ascii="宋体" w:hAnsi="宋体"/>
                <w:sz w:val="24"/>
              </w:rPr>
            </w:pPr>
            <w:r>
              <w:rPr>
                <w:rFonts w:hint="eastAsia" w:ascii="宋体" w:hAnsi="宋体"/>
                <w:sz w:val="24"/>
              </w:rPr>
              <w:t>一般</w:t>
            </w:r>
            <w:r>
              <w:rPr>
                <w:rFonts w:ascii="宋体" w:hAnsi="宋体"/>
                <w:sz w:val="24"/>
              </w:rPr>
              <w:t>，得</w:t>
            </w:r>
            <w:r>
              <w:rPr>
                <w:rFonts w:hint="eastAsia" w:ascii="宋体" w:hAnsi="宋体"/>
                <w:sz w:val="24"/>
              </w:rPr>
              <w:t>3</w:t>
            </w:r>
            <w:r>
              <w:rPr>
                <w:rFonts w:ascii="宋体" w:hAnsi="宋体"/>
                <w:sz w:val="24"/>
              </w:rPr>
              <w:t>分</w:t>
            </w:r>
            <w:r>
              <w:rPr>
                <w:rFonts w:hint="eastAsia" w:ascii="宋体" w:hAnsi="宋体"/>
                <w:sz w:val="24"/>
              </w:rPr>
              <w:t>；</w:t>
            </w:r>
          </w:p>
          <w:p>
            <w:pPr>
              <w:spacing w:line="276" w:lineRule="auto"/>
              <w:ind w:right="113"/>
              <w:jc w:val="left"/>
              <w:rPr>
                <w:rFonts w:ascii="宋体" w:hAnsi="宋体"/>
                <w:sz w:val="24"/>
              </w:rPr>
            </w:pPr>
            <w:r>
              <w:rPr>
                <w:rFonts w:hint="eastAsia" w:ascii="宋体" w:hAnsi="宋体"/>
                <w:sz w:val="24"/>
              </w:rPr>
              <w:t>较好</w:t>
            </w:r>
            <w:r>
              <w:rPr>
                <w:rFonts w:ascii="宋体" w:hAnsi="宋体"/>
                <w:sz w:val="24"/>
              </w:rPr>
              <w:t>，</w:t>
            </w:r>
            <w:r>
              <w:rPr>
                <w:rFonts w:hint="eastAsia" w:ascii="宋体" w:hAnsi="宋体"/>
                <w:sz w:val="24"/>
              </w:rPr>
              <w:t>得3</w:t>
            </w:r>
            <w:r>
              <w:rPr>
                <w:rFonts w:ascii="宋体" w:hAnsi="宋体"/>
                <w:sz w:val="24"/>
              </w:rPr>
              <w:t>-</w:t>
            </w:r>
            <w:r>
              <w:rPr>
                <w:rFonts w:hint="eastAsia" w:ascii="宋体" w:hAnsi="宋体"/>
                <w:sz w:val="24"/>
              </w:rPr>
              <w:t>4分；</w:t>
            </w:r>
          </w:p>
          <w:p>
            <w:pPr>
              <w:spacing w:line="276" w:lineRule="auto"/>
              <w:ind w:right="113"/>
              <w:jc w:val="left"/>
              <w:rPr>
                <w:rFonts w:ascii="宋体" w:hAnsi="宋体"/>
                <w:sz w:val="24"/>
              </w:rPr>
            </w:pPr>
            <w:r>
              <w:rPr>
                <w:rFonts w:hint="eastAsia" w:ascii="宋体" w:hAnsi="宋体"/>
                <w:sz w:val="24"/>
              </w:rPr>
              <w:t>满意，得4</w:t>
            </w:r>
            <w:r>
              <w:rPr>
                <w:rFonts w:ascii="宋体" w:hAnsi="宋体"/>
                <w:sz w:val="24"/>
              </w:rPr>
              <w:t>-</w:t>
            </w:r>
            <w:r>
              <w:rPr>
                <w:rFonts w:hint="eastAsia" w:ascii="宋体" w:hAnsi="宋体"/>
                <w:sz w:val="24"/>
              </w:rPr>
              <w:t>5分。</w:t>
            </w:r>
          </w:p>
        </w:tc>
      </w:tr>
    </w:tbl>
    <w:p>
      <w:pPr>
        <w:spacing w:line="276" w:lineRule="auto"/>
        <w:ind w:right="113"/>
        <w:rPr>
          <w:rFonts w:ascii="宋体" w:hAnsi="宋体"/>
        </w:rPr>
      </w:pPr>
    </w:p>
    <w:p>
      <w:pPr>
        <w:spacing w:line="276" w:lineRule="auto"/>
        <w:ind w:right="113"/>
        <w:jc w:val="center"/>
        <w:rPr>
          <w:rFonts w:ascii="宋体" w:hAnsi="宋体"/>
        </w:rPr>
      </w:pPr>
      <w:r>
        <w:rPr>
          <w:rFonts w:ascii="宋体" w:hAnsi="宋体"/>
        </w:rPr>
        <w:br w:type="page"/>
      </w:r>
    </w:p>
    <w:tbl>
      <w:tblPr>
        <w:tblStyle w:val="14"/>
        <w:tblW w:w="939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5"/>
        <w:gridCol w:w="900"/>
        <w:gridCol w:w="801"/>
        <w:gridCol w:w="1701"/>
        <w:gridCol w:w="709"/>
        <w:gridCol w:w="44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3" w:hRule="atLeast"/>
          <w:tblHeader/>
          <w:jc w:val="center"/>
        </w:trPr>
        <w:tc>
          <w:tcPr>
            <w:tcW w:w="4956" w:type="dxa"/>
            <w:gridSpan w:val="5"/>
            <w:vAlign w:val="center"/>
          </w:tcPr>
          <w:p>
            <w:pPr>
              <w:spacing w:line="276" w:lineRule="auto"/>
              <w:jc w:val="center"/>
              <w:rPr>
                <w:rFonts w:ascii="宋体" w:hAnsi="宋体"/>
                <w:b/>
                <w:sz w:val="24"/>
              </w:rPr>
            </w:pPr>
            <w:r>
              <w:rPr>
                <w:rFonts w:ascii="宋体" w:hAnsi="宋体"/>
                <w:b/>
                <w:sz w:val="24"/>
              </w:rPr>
              <w:t>评分因素与权重分值</w:t>
            </w:r>
          </w:p>
        </w:tc>
        <w:tc>
          <w:tcPr>
            <w:tcW w:w="4443" w:type="dxa"/>
            <w:vMerge w:val="restart"/>
            <w:vAlign w:val="center"/>
          </w:tcPr>
          <w:p>
            <w:pPr>
              <w:spacing w:line="276" w:lineRule="auto"/>
              <w:jc w:val="center"/>
              <w:rPr>
                <w:rFonts w:ascii="宋体" w:hAnsi="宋体"/>
                <w:b/>
                <w:sz w:val="24"/>
              </w:rPr>
            </w:pPr>
            <w:r>
              <w:rPr>
                <w:rFonts w:ascii="宋体" w:hAnsi="宋体"/>
                <w:b/>
                <w:sz w:val="24"/>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9" w:hRule="atLeast"/>
          <w:tblHeader/>
          <w:jc w:val="center"/>
        </w:trPr>
        <w:tc>
          <w:tcPr>
            <w:tcW w:w="845" w:type="dxa"/>
            <w:vAlign w:val="center"/>
          </w:tcPr>
          <w:p>
            <w:pPr>
              <w:spacing w:line="276" w:lineRule="auto"/>
              <w:jc w:val="center"/>
              <w:rPr>
                <w:rFonts w:ascii="宋体" w:hAnsi="宋体"/>
                <w:b/>
                <w:szCs w:val="21"/>
              </w:rPr>
            </w:pPr>
            <w:r>
              <w:rPr>
                <w:rFonts w:ascii="宋体" w:hAnsi="宋体"/>
                <w:b/>
                <w:szCs w:val="21"/>
              </w:rPr>
              <w:t>条款号</w:t>
            </w:r>
          </w:p>
        </w:tc>
        <w:tc>
          <w:tcPr>
            <w:tcW w:w="900" w:type="dxa"/>
            <w:vAlign w:val="center"/>
          </w:tcPr>
          <w:p>
            <w:pPr>
              <w:spacing w:line="276" w:lineRule="auto"/>
              <w:jc w:val="center"/>
              <w:rPr>
                <w:rFonts w:hint="eastAsia" w:ascii="宋体" w:hAnsi="宋体"/>
                <w:b/>
                <w:szCs w:val="21"/>
              </w:rPr>
            </w:pPr>
            <w:r>
              <w:rPr>
                <w:rFonts w:ascii="宋体" w:hAnsi="宋体"/>
                <w:b/>
                <w:szCs w:val="21"/>
              </w:rPr>
              <w:t>评分</w:t>
            </w:r>
          </w:p>
          <w:p>
            <w:pPr>
              <w:spacing w:line="276" w:lineRule="auto"/>
              <w:jc w:val="center"/>
              <w:rPr>
                <w:rFonts w:ascii="宋体" w:hAnsi="宋体"/>
                <w:b/>
                <w:szCs w:val="21"/>
              </w:rPr>
            </w:pPr>
            <w:r>
              <w:rPr>
                <w:rFonts w:ascii="宋体" w:hAnsi="宋体"/>
                <w:b/>
                <w:szCs w:val="21"/>
              </w:rPr>
              <w:t>因素</w:t>
            </w:r>
          </w:p>
        </w:tc>
        <w:tc>
          <w:tcPr>
            <w:tcW w:w="801" w:type="dxa"/>
            <w:vAlign w:val="center"/>
          </w:tcPr>
          <w:p>
            <w:pPr>
              <w:spacing w:line="276" w:lineRule="auto"/>
              <w:jc w:val="center"/>
              <w:rPr>
                <w:rFonts w:ascii="宋体" w:hAnsi="宋体"/>
                <w:b/>
                <w:szCs w:val="21"/>
              </w:rPr>
            </w:pPr>
            <w:r>
              <w:rPr>
                <w:rFonts w:ascii="宋体" w:hAnsi="宋体"/>
                <w:b/>
                <w:szCs w:val="21"/>
              </w:rPr>
              <w:t>评分因素</w:t>
            </w:r>
          </w:p>
          <w:p>
            <w:pPr>
              <w:spacing w:line="276" w:lineRule="auto"/>
              <w:jc w:val="center"/>
              <w:rPr>
                <w:rFonts w:ascii="宋体" w:hAnsi="宋体"/>
                <w:b/>
                <w:szCs w:val="21"/>
              </w:rPr>
            </w:pPr>
            <w:r>
              <w:rPr>
                <w:rFonts w:ascii="宋体" w:hAnsi="宋体"/>
                <w:b/>
                <w:szCs w:val="21"/>
              </w:rPr>
              <w:t>权重分值</w:t>
            </w:r>
          </w:p>
        </w:tc>
        <w:tc>
          <w:tcPr>
            <w:tcW w:w="1701" w:type="dxa"/>
            <w:vAlign w:val="center"/>
          </w:tcPr>
          <w:p>
            <w:pPr>
              <w:spacing w:line="276" w:lineRule="auto"/>
              <w:jc w:val="center"/>
              <w:rPr>
                <w:rFonts w:hint="eastAsia" w:ascii="宋体" w:hAnsi="宋体"/>
                <w:b/>
                <w:sz w:val="24"/>
              </w:rPr>
            </w:pPr>
            <w:r>
              <w:rPr>
                <w:rFonts w:ascii="宋体" w:hAnsi="宋体"/>
                <w:b/>
                <w:sz w:val="24"/>
              </w:rPr>
              <w:t>各评分因素</w:t>
            </w:r>
          </w:p>
          <w:p>
            <w:pPr>
              <w:spacing w:line="276" w:lineRule="auto"/>
              <w:jc w:val="center"/>
              <w:rPr>
                <w:rFonts w:ascii="宋体" w:hAnsi="宋体"/>
                <w:b/>
                <w:sz w:val="24"/>
              </w:rPr>
            </w:pPr>
            <w:r>
              <w:rPr>
                <w:rFonts w:ascii="宋体" w:hAnsi="宋体"/>
                <w:b/>
                <w:sz w:val="24"/>
              </w:rPr>
              <w:t>细分项</w:t>
            </w:r>
          </w:p>
        </w:tc>
        <w:tc>
          <w:tcPr>
            <w:tcW w:w="709" w:type="dxa"/>
            <w:vAlign w:val="center"/>
          </w:tcPr>
          <w:p>
            <w:pPr>
              <w:spacing w:line="276" w:lineRule="auto"/>
              <w:jc w:val="center"/>
              <w:rPr>
                <w:rFonts w:ascii="宋体" w:hAnsi="宋体"/>
                <w:b/>
                <w:sz w:val="24"/>
              </w:rPr>
            </w:pPr>
            <w:r>
              <w:rPr>
                <w:rFonts w:ascii="宋体" w:hAnsi="宋体"/>
                <w:b/>
                <w:sz w:val="24"/>
              </w:rPr>
              <w:t>分值</w:t>
            </w:r>
          </w:p>
        </w:tc>
        <w:tc>
          <w:tcPr>
            <w:tcW w:w="4443" w:type="dxa"/>
            <w:vMerge w:val="continue"/>
            <w:vAlign w:val="center"/>
          </w:tcPr>
          <w:p>
            <w:pPr>
              <w:spacing w:line="276"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41" w:hRule="atLeast"/>
          <w:jc w:val="center"/>
        </w:trPr>
        <w:tc>
          <w:tcPr>
            <w:tcW w:w="845" w:type="dxa"/>
            <w:vMerge w:val="restart"/>
            <w:vAlign w:val="center"/>
          </w:tcPr>
          <w:p>
            <w:pPr>
              <w:spacing w:line="276" w:lineRule="auto"/>
              <w:jc w:val="center"/>
              <w:rPr>
                <w:rFonts w:ascii="宋体" w:hAnsi="宋体"/>
                <w:sz w:val="24"/>
              </w:rPr>
            </w:pPr>
            <w:r>
              <w:rPr>
                <w:rFonts w:ascii="宋体" w:hAnsi="宋体"/>
                <w:sz w:val="24"/>
              </w:rPr>
              <w:t>2.2.4(2)</w:t>
            </w:r>
          </w:p>
        </w:tc>
        <w:tc>
          <w:tcPr>
            <w:tcW w:w="900" w:type="dxa"/>
            <w:vMerge w:val="restart"/>
            <w:vAlign w:val="center"/>
          </w:tcPr>
          <w:p>
            <w:pPr>
              <w:spacing w:line="276" w:lineRule="auto"/>
              <w:jc w:val="center"/>
              <w:rPr>
                <w:rFonts w:ascii="宋体" w:hAnsi="宋体"/>
                <w:sz w:val="24"/>
              </w:rPr>
            </w:pPr>
            <w:r>
              <w:rPr>
                <w:rFonts w:ascii="宋体" w:hAnsi="宋体"/>
                <w:sz w:val="24"/>
              </w:rPr>
              <w:t>主要人员</w:t>
            </w:r>
          </w:p>
        </w:tc>
        <w:tc>
          <w:tcPr>
            <w:tcW w:w="801" w:type="dxa"/>
            <w:vMerge w:val="restart"/>
            <w:vAlign w:val="center"/>
          </w:tcPr>
          <w:p>
            <w:pPr>
              <w:spacing w:line="276" w:lineRule="auto"/>
              <w:jc w:val="center"/>
              <w:rPr>
                <w:rFonts w:ascii="宋体" w:hAnsi="宋体"/>
                <w:sz w:val="24"/>
                <w:u w:val="single"/>
              </w:rPr>
            </w:pPr>
            <w:r>
              <w:rPr>
                <w:rFonts w:hint="eastAsia" w:ascii="宋体" w:hAnsi="宋体"/>
                <w:sz w:val="24"/>
              </w:rPr>
              <w:t>10</w:t>
            </w:r>
            <w:r>
              <w:rPr>
                <w:rFonts w:ascii="宋体" w:hAnsi="宋体"/>
                <w:sz w:val="24"/>
              </w:rPr>
              <w:t>分</w:t>
            </w:r>
          </w:p>
        </w:tc>
        <w:tc>
          <w:tcPr>
            <w:tcW w:w="1701" w:type="dxa"/>
            <w:vAlign w:val="center"/>
          </w:tcPr>
          <w:p>
            <w:pPr>
              <w:spacing w:line="276" w:lineRule="auto"/>
              <w:jc w:val="center"/>
              <w:rPr>
                <w:rFonts w:ascii="宋体" w:hAnsi="宋体"/>
                <w:sz w:val="24"/>
              </w:rPr>
            </w:pPr>
            <w:r>
              <w:rPr>
                <w:rFonts w:ascii="宋体" w:hAnsi="宋体"/>
                <w:sz w:val="24"/>
              </w:rPr>
              <w:t>项目负责人</w:t>
            </w:r>
          </w:p>
        </w:tc>
        <w:tc>
          <w:tcPr>
            <w:tcW w:w="709" w:type="dxa"/>
            <w:vAlign w:val="center"/>
          </w:tcPr>
          <w:p>
            <w:pPr>
              <w:spacing w:line="276" w:lineRule="auto"/>
              <w:jc w:val="center"/>
              <w:rPr>
                <w:rFonts w:ascii="宋体" w:hAnsi="宋体"/>
                <w:sz w:val="24"/>
                <w:u w:val="single"/>
              </w:rPr>
            </w:pPr>
            <w:r>
              <w:rPr>
                <w:rFonts w:hint="eastAsia" w:ascii="宋体" w:hAnsi="宋体"/>
                <w:sz w:val="24"/>
              </w:rPr>
              <w:t>5</w:t>
            </w:r>
            <w:r>
              <w:rPr>
                <w:rFonts w:ascii="宋体" w:hAnsi="宋体"/>
                <w:sz w:val="24"/>
              </w:rPr>
              <w:t>分</w:t>
            </w:r>
          </w:p>
        </w:tc>
        <w:tc>
          <w:tcPr>
            <w:tcW w:w="4443" w:type="dxa"/>
            <w:vAlign w:val="center"/>
          </w:tcPr>
          <w:p>
            <w:pPr>
              <w:pStyle w:val="33"/>
              <w:spacing w:line="360" w:lineRule="exact"/>
              <w:ind w:left="-2" w:leftChars="-1" w:firstLine="0" w:firstLineChars="0"/>
              <w:rPr>
                <w:rFonts w:ascii="宋体" w:hAnsi="宋体"/>
                <w:sz w:val="24"/>
                <w:szCs w:val="24"/>
              </w:rPr>
            </w:pPr>
            <w:r>
              <w:rPr>
                <w:rFonts w:hint="eastAsia" w:ascii="宋体" w:hAnsi="宋体"/>
                <w:sz w:val="24"/>
                <w:szCs w:val="24"/>
              </w:rPr>
              <w:t>（1）</w:t>
            </w:r>
            <w:r>
              <w:rPr>
                <w:rFonts w:ascii="宋体" w:hAnsi="宋体"/>
                <w:sz w:val="24"/>
                <w:szCs w:val="24"/>
              </w:rPr>
              <w:t>满足资格审查</w:t>
            </w:r>
            <w:r>
              <w:rPr>
                <w:rFonts w:hint="eastAsia" w:ascii="宋体" w:hAnsi="宋体"/>
                <w:sz w:val="24"/>
                <w:szCs w:val="24"/>
              </w:rPr>
              <w:t>条件</w:t>
            </w:r>
            <w:r>
              <w:rPr>
                <w:rFonts w:ascii="宋体" w:hAnsi="宋体"/>
                <w:sz w:val="24"/>
                <w:szCs w:val="24"/>
                <w:highlight w:val="none"/>
              </w:rPr>
              <w:t>得</w:t>
            </w:r>
            <w:r>
              <w:rPr>
                <w:rFonts w:hint="eastAsia" w:ascii="宋体" w:hAnsi="宋体"/>
                <w:sz w:val="24"/>
                <w:szCs w:val="24"/>
              </w:rPr>
              <w:t>3</w:t>
            </w:r>
            <w:r>
              <w:rPr>
                <w:rFonts w:ascii="宋体" w:hAnsi="宋体"/>
                <w:sz w:val="24"/>
                <w:szCs w:val="24"/>
              </w:rPr>
              <w:t>分；</w:t>
            </w:r>
          </w:p>
          <w:p>
            <w:pPr>
              <w:pStyle w:val="33"/>
              <w:spacing w:line="360" w:lineRule="exact"/>
              <w:ind w:left="-2" w:leftChars="-1" w:firstLine="0" w:firstLineChars="0"/>
              <w:rPr>
                <w:rFonts w:ascii="宋体" w:hAnsi="宋体"/>
                <w:sz w:val="24"/>
              </w:rPr>
            </w:pPr>
            <w:r>
              <w:rPr>
                <w:rFonts w:hint="eastAsia" w:ascii="宋体" w:hAnsi="宋体"/>
                <w:sz w:val="24"/>
                <w:szCs w:val="24"/>
              </w:rPr>
              <w:t>（2）作为项目负责人，每增加1项高速公路项目</w:t>
            </w:r>
            <w:r>
              <w:rPr>
                <w:rFonts w:hint="eastAsia" w:ascii="宋体" w:hAnsi="宋体" w:cs="新宋体"/>
                <w:kern w:val="0"/>
                <w:sz w:val="24"/>
              </w:rPr>
              <w:t>水土保持监测或水土保持监理或水土保持设施竣工验收或竣工环境保护验收或突发环境事件应急预案的</w:t>
            </w:r>
            <w:r>
              <w:rPr>
                <w:rFonts w:hint="eastAsia" w:ascii="宋体" w:hAnsi="宋体"/>
                <w:sz w:val="24"/>
                <w:szCs w:val="24"/>
              </w:rPr>
              <w:t>业绩，</w:t>
            </w:r>
            <w:r>
              <w:rPr>
                <w:rFonts w:ascii="宋体" w:hAnsi="宋体"/>
                <w:sz w:val="24"/>
              </w:rPr>
              <w:t>加</w:t>
            </w:r>
            <w:r>
              <w:rPr>
                <w:rFonts w:hint="eastAsia" w:ascii="宋体" w:hAnsi="宋体"/>
                <w:sz w:val="24"/>
              </w:rPr>
              <w:t>0.2</w:t>
            </w:r>
            <w:r>
              <w:rPr>
                <w:rFonts w:ascii="宋体" w:hAnsi="宋体"/>
                <w:sz w:val="24"/>
              </w:rPr>
              <w:t>分，最多</w:t>
            </w:r>
            <w:r>
              <w:rPr>
                <w:rFonts w:hint="eastAsia" w:ascii="宋体" w:hAnsi="宋体"/>
                <w:sz w:val="24"/>
              </w:rPr>
              <w:t>得1</w:t>
            </w:r>
            <w:r>
              <w:rPr>
                <w:rFonts w:ascii="宋体" w:hAnsi="宋体"/>
                <w:sz w:val="24"/>
              </w:rPr>
              <w:t>分</w:t>
            </w:r>
            <w:r>
              <w:rPr>
                <w:rFonts w:hint="eastAsia" w:ascii="宋体" w:hAnsi="宋体"/>
                <w:sz w:val="24"/>
              </w:rPr>
              <w:t>；</w:t>
            </w:r>
          </w:p>
          <w:p>
            <w:pPr>
              <w:pStyle w:val="33"/>
              <w:spacing w:line="360" w:lineRule="exact"/>
              <w:ind w:left="-2" w:leftChars="-1" w:firstLine="0" w:firstLineChars="0"/>
              <w:rPr>
                <w:rFonts w:ascii="宋体" w:hAnsi="宋体"/>
                <w:sz w:val="24"/>
              </w:rPr>
            </w:pPr>
            <w:r>
              <w:rPr>
                <w:rFonts w:hint="eastAsia" w:ascii="宋体" w:hAnsi="宋体"/>
                <w:sz w:val="24"/>
              </w:rPr>
              <w:t>（3）</w:t>
            </w:r>
            <w:r>
              <w:rPr>
                <w:rFonts w:ascii="宋体" w:hAnsi="宋体"/>
                <w:sz w:val="24"/>
              </w:rPr>
              <w:t>项目负责人</w:t>
            </w:r>
            <w:r>
              <w:rPr>
                <w:rFonts w:hint="eastAsia" w:ascii="宋体" w:hAnsi="宋体"/>
                <w:sz w:val="24"/>
              </w:rPr>
              <w:t>综合能力加分0～1分。</w:t>
            </w:r>
          </w:p>
          <w:p>
            <w:pPr>
              <w:jc w:val="left"/>
              <w:rPr>
                <w:rFonts w:ascii="宋体" w:hAnsi="宋体"/>
                <w:sz w:val="24"/>
              </w:rPr>
            </w:pPr>
            <w:r>
              <w:rPr>
                <w:rFonts w:hint="eastAsia" w:ascii="楷体" w:hAnsi="楷体" w:eastAsia="楷体" w:cs="楷体"/>
                <w:bCs/>
                <w:sz w:val="24"/>
              </w:rPr>
              <w:t>注：</w:t>
            </w:r>
            <w:r>
              <w:rPr>
                <w:rFonts w:hint="eastAsia" w:ascii="楷体" w:hAnsi="楷体" w:eastAsia="楷体" w:cs="楷体"/>
                <w:kern w:val="0"/>
                <w:sz w:val="24"/>
              </w:rPr>
              <w:t>同一合同含多个项目或同一项目中同时承担多项技术工作的，可重复认定业绩</w:t>
            </w:r>
            <w:r>
              <w:rPr>
                <w:rFonts w:hint="eastAsia" w:ascii="楷体" w:hAnsi="楷体" w:eastAsia="楷体" w:cs="楷体"/>
                <w:bCs/>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79" w:hRule="atLeast"/>
          <w:jc w:val="center"/>
        </w:trPr>
        <w:tc>
          <w:tcPr>
            <w:tcW w:w="845" w:type="dxa"/>
            <w:vMerge w:val="continue"/>
            <w:vAlign w:val="center"/>
          </w:tcPr>
          <w:p>
            <w:pPr>
              <w:spacing w:line="276" w:lineRule="auto"/>
              <w:jc w:val="center"/>
              <w:rPr>
                <w:rFonts w:ascii="宋体" w:hAnsi="宋体"/>
                <w:sz w:val="24"/>
              </w:rPr>
            </w:pPr>
          </w:p>
        </w:tc>
        <w:tc>
          <w:tcPr>
            <w:tcW w:w="900" w:type="dxa"/>
            <w:vMerge w:val="continue"/>
            <w:vAlign w:val="center"/>
          </w:tcPr>
          <w:p>
            <w:pPr>
              <w:spacing w:line="276" w:lineRule="auto"/>
              <w:jc w:val="center"/>
              <w:rPr>
                <w:rFonts w:ascii="宋体" w:hAnsi="宋体"/>
                <w:sz w:val="24"/>
              </w:rPr>
            </w:pPr>
          </w:p>
        </w:tc>
        <w:tc>
          <w:tcPr>
            <w:tcW w:w="801" w:type="dxa"/>
            <w:vMerge w:val="continue"/>
            <w:vAlign w:val="center"/>
          </w:tcPr>
          <w:p>
            <w:pPr>
              <w:spacing w:line="276" w:lineRule="auto"/>
              <w:jc w:val="center"/>
              <w:rPr>
                <w:rFonts w:ascii="宋体" w:hAnsi="宋体"/>
                <w:sz w:val="24"/>
                <w:u w:val="single"/>
              </w:rPr>
            </w:pPr>
          </w:p>
        </w:tc>
        <w:tc>
          <w:tcPr>
            <w:tcW w:w="1701" w:type="dxa"/>
            <w:vAlign w:val="center"/>
          </w:tcPr>
          <w:p>
            <w:pPr>
              <w:spacing w:line="276" w:lineRule="auto"/>
              <w:jc w:val="center"/>
              <w:rPr>
                <w:rFonts w:ascii="宋体" w:hAnsi="宋体"/>
                <w:sz w:val="24"/>
              </w:rPr>
            </w:pPr>
            <w:r>
              <w:rPr>
                <w:rFonts w:hint="eastAsia" w:ascii="宋体" w:hAnsi="宋体"/>
                <w:sz w:val="24"/>
              </w:rPr>
              <w:t>专业工程师</w:t>
            </w:r>
          </w:p>
        </w:tc>
        <w:tc>
          <w:tcPr>
            <w:tcW w:w="709" w:type="dxa"/>
            <w:vAlign w:val="center"/>
          </w:tcPr>
          <w:p>
            <w:pPr>
              <w:spacing w:line="276" w:lineRule="auto"/>
              <w:jc w:val="center"/>
              <w:rPr>
                <w:rFonts w:ascii="宋体" w:hAnsi="宋体"/>
                <w:sz w:val="24"/>
                <w:u w:val="single"/>
              </w:rPr>
            </w:pPr>
            <w:r>
              <w:rPr>
                <w:rFonts w:hint="eastAsia" w:ascii="宋体" w:hAnsi="宋体"/>
                <w:sz w:val="24"/>
              </w:rPr>
              <w:t>5</w:t>
            </w:r>
            <w:r>
              <w:rPr>
                <w:rFonts w:ascii="宋体" w:hAnsi="宋体"/>
                <w:sz w:val="24"/>
              </w:rPr>
              <w:t>分</w:t>
            </w:r>
          </w:p>
        </w:tc>
        <w:tc>
          <w:tcPr>
            <w:tcW w:w="4443" w:type="dxa"/>
            <w:vAlign w:val="center"/>
          </w:tcPr>
          <w:p>
            <w:pPr>
              <w:pStyle w:val="33"/>
              <w:spacing w:line="360" w:lineRule="exact"/>
              <w:ind w:left="-2" w:leftChars="-1" w:firstLine="0" w:firstLineChars="0"/>
              <w:rPr>
                <w:rFonts w:ascii="宋体" w:hAnsi="宋体"/>
                <w:sz w:val="24"/>
                <w:szCs w:val="24"/>
              </w:rPr>
            </w:pPr>
            <w:r>
              <w:rPr>
                <w:rFonts w:hint="eastAsia" w:ascii="宋体" w:hAnsi="宋体"/>
                <w:sz w:val="24"/>
                <w:szCs w:val="24"/>
              </w:rPr>
              <w:t>（1）</w:t>
            </w:r>
            <w:r>
              <w:rPr>
                <w:rFonts w:ascii="宋体" w:hAnsi="宋体"/>
                <w:sz w:val="24"/>
                <w:szCs w:val="24"/>
              </w:rPr>
              <w:t>满足资格审查要求得</w:t>
            </w:r>
            <w:r>
              <w:rPr>
                <w:rFonts w:hint="eastAsia" w:ascii="宋体" w:hAnsi="宋体"/>
                <w:sz w:val="24"/>
                <w:szCs w:val="24"/>
              </w:rPr>
              <w:t>3</w:t>
            </w:r>
            <w:r>
              <w:rPr>
                <w:rFonts w:ascii="宋体" w:hAnsi="宋体"/>
                <w:sz w:val="24"/>
                <w:szCs w:val="24"/>
              </w:rPr>
              <w:t>分；</w:t>
            </w:r>
          </w:p>
          <w:p>
            <w:pPr>
              <w:pStyle w:val="33"/>
              <w:spacing w:line="360" w:lineRule="exact"/>
              <w:ind w:left="-2" w:leftChars="-1" w:firstLine="0" w:firstLineChars="0"/>
              <w:rPr>
                <w:rFonts w:ascii="宋体" w:hAnsi="宋体"/>
                <w:sz w:val="24"/>
                <w:szCs w:val="24"/>
              </w:rPr>
            </w:pPr>
            <w:r>
              <w:rPr>
                <w:rFonts w:hint="eastAsia" w:ascii="宋体" w:hAnsi="宋体"/>
                <w:sz w:val="24"/>
              </w:rPr>
              <w:t>（2）专业工程师综合能力加分0～2分</w:t>
            </w:r>
            <w:r>
              <w:rPr>
                <w:rFonts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397" w:hRule="atLeast"/>
          <w:jc w:val="center"/>
        </w:trPr>
        <w:tc>
          <w:tcPr>
            <w:tcW w:w="845" w:type="dxa"/>
            <w:vAlign w:val="center"/>
          </w:tcPr>
          <w:p>
            <w:pPr>
              <w:spacing w:line="276" w:lineRule="auto"/>
              <w:jc w:val="center"/>
              <w:rPr>
                <w:rFonts w:ascii="宋体" w:hAnsi="宋体"/>
                <w:sz w:val="24"/>
              </w:rPr>
            </w:pPr>
            <w:r>
              <w:rPr>
                <w:rFonts w:ascii="宋体" w:hAnsi="宋体"/>
                <w:sz w:val="24"/>
              </w:rPr>
              <w:t>2.2.4</w:t>
            </w:r>
          </w:p>
          <w:p>
            <w:pPr>
              <w:spacing w:line="276" w:lineRule="auto"/>
              <w:jc w:val="center"/>
              <w:rPr>
                <w:rFonts w:ascii="宋体" w:hAnsi="宋体"/>
                <w:sz w:val="24"/>
              </w:rPr>
            </w:pPr>
            <w:r>
              <w:rPr>
                <w:rFonts w:ascii="宋体" w:hAnsi="宋体"/>
                <w:sz w:val="24"/>
              </w:rPr>
              <w:t>(3)</w:t>
            </w:r>
          </w:p>
        </w:tc>
        <w:tc>
          <w:tcPr>
            <w:tcW w:w="900" w:type="dxa"/>
            <w:vAlign w:val="center"/>
          </w:tcPr>
          <w:p>
            <w:pPr>
              <w:spacing w:line="276" w:lineRule="auto"/>
              <w:jc w:val="center"/>
              <w:rPr>
                <w:rFonts w:ascii="宋体" w:hAnsi="宋体"/>
                <w:sz w:val="24"/>
              </w:rPr>
            </w:pPr>
            <w:r>
              <w:rPr>
                <w:rFonts w:ascii="宋体" w:hAnsi="宋体"/>
                <w:sz w:val="24"/>
              </w:rPr>
              <w:t>评标价</w:t>
            </w:r>
          </w:p>
        </w:tc>
        <w:tc>
          <w:tcPr>
            <w:tcW w:w="801" w:type="dxa"/>
            <w:vAlign w:val="center"/>
          </w:tcPr>
          <w:p>
            <w:pPr>
              <w:spacing w:line="276" w:lineRule="auto"/>
              <w:jc w:val="center"/>
              <w:rPr>
                <w:rFonts w:ascii="宋体" w:hAnsi="宋体"/>
                <w:sz w:val="24"/>
                <w:u w:val="single"/>
              </w:rPr>
            </w:pPr>
            <w:r>
              <w:rPr>
                <w:rFonts w:ascii="宋体" w:hAnsi="宋体"/>
                <w:sz w:val="24"/>
              </w:rPr>
              <w:t>10分</w:t>
            </w:r>
          </w:p>
        </w:tc>
        <w:tc>
          <w:tcPr>
            <w:tcW w:w="6853" w:type="dxa"/>
            <w:gridSpan w:val="3"/>
            <w:vAlign w:val="center"/>
          </w:tcPr>
          <w:p>
            <w:pPr>
              <w:spacing w:line="276" w:lineRule="auto"/>
              <w:rPr>
                <w:rFonts w:ascii="宋体" w:hAnsi="宋体"/>
                <w:sz w:val="24"/>
              </w:rPr>
            </w:pPr>
            <w:r>
              <w:rPr>
                <w:rFonts w:hint="eastAsia" w:ascii="宋体" w:hAnsi="宋体"/>
                <w:sz w:val="24"/>
              </w:rPr>
              <w:t>评</w:t>
            </w:r>
            <w:r>
              <w:rPr>
                <w:rFonts w:ascii="宋体" w:hAnsi="宋体"/>
                <w:sz w:val="24"/>
              </w:rPr>
              <w:t>标价得分计算：</w:t>
            </w:r>
          </w:p>
          <w:p>
            <w:pPr>
              <w:spacing w:line="276" w:lineRule="auto"/>
              <w:rPr>
                <w:rFonts w:ascii="宋体" w:hAnsi="宋体"/>
                <w:sz w:val="24"/>
              </w:rPr>
            </w:pPr>
            <w:r>
              <w:rPr>
                <w:rFonts w:hint="eastAsia" w:ascii="宋体" w:hAnsi="宋体"/>
                <w:sz w:val="24"/>
              </w:rPr>
              <w:t>（1）如果投标人的评标价＞评标基准价</w:t>
            </w:r>
            <w:r>
              <w:rPr>
                <w:rFonts w:ascii="宋体" w:hAnsi="宋体"/>
                <w:sz w:val="24"/>
              </w:rPr>
              <w:t>，</w:t>
            </w:r>
            <w:r>
              <w:rPr>
                <w:rFonts w:hint="eastAsia" w:ascii="宋体" w:hAnsi="宋体"/>
                <w:sz w:val="24"/>
              </w:rPr>
              <w:t>则评标价得分=10</w:t>
            </w:r>
            <w:r>
              <w:rPr>
                <w:rFonts w:hint="eastAsia" w:ascii="宋体" w:hAnsi="宋体"/>
                <w:sz w:val="24"/>
                <w:highlight w:val="none"/>
              </w:rPr>
              <w:t>-</w:t>
            </w:r>
            <w:r>
              <w:rPr>
                <w:rFonts w:hint="eastAsia" w:ascii="宋体" w:hAnsi="宋体"/>
                <w:sz w:val="24"/>
              </w:rPr>
              <w:t>偏差率×100×0.1；</w:t>
            </w:r>
          </w:p>
          <w:p>
            <w:pPr>
              <w:spacing w:line="276" w:lineRule="auto"/>
              <w:rPr>
                <w:rFonts w:ascii="宋体" w:hAnsi="宋体"/>
                <w:sz w:val="24"/>
              </w:rPr>
            </w:pPr>
            <w:r>
              <w:rPr>
                <w:rFonts w:hint="eastAsia" w:ascii="宋体" w:hAnsi="宋体"/>
                <w:sz w:val="24"/>
              </w:rPr>
              <w:t>（2）如果投标人的评标价≤评标基准价，则评标价得分=10+偏差率×100×0.05。</w:t>
            </w:r>
          </w:p>
          <w:p>
            <w:pPr>
              <w:spacing w:line="276" w:lineRule="auto"/>
              <w:rPr>
                <w:rFonts w:ascii="宋体" w:hAnsi="宋体"/>
                <w:sz w:val="24"/>
              </w:rPr>
            </w:pPr>
            <w:r>
              <w:rPr>
                <w:rFonts w:hint="eastAsia" w:ascii="宋体" w:hAnsi="宋体"/>
                <w:sz w:val="24"/>
              </w:rPr>
              <w:t>评标价得分最低扣至0分。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73" w:hRule="atLeast"/>
          <w:jc w:val="center"/>
        </w:trPr>
        <w:tc>
          <w:tcPr>
            <w:tcW w:w="845" w:type="dxa"/>
            <w:vAlign w:val="center"/>
          </w:tcPr>
          <w:p>
            <w:pPr>
              <w:spacing w:line="276" w:lineRule="auto"/>
              <w:jc w:val="center"/>
              <w:rPr>
                <w:rFonts w:ascii="宋体" w:hAnsi="宋体"/>
                <w:sz w:val="24"/>
              </w:rPr>
            </w:pPr>
            <w:r>
              <w:rPr>
                <w:rFonts w:ascii="宋体" w:hAnsi="宋体"/>
                <w:sz w:val="24"/>
              </w:rPr>
              <w:t>2.2.4(4)</w:t>
            </w:r>
          </w:p>
        </w:tc>
        <w:tc>
          <w:tcPr>
            <w:tcW w:w="900" w:type="dxa"/>
            <w:vAlign w:val="center"/>
          </w:tcPr>
          <w:p>
            <w:pPr>
              <w:spacing w:line="276" w:lineRule="auto"/>
              <w:jc w:val="center"/>
              <w:rPr>
                <w:rFonts w:ascii="宋体" w:hAnsi="宋体"/>
                <w:sz w:val="24"/>
              </w:rPr>
            </w:pPr>
            <w:r>
              <w:rPr>
                <w:rFonts w:hint="eastAsia" w:ascii="宋体" w:hAnsi="宋体"/>
                <w:sz w:val="24"/>
              </w:rPr>
              <w:t>其他因素</w:t>
            </w:r>
          </w:p>
        </w:tc>
        <w:tc>
          <w:tcPr>
            <w:tcW w:w="801" w:type="dxa"/>
            <w:vAlign w:val="center"/>
          </w:tcPr>
          <w:p>
            <w:pPr>
              <w:spacing w:line="276" w:lineRule="auto"/>
              <w:jc w:val="center"/>
              <w:rPr>
                <w:rFonts w:ascii="宋体" w:hAnsi="宋体"/>
                <w:sz w:val="24"/>
              </w:rPr>
            </w:pPr>
            <w:r>
              <w:rPr>
                <w:rFonts w:hint="eastAsia" w:ascii="宋体" w:hAnsi="宋体"/>
                <w:sz w:val="24"/>
              </w:rPr>
              <w:t>30</w:t>
            </w:r>
            <w:r>
              <w:rPr>
                <w:rFonts w:ascii="宋体" w:hAnsi="宋体"/>
                <w:sz w:val="24"/>
              </w:rPr>
              <w:t>分</w:t>
            </w:r>
          </w:p>
        </w:tc>
        <w:tc>
          <w:tcPr>
            <w:tcW w:w="1701" w:type="dxa"/>
            <w:vAlign w:val="center"/>
          </w:tcPr>
          <w:p>
            <w:pPr>
              <w:spacing w:line="276" w:lineRule="auto"/>
              <w:jc w:val="center"/>
              <w:rPr>
                <w:rFonts w:ascii="宋体" w:hAnsi="宋体"/>
                <w:sz w:val="24"/>
              </w:rPr>
            </w:pPr>
            <w:r>
              <w:rPr>
                <w:rFonts w:ascii="宋体" w:hAnsi="宋体"/>
                <w:sz w:val="24"/>
              </w:rPr>
              <w:t>业绩</w:t>
            </w:r>
          </w:p>
        </w:tc>
        <w:tc>
          <w:tcPr>
            <w:tcW w:w="709" w:type="dxa"/>
            <w:vAlign w:val="center"/>
          </w:tcPr>
          <w:p>
            <w:pPr>
              <w:spacing w:line="276" w:lineRule="auto"/>
              <w:jc w:val="center"/>
              <w:rPr>
                <w:rFonts w:ascii="宋体" w:hAnsi="宋体"/>
                <w:sz w:val="24"/>
              </w:rPr>
            </w:pPr>
            <w:r>
              <w:rPr>
                <w:rFonts w:hint="eastAsia" w:ascii="宋体" w:hAnsi="宋体"/>
                <w:sz w:val="24"/>
              </w:rPr>
              <w:t>30</w:t>
            </w:r>
            <w:r>
              <w:rPr>
                <w:rFonts w:ascii="宋体" w:hAnsi="宋体"/>
                <w:sz w:val="24"/>
              </w:rPr>
              <w:t>分</w:t>
            </w:r>
          </w:p>
        </w:tc>
        <w:tc>
          <w:tcPr>
            <w:tcW w:w="4443" w:type="dxa"/>
          </w:tcPr>
          <w:p>
            <w:pPr>
              <w:spacing w:line="300" w:lineRule="auto"/>
              <w:rPr>
                <w:rFonts w:ascii="新宋体" w:hAnsi="新宋体" w:eastAsia="新宋体" w:cs="新宋体"/>
                <w:sz w:val="24"/>
              </w:rPr>
            </w:pPr>
            <w:r>
              <w:rPr>
                <w:rFonts w:hint="eastAsia" w:ascii="新宋体" w:hAnsi="新宋体" w:eastAsia="新宋体" w:cs="新宋体"/>
                <w:sz w:val="24"/>
              </w:rPr>
              <w:t>满足资格审查条件得18分；</w:t>
            </w:r>
          </w:p>
          <w:p>
            <w:pPr>
              <w:spacing w:line="300" w:lineRule="auto"/>
              <w:rPr>
                <w:rFonts w:ascii="新宋体" w:hAnsi="新宋体" w:eastAsia="新宋体" w:cs="新宋体"/>
                <w:sz w:val="24"/>
              </w:rPr>
            </w:pPr>
            <w:r>
              <w:rPr>
                <w:rFonts w:hint="eastAsia" w:ascii="新宋体" w:hAnsi="新宋体" w:eastAsia="新宋体" w:cs="新宋体"/>
                <w:sz w:val="24"/>
              </w:rPr>
              <w:t>2016年1月1日后</w:t>
            </w:r>
            <w:r>
              <w:rPr>
                <w:rFonts w:hint="eastAsia" w:ascii="宋体" w:hAnsi="宋体" w:cs="新宋体"/>
                <w:kern w:val="0"/>
                <w:sz w:val="24"/>
              </w:rPr>
              <w:t>（以合同签订时间为准）</w:t>
            </w:r>
            <w:r>
              <w:rPr>
                <w:rFonts w:hint="eastAsia" w:ascii="新宋体" w:hAnsi="新宋体" w:eastAsia="新宋体" w:cs="新宋体"/>
                <w:sz w:val="24"/>
              </w:rPr>
              <w:t>：每增加1项高速公路</w:t>
            </w:r>
            <w:r>
              <w:rPr>
                <w:rFonts w:hint="eastAsia" w:ascii="宋体" w:hAnsi="宋体" w:cs="新宋体"/>
                <w:kern w:val="0"/>
                <w:sz w:val="24"/>
              </w:rPr>
              <w:t>竣工环境保护验收</w:t>
            </w:r>
            <w:r>
              <w:rPr>
                <w:rFonts w:hint="eastAsia" w:ascii="新宋体" w:hAnsi="新宋体" w:eastAsia="新宋体" w:cs="新宋体"/>
                <w:sz w:val="24"/>
              </w:rPr>
              <w:t>的，加1分，最多加4分；每增加1项高速公路突发环境事件应急预案的，加1分，最多加2分；</w:t>
            </w:r>
          </w:p>
          <w:p>
            <w:pPr>
              <w:spacing w:line="300" w:lineRule="auto"/>
              <w:jc w:val="left"/>
              <w:rPr>
                <w:rFonts w:ascii="新宋体" w:hAnsi="新宋体" w:eastAsia="新宋体" w:cs="新宋体"/>
                <w:sz w:val="24"/>
              </w:rPr>
            </w:pPr>
            <w:r>
              <w:rPr>
                <w:rFonts w:hint="eastAsia" w:ascii="新宋体" w:hAnsi="新宋体" w:eastAsia="新宋体" w:cs="新宋体"/>
                <w:sz w:val="24"/>
              </w:rPr>
              <w:t>2016年1月1日后（</w:t>
            </w:r>
            <w:r>
              <w:rPr>
                <w:rFonts w:hint="eastAsia" w:ascii="宋体" w:hAnsi="宋体" w:cs="新宋体"/>
                <w:kern w:val="0"/>
                <w:sz w:val="24"/>
              </w:rPr>
              <w:t>以合同签订时间为准）</w:t>
            </w:r>
            <w:r>
              <w:rPr>
                <w:rFonts w:hint="eastAsia" w:ascii="新宋体" w:hAnsi="新宋体" w:eastAsia="新宋体" w:cs="新宋体"/>
                <w:sz w:val="24"/>
              </w:rPr>
              <w:t>：每增加1项高速公路</w:t>
            </w:r>
            <w:r>
              <w:rPr>
                <w:rFonts w:hint="eastAsia" w:ascii="宋体" w:hAnsi="宋体" w:cs="新宋体"/>
                <w:kern w:val="0"/>
                <w:sz w:val="24"/>
              </w:rPr>
              <w:t>水土保持设施竣工验收</w:t>
            </w:r>
            <w:r>
              <w:rPr>
                <w:rFonts w:hint="eastAsia" w:ascii="新宋体" w:hAnsi="新宋体" w:eastAsia="新宋体" w:cs="新宋体"/>
                <w:sz w:val="24"/>
              </w:rPr>
              <w:t>的，加1分，最多加4分；每增加1项高速公路</w:t>
            </w:r>
            <w:r>
              <w:rPr>
                <w:rFonts w:hint="eastAsia" w:ascii="宋体" w:hAnsi="宋体" w:cs="新宋体"/>
                <w:kern w:val="0"/>
                <w:sz w:val="24"/>
              </w:rPr>
              <w:t>水土保持</w:t>
            </w:r>
            <w:r>
              <w:rPr>
                <w:rFonts w:hint="eastAsia" w:ascii="新宋体" w:hAnsi="新宋体" w:eastAsia="新宋体" w:cs="新宋体"/>
                <w:sz w:val="24"/>
              </w:rPr>
              <w:t>监理的，加1分，最多加1分；每增加1项高速公路</w:t>
            </w:r>
            <w:r>
              <w:rPr>
                <w:rFonts w:hint="eastAsia" w:ascii="宋体" w:hAnsi="宋体" w:cs="新宋体"/>
                <w:kern w:val="0"/>
                <w:sz w:val="24"/>
              </w:rPr>
              <w:t>水土保持</w:t>
            </w:r>
            <w:r>
              <w:rPr>
                <w:rFonts w:hint="eastAsia" w:ascii="新宋体" w:hAnsi="新宋体" w:eastAsia="新宋体" w:cs="新宋体"/>
                <w:sz w:val="24"/>
              </w:rPr>
              <w:t>监测的，加1分，最多加1分。</w:t>
            </w:r>
          </w:p>
          <w:p>
            <w:pPr>
              <w:jc w:val="left"/>
              <w:rPr>
                <w:rFonts w:ascii="楷体" w:hAnsi="楷体" w:eastAsia="楷体" w:cs="楷体"/>
                <w:bCs/>
                <w:sz w:val="24"/>
              </w:rPr>
            </w:pPr>
            <w:r>
              <w:rPr>
                <w:rFonts w:hint="eastAsia" w:ascii="楷体" w:hAnsi="楷体" w:eastAsia="楷体" w:cs="楷体"/>
                <w:bCs/>
                <w:sz w:val="24"/>
              </w:rPr>
              <w:t>注：1.</w:t>
            </w:r>
            <w:r>
              <w:rPr>
                <w:rFonts w:hint="eastAsia" w:ascii="楷体" w:hAnsi="楷体" w:eastAsia="楷体" w:cs="楷体"/>
                <w:kern w:val="0"/>
                <w:sz w:val="24"/>
              </w:rPr>
              <w:t>同一合同含多个项目或同一项目中投标人同时承担多项技术工作的，可重复认定业绩</w:t>
            </w:r>
            <w:r>
              <w:rPr>
                <w:rFonts w:hint="eastAsia" w:ascii="楷体" w:hAnsi="楷体" w:eastAsia="楷体" w:cs="楷体"/>
                <w:bCs/>
                <w:sz w:val="24"/>
              </w:rPr>
              <w:t>。</w:t>
            </w:r>
          </w:p>
          <w:p>
            <w:pPr>
              <w:pStyle w:val="30"/>
              <w:spacing w:line="312" w:lineRule="exact"/>
              <w:ind w:left="100" w:right="91"/>
              <w:rPr>
                <w:rFonts w:ascii="楷体" w:hAnsi="楷体" w:eastAsia="楷体" w:cs="新宋体"/>
              </w:rPr>
            </w:pPr>
            <w:r>
              <w:rPr>
                <w:rFonts w:hint="eastAsia" w:ascii="楷体" w:hAnsi="楷体" w:eastAsia="楷体" w:cs="楷体"/>
                <w:bCs/>
                <w:sz w:val="24"/>
              </w:rPr>
              <w:t>2.</w:t>
            </w:r>
            <w:r>
              <w:rPr>
                <w:rFonts w:hint="eastAsia" w:ascii="楷体" w:hAnsi="楷体" w:eastAsia="楷体"/>
                <w:sz w:val="24"/>
              </w:rPr>
              <w:t>以联合体形式投标的，按联合体所有成员的业绩之和计算。</w:t>
            </w:r>
          </w:p>
        </w:tc>
      </w:tr>
    </w:tbl>
    <w:p>
      <w:pPr>
        <w:jc w:val="right"/>
      </w:pPr>
    </w:p>
    <w:p>
      <w:pPr>
        <w:rPr>
          <w:rFonts w:hint="eastAsia" w:ascii="黑体" w:hAnsi="黑体" w:eastAsia="黑体"/>
          <w:sz w:val="28"/>
          <w:szCs w:val="28"/>
        </w:rPr>
      </w:pPr>
      <w:r>
        <w:rPr>
          <w:rFonts w:hint="eastAsia" w:ascii="黑体" w:hAnsi="黑体" w:eastAsia="黑体"/>
          <w:sz w:val="28"/>
          <w:szCs w:val="28"/>
        </w:rPr>
        <w:t>五、联系方式</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sz w:val="24"/>
        </w:rPr>
      </w:pPr>
      <w:r>
        <w:rPr>
          <w:rFonts w:hint="eastAsia"/>
          <w:sz w:val="24"/>
        </w:rPr>
        <w:t>招 标 人：</w:t>
      </w:r>
      <w:r>
        <w:rPr>
          <w:rFonts w:hint="eastAsia"/>
          <w:bCs/>
          <w:sz w:val="24"/>
        </w:rPr>
        <w:t>吉林中铁高速公路有限公司</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hAnsi="宋体"/>
          <w:sz w:val="24"/>
        </w:rPr>
      </w:pPr>
      <w:r>
        <w:rPr>
          <w:rFonts w:hint="eastAsia"/>
          <w:sz w:val="24"/>
        </w:rPr>
        <w:t>地</w:t>
      </w:r>
      <w:r>
        <w:rPr>
          <w:sz w:val="24"/>
        </w:rPr>
        <w:t xml:space="preserve">    </w:t>
      </w:r>
      <w:r>
        <w:rPr>
          <w:rFonts w:hint="eastAsia"/>
          <w:sz w:val="24"/>
        </w:rPr>
        <w:t>址</w:t>
      </w:r>
      <w:r>
        <w:rPr>
          <w:rFonts w:hint="eastAsia" w:ascii="宋体" w:hAnsi="宋体"/>
          <w:sz w:val="24"/>
        </w:rPr>
        <w:t>：长春市宽城区富城路228号总部基地1105室</w:t>
      </w:r>
      <w:r>
        <w:rPr>
          <w:rFonts w:ascii="宋体" w:hAnsi="宋体"/>
          <w:sz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sz w:val="24"/>
        </w:rPr>
      </w:pPr>
      <w:r>
        <w:rPr>
          <w:rFonts w:hint="eastAsia"/>
          <w:sz w:val="24"/>
        </w:rPr>
        <w:t>联 系 人：熊亚力</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hAnsi="宋体"/>
          <w:sz w:val="24"/>
        </w:rPr>
      </w:pPr>
      <w:r>
        <w:rPr>
          <w:rFonts w:hint="eastAsia"/>
          <w:sz w:val="24"/>
        </w:rPr>
        <w:t xml:space="preserve">电 </w:t>
      </w:r>
      <w:r>
        <w:rPr>
          <w:sz w:val="24"/>
        </w:rPr>
        <w:t xml:space="preserve">   </w:t>
      </w:r>
      <w:r>
        <w:rPr>
          <w:rFonts w:hint="eastAsia" w:ascii="宋体" w:hAnsi="宋体"/>
          <w:sz w:val="24"/>
        </w:rPr>
        <w:t>话：186-2848-1616</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hAnsi="宋体"/>
          <w:sz w:val="24"/>
        </w:rPr>
      </w:pPr>
      <w:r>
        <w:rPr>
          <w:rFonts w:hint="eastAsia" w:ascii="宋体" w:hAnsi="宋体"/>
          <w:sz w:val="24"/>
        </w:rPr>
        <w:t xml:space="preserve">招标代理机构：吉林省华洋工程咨询有限公司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hAnsi="宋体"/>
          <w:sz w:val="24"/>
        </w:rPr>
      </w:pPr>
      <w:r>
        <w:rPr>
          <w:rFonts w:hint="eastAsia" w:ascii="宋体" w:hAnsi="宋体"/>
          <w:sz w:val="24"/>
        </w:rPr>
        <w:t>地    址：长春市朝阳区和光路16号</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hAnsi="宋体"/>
          <w:sz w:val="24"/>
        </w:rPr>
      </w:pPr>
      <w:r>
        <w:rPr>
          <w:rFonts w:hint="eastAsia" w:ascii="宋体" w:hAnsi="宋体"/>
          <w:sz w:val="24"/>
        </w:rPr>
        <w:t>联 系 人：</w:t>
      </w:r>
      <w:r>
        <w:rPr>
          <w:rFonts w:ascii="宋体" w:hAnsi="宋体"/>
          <w:sz w:val="24"/>
        </w:rPr>
        <w:t xml:space="preserve"> </w:t>
      </w:r>
      <w:r>
        <w:rPr>
          <w:rFonts w:hint="eastAsia" w:ascii="宋体" w:hAnsi="宋体"/>
          <w:sz w:val="24"/>
        </w:rPr>
        <w:t>车万里</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hAnsi="宋体"/>
          <w:sz w:val="24"/>
        </w:rPr>
      </w:pPr>
      <w:r>
        <w:rPr>
          <w:rFonts w:hint="eastAsia" w:ascii="宋体" w:hAnsi="宋体"/>
          <w:sz w:val="24"/>
        </w:rPr>
        <w:t>电    话：</w:t>
      </w:r>
      <w:r>
        <w:rPr>
          <w:rFonts w:ascii="宋体" w:hAnsi="宋体"/>
          <w:sz w:val="24"/>
        </w:rPr>
        <w:t xml:space="preserve"> </w:t>
      </w:r>
      <w:r>
        <w:rPr>
          <w:rFonts w:hint="eastAsia" w:ascii="宋体" w:hAnsi="宋体"/>
          <w:sz w:val="24"/>
        </w:rPr>
        <w:t>0431-85368866</w:t>
      </w:r>
    </w:p>
    <w:p>
      <w:pPr>
        <w:rPr>
          <w:rFonts w:hint="eastAsia" w:ascii="黑体" w:hAnsi="黑体" w:eastAsia="黑体"/>
          <w:sz w:val="28"/>
          <w:szCs w:val="28"/>
        </w:rPr>
      </w:pPr>
      <w:r>
        <w:rPr>
          <w:rFonts w:hint="eastAsia" w:ascii="黑体" w:hAnsi="黑体" w:eastAsia="黑体"/>
          <w:sz w:val="28"/>
          <w:szCs w:val="28"/>
          <w:lang w:eastAsia="zh-CN"/>
        </w:rPr>
        <w:t>六、</w:t>
      </w:r>
      <w:r>
        <w:rPr>
          <w:rFonts w:hint="eastAsia" w:ascii="黑体" w:hAnsi="黑体" w:eastAsia="黑体"/>
          <w:sz w:val="28"/>
          <w:szCs w:val="28"/>
        </w:rPr>
        <w:t>本关键内容公开时间至投标截止时间10日前结束。</w:t>
      </w:r>
    </w:p>
    <w:p>
      <w:pPr>
        <w:jc w:val="right"/>
        <w:rPr>
          <w:rFonts w:hint="eastAsia" w:ascii="宋体" w:hAnsi="宋体"/>
          <w:szCs w:val="21"/>
        </w:rPr>
      </w:pPr>
    </w:p>
    <w:p>
      <w:pPr>
        <w:jc w:val="right"/>
        <w:rPr>
          <w:rFonts w:ascii="宋体" w:hAnsi="宋体"/>
          <w:szCs w:val="21"/>
        </w:rPr>
      </w:pPr>
      <w:r>
        <w:rPr>
          <w:rFonts w:hint="eastAsia" w:ascii="宋体" w:hAnsi="宋体"/>
          <w:szCs w:val="21"/>
        </w:rPr>
        <w:t>2021年</w:t>
      </w:r>
      <w:r>
        <w:rPr>
          <w:rFonts w:hint="eastAsia" w:ascii="宋体" w:hAnsi="宋体"/>
          <w:szCs w:val="21"/>
          <w:lang w:val="en-US" w:eastAsia="zh-CN"/>
        </w:rPr>
        <w:t>2</w:t>
      </w:r>
      <w:bookmarkStart w:id="18" w:name="_GoBack"/>
      <w:bookmarkEnd w:id="18"/>
      <w:r>
        <w:rPr>
          <w:rFonts w:hint="eastAsia" w:ascii="宋体" w:hAnsi="宋体"/>
          <w:szCs w:val="21"/>
        </w:rPr>
        <w:t>月</w:t>
      </w:r>
      <w:r>
        <w:rPr>
          <w:rFonts w:hint="eastAsia" w:ascii="宋体" w:hAnsi="宋体"/>
          <w:szCs w:val="21"/>
          <w:lang w:val="en-US" w:eastAsia="zh-CN"/>
        </w:rPr>
        <w:t>5</w:t>
      </w:r>
      <w:r>
        <w:rPr>
          <w:rFonts w:hint="eastAsia" w:ascii="宋体" w:hAnsi="宋体"/>
          <w:szCs w:val="21"/>
        </w:rPr>
        <w:t>日</w:t>
      </w:r>
      <w:bookmarkEnd w:id="1"/>
      <w:bookmarkEnd w:id="2"/>
      <w:r>
        <w:rPr>
          <w:rFonts w:hint="eastAsia" w:ascii="宋体" w:hAnsi="宋体"/>
          <w:sz w:val="24"/>
        </w:rPr>
        <w:t xml:space="preserve"> </w:t>
      </w:r>
    </w:p>
    <w:sectPr>
      <w:footnotePr>
        <w:numFmt w:val="decimalEnclosedCircleChinese"/>
        <w:numRestart w:val="eachPage"/>
      </w:footnote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1"/>
        <w:jc w:val="both"/>
        <w:rPr>
          <w:rFonts w:ascii="楷体" w:hAnsi="楷体" w:eastAsia="楷体"/>
        </w:rPr>
      </w:pPr>
      <w:r>
        <w:rPr>
          <w:rStyle w:val="18"/>
        </w:rPr>
        <w:footnoteRef/>
      </w:r>
      <w:r>
        <w:rPr>
          <w:rFonts w:hint="eastAsia" w:ascii="楷体" w:hAnsi="楷体" w:eastAsia="楷体"/>
        </w:rPr>
        <w:t>“评标办法前附表”用于明确评标的方法、因素、标准和程序。没有列明的因素和标准不得作为评标的依据。凡“评标办法前附表”对本章正文内容进行完善和补充的，均以“评标办法前附表”为准；未进行补充、完善的，以本章正文内容为准。</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976577"/>
    <w:rsid w:val="0005335B"/>
    <w:rsid w:val="001E7FD4"/>
    <w:rsid w:val="0021703D"/>
    <w:rsid w:val="00231F0D"/>
    <w:rsid w:val="00233745"/>
    <w:rsid w:val="00282745"/>
    <w:rsid w:val="002B7B92"/>
    <w:rsid w:val="002E465D"/>
    <w:rsid w:val="004C5613"/>
    <w:rsid w:val="004F05E3"/>
    <w:rsid w:val="00502E88"/>
    <w:rsid w:val="00532828"/>
    <w:rsid w:val="005514D3"/>
    <w:rsid w:val="005B2A43"/>
    <w:rsid w:val="005C21E4"/>
    <w:rsid w:val="005D37F2"/>
    <w:rsid w:val="006C38E4"/>
    <w:rsid w:val="007118D4"/>
    <w:rsid w:val="00791974"/>
    <w:rsid w:val="00812F23"/>
    <w:rsid w:val="00861859"/>
    <w:rsid w:val="00871362"/>
    <w:rsid w:val="008746CD"/>
    <w:rsid w:val="00916D20"/>
    <w:rsid w:val="00923518"/>
    <w:rsid w:val="00976577"/>
    <w:rsid w:val="009C3EDE"/>
    <w:rsid w:val="009E021E"/>
    <w:rsid w:val="00AE752B"/>
    <w:rsid w:val="00B06859"/>
    <w:rsid w:val="00B608ED"/>
    <w:rsid w:val="00B834AC"/>
    <w:rsid w:val="00B94549"/>
    <w:rsid w:val="00BD06B8"/>
    <w:rsid w:val="00C55B37"/>
    <w:rsid w:val="00D94845"/>
    <w:rsid w:val="00E2099B"/>
    <w:rsid w:val="00E34D0C"/>
    <w:rsid w:val="00E87CC6"/>
    <w:rsid w:val="00EE2448"/>
    <w:rsid w:val="00F66AB9"/>
    <w:rsid w:val="17BF2C69"/>
    <w:rsid w:val="333629F9"/>
    <w:rsid w:val="3FE13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qFormat="1" w:unhideWhenUsed="0" w:uiPriority="0" w:semiHidden="0" w:name="annotation text"/>
    <w:lsdException w:qFormat="1" w:unhideWhenUsed="0"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2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6"/>
    <w:qFormat/>
    <w:uiPriority w:val="99"/>
    <w:pPr>
      <w:keepNext/>
      <w:keepLines/>
      <w:spacing w:before="260" w:after="260" w:line="416" w:lineRule="auto"/>
      <w:outlineLvl w:val="2"/>
    </w:pPr>
    <w:rPr>
      <w:rFonts w:ascii="Calibri" w:hAnsi="Calibri"/>
      <w:b/>
      <w:bCs/>
      <w:kern w:val="0"/>
      <w:sz w:val="32"/>
      <w:szCs w:val="32"/>
    </w:rPr>
  </w:style>
  <w:style w:type="paragraph" w:styleId="5">
    <w:name w:val="heading 4"/>
    <w:basedOn w:val="1"/>
    <w:next w:val="1"/>
    <w:link w:val="28"/>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9"/>
    <w:qFormat/>
    <w:uiPriority w:val="0"/>
    <w:pPr>
      <w:jc w:val="left"/>
    </w:pPr>
    <w:rPr>
      <w:rFonts w:ascii="Calibri" w:hAnsi="Calibri"/>
      <w:szCs w:val="22"/>
    </w:rPr>
  </w:style>
  <w:style w:type="paragraph" w:styleId="7">
    <w:name w:val="Balloon Text"/>
    <w:basedOn w:val="1"/>
    <w:link w:val="23"/>
    <w:semiHidden/>
    <w:unhideWhenUsed/>
    <w:uiPriority w:val="99"/>
    <w:rPr>
      <w:sz w:val="18"/>
      <w:szCs w:val="18"/>
    </w:rPr>
  </w:style>
  <w:style w:type="paragraph" w:styleId="8">
    <w:name w:val="footer"/>
    <w:basedOn w:val="1"/>
    <w:link w:val="24"/>
    <w:unhideWhenUsed/>
    <w:qFormat/>
    <w:uiPriority w:val="99"/>
    <w:pPr>
      <w:tabs>
        <w:tab w:val="center" w:pos="4153"/>
        <w:tab w:val="right" w:pos="8306"/>
      </w:tabs>
      <w:snapToGrid w:val="0"/>
      <w:jc w:val="left"/>
    </w:pPr>
    <w:rPr>
      <w:sz w:val="18"/>
      <w:szCs w:val="18"/>
    </w:rPr>
  </w:style>
  <w:style w:type="paragraph" w:styleId="9">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0">
    <w:name w:val="List"/>
    <w:basedOn w:val="1"/>
    <w:qFormat/>
    <w:uiPriority w:val="0"/>
    <w:pPr>
      <w:ind w:left="420" w:hanging="420"/>
    </w:pPr>
    <w:rPr>
      <w:szCs w:val="20"/>
    </w:rPr>
  </w:style>
  <w:style w:type="paragraph" w:styleId="11">
    <w:name w:val="footnote text"/>
    <w:basedOn w:val="1"/>
    <w:link w:val="20"/>
    <w:unhideWhenUsed/>
    <w:qFormat/>
    <w:uiPriority w:val="0"/>
    <w:pPr>
      <w:snapToGrid w:val="0"/>
      <w:jc w:val="left"/>
    </w:pPr>
    <w:rPr>
      <w:rFonts w:ascii="Calibri" w:hAnsi="Calibri"/>
      <w:kern w:val="0"/>
      <w:sz w:val="18"/>
      <w:szCs w:val="18"/>
    </w:rPr>
  </w:style>
  <w:style w:type="paragraph" w:styleId="12">
    <w:name w:val="Body Text Indent 3"/>
    <w:basedOn w:val="1"/>
    <w:link w:val="19"/>
    <w:qFormat/>
    <w:uiPriority w:val="0"/>
    <w:pPr>
      <w:spacing w:after="120"/>
      <w:ind w:left="420" w:leftChars="200"/>
    </w:pPr>
    <w:rPr>
      <w:sz w:val="16"/>
      <w:szCs w:val="16"/>
    </w:rPr>
  </w:style>
  <w:style w:type="paragraph" w:styleId="13">
    <w:name w:val="Title"/>
    <w:basedOn w:val="1"/>
    <w:next w:val="1"/>
    <w:link w:val="22"/>
    <w:qFormat/>
    <w:uiPriority w:val="0"/>
    <w:pPr>
      <w:spacing w:before="240" w:after="60"/>
      <w:jc w:val="center"/>
      <w:outlineLvl w:val="0"/>
    </w:pPr>
    <w:rPr>
      <w:rFonts w:ascii="Cambria" w:hAnsi="Cambria"/>
      <w:b/>
      <w:bCs/>
      <w:sz w:val="32"/>
      <w:szCs w:val="32"/>
    </w:rPr>
  </w:style>
  <w:style w:type="table" w:styleId="15">
    <w:name w:val="Table Grid"/>
    <w:basedOn w:val="14"/>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Hyperlink"/>
    <w:unhideWhenUsed/>
    <w:qFormat/>
    <w:uiPriority w:val="99"/>
    <w:rPr>
      <w:color w:val="0000FF"/>
      <w:u w:val="single"/>
    </w:rPr>
  </w:style>
  <w:style w:type="character" w:styleId="18">
    <w:name w:val="footnote reference"/>
    <w:qFormat/>
    <w:uiPriority w:val="0"/>
    <w:rPr>
      <w:vertAlign w:val="superscript"/>
    </w:rPr>
  </w:style>
  <w:style w:type="character" w:customStyle="1" w:styleId="19">
    <w:name w:val="正文文本缩进 3 Char"/>
    <w:basedOn w:val="16"/>
    <w:link w:val="12"/>
    <w:qFormat/>
    <w:uiPriority w:val="0"/>
    <w:rPr>
      <w:rFonts w:ascii="Times New Roman" w:hAnsi="Times New Roman" w:eastAsia="宋体" w:cs="Times New Roman"/>
      <w:sz w:val="16"/>
      <w:szCs w:val="16"/>
    </w:rPr>
  </w:style>
  <w:style w:type="character" w:customStyle="1" w:styleId="20">
    <w:name w:val="脚注文本 Char"/>
    <w:basedOn w:val="16"/>
    <w:link w:val="11"/>
    <w:qFormat/>
    <w:uiPriority w:val="0"/>
    <w:rPr>
      <w:rFonts w:ascii="Calibri" w:hAnsi="Calibri" w:eastAsia="宋体" w:cs="Times New Roman"/>
      <w:kern w:val="0"/>
      <w:sz w:val="18"/>
      <w:szCs w:val="18"/>
    </w:rPr>
  </w:style>
  <w:style w:type="character" w:customStyle="1" w:styleId="21">
    <w:name w:val="页眉 Char"/>
    <w:basedOn w:val="16"/>
    <w:link w:val="9"/>
    <w:qFormat/>
    <w:uiPriority w:val="99"/>
    <w:rPr>
      <w:rFonts w:ascii="Times New Roman" w:hAnsi="Times New Roman" w:eastAsia="宋体" w:cs="Times New Roman"/>
      <w:sz w:val="18"/>
      <w:szCs w:val="18"/>
    </w:rPr>
  </w:style>
  <w:style w:type="character" w:customStyle="1" w:styleId="22">
    <w:name w:val="标题 Char"/>
    <w:basedOn w:val="16"/>
    <w:link w:val="13"/>
    <w:uiPriority w:val="0"/>
    <w:rPr>
      <w:rFonts w:ascii="Cambria" w:hAnsi="Cambria" w:eastAsia="宋体" w:cs="Times New Roman"/>
      <w:b/>
      <w:bCs/>
      <w:sz w:val="32"/>
      <w:szCs w:val="32"/>
    </w:rPr>
  </w:style>
  <w:style w:type="character" w:customStyle="1" w:styleId="23">
    <w:name w:val="批注框文本 Char"/>
    <w:basedOn w:val="16"/>
    <w:link w:val="7"/>
    <w:semiHidden/>
    <w:qFormat/>
    <w:uiPriority w:val="99"/>
    <w:rPr>
      <w:rFonts w:ascii="Times New Roman" w:hAnsi="Times New Roman" w:eastAsia="宋体" w:cs="Times New Roman"/>
      <w:sz w:val="18"/>
      <w:szCs w:val="18"/>
    </w:rPr>
  </w:style>
  <w:style w:type="character" w:customStyle="1" w:styleId="24">
    <w:name w:val="页脚 Char"/>
    <w:basedOn w:val="16"/>
    <w:link w:val="8"/>
    <w:qFormat/>
    <w:uiPriority w:val="99"/>
    <w:rPr>
      <w:rFonts w:ascii="Times New Roman" w:hAnsi="Times New Roman" w:eastAsia="宋体" w:cs="Times New Roman"/>
      <w:sz w:val="18"/>
      <w:szCs w:val="18"/>
    </w:rPr>
  </w:style>
  <w:style w:type="character" w:customStyle="1" w:styleId="25">
    <w:name w:val="标题 1 Char"/>
    <w:basedOn w:val="16"/>
    <w:link w:val="2"/>
    <w:uiPriority w:val="9"/>
    <w:rPr>
      <w:rFonts w:ascii="Calibri" w:hAnsi="Calibri" w:eastAsia="宋体" w:cs="Times New Roman"/>
      <w:b/>
      <w:bCs/>
      <w:kern w:val="44"/>
      <w:sz w:val="44"/>
      <w:szCs w:val="44"/>
    </w:rPr>
  </w:style>
  <w:style w:type="character" w:customStyle="1" w:styleId="26">
    <w:name w:val="标题 3 Char"/>
    <w:basedOn w:val="16"/>
    <w:link w:val="4"/>
    <w:uiPriority w:val="99"/>
    <w:rPr>
      <w:rFonts w:ascii="Calibri" w:hAnsi="Calibri" w:eastAsia="宋体" w:cs="Times New Roman"/>
      <w:b/>
      <w:bCs/>
      <w:kern w:val="0"/>
      <w:sz w:val="32"/>
      <w:szCs w:val="32"/>
    </w:rPr>
  </w:style>
  <w:style w:type="character" w:customStyle="1" w:styleId="27">
    <w:name w:val="标题 2 Char"/>
    <w:basedOn w:val="16"/>
    <w:link w:val="3"/>
    <w:semiHidden/>
    <w:qFormat/>
    <w:uiPriority w:val="9"/>
    <w:rPr>
      <w:rFonts w:asciiTheme="majorHAnsi" w:hAnsiTheme="majorHAnsi" w:eastAsiaTheme="majorEastAsia" w:cstheme="majorBidi"/>
      <w:b/>
      <w:bCs/>
      <w:sz w:val="32"/>
      <w:szCs w:val="32"/>
    </w:rPr>
  </w:style>
  <w:style w:type="character" w:customStyle="1" w:styleId="28">
    <w:name w:val="标题 4 Char"/>
    <w:basedOn w:val="16"/>
    <w:link w:val="5"/>
    <w:semiHidden/>
    <w:qFormat/>
    <w:uiPriority w:val="9"/>
    <w:rPr>
      <w:rFonts w:asciiTheme="majorHAnsi" w:hAnsiTheme="majorHAnsi" w:eastAsiaTheme="majorEastAsia" w:cstheme="majorBidi"/>
      <w:b/>
      <w:bCs/>
      <w:sz w:val="28"/>
      <w:szCs w:val="28"/>
    </w:rPr>
  </w:style>
  <w:style w:type="character" w:customStyle="1" w:styleId="29">
    <w:name w:val="批注文字 Char"/>
    <w:basedOn w:val="16"/>
    <w:link w:val="6"/>
    <w:qFormat/>
    <w:uiPriority w:val="0"/>
    <w:rPr>
      <w:rFonts w:ascii="Calibri" w:hAnsi="Calibri" w:eastAsia="宋体" w:cs="Times New Roman"/>
    </w:rPr>
  </w:style>
  <w:style w:type="paragraph" w:customStyle="1" w:styleId="30">
    <w:name w:val="Table Paragraph"/>
    <w:basedOn w:val="1"/>
    <w:qFormat/>
    <w:uiPriority w:val="99"/>
    <w:pPr>
      <w:autoSpaceDE w:val="0"/>
      <w:autoSpaceDN w:val="0"/>
      <w:jc w:val="left"/>
    </w:pPr>
    <w:rPr>
      <w:rFonts w:ascii="宋体" w:hAnsi="宋体" w:cs="宋体"/>
      <w:kern w:val="0"/>
      <w:sz w:val="22"/>
      <w:szCs w:val="22"/>
      <w:lang w:val="zh-CN" w:bidi="zh-CN"/>
    </w:rPr>
  </w:style>
  <w:style w:type="paragraph" w:customStyle="1" w:styleId="31">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32">
    <w:name w:val="List Paragraph"/>
    <w:basedOn w:val="1"/>
    <w:qFormat/>
    <w:uiPriority w:val="99"/>
    <w:pPr>
      <w:ind w:firstLine="420" w:firstLineChars="200"/>
    </w:pPr>
  </w:style>
  <w:style w:type="paragraph" w:customStyle="1" w:styleId="33">
    <w:name w:val="列出段落2"/>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2AAE82-09B6-4A48-9848-6936194EFAED}">
  <ds:schemaRefs/>
</ds:datastoreItem>
</file>

<file path=docProps/app.xml><?xml version="1.0" encoding="utf-8"?>
<Properties xmlns="http://schemas.openxmlformats.org/officeDocument/2006/extended-properties" xmlns:vt="http://schemas.openxmlformats.org/officeDocument/2006/docPropsVTypes">
  <Template>Normal.dotm</Template>
  <Pages>8</Pages>
  <Words>1026</Words>
  <Characters>5850</Characters>
  <Lines>48</Lines>
  <Paragraphs>13</Paragraphs>
  <TotalTime>5</TotalTime>
  <ScaleCrop>false</ScaleCrop>
  <LinksUpToDate>false</LinksUpToDate>
  <CharactersWithSpaces>6863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2018-05-08T11:13:00Z</dcterms:created>
  <dc:creator>Administrator</dc:creator>
  <cp:lastModifiedBy>che</cp:lastModifiedBy>
  <dcterms:modified xsi:type="dcterms:W3CDTF">2021-02-04T06:25:21Z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