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rPr>
      </w:pPr>
      <w:bookmarkStart w:id="0" w:name="_Hlk67476435"/>
      <w:bookmarkStart w:id="1" w:name="_Toc184704560"/>
      <w:bookmarkStart w:id="2" w:name="_Hlk67476451"/>
      <w:r>
        <w:rPr>
          <w:rFonts w:hint="eastAsia" w:asciiTheme="minorEastAsia" w:hAnsiTheme="minorEastAsia" w:eastAsiaTheme="minorEastAsia" w:cstheme="minorEastAsia"/>
          <w:b/>
          <w:bCs/>
          <w:color w:val="auto"/>
          <w:sz w:val="21"/>
          <w:szCs w:val="21"/>
        </w:rPr>
        <w:t>国道珲春至阿尔山公路延吉至安图段改建项目附属工程（房建、机电、养护、试验检测机构）</w:t>
      </w:r>
      <w:bookmarkEnd w:id="0"/>
      <w:r>
        <w:rPr>
          <w:rFonts w:hint="eastAsia" w:asciiTheme="minorEastAsia" w:hAnsiTheme="minorEastAsia" w:eastAsiaTheme="minorEastAsia" w:cstheme="minorEastAsia"/>
          <w:b/>
          <w:bCs/>
          <w:color w:val="auto"/>
          <w:sz w:val="21"/>
          <w:szCs w:val="21"/>
        </w:rPr>
        <w:t>招标</w:t>
      </w:r>
      <w:bookmarkStart w:id="3" w:name="_Toc436994093"/>
    </w:p>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sz w:val="21"/>
          <w:szCs w:val="21"/>
        </w:rPr>
        <w:t>关键内容</w:t>
      </w:r>
    </w:p>
    <w:p>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 招标条件</w:t>
      </w:r>
      <w:bookmarkEnd w:id="3"/>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招标项目国道珲春至阿尔山公路延吉至安图段改建项目已由吉林省发展和改革委员会以《吉林省发展改革委关于国道珲春至阿尔山公路延吉至安图段改建项目工程可行性研究报告的批复》（吉发改审批[2020]115号）批准建设，施工图设计已由吉林省交通运输厅以《吉林省交通运输厅关于国道珲春至阿尔山公路延吉至安图段改建项目一阶段施工</w:t>
      </w:r>
      <w:bookmarkStart w:id="58" w:name="_GoBack"/>
      <w:bookmarkEnd w:id="58"/>
      <w:r>
        <w:rPr>
          <w:rFonts w:hint="eastAsia" w:asciiTheme="minorEastAsia" w:hAnsiTheme="minorEastAsia" w:eastAsiaTheme="minorEastAsia" w:cstheme="minorEastAsia"/>
          <w:color w:val="auto"/>
          <w:sz w:val="21"/>
          <w:szCs w:val="21"/>
        </w:rPr>
        <w:t>图设计的批复》（吉交审批函〔2020〕16号）批准，项目业主为延边珲乌公路改建项目建设办公室，建设资金来自中央投资补贴和地方政府财政性资金，出资比例为67%:33%，招标人为延边珲乌公路改建项目建设办公室，项目已具备招标条件，现对该项目的附属工程（房建、机电、养护、试验检测机构）进行公开招标。</w:t>
      </w:r>
    </w:p>
    <w:p>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bookmarkStart w:id="4" w:name="_Toc436994094"/>
      <w:r>
        <w:rPr>
          <w:rFonts w:hint="eastAsia" w:asciiTheme="minorEastAsia" w:hAnsiTheme="minorEastAsia" w:eastAsiaTheme="minorEastAsia" w:cstheme="minorEastAsia"/>
          <w:b/>
          <w:bCs/>
          <w:color w:val="auto"/>
          <w:sz w:val="21"/>
          <w:szCs w:val="21"/>
        </w:rPr>
        <w:t>2. 项目概况与招标范围</w:t>
      </w:r>
      <w:bookmarkEnd w:id="4"/>
    </w:p>
    <w:p>
      <w:pPr>
        <w:keepNext w:val="0"/>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Theme="minorEastAsia" w:hAnsiTheme="minorEastAsia" w:eastAsiaTheme="minorEastAsia" w:cstheme="minorEastAsia"/>
          <w:color w:val="auto"/>
          <w:sz w:val="21"/>
          <w:szCs w:val="21"/>
        </w:rPr>
      </w:pPr>
      <w:bookmarkStart w:id="5" w:name="_Toc436994095"/>
      <w:bookmarkStart w:id="6" w:name="_Toc257655328"/>
      <w:r>
        <w:rPr>
          <w:rFonts w:hint="eastAsia" w:asciiTheme="minorEastAsia" w:hAnsiTheme="minorEastAsia" w:eastAsiaTheme="minorEastAsia" w:cstheme="minorEastAsia"/>
          <w:color w:val="auto"/>
          <w:sz w:val="21"/>
          <w:szCs w:val="21"/>
        </w:rPr>
        <w:t>2.1 建设地点：吉林省延吉市、龙井市、安图县</w:t>
      </w:r>
    </w:p>
    <w:p>
      <w:pPr>
        <w:keepNext w:val="0"/>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建设规模及技术标准：</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设规模及技术标准：起点位于朝阳川镇西侧，珲阿线与省道三道湾至龙井公路（S504）交叉口处，经由合成村、铜佛村、老头沟镇、宝兴村、五虎岭隧道、石门镇，终点位于安图县城东侧北山村附近。按照二级公路标准改建，全线设计速度60公里/小时，项目路线全长44.540公里。</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提高公路服务功能和品质，在K204+620处设置一处服务区（老头沟服务区），和老头沟养护工区共用场区，场区面积19575平方米，建筑面积1588.08平方米；在K207+310处设置一处变电所（老头沟隧道变电所），场区面积1050平方米，建筑面积220.22平方米。</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 计划工期：</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YAFJ01标段：</w:t>
      </w:r>
      <w:r>
        <w:rPr>
          <w:rFonts w:hint="eastAsia" w:asciiTheme="minorEastAsia" w:hAnsiTheme="minorEastAsia" w:eastAsiaTheme="minorEastAsia" w:cstheme="minorEastAsia"/>
          <w:color w:val="auto"/>
          <w:sz w:val="21"/>
          <w:szCs w:val="21"/>
        </w:rPr>
        <w:t>2021年6月1日～2023年12月31日，943日历天。</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YAJD01</w:t>
      </w:r>
      <w:r>
        <w:rPr>
          <w:rFonts w:hint="eastAsia" w:asciiTheme="minorEastAsia" w:hAnsiTheme="minorEastAsia" w:eastAsiaTheme="minorEastAsia" w:cstheme="minorEastAsia"/>
          <w:color w:val="auto"/>
          <w:sz w:val="21"/>
          <w:szCs w:val="21"/>
        </w:rPr>
        <w:t>标段：2023年4月20日～2023年12月31日，255日历天。</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YAYH01标段：2021年6月1日～2023年12月31日，943日历天。</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YASY01标段：自合同签订之日始至工程竣工验收之日止。</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 招标范围及标段划分：本次招标划分为4个标段，具体如下：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50"/>
        <w:gridCol w:w="2535"/>
        <w:gridCol w:w="1211"/>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776"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50"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标段名称</w:t>
            </w:r>
          </w:p>
        </w:tc>
        <w:tc>
          <w:tcPr>
            <w:tcW w:w="2535"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桩号</w:t>
            </w:r>
          </w:p>
        </w:tc>
        <w:tc>
          <w:tcPr>
            <w:tcW w:w="121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数量及单位</w:t>
            </w:r>
          </w:p>
        </w:tc>
        <w:tc>
          <w:tcPr>
            <w:tcW w:w="4200"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主要施工内容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76"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050"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YAFJ01</w:t>
            </w:r>
          </w:p>
        </w:tc>
        <w:tc>
          <w:tcPr>
            <w:tcW w:w="2535"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老头沟服务区（含养护工区）和老头沟隧道变电所</w:t>
            </w:r>
          </w:p>
        </w:tc>
        <w:tc>
          <w:tcPr>
            <w:tcW w:w="121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2处</w:t>
            </w:r>
          </w:p>
        </w:tc>
        <w:tc>
          <w:tcPr>
            <w:tcW w:w="4200" w:type="dxa"/>
            <w:noWrap w:val="0"/>
            <w:vAlign w:val="center"/>
          </w:tcPr>
          <w:p>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房屋建筑工程：建筑工程、电气工程、采暖工程、给排水工程、通风空调工程施工；</w:t>
            </w:r>
          </w:p>
          <w:p>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附属工程（公路部分）：服务区(含养护工区)和变电所场区的路基、路面、路缘石、围墙、大门、售卖亭、绿化、供电工程等施工。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trPr>
        <w:tc>
          <w:tcPr>
            <w:tcW w:w="776"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050"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bookmarkStart w:id="7" w:name="_Hlk65065357"/>
            <w:r>
              <w:rPr>
                <w:rFonts w:hint="eastAsia" w:asciiTheme="minorEastAsia" w:hAnsiTheme="minorEastAsia" w:eastAsiaTheme="minorEastAsia" w:cstheme="minorEastAsia"/>
                <w:color w:val="auto"/>
                <w:kern w:val="0"/>
                <w:sz w:val="21"/>
                <w:szCs w:val="21"/>
              </w:rPr>
              <w:t>YAJD01</w:t>
            </w:r>
            <w:bookmarkEnd w:id="7"/>
          </w:p>
        </w:tc>
        <w:tc>
          <w:tcPr>
            <w:tcW w:w="2535"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老头沟隧道（K207+517～K208+420）、</w:t>
            </w:r>
          </w:p>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白石屯隧道（K211+438～K211+635）</w:t>
            </w:r>
          </w:p>
        </w:tc>
        <w:tc>
          <w:tcPr>
            <w:tcW w:w="121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1.1km</w:t>
            </w:r>
          </w:p>
        </w:tc>
        <w:tc>
          <w:tcPr>
            <w:tcW w:w="4200" w:type="dxa"/>
            <w:noWrap w:val="0"/>
            <w:vAlign w:val="center"/>
          </w:tcPr>
          <w:p>
            <w:pPr>
              <w:keepNext w:val="0"/>
              <w:keepLines w:val="0"/>
              <w:pageBreakBefore w:val="0"/>
              <w:widowControl/>
              <w:kinsoku/>
              <w:wordWrap/>
              <w:overflowPunct/>
              <w:topLinePunct w:val="0"/>
              <w:bidi w:val="0"/>
              <w:spacing w:line="360" w:lineRule="exact"/>
              <w:ind w:left="-50" w:right="-5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隧道工程的监控系统、通风、照明、供配电、消防等系统及配套设备的机电施工及安装。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76"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050"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YAYH01</w:t>
            </w:r>
          </w:p>
        </w:tc>
        <w:tc>
          <w:tcPr>
            <w:tcW w:w="2535"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K206+500～K219+700</w:t>
            </w:r>
          </w:p>
        </w:tc>
        <w:tc>
          <w:tcPr>
            <w:tcW w:w="121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13.2km</w:t>
            </w:r>
          </w:p>
        </w:tc>
        <w:tc>
          <w:tcPr>
            <w:tcW w:w="4200" w:type="dxa"/>
            <w:noWrap w:val="0"/>
            <w:vAlign w:val="center"/>
          </w:tcPr>
          <w:p>
            <w:pPr>
              <w:keepNext w:val="0"/>
              <w:keepLines w:val="0"/>
              <w:pageBreakBefore w:val="0"/>
              <w:widowControl/>
              <w:kinsoku/>
              <w:wordWrap/>
              <w:overflowPunct/>
              <w:topLinePunct w:val="0"/>
              <w:bidi w:val="0"/>
              <w:spacing w:line="360" w:lineRule="exact"/>
              <w:ind w:left="-50" w:right="-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煤炭岭绕行道路小修保养。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776"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050"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YASY01</w:t>
            </w:r>
          </w:p>
        </w:tc>
        <w:tc>
          <w:tcPr>
            <w:tcW w:w="2535"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K189+180～K233+845</w:t>
            </w:r>
          </w:p>
        </w:tc>
        <w:tc>
          <w:tcPr>
            <w:tcW w:w="121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44.54km</w:t>
            </w:r>
          </w:p>
        </w:tc>
        <w:tc>
          <w:tcPr>
            <w:tcW w:w="4200" w:type="dxa"/>
            <w:noWrap w:val="0"/>
            <w:vAlign w:val="center"/>
          </w:tcPr>
          <w:p>
            <w:pPr>
              <w:keepNext w:val="0"/>
              <w:keepLines w:val="0"/>
              <w:pageBreakBefore w:val="0"/>
              <w:widowControl/>
              <w:kinsoku/>
              <w:wordWrap/>
              <w:overflowPunct/>
              <w:topLinePunct w:val="0"/>
              <w:bidi w:val="0"/>
              <w:spacing w:line="360" w:lineRule="exact"/>
              <w:ind w:left="-50" w:right="-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1.承担施工现场技术服务所必需的试验检测工作：如对原材料、施工质量、试验数据抽检等服务；</w:t>
            </w:r>
          </w:p>
          <w:p>
            <w:pPr>
              <w:keepNext w:val="0"/>
              <w:keepLines w:val="0"/>
              <w:pageBreakBefore w:val="0"/>
              <w:widowControl/>
              <w:kinsoku/>
              <w:wordWrap/>
              <w:overflowPunct/>
              <w:topLinePunct w:val="0"/>
              <w:bidi w:val="0"/>
              <w:spacing w:line="360" w:lineRule="exact"/>
              <w:ind w:left="-50" w:right="-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2.承担本建设项目全部工程的非常规试验检测和竣（交）工试验检测工作。</w:t>
            </w:r>
          </w:p>
        </w:tc>
      </w:tr>
      <w:bookmarkEnd w:id="5"/>
      <w:bookmarkEnd w:id="6"/>
    </w:tbl>
    <w:p>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bookmarkStart w:id="8" w:name="_Toc455238557"/>
      <w:r>
        <w:rPr>
          <w:rFonts w:hint="eastAsia" w:asciiTheme="minorEastAsia" w:hAnsiTheme="minorEastAsia" w:eastAsiaTheme="minorEastAsia" w:cstheme="minorEastAsia"/>
          <w:b/>
          <w:bCs/>
          <w:color w:val="auto"/>
          <w:sz w:val="21"/>
          <w:szCs w:val="21"/>
        </w:rPr>
        <w:t>3．投标人资格要求</w:t>
      </w:r>
      <w:bookmarkEnd w:id="8"/>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bookmarkStart w:id="9" w:name="_Toc452639674"/>
      <w:bookmarkStart w:id="10" w:name="_Toc452639770"/>
      <w:bookmarkStart w:id="11" w:name="_Toc455238559"/>
      <w:r>
        <w:rPr>
          <w:rFonts w:hint="eastAsia" w:asciiTheme="minorEastAsia" w:hAnsiTheme="minorEastAsia" w:eastAsiaTheme="minorEastAsia" w:cstheme="minorEastAsia"/>
          <w:color w:val="auto"/>
          <w:sz w:val="21"/>
          <w:szCs w:val="21"/>
        </w:rPr>
        <w:t>3.1本次招标要求投标人须具备以下条件，并在人员、设备、资金等方面具备相应的施工能力。</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53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标段</w:t>
            </w:r>
          </w:p>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名称</w:t>
            </w:r>
          </w:p>
        </w:tc>
        <w:tc>
          <w:tcPr>
            <w:tcW w:w="4536"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资质要求</w:t>
            </w:r>
          </w:p>
        </w:tc>
        <w:tc>
          <w:tcPr>
            <w:tcW w:w="4252" w:type="dxa"/>
            <w:noWrap w:val="0"/>
            <w:vAlign w:val="center"/>
          </w:tcPr>
          <w:p>
            <w:pPr>
              <w:keepNext w:val="0"/>
              <w:keepLines w:val="0"/>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bookmarkStart w:id="12" w:name="_Hlk62045441"/>
            <w:r>
              <w:rPr>
                <w:rFonts w:hint="eastAsia" w:asciiTheme="minorEastAsia" w:hAnsiTheme="minorEastAsia" w:eastAsiaTheme="minorEastAsia" w:cstheme="minorEastAsia"/>
                <w:color w:val="auto"/>
                <w:kern w:val="0"/>
                <w:sz w:val="21"/>
                <w:szCs w:val="21"/>
              </w:rPr>
              <w:t>YAFJ01</w:t>
            </w:r>
          </w:p>
        </w:tc>
        <w:tc>
          <w:tcPr>
            <w:tcW w:w="4536"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1.建筑工程施工总承包三级或三级以上资质；</w:t>
            </w:r>
          </w:p>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2.公路工程施工总承包三级或三级以上资质。</w:t>
            </w:r>
          </w:p>
        </w:tc>
        <w:tc>
          <w:tcPr>
            <w:tcW w:w="4252" w:type="dxa"/>
            <w:noWrap w:val="0"/>
            <w:vAlign w:val="top"/>
          </w:tcPr>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2018年1月1日后完成过一项工程造价不低于</w:t>
            </w:r>
            <w:r>
              <w:rPr>
                <w:rFonts w:hint="eastAsia" w:asciiTheme="minorEastAsia" w:hAnsiTheme="minorEastAsia" w:eastAsiaTheme="minorEastAsia" w:cstheme="minorEastAsia"/>
                <w:color w:val="auto"/>
                <w:sz w:val="21"/>
                <w:szCs w:val="21"/>
                <w:lang w:eastAsia="zh-CN"/>
              </w:rPr>
              <w:t>500万元的类似建筑工程施工业绩</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bookmarkStart w:id="13" w:name="_Hlk67471283"/>
            <w:r>
              <w:rPr>
                <w:rFonts w:hint="eastAsia" w:asciiTheme="minorEastAsia" w:hAnsiTheme="minorEastAsia" w:eastAsiaTheme="minorEastAsia" w:cstheme="minorEastAsia"/>
                <w:color w:val="auto"/>
                <w:kern w:val="0"/>
                <w:sz w:val="21"/>
                <w:szCs w:val="21"/>
              </w:rPr>
              <w:t>YAJD01</w:t>
            </w:r>
            <w:bookmarkEnd w:id="13"/>
          </w:p>
        </w:tc>
        <w:tc>
          <w:tcPr>
            <w:tcW w:w="4536"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公路交通工程（公路机电工程分项）专业承包一级资质</w:t>
            </w:r>
          </w:p>
        </w:tc>
        <w:tc>
          <w:tcPr>
            <w:tcW w:w="4252" w:type="dxa"/>
            <w:noWrap w:val="0"/>
            <w:vAlign w:val="top"/>
          </w:tcPr>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2016年1月1日以后累计完成过不少于1000米二级或二级以上公路隧道机电工程施工业绩。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YAYH01</w:t>
            </w:r>
          </w:p>
        </w:tc>
        <w:tc>
          <w:tcPr>
            <w:tcW w:w="4536"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吉林省公路养护工程施工三类甲级（或乙级）资质</w:t>
            </w:r>
          </w:p>
        </w:tc>
        <w:tc>
          <w:tcPr>
            <w:tcW w:w="4252" w:type="dxa"/>
            <w:noWrap w:val="0"/>
            <w:vAlign w:val="top"/>
          </w:tcPr>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2016年1月1日以后累计完成过不少于15公里二级或二级以上公路</w:t>
            </w:r>
            <w:r>
              <w:rPr>
                <w:rFonts w:hint="eastAsia" w:asciiTheme="minorEastAsia" w:hAnsiTheme="minorEastAsia" w:eastAsiaTheme="minorEastAsia" w:cstheme="minorEastAsia"/>
                <w:color w:val="auto"/>
                <w:sz w:val="21"/>
                <w:szCs w:val="21"/>
                <w:lang w:eastAsia="zh-CN"/>
              </w:rPr>
              <w:t>工程或小修保养施工业绩</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widowControl/>
              <w:kinsoku/>
              <w:wordWrap/>
              <w:overflowPunct/>
              <w:topLinePunct w:val="0"/>
              <w:bidi w:val="0"/>
              <w:spacing w:line="360" w:lineRule="exact"/>
              <w:ind w:left="-50" w:right="-50"/>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YASY01</w:t>
            </w:r>
          </w:p>
        </w:tc>
        <w:tc>
          <w:tcPr>
            <w:tcW w:w="4536"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公路工程综合甲级试验检测资质，通过省级以上质量监督部门计量认证</w:t>
            </w:r>
          </w:p>
        </w:tc>
        <w:tc>
          <w:tcPr>
            <w:tcW w:w="4252" w:type="dxa"/>
            <w:noWrap w:val="0"/>
            <w:vAlign w:val="top"/>
          </w:tcPr>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2016年1月1日累计完成不少于45公里二级以上（含二级）公路工程试验检测业绩。</w:t>
            </w:r>
          </w:p>
        </w:tc>
      </w:tr>
      <w:bookmarkEnd w:id="12"/>
    </w:tbl>
    <w:p>
      <w:pPr>
        <w:pStyle w:val="6"/>
        <w:keepNext w:val="0"/>
        <w:keepLines w:val="0"/>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①建筑工程施工业绩：吉林省业绩以“吉林省建筑市场监管公共服务平台”网址上公布的企业相关业绩信息为准。省域外的业绩认定，必须是通过互联网且不需任何权限即可在工程所在地的省级建筑市场监管一体化工作平台查询得到，而且查询到的数据应能满足招标项目的要求，其他网站查询的业绩不予认定。</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②机电工程施工业绩应为国内新建或改扩建公路施工业绩，且应是已列入交通运输主管部门“公路建设市场信用信息管理系统”并公开的主包已建业绩或分包已建业绩。</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fldChar w:fldCharType="begin"/>
      </w:r>
      <w:r>
        <w:rPr>
          <w:rFonts w:hint="eastAsia" w:asciiTheme="minorEastAsia" w:hAnsiTheme="minorEastAsia" w:eastAsiaTheme="minorEastAsia" w:cstheme="minorEastAsia"/>
          <w:color w:val="auto"/>
          <w:kern w:val="0"/>
          <w:sz w:val="21"/>
          <w:szCs w:val="21"/>
        </w:rPr>
        <w:instrText xml:space="preserve"> = 3 \* GB3 </w:instrText>
      </w:r>
      <w:r>
        <w:rPr>
          <w:rFonts w:hint="eastAsia" w:asciiTheme="minorEastAsia" w:hAnsiTheme="minorEastAsia" w:eastAsiaTheme="minorEastAsia" w:cstheme="minorEastAsia"/>
          <w:color w:val="auto"/>
          <w:kern w:val="0"/>
          <w:sz w:val="21"/>
          <w:szCs w:val="21"/>
        </w:rPr>
        <w:fldChar w:fldCharType="separate"/>
      </w:r>
      <w:r>
        <w:rPr>
          <w:rFonts w:hint="eastAsia" w:asciiTheme="minorEastAsia" w:hAnsiTheme="minorEastAsia" w:eastAsiaTheme="minorEastAsia" w:cstheme="minorEastAsia"/>
          <w:color w:val="auto"/>
          <w:kern w:val="0"/>
          <w:sz w:val="21"/>
          <w:szCs w:val="21"/>
        </w:rPr>
        <w:t>③</w:t>
      </w:r>
      <w:r>
        <w:rPr>
          <w:rFonts w:hint="eastAsia" w:asciiTheme="minorEastAsia" w:hAnsiTheme="minorEastAsia" w:eastAsiaTheme="minorEastAsia" w:cstheme="minorEastAsia"/>
          <w:color w:val="auto"/>
          <w:kern w:val="0"/>
          <w:sz w:val="21"/>
          <w:szCs w:val="21"/>
        </w:rPr>
        <w:fldChar w:fldCharType="end"/>
      </w:r>
      <w:bookmarkStart w:id="14" w:name="_Hlk67472229"/>
      <w:r>
        <w:rPr>
          <w:rFonts w:hint="eastAsia" w:asciiTheme="minorEastAsia" w:hAnsiTheme="minorEastAsia" w:eastAsiaTheme="minorEastAsia" w:cstheme="minorEastAsia"/>
          <w:color w:val="auto"/>
          <w:kern w:val="0"/>
          <w:sz w:val="21"/>
          <w:szCs w:val="21"/>
        </w:rPr>
        <w:t>YAFJ01标段</w:t>
      </w:r>
      <w:bookmarkEnd w:id="14"/>
      <w:r>
        <w:rPr>
          <w:rFonts w:hint="eastAsia" w:asciiTheme="minorEastAsia" w:hAnsiTheme="minorEastAsia" w:eastAsiaTheme="minorEastAsia" w:cstheme="minorEastAsia"/>
          <w:color w:val="auto"/>
          <w:kern w:val="0"/>
          <w:sz w:val="21"/>
          <w:szCs w:val="21"/>
        </w:rPr>
        <w:t>业绩完成时间以竣工时间为准、YAJD01标段业绩完成时间以交工时间为准；YAYH01、YASY01标段业绩完成时间以合同完成时间为准。</w:t>
      </w:r>
    </w:p>
    <w:p>
      <w:pPr>
        <w:keepNext w:val="0"/>
        <w:keepLines w:val="0"/>
        <w:pageBreakBefore w:val="0"/>
        <w:kinsoku/>
        <w:wordWrap/>
        <w:overflowPunct/>
        <w:topLinePunct w:val="0"/>
        <w:bidi w:val="0"/>
        <w:adjustRightInd w:val="0"/>
        <w:snapToGrid w:val="0"/>
        <w:spacing w:line="360" w:lineRule="exact"/>
        <w:ind w:firstLine="424" w:firstLineChars="202"/>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资质为公路工程施工总承包一级资质、特级资质或公路交通工程（公路机电工程分项）专业承包一级资质的投标人应进入交通运输部“全国公路建设市场信用信息管理系统（https://glxy.mot.gov.cn）”中的施工企业名录，且投标人名称和资质与该名录中的相应企业名称和资质完全一致。</w:t>
      </w:r>
    </w:p>
    <w:p>
      <w:pPr>
        <w:keepNext w:val="0"/>
        <w:keepLines w:val="0"/>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3.2本次招标YAFJ01标段</w:t>
      </w:r>
      <w:r>
        <w:rPr>
          <w:rFonts w:hint="eastAsia" w:asciiTheme="minorEastAsia" w:hAnsiTheme="minorEastAsia" w:eastAsiaTheme="minorEastAsia" w:cstheme="minorEastAsia"/>
          <w:color w:val="auto"/>
          <w:sz w:val="21"/>
          <w:szCs w:val="21"/>
          <w:u w:val="single"/>
        </w:rPr>
        <w:t xml:space="preserve"> 接受 </w:t>
      </w:r>
      <w:r>
        <w:rPr>
          <w:rFonts w:hint="eastAsia" w:asciiTheme="minorEastAsia" w:hAnsiTheme="minorEastAsia" w:eastAsiaTheme="minorEastAsia" w:cstheme="minorEastAsia"/>
          <w:color w:val="auto"/>
          <w:sz w:val="21"/>
          <w:szCs w:val="21"/>
        </w:rPr>
        <w:t>联合体投标，其他标段</w:t>
      </w:r>
      <w:r>
        <w:rPr>
          <w:rFonts w:hint="eastAsia" w:asciiTheme="minorEastAsia" w:hAnsiTheme="minorEastAsia" w:eastAsiaTheme="minorEastAsia" w:cstheme="minorEastAsia"/>
          <w:color w:val="auto"/>
          <w:sz w:val="21"/>
          <w:szCs w:val="21"/>
          <w:u w:val="single"/>
        </w:rPr>
        <w:t xml:space="preserve"> 不接受 </w:t>
      </w:r>
      <w:r>
        <w:rPr>
          <w:rFonts w:hint="eastAsia" w:asciiTheme="minorEastAsia" w:hAnsiTheme="minorEastAsia" w:eastAsiaTheme="minorEastAsia" w:cstheme="minorEastAsia"/>
          <w:color w:val="auto"/>
          <w:sz w:val="21"/>
          <w:szCs w:val="21"/>
        </w:rPr>
        <w:t>联合体投标。YAFJ01标段以联合体投标的，应满足下列要求：</w:t>
      </w:r>
    </w:p>
    <w:p>
      <w:pPr>
        <w:keepNext w:val="0"/>
        <w:keepLines w:val="0"/>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（1）联合体成员数量不得超过2家。</w:t>
      </w:r>
    </w:p>
    <w:p>
      <w:pPr>
        <w:keepNext w:val="0"/>
        <w:keepLines w:val="0"/>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（2）联合体牵头人至少应具备建筑工程施工总承包三级或三级以上资质，并承担房屋建筑工程的施工，联合体成员只能承担附属工程（公路部分）的施工。</w:t>
      </w:r>
    </w:p>
    <w:p>
      <w:pPr>
        <w:keepNext w:val="0"/>
        <w:keepLines w:val="0"/>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 每个投标人最多可对1个标段投标，每个投标人允许中1个标段。</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 与招标人存在利害关系可能影响招标公正性的单位，不得参加投标。单位负责人为同一人或存在控股、管理关系的不同单位，不得同时参加同一标段投标，否则，相关投标均无效。</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 在“信用中国”网站（https://www.creditchina.gov.cn/）中被列入失信被执行人名单的投标人，不得参加投标。</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vertAlign w:val="subscript"/>
        </w:rPr>
      </w:pPr>
      <w:r>
        <w:rPr>
          <w:rFonts w:hint="eastAsia" w:asciiTheme="minorEastAsia" w:hAnsiTheme="minorEastAsia" w:eastAsiaTheme="minorEastAsia" w:cstheme="minorEastAsia"/>
          <w:color w:val="auto"/>
          <w:sz w:val="21"/>
          <w:szCs w:val="21"/>
        </w:rPr>
        <w:t>3.6 YAFJ01标段：外省入吉建筑企业（仅指联合体牵头人）应按照《吉林省入吉建筑企业信息登记管理办法》文件要求办理入吉建筑业企业信息登记后方可参加投标。</w:t>
      </w:r>
    </w:p>
    <w:bookmarkEnd w:id="9"/>
    <w:bookmarkEnd w:id="10"/>
    <w:bookmarkEnd w:id="11"/>
    <w:p>
      <w:pPr>
        <w:keepNext w:val="0"/>
        <w:keepLines w:val="0"/>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bookmarkStart w:id="15" w:name="_Toc184704556"/>
      <w:r>
        <w:rPr>
          <w:rFonts w:hint="eastAsia" w:asciiTheme="minorEastAsia" w:hAnsiTheme="minorEastAsia" w:eastAsiaTheme="minorEastAsia" w:cstheme="minorEastAsia"/>
          <w:b/>
          <w:bCs/>
          <w:color w:val="auto"/>
          <w:sz w:val="21"/>
          <w:szCs w:val="21"/>
        </w:rPr>
        <w:t>4．</w:t>
      </w:r>
      <w:bookmarkEnd w:id="15"/>
      <w:r>
        <w:rPr>
          <w:rFonts w:hint="eastAsia" w:asciiTheme="minorEastAsia" w:hAnsiTheme="minorEastAsia" w:eastAsiaTheme="minorEastAsia" w:cstheme="minorEastAsia"/>
          <w:b/>
          <w:bCs/>
          <w:color w:val="auto"/>
          <w:sz w:val="21"/>
          <w:szCs w:val="21"/>
        </w:rPr>
        <w:t>评标办法</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b/>
          <w:bCs/>
          <w:color w:val="auto"/>
          <w:sz w:val="21"/>
          <w:szCs w:val="21"/>
        </w:rPr>
      </w:pPr>
      <w:bookmarkStart w:id="16" w:name="_Toc184704558"/>
      <w:r>
        <w:rPr>
          <w:rFonts w:hint="eastAsia" w:asciiTheme="minorEastAsia" w:hAnsiTheme="minorEastAsia" w:eastAsiaTheme="minorEastAsia" w:cstheme="minorEastAsia"/>
          <w:color w:val="auto"/>
          <w:sz w:val="21"/>
          <w:szCs w:val="21"/>
        </w:rPr>
        <w:t>本次招标YAFJ01、</w:t>
      </w:r>
      <w:r>
        <w:rPr>
          <w:rFonts w:hint="eastAsia" w:asciiTheme="minorEastAsia" w:hAnsiTheme="minorEastAsia" w:eastAsiaTheme="minorEastAsia" w:cstheme="minorEastAsia"/>
          <w:color w:val="auto"/>
          <w:kern w:val="0"/>
          <w:sz w:val="21"/>
          <w:szCs w:val="21"/>
        </w:rPr>
        <w:t>YAJD01、YAYH01标段</w:t>
      </w:r>
      <w:r>
        <w:rPr>
          <w:rFonts w:hint="eastAsia" w:asciiTheme="minorEastAsia" w:hAnsiTheme="minorEastAsia" w:eastAsiaTheme="minorEastAsia" w:cstheme="minorEastAsia"/>
          <w:color w:val="auto"/>
          <w:sz w:val="21"/>
          <w:szCs w:val="21"/>
        </w:rPr>
        <w:t>采用</w:t>
      </w:r>
      <w:r>
        <w:rPr>
          <w:rFonts w:hint="eastAsia" w:asciiTheme="minorEastAsia" w:hAnsiTheme="minorEastAsia" w:eastAsiaTheme="minorEastAsia" w:cstheme="minorEastAsia"/>
          <w:b/>
          <w:bCs/>
          <w:color w:val="auto"/>
          <w:sz w:val="21"/>
          <w:szCs w:val="21"/>
        </w:rPr>
        <w:t>技术评分最低标价法</w:t>
      </w:r>
      <w:r>
        <w:rPr>
          <w:rFonts w:hint="eastAsia" w:asciiTheme="minorEastAsia" w:hAnsiTheme="minorEastAsia" w:eastAsiaTheme="minorEastAsia" w:cstheme="minorEastAsia"/>
          <w:color w:val="auto"/>
          <w:sz w:val="21"/>
          <w:szCs w:val="21"/>
        </w:rPr>
        <w:t>评标</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kern w:val="0"/>
          <w:sz w:val="21"/>
          <w:szCs w:val="21"/>
        </w:rPr>
        <w:t>YASY01标段采用</w:t>
      </w:r>
      <w:r>
        <w:rPr>
          <w:rFonts w:hint="eastAsia" w:asciiTheme="minorEastAsia" w:hAnsiTheme="minorEastAsia" w:eastAsiaTheme="minorEastAsia" w:cstheme="minorEastAsia"/>
          <w:b/>
          <w:bCs/>
          <w:color w:val="auto"/>
          <w:kern w:val="0"/>
          <w:sz w:val="21"/>
          <w:szCs w:val="21"/>
        </w:rPr>
        <w:t>综合评估法</w:t>
      </w:r>
      <w:r>
        <w:rPr>
          <w:rFonts w:hint="eastAsia" w:asciiTheme="minorEastAsia" w:hAnsiTheme="minorEastAsia" w:eastAsiaTheme="minorEastAsia" w:cstheme="minorEastAsia"/>
          <w:color w:val="auto"/>
          <w:sz w:val="21"/>
          <w:szCs w:val="21"/>
        </w:rPr>
        <w:t>评标。</w:t>
      </w:r>
    </w:p>
    <w:bookmarkEnd w:id="16"/>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bookmarkStart w:id="17" w:name="_Toc184704559"/>
      <w:r>
        <w:rPr>
          <w:rFonts w:hint="eastAsia" w:asciiTheme="minorEastAsia" w:hAnsiTheme="minorEastAsia" w:eastAsiaTheme="minorEastAsia" w:cstheme="minorEastAsia"/>
          <w:b/>
          <w:sz w:val="21"/>
          <w:szCs w:val="21"/>
        </w:rPr>
        <w:t>5．招标文件的获取</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5.1请</w:t>
      </w:r>
      <w:r>
        <w:rPr>
          <w:rFonts w:hint="eastAsia" w:asciiTheme="minorEastAsia" w:hAnsiTheme="minorEastAsia" w:eastAsiaTheme="minorEastAsia" w:cstheme="minorEastAsia"/>
          <w:color w:val="000000"/>
          <w:sz w:val="21"/>
          <w:szCs w:val="21"/>
          <w:highlight w:val="none"/>
        </w:rPr>
        <w:t>于2021年4月</w:t>
      </w:r>
      <w:r>
        <w:rPr>
          <w:rFonts w:hint="eastAsia" w:asciiTheme="minorEastAsia" w:hAnsiTheme="minorEastAsia" w:eastAsiaTheme="minorEastAsia" w:cstheme="minorEastAsia"/>
          <w:color w:val="000000"/>
          <w:sz w:val="21"/>
          <w:szCs w:val="21"/>
          <w:highlight w:val="none"/>
          <w:lang w:val="en-US" w:eastAsia="zh-CN"/>
        </w:rPr>
        <w:t>21</w:t>
      </w:r>
      <w:r>
        <w:rPr>
          <w:rFonts w:hint="eastAsia" w:asciiTheme="minorEastAsia" w:hAnsiTheme="minorEastAsia" w:eastAsiaTheme="minorEastAsia" w:cstheme="minorEastAsia"/>
          <w:color w:val="000000"/>
          <w:sz w:val="21"/>
          <w:szCs w:val="21"/>
          <w:highlight w:val="none"/>
        </w:rPr>
        <w:t>日至4月</w:t>
      </w:r>
      <w:r>
        <w:rPr>
          <w:rFonts w:hint="eastAsia" w:asciiTheme="minorEastAsia" w:hAnsiTheme="minorEastAsia" w:eastAsiaTheme="minorEastAsia" w:cstheme="minorEastAsia"/>
          <w:color w:val="000000"/>
          <w:sz w:val="21"/>
          <w:szCs w:val="21"/>
          <w:highlight w:val="none"/>
          <w:lang w:val="en-US" w:eastAsia="zh-CN"/>
        </w:rPr>
        <w:t>26</w:t>
      </w:r>
      <w:r>
        <w:rPr>
          <w:rFonts w:hint="eastAsia" w:asciiTheme="minorEastAsia" w:hAnsiTheme="minorEastAsia" w:eastAsiaTheme="minorEastAsia" w:cstheme="minorEastAsia"/>
          <w:color w:val="000000"/>
          <w:sz w:val="21"/>
          <w:szCs w:val="21"/>
          <w:highlight w:val="none"/>
        </w:rPr>
        <w:t>日</w:t>
      </w:r>
      <w:r>
        <w:rPr>
          <w:rFonts w:hint="eastAsia" w:asciiTheme="minorEastAsia" w:hAnsiTheme="minorEastAsia" w:eastAsiaTheme="minorEastAsia" w:cstheme="minorEastAsia"/>
          <w:color w:val="000000"/>
          <w:sz w:val="21"/>
          <w:szCs w:val="21"/>
        </w:rPr>
        <w:t>（法定公休日、法定节假日除外），每日上午9：00时至16：30时，在吉林省公共资源交易中心四楼（吉林省人民政府政务大厅楼内，长春市人民大街9999号）吉林建宇工程咨询有限公司窗口持单位介绍信购买招标文件。</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5.2招标文件每套售价 1000 元人民币，售后不退。</w:t>
      </w:r>
    </w:p>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6．投标文件的递交及相关事宜</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rPr>
        <w:t>6.1招标人不组织工程现场踏勘，不召开投</w:t>
      </w:r>
      <w:r>
        <w:rPr>
          <w:rFonts w:hint="eastAsia" w:asciiTheme="minorEastAsia" w:hAnsiTheme="minorEastAsia" w:eastAsiaTheme="minorEastAsia" w:cstheme="minorEastAsia"/>
          <w:color w:val="000000"/>
          <w:sz w:val="21"/>
          <w:szCs w:val="21"/>
          <w:highlight w:val="none"/>
        </w:rPr>
        <w:t>标预备会。</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6.2投标文件递交的截止时间（投标截止时间，下同）为2021年</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lang w:val="en-US" w:eastAsia="zh-CN"/>
        </w:rPr>
        <w:t>12</w:t>
      </w:r>
      <w:r>
        <w:rPr>
          <w:rFonts w:hint="eastAsia" w:asciiTheme="minorEastAsia" w:hAnsiTheme="minorEastAsia" w:eastAsiaTheme="minorEastAsia" w:cstheme="minorEastAsia"/>
          <w:color w:val="000000"/>
          <w:sz w:val="21"/>
          <w:szCs w:val="21"/>
          <w:highlight w:val="none"/>
        </w:rPr>
        <w:t>日9时30分，投标人应于当日9时00分至9时30分将投标文件递交至吉林省公共资源交易中心四楼开标室（吉林省人民政府政务大厅楼内，长春市人民大街9999号）。</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6.3 逾期送达的、未送达指定地点的或不按照招标文件要求密封的投标文件，招标人将予以拒收。</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highlight w:val="none"/>
        </w:rPr>
        <w:t>6.4投标文件第一个信封（商务及技术文件）开标时间：同投标截止时间，开标地点：吉林省公共资源交易中心四楼开标室；投标文件第二个信封（报价文件）开标时间：2021年</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lang w:val="en-US" w:eastAsia="zh-CN"/>
        </w:rPr>
        <w:t>13</w:t>
      </w:r>
      <w:r>
        <w:rPr>
          <w:rFonts w:hint="eastAsia" w:asciiTheme="minorEastAsia" w:hAnsiTheme="minorEastAsia" w:eastAsiaTheme="minorEastAsia" w:cstheme="minorEastAsia"/>
          <w:color w:val="000000"/>
          <w:sz w:val="21"/>
          <w:szCs w:val="21"/>
          <w:highlight w:val="none"/>
        </w:rPr>
        <w:t>日14时00分，</w:t>
      </w:r>
      <w:r>
        <w:rPr>
          <w:rFonts w:hint="eastAsia" w:asciiTheme="minorEastAsia" w:hAnsiTheme="minorEastAsia" w:eastAsiaTheme="minorEastAsia" w:cstheme="minorEastAsia"/>
          <w:color w:val="000000"/>
          <w:sz w:val="21"/>
          <w:szCs w:val="21"/>
        </w:rPr>
        <w:t>开标地点：吉林省公共资源交易中心四楼开标室。</w:t>
      </w:r>
    </w:p>
    <w:bookmarkEnd w:id="1"/>
    <w:bookmarkEnd w:id="17"/>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highlight w:val="none"/>
        </w:rPr>
        <w:t xml:space="preserve">    </w:t>
      </w:r>
      <w:bookmarkEnd w:id="2"/>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pStyle w:val="2"/>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auto"/>
          <w:kern w:val="0"/>
          <w:sz w:val="21"/>
          <w:szCs w:val="21"/>
        </w:rPr>
        <w:t>YAFJ01标段</w:t>
      </w:r>
    </w:p>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sz w:val="21"/>
          <w:szCs w:val="21"/>
          <w:u w:val="none"/>
          <w:lang w:val="en-US" w:eastAsia="zh-CN"/>
        </w:rPr>
      </w:pPr>
      <w:r>
        <w:rPr>
          <w:rFonts w:hint="eastAsia" w:asciiTheme="minorEastAsia" w:hAnsiTheme="minorEastAsia" w:eastAsiaTheme="minorEastAsia" w:cstheme="minorEastAsia"/>
          <w:b w:val="0"/>
          <w:bCs/>
          <w:sz w:val="21"/>
          <w:szCs w:val="21"/>
          <w:u w:val="none"/>
          <w:lang w:val="en-US" w:eastAsia="zh-CN"/>
        </w:rPr>
        <w:t>7.投标人须知前附表</w:t>
      </w:r>
    </w:p>
    <w:tbl>
      <w:tblPr>
        <w:tblStyle w:val="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6"/>
        <w:gridCol w:w="1975"/>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tblHeader/>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条款号</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条款名称</w:t>
            </w:r>
          </w:p>
        </w:tc>
        <w:tc>
          <w:tcPr>
            <w:tcW w:w="6823" w:type="dxa"/>
            <w:noWrap w:val="0"/>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招标人</w:t>
            </w:r>
          </w:p>
        </w:tc>
        <w:tc>
          <w:tcPr>
            <w:tcW w:w="6823" w:type="dxa"/>
            <w:noWrap w:val="0"/>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名称：延边珲乌公路改建项目建设办公室</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地址：吉林省延吉市公园路5568号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联系人：程昭钦</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电话：0433-3135706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代理机构</w:t>
            </w:r>
          </w:p>
        </w:tc>
        <w:tc>
          <w:tcPr>
            <w:tcW w:w="6823" w:type="dxa"/>
            <w:noWrap w:val="0"/>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名称</w:t>
            </w:r>
            <w:r>
              <w:rPr>
                <w:rFonts w:hint="eastAsia" w:asciiTheme="minorEastAsia" w:hAnsiTheme="minorEastAsia" w:eastAsiaTheme="minorEastAsia" w:cstheme="minorEastAsia"/>
                <w:color w:val="auto"/>
                <w:sz w:val="21"/>
                <w:szCs w:val="21"/>
                <w:lang w:val="zh-CN"/>
              </w:rPr>
              <w:t>：吉林建宇工程咨询有限公司</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地址：</w:t>
            </w:r>
            <w:r>
              <w:rPr>
                <w:rFonts w:hint="eastAsia" w:asciiTheme="minorEastAsia" w:hAnsiTheme="minorEastAsia" w:eastAsiaTheme="minorEastAsia" w:cstheme="minorEastAsia"/>
                <w:color w:val="auto"/>
                <w:sz w:val="21"/>
                <w:szCs w:val="21"/>
              </w:rPr>
              <w:t>延吉市人民路2239-3001号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联系人：焦艳</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电话：0433-8316525</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招标项目名称</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国道珲春至阿尔山公路延吉至安图段改建项目附属工程（房建、机电、养护、试验检测机构）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1.1.5</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标段建设地点</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资金来源</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及比例</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中央投资补贴67%；地方政府财政资金33%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落实情况</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招标范围</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1.3.2</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计划工期</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质量要求</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房建工程：符合国家《建筑工程施工质量验收统一标准》（GB50300-2013）及相关标准的合格工程。</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公路工程：标段工程交工验收的质量评定：合格；竣工验收的质量评定：合格。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安全目标</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在项目建设过程中杜绝重大安全责任事故，避免发生较大安全责任事故，控制一般安全责任事故。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投标人资质条件、</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能力和信誉</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资质要求：见附录1</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财务要求：见附录2</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业绩要求：见附录3</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信誉要求：见附录4</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项目经理和项目总工（技术负责人）资格要求：见附录5</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1.4.2</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是否接受</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联合体投标</w:t>
            </w:r>
          </w:p>
        </w:tc>
        <w:tc>
          <w:tcPr>
            <w:tcW w:w="6823" w:type="dxa"/>
            <w:noWrap w:val="0"/>
            <w:vAlign w:val="center"/>
          </w:tcPr>
          <w:p>
            <w:pPr>
              <w:pageBreakBefore w:val="0"/>
              <w:kinsoku/>
              <w:wordWrap/>
              <w:overflowPunct/>
              <w:topLinePunct w:val="0"/>
              <w:bidi w:val="0"/>
              <w:spacing w:before="60" w:beforeLines="25" w:after="60" w:afterLines="25" w:line="360" w:lineRule="exact"/>
              <w:textAlignment w:val="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bdr w:val="single" w:color="auto" w:sz="4" w:space="0"/>
                <w:lang w:val="zh-CN"/>
              </w:rPr>
              <w:t xml:space="preserve">  </w:t>
            </w:r>
            <w:r>
              <w:rPr>
                <w:rFonts w:hint="eastAsia" w:asciiTheme="minorEastAsia" w:hAnsiTheme="minorEastAsia" w:eastAsiaTheme="minorEastAsia" w:cstheme="minorEastAsia"/>
                <w:color w:val="auto"/>
                <w:kern w:val="0"/>
                <w:sz w:val="21"/>
                <w:szCs w:val="21"/>
                <w:lang w:val="zh-CN"/>
              </w:rPr>
              <w:t>不接受</w:t>
            </w:r>
          </w:p>
          <w:p>
            <w:pPr>
              <w:pageBreakBefore w:val="0"/>
              <w:kinsoku/>
              <w:wordWrap/>
              <w:overflowPunct/>
              <w:topLinePunct w:val="0"/>
              <w:bidi w:val="0"/>
              <w:adjustRightInd w:val="0"/>
              <w:snapToGrid w:val="0"/>
              <w:spacing w:before="72" w:beforeLines="30" w:after="72" w:afterLines="3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bdr w:val="single" w:color="auto" w:sz="4" w:space="0"/>
                <w:lang w:val="zh-CN"/>
              </w:rPr>
              <w:t>√</w:t>
            </w:r>
            <w:r>
              <w:rPr>
                <w:rFonts w:hint="eastAsia" w:asciiTheme="minorEastAsia" w:hAnsiTheme="minorEastAsia" w:eastAsiaTheme="minorEastAsia" w:cstheme="minorEastAsia"/>
                <w:color w:val="auto"/>
                <w:kern w:val="0"/>
                <w:sz w:val="21"/>
                <w:szCs w:val="21"/>
                <w:lang w:val="zh-CN"/>
              </w:rPr>
              <w:t>接受，应满足下列要求：见招标公告。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存在的其他</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关联情况</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noWrap w:val="0"/>
            <w:vAlign w:val="center"/>
          </w:tcPr>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投标人不得</w:t>
            </w:r>
          </w:p>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sz w:val="21"/>
                <w:szCs w:val="21"/>
              </w:rPr>
              <w:t>存在的不良状况</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不良信用</w:t>
            </w:r>
          </w:p>
        </w:tc>
        <w:tc>
          <w:tcPr>
            <w:tcW w:w="6823" w:type="dxa"/>
            <w:noWrap w:val="0"/>
            <w:vAlign w:val="center"/>
          </w:tcPr>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lang w:val="zh-CN"/>
              </w:rPr>
              <w:t>本款内容第（6）项修改为：</w:t>
            </w:r>
            <w:r>
              <w:rPr>
                <w:rFonts w:hint="eastAsia" w:asciiTheme="minorEastAsia" w:hAnsiTheme="minorEastAsia" w:eastAsiaTheme="minorEastAsia" w:cstheme="minorEastAsia"/>
                <w:color w:val="auto"/>
                <w:sz w:val="21"/>
                <w:szCs w:val="21"/>
              </w:rPr>
              <w:t xml:space="preserve"> </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（6）投标人或其法定代表人、拟委任的项目经理在近三年内有行贿犯罪行为的；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存在的其他不良</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状况或不良信用</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41"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1.4.5</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施工资质企业名录</w:t>
            </w:r>
          </w:p>
        </w:tc>
        <w:tc>
          <w:tcPr>
            <w:tcW w:w="6823" w:type="dxa"/>
            <w:noWrap w:val="0"/>
            <w:vAlign w:val="center"/>
          </w:tcPr>
          <w:p>
            <w:pPr>
              <w:pStyle w:val="6"/>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建筑工程资质投标人（仅指联合体牵头人）应</w:t>
            </w:r>
            <w:r>
              <w:rPr>
                <w:rFonts w:hint="eastAsia" w:asciiTheme="minorEastAsia" w:hAnsiTheme="minorEastAsia" w:eastAsiaTheme="minorEastAsia" w:cstheme="minorEastAsia"/>
                <w:color w:val="auto"/>
                <w:sz w:val="21"/>
                <w:szCs w:val="21"/>
              </w:rPr>
              <w:t>在“吉林省建筑市场监管公共服务平台”网址上公布的企业相关信息，</w:t>
            </w:r>
            <w:r>
              <w:rPr>
                <w:rFonts w:hint="eastAsia" w:asciiTheme="minorEastAsia" w:hAnsiTheme="minorEastAsia" w:eastAsiaTheme="minorEastAsia" w:cstheme="minorEastAsia"/>
                <w:color w:val="auto"/>
                <w:sz w:val="21"/>
                <w:szCs w:val="21"/>
                <w:lang w:val="zh-CN"/>
              </w:rPr>
              <w:t>且投标人名称和资质与该平台中的相应企业名称和资质完全一致。</w:t>
            </w:r>
          </w:p>
          <w:p>
            <w:pPr>
              <w:pStyle w:val="6"/>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公路工程资质投标人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仅指公路工程施工总承包一级资质或特级资质的投标人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应进入交通运输部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全国公路建设市场信用信息管理系统</w:t>
            </w:r>
            <w:r>
              <w:rPr>
                <w:rFonts w:hint="eastAsia" w:asciiTheme="minorEastAsia" w:hAnsiTheme="minorEastAsia" w:eastAsiaTheme="minorEastAsia" w:cstheme="minorEastAsia"/>
                <w:color w:val="auto"/>
                <w:sz w:val="21"/>
                <w:szCs w:val="21"/>
              </w:rPr>
              <w:t>（https://glxy.mot.gov.cn）”</w:t>
            </w:r>
            <w:r>
              <w:rPr>
                <w:rFonts w:hint="eastAsia" w:asciiTheme="minorEastAsia" w:hAnsiTheme="minorEastAsia" w:eastAsiaTheme="minorEastAsia" w:cstheme="minorEastAsia"/>
                <w:color w:val="auto"/>
                <w:sz w:val="21"/>
                <w:szCs w:val="21"/>
                <w:lang w:val="zh-CN"/>
              </w:rPr>
              <w:t>中的施工企业名录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且投标人名称和资质与该名录中的相应企业名称和资质完全一致。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96"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1.10.2</w:t>
            </w:r>
          </w:p>
        </w:tc>
        <w:tc>
          <w:tcPr>
            <w:tcW w:w="1975"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投标人在投标</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预备会提出问题</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分包</w:t>
            </w:r>
          </w:p>
        </w:tc>
        <w:tc>
          <w:tcPr>
            <w:tcW w:w="6823" w:type="dxa"/>
            <w:noWrap w:val="0"/>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构成招标文件的</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其他材料</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建筑工程部分工程量清单另册。</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rPr>
              <w:t>公路工程部分工程量固化清单电子文件（Microsoft Excel文件）、《投标文件关键内容摘录表》（Microsoft Word文件）、图纸扫描件由招标人提供，下载网址</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b/>
                <w:bCs/>
                <w:color w:val="auto"/>
                <w:sz w:val="21"/>
                <w:szCs w:val="21"/>
                <w:lang w:eastAsia="zh-CN"/>
              </w:rPr>
              <w:t>https://pan.baidu.com/s/1Is0JZLLeB_AkVfFtMppvUw，提取码：hpw1</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9" w:hRule="atLeast"/>
        </w:trPr>
        <w:tc>
          <w:tcPr>
            <w:tcW w:w="896"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2.2.1</w:t>
            </w:r>
          </w:p>
        </w:tc>
        <w:tc>
          <w:tcPr>
            <w:tcW w:w="1975"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投标人要求</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澄清招标文件</w:t>
            </w:r>
          </w:p>
        </w:tc>
        <w:tc>
          <w:tcPr>
            <w:tcW w:w="6823" w:type="dxa"/>
            <w:noWrap w:val="0"/>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1"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形式：加盖单位公章的电子文档发送邮件至招标代理机构邮箱yjsjy8543@163.com，并电话通知招标代理机构。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招标文件澄清</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发出的形式</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iCs/>
                <w:color w:val="auto"/>
                <w:sz w:val="21"/>
                <w:szCs w:val="21"/>
              </w:rPr>
            </w:pPr>
            <w:r>
              <w:rPr>
                <w:rFonts w:hint="eastAsia" w:asciiTheme="minorEastAsia" w:hAnsiTheme="minorEastAsia" w:eastAsiaTheme="minorEastAsia" w:cstheme="minorEastAsia"/>
                <w:color w:val="auto"/>
                <w:sz w:val="21"/>
                <w:szCs w:val="21"/>
              </w:rPr>
              <w:t>澄清电子文件发布在</w:t>
            </w:r>
            <w:r>
              <w:rPr>
                <w:rFonts w:hint="eastAsia" w:asciiTheme="minorEastAsia" w:hAnsiTheme="minorEastAsia" w:eastAsiaTheme="minorEastAsia" w:cstheme="minorEastAsia"/>
                <w:color w:val="auto"/>
                <w:kern w:val="0"/>
                <w:sz w:val="21"/>
                <w:szCs w:val="21"/>
              </w:rPr>
              <w:t>“吉林省公共资源交易中心交易平台”，同时发布在</w:t>
            </w:r>
            <w:r>
              <w:rPr>
                <w:rFonts w:hint="eastAsia" w:asciiTheme="minorEastAsia" w:hAnsiTheme="minorEastAsia" w:eastAsiaTheme="minorEastAsia" w:cstheme="minorEastAsia"/>
                <w:color w:val="auto"/>
                <w:sz w:val="21"/>
                <w:szCs w:val="21"/>
              </w:rPr>
              <w:t>网盘：</w:t>
            </w:r>
            <w:r>
              <w:rPr>
                <w:rFonts w:hint="eastAsia" w:asciiTheme="minorEastAsia" w:hAnsiTheme="minorEastAsia" w:eastAsiaTheme="minorEastAsia" w:cstheme="minorEastAsia"/>
                <w:b/>
                <w:bCs/>
                <w:color w:val="auto"/>
                <w:sz w:val="21"/>
                <w:szCs w:val="21"/>
                <w:lang w:eastAsia="zh-CN"/>
              </w:rPr>
              <w:t>https://pan.baidu.com/s/1Is0JZLLeB_AkVfFtMppvUw，提取码：hpw1</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896"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w:t>
            </w:r>
          </w:p>
        </w:tc>
        <w:tc>
          <w:tcPr>
            <w:tcW w:w="1975"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收到招标文件澄清</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时间：收到澄清后24小时内（以招标文件澄清发出时间为准）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形式：加盖单位公章的电子版确认函按要求将回执扫描后，发送至yjsjy8543@163.com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0"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招标文件修改</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发出的方式</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iCs/>
                <w:color w:val="auto"/>
                <w:sz w:val="21"/>
                <w:szCs w:val="21"/>
              </w:rPr>
            </w:pPr>
            <w:r>
              <w:rPr>
                <w:rFonts w:hint="eastAsia" w:asciiTheme="minorEastAsia" w:hAnsiTheme="minorEastAsia" w:eastAsiaTheme="minorEastAsia" w:cstheme="minorEastAsia"/>
                <w:color w:val="auto"/>
                <w:sz w:val="21"/>
                <w:szCs w:val="21"/>
              </w:rPr>
              <w:t>补遗电子文件发布在</w:t>
            </w:r>
            <w:r>
              <w:rPr>
                <w:rFonts w:hint="eastAsia" w:asciiTheme="minorEastAsia" w:hAnsiTheme="minorEastAsia" w:eastAsiaTheme="minorEastAsia" w:cstheme="minorEastAsia"/>
                <w:color w:val="auto"/>
                <w:kern w:val="0"/>
                <w:sz w:val="21"/>
                <w:szCs w:val="21"/>
              </w:rPr>
              <w:t>“吉林省公共资源交易中心交易平台”，同时发布在</w:t>
            </w:r>
            <w:r>
              <w:rPr>
                <w:rFonts w:hint="eastAsia" w:asciiTheme="minorEastAsia" w:hAnsiTheme="minorEastAsia" w:eastAsiaTheme="minorEastAsia" w:cstheme="minorEastAsia"/>
                <w:color w:val="auto"/>
                <w:sz w:val="21"/>
                <w:szCs w:val="21"/>
              </w:rPr>
              <w:t>网盘：</w:t>
            </w:r>
            <w:r>
              <w:rPr>
                <w:rFonts w:hint="eastAsia" w:asciiTheme="minorEastAsia" w:hAnsiTheme="minorEastAsia" w:eastAsiaTheme="minorEastAsia" w:cstheme="minorEastAsia"/>
                <w:b/>
                <w:bCs/>
                <w:color w:val="auto"/>
                <w:sz w:val="21"/>
                <w:szCs w:val="21"/>
                <w:lang w:eastAsia="zh-CN"/>
              </w:rPr>
              <w:t>https://pan.baidu.com/s/1Is0JZLLeB_AkVfFtMppvUw，提取码：hpw1</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trPr>
        <w:tc>
          <w:tcPr>
            <w:tcW w:w="896"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2.3.2</w:t>
            </w:r>
          </w:p>
        </w:tc>
        <w:tc>
          <w:tcPr>
            <w:tcW w:w="1975"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收到招标文件修改</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时间：收到修改后24小时内（以招标文件修改发出时间为准）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投标文件密封形式</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构成投标文件的</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其他资料</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增值税税金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的计算方法</w:t>
            </w:r>
          </w:p>
        </w:tc>
        <w:tc>
          <w:tcPr>
            <w:tcW w:w="6823" w:type="dxa"/>
            <w:noWrap w:val="0"/>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工程量清单</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的填写方式</w:t>
            </w:r>
          </w:p>
        </w:tc>
        <w:tc>
          <w:tcPr>
            <w:tcW w:w="6823" w:type="dxa"/>
            <w:noWrap w:val="0"/>
            <w:vAlign w:val="center"/>
          </w:tcPr>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建筑工程部分报价：投标人应按照《建设工程工程量清单计价规范》（GB50500-2013）及本招标文件中提供的《工程量清单》，采用工程造价软件计算生成、打印以及导出（电子文件）。</w:t>
            </w:r>
          </w:p>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公路工程部分报价：投标人按照招标人提供的工程量固化清单电子文件填写工程量清单下载地址（请注意区分大小写）：</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https://pan.baidu.com/s/1Is0JZLLeB_AkVfFtMppvUw，提取码：hpw1</w:t>
            </w:r>
            <w:r>
              <w:rPr>
                <w:rFonts w:hint="eastAsia" w:asciiTheme="minorEastAsia" w:hAnsiTheme="minorEastAsia" w:eastAsiaTheme="minorEastAsia" w:cstheme="minorEastAsia"/>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823" w:type="dxa"/>
            <w:noWrap w:val="0"/>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bdr w:val="single" w:color="auto" w:sz="4" w:space="0"/>
                <w:lang w:val="zh-CN"/>
              </w:rPr>
              <w:t>√</w:t>
            </w:r>
            <w:r>
              <w:rPr>
                <w:rFonts w:hint="eastAsia" w:asciiTheme="minorEastAsia" w:hAnsiTheme="minorEastAsia" w:eastAsiaTheme="minorEastAsia" w:cstheme="minorEastAsia"/>
                <w:color w:val="auto"/>
                <w:sz w:val="21"/>
                <w:szCs w:val="21"/>
              </w:rPr>
              <w:t>单价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single" w:color="auto" w:sz="4" w:space="0"/>
                <w:lang w:val="zh-CN"/>
              </w:rPr>
              <w:t xml:space="preserve">  </w:t>
            </w:r>
            <w:r>
              <w:rPr>
                <w:rFonts w:hint="eastAsia" w:asciiTheme="minorEastAsia" w:hAnsiTheme="minorEastAsia" w:eastAsiaTheme="minorEastAsia" w:cstheme="minorEastAsia"/>
                <w:color w:val="auto"/>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3.2.6</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是否接受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调价函</w:t>
            </w:r>
          </w:p>
        </w:tc>
        <w:tc>
          <w:tcPr>
            <w:tcW w:w="6823" w:type="dxa"/>
            <w:noWrap w:val="0"/>
            <w:vAlign w:val="center"/>
          </w:tcPr>
          <w:p>
            <w:pPr>
              <w:pStyle w:val="6"/>
              <w:pageBreakBefore w:val="0"/>
              <w:pBdr>
                <w:bottom w:val="none" w:color="auto" w:sz="0" w:space="0"/>
              </w:pBdr>
              <w:tabs>
                <w:tab w:val="clear" w:pos="4153"/>
                <w:tab w:val="clear" w:pos="8306"/>
              </w:tabs>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bdr w:val="single" w:color="auto" w:sz="4" w:space="0"/>
                <w:lang w:val="zh-CN"/>
              </w:rPr>
              <w:t xml:space="preserve">  </w:t>
            </w:r>
            <w:r>
              <w:rPr>
                <w:rFonts w:hint="eastAsia" w:asciiTheme="minorEastAsia" w:hAnsiTheme="minorEastAsia" w:eastAsiaTheme="minorEastAsia" w:cstheme="minorEastAsia"/>
                <w:color w:val="auto"/>
                <w:kern w:val="2"/>
                <w:sz w:val="21"/>
                <w:szCs w:val="21"/>
              </w:rPr>
              <w:t>是</w:t>
            </w:r>
          </w:p>
          <w:p>
            <w:pPr>
              <w:pStyle w:val="6"/>
              <w:pageBreakBefore w:val="0"/>
              <w:pBdr>
                <w:bottom w:val="none" w:color="auto" w:sz="0" w:space="0"/>
              </w:pBdr>
              <w:tabs>
                <w:tab w:val="clear" w:pos="4153"/>
                <w:tab w:val="clear" w:pos="8306"/>
              </w:tabs>
              <w:kinsoku/>
              <w:wordWrap/>
              <w:overflowPunct/>
              <w:topLinePunct w:val="0"/>
              <w:bidi w:val="0"/>
              <w:spacing w:line="360" w:lineRule="exact"/>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bCs/>
                <w:color w:val="auto"/>
                <w:sz w:val="21"/>
                <w:szCs w:val="21"/>
                <w:bdr w:val="single" w:color="auto" w:sz="4" w:space="0"/>
                <w:lang w:val="zh-CN"/>
              </w:rPr>
              <w:t>√</w:t>
            </w:r>
            <w:r>
              <w:rPr>
                <w:rFonts w:hint="eastAsia" w:asciiTheme="minorEastAsia" w:hAnsiTheme="minorEastAsia" w:eastAsiaTheme="minorEastAsia" w:cstheme="minorEastAsia"/>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9" w:hRule="atLeast"/>
        </w:trPr>
        <w:tc>
          <w:tcPr>
            <w:tcW w:w="896" w:type="dxa"/>
            <w:shd w:val="clear" w:color="auto" w:fill="auto"/>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3.2.8</w:t>
            </w:r>
          </w:p>
        </w:tc>
        <w:tc>
          <w:tcPr>
            <w:tcW w:w="1975" w:type="dxa"/>
            <w:shd w:val="clear" w:color="auto" w:fill="auto"/>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最高投标限价</w:t>
            </w:r>
          </w:p>
        </w:tc>
        <w:tc>
          <w:tcPr>
            <w:tcW w:w="6823" w:type="dxa"/>
            <w:shd w:val="clear" w:color="auto" w:fill="FFFFFF"/>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有，最高投标限价</w:t>
            </w:r>
            <w:r>
              <w:rPr>
                <w:rFonts w:hint="eastAsia" w:asciiTheme="minorEastAsia" w:hAnsiTheme="minorEastAsia" w:eastAsiaTheme="minorEastAsia" w:cstheme="minorEastAsia"/>
                <w:b/>
                <w:bCs/>
                <w:color w:val="auto"/>
                <w:sz w:val="21"/>
                <w:szCs w:val="21"/>
                <w:u w:val="single"/>
              </w:rPr>
              <w:t xml:space="preserve"> 13,</w:t>
            </w:r>
            <w:r>
              <w:rPr>
                <w:rFonts w:hint="eastAsia" w:asciiTheme="minorEastAsia" w:hAnsiTheme="minorEastAsia" w:eastAsiaTheme="minorEastAsia" w:cstheme="minorEastAsia"/>
                <w:b/>
                <w:bCs/>
                <w:color w:val="auto"/>
                <w:sz w:val="21"/>
                <w:szCs w:val="21"/>
                <w:u w:val="single"/>
                <w:lang w:val="en-US" w:eastAsia="zh-CN"/>
              </w:rPr>
              <w:t>137</w:t>
            </w:r>
            <w:r>
              <w:rPr>
                <w:rFonts w:hint="eastAsia" w:asciiTheme="minorEastAsia" w:hAnsiTheme="minorEastAsia" w:eastAsiaTheme="minorEastAsia" w:cstheme="minorEastAsia"/>
                <w:b/>
                <w:bCs/>
                <w:color w:val="auto"/>
                <w:sz w:val="21"/>
                <w:szCs w:val="21"/>
                <w:u w:val="single"/>
              </w:rPr>
              <w:t>,</w:t>
            </w:r>
            <w:r>
              <w:rPr>
                <w:rFonts w:hint="eastAsia" w:asciiTheme="minorEastAsia" w:hAnsiTheme="minorEastAsia" w:eastAsiaTheme="minorEastAsia" w:cstheme="minorEastAsia"/>
                <w:b/>
                <w:bCs/>
                <w:color w:val="auto"/>
                <w:sz w:val="21"/>
                <w:szCs w:val="21"/>
                <w:u w:val="single"/>
                <w:lang w:val="en-US" w:eastAsia="zh-CN"/>
              </w:rPr>
              <w:t>913</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b/>
                <w:bCs/>
                <w:color w:val="auto"/>
                <w:sz w:val="21"/>
                <w:szCs w:val="21"/>
              </w:rPr>
              <w:t>元，</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其中：</w:t>
            </w:r>
            <w:r>
              <w:rPr>
                <w:rFonts w:hint="eastAsia" w:asciiTheme="minorEastAsia" w:hAnsiTheme="minorEastAsia" w:eastAsiaTheme="minorEastAsia" w:cstheme="minorEastAsia"/>
                <w:b/>
                <w:bCs/>
                <w:color w:val="auto"/>
                <w:sz w:val="21"/>
                <w:szCs w:val="21"/>
                <w:lang w:eastAsia="zh-CN"/>
              </w:rPr>
              <w:t>建筑工程部分</w:t>
            </w:r>
            <w:r>
              <w:rPr>
                <w:rFonts w:hint="eastAsia" w:asciiTheme="minorEastAsia" w:hAnsiTheme="minorEastAsia" w:eastAsiaTheme="minorEastAsia" w:cstheme="minorEastAsia"/>
                <w:b/>
                <w:bCs/>
                <w:color w:val="auto"/>
                <w:sz w:val="21"/>
                <w:szCs w:val="21"/>
              </w:rPr>
              <w:t>最高投标限价</w:t>
            </w:r>
            <w:r>
              <w:rPr>
                <w:rFonts w:hint="eastAsia" w:asciiTheme="minorEastAsia" w:hAnsiTheme="minorEastAsia" w:eastAsiaTheme="minorEastAsia" w:cstheme="minorEastAsia"/>
                <w:b/>
                <w:bCs/>
                <w:color w:val="auto"/>
                <w:sz w:val="21"/>
                <w:szCs w:val="21"/>
                <w:u w:val="single"/>
              </w:rPr>
              <w:t xml:space="preserve">  7,</w:t>
            </w:r>
            <w:r>
              <w:rPr>
                <w:rFonts w:hint="eastAsia" w:asciiTheme="minorEastAsia" w:hAnsiTheme="minorEastAsia" w:eastAsiaTheme="minorEastAsia" w:cstheme="minorEastAsia"/>
                <w:b/>
                <w:bCs/>
                <w:color w:val="auto"/>
                <w:sz w:val="21"/>
                <w:szCs w:val="21"/>
                <w:u w:val="single"/>
                <w:lang w:val="en-US" w:eastAsia="zh-CN"/>
              </w:rPr>
              <w:t>660</w:t>
            </w:r>
            <w:r>
              <w:rPr>
                <w:rFonts w:hint="eastAsia" w:asciiTheme="minorEastAsia" w:hAnsiTheme="minorEastAsia" w:eastAsiaTheme="minorEastAsia" w:cstheme="minorEastAsia"/>
                <w:b/>
                <w:bCs/>
                <w:color w:val="auto"/>
                <w:sz w:val="21"/>
                <w:szCs w:val="21"/>
                <w:u w:val="single"/>
              </w:rPr>
              <w:t>,</w:t>
            </w:r>
            <w:r>
              <w:rPr>
                <w:rFonts w:hint="eastAsia" w:asciiTheme="minorEastAsia" w:hAnsiTheme="minorEastAsia" w:eastAsiaTheme="minorEastAsia" w:cstheme="minorEastAsia"/>
                <w:b/>
                <w:bCs/>
                <w:color w:val="auto"/>
                <w:sz w:val="21"/>
                <w:szCs w:val="21"/>
                <w:u w:val="single"/>
                <w:lang w:val="en-US" w:eastAsia="zh-CN"/>
              </w:rPr>
              <w:t>264</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b/>
                <w:bCs/>
                <w:color w:val="auto"/>
                <w:sz w:val="21"/>
                <w:szCs w:val="21"/>
              </w:rPr>
              <w:t>元，</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公路部分最高投标限价</w:t>
            </w:r>
            <w:r>
              <w:rPr>
                <w:rFonts w:hint="eastAsia" w:asciiTheme="minorEastAsia" w:hAnsiTheme="minorEastAsia" w:eastAsiaTheme="minorEastAsia" w:cstheme="minorEastAsia"/>
                <w:b/>
                <w:bCs/>
                <w:color w:val="auto"/>
                <w:sz w:val="21"/>
                <w:szCs w:val="21"/>
                <w:u w:val="single"/>
              </w:rPr>
              <w:t xml:space="preserve"> 5,477,649 </w:t>
            </w:r>
            <w:r>
              <w:rPr>
                <w:rFonts w:hint="eastAsia" w:asciiTheme="minorEastAsia" w:hAnsiTheme="minorEastAsia" w:eastAsiaTheme="minorEastAsia" w:cstheme="minorEastAsia"/>
                <w:b/>
                <w:bCs/>
                <w:color w:val="auto"/>
                <w:sz w:val="21"/>
                <w:szCs w:val="21"/>
              </w:rPr>
              <w:t>元</w:t>
            </w:r>
            <w:r>
              <w:rPr>
                <w:rFonts w:hint="eastAsia" w:asciiTheme="minorEastAsia" w:hAnsiTheme="minorEastAsia" w:eastAsiaTheme="minorEastAsia" w:cstheme="minorEastAsia"/>
                <w:b/>
                <w:bCs/>
                <w:color w:val="auto"/>
                <w:sz w:val="21"/>
                <w:szCs w:val="21"/>
                <w:lang w:eastAsia="zh-CN"/>
              </w:rPr>
              <w:t>（其中含暂列金额</w:t>
            </w:r>
            <w:r>
              <w:rPr>
                <w:rFonts w:hint="eastAsia" w:asciiTheme="minorEastAsia" w:hAnsiTheme="minorEastAsia" w:eastAsiaTheme="minorEastAsia" w:cstheme="minorEastAsia"/>
                <w:b/>
                <w:bCs/>
                <w:color w:val="auto"/>
                <w:sz w:val="21"/>
                <w:szCs w:val="21"/>
                <w:u w:val="single"/>
                <w:lang w:val="en-US" w:eastAsia="zh-CN"/>
              </w:rPr>
              <w:t>159，543</w:t>
            </w:r>
            <w:r>
              <w:rPr>
                <w:rFonts w:hint="eastAsia" w:asciiTheme="minorEastAsia" w:hAnsiTheme="minorEastAsia" w:eastAsiaTheme="minorEastAsia" w:cstheme="minorEastAsia"/>
                <w:b/>
                <w:bCs/>
                <w:color w:val="auto"/>
                <w:sz w:val="21"/>
                <w:szCs w:val="21"/>
                <w:lang w:val="en-US" w:eastAsia="zh-CN"/>
              </w:rPr>
              <w:t>元）</w:t>
            </w:r>
            <w:r>
              <w:rPr>
                <w:rFonts w:hint="eastAsia" w:asciiTheme="minorEastAsia" w:hAnsiTheme="minorEastAsia" w:eastAsiaTheme="minorEastAsia" w:cstheme="minorEastAsia"/>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3.2.9</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投标报价的</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其他要求</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建筑</w:t>
            </w:r>
            <w:r>
              <w:rPr>
                <w:rFonts w:hint="eastAsia" w:asciiTheme="minorEastAsia" w:hAnsiTheme="minorEastAsia" w:eastAsiaTheme="minorEastAsia" w:cstheme="minorEastAsia"/>
                <w:color w:val="auto"/>
                <w:sz w:val="21"/>
                <w:szCs w:val="21"/>
              </w:rPr>
              <w:t>工程投标报价：投标人按现行规定计取规费，其中养老保险费、失业保险费、医疗保险费、增加生育保险费、工伤保险费、住房公积金按人工费的有关规定考虑，结算时，按省建设行政主管部门核发的施工企业（含外埠施工企业）劳保取费证书中核定的标准计取[详见</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吉林省建设工程费用定额</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（JLJD-FY-2019）]。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投标有效期</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是否要求投标人递交投标保证金：要求</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投标保证金的金额：10万元。</w:t>
            </w:r>
          </w:p>
          <w:p>
            <w:pPr>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若采用银行保函，出具保函的银行级别：应由“工商银行、农业银行、中国银行、建设银行、交通银行”五大国有商业银行之一或全国性股份制商业银行开具，银行应为地市级分、支行或以上级别。银行保函复印件装订在投标文件内。原件单独密封在投标保函原件封套中，随同投标文件一起（在递交投标文件截止之前）递交给招标代理机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（2）若采用现金或支票或汇票形式，投标人应在投标截止时间前，将投标保证金由投标人的基本账户一次性汇入并到达招标人指定账户，否则视为投标保证金无效。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招标人指定的银行及账号如下：</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开户银行：中国邮政储蓄银行延吉市公园路支行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账户名称：延边珲乌公路改建项目建设办公室</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    号：100718894520010001</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人：程昭钦</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联系电话：0433-3135706</w:t>
            </w:r>
          </w:p>
          <w:p>
            <w:pPr>
              <w:pageBreakBefore w:val="0"/>
              <w:kinsoku/>
              <w:wordWrap/>
              <w:overflowPunct/>
              <w:topLinePunct w:val="0"/>
              <w:bidi w:val="0"/>
              <w:adjustRightInd w:val="0"/>
              <w:snapToGrid w:val="0"/>
              <w:spacing w:before="120" w:beforeLines="50" w:after="120" w:afterLines="50" w:line="360" w:lineRule="exact"/>
              <w:ind w:firstLine="420" w:firstLineChars="200"/>
              <w:textAlignment w:val="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sz w:val="21"/>
                <w:szCs w:val="21"/>
              </w:rPr>
              <w:t>银行转账业务备注栏填写：延吉安图施工招标XX标段投标保证金。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3.4.3</w:t>
            </w:r>
          </w:p>
        </w:tc>
        <w:tc>
          <w:tcPr>
            <w:tcW w:w="1975"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的利息计算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原则</w:t>
            </w:r>
          </w:p>
        </w:tc>
        <w:tc>
          <w:tcPr>
            <w:tcW w:w="6823" w:type="dxa"/>
            <w:noWrap w:val="0"/>
            <w:vAlign w:val="bottom"/>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（1）计算利息的起始日期为投标截止当日，终止日期为招标人退还投标保证金日期的前一日；</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（2）投标保证金的利息按照第（1)款所述计息时间段内招标人指定汇入银行公告的活期存款利率计付，并扣除招标人汇款手续费；</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投标人应及时向招标人提交退还投标保证金的有关资料：</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（1）基本账户开户证明（指基本账户开户许可证或其他有效的基本账户开户证明）复印件（清晰可辨）；</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（2）给招标人开具的财务收据原件；</w:t>
            </w:r>
          </w:p>
          <w:p>
            <w:pPr>
              <w:pageBreakBefore w:val="0"/>
              <w:kinsoku/>
              <w:wordWrap/>
              <w:overflowPunct/>
              <w:topLinePunct w:val="0"/>
              <w:bidi w:val="0"/>
              <w:adjustRightInd w:val="0"/>
              <w:snapToGrid w:val="0"/>
              <w:spacing w:line="360" w:lineRule="exact"/>
              <w:ind w:firstLine="105" w:firstLine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（3）提供办理人联系方式。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其他可以不予退还</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投标保证金情形</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资格审查资料的</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特殊要求</w:t>
            </w:r>
          </w:p>
        </w:tc>
        <w:tc>
          <w:tcPr>
            <w:tcW w:w="6823" w:type="dxa"/>
            <w:noWrap w:val="0"/>
            <w:vAlign w:val="center"/>
          </w:tcPr>
          <w:p>
            <w:pPr>
              <w:pageBreakBefore w:val="0"/>
              <w:tabs>
                <w:tab w:val="left" w:pos="620"/>
              </w:tabs>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7" w:hRule="atLeast"/>
        </w:trPr>
        <w:tc>
          <w:tcPr>
            <w:tcW w:w="896" w:type="dxa"/>
            <w:noWrap w:val="0"/>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3.5.1</w:t>
            </w:r>
          </w:p>
        </w:tc>
        <w:tc>
          <w:tcPr>
            <w:tcW w:w="1975" w:type="dxa"/>
            <w:noWrap w:val="0"/>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投标人基本情况表</w:t>
            </w:r>
          </w:p>
        </w:tc>
        <w:tc>
          <w:tcPr>
            <w:tcW w:w="6823" w:type="dxa"/>
            <w:noWrap w:val="0"/>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本项内容修改为：</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3.5.1 “投标人基本情况表”应附企业法人营业执照副本、施工资质证书副本或电子证书、安全生产许可证副本或电子证书、基本账户开户许可证（或基本账户开户银行开具证明）的复印件，建筑工程资质投标人提供在“吉林省建筑市场监管公共服务平台”网址上公布的企业相关信息证明截图复印件（企业、项目经理及现场管理人员）；公路工程</w:t>
            </w:r>
            <w:r>
              <w:rPr>
                <w:rFonts w:hint="eastAsia" w:asciiTheme="minorEastAsia" w:hAnsiTheme="minorEastAsia" w:eastAsiaTheme="minorEastAsia" w:cstheme="minorEastAsia"/>
                <w:color w:val="auto"/>
                <w:sz w:val="21"/>
                <w:szCs w:val="21"/>
                <w:lang w:eastAsia="zh-CN"/>
              </w:rPr>
              <w:t>资质</w:t>
            </w:r>
            <w:r>
              <w:rPr>
                <w:rFonts w:hint="eastAsia" w:asciiTheme="minorEastAsia" w:hAnsiTheme="minorEastAsia" w:eastAsiaTheme="minorEastAsia" w:cstheme="minorEastAsia"/>
                <w:color w:val="auto"/>
                <w:sz w:val="21"/>
                <w:szCs w:val="21"/>
              </w:rPr>
              <w:t>投标人在交通运输部“全国公路建设市场信用信息管理系统”公路工程施工资质企业名录中的网页截图复印件（</w:t>
            </w:r>
            <w:r>
              <w:rPr>
                <w:rFonts w:hint="eastAsia" w:asciiTheme="minorEastAsia" w:hAnsiTheme="minorEastAsia" w:eastAsiaTheme="minorEastAsia" w:cstheme="minorEastAsia"/>
                <w:color w:val="auto"/>
                <w:sz w:val="21"/>
                <w:szCs w:val="21"/>
                <w:lang w:val="zh-CN"/>
              </w:rPr>
              <w:t>仅指公路工程施工总承包一级资质或特级资质的投标人</w:t>
            </w:r>
            <w:r>
              <w:rPr>
                <w:rFonts w:hint="eastAsia" w:asciiTheme="minorEastAsia" w:hAnsiTheme="minorEastAsia" w:eastAsiaTheme="minorEastAsia" w:cstheme="minorEastAsia"/>
                <w:color w:val="auto"/>
                <w:sz w:val="21"/>
                <w:szCs w:val="21"/>
              </w:rPr>
              <w:t>），以及投标人在国家企业信用信息公示系统中基础信息（体现股东及出资详细信息）的网页截图复印件。</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法人营业执照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5"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3.5.2</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近年财务状况的</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年份要求</w:t>
            </w:r>
          </w:p>
        </w:tc>
        <w:tc>
          <w:tcPr>
            <w:tcW w:w="6823" w:type="dxa"/>
            <w:noWrap w:val="0"/>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近年完成的类似项目</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情况的时间要求</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建筑工程：2018年1月1日后（以竣工时间为准）</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公路工程：2016年1月1日后（以交工时间为准）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7"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近年完成的类似</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zh-CN"/>
              </w:rPr>
              <w:t>项目情况表</w:t>
            </w:r>
          </w:p>
        </w:tc>
        <w:tc>
          <w:tcPr>
            <w:tcW w:w="6823" w:type="dxa"/>
            <w:noWrap w:val="0"/>
            <w:vAlign w:val="center"/>
          </w:tcPr>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本条款增加以下内容：</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1、建筑工程业绩认定，采用“吉林省建筑市场监管公共服务平台” （以下简称“平台”）工程项目信息中的业绩，投标人在投标文件中附有关业绩的查询网址及截图。</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建筑工程在省域外的业绩认定，必须是通过互联网且不需任何权限即可在工程所在地的省级建筑市场监管一体化工作平台查询得到，而且查询到的数据应能满足招标项目的要求，其他网站查询的业绩不予认定。</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3．提供中标通知书或合同协议书或竣工验收报告复印件。</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4．如近年来，投标人法人机构发生合法变更或重组或法人名称变更时，应提供相关部门的合法批件或其他相关证明材料来证明其所附业绩的继承性。</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5．如以上所提供的证明材料中不能查找出满足最低资格条件要求的数据时，投标人应补充相应的项目法人或相应级别质量监督机构出具的证明材料。</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6．投标人所填报的施工业绩如因企业名称发生变化而与投标人名称不符时，应由其营业执照的发证机关出具相应证明材料（资质证书中已经明示的除外）或附有效企业改制等证明材料。</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7．投标人子公司的施工业绩不能作为投标人的施工业绩；投标人填报的业绩若为其总（母）公司或其他公司名称时，应由项目法人或项目法人的主管部门出具相应证明材料。若为其兼并或重组的其他公司名称时，应由有关部门出具证明材料。</w:t>
            </w:r>
          </w:p>
          <w:p>
            <w:pPr>
              <w:pageBreakBefore w:val="0"/>
              <w:kinsoku/>
              <w:wordWrap/>
              <w:overflowPunct/>
              <w:topLinePunct w:val="0"/>
              <w:bidi w:val="0"/>
              <w:adjustRightInd w:val="0"/>
              <w:snapToGrid w:val="0"/>
              <w:spacing w:line="360" w:lineRule="exact"/>
              <w:ind w:firstLine="388" w:firstLineChars="185"/>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8．投标人填报某项业绩提供证明材料不符合以上要求时，则该项业绩视为无效业绩，不作为评审依据。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7"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投标人的信誉情况</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本项内容修改为：</w:t>
            </w:r>
          </w:p>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3.5.4 “投标人的信誉情况表”应附投标人在国家企业信用信息公示系统中是否被列入严重违法失信企业名单、在“信用中国”网站中是否被列入失信被执行人名单的网页截图复印件，</w:t>
            </w:r>
            <w:r>
              <w:rPr>
                <w:rFonts w:hint="eastAsia" w:asciiTheme="minorEastAsia" w:hAnsiTheme="minorEastAsia" w:eastAsiaTheme="minorEastAsia" w:cstheme="minorEastAsia"/>
                <w:color w:val="auto"/>
                <w:sz w:val="21"/>
                <w:szCs w:val="21"/>
              </w:rPr>
              <w:t>以及由投标人出具的近三年内投标人及其法定代表人、拟委任的项目经理均无行贿犯罪行为的书面承诺原件。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896" w:type="dxa"/>
            <w:noWrap w:val="0"/>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3.5.5</w:t>
            </w:r>
          </w:p>
        </w:tc>
        <w:tc>
          <w:tcPr>
            <w:tcW w:w="1975" w:type="dxa"/>
            <w:noWrap w:val="0"/>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拟委任的项目经理</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和项目总工（技术负责人）资历表</w:t>
            </w:r>
          </w:p>
        </w:tc>
        <w:tc>
          <w:tcPr>
            <w:tcW w:w="6823" w:type="dxa"/>
            <w:noWrap w:val="0"/>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本项内容修改为：</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3.5.5 “拟委任的项目经理和项目总工（技术负责人）资历表”应附项目经理和项目总工（技术负责人）的身份证、职称资格证书（如职称证中无专业，则必须附毕业证书）以及资格审查条件所要求的其他相关证书（如建造师注册证书、安全生产考核合格证书等）的复印件，建造师注册证书、安全生产考核合格证书在政府相关部门网站上公开信息的网页截图复印件，以及在投标人所属社保系统打印的本单位人员缴费明细复印件。</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“拟委任的项目经理和项目总工（技术负责人）资历表”还应附能够证明项目经理具有相关业绩证明</w:t>
            </w:r>
            <w:r>
              <w:rPr>
                <w:rFonts w:hint="eastAsia" w:asciiTheme="minorEastAsia" w:hAnsiTheme="minorEastAsia" w:eastAsiaTheme="minorEastAsia" w:cstheme="minorEastAsia"/>
                <w:color w:val="auto"/>
                <w:sz w:val="21"/>
                <w:szCs w:val="21"/>
                <w:lang w:val="zh-CN"/>
              </w:rPr>
              <w:t>材料复印件：</w:t>
            </w:r>
            <w:r>
              <w:rPr>
                <w:rFonts w:hint="eastAsia" w:asciiTheme="minorEastAsia" w:hAnsiTheme="minorEastAsia" w:eastAsiaTheme="minorEastAsia" w:cstheme="minorEastAsia"/>
                <w:color w:val="auto"/>
                <w:sz w:val="21"/>
                <w:szCs w:val="21"/>
              </w:rPr>
              <w:t>提供中标通知书或合同协议书或竣工验收报告，投标文件</w:t>
            </w:r>
            <w:r>
              <w:rPr>
                <w:rFonts w:hint="eastAsia" w:asciiTheme="minorEastAsia" w:hAnsiTheme="minorEastAsia" w:eastAsiaTheme="minorEastAsia" w:cstheme="minorEastAsia"/>
                <w:color w:val="auto"/>
                <w:sz w:val="21"/>
                <w:szCs w:val="21"/>
                <w:lang w:val="zh-CN"/>
              </w:rPr>
              <w:t>内附中标通知书或合同协议书或竣工验收报告以及</w:t>
            </w:r>
            <w:r>
              <w:rPr>
                <w:rFonts w:hint="eastAsia" w:asciiTheme="minorEastAsia" w:hAnsiTheme="minorEastAsia" w:eastAsiaTheme="minorEastAsia" w:cstheme="minorEastAsia"/>
                <w:color w:val="auto"/>
                <w:sz w:val="21"/>
                <w:szCs w:val="21"/>
              </w:rPr>
              <w:t>相关业绩的有效查询网址及相关平台业绩备案证明截图</w:t>
            </w:r>
            <w:r>
              <w:rPr>
                <w:rFonts w:hint="eastAsia" w:asciiTheme="minorEastAsia" w:hAnsiTheme="minorEastAsia" w:eastAsiaTheme="minorEastAsia" w:cstheme="minorEastAsia"/>
                <w:color w:val="auto"/>
                <w:sz w:val="21"/>
                <w:szCs w:val="21"/>
                <w:lang w:val="zh-CN"/>
              </w:rPr>
              <w:t>复印件。如果投标人提供的业绩证明材料不全或</w:t>
            </w:r>
            <w:r>
              <w:rPr>
                <w:rFonts w:hint="eastAsia" w:asciiTheme="minorEastAsia" w:hAnsiTheme="minorEastAsia" w:eastAsiaTheme="minorEastAsia" w:cstheme="minorEastAsia"/>
                <w:color w:val="auto"/>
                <w:sz w:val="21"/>
                <w:szCs w:val="21"/>
              </w:rPr>
              <w:t>无法证实投标人满足招标文件规定的资格审查条件（项目经理和项目总工最低要求）或评分标准，则该业绩不予认定。</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项目经理应无在建工程，投标人应提供拟派出的项目经理无在建工程承诺的书面材料原件，并加盖投标人单位章。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是否允许递交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备选投标方案</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副本份数</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及其他要求</w:t>
            </w:r>
          </w:p>
        </w:tc>
        <w:tc>
          <w:tcPr>
            <w:tcW w:w="6823" w:type="dxa"/>
            <w:noWrap w:val="0"/>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投标文件副本份数：在递交投标文件时投标人不需要提供副本。</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是否要求提交电子版文件：1份电子版已标价的工程量清单及《投标文件关键内容摘录表》（U盘）。</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其他要求：中标人应在收到中标通知书后并在与招标人签订合同前提供投标文件副本3份。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3.7.5</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装订的其他要求</w:t>
            </w:r>
          </w:p>
        </w:tc>
        <w:tc>
          <w:tcPr>
            <w:tcW w:w="6823" w:type="dxa"/>
            <w:noWrap w:val="0"/>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投标文件第一信封书脊上应明确标注投标人的单位名称和所投标的项目名称及标段。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1" w:hRule="atLeast"/>
        </w:trPr>
        <w:tc>
          <w:tcPr>
            <w:tcW w:w="896"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4.1.2</w:t>
            </w:r>
          </w:p>
        </w:tc>
        <w:tc>
          <w:tcPr>
            <w:tcW w:w="1975" w:type="dxa"/>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封套上应载明的信息</w:t>
            </w:r>
          </w:p>
        </w:tc>
        <w:tc>
          <w:tcPr>
            <w:tcW w:w="6823" w:type="dxa"/>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招标人名称：</w:t>
            </w:r>
            <w:r>
              <w:rPr>
                <w:rFonts w:hint="eastAsia" w:asciiTheme="minorEastAsia" w:hAnsiTheme="minorEastAsia" w:eastAsiaTheme="minorEastAsia" w:cstheme="minorEastAsia"/>
                <w:color w:val="auto"/>
                <w:kern w:val="0"/>
                <w:sz w:val="21"/>
                <w:szCs w:val="21"/>
                <w:u w:val="single"/>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招标人地址：</w:t>
            </w:r>
            <w:r>
              <w:rPr>
                <w:rFonts w:hint="eastAsia" w:asciiTheme="minorEastAsia" w:hAnsiTheme="minorEastAsia" w:eastAsiaTheme="minorEastAsia" w:cstheme="minorEastAsia"/>
                <w:color w:val="auto"/>
                <w:kern w:val="0"/>
                <w:sz w:val="21"/>
                <w:szCs w:val="21"/>
                <w:u w:val="single"/>
              </w:rPr>
              <w:t xml:space="preserve">                                </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国道珲春至阿尔山公路延吉至安图段改建项目附属工程（房建、机电、养护、试验检测机构）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标段施工招标第一个信封（商务及技术文件）投标文件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招标项目编号：</w:t>
            </w:r>
            <w:r>
              <w:rPr>
                <w:rFonts w:hint="eastAsia" w:asciiTheme="minorEastAsia" w:hAnsiTheme="minorEastAsia" w:eastAsiaTheme="minorEastAsia" w:cstheme="minorEastAsia"/>
                <w:color w:val="auto"/>
                <w:sz w:val="21"/>
                <w:szCs w:val="21"/>
                <w:u w:val="single"/>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分（第一个信封开标时间）前不得开启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招标人名称：</w:t>
            </w:r>
            <w:r>
              <w:rPr>
                <w:rFonts w:hint="eastAsia" w:asciiTheme="minorEastAsia" w:hAnsiTheme="minorEastAsia" w:eastAsiaTheme="minorEastAsia" w:cstheme="minorEastAsia"/>
                <w:color w:val="auto"/>
                <w:kern w:val="0"/>
                <w:sz w:val="21"/>
                <w:szCs w:val="21"/>
                <w:u w:val="single"/>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招标人地址：</w:t>
            </w:r>
            <w:r>
              <w:rPr>
                <w:rFonts w:hint="eastAsia" w:asciiTheme="minorEastAsia" w:hAnsiTheme="minorEastAsia" w:eastAsiaTheme="minorEastAsia" w:cstheme="minorEastAsia"/>
                <w:color w:val="auto"/>
                <w:kern w:val="0"/>
                <w:sz w:val="21"/>
                <w:szCs w:val="21"/>
                <w:u w:val="single"/>
              </w:rPr>
              <w:t xml:space="preserve">                                </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国道珲春至阿尔山公路延吉至安图段改建项目附属工程（房建、机电、养护、试验检测机构）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标段施工招标第二个信封（报价文件）投标文件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招标项目编号：</w:t>
            </w:r>
            <w:r>
              <w:rPr>
                <w:rFonts w:hint="eastAsia" w:asciiTheme="minorEastAsia" w:hAnsiTheme="minorEastAsia" w:eastAsiaTheme="minorEastAsia" w:cstheme="minorEastAsia"/>
                <w:color w:val="auto"/>
                <w:sz w:val="21"/>
                <w:szCs w:val="21"/>
                <w:u w:val="single"/>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在投标文件第二个信封（报价文件）开标前不得开启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投标人地址：</w:t>
            </w:r>
            <w:r>
              <w:rPr>
                <w:rFonts w:hint="eastAsia" w:asciiTheme="minorEastAsia" w:hAnsiTheme="minorEastAsia" w:eastAsiaTheme="minorEastAsia" w:cstheme="minorEastAsia"/>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975" w:type="dxa"/>
            <w:vMerge w:val="continue"/>
            <w:noWrap w:val="0"/>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p>
        </w:tc>
        <w:tc>
          <w:tcPr>
            <w:tcW w:w="6823" w:type="dxa"/>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银行保函封套：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招标人名称：</w:t>
            </w:r>
            <w:r>
              <w:rPr>
                <w:rFonts w:hint="eastAsia" w:asciiTheme="minorEastAsia" w:hAnsiTheme="minorEastAsia" w:eastAsiaTheme="minorEastAsia" w:cstheme="minorEastAsia"/>
                <w:color w:val="auto"/>
                <w:kern w:val="0"/>
                <w:sz w:val="21"/>
                <w:szCs w:val="21"/>
                <w:u w:val="single"/>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招标人地址：</w:t>
            </w:r>
            <w:r>
              <w:rPr>
                <w:rFonts w:hint="eastAsia" w:asciiTheme="minorEastAsia" w:hAnsiTheme="minorEastAsia" w:eastAsiaTheme="minorEastAsia" w:cstheme="minorEastAsia"/>
                <w:color w:val="auto"/>
                <w:kern w:val="0"/>
                <w:sz w:val="21"/>
                <w:szCs w:val="21"/>
                <w:u w:val="single"/>
              </w:rPr>
              <w:t xml:space="preserve">                                </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国道珲春至阿尔山公路延吉至安图段改建项目附属工程（房建、机电、养护、试验检测机构）</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标段施工招标投标保证金（银行保函原件）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招标项目编号：</w:t>
            </w:r>
            <w:r>
              <w:rPr>
                <w:rFonts w:hint="eastAsia" w:asciiTheme="minorEastAsia" w:hAnsiTheme="minorEastAsia" w:eastAsiaTheme="minorEastAsia" w:cstheme="minorEastAsia"/>
                <w:color w:val="auto"/>
                <w:sz w:val="21"/>
                <w:szCs w:val="21"/>
                <w:u w:val="single"/>
              </w:rPr>
              <w:t xml:space="preserve">          </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4.2.3</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是否退还</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投标文件</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投标人少于3个的，投标文件当场退还给投标人；</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否则，投标文件第一个信封（商务及技术文件）均不退还，未通过第一个信封评审的投标人的投标文件第二个信封（报价文件）予以退还。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开标时间和</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6823" w:type="dxa"/>
            <w:noWrap w:val="0"/>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投标文件第一个信封（商务及技术文件）开标时间：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同投标截止时间</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z w:val="21"/>
                <w:szCs w:val="21"/>
              </w:rPr>
              <w:t>投标文件第一个信封（商务及技术文件）</w:t>
            </w:r>
            <w:r>
              <w:rPr>
                <w:rFonts w:hint="eastAsia" w:asciiTheme="minorEastAsia" w:hAnsiTheme="minorEastAsia" w:eastAsiaTheme="minorEastAsia" w:cstheme="minorEastAsia"/>
                <w:color w:val="auto"/>
                <w:spacing w:val="-4"/>
                <w:sz w:val="21"/>
                <w:szCs w:val="21"/>
              </w:rPr>
              <w:t>开标地点：</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吉林省公共资源交易中心（长春市人民大街9999号）4楼开标室</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投标文件第二个信封（报价文件）开标时间：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见招标公告</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z w:val="21"/>
                <w:szCs w:val="21"/>
              </w:rPr>
              <w:t>投标文件第二个信封（报价文件）</w:t>
            </w:r>
            <w:r>
              <w:rPr>
                <w:rFonts w:hint="eastAsia" w:asciiTheme="minorEastAsia" w:hAnsiTheme="minorEastAsia" w:eastAsiaTheme="minorEastAsia" w:cstheme="minorEastAsia"/>
                <w:color w:val="auto"/>
                <w:spacing w:val="-4"/>
                <w:sz w:val="21"/>
                <w:szCs w:val="21"/>
              </w:rPr>
              <w:t>开标地点：</w:t>
            </w:r>
          </w:p>
          <w:p>
            <w:pPr>
              <w:pageBreakBefore w:val="0"/>
              <w:kinsoku/>
              <w:wordWrap/>
              <w:overflowPunct/>
              <w:topLinePunct w:val="0"/>
              <w:bidi w:val="0"/>
              <w:snapToGrid w:val="0"/>
              <w:spacing w:line="360" w:lineRule="exact"/>
              <w:ind w:firstLine="404" w:firstLineChars="200"/>
              <w:textAlignment w:val="auto"/>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5.2.1</w:t>
            </w:r>
          </w:p>
        </w:tc>
        <w:tc>
          <w:tcPr>
            <w:tcW w:w="1975" w:type="dxa"/>
            <w:noWrap w:val="0"/>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第一个信封（商务及技术文件）</w:t>
            </w:r>
          </w:p>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开标程序</w:t>
            </w:r>
          </w:p>
        </w:tc>
        <w:tc>
          <w:tcPr>
            <w:tcW w:w="6823" w:type="dxa"/>
            <w:noWrap w:val="0"/>
            <w:vAlign w:val="center"/>
          </w:tcPr>
          <w:p>
            <w:pPr>
              <w:pageBreakBefore w:val="0"/>
              <w:numPr>
                <w:ilvl w:val="0"/>
                <w:numId w:val="2"/>
              </w:numPr>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密封情况检查：检查商务及技术文件是否存在提前开启情况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5.2.3</w:t>
            </w:r>
          </w:p>
        </w:tc>
        <w:tc>
          <w:tcPr>
            <w:tcW w:w="1975" w:type="dxa"/>
            <w:noWrap w:val="0"/>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第二个信封（报价文件）开标程序</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（4）密封情况检查：检查报价文件是否存在提前开启情况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评标委员会的组建</w:t>
            </w:r>
          </w:p>
        </w:tc>
        <w:tc>
          <w:tcPr>
            <w:tcW w:w="6823" w:type="dxa"/>
            <w:noWrap w:val="0"/>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评标委员会构成：9人，其中招标人代表1人，专家8人；</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6.3.2</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评标委员会推荐</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中标候选人的人数</w:t>
            </w:r>
          </w:p>
        </w:tc>
        <w:tc>
          <w:tcPr>
            <w:tcW w:w="6823" w:type="dxa"/>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3名（或3名以内）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中标候选人</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公示媒介及</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期限</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公示媒介：中国招标投标公共服务平台、吉林省公共资源交易公共服务平台、吉林省交通运输厅网站、延边州人民政府信息公开专栏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公示期限：3日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是否授权评标委员会</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确定中标人</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中标通知书和中标结</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果通知发出的形式</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中标通知书以书面形式发出，中标结果通知以中标结果公告的形式在本须知7.6款明确的媒介上发出。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7.6</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中标结果公告</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媒介及期限</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公告媒介：中国招标投标公共服务平台、吉林省交通运输厅网站、延边州人民政府信息公开专栏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公告期限：3日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公告的其他内容：/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7.7.1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履约保证金</w:t>
            </w:r>
          </w:p>
        </w:tc>
        <w:tc>
          <w:tcPr>
            <w:tcW w:w="6823" w:type="dxa"/>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履约保证金形式：银行保函或现金、支票形式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履约保证金金额：10%签约合同价。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（1）采用现金、支票形式时，应由中标人的基本账户汇入发包人指定账户。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（2）采用银行保函时，出具保函的银行级别：应由“工商银行、农业银行、中国银行、建设银行、交通银行”五大国有商业银行及全国性商业银行开具，银行级别应为地市级分、支行以上级别。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8.5.1</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监督部门</w:t>
            </w:r>
          </w:p>
        </w:tc>
        <w:tc>
          <w:tcPr>
            <w:tcW w:w="6823" w:type="dxa"/>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监督部门：延边州交通运输局</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址：延吉市公园路5568号</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话：0433-2705070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    真：0433-2257000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　　编：133000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975" w:type="dxa"/>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是否采用电子招标投标</w:t>
            </w:r>
          </w:p>
        </w:tc>
        <w:tc>
          <w:tcPr>
            <w:tcW w:w="6823" w:type="dxa"/>
            <w:noWrap w:val="0"/>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bdr w:val="single" w:color="auto" w:sz="4" w:space="0"/>
                <w:lang w:val="zh-CN"/>
              </w:rPr>
              <w:t>√</w:t>
            </w:r>
            <w:r>
              <w:rPr>
                <w:rFonts w:hint="eastAsia" w:asciiTheme="minorEastAsia" w:hAnsiTheme="minorEastAsia" w:eastAsiaTheme="minorEastAsia" w:cstheme="minorEastAsia"/>
                <w:color w:val="auto"/>
                <w:sz w:val="21"/>
                <w:szCs w:val="21"/>
              </w:rPr>
              <w:t>否</w:t>
            </w:r>
          </w:p>
        </w:tc>
      </w:tr>
    </w:tbl>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lang w:val="zh-CN"/>
        </w:rPr>
      </w:pP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br w:type="page"/>
      </w:r>
    </w:p>
    <w:p>
      <w:pPr>
        <w:pStyle w:val="2"/>
        <w:rPr>
          <w:rFonts w:hint="eastAsia"/>
          <w:lang w:val="zh-CN"/>
        </w:rPr>
      </w:pPr>
    </w:p>
    <w:p>
      <w:pPr>
        <w:keepNext w:val="0"/>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附录1  资格审查条件（资质最低要求）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tcBorders>
              <w:top w:val="single" w:color="auto" w:sz="12" w:space="0"/>
            </w:tcBorders>
            <w:noWrap w:val="0"/>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54" w:type="dxa"/>
            <w:tcBorders>
              <w:bottom w:val="single" w:color="auto" w:sz="12" w:space="0"/>
            </w:tcBorders>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1.建筑工程施工总承包三级或三级以上资质；</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2.公路工程施工总承包三级或三级以上资质。</w:t>
            </w:r>
          </w:p>
        </w:tc>
      </w:tr>
    </w:tbl>
    <w:p>
      <w:pPr>
        <w:pStyle w:val="4"/>
        <w:pageBreakBefore w:val="0"/>
        <w:numPr>
          <w:ilvl w:val="0"/>
          <w:numId w:val="0"/>
        </w:numPr>
        <w:kinsoku/>
        <w:wordWrap/>
        <w:overflowPunct/>
        <w:topLinePunct w:val="0"/>
        <w:bidi w:val="0"/>
        <w:spacing w:before="480" w:beforeLines="200" w:after="240" w:afterLines="100" w:line="360" w:lineRule="exact"/>
        <w:ind w:firstLine="210" w:firstLineChars="100"/>
        <w:jc w:val="center"/>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附录2  资格审查条件（财务最低要求）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tcBorders>
              <w:top w:val="single" w:color="auto" w:sz="12" w:space="0"/>
            </w:tcBorders>
            <w:noWrap w:val="0"/>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4" w:type="dxa"/>
            <w:tcBorders>
              <w:bottom w:val="single" w:color="auto" w:sz="12" w:space="0"/>
            </w:tcBorders>
            <w:noWrap w:val="0"/>
            <w:vAlign w:val="center"/>
          </w:tcPr>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1"/>
                <w:sz w:val="21"/>
                <w:szCs w:val="21"/>
              </w:rPr>
              <w:t>投标人的经审计的</w:t>
            </w:r>
            <w:r>
              <w:rPr>
                <w:rFonts w:hint="eastAsia" w:asciiTheme="minorEastAsia" w:hAnsiTheme="minorEastAsia" w:eastAsiaTheme="minorEastAsia" w:cstheme="minorEastAsia"/>
                <w:b/>
                <w:bCs/>
                <w:color w:val="auto"/>
                <w:kern w:val="1"/>
                <w:sz w:val="21"/>
                <w:szCs w:val="21"/>
                <w:u w:val="single"/>
              </w:rPr>
              <w:t>2019</w:t>
            </w:r>
            <w:r>
              <w:rPr>
                <w:rFonts w:hint="eastAsia" w:asciiTheme="minorEastAsia" w:hAnsiTheme="minorEastAsia" w:eastAsiaTheme="minorEastAsia" w:cstheme="minorEastAsia"/>
                <w:color w:val="auto"/>
                <w:kern w:val="1"/>
                <w:sz w:val="21"/>
                <w:szCs w:val="21"/>
                <w:u w:val="single"/>
              </w:rPr>
              <w:t>年</w:t>
            </w:r>
            <w:r>
              <w:rPr>
                <w:rFonts w:hint="eastAsia" w:asciiTheme="minorEastAsia" w:hAnsiTheme="minorEastAsia" w:eastAsiaTheme="minorEastAsia" w:cstheme="minorEastAsia"/>
                <w:color w:val="auto"/>
                <w:kern w:val="1"/>
                <w:sz w:val="21"/>
                <w:szCs w:val="21"/>
              </w:rPr>
              <w:t>财务会计报告中流动资金（流动资金=流动资产－流动负债）与为本项目开具的银行信贷证明之和必须达到</w:t>
            </w:r>
            <w:r>
              <w:rPr>
                <w:rFonts w:hint="eastAsia" w:asciiTheme="minorEastAsia" w:hAnsiTheme="minorEastAsia" w:eastAsiaTheme="minorEastAsia" w:cstheme="minorEastAsia"/>
                <w:b/>
                <w:bCs/>
                <w:color w:val="auto"/>
                <w:sz w:val="21"/>
                <w:szCs w:val="21"/>
                <w:u w:val="single"/>
              </w:rPr>
              <w:t>100万元</w:t>
            </w:r>
            <w:r>
              <w:rPr>
                <w:rFonts w:hint="eastAsia" w:asciiTheme="minorEastAsia" w:hAnsiTheme="minorEastAsia" w:eastAsiaTheme="minorEastAsia" w:cstheme="minorEastAsia"/>
                <w:color w:val="auto"/>
                <w:kern w:val="1"/>
                <w:sz w:val="21"/>
                <w:szCs w:val="21"/>
              </w:rPr>
              <w:t>。银行信贷证明必须在地（市）级或以上级别的信誉良好的国有或股份制商业银行支行开具。</w:t>
            </w:r>
          </w:p>
        </w:tc>
      </w:tr>
    </w:tbl>
    <w:p>
      <w:pPr>
        <w:pageBreakBefore w:val="0"/>
        <w:kinsoku/>
        <w:wordWrap/>
        <w:overflowPunct/>
        <w:topLinePunct w:val="0"/>
        <w:bidi w:val="0"/>
        <w:spacing w:line="3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1"/>
          <w:sz w:val="21"/>
          <w:szCs w:val="21"/>
        </w:rPr>
        <w:t xml:space="preserve">注：投标人经审计的2019年财务报告中的流动资金不低于最低要求，不强制开具银行信贷证明。银行信贷证明的证明时效必须满足预计工期同时由出具该证明的银行的法定代表人签署，并加盖该银行的法人公章。中标人的银行信贷证明将不予返还，直至工程结束；其他未中标的投标人的银行信贷证明自动作废。  </w:t>
      </w: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ab/>
      </w:r>
      <w:r>
        <w:rPr>
          <w:rFonts w:hint="eastAsia" w:asciiTheme="minorEastAsia" w:hAnsiTheme="minorEastAsia" w:eastAsiaTheme="minorEastAsia" w:cstheme="minorEastAsia"/>
          <w:color w:val="auto"/>
          <w:sz w:val="21"/>
          <w:szCs w:val="21"/>
          <w:lang w:val="zh-CN"/>
        </w:rPr>
        <w:t xml:space="preserve">     </w:t>
      </w: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附录3  资格审查条件（业绩最低要求）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tcBorders>
              <w:top w:val="single" w:color="auto" w:sz="12" w:space="0"/>
            </w:tcBorders>
            <w:noWrap w:val="0"/>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54" w:type="dxa"/>
            <w:tcBorders>
              <w:bottom w:val="single" w:color="auto" w:sz="12" w:space="0"/>
            </w:tcBorders>
            <w:noWrap w:val="0"/>
            <w:vAlign w:val="center"/>
          </w:tcPr>
          <w:p>
            <w:pPr>
              <w:pageBreakBefore w:val="0"/>
              <w:kinsoku/>
              <w:wordWrap/>
              <w:overflowPunct/>
              <w:topLinePunct w:val="0"/>
              <w:bidi w:val="0"/>
              <w:adjustRightInd w:val="0"/>
              <w:snapToGrid w:val="0"/>
              <w:spacing w:before="72" w:beforeLines="30" w:after="72" w:afterLines="30" w:line="360" w:lineRule="exact"/>
              <w:ind w:firstLine="210" w:firstLineChars="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2018年1月1日后完成过一项工程造价不低于</w:t>
            </w:r>
            <w:r>
              <w:rPr>
                <w:rFonts w:hint="eastAsia" w:asciiTheme="minorEastAsia" w:hAnsiTheme="minorEastAsia" w:eastAsiaTheme="minorEastAsia" w:cstheme="minorEastAsia"/>
                <w:color w:val="auto"/>
                <w:sz w:val="21"/>
                <w:szCs w:val="21"/>
                <w:lang w:eastAsia="zh-CN"/>
              </w:rPr>
              <w:t>500万元的类似建筑工程施工业绩</w:t>
            </w:r>
            <w:r>
              <w:rPr>
                <w:rFonts w:hint="eastAsia" w:asciiTheme="minorEastAsia" w:hAnsiTheme="minorEastAsia" w:eastAsiaTheme="minorEastAsia" w:cstheme="minorEastAsia"/>
                <w:color w:val="auto"/>
                <w:sz w:val="21"/>
                <w:szCs w:val="21"/>
              </w:rPr>
              <w:t>。</w:t>
            </w:r>
          </w:p>
        </w:tc>
      </w:tr>
    </w:tbl>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 ①吉林省业绩以“吉林省建筑市场监管公共服务平台”网址上公布的企业相关业绩信息为准。省域外的业绩认定，必须是通过互联网且不需任何权限即可在工程所在地的省级建筑市场监管一体化工作平台查询得到，而且查询到的数据应能满足招标项目的要求，其他网站查询的业绩不予认定。</w:t>
      </w:r>
    </w:p>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②业绩完成时间以竣工时间为准。</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附录4  资格审查条件（信誉最低要求）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tcBorders>
              <w:top w:val="single" w:color="auto" w:sz="12" w:space="0"/>
              <w:bottom w:val="single" w:color="auto" w:sz="4" w:space="0"/>
            </w:tcBorders>
            <w:noWrap w:val="0"/>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信誉要求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tcBorders>
              <w:top w:val="single" w:color="auto" w:sz="4" w:space="0"/>
              <w:bottom w:val="single" w:color="auto" w:sz="12" w:space="0"/>
            </w:tcBorders>
            <w:noWrap w:val="0"/>
            <w:vAlign w:val="center"/>
          </w:tcPr>
          <w:p>
            <w:pPr>
              <w:pageBreakBefore w:val="0"/>
              <w:kinsoku/>
              <w:wordWrap/>
              <w:overflowPunct/>
              <w:topLinePunct w:val="0"/>
              <w:bidi w:val="0"/>
              <w:adjustRightInd w:val="0"/>
              <w:snapToGrid w:val="0"/>
              <w:spacing w:before="60" w:beforeLines="25" w:after="60" w:afterLines="25" w:line="360" w:lineRule="exact"/>
              <w:ind w:firstLine="283" w:firstLineChars="13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投标人不得存在下列不良状况或不良信用记录：</w:t>
            </w:r>
          </w:p>
          <w:p>
            <w:pPr>
              <w:pageBreakBefore w:val="0"/>
              <w:kinsoku/>
              <w:wordWrap/>
              <w:overflowPunct/>
              <w:topLinePunct w:val="0"/>
              <w:bidi w:val="0"/>
              <w:adjustRightInd w:val="0"/>
              <w:snapToGrid w:val="0"/>
              <w:spacing w:before="60" w:beforeLines="25" w:after="60" w:afterLines="25" w:line="360" w:lineRule="exact"/>
              <w:ind w:firstLine="283" w:firstLineChars="13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被省级及以上建设行政主管部门取消招标项目所在地的投标资格且处于有效期内。</w:t>
            </w:r>
          </w:p>
        </w:tc>
      </w:tr>
    </w:tbl>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br w:type="page"/>
      </w:r>
    </w:p>
    <w:p>
      <w:pPr>
        <w:pStyle w:val="4"/>
        <w:pageBreakBefore w:val="0"/>
        <w:numPr>
          <w:ilvl w:val="0"/>
          <w:numId w:val="0"/>
        </w:numPr>
        <w:kinsoku/>
        <w:wordWrap/>
        <w:overflowPunct/>
        <w:topLinePunct w:val="0"/>
        <w:bidi w:val="0"/>
        <w:spacing w:before="480" w:beforeLines="200" w:after="240" w:afterLines="100" w:line="360" w:lineRule="exact"/>
        <w:jc w:val="center"/>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附录5  资格审查条件（项目经理和项目总工（技术负责人）最低要求）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lang w:val="zh-CN"/>
        </w:rPr>
      </w:pPr>
    </w:p>
    <w:tbl>
      <w:tblPr>
        <w:tblStyle w:val="8"/>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708"/>
        <w:gridCol w:w="5670"/>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9" w:type="dxa"/>
            <w:tcBorders>
              <w:top w:val="single" w:color="auto" w:sz="12" w:space="0"/>
              <w:right w:val="single" w:color="auto" w:sz="4"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标段</w:t>
            </w:r>
          </w:p>
        </w:tc>
        <w:tc>
          <w:tcPr>
            <w:tcW w:w="1276" w:type="dxa"/>
            <w:tcBorders>
              <w:top w:val="single" w:color="auto" w:sz="12" w:space="0"/>
              <w:left w:val="single" w:color="auto" w:sz="4"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w:t>
            </w:r>
          </w:p>
        </w:tc>
        <w:tc>
          <w:tcPr>
            <w:tcW w:w="708" w:type="dxa"/>
            <w:tcBorders>
              <w:top w:val="single" w:color="auto" w:sz="12"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5670" w:type="dxa"/>
            <w:tcBorders>
              <w:top w:val="single" w:color="auto" w:sz="12"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资格最低要求</w:t>
            </w:r>
          </w:p>
        </w:tc>
        <w:tc>
          <w:tcPr>
            <w:tcW w:w="1276" w:type="dxa"/>
            <w:tcBorders>
              <w:top w:val="single" w:color="auto" w:sz="12"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5" w:hRule="atLeast"/>
        </w:trPr>
        <w:tc>
          <w:tcPr>
            <w:tcW w:w="959" w:type="dxa"/>
            <w:vMerge w:val="restart"/>
            <w:tcBorders>
              <w:right w:val="single" w:color="auto" w:sz="4"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YAFJ01</w:t>
            </w:r>
          </w:p>
        </w:tc>
        <w:tc>
          <w:tcPr>
            <w:tcW w:w="1276" w:type="dxa"/>
            <w:tcBorders>
              <w:left w:val="single" w:color="auto" w:sz="4"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项目经理</w:t>
            </w:r>
          </w:p>
        </w:tc>
        <w:tc>
          <w:tcPr>
            <w:tcW w:w="708" w:type="dxa"/>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670" w:type="dxa"/>
            <w:noWrap w:val="0"/>
            <w:vAlign w:val="center"/>
          </w:tcPr>
          <w:p>
            <w:pPr>
              <w:pageBreakBefore w:val="0"/>
              <w:numPr>
                <w:ilvl w:val="0"/>
                <w:numId w:val="3"/>
              </w:numPr>
              <w:kinsoku/>
              <w:wordWrap/>
              <w:overflowPunct/>
              <w:topLinePunct w:val="0"/>
              <w:bidi w:val="0"/>
              <w:adjustRightInd w:val="0"/>
              <w:snapToGrid w:val="0"/>
              <w:spacing w:before="24" w:beforeLines="10" w:after="24" w:afterLines="10" w:line="360" w:lineRule="exact"/>
              <w:ind w:firstLine="210" w:firstLineChars="1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投标人自有人员（以联合体形式投标，项目经理须为联合体牵头人自有人员）；</w:t>
            </w:r>
          </w:p>
          <w:p>
            <w:pPr>
              <w:pageBreakBefore w:val="0"/>
              <w:numPr>
                <w:ilvl w:val="0"/>
                <w:numId w:val="3"/>
              </w:numPr>
              <w:kinsoku/>
              <w:wordWrap/>
              <w:overflowPunct/>
              <w:topLinePunct w:val="0"/>
              <w:bidi w:val="0"/>
              <w:adjustRightInd w:val="0"/>
              <w:snapToGrid w:val="0"/>
              <w:spacing w:before="24" w:beforeLines="10" w:after="24" w:afterLines="10" w:line="360" w:lineRule="exact"/>
              <w:ind w:firstLine="210" w:firstLineChars="1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具有建筑工程相关专业中级及以上职称；</w:t>
            </w:r>
          </w:p>
          <w:p>
            <w:pPr>
              <w:pageBreakBefore w:val="0"/>
              <w:numPr>
                <w:ilvl w:val="0"/>
                <w:numId w:val="3"/>
              </w:numPr>
              <w:kinsoku/>
              <w:wordWrap/>
              <w:overflowPunct/>
              <w:topLinePunct w:val="0"/>
              <w:bidi w:val="0"/>
              <w:spacing w:before="24" w:beforeLines="10" w:after="24" w:afterLines="10" w:line="360" w:lineRule="exact"/>
              <w:ind w:firstLine="210" w:firstLineChars="1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持有建设行政主管部门颁发的“建筑工程”专业《二级建造师注册证书》或电子证书，且现注册单位为投标人；</w:t>
            </w:r>
          </w:p>
          <w:p>
            <w:pPr>
              <w:pageBreakBefore w:val="0"/>
              <w:numPr>
                <w:ilvl w:val="0"/>
                <w:numId w:val="3"/>
              </w:numPr>
              <w:kinsoku/>
              <w:wordWrap/>
              <w:overflowPunct/>
              <w:topLinePunct w:val="0"/>
              <w:bidi w:val="0"/>
              <w:adjustRightInd w:val="0"/>
              <w:snapToGrid w:val="0"/>
              <w:spacing w:before="24" w:beforeLines="10" w:after="24" w:afterLines="10" w:line="360" w:lineRule="exact"/>
              <w:ind w:firstLine="210" w:firstLineChars="1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具有建设主管部门颁发的有效的B类安全生产考核合格证书或电子证书。</w:t>
            </w:r>
          </w:p>
        </w:tc>
        <w:tc>
          <w:tcPr>
            <w:tcW w:w="1276" w:type="dxa"/>
            <w:vMerge w:val="restart"/>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项目经理应无在建工程，投标人应提供拟派出的项目经理无在建工程承诺的书面材料原件，并加盖投标人单位章。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9" w:hRule="atLeast"/>
        </w:trPr>
        <w:tc>
          <w:tcPr>
            <w:tcW w:w="959" w:type="dxa"/>
            <w:vMerge w:val="continue"/>
            <w:tcBorders>
              <w:bottom w:val="single" w:color="auto" w:sz="12" w:space="0"/>
              <w:right w:val="single" w:color="auto" w:sz="4"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1276" w:type="dxa"/>
            <w:tcBorders>
              <w:left w:val="single" w:color="auto" w:sz="4" w:space="0"/>
              <w:bottom w:val="single" w:color="auto" w:sz="12"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项目总工（技术负责人）</w:t>
            </w:r>
          </w:p>
        </w:tc>
        <w:tc>
          <w:tcPr>
            <w:tcW w:w="708" w:type="dxa"/>
            <w:tcBorders>
              <w:bottom w:val="single" w:color="auto" w:sz="12" w:space="0"/>
            </w:tcBorders>
            <w:noWrap w:val="0"/>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670" w:type="dxa"/>
            <w:tcBorders>
              <w:bottom w:val="single" w:color="auto" w:sz="12" w:space="0"/>
            </w:tcBorders>
            <w:noWrap w:val="0"/>
            <w:vAlign w:val="center"/>
          </w:tcPr>
          <w:p>
            <w:pPr>
              <w:pageBreakBefore w:val="0"/>
              <w:numPr>
                <w:ilvl w:val="0"/>
                <w:numId w:val="4"/>
              </w:numPr>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投标人自有人员；</w:t>
            </w:r>
          </w:p>
          <w:p>
            <w:pPr>
              <w:pageBreakBefore w:val="0"/>
              <w:kinsoku/>
              <w:wordWrap/>
              <w:overflowPunct/>
              <w:topLinePunct w:val="0"/>
              <w:bidi w:val="0"/>
              <w:adjustRightInd w:val="0"/>
              <w:snapToGrid w:val="0"/>
              <w:spacing w:line="360" w:lineRule="exact"/>
              <w:ind w:left="210" w:left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（2）具有建筑工程相关专业中级及以上技术职称。</w:t>
            </w:r>
          </w:p>
        </w:tc>
        <w:tc>
          <w:tcPr>
            <w:tcW w:w="1276" w:type="dxa"/>
            <w:vMerge w:val="continue"/>
            <w:tcBorders>
              <w:bottom w:val="single" w:color="auto" w:sz="12" w:space="0"/>
            </w:tcBorders>
            <w:noWrap w:val="0"/>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sz w:val="21"/>
                <w:szCs w:val="21"/>
              </w:rPr>
            </w:pPr>
          </w:p>
        </w:tc>
      </w:tr>
    </w:tbl>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 上表中所列人员不得兼职。</w:t>
      </w:r>
    </w:p>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sz w:val="21"/>
          <w:szCs w:val="21"/>
          <w:u w:val="none"/>
        </w:rPr>
        <w:sectPr>
          <w:footerReference r:id="rId4" w:type="default"/>
          <w:footnotePr>
            <w:numFmt w:val="decimalEnclosedCircleChinese"/>
          </w:footnotePr>
          <w:pgSz w:w="11906" w:h="16838"/>
          <w:pgMar w:top="1134" w:right="1134" w:bottom="1134" w:left="1134" w:header="851" w:footer="851" w:gutter="0"/>
          <w:cols w:space="720" w:num="1"/>
          <w:docGrid w:type="lines" w:linePitch="312" w:charSpace="0"/>
        </w:sectPr>
      </w:pPr>
      <w:r>
        <w:rPr>
          <w:rFonts w:hint="eastAsia" w:asciiTheme="minorEastAsia" w:hAnsiTheme="minorEastAsia" w:eastAsiaTheme="minorEastAsia" w:cstheme="minorEastAsia"/>
          <w:color w:val="auto"/>
          <w:sz w:val="21"/>
          <w:szCs w:val="21"/>
        </w:rPr>
        <w:br w:type="page"/>
      </w:r>
    </w:p>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sz w:val="21"/>
          <w:szCs w:val="21"/>
          <w:u w:val="none"/>
        </w:rPr>
      </w:pPr>
    </w:p>
    <w:p>
      <w:pPr>
        <w:pStyle w:val="3"/>
        <w:keepNext w:val="0"/>
        <w:keepLines w:val="0"/>
        <w:pageBreakBefore w:val="0"/>
        <w:kinsoku/>
        <w:wordWrap/>
        <w:overflowPunct/>
        <w:topLinePunct w:val="0"/>
        <w:bidi w:val="0"/>
        <w:spacing w:before="0" w:after="0" w:line="360" w:lineRule="exact"/>
        <w:jc w:val="left"/>
        <w:textAlignment w:val="auto"/>
        <w:rPr>
          <w:rFonts w:hint="eastAsia" w:asciiTheme="minorEastAsia" w:hAnsiTheme="minorEastAsia" w:eastAsiaTheme="minorEastAsia" w:cstheme="minorEastAsia"/>
          <w:b w:val="0"/>
          <w:bCs/>
          <w:color w:val="auto"/>
          <w:sz w:val="21"/>
          <w:szCs w:val="21"/>
          <w:u w:val="none"/>
        </w:rPr>
      </w:pPr>
      <w:bookmarkStart w:id="18" w:name="_Toc58926121"/>
      <w:r>
        <w:rPr>
          <w:rFonts w:hint="eastAsia" w:asciiTheme="minorEastAsia" w:hAnsiTheme="minorEastAsia" w:eastAsiaTheme="minorEastAsia" w:cstheme="minorEastAsia"/>
          <w:b w:val="0"/>
          <w:bCs/>
          <w:color w:val="auto"/>
          <w:sz w:val="21"/>
          <w:szCs w:val="21"/>
          <w:u w:val="none"/>
          <w:lang w:val="en-US" w:eastAsia="zh-CN"/>
        </w:rPr>
        <w:t>8.</w:t>
      </w:r>
      <w:r>
        <w:rPr>
          <w:rFonts w:hint="eastAsia" w:asciiTheme="minorEastAsia" w:hAnsiTheme="minorEastAsia" w:eastAsiaTheme="minorEastAsia" w:cstheme="minorEastAsia"/>
          <w:b w:val="0"/>
          <w:bCs/>
          <w:color w:val="auto"/>
          <w:sz w:val="21"/>
          <w:szCs w:val="21"/>
          <w:u w:val="none"/>
        </w:rPr>
        <w:t>评标办法前附表</w:t>
      </w:r>
      <w:bookmarkEnd w:id="18"/>
    </w:p>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sz w:val="21"/>
          <w:szCs w:val="21"/>
          <w:u w:val="none"/>
        </w:rPr>
      </w:pPr>
    </w:p>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sz w:val="21"/>
          <w:szCs w:val="21"/>
          <w:u w:val="none"/>
        </w:rPr>
      </w:pPr>
    </w:p>
    <w:tbl>
      <w:tblPr>
        <w:tblStyle w:val="8"/>
        <w:tblW w:w="97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72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jc w:val="center"/>
        </w:trPr>
        <w:tc>
          <w:tcPr>
            <w:tcW w:w="999" w:type="dxa"/>
            <w:tcBorders>
              <w:top w:val="single" w:color="000000" w:sz="12" w:space="0"/>
            </w:tcBorders>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条款号</w:t>
            </w:r>
          </w:p>
        </w:tc>
        <w:tc>
          <w:tcPr>
            <w:tcW w:w="1555" w:type="dxa"/>
            <w:tcBorders>
              <w:top w:val="single" w:color="000000" w:sz="12" w:space="0"/>
              <w:right w:val="single" w:color="auto" w:sz="4" w:space="0"/>
            </w:tcBorders>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条款内容</w:t>
            </w:r>
          </w:p>
        </w:tc>
        <w:tc>
          <w:tcPr>
            <w:tcW w:w="7232" w:type="dxa"/>
            <w:tcBorders>
              <w:top w:val="single" w:color="000000" w:sz="12" w:space="0"/>
              <w:left w:val="single" w:color="auto" w:sz="4" w:space="0"/>
            </w:tcBorders>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评标方法</w:t>
            </w:r>
          </w:p>
        </w:tc>
        <w:tc>
          <w:tcPr>
            <w:tcW w:w="7232" w:type="dxa"/>
            <w:noWrap w:val="0"/>
            <w:vAlign w:val="center"/>
          </w:tcPr>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评标价相等时，评标委员会依次按照以下优先顺序推荐中标候选人：</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（1）履约信誉得分较高的投标人优先；</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（2）商务和技术得分较高的投标人优先；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（3）施工组织设计得分较高的投标人优先；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（4）企业业绩得分较高的投标人优先；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若以上均相等，则由评标委员会表决确定其排序先后。</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2.1.1</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2.1.3</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形式评审与</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响应性评审标准</w:t>
            </w:r>
          </w:p>
        </w:tc>
        <w:tc>
          <w:tcPr>
            <w:tcW w:w="7232" w:type="dxa"/>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第一个信封（商务及技术文件）评审标准：</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（1）投标文件按照招标文件规定的格式、内容填写，字迹清晰可辨：</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a.投标函按招标文件规定填报了项目名称、标段号、补遗书编号（如有)、工期、工程质量要求及安全目标；</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b.投标函附录的所有数据均符合招标文件规定；</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c.投标文件组成齐全完整，内容均按规定填写。</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（2）投标文件上法定代表人或其委托代理人的签字、投标人的单位章盖章齐全，符合招标文件规定。</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（3）投标人按照招标文件的规定提供了投标保证金：</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a.投标保证金金额符合招标文件规定的金额，且投标保证金有效期不少于投标有效期；</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b.若投标保证金采用现金或支票形式提交，投标人应在递交投标保证金截止时间之前，将投标保证金由投标人的基本账户一次性转入并到达招标人指定账户；</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c．若投标保证金采用银行保函形式提交，银行保函的格式、开具保函的银行均满足招标文件要求，且在递交投标文件截止时间之前向招标人提交了银行保函原件。</w:t>
            </w:r>
          </w:p>
          <w:p>
            <w:pPr>
              <w:pageBreakBefore w:val="0"/>
              <w:kinsoku/>
              <w:wordWrap/>
              <w:overflowPunct/>
              <w:topLinePunct w:val="0"/>
              <w:bidi w:val="0"/>
              <w:adjustRightInd w:val="0"/>
              <w:snapToGrid w:val="0"/>
              <w:spacing w:before="24" w:beforeLines="10" w:after="24" w:afterLines="10" w:line="36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（4）投标人法定代表人授权委托代理人签署投标文件的，须提交授权委托书，且授权人和被授权人均在授权委托书上签名，未使用印章、签名章或其他电子制版签名代替。</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（5）投标人法定代表人亲自签署投标文件的，提供了法定代表人身份证明，且法定代表人在法定代表人身份证明上签名，未使用印章、签名章或其他电子制版签名代替。</w:t>
            </w:r>
          </w:p>
          <w:p>
            <w:pPr>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（6）投标人以联合体形式投标时，联合体满足招标文件的要求：</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lang w:val="en-US" w:eastAsia="zh-CN"/>
              </w:rPr>
              <w:t>投标人按照招标文件提供的格式签订了联合体协议书，明确各方承担连带责任，并明确了联合体牵头人。</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（7）投标人如有分包计划，符合招标文件第二章“投标人须知”第1.11款规定，且按招标文件第九章“投标文件格式”的要求填写了“拟分包项目情况表”。</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（8）同一投标人未提交两个以上不同的投标文件，但招标文件要求提交备选投标的除外。</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（9）投标文件中未出现有关投标报价的内容。</w:t>
            </w:r>
          </w:p>
          <w:p>
            <w:pPr>
              <w:pStyle w:val="12"/>
              <w:pageBreakBefore w:val="0"/>
              <w:shd w:val="clear" w:color="auto" w:fill="auto"/>
              <w:tabs>
                <w:tab w:val="left" w:pos="938"/>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（10）投标文件载明的招标项目完成期限未超过招标文件规定的时限。</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（11）投标文件对招标文件的实质性要求和条件作出响应。</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（12）权利义务符合招标文件规定：</w:t>
            </w:r>
          </w:p>
          <w:p>
            <w:pPr>
              <w:pStyle w:val="12"/>
              <w:pageBreakBefore w:val="0"/>
              <w:shd w:val="clear" w:color="auto" w:fill="auto"/>
              <w:tabs>
                <w:tab w:val="left" w:pos="530"/>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a．投标人应接受招标文件规定的风险划分原则，未提出新的风险划分办法；</w:t>
            </w:r>
          </w:p>
          <w:p>
            <w:pPr>
              <w:pStyle w:val="12"/>
              <w:pageBreakBefore w:val="0"/>
              <w:shd w:val="clear" w:color="auto" w:fill="auto"/>
              <w:tabs>
                <w:tab w:val="left" w:pos="666"/>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b．投标人未增加发包人的责任范围，或减少投标人义务；</w:t>
            </w:r>
          </w:p>
          <w:p>
            <w:pPr>
              <w:pStyle w:val="12"/>
              <w:pageBreakBefore w:val="0"/>
              <w:shd w:val="clear" w:color="auto" w:fill="auto"/>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c．投标人未提出不同的工程验收、计量、支付办法；</w:t>
            </w:r>
          </w:p>
          <w:p>
            <w:pPr>
              <w:pStyle w:val="12"/>
              <w:pageBreakBefore w:val="0"/>
              <w:shd w:val="clear" w:color="auto" w:fill="auto"/>
              <w:tabs>
                <w:tab w:val="left" w:pos="661"/>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d．投标人对合同纠纷、事故处理办法未提出异议；</w:t>
            </w:r>
          </w:p>
          <w:p>
            <w:pPr>
              <w:pStyle w:val="12"/>
              <w:pageBreakBefore w:val="0"/>
              <w:shd w:val="clear" w:color="auto" w:fill="auto"/>
              <w:tabs>
                <w:tab w:val="left" w:pos="649"/>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e．投标人在投标活动中无欺诈行为；</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f．投标人未对合同条款有重要保留。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2.1.1</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2.1.3</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形式评审与</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响应性评审标准</w:t>
            </w:r>
          </w:p>
        </w:tc>
        <w:tc>
          <w:tcPr>
            <w:tcW w:w="7232" w:type="dxa"/>
            <w:noWrap w:val="0"/>
            <w:vAlign w:val="center"/>
          </w:tcPr>
          <w:p>
            <w:pPr>
              <w:pageBreakBefore w:val="0"/>
              <w:kinsoku/>
              <w:wordWrap/>
              <w:overflowPunct/>
              <w:topLinePunct w:val="0"/>
              <w:bidi w:val="0"/>
              <w:adjustRightInd w:val="0"/>
              <w:snapToGrid w:val="0"/>
              <w:spacing w:before="24" w:beforeLines="10" w:after="24" w:afterLines="10"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第二个信封（报价文件）评审标准</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（1）投标文件按照招标文件规定的格式、内容填写，字迹清晰可辨：</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a．投标函按招标文件规定填报了项目名称、标段号、补遗书编号（如有)、投标价（包括大写金额和小写金额)；</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b．已标价工程量清单说明文字与招标文件规定一致，未进行实质性修改和删减；</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c．投标文件组成齐全完整，内容均按规定填写。</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（2）投标文件上法定代表人或其委托代理人的签字、投标人的单位章盖章齐全，符合招标文件规定。</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（3）投</w:t>
            </w:r>
            <w:r>
              <w:rPr>
                <w:rFonts w:hint="eastAsia" w:asciiTheme="minorEastAsia" w:hAnsiTheme="minorEastAsia" w:eastAsiaTheme="minorEastAsia" w:cstheme="minorEastAsia"/>
                <w:color w:val="auto"/>
                <w:sz w:val="21"/>
                <w:szCs w:val="21"/>
                <w:lang w:val="zh-CN" w:eastAsia="zh-CN"/>
              </w:rPr>
              <w:t>标报价未超过招标文件设定的最高投标限价</w:t>
            </w:r>
            <w:r>
              <w:rPr>
                <w:rFonts w:hint="eastAsia" w:asciiTheme="minorEastAsia" w:hAnsiTheme="minorEastAsia" w:eastAsiaTheme="minorEastAsia" w:cstheme="minorEastAsia"/>
                <w:color w:val="auto"/>
                <w:kern w:val="2"/>
                <w:sz w:val="21"/>
                <w:szCs w:val="21"/>
                <w:lang w:val="en-US" w:eastAsia="zh-CN"/>
              </w:rPr>
              <w:t>。</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kern w:val="2"/>
                <w:sz w:val="21"/>
                <w:szCs w:val="21"/>
                <w:lang w:val="en-US" w:eastAsia="zh-CN"/>
              </w:rPr>
              <w:t>（4）</w:t>
            </w:r>
            <w:r>
              <w:rPr>
                <w:rFonts w:hint="eastAsia" w:asciiTheme="minorEastAsia" w:hAnsiTheme="minorEastAsia" w:eastAsiaTheme="minorEastAsia" w:cstheme="minorEastAsia"/>
                <w:color w:val="auto"/>
                <w:sz w:val="21"/>
                <w:szCs w:val="21"/>
                <w:lang w:val="zh-CN" w:eastAsia="zh-CN"/>
              </w:rPr>
              <w:t>投标报价的大写金额能够确定具体数值。</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（5）同一投标人未提交两个以上不同的投标报价。</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（6）投标人未提交调价函。</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（7）投标人填写完毕的工程量固化清单未对工程量固化清单电子文件中的数据、格式和运算定义进行修改；工程量固化清单中的投标报价和投标函大写金额报价一致。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资格评审标准</w:t>
            </w:r>
          </w:p>
        </w:tc>
        <w:tc>
          <w:tcPr>
            <w:tcW w:w="7232" w:type="dxa"/>
            <w:noWrap w:val="0"/>
            <w:vAlign w:val="center"/>
          </w:tcPr>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（1）投标人具备有效的营业执照、组织机构代码证、资质证书、安全生产许可证、基本账户开户许可证</w:t>
            </w:r>
            <w:r>
              <w:rPr>
                <w:rFonts w:hint="eastAsia" w:asciiTheme="minorEastAsia" w:hAnsiTheme="minorEastAsia" w:eastAsiaTheme="minorEastAsia" w:cstheme="minorEastAsia"/>
                <w:color w:val="auto"/>
                <w:sz w:val="21"/>
                <w:szCs w:val="21"/>
                <w:lang w:val="zh-CN" w:eastAsia="zh-CN"/>
              </w:rPr>
              <w:t>或开户证明</w:t>
            </w:r>
            <w:r>
              <w:rPr>
                <w:rStyle w:val="14"/>
                <w:rFonts w:hint="eastAsia" w:asciiTheme="minorEastAsia" w:hAnsiTheme="minorEastAsia" w:eastAsiaTheme="minorEastAsia" w:cstheme="minorEastAsia"/>
                <w:color w:val="auto"/>
                <w:sz w:val="21"/>
                <w:szCs w:val="21"/>
              </w:rPr>
              <w:t>。</w:t>
            </w:r>
          </w:p>
          <w:p>
            <w:pPr>
              <w:pStyle w:val="13"/>
              <w:pageBreakBefore w:val="0"/>
              <w:shd w:val="clear" w:color="auto" w:fill="auto"/>
              <w:tabs>
                <w:tab w:val="left" w:pos="1615"/>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（2）投标人的资质等级符合招标文件规定。</w:t>
            </w:r>
          </w:p>
          <w:p>
            <w:pPr>
              <w:pStyle w:val="13"/>
              <w:pageBreakBefore w:val="0"/>
              <w:shd w:val="clear" w:color="auto" w:fill="auto"/>
              <w:tabs>
                <w:tab w:val="left" w:pos="1646"/>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（3）投标人的财务状况符合招标文件规定。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（4）投标人的类似项目业绩符合招标文件规定。</w:t>
            </w:r>
          </w:p>
          <w:p>
            <w:pPr>
              <w:pStyle w:val="13"/>
              <w:pageBreakBefore w:val="0"/>
              <w:shd w:val="clear" w:color="auto" w:fill="auto"/>
              <w:tabs>
                <w:tab w:val="left" w:pos="1646"/>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（5）投标人的信誉符合招标文件规定。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（6）投标人的项目经理</w:t>
            </w:r>
            <w:r>
              <w:rPr>
                <w:rStyle w:val="14"/>
                <w:rFonts w:hint="eastAsia" w:asciiTheme="minorEastAsia" w:hAnsiTheme="minorEastAsia" w:eastAsiaTheme="minorEastAsia" w:cstheme="minorEastAsia"/>
                <w:color w:val="auto"/>
                <w:sz w:val="21"/>
                <w:szCs w:val="21"/>
                <w:lang w:eastAsia="zh-CN"/>
              </w:rPr>
              <w:t>和项目总工（技术负责人）</w:t>
            </w:r>
            <w:r>
              <w:rPr>
                <w:rStyle w:val="14"/>
                <w:rFonts w:hint="eastAsia" w:asciiTheme="minorEastAsia" w:hAnsiTheme="minorEastAsia" w:eastAsiaTheme="minorEastAsia" w:cstheme="minorEastAsia"/>
                <w:color w:val="auto"/>
                <w:sz w:val="21"/>
                <w:szCs w:val="21"/>
              </w:rPr>
              <w:t>资格、在岗情况符合招标文件规定。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（7）投标人不存在第二章“投标人须知”第1.4.3项或第1.4.4项规定的任何一种情形。</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（8）投标人符合第二章“投标人须知”第1.4.5项规定。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2.2.1</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第一个信封评分分值构成 ：</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(总分100分)</w:t>
            </w:r>
          </w:p>
        </w:tc>
        <w:tc>
          <w:tcPr>
            <w:tcW w:w="7232" w:type="dxa"/>
            <w:noWrap w:val="0"/>
            <w:vAlign w:val="center"/>
          </w:tcPr>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施工组织设计：      40分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主要人员：          25分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履约信誉：          15分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Style w:val="14"/>
                <w:rFonts w:hint="eastAsia" w:asciiTheme="minorEastAsia" w:hAnsiTheme="minorEastAsia" w:eastAsiaTheme="minorEastAsia" w:cstheme="minorEastAsia"/>
                <w:color w:val="auto"/>
                <w:sz w:val="21"/>
                <w:szCs w:val="21"/>
              </w:rPr>
              <w:t xml:space="preserve">企业业绩：          </w:t>
            </w:r>
            <w:r>
              <w:rPr>
                <w:rStyle w:val="14"/>
                <w:rFonts w:hint="eastAsia" w:asciiTheme="minorEastAsia" w:hAnsiTheme="minorEastAsia" w:eastAsiaTheme="minorEastAsia" w:cstheme="minorEastAsia"/>
                <w:color w:val="auto"/>
                <w:sz w:val="21"/>
                <w:szCs w:val="21"/>
                <w:lang w:eastAsia="zh-CN"/>
              </w:rPr>
              <w:t>2</w:t>
            </w:r>
            <w:r>
              <w:rPr>
                <w:rStyle w:val="14"/>
                <w:rFonts w:hint="eastAsia" w:asciiTheme="minorEastAsia" w:hAnsiTheme="minorEastAsia" w:eastAsiaTheme="minorEastAsia" w:cstheme="minorEastAsia"/>
                <w:color w:val="auto"/>
                <w:sz w:val="21"/>
                <w:szCs w:val="21"/>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第二个信封</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详细评审标准</w:t>
            </w:r>
          </w:p>
        </w:tc>
        <w:tc>
          <w:tcPr>
            <w:tcW w:w="7232" w:type="dxa"/>
            <w:noWrap w:val="0"/>
            <w:vAlign w:val="center"/>
          </w:tcPr>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评标价计算公式：</w:t>
            </w:r>
          </w:p>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评标价=投标函文字报价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3.2.4</w:t>
            </w:r>
          </w:p>
        </w:tc>
        <w:tc>
          <w:tcPr>
            <w:tcW w:w="1555" w:type="dxa"/>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通过第一个信封详细评审的投标人数量</w:t>
            </w:r>
          </w:p>
        </w:tc>
        <w:tc>
          <w:tcPr>
            <w:tcW w:w="7232" w:type="dxa"/>
            <w:noWrap w:val="0"/>
            <w:vAlign w:val="center"/>
          </w:tcPr>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按照投标人的商务和技术得分由高到低排序，选择前3名通过详细评审。</w:t>
            </w:r>
          </w:p>
        </w:tc>
      </w:tr>
    </w:tbl>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sz w:val="21"/>
          <w:szCs w:val="21"/>
          <w:u w:val="none"/>
        </w:rPr>
      </w:pPr>
    </w:p>
    <w:tbl>
      <w:tblPr>
        <w:tblStyle w:val="8"/>
        <w:tblW w:w="564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52"/>
        <w:gridCol w:w="620"/>
        <w:gridCol w:w="606"/>
        <w:gridCol w:w="851"/>
        <w:gridCol w:w="1733"/>
        <w:gridCol w:w="807"/>
        <w:gridCol w:w="3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027" w:type="pct"/>
            <w:vMerge w:val="restart"/>
            <w:tcBorders>
              <w:top w:val="single" w:color="auto" w:sz="12" w:space="0"/>
            </w:tcBorders>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条款号</w:t>
            </w:r>
          </w:p>
        </w:tc>
        <w:tc>
          <w:tcPr>
            <w:tcW w:w="2203" w:type="pct"/>
            <w:gridSpan w:val="5"/>
            <w:tcBorders>
              <w:top w:val="single" w:color="auto" w:sz="12" w:space="0"/>
            </w:tcBorders>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评分因素与权重分值</w:t>
            </w:r>
          </w:p>
        </w:tc>
        <w:tc>
          <w:tcPr>
            <w:tcW w:w="1769" w:type="pct"/>
            <w:vMerge w:val="restart"/>
            <w:tcBorders>
              <w:top w:val="single" w:color="auto" w:sz="12" w:space="0"/>
            </w:tcBorders>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tc>
        <w:tc>
          <w:tcPr>
            <w:tcW w:w="406"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权重分值</w:t>
            </w:r>
          </w:p>
        </w:tc>
        <w:tc>
          <w:tcPr>
            <w:tcW w:w="827"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各评分因素细分项</w:t>
            </w:r>
          </w:p>
        </w:tc>
        <w:tc>
          <w:tcPr>
            <w:tcW w:w="384"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分值</w:t>
            </w:r>
          </w:p>
        </w:tc>
        <w:tc>
          <w:tcPr>
            <w:tcW w:w="1769"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027"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2.2.2（1）</w:t>
            </w:r>
          </w:p>
        </w:tc>
        <w:tc>
          <w:tcPr>
            <w:tcW w:w="585" w:type="pct"/>
            <w:gridSpan w:val="2"/>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施工组织设计</w:t>
            </w:r>
          </w:p>
        </w:tc>
        <w:tc>
          <w:tcPr>
            <w:tcW w:w="406"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40分</w:t>
            </w:r>
          </w:p>
        </w:tc>
        <w:tc>
          <w:tcPr>
            <w:tcW w:w="827" w:type="pct"/>
            <w:vMerge w:val="restar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总体施工组织布置及规划</w:t>
            </w:r>
          </w:p>
        </w:tc>
        <w:tc>
          <w:tcPr>
            <w:tcW w:w="384" w:type="pct"/>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6～10</w:t>
            </w:r>
          </w:p>
        </w:tc>
        <w:tc>
          <w:tcPr>
            <w:tcW w:w="1769" w:type="pc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总体方案切实可行，对本项目具有针对性。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exac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continue"/>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p>
        </w:tc>
        <w:tc>
          <w:tcPr>
            <w:tcW w:w="384" w:type="pct"/>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769" w:type="pc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总体方案基本满足要求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exac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restart"/>
            <w:noWrap w:val="0"/>
            <w:vAlign w:val="center"/>
          </w:tcPr>
          <w:p>
            <w:pPr>
              <w:pageBreakBefore w:val="0"/>
              <w:kinsoku/>
              <w:wordWrap/>
              <w:overflowPunct/>
              <w:topLinePunct w:val="0"/>
              <w:bidi w:val="0"/>
              <w:adjustRightInd w:val="0"/>
              <w:snapToGrid w:val="0"/>
              <w:spacing w:before="48" w:beforeLines="20" w:after="48" w:afterLines="2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重点难点工程及解决方法</w:t>
            </w:r>
          </w:p>
        </w:tc>
        <w:tc>
          <w:tcPr>
            <w:tcW w:w="384" w:type="pct"/>
            <w:noWrap w:val="0"/>
            <w:vAlign w:val="center"/>
          </w:tcPr>
          <w:p>
            <w:pPr>
              <w:pageBreakBefore w:val="0"/>
              <w:kinsoku/>
              <w:wordWrap/>
              <w:overflowPunct/>
              <w:topLinePunct w:val="0"/>
              <w:bidi w:val="0"/>
              <w:adjustRightInd w:val="0"/>
              <w:snapToGrid w:val="0"/>
              <w:spacing w:before="48" w:beforeLines="20" w:after="48" w:afterLines="2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6～10</w:t>
            </w:r>
          </w:p>
        </w:tc>
        <w:tc>
          <w:tcPr>
            <w:tcW w:w="1769" w:type="pct"/>
            <w:noWrap w:val="0"/>
            <w:vAlign w:val="center"/>
          </w:tcPr>
          <w:p>
            <w:pPr>
              <w:pageBreakBefore w:val="0"/>
              <w:kinsoku/>
              <w:wordWrap/>
              <w:overflowPunct/>
              <w:topLinePunct w:val="0"/>
              <w:bidi w:val="0"/>
              <w:adjustRightInd w:val="0"/>
              <w:snapToGrid w:val="0"/>
              <w:spacing w:before="48" w:beforeLines="20" w:after="48" w:afterLines="2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重点难点工程突出，解决办法合理、科学、先进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exac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continue"/>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p>
        </w:tc>
        <w:tc>
          <w:tcPr>
            <w:tcW w:w="384" w:type="pct"/>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769" w:type="pc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有重点难点工程，有解决办法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9" w:hRule="atLeas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restart"/>
            <w:noWrap w:val="0"/>
            <w:vAlign w:val="center"/>
          </w:tcPr>
          <w:p>
            <w:pPr>
              <w:pageBreakBefore w:val="0"/>
              <w:kinsoku/>
              <w:wordWrap/>
              <w:overflowPunct/>
              <w:topLinePunct w:val="0"/>
              <w:bidi w:val="0"/>
              <w:adjustRightInd w:val="0"/>
              <w:snapToGrid w:val="0"/>
              <w:spacing w:before="48" w:beforeLines="20" w:after="48" w:afterLines="2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施工方案、方法</w:t>
            </w:r>
          </w:p>
        </w:tc>
        <w:tc>
          <w:tcPr>
            <w:tcW w:w="384" w:type="pct"/>
            <w:noWrap w:val="0"/>
            <w:vAlign w:val="center"/>
          </w:tcPr>
          <w:p>
            <w:pPr>
              <w:pageBreakBefore w:val="0"/>
              <w:kinsoku/>
              <w:wordWrap/>
              <w:overflowPunct/>
              <w:topLinePunct w:val="0"/>
              <w:bidi w:val="0"/>
              <w:adjustRightInd w:val="0"/>
              <w:snapToGrid w:val="0"/>
              <w:spacing w:before="48" w:beforeLines="20" w:after="48" w:afterLines="2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6～10</w:t>
            </w:r>
          </w:p>
        </w:tc>
        <w:tc>
          <w:tcPr>
            <w:tcW w:w="1769" w:type="pct"/>
            <w:noWrap w:val="0"/>
            <w:vAlign w:val="center"/>
          </w:tcPr>
          <w:p>
            <w:pPr>
              <w:pageBreakBefore w:val="0"/>
              <w:kinsoku/>
              <w:wordWrap/>
              <w:overflowPunct/>
              <w:topLinePunct w:val="0"/>
              <w:bidi w:val="0"/>
              <w:adjustRightInd w:val="0"/>
              <w:snapToGrid w:val="0"/>
              <w:spacing w:before="48" w:beforeLines="20" w:after="48" w:afterLines="2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施工方案可行、施工方法齐全、技术先进、施工工艺完善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continue"/>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p>
        </w:tc>
        <w:tc>
          <w:tcPr>
            <w:tcW w:w="384" w:type="pct"/>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769" w:type="pc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施工方案、方法基本满足要求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restar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总体施工组织布置及规划</w:t>
            </w:r>
          </w:p>
        </w:tc>
        <w:tc>
          <w:tcPr>
            <w:tcW w:w="384" w:type="pct"/>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6～10</w:t>
            </w:r>
          </w:p>
        </w:tc>
        <w:tc>
          <w:tcPr>
            <w:tcW w:w="1769" w:type="pc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总体方案切实可行，对本项目具有针对性。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vMerge w:val="continue"/>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p>
        </w:tc>
        <w:tc>
          <w:tcPr>
            <w:tcW w:w="384" w:type="pct"/>
            <w:noWrap w:val="0"/>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769" w:type="pct"/>
            <w:noWrap w:val="0"/>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总体方案基本满足要求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9" w:hRule="exact"/>
          <w:jc w:val="center"/>
        </w:trPr>
        <w:tc>
          <w:tcPr>
            <w:tcW w:w="1027"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2.2.2（2）</w:t>
            </w:r>
          </w:p>
        </w:tc>
        <w:tc>
          <w:tcPr>
            <w:tcW w:w="585" w:type="pct"/>
            <w:gridSpan w:val="2"/>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主要人员</w:t>
            </w:r>
          </w:p>
        </w:tc>
        <w:tc>
          <w:tcPr>
            <w:tcW w:w="406"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25分</w:t>
            </w:r>
          </w:p>
        </w:tc>
        <w:tc>
          <w:tcPr>
            <w:tcW w:w="827" w:type="pct"/>
            <w:noWrap w:val="0"/>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项目经理任职资格与业绩</w:t>
            </w:r>
          </w:p>
        </w:tc>
        <w:tc>
          <w:tcPr>
            <w:tcW w:w="384"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w:t>
            </w:r>
          </w:p>
        </w:tc>
        <w:tc>
          <w:tcPr>
            <w:tcW w:w="1769" w:type="pct"/>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满足资格审查条件得</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分，每担任过1项房屋建筑施工的项目经理加</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分，最多加</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建筑工程施工业绩：吉林省业绩以“吉林省建筑市场监管公共服务平台”网址上公布的企业相关业绩信息为准。省域外的业绩认定，必须是通过互联网且不需任何权限即可在工程所在地的省级建筑市场监管一体化工作平台查询得到，而且查询到的数据应能满足招标项目的要求，其他网站查询的业绩不予认定。</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②建筑工程施工业绩完成时间是指2018年1月1日以后竣工的业绩。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exac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585" w:type="pct"/>
            <w:gridSpan w:val="2"/>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827" w:type="pct"/>
            <w:noWrap w:val="0"/>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项目总工（技术负责人）任职资格与业绩</w:t>
            </w:r>
          </w:p>
        </w:tc>
        <w:tc>
          <w:tcPr>
            <w:tcW w:w="384"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1769" w:type="pct"/>
            <w:noWrap w:val="0"/>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满足资格审查条件得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0" w:hRule="exact"/>
          <w:jc w:val="center"/>
        </w:trPr>
        <w:tc>
          <w:tcPr>
            <w:tcW w:w="1027"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2.2.2（3）</w:t>
            </w:r>
          </w:p>
        </w:tc>
        <w:tc>
          <w:tcPr>
            <w:tcW w:w="296"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其他因素</w:t>
            </w:r>
          </w:p>
        </w:tc>
        <w:tc>
          <w:tcPr>
            <w:tcW w:w="288"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企业业绩</w:t>
            </w:r>
          </w:p>
        </w:tc>
        <w:tc>
          <w:tcPr>
            <w:tcW w:w="406"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20分</w:t>
            </w:r>
          </w:p>
        </w:tc>
        <w:tc>
          <w:tcPr>
            <w:tcW w:w="827" w:type="pc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企业施工业绩</w:t>
            </w:r>
          </w:p>
        </w:tc>
        <w:tc>
          <w:tcPr>
            <w:tcW w:w="384" w:type="pct"/>
            <w:noWrap w:val="0"/>
            <w:vAlign w:val="center"/>
          </w:tcPr>
          <w:p>
            <w:pPr>
              <w:pageBreakBefore w:val="0"/>
              <w:kinsoku/>
              <w:wordWrap/>
              <w:overflowPunct/>
              <w:topLinePunct w:val="0"/>
              <w:bidi w:val="0"/>
              <w:spacing w:line="360" w:lineRule="exact"/>
              <w:ind w:right="113"/>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769" w:type="pct"/>
            <w:noWrap w:val="0"/>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（1）满足资格审查条件得12分。</w:t>
            </w:r>
          </w:p>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（2）在满足资格审查条件的基础上，每增加一项工程造价不低于</w:t>
            </w:r>
            <w:r>
              <w:rPr>
                <w:rFonts w:hint="eastAsia" w:asciiTheme="minorEastAsia" w:hAnsiTheme="minorEastAsia" w:eastAsiaTheme="minorEastAsia" w:cstheme="minorEastAsia"/>
                <w:color w:val="auto"/>
                <w:kern w:val="0"/>
                <w:sz w:val="21"/>
                <w:szCs w:val="21"/>
                <w:lang w:eastAsia="zh-CN"/>
              </w:rPr>
              <w:t>500万元的类似建筑工程施工业绩</w:t>
            </w:r>
            <w:r>
              <w:rPr>
                <w:rFonts w:hint="eastAsia" w:asciiTheme="minorEastAsia" w:hAnsiTheme="minorEastAsia" w:eastAsiaTheme="minorEastAsia" w:cstheme="minorEastAsia"/>
                <w:color w:val="auto"/>
                <w:kern w:val="0"/>
                <w:sz w:val="21"/>
                <w:szCs w:val="21"/>
              </w:rPr>
              <w:t>加4分，最多加4分。</w:t>
            </w:r>
          </w:p>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（3）在满足资格审查条件的基础上，每增加一项二级或二级以上公路工程施工业绩加4分，最多加4分。</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建筑工程施工业绩：吉林省业绩以“吉林省建筑市场监管公共服务平台”网址上公布的企业相关业绩信息为准。省域外的业绩认定，必须是通过互联网且不需任何权限即可在工程所在地的省级建筑市场监管一体化工作平台查询得到，而且查询到的数据应能满足招标项目的要求，其他网站查询的业绩不予认定。</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②建筑工程施工业绩完成时间是指2018年1月1日以后竣工的业绩。</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③公路部分施工业绩是指2016年1月1日以后交工的国内新建或改扩建公路施工业绩，且应是已列入交通运输主管部门“公路建设市场信用信息管理系统”并公开的主包已建业绩或分包已建业绩。</w:t>
            </w:r>
          </w:p>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kern w:val="0"/>
                <w:sz w:val="21"/>
                <w:szCs w:val="21"/>
              </w:rPr>
            </w:pPr>
          </w:p>
          <w:p>
            <w:pPr>
              <w:pageBreakBefore w:val="0"/>
              <w:kinsoku/>
              <w:wordWrap/>
              <w:overflowPunct/>
              <w:topLinePunct w:val="0"/>
              <w:bidi w:val="0"/>
              <w:adjustRightInd w:val="0"/>
              <w:snapToGrid w:val="0"/>
              <w:spacing w:before="72" w:beforeLines="30" w:after="72" w:afterLines="30" w:line="360" w:lineRule="exact"/>
              <w:textAlignment w:val="auto"/>
              <w:rPr>
                <w:rFonts w:hint="eastAsia" w:asciiTheme="minorEastAsia" w:hAnsiTheme="minorEastAsia" w:eastAsiaTheme="minorEastAsia" w:cstheme="minorEastAsia"/>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5" w:hRule="atLeas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29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288"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履约信誉</w:t>
            </w:r>
          </w:p>
        </w:tc>
        <w:tc>
          <w:tcPr>
            <w:tcW w:w="406" w:type="pct"/>
            <w:vMerge w:val="restart"/>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15分</w:t>
            </w:r>
          </w:p>
        </w:tc>
        <w:tc>
          <w:tcPr>
            <w:tcW w:w="827" w:type="pct"/>
            <w:tcBorders>
              <w:bottom w:val="single" w:color="auto" w:sz="4" w:space="0"/>
            </w:tcBorders>
            <w:noWrap w:val="0"/>
            <w:vAlign w:val="center"/>
          </w:tcPr>
          <w:p>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建筑企业信誉</w:t>
            </w:r>
          </w:p>
        </w:tc>
        <w:tc>
          <w:tcPr>
            <w:tcW w:w="384" w:type="pct"/>
            <w:tcBorders>
              <w:bottom w:val="single" w:color="auto" w:sz="4" w:space="0"/>
            </w:tcBorders>
            <w:noWrap w:val="0"/>
            <w:vAlign w:val="center"/>
          </w:tcPr>
          <w:p>
            <w:pPr>
              <w:pageBreakBefore w:val="0"/>
              <w:kinsoku/>
              <w:wordWrap/>
              <w:overflowPunct/>
              <w:topLinePunct w:val="0"/>
              <w:bidi w:val="0"/>
              <w:spacing w:before="240"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10分</w:t>
            </w:r>
          </w:p>
        </w:tc>
        <w:tc>
          <w:tcPr>
            <w:tcW w:w="1769" w:type="pct"/>
            <w:tcBorders>
              <w:bottom w:val="single" w:color="auto" w:sz="4" w:space="0"/>
            </w:tcBorders>
            <w:noWrap w:val="0"/>
            <w:vAlign w:val="center"/>
          </w:tcPr>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一、投标人近三年无履约不良行为得8分；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二、投标人近三年有履约不良行为，但仍符合招标文件第二章“投标人须知”前附表附录4和“投标人须知”正文第1.4.4项规定得6分。</w:t>
            </w:r>
          </w:p>
          <w:p>
            <w:pPr>
              <w:pStyle w:val="2"/>
              <w:pageBreakBefore w:val="0"/>
              <w:kinsoku/>
              <w:wordWrap/>
              <w:overflowPunct/>
              <w:topLinePunct w:val="0"/>
              <w:bidi w:val="0"/>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三、根据省级建设行政主管部门2020年度行业信用评价结果，评价等级“优良”的得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分，评价等级“合格”的得1分，无不得分。提供信用评价结果公示的网络截图通知及信用评价登等级表。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027"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29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288"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406" w:type="pct"/>
            <w:vMerge w:val="continue"/>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u w:val="single"/>
              </w:rPr>
            </w:pPr>
          </w:p>
        </w:tc>
        <w:tc>
          <w:tcPr>
            <w:tcW w:w="827" w:type="pct"/>
            <w:tcBorders>
              <w:bottom w:val="single" w:color="auto" w:sz="4" w:space="0"/>
            </w:tcBorders>
            <w:noWrap w:val="0"/>
            <w:vAlign w:val="center"/>
          </w:tcPr>
          <w:p>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公路企业信誉</w:t>
            </w:r>
          </w:p>
        </w:tc>
        <w:tc>
          <w:tcPr>
            <w:tcW w:w="384" w:type="pct"/>
            <w:tcBorders>
              <w:bottom w:val="single" w:color="auto" w:sz="4" w:space="0"/>
            </w:tcBorders>
            <w:noWrap w:val="0"/>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769" w:type="pct"/>
            <w:tcBorders>
              <w:bottom w:val="single" w:color="auto" w:sz="4" w:space="0"/>
            </w:tcBorders>
            <w:noWrap w:val="0"/>
            <w:vAlign w:val="center"/>
          </w:tcPr>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本次评标按照以下投标人的企业信用作为评分标准：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一、列入“交通运输部关于公布2020年公路水运工程建设领域守信典型企业目录的公告”中的投标人。</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二、企业在以下规定中获得的信用评价：</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（1）交通运输部“全国公路建设市场信用信息管理系统”“全国公路从业单位信用评价结果”中投标人的吉林省2019年度企业信用等级；</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（2）交通运输部“全国公路建设市场信用信息管理系统”“全国公路从业单位信用评价结果”中投标人的全国综合评价2019年度企业信用等级；</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（3）同一投标人同时具有上述吉林省和全国综合评价的，以信用等级低的为准。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（4）无上述吉林省和全国综合评价且未列入交通运输部“全国公路建设市场信用信息管理系统”“不良信用记录”的，按A级对待，否则按D级对待。</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同一投标人即列入“交通运输部关于公布2020年公路水运工程建设领域守信典型企业目录的公告”又在交通运输部“全国公路建设市场信用信息管理系统”“全国公路从业单位信用评价结果”中列入吉林省2019年度企业信用等级的，以“全国公路从业单位信用评价结果”中投标人的吉林省2019年度企业信用等级作为企业信用评分标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列入“交通运输部关于公布2020年公路水运工程建设领域守信典型企业目录的公告”或信用评价AA级、A级、B级得5分；C级得 3分；D级得0分。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5000" w:type="pct"/>
            <w:gridSpan w:val="7"/>
            <w:tcBorders>
              <w:bottom w:val="single" w:color="auto" w:sz="12" w:space="0"/>
            </w:tcBorders>
            <w:noWrap w:val="0"/>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需要补充的其他内容：</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施工组织设计得分一般不得低于其权重分值的60%，且得分应以评标委员会各成员的打分平均值确定，该平均值以去掉一个最高值和一个最低值计算。评标委员会成员的评分低于权重分值60%的，应在评标报告中作出说明。</w:t>
            </w:r>
          </w:p>
          <w:p>
            <w:pPr>
              <w:pageBreakBefore w:val="0"/>
              <w:kinsoku/>
              <w:wordWrap/>
              <w:overflowPunct/>
              <w:topLinePunct w:val="0"/>
              <w:autoSpaceDE w:val="0"/>
              <w:autoSpaceDN w:val="0"/>
              <w:bidi w:val="0"/>
              <w:adjustRightInd w:val="0"/>
              <w:spacing w:before="120" w:beforeLines="50" w:line="360" w:lineRule="exact"/>
              <w:ind w:left="0" w:leftChars="-20" w:hanging="42" w:hangingChars="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2、如同一标段出现多名投标人的第一个信封（商务及技术文件）综合得分相等时，评标委员会依次按照以下优先顺序确定通过第一个信封详细评审的投标人：</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（1）履约信誉得分较高的投标人优先；</w:t>
            </w:r>
          </w:p>
          <w:p>
            <w:pPr>
              <w:pageBreakBefore w:val="0"/>
              <w:kinsoku/>
              <w:wordWrap/>
              <w:overflowPunct/>
              <w:topLinePunct w:val="0"/>
              <w:autoSpaceDE w:val="0"/>
              <w:autoSpaceDN w:val="0"/>
              <w:bidi w:val="0"/>
              <w:adjustRightIn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（2）施工组织设计得分较高的投标人优先；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（3）企业业绩得分较高的投标人优先。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若以上各项评分因素得分都相等，则通过评委会投票表决，推荐票数多的投标人排序在先。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p>
        </w:tc>
      </w:tr>
    </w:tbl>
    <w:p>
      <w:pPr>
        <w:keepNext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sz w:val="21"/>
          <w:szCs w:val="21"/>
          <w:u w:val="none"/>
        </w:rPr>
      </w:pPr>
    </w:p>
    <w:p>
      <w:pPr>
        <w:keepNext w:val="0"/>
        <w:pageBreakBefore w:val="0"/>
        <w:kinsoku/>
        <w:wordWrap/>
        <w:overflowPunct/>
        <w:topLinePunct w:val="0"/>
        <w:bidi w:val="0"/>
        <w:spacing w:line="360" w:lineRule="exact"/>
        <w:jc w:val="center"/>
        <w:textAlignment w:val="auto"/>
        <w:outlineLvl w:val="2"/>
        <w:rPr>
          <w:rFonts w:hint="eastAsia" w:asciiTheme="minorEastAsia" w:hAnsiTheme="minorEastAsia" w:eastAsiaTheme="minorEastAsia" w:cstheme="minorEastAsia"/>
          <w:b w:val="0"/>
          <w:bCs/>
          <w:color w:val="auto"/>
          <w:sz w:val="21"/>
          <w:szCs w:val="21"/>
          <w:u w:val="none"/>
        </w:rPr>
      </w:pPr>
      <w:bookmarkStart w:id="19" w:name="_Toc58926122"/>
      <w:bookmarkStart w:id="20" w:name="_Toc530555341"/>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sz w:val="21"/>
          <w:szCs w:val="21"/>
          <w:u w:val="none"/>
        </w:rPr>
      </w:pPr>
    </w:p>
    <w:p>
      <w:pPr>
        <w:pStyle w:val="2"/>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p>
    <w:bookmarkEnd w:id="19"/>
    <w:bookmarkEnd w:id="20"/>
    <w:p>
      <w:pPr>
        <w:pageBreakBefore w:val="0"/>
        <w:kinsoku/>
        <w:wordWrap/>
        <w:overflowPunct/>
        <w:topLinePunct w:val="0"/>
        <w:bidi w:val="0"/>
        <w:spacing w:line="360" w:lineRule="exact"/>
        <w:jc w:val="center"/>
        <w:textAlignment w:val="auto"/>
        <w:outlineLvl w:val="2"/>
        <w:rPr>
          <w:rFonts w:hint="eastAsia" w:asciiTheme="minorEastAsia" w:hAnsiTheme="minorEastAsia" w:eastAsiaTheme="minorEastAsia" w:cstheme="minorEastAsia"/>
          <w:color w:val="auto"/>
          <w:sz w:val="21"/>
          <w:szCs w:val="21"/>
        </w:rPr>
      </w:pPr>
      <w:bookmarkStart w:id="21" w:name="_Toc67839341"/>
      <w:r>
        <w:rPr>
          <w:rFonts w:hint="eastAsia" w:asciiTheme="minorEastAsia" w:hAnsiTheme="minorEastAsia" w:eastAsiaTheme="minorEastAsia" w:cstheme="minorEastAsia"/>
          <w:color w:val="auto"/>
          <w:sz w:val="21"/>
          <w:szCs w:val="21"/>
        </w:rPr>
        <w:t>评标办法正文</w:t>
      </w:r>
      <w:bookmarkEnd w:id="21"/>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color w:val="auto"/>
          <w:sz w:val="21"/>
          <w:szCs w:val="21"/>
        </w:rPr>
      </w:pPr>
      <w:bookmarkStart w:id="22" w:name="_Toc234382664"/>
      <w:bookmarkStart w:id="23" w:name="_Toc35268506"/>
      <w:r>
        <w:rPr>
          <w:rFonts w:hint="eastAsia" w:asciiTheme="minorEastAsia" w:hAnsiTheme="minorEastAsia" w:eastAsiaTheme="minorEastAsia" w:cstheme="minorEastAsia"/>
          <w:b/>
          <w:bCs/>
          <w:color w:val="auto"/>
          <w:sz w:val="21"/>
          <w:szCs w:val="21"/>
        </w:rPr>
        <w:t>1. 评标方法</w:t>
      </w:r>
      <w:bookmarkEnd w:id="22"/>
      <w:bookmarkEnd w:id="23"/>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24" w:name="_Toc35268507"/>
      <w:bookmarkStart w:id="25" w:name="_Toc234382665"/>
      <w:r>
        <w:rPr>
          <w:rFonts w:hint="eastAsia" w:asciiTheme="minorEastAsia" w:hAnsiTheme="minorEastAsia" w:eastAsiaTheme="minorEastAsia" w:cstheme="minorEastAsia"/>
          <w:color w:val="auto"/>
          <w:sz w:val="21"/>
          <w:szCs w:val="21"/>
        </w:rPr>
        <w:t>本次评标采用技术评分最低标价法。评标委员会对满足招标文件实质要求的投标文件的施工组织设计、主要人员、技术能力等因素进行评分，按照得分由高到低排序，对排名在招标文件规定数量以内的投标人的报价文件进行评审，按照评标价由低到高顺序推荐中标候选人，或根据招标人授权直接确定中标人，但投标报价低于其成本的除外。评标价相等时，评标委员会应按照评标办法前附表规定的优先次序推荐中标候选人或确定中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 评审标准</w:t>
      </w:r>
      <w:bookmarkEnd w:id="24"/>
      <w:bookmarkEnd w:id="25"/>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26" w:name="_Toc35268508"/>
      <w:r>
        <w:rPr>
          <w:rFonts w:hint="eastAsia" w:asciiTheme="minorEastAsia" w:hAnsiTheme="minorEastAsia" w:eastAsiaTheme="minorEastAsia" w:cstheme="minorEastAsia"/>
          <w:color w:val="auto"/>
          <w:sz w:val="21"/>
          <w:szCs w:val="21"/>
        </w:rPr>
        <w:t>2.1 初步评审标准</w:t>
      </w:r>
      <w:bookmarkEnd w:id="26"/>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27" w:name="_Toc35268509"/>
      <w:r>
        <w:rPr>
          <w:rFonts w:hint="eastAsia" w:asciiTheme="minorEastAsia" w:hAnsiTheme="minorEastAsia" w:eastAsiaTheme="minorEastAsia" w:cstheme="minorEastAsia"/>
          <w:color w:val="auto"/>
          <w:sz w:val="21"/>
          <w:szCs w:val="21"/>
        </w:rPr>
        <w:t>2.1.1 形式评审标准：见评标办法前附表。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 资格评审标准：见评标办法前附表（适用于未进行资格预审的）。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 资格评审标准：见资格预审文件第三章“资格审查办法”详细审查标准（适用于已进行资格预审的）。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2.1.3 响应性评审标准：见评标办法前附表。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分值构成与评分标准</w:t>
      </w:r>
      <w:bookmarkEnd w:id="27"/>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28" w:name="_Toc35268510"/>
      <w:r>
        <w:rPr>
          <w:rFonts w:hint="eastAsia" w:asciiTheme="minorEastAsia" w:hAnsiTheme="minorEastAsia" w:eastAsiaTheme="minorEastAsia" w:cstheme="minorEastAsia"/>
          <w:color w:val="auto"/>
          <w:sz w:val="21"/>
          <w:szCs w:val="21"/>
        </w:rPr>
        <w:t>2.2.1 第一个信封评分分值构成</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（1）施工组织设计：见评标办法前附表；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（2）主要人员：见评标办法前附表；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（3）其他评分因素：见评标办法前附表。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2.2.2第一个信封评分标准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（1）施工组织设计评分标准：见评标办法前附表；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（2）主要人员评分标准：见评标办法前附表；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（3）其他因素评分标准：见评标办法前附表。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2.2.3第二个信封详细评审标准：见评标办法前附表。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 评标程序</w:t>
      </w:r>
      <w:bookmarkEnd w:id="28"/>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29" w:name="_Toc35268511"/>
      <w:r>
        <w:rPr>
          <w:rFonts w:hint="eastAsia" w:asciiTheme="minorEastAsia" w:hAnsiTheme="minorEastAsia" w:eastAsiaTheme="minorEastAsia" w:cstheme="minorEastAsia"/>
          <w:color w:val="auto"/>
          <w:sz w:val="21"/>
          <w:szCs w:val="21"/>
        </w:rPr>
        <w:t>3.1 第一个信封初步评审</w:t>
      </w:r>
      <w:bookmarkEnd w:id="29"/>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0" w:name="_Toc35268512"/>
      <w:r>
        <w:rPr>
          <w:rFonts w:hint="eastAsia" w:asciiTheme="minorEastAsia" w:hAnsiTheme="minorEastAsia" w:eastAsiaTheme="minorEastAsia" w:cstheme="minorEastAsia"/>
          <w:color w:val="auto"/>
          <w:sz w:val="21"/>
          <w:szCs w:val="21"/>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 第一个信封详细评审</w:t>
      </w:r>
      <w:bookmarkEnd w:id="30"/>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1" w:name="_Toc35268513"/>
      <w:r>
        <w:rPr>
          <w:rFonts w:hint="eastAsia" w:asciiTheme="minorEastAsia" w:hAnsiTheme="minorEastAsia" w:eastAsiaTheme="minorEastAsia" w:cstheme="minorEastAsia"/>
          <w:color w:val="auto"/>
          <w:sz w:val="21"/>
          <w:szCs w:val="21"/>
        </w:rPr>
        <w:t>3.2.1评标委员会按本章第2.2款规定的量化因素和分值进行打分，并计算出各投标人的商务和技术得分。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（1）按本章第2.2.2（1）目规定的评审因素和分值对施工组织设计部分计算出得分A；</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（2）按本章第2.2.2（2）目规定的评审因素和分值对主要人员部分计算出得分B；</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（3）按本章第2.2.2（3）目规定的评审因素和分值对其他部分计算出得分C。</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3.2.2投标人的商务和技术得分分值计算保留小数点后两位，小数点后第三位“四舍五入”。</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3.2.3投标人的商务和技术得分=A+B+C。</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3.2.4评标委员会按照投标人的商务和技术得分由高到低排序，排名在评标办法前附表规定数量以内的投标人，其投标文件第一个信封（商务及技术文件）通过详细评审。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 第二个信封开标</w:t>
      </w:r>
      <w:bookmarkEnd w:id="31"/>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2" w:name="_Toc35268514"/>
      <w:r>
        <w:rPr>
          <w:rFonts w:hint="eastAsia" w:asciiTheme="minorEastAsia" w:hAnsiTheme="minorEastAsia" w:eastAsiaTheme="minorEastAsia" w:cstheme="minorEastAsia"/>
          <w:color w:val="auto"/>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 第二个信封初步评审</w:t>
      </w:r>
      <w:bookmarkEnd w:id="32"/>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3" w:name="_Toc35268515"/>
      <w:r>
        <w:rPr>
          <w:rFonts w:hint="eastAsia" w:asciiTheme="minorEastAsia" w:hAnsiTheme="minorEastAsia" w:eastAsiaTheme="minorEastAsia" w:cstheme="minorEastAsia"/>
          <w:color w:val="auto"/>
          <w:sz w:val="21"/>
          <w:szCs w:val="21"/>
        </w:rPr>
        <w:t>3.4.1 评标委员会依据本章第2.1.1项、第2.1.3项规定的评审标准对投标文件第二个信封（报价文件）进行初步评审。有一项不符合评审标准的，评标委员会应否决其投标。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3.4.2</w:t>
      </w:r>
      <w:r>
        <w:rPr>
          <w:rFonts w:hint="eastAsia" w:asciiTheme="minorEastAsia" w:hAnsiTheme="minorEastAsia" w:eastAsiaTheme="minorEastAsia" w:cstheme="minorEastAsia"/>
          <w:color w:val="auto"/>
          <w:sz w:val="21"/>
          <w:szCs w:val="21"/>
        </w:rPr>
        <w:footnoteReference w:id="0"/>
      </w:r>
      <w:r>
        <w:rPr>
          <w:rFonts w:hint="eastAsia" w:asciiTheme="minorEastAsia" w:hAnsiTheme="minorEastAsia" w:eastAsiaTheme="minorEastAsia" w:cstheme="minorEastAsia"/>
          <w:color w:val="auto"/>
          <w:sz w:val="21"/>
          <w:szCs w:val="21"/>
        </w:rPr>
        <w:t xml:space="preserve"> 投标报价有算术错误的，评标委员会按以下原则对投标报价进行修正，修正的价格经投标人书面确认后具有约束力。投标人不接受修正价格的，评标委员会应否决其投标。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（1）投标文件中的大写金额与小写金额不一致的，以大写金额为准；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（2）总价金额与依据单价计算出的结果不一致的，以单价金额为准修正总价，但单价金额小数点有明显错误的除外；</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（3）当单价与数量相乘不等于合价时，以单价计算为准，如果单价有明显的小数点位置差错，应以标出的合价为准，同时对单价予以修正；</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（4）当各子目的合价累计不等于总价时，应以各子目合价累计数为准，修正总价。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（3）当单价与数量的乘积与合价（金额）虽然一致，但投标人修改了该子目的工程数量，则其合价按招标人给定的工程数量乘以投标人所报单价予以修正。</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3.4.4 修正后的最终投标报价若超过最高投标限价（如有），评标委员会应否决其投标。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  第二个信封详细评审</w:t>
      </w:r>
      <w:bookmarkEnd w:id="33"/>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3.5.1 评标委员会按本章第2.2款规定的量化因素和标准进行价格折算，计算出评标价，并编制价格比较一览表。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4" w:name="_Toc35268516"/>
      <w:r>
        <w:rPr>
          <w:rFonts w:hint="eastAsia" w:asciiTheme="minorEastAsia" w:hAnsiTheme="minorEastAsia" w:eastAsiaTheme="minorEastAsia" w:cstheme="minorEastAsia"/>
          <w:color w:val="auto"/>
          <w:sz w:val="21"/>
          <w:szCs w:val="21"/>
        </w:rPr>
        <w:t>3.6  投标文件相关信息的核查</w:t>
      </w:r>
      <w:bookmarkEnd w:id="34"/>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5" w:name="_Toc35268517"/>
      <w:r>
        <w:rPr>
          <w:rFonts w:hint="eastAsia" w:asciiTheme="minorEastAsia" w:hAnsiTheme="minorEastAsia" w:eastAsiaTheme="minorEastAsia" w:cstheme="minorEastAsia"/>
          <w:color w:val="auto"/>
          <w:sz w:val="21"/>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（1）有下列情形之一的，属于投标人相互串通投标：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a.投标人之间协商投标报价等投标文件的实质性内容；</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b.投标人之间约定中标人；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c.投标人之间约定部分投标人放弃投标或中标；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d.属于同一集团、协会、商会等组织成员的投标人按照该组织要求协同投标；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e.投标人之间为谋取中标或者排斥特定投标人而采取的其他联合行动。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（2）有下列情形之一的，视为投标人相互串通投标：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a.不同投标人的投标文件由同一单位或者个人编制；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b.不同投标人委托同一单位或个人办理投标事宜；</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c.不同投标人的投标文件载明的项目管理成员为同一人；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d.不同投标人的投标文件异常一致或者投标报价呈规律性差异；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e.不同投标人的投标文件相互混装；</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f.不同投标人的投标保证金从同一单位或个人的账户转出。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（3）有下列情形之一的，属于招标人与投标人串通投标：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a.招标人在开标前开启投标文件并将有关信息泄露给其他投标人；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b.招标人直接或间接向投标人泄露标底、评标委员会成员等信息；</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c.招标人明示或暗示投标人压低或抬高投标报价；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d.招标人授意投标人撤换、修改投标文件；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e.招标人明示或暗示投标人为特定投标人中标提供方便；</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f.招标人与投标人为谋求特定投标人中标而采取的其他串通行为。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（4）投标人有下列情形之一的，属于弄虚作假的行为：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a.使用通过受让或租借等方式获取的资格、资质证书投标；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b.使用伪造、变造的许可证件；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c.提供虚假的财务状况或业绩；</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d.提供虚假的项目负责人或主要技术人员简历、劳动关系证明；</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e.提供虚假的信用状况；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f.其他弄虚作假的行为。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  投标文件的澄清和说明</w:t>
      </w:r>
      <w:bookmarkEnd w:id="35"/>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6" w:name="_Toc35268518"/>
      <w:r>
        <w:rPr>
          <w:rFonts w:hint="eastAsia" w:asciiTheme="minorEastAsia" w:hAnsiTheme="minorEastAsia" w:eastAsiaTheme="minorEastAsia" w:cstheme="minorEastAsia"/>
          <w:color w:val="auto"/>
          <w:sz w:val="21"/>
          <w:szCs w:val="21"/>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3.7.2 澄清和说明不得超出投标文件的范围或改变投标文件的实质性内容（算术性错误修正的除外）。投标人的书面澄清、说明属于投标文件的组成部分。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3.7.3 评标委员会不得暗示或诱导投标人作出澄清、说明，对投标人提交的澄清、说明有疑问的，可以要求投标人进一步澄清或说明，直至满足评标委员会的要求。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3.7.4 凡超出招标文件规定的或给发包人带来未曾要求的利益的变化、偏差或其他因素在评标时不予考虑。</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3.8  不得否决投标的情形</w:t>
      </w:r>
      <w:bookmarkEnd w:id="36"/>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bookmarkStart w:id="37" w:name="_Toc35268519"/>
      <w:r>
        <w:rPr>
          <w:rFonts w:hint="eastAsia" w:asciiTheme="minorEastAsia" w:hAnsiTheme="minorEastAsia" w:eastAsiaTheme="minorEastAsia" w:cstheme="minorEastAsia"/>
          <w:color w:val="auto"/>
          <w:sz w:val="21"/>
          <w:szCs w:val="21"/>
        </w:rPr>
        <w:t>投标文件存在第二章“投标人须知”第1.12.3项所列情形的，均视为细微偏差，评标委员会不得否决投标人的投标，应按照第二章“投标人须知”第1.12.4项规定的原则处理。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  评标结果</w:t>
      </w:r>
      <w:bookmarkEnd w:id="37"/>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3.9.1除第二章“投标人须知”前附表授权直接确定中标人外，评标委员会按照评标价由低到高的顺序推荐中标候选人，并标明排序。</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3.9.2 评标委员会完成评标后，应向招标人提交书面评标报告。</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br w:type="page"/>
      </w:r>
      <w:r>
        <w:rPr>
          <w:rFonts w:hint="eastAsia" w:asciiTheme="minorEastAsia" w:hAnsiTheme="minorEastAsia" w:eastAsiaTheme="minorEastAsia" w:cstheme="minorEastAsia"/>
          <w:b/>
          <w:bCs/>
          <w:color w:val="auto"/>
          <w:kern w:val="0"/>
          <w:sz w:val="21"/>
          <w:szCs w:val="21"/>
        </w:rPr>
        <w:t>YAJD01标段</w:t>
      </w:r>
    </w:p>
    <w:p>
      <w:pPr>
        <w:pStyle w:val="3"/>
        <w:pageBreakBefore w:val="0"/>
        <w:kinsoku/>
        <w:wordWrap/>
        <w:overflowPunct/>
        <w:topLinePunct w:val="0"/>
        <w:bidi w:val="0"/>
        <w:snapToGrid w:val="0"/>
        <w:spacing w:before="0" w:after="0" w:line="360" w:lineRule="exact"/>
        <w:ind w:firstLine="210" w:firstLineChars="100"/>
        <w:textAlignment w:val="auto"/>
        <w:rPr>
          <w:rFonts w:hint="eastAsia" w:asciiTheme="minorEastAsia" w:hAnsiTheme="minorEastAsia" w:eastAsiaTheme="minorEastAsia" w:cstheme="minorEastAsia"/>
          <w:b w:val="0"/>
          <w:color w:val="000000" w:themeColor="text1"/>
          <w:sz w:val="21"/>
          <w:szCs w:val="21"/>
          <w14:textFill>
            <w14:solidFill>
              <w14:schemeClr w14:val="tx1"/>
            </w14:solidFill>
          </w14:textFill>
        </w:rPr>
      </w:pPr>
      <w:bookmarkStart w:id="38" w:name="_Toc197951588"/>
      <w:bookmarkStart w:id="39" w:name="_Toc197967118"/>
      <w:bookmarkStart w:id="40" w:name="_Toc197965597"/>
      <w:bookmarkStart w:id="41" w:name="_Toc197967266"/>
      <w:bookmarkStart w:id="42" w:name="_Toc197960545"/>
      <w:bookmarkStart w:id="43" w:name="_Toc197960493"/>
      <w:bookmarkStart w:id="44" w:name="_Toc197950803"/>
      <w:bookmarkStart w:id="45" w:name="_Toc197950682"/>
      <w:bookmarkStart w:id="46" w:name="_Toc513907883"/>
      <w:bookmarkStart w:id="47" w:name="_Toc67481408"/>
      <w:r>
        <w:rPr>
          <w:rFonts w:hint="eastAsia" w:asciiTheme="minorEastAsia" w:hAnsiTheme="minorEastAsia" w:eastAsiaTheme="minorEastAsia" w:cstheme="minorEastAsia"/>
          <w:b w:val="0"/>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投标人须知前附表</w:t>
      </w:r>
      <w:bookmarkEnd w:id="38"/>
      <w:bookmarkEnd w:id="39"/>
      <w:bookmarkEnd w:id="40"/>
      <w:bookmarkEnd w:id="41"/>
      <w:bookmarkEnd w:id="42"/>
      <w:bookmarkEnd w:id="43"/>
      <w:bookmarkEnd w:id="44"/>
      <w:bookmarkEnd w:id="45"/>
      <w:r>
        <w:rPr>
          <w:rStyle w:val="10"/>
          <w:rFonts w:hint="eastAsia" w:asciiTheme="minorEastAsia" w:hAnsiTheme="minorEastAsia" w:eastAsiaTheme="minorEastAsia" w:cstheme="minorEastAsia"/>
          <w:b w:val="0"/>
          <w:color w:val="000000" w:themeColor="text1"/>
          <w:sz w:val="21"/>
          <w:szCs w:val="21"/>
          <w14:textFill>
            <w14:solidFill>
              <w14:schemeClr w14:val="tx1"/>
            </w14:solidFill>
          </w14:textFill>
        </w:rPr>
        <w:footnoteReference w:id="1"/>
      </w:r>
      <w:bookmarkEnd w:id="46"/>
      <w:bookmarkEnd w:id="47"/>
    </w:p>
    <w:tbl>
      <w:tblPr>
        <w:tblStyle w:val="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6"/>
        <w:gridCol w:w="1975"/>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tblHeader/>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条款名称</w:t>
            </w:r>
          </w:p>
        </w:tc>
        <w:tc>
          <w:tcPr>
            <w:tcW w:w="6823" w:type="dxa"/>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w:t>
            </w:r>
          </w:p>
        </w:tc>
        <w:tc>
          <w:tcPr>
            <w:tcW w:w="6823" w:type="dxa"/>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名称：延边珲乌公路改建项目建设办公室</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地址：吉林省延吉市公园路5568号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联系人：程昭钦</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电话：0433-3135706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代理机构</w:t>
            </w:r>
          </w:p>
        </w:tc>
        <w:tc>
          <w:tcPr>
            <w:tcW w:w="6823" w:type="dxa"/>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：吉林建宇工程咨询有限公司</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地址：</w:t>
            </w:r>
            <w:r>
              <w:rPr>
                <w:rFonts w:hint="eastAsia" w:asciiTheme="minorEastAsia" w:hAnsiTheme="minorEastAsia" w:eastAsiaTheme="minorEastAsia" w:cstheme="minorEastAsia"/>
                <w:color w:val="000000" w:themeColor="text1"/>
                <w:sz w:val="21"/>
                <w:szCs w:val="21"/>
                <w14:textFill>
                  <w14:solidFill>
                    <w14:schemeClr w14:val="tx1"/>
                  </w14:solidFill>
                </w14:textFill>
              </w:rPr>
              <w:t>延吉市人民路2239-3001号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联系人：焦艳</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电话：0433-8316525</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电子邮箱：yjsjy8543@163.com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招标项目名称</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国道珲春至阿尔山公路延吉至安图段改建项目附属工程（房建、机电、养护、试验检测机构）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标段建设地点</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资金来源</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及比例</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中央投资补贴67%；地方政府财政资金33%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落实情况</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招标范围</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计划工期</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质量要求</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标段工程交工验收的质量评定：合格；</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安全目标</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在项目建设过程中杜绝重大安全责任事故，避免发生较大安全责任事故，控制一般安全责任事故。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投标人资质条件、</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能力和信誉</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资质要求：见附录1</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财务要求：见附录2</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业绩要求：见附录3</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信誉要求：见附录4</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项目经理和项目总工资格要求：见附录5</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是否接受</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联合体投标</w:t>
            </w:r>
          </w:p>
        </w:tc>
        <w:tc>
          <w:tcPr>
            <w:tcW w:w="6823" w:type="dxa"/>
            <w:vAlign w:val="center"/>
          </w:tcPr>
          <w:p>
            <w:pPr>
              <w:pageBreakBefore w:val="0"/>
              <w:kinsoku/>
              <w:wordWrap/>
              <w:overflowPunct/>
              <w:topLinePunct w:val="0"/>
              <w:bidi w:val="0"/>
              <w:adjustRightInd w:val="0"/>
              <w:snapToGrid w:val="0"/>
              <w:spacing w:before="72" w:beforeLines="30" w:after="72" w:afterLines="30"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存在的其他</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关联情况</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vAlign w:val="center"/>
          </w:tcPr>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存在的不良状况</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不良信用</w:t>
            </w:r>
          </w:p>
        </w:tc>
        <w:tc>
          <w:tcPr>
            <w:tcW w:w="6823" w:type="dxa"/>
            <w:vAlign w:val="center"/>
          </w:tcPr>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14:textFill>
                  <w14:solidFill>
                    <w14:schemeClr w14:val="tx1"/>
                  </w14:solidFill>
                </w14:textFill>
              </w:rPr>
              <w:t>本款内容第（6）项修改为：</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（6）投标人或其法定代表人、拟委任的项目经理在近三年内有行贿犯罪行为的；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存在的其他不良</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状况或不良信用</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41"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公路工程施工资质企业名录</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本项修改为：</w:t>
            </w:r>
          </w:p>
          <w:p>
            <w:pPr>
              <w:pStyle w:val="6"/>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投标人应进入交通运输部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全国公路建设市场信用信息管理系统</w:t>
            </w:r>
            <w:r>
              <w:rPr>
                <w:rFonts w:hint="eastAsia" w:asciiTheme="minorEastAsia" w:hAnsiTheme="minorEastAsia" w:eastAsiaTheme="minorEastAsia" w:cstheme="minorEastAsia"/>
                <w:color w:val="000000" w:themeColor="text1"/>
                <w:sz w:val="21"/>
                <w:szCs w:val="21"/>
                <w14:textFill>
                  <w14:solidFill>
                    <w14:schemeClr w14:val="tx1"/>
                  </w14:solidFill>
                </w14:textFill>
              </w:rPr>
              <w:t>（https://glxy.mot.gov.cn）”</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中的施工企业名录</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且投标人名称和资质与该名录中的相应企业名称和资质完全一致。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投标人在投标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预备会提出问题</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分包</w:t>
            </w:r>
          </w:p>
        </w:tc>
        <w:tc>
          <w:tcPr>
            <w:tcW w:w="6823" w:type="dxa"/>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构成招标文件的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其他材料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工程量固化清单电子文件（Microsoft Excel文件）、《投标文件关键内容摘录表》（Microsoft Word文件）、图纸扫描件由招标人提供，</w:t>
            </w:r>
            <w:r>
              <w:rPr>
                <w:rFonts w:hint="eastAsia" w:asciiTheme="minorEastAsia" w:hAnsiTheme="minorEastAsia" w:eastAsiaTheme="minorEastAsia" w:cstheme="minorEastAsia"/>
                <w:sz w:val="21"/>
                <w:szCs w:val="21"/>
              </w:rPr>
              <w:t>下载网址</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sz w:val="21"/>
                <w:szCs w:val="21"/>
                <w:lang w:eastAsia="zh-CN"/>
              </w:rPr>
              <w:t>https://pan.baidu.com/s/1Is0JZLLeB_AkVfFtMppvUw，提取码：hpw1</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2.2.1</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澄清招标文件</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1"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形式：加盖单位公章的电子文档发送邮件至招标代理机构邮箱yjsjy8543@163.com，并电话通知招标代理机构。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招标文件澄清</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发出的形式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澄清电子文件发布在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“吉林省公共资源交易中心交易平台”，</w:t>
            </w:r>
            <w:r>
              <w:rPr>
                <w:rFonts w:hint="eastAsia" w:asciiTheme="minorEastAsia" w:hAnsiTheme="minorEastAsia" w:eastAsiaTheme="minorEastAsia" w:cstheme="minorEastAsia"/>
                <w:kern w:val="0"/>
                <w:sz w:val="21"/>
                <w:szCs w:val="21"/>
              </w:rPr>
              <w:t>同时发布在</w:t>
            </w:r>
            <w:r>
              <w:rPr>
                <w:rFonts w:hint="eastAsia" w:asciiTheme="minorEastAsia" w:hAnsiTheme="minorEastAsia" w:eastAsiaTheme="minorEastAsia" w:cstheme="minorEastAsia"/>
                <w:color w:val="000000"/>
                <w:sz w:val="21"/>
                <w:szCs w:val="21"/>
              </w:rPr>
              <w:t>网盘：</w:t>
            </w: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2.2.3</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收到招标文件澄清</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时间：收到澄清后24小时内（以招标文件澄清发出时间为准）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形式：加盖单位公章的电子版确认函按要求将回执扫描后，发送至yjsjy8543@163.com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0"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招标文件修改</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发出的方式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补遗电子文件发布在</w:t>
            </w:r>
            <w:r>
              <w:rPr>
                <w:rFonts w:hint="eastAsia" w:asciiTheme="minorEastAsia" w:hAnsiTheme="minorEastAsia" w:eastAsiaTheme="minorEastAsia" w:cstheme="minorEastAsia"/>
                <w:kern w:val="0"/>
                <w:sz w:val="21"/>
                <w:szCs w:val="21"/>
              </w:rPr>
              <w:t>“吉林省公共资源交易中心交易平台”，同时发布在</w:t>
            </w:r>
            <w:r>
              <w:rPr>
                <w:rFonts w:hint="eastAsia" w:asciiTheme="minorEastAsia" w:hAnsiTheme="minorEastAsia" w:eastAsiaTheme="minorEastAsia" w:cstheme="minorEastAsia"/>
                <w:color w:val="000000"/>
                <w:sz w:val="21"/>
                <w:szCs w:val="21"/>
              </w:rPr>
              <w:t>网盘：</w:t>
            </w: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收到招标文件修改</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时间：收到修改后24小时内（以招标文件修改发出时间为准）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投标文件密封形式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构成投标文件的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其他资料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第二个信封</w:t>
            </w:r>
          </w:p>
        </w:tc>
        <w:tc>
          <w:tcPr>
            <w:tcW w:w="6823" w:type="dxa"/>
            <w:vAlign w:val="center"/>
          </w:tcPr>
          <w:p>
            <w:pPr>
              <w:pStyle w:val="12"/>
              <w:pageBreakBefore w:val="0"/>
              <w:shd w:val="clear" w:color="auto" w:fill="auto"/>
              <w:kinsoku/>
              <w:wordWrap/>
              <w:overflowPunct/>
              <w:topLinePunct w:val="0"/>
              <w:bidi w:val="0"/>
              <w:spacing w:before="0" w:line="36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第二个信封（报价文件</w:t>
            </w:r>
            <w:r>
              <w:rPr>
                <w:rFonts w:hint="eastAsia" w:asciiTheme="minorEastAsia" w:hAnsiTheme="minorEastAsia" w:eastAsiaTheme="minorEastAsia" w:cstheme="minorEastAsia"/>
                <w:sz w:val="21"/>
                <w:szCs w:val="21"/>
                <w:lang w:bidi="en-US"/>
              </w:rPr>
              <w:t>）：</w:t>
            </w:r>
          </w:p>
          <w:p>
            <w:pPr>
              <w:pStyle w:val="11"/>
              <w:pageBreakBefore w:val="0"/>
              <w:numPr>
                <w:ilvl w:val="0"/>
                <w:numId w:val="5"/>
              </w:numPr>
              <w:kinsoku/>
              <w:wordWrap/>
              <w:overflowPunct/>
              <w:topLinePunct w:val="0"/>
              <w:bidi w:val="0"/>
              <w:adjustRightInd w:val="0"/>
              <w:snapToGrid w:val="0"/>
              <w:spacing w:line="360" w:lineRule="exact"/>
              <w:ind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投标函；</w:t>
            </w:r>
          </w:p>
          <w:p>
            <w:pPr>
              <w:pStyle w:val="11"/>
              <w:pageBreakBefore w:val="0"/>
              <w:numPr>
                <w:ilvl w:val="0"/>
                <w:numId w:val="5"/>
              </w:numPr>
              <w:kinsoku/>
              <w:wordWrap/>
              <w:overflowPunct/>
              <w:topLinePunct w:val="0"/>
              <w:bidi w:val="0"/>
              <w:adjustRightInd w:val="0"/>
              <w:snapToGrid w:val="0"/>
              <w:spacing w:line="360" w:lineRule="exact"/>
              <w:ind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增值税税金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的计算方法</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工程量清单</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的填写方式</w:t>
            </w:r>
          </w:p>
        </w:tc>
        <w:tc>
          <w:tcPr>
            <w:tcW w:w="6823" w:type="dxa"/>
            <w:vAlign w:val="center"/>
          </w:tcPr>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投标人按照招标人提供的工程量固化清单电子文件填写工程量清单</w:t>
            </w:r>
            <w:r>
              <w:rPr>
                <w:rFonts w:hint="eastAsia" w:asciiTheme="minorEastAsia" w:hAnsiTheme="minorEastAsia" w:eastAsiaTheme="minorEastAsia" w:cstheme="minorEastAsia"/>
                <w:sz w:val="21"/>
                <w:szCs w:val="21"/>
              </w:rPr>
              <w:t>下载地址（请注意区分大小写）：</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p>
        </w:tc>
        <w:tc>
          <w:tcPr>
            <w:tcW w:w="6823" w:type="dxa"/>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bdr w:val="single" w:color="auto" w:sz="4" w:space="0"/>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单价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bdr w:val="single" w:color="auto" w:sz="4" w:space="0"/>
                <w14:textFill>
                  <w14:solidFill>
                    <w14:schemeClr w14:val="tx1"/>
                  </w14:solidFill>
                </w14:textFill>
              </w:rPr>
              <w:t> </w:t>
            </w:r>
            <w:r>
              <w:rPr>
                <w:rFonts w:hint="eastAsia" w:asciiTheme="minorEastAsia" w:hAnsiTheme="minorEastAsia" w:eastAsiaTheme="minorEastAsia" w:cstheme="minorEastAsia"/>
                <w:color w:val="000000" w:themeColor="text1"/>
                <w:sz w:val="2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3.2.6</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是否接受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调价函</w:t>
            </w:r>
          </w:p>
        </w:tc>
        <w:tc>
          <w:tcPr>
            <w:tcW w:w="6823" w:type="dxa"/>
            <w:tcBorders>
              <w:bottom w:val="single" w:color="auto" w:sz="4" w:space="0"/>
            </w:tcBorders>
            <w:vAlign w:val="center"/>
          </w:tcPr>
          <w:p>
            <w:pPr>
              <w:pStyle w:val="6"/>
              <w:pageBreakBefore w:val="0"/>
              <w:pBdr>
                <w:bottom w:val="none" w:color="auto" w:sz="0" w:space="0"/>
              </w:pBdr>
              <w:tabs>
                <w:tab w:val="clear" w:pos="4153"/>
                <w:tab w:val="clear" w:pos="8306"/>
              </w:tabs>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bdr w:val="single" w:color="auto" w:sz="4" w:space="0"/>
                <w14:textFill>
                  <w14:solidFill>
                    <w14:schemeClr w14:val="tx1"/>
                  </w14:solidFill>
                </w14:textFill>
              </w:rPr>
              <w:t> </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是</w:t>
            </w:r>
          </w:p>
          <w:p>
            <w:pPr>
              <w:pStyle w:val="6"/>
              <w:pageBreakBefore w:val="0"/>
              <w:pBdr>
                <w:bottom w:val="none" w:color="auto" w:sz="0" w:space="0"/>
              </w:pBdr>
              <w:tabs>
                <w:tab w:val="clear" w:pos="4153"/>
                <w:tab w:val="clear" w:pos="8306"/>
              </w:tabs>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bdr w:val="single" w:color="auto" w:sz="4" w:space="0"/>
                <w:lang w:val="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0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3.2.8</w:t>
            </w:r>
          </w:p>
        </w:tc>
        <w:tc>
          <w:tcPr>
            <w:tcW w:w="1975" w:type="dxa"/>
            <w:tcBorders>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最高投标限价</w:t>
            </w:r>
          </w:p>
        </w:tc>
        <w:tc>
          <w:tcPr>
            <w:tcW w:w="68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有，最高投标限价：人民币</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伍佰陆拾陆万伍仟叁佰叁拾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5,665,330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元）（其中含暂列金额</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165,009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3.2.9</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其他要求</w:t>
            </w:r>
          </w:p>
        </w:tc>
        <w:tc>
          <w:tcPr>
            <w:tcW w:w="6823" w:type="dxa"/>
            <w:tcBorders>
              <w:top w:val="single" w:color="auto" w:sz="4" w:space="0"/>
            </w:tcBorders>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是否要求投标人递交投标保证金：要求</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投标保证金的金额：</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5万元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若采用银行保函，出具保函的银行级别：应由“工商银行、农业银行、中国银行、建设银行、交通银行”五大国有商业银行之一或全国性股份制商业银行开具，银行应为地市级分、支行或以上级别。银行保函复印件装订在投标文件内。原件单独密封在投标保函原件封套中，随同投标文件一起（在递交投标文件截止之前）递交给招标代理机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（2）若采用现金或支票或汇票形式，投标人应在投标截止时间前，将投标保证金由投标人的基本账户一次性汇入并到达招标人指定账户，否则视为投标保证金无效。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招标人指定的银行及账号如下：</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开户银行：中国邮政储蓄银行延吉市公园路支行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账户名称：延边珲乌公路改建项目建设办公室</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    号：100718894520010001</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 系 人：程昭钦</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联系电话：0433-3135706</w:t>
            </w:r>
          </w:p>
          <w:p>
            <w:pPr>
              <w:pageBreakBefore w:val="0"/>
              <w:kinsoku/>
              <w:wordWrap/>
              <w:overflowPunct/>
              <w:topLinePunct w:val="0"/>
              <w:bidi w:val="0"/>
              <w:adjustRightInd w:val="0"/>
              <w:snapToGrid w:val="0"/>
              <w:spacing w:before="120" w:beforeLines="50" w:after="120" w:afterLines="50"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银行转账业务备注栏填写：延吉安图施工招标XX标段投标保证金。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3.4.3</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的利息计算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原则</w:t>
            </w:r>
          </w:p>
        </w:tc>
        <w:tc>
          <w:tcPr>
            <w:tcW w:w="6823" w:type="dxa"/>
            <w:vAlign w:val="bottom"/>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（1）计算利息的起始日期为投标截止当日，终止日期为招标人退还投标保证金日期的前一日；</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（2）投标保证金的利息按照第（1)款所述计息时间段内招标人指定汇入银行公告的活期存款利率计付，并扣除招标人汇款手续费；</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投标人应及时向招标人提交退还投标保证金的有关资料：</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（1）基本账户开户证明（指基本账户开户许可证或其他有效的基本账户开户证明）复印件（清晰可辨）；</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（2）给招标人开具的财务收据原件；</w:t>
            </w:r>
          </w:p>
          <w:p>
            <w:pPr>
              <w:pageBreakBefore w:val="0"/>
              <w:kinsoku/>
              <w:wordWrap/>
              <w:overflowPunct/>
              <w:topLinePunct w:val="0"/>
              <w:bidi w:val="0"/>
              <w:adjustRightInd w:val="0"/>
              <w:snapToGrid w:val="0"/>
              <w:spacing w:line="360" w:lineRule="exact"/>
              <w:ind w:firstLine="105" w:firstLine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（3）提供办理人联系方式。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其他可以不予退还</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投标保证金情形</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资格审查资料的</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特殊要求</w:t>
            </w:r>
          </w:p>
        </w:tc>
        <w:tc>
          <w:tcPr>
            <w:tcW w:w="6823" w:type="dxa"/>
            <w:vAlign w:val="center"/>
          </w:tcPr>
          <w:p>
            <w:pPr>
              <w:pageBreakBefore w:val="0"/>
              <w:tabs>
                <w:tab w:val="left" w:pos="620"/>
              </w:tabs>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7" w:hRule="atLeast"/>
        </w:trPr>
        <w:tc>
          <w:tcPr>
            <w:tcW w:w="896" w:type="dxa"/>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3.5.1</w:t>
            </w:r>
          </w:p>
        </w:tc>
        <w:tc>
          <w:tcPr>
            <w:tcW w:w="1975" w:type="dxa"/>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投标人基本情况表</w:t>
            </w:r>
          </w:p>
        </w:tc>
        <w:tc>
          <w:tcPr>
            <w:tcW w:w="6823" w:type="dxa"/>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3.5.1 “投标人基本情况表”应附企业法人营业执照副本、施工资质证书副本或电子证书、安全生产许可证副本或电子证书、基本账户开户许可证（或基本账户开户银行开具证明）的复印件，投标人在交通运输部“全国公路建设市场信用信息管理系统”公路工程施工资质企业名录中的网页截图复印件，以及投标人在国家企业信用信息公示系统中基础信息（体现股东及出资详细信息）的网页截图复印件。</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法人营业执照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5"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近年财务状况的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年份要求</w:t>
            </w:r>
          </w:p>
        </w:tc>
        <w:tc>
          <w:tcPr>
            <w:tcW w:w="6823" w:type="dxa"/>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近年完成的类似项目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情况的时间要求</w:t>
            </w:r>
          </w:p>
        </w:tc>
        <w:tc>
          <w:tcPr>
            <w:tcW w:w="6823" w:type="dxa"/>
            <w:vAlign w:val="center"/>
          </w:tcPr>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2016年1月1日后（以交工时间为准）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7"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投标人的信誉情况</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3.5.4 “投标人的信誉情况表”应附投标人在国家企业信用信息公示系统中是否被列入严重违法失信企业名单、在“信用中国”网站中是否被列入失信被执行人名单的网页截图复印件，</w:t>
            </w:r>
            <w:r>
              <w:rPr>
                <w:rFonts w:hint="eastAsia" w:asciiTheme="minorEastAsia" w:hAnsiTheme="minorEastAsia" w:eastAsiaTheme="minorEastAsia" w:cstheme="minorEastAsia"/>
                <w:color w:val="000000" w:themeColor="text1"/>
                <w:sz w:val="21"/>
                <w:szCs w:val="21"/>
                <w14:textFill>
                  <w14:solidFill>
                    <w14:schemeClr w14:val="tx1"/>
                  </w14:solidFill>
                </w14:textFill>
              </w:rPr>
              <w:t>以及由投标人出具的近三年内投标人及其法定代表人、拟委任的项目经理均无行贿犯罪行为的书面承诺原件。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87" w:hRule="atLeast"/>
        </w:trPr>
        <w:tc>
          <w:tcPr>
            <w:tcW w:w="896"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3.5.5</w:t>
            </w:r>
          </w:p>
        </w:tc>
        <w:tc>
          <w:tcPr>
            <w:tcW w:w="1975"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拟委任的项目经理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和项目总工资历表</w:t>
            </w:r>
          </w:p>
        </w:tc>
        <w:tc>
          <w:tcPr>
            <w:tcW w:w="6823" w:type="dxa"/>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3.5.5 “拟委任的项目经理和项目总工资历表”应附项目经理和项目总工的身份证、职称资格证书（如职称证中无专业，则必须附毕业证书）以及资格审查条件所要求的其他相关证书（如建造师注册证书、安全生产考核合格证书等）的复印件，建造师注册证书、安全生产考核合格证书在政府相关部门网站上公开信息的网页截图复印件，以及在投标人所属社保系统打印的本单位人员缴费明细复印件。</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中的信息无法证实投标人满足招标文件规定的资格审查条件（项目经理和项目总工最低要求）或评分标准，则该业绩不予认定。</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如项目经理或项目总工目前仍在其他项目上任职，则投标人应提供承诺上述人员能够从该项目撤离的书面材料原件，并加盖投标人单位章。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是否允许递交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备选投标方案</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副本份数</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及其他要求</w:t>
            </w:r>
          </w:p>
        </w:tc>
        <w:tc>
          <w:tcPr>
            <w:tcW w:w="6823" w:type="dxa"/>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投标文件副本份数：在递交投标文件时投标人不需要提供副本。</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是否要求提交电子版文件：1份电子版已标价的工程量清单及《投标文件关键内容摘录表》（U盘）。</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其他要求：中标人应在收到中标通知书后并在与招标人签订合同前提供投标文件副本3份。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装订的其他要求</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投标文件第一信封书脊上应明确标注投标人的单位名称和所投标的项目名称及标段。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1"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封套上应载明的信息</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标段施工招标</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第一个信封（商务及技术文件）投标文件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分（第一个信封开标时间）前不得开启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标段施工招标</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第二个信封（报价文件）投标文件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在投标文件第二个信封（报价文件）开标前不得开启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投标人地址：</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银行保函封套：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标段施工招标</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投标保证金（银行保函原件）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是否退还</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投标人少于3个的，投标文件当场退还给投标人；</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否则，投标文件第一个信封（商务及技术文件）均不退还，未通过第一个信封评审的投标人的投标文件第二个信封（报价文件）予以退还。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开标时间和</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地点</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投标文件第一个信封（商务及技术文件）开标时间：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同投标截止时间</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投标文件第一个信封（商务及技术文件）</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开标地点：</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同递交投标文件地点</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投标文件第二个信封（报价文件）开标时间：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投标文件第二个信封（报价文件）</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开标地点：</w:t>
            </w:r>
          </w:p>
          <w:p>
            <w:pPr>
              <w:pageBreakBefore w:val="0"/>
              <w:kinsoku/>
              <w:wordWrap/>
              <w:overflowPunct/>
              <w:topLinePunct w:val="0"/>
              <w:bidi w:val="0"/>
              <w:snapToGrid w:val="0"/>
              <w:spacing w:line="360" w:lineRule="exact"/>
              <w:ind w:firstLine="404" w:firstLineChars="200"/>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5.2.1</w:t>
            </w:r>
          </w:p>
        </w:tc>
        <w:tc>
          <w:tcPr>
            <w:tcW w:w="1975"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第一个信封（商务及技术文件）</w:t>
            </w:r>
          </w:p>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开标程序</w:t>
            </w:r>
          </w:p>
        </w:tc>
        <w:tc>
          <w:tcPr>
            <w:tcW w:w="6823" w:type="dxa"/>
            <w:vAlign w:val="center"/>
          </w:tcPr>
          <w:p>
            <w:pPr>
              <w:pageBreakBefore w:val="0"/>
              <w:numPr>
                <w:ilvl w:val="0"/>
                <w:numId w:val="2"/>
              </w:numPr>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密封情况检查：检查商务及技术文件是否存在提前开启情况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（5）开标顺序：按照投标人名称的汉语拼音升序（以Microsoft Office自动排序为准）的开标顺序开标。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5.2.3</w:t>
            </w:r>
          </w:p>
        </w:tc>
        <w:tc>
          <w:tcPr>
            <w:tcW w:w="1975" w:type="dxa"/>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第二个信封（报价文件）开标程序</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（4）密封情况检查：检查报价文件是否存在提前开启情况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（5）开标顺序：按照投标人的商务和技术得分由高到低的开标顺序开标。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评标委员会的组建</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评标委员会构成：9人，其中招标人代表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人，专家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6.3.2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评标委员会推荐</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中标候选人的人数</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highlight w:val="red"/>
              </w:rPr>
            </w:pPr>
            <w:r>
              <w:rPr>
                <w:rFonts w:hint="eastAsia" w:asciiTheme="minorEastAsia" w:hAnsiTheme="minorEastAsia" w:eastAsiaTheme="minorEastAsia" w:cstheme="minorEastAsia"/>
                <w:color w:val="000000"/>
                <w:sz w:val="21"/>
                <w:szCs w:val="21"/>
              </w:rPr>
              <w:t>3名（或3名以内）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中标候选人</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公示媒介及</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期限</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公示媒介：中国招标投标公共服务平台、吉林省公共资源交易公共服务平台、吉林省交通运输厅网站、延边州人民政府信息公开专栏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是否授权评标委员会</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确定中标人</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中标通知书和中标结</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果通知发出的形式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中标通知书以书面形式发出，中标结果通知以中标结果公告的形式在本须知7.6款明确的媒介上发出。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7.6</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中标结果公告</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媒介及期限</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公告媒介：中国招标投标公共服务平台、吉林省交通运输厅网站、延边州人民政府信息公开专栏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7.7.1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履约保证金形式：银行保函或现金、支票形式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履约保证金金额：10%签约合同价。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（1）采用现金、支票形式时，应由中标人的基本账户汇入发包人指定账户。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（2）采用银行保函时，出具保函的银行级别：应由“工商银行、农业银行、中国银行、建设银行、交通银行”五大国有商业银行及全国性商业银行开具，银行级别应为地市级分、支行以上级别。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8.5.1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监督部门</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监督部门：延边州交通运输局</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址：延吉市公园路5568号</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    话：0433-2705070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传    真：0433-2257000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邮　　编：133000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是否采用电子招标投标</w:t>
            </w:r>
          </w:p>
        </w:tc>
        <w:tc>
          <w:tcPr>
            <w:tcW w:w="6823" w:type="dxa"/>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694" w:type="dxa"/>
            <w:gridSpan w:val="3"/>
            <w:vAlign w:val="center"/>
          </w:tcPr>
          <w:p>
            <w:pPr>
              <w:pageBreakBefore w:val="0"/>
              <w:kinsoku/>
              <w:wordWrap/>
              <w:overflowPunct/>
              <w:topLinePunct w:val="0"/>
              <w:bidi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 无</w:t>
            </w:r>
          </w:p>
        </w:tc>
      </w:tr>
    </w:tbl>
    <w:p>
      <w:pPr>
        <w:pStyle w:val="4"/>
        <w:pageBreakBefore w:val="0"/>
        <w:numPr>
          <w:ilvl w:val="0"/>
          <w:numId w:val="0"/>
        </w:numPr>
        <w:kinsoku/>
        <w:wordWrap/>
        <w:overflowPunct/>
        <w:topLinePunct w:val="0"/>
        <w:bidi w:val="0"/>
        <w:spacing w:before="480" w:beforeLines="200" w:after="240" w:afterLines="100"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附录1  资格审查条件（资质最低要求）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54" w:type="dxa"/>
            <w:vAlign w:val="center"/>
          </w:tcPr>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lang w:bidi="zh-TW"/>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公路交通工程（公路机电工程分项）专业承包一级资质</w:t>
            </w:r>
            <w:r>
              <w:rPr>
                <w:rFonts w:hint="eastAsia" w:asciiTheme="minorEastAsia" w:hAnsiTheme="minorEastAsia" w:eastAsiaTheme="minorEastAsia" w:cstheme="minorEastAsia"/>
                <w:color w:val="000000" w:themeColor="text1"/>
                <w:sz w:val="21"/>
                <w:szCs w:val="21"/>
                <w:lang w:bidi="zh-TW"/>
                <w14:textFill>
                  <w14:solidFill>
                    <w14:schemeClr w14:val="tx1"/>
                  </w14:solidFill>
                </w14:textFill>
              </w:rPr>
              <w:t>。</w:t>
            </w:r>
          </w:p>
        </w:tc>
      </w:tr>
    </w:tbl>
    <w:p>
      <w:pPr>
        <w:pStyle w:val="4"/>
        <w:pageBreakBefore w:val="0"/>
        <w:numPr>
          <w:ilvl w:val="0"/>
          <w:numId w:val="0"/>
        </w:numPr>
        <w:kinsoku/>
        <w:wordWrap/>
        <w:overflowPunct/>
        <w:topLinePunct w:val="0"/>
        <w:bidi w:val="0"/>
        <w:spacing w:before="480" w:beforeLines="200" w:after="240" w:afterLines="100"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4"/>
        <w:pageBreakBefore w:val="0"/>
        <w:numPr>
          <w:ilvl w:val="0"/>
          <w:numId w:val="0"/>
        </w:numPr>
        <w:kinsoku/>
        <w:wordWrap/>
        <w:overflowPunct/>
        <w:topLinePunct w:val="0"/>
        <w:bidi w:val="0"/>
        <w:spacing w:before="480" w:beforeLines="200" w:after="240" w:afterLines="100"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附录2  资格审查条件（财务最低要求）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4" w:type="dxa"/>
            <w:vAlign w:val="center"/>
          </w:tcPr>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投标人的经审计的</w:t>
            </w:r>
            <w:r>
              <w:rPr>
                <w:rFonts w:hint="eastAsia" w:asciiTheme="minorEastAsia" w:hAnsiTheme="minorEastAsia" w:eastAsiaTheme="minorEastAsia" w:cstheme="minorEastAsia"/>
                <w:b/>
                <w:color w:val="000000" w:themeColor="text1"/>
                <w:kern w:val="1"/>
                <w:sz w:val="21"/>
                <w:szCs w:val="21"/>
                <w:u w:val="single"/>
                <w14:textFill>
                  <w14:solidFill>
                    <w14:schemeClr w14:val="tx1"/>
                  </w14:solidFill>
                </w14:textFill>
              </w:rPr>
              <w:t>2019</w:t>
            </w:r>
            <w:r>
              <w:rPr>
                <w:rFonts w:hint="eastAsia" w:asciiTheme="minorEastAsia" w:hAnsiTheme="minorEastAsia" w:eastAsiaTheme="minorEastAsia" w:cstheme="minorEastAsia"/>
                <w:color w:val="000000" w:themeColor="text1"/>
                <w:kern w:val="1"/>
                <w:sz w:val="21"/>
                <w:szCs w:val="21"/>
                <w:u w:val="single"/>
                <w14:textFill>
                  <w14:solidFill>
                    <w14:schemeClr w14:val="tx1"/>
                  </w14:solidFill>
                </w14:textFill>
              </w:rPr>
              <w:t>年</w:t>
            </w: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财务会计报告中流动资金（流动资金=流动资产－流动负债）与为本项目开具的银行信贷证明之和必须达到</w:t>
            </w:r>
            <w:r>
              <w:rPr>
                <w:rFonts w:hint="eastAsia" w:asciiTheme="minorEastAsia" w:hAnsiTheme="minorEastAsia" w:eastAsiaTheme="minorEastAsia" w:cstheme="minorEastAsia"/>
                <w:b/>
                <w:bCs/>
                <w:color w:val="000000" w:themeColor="text1"/>
                <w:kern w:val="0"/>
                <w:sz w:val="21"/>
                <w:szCs w:val="21"/>
                <w:u w:val="single"/>
                <w14:textFill>
                  <w14:solidFill>
                    <w14:schemeClr w14:val="tx1"/>
                  </w14:solidFill>
                </w14:textFill>
              </w:rPr>
              <w:t>100</w:t>
            </w:r>
            <w:r>
              <w:rPr>
                <w:rFonts w:hint="eastAsia" w:asciiTheme="minorEastAsia" w:hAnsiTheme="minorEastAsia" w:eastAsiaTheme="minorEastAsia" w:cstheme="minorEastAsia"/>
                <w:b/>
                <w:bCs/>
                <w:color w:val="000000" w:themeColor="text1"/>
                <w:kern w:val="1"/>
                <w:sz w:val="21"/>
                <w:szCs w:val="21"/>
                <w:u w:val="single"/>
                <w14:textFill>
                  <w14:solidFill>
                    <w14:schemeClr w14:val="tx1"/>
                  </w14:solidFill>
                </w14:textFill>
              </w:rPr>
              <w:t>万元</w:t>
            </w: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。银行信贷证明必须在地（市）级或以上级别的信誉良好的国有或股份制商业银行支行开具。</w:t>
            </w:r>
          </w:p>
        </w:tc>
      </w:tr>
    </w:tbl>
    <w:p>
      <w:pPr>
        <w:pageBreakBefore w:val="0"/>
        <w:kinsoku/>
        <w:wordWrap/>
        <w:overflowPunct/>
        <w:topLinePunct w:val="0"/>
        <w:bidi w:val="0"/>
        <w:spacing w:line="360" w:lineRule="exact"/>
        <w:ind w:firstLine="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 xml:space="preserve">注：投标人经审计的2019年财务报告中的流动资金不低于最低要求，不强制开具银行信贷证明。银行信贷证明的证明时效必须满足预计工期同时由出具该证明的银行的法定代表人签署，并加盖该银行的法人公章。中标人的银行信贷证明将不予返还，直至工程结束；其他未中标的投标人的银行信贷证明自动作废。  </w:t>
      </w: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 xml:space="preserve">       </w:t>
      </w: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附录3  资格审查条件（业绩最低要求）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54"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2016年1月1日以后累计完成过不少于1000米二级或二级以上公路隧道机电工程</w:t>
            </w:r>
            <w:r>
              <w:rPr>
                <w:rFonts w:hint="eastAsia" w:asciiTheme="minorEastAsia" w:hAnsiTheme="minorEastAsia" w:eastAsiaTheme="minorEastAsia" w:cstheme="minorEastAsia"/>
                <w:sz w:val="21"/>
                <w:szCs w:val="21"/>
                <w:lang w:bidi="zh-TW"/>
              </w:rPr>
              <w:t>施工业绩</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bl>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 ①施工业绩完成时间以交工时间为准；</w:t>
      </w:r>
    </w:p>
    <w:p>
      <w:pPr>
        <w:pageBreakBefore w:val="0"/>
        <w:kinsoku/>
        <w:wordWrap/>
        <w:overflowPunct/>
        <w:topLinePunct w:val="0"/>
        <w:bidi w:val="0"/>
        <w:adjustRightInd w:val="0"/>
        <w:snapToGrid w:val="0"/>
        <w:spacing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②业绩要求的机电工程业绩应为国内新建或改扩建公路施工业绩，且应是已列入交通运输主管部门“公路建设市场信用信息管理系统”并公开的主包已建业绩或分包已建业绩。</w:t>
      </w: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附录4  资格审查条件（信誉最低要求）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9854" w:type="dxa"/>
            <w:tcBorders>
              <w:bottom w:val="single" w:color="auto" w:sz="4" w:space="0"/>
            </w:tcBorders>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tcBorders>
              <w:top w:val="single" w:color="auto" w:sz="4" w:space="0"/>
            </w:tcBorders>
            <w:vAlign w:val="center"/>
          </w:tcPr>
          <w:p>
            <w:pPr>
              <w:pageBreakBefore w:val="0"/>
              <w:kinsoku/>
              <w:wordWrap/>
              <w:overflowPunct/>
              <w:topLinePunct w:val="0"/>
              <w:bidi w:val="0"/>
              <w:snapToGrid w:val="0"/>
              <w:spacing w:before="36" w:beforeLines="15" w:after="36" w:afterLines="15"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w:t>
            </w:r>
          </w:p>
        </w:tc>
      </w:tr>
    </w:tbl>
    <w:p>
      <w:pPr>
        <w:pStyle w:val="4"/>
        <w:pageBreakBefore w:val="0"/>
        <w:numPr>
          <w:ilvl w:val="0"/>
          <w:numId w:val="0"/>
        </w:numPr>
        <w:kinsoku/>
        <w:wordWrap/>
        <w:overflowPunct/>
        <w:topLinePunct w:val="0"/>
        <w:bidi w:val="0"/>
        <w:spacing w:before="480" w:beforeLines="200" w:after="240" w:afterLines="100"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附录5  资格审查条件（项目经理和项目总工最低要求）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tbl>
      <w:tblPr>
        <w:tblStyle w:val="8"/>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708"/>
        <w:gridCol w:w="5670"/>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9" w:type="dxa"/>
            <w:tcBorders>
              <w:right w:val="single" w:color="auto" w:sz="4" w:space="0"/>
            </w:tcBorders>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w:t>
            </w:r>
          </w:p>
        </w:tc>
        <w:tc>
          <w:tcPr>
            <w:tcW w:w="1276" w:type="dxa"/>
            <w:tcBorders>
              <w:left w:val="single" w:color="auto" w:sz="4" w:space="0"/>
            </w:tcBorders>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人员</w:t>
            </w:r>
          </w:p>
        </w:tc>
        <w:tc>
          <w:tcPr>
            <w:tcW w:w="708" w:type="dxa"/>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数量</w:t>
            </w:r>
          </w:p>
        </w:tc>
        <w:tc>
          <w:tcPr>
            <w:tcW w:w="5670" w:type="dxa"/>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资格最低要求</w:t>
            </w:r>
          </w:p>
        </w:tc>
        <w:tc>
          <w:tcPr>
            <w:tcW w:w="1276" w:type="dxa"/>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5" w:hRule="atLeast"/>
        </w:trPr>
        <w:tc>
          <w:tcPr>
            <w:tcW w:w="959" w:type="dxa"/>
            <w:vMerge w:val="restart"/>
            <w:tcBorders>
              <w:right w:val="single" w:color="auto" w:sz="4" w:space="0"/>
            </w:tcBorders>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YAJD01</w:t>
            </w:r>
          </w:p>
        </w:tc>
        <w:tc>
          <w:tcPr>
            <w:tcW w:w="1276" w:type="dxa"/>
            <w:tcBorders>
              <w:left w:val="single" w:color="auto" w:sz="4" w:space="0"/>
            </w:tcBorders>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项目经理</w:t>
            </w:r>
          </w:p>
        </w:tc>
        <w:tc>
          <w:tcPr>
            <w:tcW w:w="708" w:type="dxa"/>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5670" w:type="dxa"/>
            <w:vAlign w:val="center"/>
          </w:tcPr>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（1）投标人自有人员；</w:t>
            </w:r>
          </w:p>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（2）持有建设行政主管部门颁发的 “公路工程”</w:t>
            </w:r>
            <w:r>
              <w:rPr>
                <w:rFonts w:hint="eastAsia" w:asciiTheme="minorEastAsia" w:hAnsiTheme="minorEastAsia" w:eastAsiaTheme="minorEastAsia" w:cstheme="minorEastAsia"/>
                <w:sz w:val="21"/>
                <w:szCs w:val="21"/>
              </w:rPr>
              <w:t>或“机电工程”</w:t>
            </w:r>
            <w:r>
              <w:rPr>
                <w:rFonts w:hint="eastAsia" w:asciiTheme="minorEastAsia" w:hAnsiTheme="minorEastAsia" w:eastAsiaTheme="minorEastAsia" w:cstheme="minorEastAsia"/>
                <w:color w:val="000000" w:themeColor="text1"/>
                <w:sz w:val="21"/>
                <w:szCs w:val="21"/>
                <w14:textFill>
                  <w14:solidFill>
                    <w14:schemeClr w14:val="tx1"/>
                  </w14:solidFill>
                </w14:textFill>
              </w:rPr>
              <w:t>专业《二级建造师注册证书》或</w:t>
            </w:r>
            <w:r>
              <w:rPr>
                <w:rFonts w:hint="eastAsia" w:asciiTheme="minorEastAsia" w:hAnsiTheme="minorEastAsia" w:eastAsiaTheme="minorEastAsia" w:cstheme="minorEastAsia"/>
                <w:sz w:val="21"/>
                <w:szCs w:val="21"/>
              </w:rPr>
              <w:t>《二级建造师电子注册证书》</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，且现注册单位为投标人； </w:t>
            </w:r>
          </w:p>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sz w:val="21"/>
                <w:szCs w:val="21"/>
              </w:rPr>
              <w:t>具有公路工程或机电工程相关专业中级技术职称</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adjustRightInd w:val="0"/>
              <w:snapToGrid w:val="0"/>
              <w:spacing w:before="24" w:beforeLines="10" w:after="24" w:afterLines="10" w:line="360" w:lineRule="exact"/>
              <w:ind w:left="21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（4）具有交通运输主管部门颁发的有效的B类安全生产考核合格证书。</w:t>
            </w:r>
          </w:p>
        </w:tc>
        <w:tc>
          <w:tcPr>
            <w:tcW w:w="1276" w:type="dxa"/>
            <w:vMerge w:val="restart"/>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9" w:hRule="atLeast"/>
        </w:trPr>
        <w:tc>
          <w:tcPr>
            <w:tcW w:w="959" w:type="dxa"/>
            <w:vMerge w:val="continue"/>
            <w:tcBorders>
              <w:right w:val="single" w:color="auto" w:sz="4" w:space="0"/>
            </w:tcBorders>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6" w:type="dxa"/>
            <w:tcBorders>
              <w:left w:val="single" w:color="auto" w:sz="4" w:space="0"/>
            </w:tcBorders>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项目总工</w:t>
            </w:r>
          </w:p>
        </w:tc>
        <w:tc>
          <w:tcPr>
            <w:tcW w:w="708" w:type="dxa"/>
            <w:vAlign w:val="center"/>
          </w:tcPr>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5670" w:type="dxa"/>
            <w:vAlign w:val="center"/>
          </w:tcPr>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（1）投标人自有人员；</w:t>
            </w:r>
          </w:p>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sz w:val="21"/>
                <w:szCs w:val="21"/>
              </w:rPr>
              <w:t>具有公路工程或机电工程相关专业高级技术职称</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（3）具有交通运输主管部门颁发的有效的B类安全生产考核合格证书。</w:t>
            </w:r>
          </w:p>
        </w:tc>
        <w:tc>
          <w:tcPr>
            <w:tcW w:w="1276" w:type="dxa"/>
            <w:vMerge w:val="continue"/>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 上表中所列人员不得兼职。</w:t>
      </w:r>
    </w:p>
    <w:p>
      <w:pPr>
        <w:pStyle w:val="11"/>
        <w:pageBreakBefore w:val="0"/>
        <w:kinsoku/>
        <w:wordWrap/>
        <w:overflowPunct/>
        <w:topLinePunct w:val="0"/>
        <w:bidi w:val="0"/>
        <w:adjustRightInd w:val="0"/>
        <w:snapToGrid w:val="0"/>
        <w:spacing w:line="360" w:lineRule="exact"/>
        <w:ind w:left="426"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Style w:val="3"/>
        <w:keepNext w:val="0"/>
        <w:keepLines w:val="0"/>
        <w:pageBreakBefore w:val="0"/>
        <w:kinsoku/>
        <w:wordWrap/>
        <w:overflowPunct/>
        <w:topLinePunct w:val="0"/>
        <w:bidi w:val="0"/>
        <w:spacing w:before="0" w:after="0" w:line="360" w:lineRule="exact"/>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bookmarkStart w:id="48" w:name="_Toc67481411"/>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评标办法前附表</w:t>
      </w:r>
      <w:bookmarkEnd w:id="48"/>
    </w:p>
    <w:tbl>
      <w:tblPr>
        <w:tblStyle w:val="8"/>
        <w:tblW w:w="97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72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jc w:val="center"/>
        </w:trPr>
        <w:tc>
          <w:tcPr>
            <w:tcW w:w="999" w:type="dxa"/>
            <w:tcBorders>
              <w:top w:val="single" w:color="000000" w:sz="12"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条款内容</w:t>
            </w:r>
          </w:p>
        </w:tc>
        <w:tc>
          <w:tcPr>
            <w:tcW w:w="7232" w:type="dxa"/>
            <w:tcBorders>
              <w:top w:val="single" w:color="000000" w:sz="12" w:space="0"/>
              <w:left w:val="single" w:color="auto" w:sz="4"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评标方法</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评标价相等时，评标委员会依次按照以下优先顺序推荐中标候选人：</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（1）履约信誉得分较高的投标人优先；</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（2）商务和技术得分较高的投标人优先；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（3）施工组织设计得分较高的投标人优先；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（4）企业业绩得分较高的投标人优先；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若以上均相等，则由评标委员会表决确定其排序先后。</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形式评审与</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响应性评审标准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第一个信封（商务及技术文件）评审标准：</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（1）投标文件按照招标文件规定的格式、内容填写，字迹清晰可辨：</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a.投标函按招标文件规定填报了项目名称、标段号、补遗书编号（如有)、工期、工程质量要求及安全目标；</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b.投标函附录的所有数据均符合招标文件规定；</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c.投标文件组成齐全完整，内容均按规定填写。</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（2）投标文件上法定代表人或其委托代理人的签字、投标人的单位章盖章齐全，符合招标文件规定。</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（3）投标人按照招标文件的规定提供了投标保证金：</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a.投标保证金金额符合招标文件规定的金额，且投标保证金有效期不少于投标有效期；</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b.若投标保证金采用现金或支票形式提交，投标人应在递交投标保证金截止时间之前，将投标保证金由投标人的基本账户一次性转入并到达招标人指定账户；</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c．若投标保证金采用银行保函形式提交，银行保函的格式、开具保函的银行均满足招标文件要求，且在递交投标文件截止时间之前向招标人提交了银行保函原件。</w:t>
            </w:r>
          </w:p>
          <w:p>
            <w:pPr>
              <w:pageBreakBefore w:val="0"/>
              <w:kinsoku/>
              <w:wordWrap/>
              <w:overflowPunct/>
              <w:topLinePunct w:val="0"/>
              <w:bidi w:val="0"/>
              <w:adjustRightInd w:val="0"/>
              <w:snapToGrid w:val="0"/>
              <w:spacing w:before="24" w:beforeLines="10" w:after="24" w:afterLines="10"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（4）投标人法定代表人授权委托代理人签署投标文件的，须提交授权委托书，且授权人和被授权人均在授权委托书上签名，未使用印章、签名章或其他电子制版签名代替。</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（5）投标人法定代表人亲自签署投标文件的，提供了法定代表人身份证明，且法定代表人在法定代表人身份证明上签名，未使用印章、签名章或其他电子制版签名代替。</w:t>
            </w:r>
          </w:p>
          <w:p>
            <w:pPr>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（6）投标人以联合体形式投标时，联合体满足招标文件的要求：</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投标人按照招标文件提供的格式签订了联合体协议书，明确各方承担连带责任，并明确了联合体牵头人。</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（7）投标人如有分包计划，符合招标文件第二章“投标人须知”第1.11款规定，且按招标文件第九章“投标文件格式”的要求填写了“拟分包项目情况表”。</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（8）同一投标人未提交两个以上不同的投标文件，但招标文件要求提交备选投标的除外。</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（9）投标文件中未出现有关投标报价的内容。</w:t>
            </w:r>
          </w:p>
          <w:p>
            <w:pPr>
              <w:pStyle w:val="12"/>
              <w:pageBreakBefore w:val="0"/>
              <w:shd w:val="clear" w:color="auto" w:fill="auto"/>
              <w:tabs>
                <w:tab w:val="left" w:pos="938"/>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（10）投标文件载明的招标项目完成期限未超过招标文件规定的时限。</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（11）投标文件对招标文件的实质性要求和条件作出响应。</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（12）权利义务符合招标文件规定：</w:t>
            </w:r>
          </w:p>
          <w:p>
            <w:pPr>
              <w:pStyle w:val="12"/>
              <w:pageBreakBefore w:val="0"/>
              <w:shd w:val="clear" w:color="auto" w:fill="auto"/>
              <w:tabs>
                <w:tab w:val="left" w:pos="530"/>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a．投标人应接受招标文件规定的风险划分原则，未提出新的风险划分办法；</w:t>
            </w:r>
          </w:p>
          <w:p>
            <w:pPr>
              <w:pStyle w:val="12"/>
              <w:pageBreakBefore w:val="0"/>
              <w:shd w:val="clear" w:color="auto" w:fill="auto"/>
              <w:tabs>
                <w:tab w:val="left" w:pos="666"/>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b．投标人未增加发包人的责任范围，或减少投标人义务；</w:t>
            </w:r>
          </w:p>
          <w:p>
            <w:pPr>
              <w:pStyle w:val="12"/>
              <w:pageBreakBefore w:val="0"/>
              <w:shd w:val="clear" w:color="auto" w:fill="auto"/>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c．投标人未提出不同的工程验收、计量、支付办法；</w:t>
            </w:r>
          </w:p>
          <w:p>
            <w:pPr>
              <w:pStyle w:val="12"/>
              <w:pageBreakBefore w:val="0"/>
              <w:shd w:val="clear" w:color="auto" w:fill="auto"/>
              <w:tabs>
                <w:tab w:val="left" w:pos="661"/>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d．投标人对合同纠纷、事故处理办法未提出异议；</w:t>
            </w:r>
          </w:p>
          <w:p>
            <w:pPr>
              <w:pStyle w:val="12"/>
              <w:pageBreakBefore w:val="0"/>
              <w:shd w:val="clear" w:color="auto" w:fill="auto"/>
              <w:tabs>
                <w:tab w:val="left" w:pos="649"/>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e．投标人在投标活动中无欺诈行为；</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f．投标人未对合同条款有重要保留。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2.1.1</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形式评审与</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响应性评审标准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第二个信封（报价文件）评审标准</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（1）投标文件按照招标文件规定的格式、内容填写，字迹清晰可辨：</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a．投标函按招标文件规定填报了项目名称、标段号、补遗书编号（如有)、投标价（包括大写金额和小写金额)；</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b．已标价工程量清单说明文字与招标文件规定一致，未进行实质性修改和删减；</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c．投标文件组成齐全完整，内容均按规定填写。</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（2）投标文件上法定代表人或其委托代理人的签字、投标人的单位章盖章齐全，符合招标文件规定。</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（3）投</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标报价未超过招标文件设定的最高投标限价</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投标报价的大写金额能够确定具体数值。</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（5）同一投标人未提交两个以上不同的投标报价。</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（6）投标人未提交调价函。</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（7）投标人填写完毕的工程量固化清单未对工程量固化清单电子文件中的数据、格式和运算定义进行修改；工程量固化清单中的投标报价和投标函大写金额报价一致。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资格评审标准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（1）投标人具备有效的营业执照、组织机构代码证、资质证书、安全生产许可证、基本账户开户许可证</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或开户证明</w:t>
            </w: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3"/>
              <w:pageBreakBefore w:val="0"/>
              <w:shd w:val="clear" w:color="auto" w:fill="auto"/>
              <w:tabs>
                <w:tab w:val="left" w:pos="1615"/>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（2）投标人的资质等级符合招标文件规定。</w:t>
            </w:r>
          </w:p>
          <w:p>
            <w:pPr>
              <w:pStyle w:val="13"/>
              <w:pageBreakBefore w:val="0"/>
              <w:shd w:val="clear" w:color="auto" w:fill="auto"/>
              <w:tabs>
                <w:tab w:val="left" w:pos="1646"/>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（3）投标人的财务状况符合招标文件规定。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（4）投标人的类似项目业绩符合招标文件规定。</w:t>
            </w:r>
          </w:p>
          <w:p>
            <w:pPr>
              <w:pStyle w:val="13"/>
              <w:pageBreakBefore w:val="0"/>
              <w:shd w:val="clear" w:color="auto" w:fill="auto"/>
              <w:tabs>
                <w:tab w:val="left" w:pos="1646"/>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（5）投标人的信誉符合招标文件规定。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（6）投标人的项目经理和项目总工资格、在岗情况符合招标文件规定。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（7）投标人不存在第二章“投标人须知”第1.4.3项或第1.4.4项规定的任何一种情形。</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（8）投标人符合第二章“投标人须知”第1.4.5项规定。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第一个信封评分分值构成 ：</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(总分100分)</w:t>
            </w:r>
          </w:p>
        </w:tc>
        <w:tc>
          <w:tcPr>
            <w:tcW w:w="7232" w:type="dxa"/>
            <w:tcBorders>
              <w:top w:val="single" w:color="000000" w:sz="6" w:space="0"/>
              <w:left w:val="single" w:color="000000" w:sz="6" w:space="0"/>
              <w:bottom w:val="single" w:color="000000" w:sz="6" w:space="0"/>
              <w:right w:val="single" w:color="000000" w:sz="12" w:space="0"/>
            </w:tcBorders>
            <w:vAlign w:val="center"/>
          </w:tcPr>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施工组织设计：      40分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主要人员：          25分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履约信誉：          15分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企业业绩：          </w:t>
            </w:r>
            <w:r>
              <w:rPr>
                <w:rStyle w:val="14"/>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w:t>
            </w: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2.2.3</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详细评审标准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评标价计算公式：</w:t>
            </w:r>
          </w:p>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评标价=投标函文字报价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3.2.4</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通过第一个信封详细评审的投标人数量</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按照投标人的商务和技术得分由高到低排序，选择前3名通过详细评审。</w:t>
            </w:r>
          </w:p>
        </w:tc>
      </w:tr>
    </w:tbl>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1"/>
        <w:gridCol w:w="624"/>
        <w:gridCol w:w="604"/>
        <w:gridCol w:w="853"/>
        <w:gridCol w:w="1737"/>
        <w:gridCol w:w="801"/>
        <w:gridCol w:w="37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2486" w:type="pct"/>
            <w:gridSpan w:val="5"/>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评分因素与权重分值</w:t>
            </w:r>
          </w:p>
        </w:tc>
        <w:tc>
          <w:tcPr>
            <w:tcW w:w="1996"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评分因素</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评分因素</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权重分值</w:t>
            </w:r>
          </w:p>
        </w:tc>
        <w:tc>
          <w:tcPr>
            <w:tcW w:w="93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各评分因素细分项</w:t>
            </w:r>
          </w:p>
        </w:tc>
        <w:tc>
          <w:tcPr>
            <w:tcW w:w="431"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分值</w:t>
            </w:r>
          </w:p>
        </w:tc>
        <w:tc>
          <w:tcPr>
            <w:tcW w:w="1996"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2.2.2（1）</w:t>
            </w:r>
          </w:p>
        </w:tc>
        <w:tc>
          <w:tcPr>
            <w:tcW w:w="661" w:type="pct"/>
            <w:gridSpan w:val="2"/>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施工组织设计</w:t>
            </w:r>
          </w:p>
        </w:tc>
        <w:tc>
          <w:tcPr>
            <w:tcW w:w="459"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40分</w:t>
            </w: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关键工程的施工方案、方法与技术措施</w:t>
            </w:r>
          </w:p>
        </w:tc>
        <w:tc>
          <w:tcPr>
            <w:tcW w:w="431" w:type="pct"/>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20</w:t>
            </w:r>
          </w:p>
        </w:tc>
        <w:tc>
          <w:tcPr>
            <w:tcW w:w="1996"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好，16-20 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较好，12-16分；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一般，12分；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0"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工期保证体系及保证措施</w:t>
            </w:r>
          </w:p>
        </w:tc>
        <w:tc>
          <w:tcPr>
            <w:tcW w:w="431" w:type="pct"/>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t>
            </w:r>
          </w:p>
        </w:tc>
        <w:tc>
          <w:tcPr>
            <w:tcW w:w="1996"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好，2.4-3.0分；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较好，1.8-2.4分；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一般，1.8分；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工程质量管理体系及保证措施</w:t>
            </w:r>
          </w:p>
        </w:tc>
        <w:tc>
          <w:tcPr>
            <w:tcW w:w="431"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996"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好，4-5分；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较好，3-4分；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安全生产管理体系及保证措施</w:t>
            </w:r>
          </w:p>
        </w:tc>
        <w:tc>
          <w:tcPr>
            <w:tcW w:w="431"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996"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好，4-5分；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较好，3-4分；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9" w:hRule="atLeas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环境保护、水土保持、文明施工、文物保护保证体系及保证措施</w:t>
            </w:r>
          </w:p>
        </w:tc>
        <w:tc>
          <w:tcPr>
            <w:tcW w:w="431"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996"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好，4-5分；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较好，3-4分；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项目风险预测与防范，事故应急预案</w:t>
            </w:r>
          </w:p>
        </w:tc>
        <w:tc>
          <w:tcPr>
            <w:tcW w:w="431"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1996"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好，1.6-2分；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较好，1.2-1.6分；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一般，1.2分；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0" w:hRule="exac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2.2.2（2）</w:t>
            </w:r>
          </w:p>
        </w:tc>
        <w:tc>
          <w:tcPr>
            <w:tcW w:w="661" w:type="pct"/>
            <w:gridSpan w:val="2"/>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主要人员</w:t>
            </w:r>
          </w:p>
        </w:tc>
        <w:tc>
          <w:tcPr>
            <w:tcW w:w="459"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25分</w:t>
            </w: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项目经理任职资格与业绩</w:t>
            </w:r>
          </w:p>
        </w:tc>
        <w:tc>
          <w:tcPr>
            <w:tcW w:w="431"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1996" w:type="pct"/>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满足资格审查条件得9分，每担任过1项公路隧道机电工程施工的项目经理加6分，最多加6分。</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注：项目经理个人业绩均应为国内新建或改扩建公路的施工业绩；个人业绩均应是已列入交通运输主管部门“公路建设市场信用信息管理系统”并公开的总包已建业绩。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9"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项目总工任职资格与业绩</w:t>
            </w:r>
          </w:p>
        </w:tc>
        <w:tc>
          <w:tcPr>
            <w:tcW w:w="431"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w:t>
            </w:r>
          </w:p>
        </w:tc>
        <w:tc>
          <w:tcPr>
            <w:tcW w:w="1996" w:type="pct"/>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满足资格审查条件得6分，每担任过1项公路隧道机电工程施工的项目总工加4分，最多加4分。</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注：项目总工个人业绩均应为国内新建或改扩建公路的施工业绩；个人业绩均应是已列入交通运输主管部门“公路建设市场信用信息管理系统”并公开的总包已建业绩。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4" w:hRule="exac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2.2.2（3）</w:t>
            </w:r>
          </w:p>
        </w:tc>
        <w:tc>
          <w:tcPr>
            <w:tcW w:w="336"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其他因素</w:t>
            </w:r>
          </w:p>
        </w:tc>
        <w:tc>
          <w:tcPr>
            <w:tcW w:w="32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企业业绩</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20分</w:t>
            </w:r>
          </w:p>
        </w:tc>
        <w:tc>
          <w:tcPr>
            <w:tcW w:w="93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企业施工业绩</w:t>
            </w:r>
          </w:p>
        </w:tc>
        <w:tc>
          <w:tcPr>
            <w:tcW w:w="431" w:type="pct"/>
            <w:vAlign w:val="center"/>
          </w:tcPr>
          <w:p>
            <w:pPr>
              <w:pageBreakBefore w:val="0"/>
              <w:kinsoku/>
              <w:wordWrap/>
              <w:overflowPunct/>
              <w:topLinePunct w:val="0"/>
              <w:bidi w:val="0"/>
              <w:spacing w:line="360" w:lineRule="exact"/>
              <w:ind w:right="113"/>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w:t>
            </w:r>
          </w:p>
        </w:tc>
        <w:tc>
          <w:tcPr>
            <w:tcW w:w="1996"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（1）满足资格审查条件得12分。</w:t>
            </w:r>
          </w:p>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（2）在满足资格审查条件的基础上，每增加100米有效的二级或二级以上公路隧道机电工程施工业绩加2分，最多加8分。</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有效的业绩是指2016年1月1日以后交工的。</w:t>
            </w:r>
          </w:p>
          <w:p>
            <w:pPr>
              <w:pageBreakBefore w:val="0"/>
              <w:kinsoku/>
              <w:wordWrap/>
              <w:overflowPunct/>
              <w:topLinePunct w:val="0"/>
              <w:bidi w:val="0"/>
              <w:adjustRightInd w:val="0"/>
              <w:snapToGrid w:val="0"/>
              <w:spacing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①施工业绩完成时间以交工时间为准；</w:t>
            </w:r>
          </w:p>
          <w:p>
            <w:pPr>
              <w:pageBreakBefore w:val="0"/>
              <w:kinsoku/>
              <w:wordWrap/>
              <w:overflowPunct/>
              <w:topLinePunct w:val="0"/>
              <w:bidi w:val="0"/>
              <w:adjustRightInd w:val="0"/>
              <w:snapToGrid w:val="0"/>
              <w:spacing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②业绩要求的机电工程业绩应为国内新建或改扩建公路施工业绩，且应是已列入交通运输主管部门“公路建设市场信用信息管理系统”并公开的主包已建业绩或分包已建业绩。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7" w:hRule="atLeas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36"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履约信誉</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15分</w:t>
            </w:r>
          </w:p>
        </w:tc>
        <w:tc>
          <w:tcPr>
            <w:tcW w:w="935" w:type="pct"/>
            <w:vAlign w:val="center"/>
          </w:tcPr>
          <w:p>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企业信用</w:t>
            </w:r>
          </w:p>
        </w:tc>
        <w:tc>
          <w:tcPr>
            <w:tcW w:w="431"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1996" w:type="pct"/>
            <w:vAlign w:val="center"/>
          </w:tcPr>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本次评标按照以下投标人的企业信用作为评分标准：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一、列入“交通运输部关于公布2020年公路水运工程建设领域守信典型企业目录的公告”中的投标人。</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二、企业在以下规定中获得的信用评价：</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（1）交通运输部“全国公路建设市场信用信息管理系统”“全国公路从业单位信用评价结果”中投标人的吉林省2019年度企业信用等级；</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（2）交通运输部“全国公路建设市场信用信息管理系统”“全国公路从业单位信用评价结果”中投标人的全国综合评价2019年度企业信用等级；</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（3）同一投标人同时具有上述吉林省和全国综合评价的，以信用等级低的为准。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（4）无上述吉林省和全国综合评价且未列入交通运输部“全国公路建设市场信用信息管理系统”“不良信用记录”的，按A级对待，否则按D级对待。</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同一投标人即列入“交通运输部关于公布2020年公路水运工程建设领域守信典型企业目录的公告”又在交通运输部“全国公路建设市场信用信息管理系统”“全国公路从业单位信用评价结果”中列入吉林省2019年度企业信用等级的，以“全国公路从业单位信用评价结果”中投标人的吉林省2019年度企业信用等级作为企业信用评分标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列入“交通运输部关于公布2020年公路水运工程建设领域守信典型企业目录的公告”或信用评价AA级、A级、B级得15分；C级得 9分；D级得0分。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1" w:hRule="atLeast"/>
          <w:jc w:val="center"/>
        </w:trPr>
        <w:tc>
          <w:tcPr>
            <w:tcW w:w="5000" w:type="pct"/>
            <w:gridSpan w:val="7"/>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1、施工组织设计得分一般不得低于其权重分值的60%，</w:t>
            </w:r>
            <w:r>
              <w:rPr>
                <w:rFonts w:hint="eastAsia" w:asciiTheme="minorEastAsia" w:hAnsiTheme="minorEastAsia" w:eastAsiaTheme="minorEastAsia" w:cstheme="minorEastAsia"/>
                <w:color w:val="auto"/>
                <w:sz w:val="21"/>
                <w:szCs w:val="21"/>
              </w:rPr>
              <w:t>且得分应以评标委员会各成员的打分平均值确定，该平均值以去掉一个最高值和一个最低值计算。</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评标委员会成员的评分低于权重分值60%的，应在评标报告中作出说明。</w:t>
            </w:r>
          </w:p>
          <w:p>
            <w:pPr>
              <w:pageBreakBefore w:val="0"/>
              <w:kinsoku/>
              <w:wordWrap/>
              <w:overflowPunct/>
              <w:topLinePunct w:val="0"/>
              <w:autoSpaceDE w:val="0"/>
              <w:autoSpaceDN w:val="0"/>
              <w:bidi w:val="0"/>
              <w:adjustRightInd w:val="0"/>
              <w:spacing w:before="120" w:beforeLines="50" w:line="360" w:lineRule="exact"/>
              <w:ind w:leftChars="-20" w:hanging="42" w:hangingChars="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sz w:val="21"/>
                <w:szCs w:val="21"/>
              </w:rPr>
              <w:t>如同一标段出现多名投标人的第一个信封（商务及技术文件）综合得分相等时，评标委员会依次按照以下优先顺序确定通过第一个信封详细评审的投标人：</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履约信誉得分较高的投标人优先；</w:t>
            </w:r>
          </w:p>
          <w:p>
            <w:pPr>
              <w:pageBreakBefore w:val="0"/>
              <w:kinsoku/>
              <w:wordWrap/>
              <w:overflowPunct/>
              <w:topLinePunct w:val="0"/>
              <w:autoSpaceDE w:val="0"/>
              <w:autoSpaceDN w:val="0"/>
              <w:bidi w:val="0"/>
              <w:adjustRightInd w:val="0"/>
              <w:spacing w:line="36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z w:val="21"/>
                <w:szCs w:val="21"/>
              </w:rPr>
              <w:t>施工组织设计得分较高的投标人优先；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（3）企业业绩得分较高的投标人优先。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若以上各项评分因素得分都相等，则通过评委会投票表决，推荐票数多的投标人排序在先。</w:t>
            </w:r>
          </w:p>
        </w:tc>
      </w:tr>
    </w:tbl>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jc w:val="center"/>
        <w:textAlignment w:val="auto"/>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9" w:name="_Toc67481412"/>
      <w:r>
        <w:rPr>
          <w:rFonts w:hint="eastAsia" w:asciiTheme="minorEastAsia" w:hAnsiTheme="minorEastAsia" w:eastAsiaTheme="minorEastAsia" w:cstheme="minorEastAsia"/>
          <w:color w:val="000000" w:themeColor="text1"/>
          <w:sz w:val="21"/>
          <w:szCs w:val="21"/>
          <w14:textFill>
            <w14:solidFill>
              <w14:schemeClr w14:val="tx1"/>
            </w14:solidFill>
          </w14:textFill>
        </w:rPr>
        <w:t>评标办法正文</w:t>
      </w:r>
      <w:bookmarkEnd w:id="49"/>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评标方法</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评标采用技术评分最低标价法。评标委员会对满足招标文件实质要求的投标文件的施工组织设计、主要人员、技术能力等因素进行评分，按照得分由高到低排序，对排名在招标文件规定数量以内的投标人的报价文件进行评审，按照评标价由低到高顺序推荐中标候选人，或根据招标人授权直接确定中标人，但投标报价低于其成本的除外。评标价相等时，评标委员会应按照评标办法前附表规定的优先次序推荐中标候选人或确定中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 评审标准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初步评审标准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 形式评审标准：见评标办法前附表。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 资格评审标准：见评标办法前附表（适用于未进行资格预审的）。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 资格评审标准：见资格预审文件第三章“资格审查办法”详细审查标准（适用于已进行资格预审的）。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 响应性评审标准：见评标办法前附表。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分值构成与评分标准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 第一个信封评分分值构成</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（1）施工组织设计：见评标办法前附表；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（2）主要人员：见评标办法前附表；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（3）其他评分因素：见评标办法前附表。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2.2.2第一个信封评分标准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（1）施工组织设计评分标准：见评标办法前附表；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（2）主要人员评分标准：见评标办法前附表；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（3）其他因素评分标准：见评标办法前附表。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2.2.3第二个信封详细评审标准：见评标办法前附表。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 评标程序</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第一个信封初步评审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第一个信封详细评审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3.2.1评标委员会按本章第2.2款规定的量化因素和分值进行打分，并计算出各投标人的商务和技术得分。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（1）按本章第2.2.2（1）目规定的评审因素和分值对施工组织设计部分计算出得分A；</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（2）按本章第2.2.2（2）目规定的评审因素和分值对主要人员部分计算出得分B；</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（3）按本章第2.2.2（3）目规定的评审因素和分值对其他部分计算出得分C。</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3.2.2投标人的商务和技术得分分值计算保留小数点后两位，小数点后第三位“四舍五入”。</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3.2.3投标人的商务和技术得分=A+B+C。</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3.2.4评标委员会按照投标人的商务和技术得分由高到低排序，排名在评标办法前附表规定数量以内的投标人，其投标文件第一个信封（商务及技术文件）通过详细评审。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第二个信封开标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第二个信封初步评审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 评标委员会依据本章第2.1.1项、第2.1.3项规定的评审标准对投标文件第二个信封（报价文件）进行初步评审。有一项不符合评审标准的，评标委员会应否决其投标。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w:t>
      </w:r>
      <w:r>
        <w:rPr>
          <w:rFonts w:hint="eastAsia" w:asciiTheme="minorEastAsia" w:hAnsiTheme="minorEastAsia" w:eastAsiaTheme="minorEastAsia" w:cstheme="minorEastAsia"/>
          <w:sz w:val="21"/>
          <w:szCs w:val="21"/>
        </w:rPr>
        <w:footnoteReference w:id="2"/>
      </w:r>
      <w:r>
        <w:rPr>
          <w:rFonts w:hint="eastAsia" w:asciiTheme="minorEastAsia" w:hAnsiTheme="minorEastAsia" w:eastAsiaTheme="minorEastAsia" w:cstheme="minorEastAsia"/>
          <w:sz w:val="21"/>
          <w:szCs w:val="21"/>
        </w:rPr>
        <w:t xml:space="preserve"> 投标报价有算术错误的，评标委员会按以下原则对投标报价进行修正，修正的价格经投标人书面确认后具有约束力。投标人不接受修正价格的，评标委员会应否决其投标。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（1）投标文件中的大写金额与小写金额不一致的，以大写金额为准；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（2）总价金额与依据单价计算出的结果不一致的，以单价金额为准修正总价，但单价金额小数点有明显错误的除外；</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（3）当单价与数量相乘不等于合价时，以单价计算为准，如果单价有明显的小数点位置差错，应以标出的合价为准，同时对单价予以修正；</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（4）当各子目的合价累计不等于总价时，应以各子目合价累计数为准，修正总价。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（3）当单价与数量的乘积与合价（金额）虽然一致，但投标人修改了该子目的工程数量，则其合价按招标人给定的工程数量乘以投标人所报单价予以修正。</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 修正后的最终投标报价若超过最高投标限价（如有），评标委员会应否决其投标。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  第二个信封详细评审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3.5.1 评标委员会按本章第2.2款规定的量化因素和标准进行价格折算，计算出评标价，并编制价格比较一览表。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  投标文件相关信息的核查</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（1）有下列情形之一的，属于投标人相互串通投标：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a.投标人之间协商投标报价等投标文件的实质性内容；</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b.投标人之间约定中标人；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c.投标人之间约定部分投标人放弃投标或中标；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d.属于同一集团、协会、商会等组织成员的投标人按照该组织要求协同投标；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e.投标人之间为谋取中标或者排斥特定投标人而采取的其他联合行动。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（2）有下列情形之一的，视为投标人相互串通投标：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a.不同投标人的投标文件由同一单位或者个人编制；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b.不同投标人委托同一单位或个人办理投标事宜；</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c.不同投标人的投标文件载明的项目管理成员为同一人；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d.不同投标人的投标文件异常一致或者投标报价呈规律性差异；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e.不同投标人的投标文件相互混装；</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f.不同投标人的投标保证金从同一单位或个人的账户转出。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（3）有下列情形之一的，属于招标人与投标人串通投标：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a.招标人在开标前开启投标文件并将有关信息泄露给其他投标人；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b.招标人直接或间接向投标人泄露标底、评标委员会成员等信息；</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c.招标人明示或暗示投标人压低或抬高投标报价；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d.招标人授意投标人撤换、修改投标文件；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e.招标人明示或暗示投标人为特定投标人中标提供方便；</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f.招标人与投标人为谋求特定投标人中标而采取的其他串通行为。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（4）投标人有下列情形之一的，属于弄虚作假的行为：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a.使用通过受让或租借等方式获取的资格、资质证书投标；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b.使用伪造、变造的许可证件；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c.提供虚假的财务状况或业绩；</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d.提供虚假的项目负责人或主要技术人员简历、劳动关系证明；</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e.提供虚假的信用状况；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f.其他弄虚作假的行为。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  投标文件的澄清和说明</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3.7.2 澄清和说明不得超出投标文件的范围或改变投标文件的实质性内容（算术性错误修正的除外）。投标人的书面澄清、说明属于投标文件的组成部分。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 评标委员会不得暗示或诱导投标人作出澄清、说明，对投标人提交的澄清、说明有疑问的，可以要求投标人进一步澄清或说明，直至满足评标委员会的要求。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 凡超出招标文件规定的或给发包人带来未曾要求的利益的变化、偏差或其他因素在评标时不予考虑。</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  不得否决投标的情形</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投标文件存在第二章“投标人须知”第1.12.3项所列情形的，均视为细微偏差，评标委员会不得否决投标人的投标，应按照第二章“投标人须知”第1.12.4项规定的原则处理。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  评标结果</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3.9.1除第二章“投标人须知”前附表授权直接确定中标人外，评标委员会按照评标价由低到高的顺序推荐中标候选人，并标明排序。</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3.9.2 评标委员会完成评标后，应向招标人提交书面评标报告。</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b/>
          <w:bCs/>
          <w:color w:val="auto"/>
          <w:kern w:val="0"/>
          <w:sz w:val="21"/>
          <w:szCs w:val="21"/>
        </w:rPr>
        <w:t>YAYH01标段</w:t>
      </w:r>
    </w:p>
    <w:p>
      <w:pPr>
        <w:pStyle w:val="3"/>
        <w:pageBreakBefore w:val="0"/>
        <w:kinsoku/>
        <w:wordWrap/>
        <w:overflowPunct/>
        <w:topLinePunct w:val="0"/>
        <w:bidi w:val="0"/>
        <w:snapToGrid w:val="0"/>
        <w:spacing w:before="0" w:after="0" w:line="360" w:lineRule="exact"/>
        <w:ind w:firstLine="210" w:firstLineChars="100"/>
        <w:textAlignment w:val="auto"/>
        <w:rPr>
          <w:rFonts w:hint="eastAsia" w:asciiTheme="minorEastAsia" w:hAnsiTheme="minorEastAsia" w:eastAsiaTheme="minorEastAsia" w:cstheme="minorEastAsia"/>
          <w:b w:val="0"/>
          <w:color w:val="000000" w:themeColor="text1"/>
          <w:sz w:val="21"/>
          <w:szCs w:val="21"/>
          <w14:textFill>
            <w14:solidFill>
              <w14:schemeClr w14:val="tx1"/>
            </w14:solidFill>
          </w14:textFill>
        </w:rPr>
      </w:pPr>
      <w:bookmarkStart w:id="50" w:name="_Toc67481451"/>
      <w:r>
        <w:rPr>
          <w:rFonts w:hint="eastAsia" w:asciiTheme="minorEastAsia" w:hAnsiTheme="minorEastAsia" w:eastAsiaTheme="minorEastAsia" w:cstheme="minorEastAsia"/>
          <w:b w:val="0"/>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投标人须知前附表</w:t>
      </w:r>
      <w:r>
        <w:rPr>
          <w:rStyle w:val="10"/>
          <w:rFonts w:hint="eastAsia" w:asciiTheme="minorEastAsia" w:hAnsiTheme="minorEastAsia" w:eastAsiaTheme="minorEastAsia" w:cstheme="minorEastAsia"/>
          <w:b w:val="0"/>
          <w:color w:val="000000" w:themeColor="text1"/>
          <w:sz w:val="21"/>
          <w:szCs w:val="21"/>
          <w14:textFill>
            <w14:solidFill>
              <w14:schemeClr w14:val="tx1"/>
            </w14:solidFill>
          </w14:textFill>
        </w:rPr>
        <w:footnoteReference w:id="3"/>
      </w:r>
      <w:bookmarkEnd w:id="50"/>
    </w:p>
    <w:tbl>
      <w:tblPr>
        <w:tblStyle w:val="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6"/>
        <w:gridCol w:w="1975"/>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tblHeader/>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条款名称</w:t>
            </w:r>
          </w:p>
        </w:tc>
        <w:tc>
          <w:tcPr>
            <w:tcW w:w="6823" w:type="dxa"/>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w:t>
            </w:r>
          </w:p>
        </w:tc>
        <w:tc>
          <w:tcPr>
            <w:tcW w:w="6823" w:type="dxa"/>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名称：延边珲乌公路改建项目建设办公室</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地址：吉林省延吉市公园路5568号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联系人：程昭钦</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电话：0433-3135706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代理机构</w:t>
            </w:r>
          </w:p>
        </w:tc>
        <w:tc>
          <w:tcPr>
            <w:tcW w:w="6823" w:type="dxa"/>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：吉林建宇工程咨询有限公司</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地址：</w:t>
            </w:r>
            <w:r>
              <w:rPr>
                <w:rFonts w:hint="eastAsia" w:asciiTheme="minorEastAsia" w:hAnsiTheme="minorEastAsia" w:eastAsiaTheme="minorEastAsia" w:cstheme="minorEastAsia"/>
                <w:color w:val="000000" w:themeColor="text1"/>
                <w:sz w:val="21"/>
                <w:szCs w:val="21"/>
                <w14:textFill>
                  <w14:solidFill>
                    <w14:schemeClr w14:val="tx1"/>
                  </w14:solidFill>
                </w14:textFill>
              </w:rPr>
              <w:t>延吉市人民路2239-3001号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联系人：焦艳</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电话：0433-8316525</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电子邮箱：yjsjy8543@163.com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招标项目名称</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国道珲春至阿尔山公路延吉至安图段改建项目附属工程（房建、机电、养护、试验检测机构）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标段建设地点</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吉林省延吉市、龙井市、安图县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资金来源</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及比例</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中央投资补贴67%；地方政府财政资金33%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落实情况</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招标范围</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计划工期</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质量要求</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标段工程交工验收的质量评定：合格；</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安全目标</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在项目建设过程中杜绝重大安全责任事故，避免发生较大安全责任事故，控制一般安全责任事故。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投标人资质条件、</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能力和信誉</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资质要求：见附录1</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财务要求：见附录2</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业绩要求：见附录3</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信誉要求：见附录4</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项目经理资格要求：见附录5</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是否接受</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联合体投标</w:t>
            </w:r>
          </w:p>
        </w:tc>
        <w:tc>
          <w:tcPr>
            <w:tcW w:w="6823" w:type="dxa"/>
            <w:vAlign w:val="center"/>
          </w:tcPr>
          <w:p>
            <w:pPr>
              <w:pageBreakBefore w:val="0"/>
              <w:kinsoku/>
              <w:wordWrap/>
              <w:overflowPunct/>
              <w:topLinePunct w:val="0"/>
              <w:bidi w:val="0"/>
              <w:adjustRightInd w:val="0"/>
              <w:snapToGrid w:val="0"/>
              <w:spacing w:before="72" w:beforeLines="30" w:after="72" w:afterLines="30"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存在的其他</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关联情况</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vAlign w:val="center"/>
          </w:tcPr>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存在的不良状况</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不良信用</w:t>
            </w:r>
          </w:p>
        </w:tc>
        <w:tc>
          <w:tcPr>
            <w:tcW w:w="6823" w:type="dxa"/>
            <w:vAlign w:val="center"/>
          </w:tcPr>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lang w:val="zh-CN"/>
                <w14:textFill>
                  <w14:solidFill>
                    <w14:schemeClr w14:val="tx1"/>
                  </w14:solidFill>
                </w14:textFill>
              </w:rPr>
              <w:t>本款内容第（6）项修改为：</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（6）投标人或其法定代表人、拟委任的项目经理在近三年内有行贿犯罪行为的；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存在的其他不良</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状况或不良信用</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公路工程施工资质企业名录</w:t>
            </w:r>
          </w:p>
        </w:tc>
        <w:tc>
          <w:tcPr>
            <w:tcW w:w="6823" w:type="dxa"/>
            <w:vAlign w:val="center"/>
          </w:tcPr>
          <w:p>
            <w:pPr>
              <w:pStyle w:val="6"/>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投标人在投标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预备会提出问题</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分包</w:t>
            </w:r>
          </w:p>
        </w:tc>
        <w:tc>
          <w:tcPr>
            <w:tcW w:w="6823" w:type="dxa"/>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构成招标文件的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其他材料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2.2.1</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澄清招标文件</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1"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形式：加盖单位公章的电子文档发送邮件至招标代理机构邮箱yjsjy8543@163.com，并电话通知招标代理机构。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招标文件澄清</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发出的形式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澄清电子文件发布在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“吉林省公共资源交易中心交易平台”，</w:t>
            </w:r>
            <w:r>
              <w:rPr>
                <w:rFonts w:hint="eastAsia" w:asciiTheme="minorEastAsia" w:hAnsiTheme="minorEastAsia" w:eastAsiaTheme="minorEastAsia" w:cstheme="minorEastAsia"/>
                <w:kern w:val="0"/>
                <w:sz w:val="21"/>
                <w:szCs w:val="21"/>
              </w:rPr>
              <w:t>同时发布在</w:t>
            </w:r>
            <w:r>
              <w:rPr>
                <w:rFonts w:hint="eastAsia" w:asciiTheme="minorEastAsia" w:hAnsiTheme="minorEastAsia" w:eastAsiaTheme="minorEastAsia" w:cstheme="minorEastAsia"/>
                <w:color w:val="000000"/>
                <w:sz w:val="21"/>
                <w:szCs w:val="21"/>
              </w:rPr>
              <w:t>网盘：</w:t>
            </w: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2.2.3</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收到招标文件澄清</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时间：收到澄清后24小时内（以招标文件澄清发出时间为准）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形式：加盖单位公章的电子版确认函按要求将回执扫描后，发送至yjsjy8543@163.com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0"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招标文件修改</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发出的方式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补遗电子文件发布在</w:t>
            </w:r>
            <w:r>
              <w:rPr>
                <w:rFonts w:hint="eastAsia" w:asciiTheme="minorEastAsia" w:hAnsiTheme="minorEastAsia" w:eastAsiaTheme="minorEastAsia" w:cstheme="minorEastAsia"/>
                <w:kern w:val="0"/>
                <w:sz w:val="21"/>
                <w:szCs w:val="21"/>
              </w:rPr>
              <w:t>“吉林省公共资源交易中心交易平台”，同时发布在</w:t>
            </w:r>
            <w:r>
              <w:rPr>
                <w:rFonts w:hint="eastAsia" w:asciiTheme="minorEastAsia" w:hAnsiTheme="minorEastAsia" w:eastAsiaTheme="minorEastAsia" w:cstheme="minorEastAsia"/>
                <w:color w:val="000000"/>
                <w:sz w:val="21"/>
                <w:szCs w:val="21"/>
              </w:rPr>
              <w:t>网盘：</w:t>
            </w: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收到招标文件修改</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时间：收到修改后24小时内（以招标文件修改发出时间为准）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投标文件密封形式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构成投标文件的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其他资料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51" w:name="_Hlk65575585"/>
            <w:r>
              <w:rPr>
                <w:rFonts w:hint="eastAsia" w:asciiTheme="minorEastAsia" w:hAnsiTheme="minorEastAsia" w:eastAsiaTheme="minorEastAsia" w:cstheme="minorEastAsia"/>
                <w:sz w:val="21"/>
                <w:szCs w:val="21"/>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第二个信封</w:t>
            </w:r>
          </w:p>
        </w:tc>
        <w:tc>
          <w:tcPr>
            <w:tcW w:w="6823" w:type="dxa"/>
            <w:vAlign w:val="center"/>
          </w:tcPr>
          <w:p>
            <w:pPr>
              <w:pStyle w:val="12"/>
              <w:pageBreakBefore w:val="0"/>
              <w:shd w:val="clear" w:color="auto" w:fill="auto"/>
              <w:kinsoku/>
              <w:wordWrap/>
              <w:overflowPunct/>
              <w:topLinePunct w:val="0"/>
              <w:bidi w:val="0"/>
              <w:spacing w:before="0" w:line="36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第二个信封（报价文件</w:t>
            </w:r>
            <w:r>
              <w:rPr>
                <w:rFonts w:hint="eastAsia" w:asciiTheme="minorEastAsia" w:hAnsiTheme="minorEastAsia" w:eastAsiaTheme="minorEastAsia" w:cstheme="minorEastAsia"/>
                <w:sz w:val="21"/>
                <w:szCs w:val="21"/>
                <w:lang w:bidi="en-US"/>
              </w:rPr>
              <w:t>）：</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（1）投标函；</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（2）报价清单</w:t>
            </w: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增值税税金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的计算方法</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工程量清单</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的填写方式</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3.2.6</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是否接受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调价函</w:t>
            </w:r>
          </w:p>
        </w:tc>
        <w:tc>
          <w:tcPr>
            <w:tcW w:w="6823" w:type="dxa"/>
            <w:tcBorders>
              <w:bottom w:val="single" w:color="auto" w:sz="4" w:space="0"/>
            </w:tcBorders>
            <w:vAlign w:val="center"/>
          </w:tcPr>
          <w:p>
            <w:pPr>
              <w:pStyle w:val="6"/>
              <w:pageBreakBefore w:val="0"/>
              <w:pBdr>
                <w:bottom w:val="none" w:color="auto" w:sz="0" w:space="0"/>
              </w:pBdr>
              <w:tabs>
                <w:tab w:val="clear" w:pos="4153"/>
                <w:tab w:val="clear" w:pos="8306"/>
              </w:tabs>
              <w:kinsoku/>
              <w:wordWrap/>
              <w:overflowPunct/>
              <w:topLinePunct w:val="0"/>
              <w:bidi w:val="0"/>
              <w:snapToGrid/>
              <w:spacing w:line="360" w:lineRule="exact"/>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bdr w:val="single" w:color="auto" w:sz="4" w:space="0"/>
                <w14:textFill>
                  <w14:solidFill>
                    <w14:schemeClr w14:val="tx1"/>
                  </w14:solidFill>
                </w14:textFill>
              </w:rPr>
              <w:t> </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是</w:t>
            </w:r>
          </w:p>
          <w:p>
            <w:pPr>
              <w:pStyle w:val="6"/>
              <w:pageBreakBefore w:val="0"/>
              <w:pBdr>
                <w:bottom w:val="none" w:color="auto" w:sz="0" w:space="0"/>
              </w:pBdr>
              <w:tabs>
                <w:tab w:val="clear" w:pos="4153"/>
                <w:tab w:val="clear" w:pos="8306"/>
              </w:tabs>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bdr w:val="single" w:color="auto" w:sz="4" w:space="0"/>
                <w:lang w:val="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3.2.8</w:t>
            </w:r>
          </w:p>
        </w:tc>
        <w:tc>
          <w:tcPr>
            <w:tcW w:w="1975" w:type="dxa"/>
            <w:tcBorders>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最高投标限价</w:t>
            </w:r>
          </w:p>
        </w:tc>
        <w:tc>
          <w:tcPr>
            <w:tcW w:w="68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有，最高投标限价：人民币</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壹佰伍拾壹万零捌佰肆拾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1,510,840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3.2.9</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其他要求</w:t>
            </w:r>
          </w:p>
        </w:tc>
        <w:tc>
          <w:tcPr>
            <w:tcW w:w="6823" w:type="dxa"/>
            <w:tcBorders>
              <w:top w:val="single" w:color="auto" w:sz="4" w:space="0"/>
            </w:tcBorders>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是否要求投标人递交投标保证金：要求</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投标保证金的金额：</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1万元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若采用银行保函，出具保函的银行级别：应由“工商银行、农业银行、中国银行、建设银行、交通银行”五大国有商业银行之一或全国性股份制商业银行开具，银行应为地市级分、支行或以上级别。银行保函复印件装订在投标文件内。原件单独密封在投标保函原件封套中，随同投标文件一起（在递交投标文件截止之前）递交给招标代理机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（2）若采用现金或支票或汇票形式，投标人应在投标截止时间前，将投标保证金由投标人的基本账户一次性汇入并到达招标人指定账户，否则视为投标保证金无效。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招标人指定的银行及账号如下：</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开户银行：中国邮政储蓄银行延吉市公园路支行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账户名称：延边珲乌公路改建项目建设办公室</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    号：100718894520010001</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 系 人：程昭钦</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联系电话：0433-3135706</w:t>
            </w:r>
          </w:p>
          <w:p>
            <w:pPr>
              <w:pageBreakBefore w:val="0"/>
              <w:kinsoku/>
              <w:wordWrap/>
              <w:overflowPunct/>
              <w:topLinePunct w:val="0"/>
              <w:bidi w:val="0"/>
              <w:adjustRightInd w:val="0"/>
              <w:snapToGrid w:val="0"/>
              <w:spacing w:before="120" w:beforeLines="50" w:after="120" w:afterLines="50"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银行转账业务备注栏填写：延吉安图施工招标XX标段投标保证金。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3.4.3</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的利息计算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原则</w:t>
            </w:r>
          </w:p>
        </w:tc>
        <w:tc>
          <w:tcPr>
            <w:tcW w:w="6823" w:type="dxa"/>
            <w:vAlign w:val="bottom"/>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（1）计算利息的起始日期为投标截止当日，终止日期为招标人退还投标保证金日期的前一日；</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（2）投标保证金的利息按照第（1)款所述计息时间段内招标人指定汇入银行公告的活期存款利率计付，并扣除招标人汇款手续费；</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投标人应及时向招标人提交退还投标保证金的有关资料：</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（1）基本账户开户证明（指基本账户开户许可证或其他有效的基本账户开户证明）复印件（清晰可辨）；</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（2）给招标人开具的财务收据原件；</w:t>
            </w:r>
          </w:p>
          <w:p>
            <w:pPr>
              <w:pageBreakBefore w:val="0"/>
              <w:kinsoku/>
              <w:wordWrap/>
              <w:overflowPunct/>
              <w:topLinePunct w:val="0"/>
              <w:bidi w:val="0"/>
              <w:adjustRightInd w:val="0"/>
              <w:snapToGrid w:val="0"/>
              <w:spacing w:line="360" w:lineRule="exact"/>
              <w:ind w:firstLine="105" w:firstLine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（3）提供办理人联系方式。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其他可以不予退还</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投标保证金情形</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资格审查资料的</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特殊要求</w:t>
            </w:r>
          </w:p>
        </w:tc>
        <w:tc>
          <w:tcPr>
            <w:tcW w:w="6823" w:type="dxa"/>
            <w:vAlign w:val="center"/>
          </w:tcPr>
          <w:p>
            <w:pPr>
              <w:pageBreakBefore w:val="0"/>
              <w:tabs>
                <w:tab w:val="left" w:pos="620"/>
              </w:tabs>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7" w:hRule="atLeast"/>
        </w:trPr>
        <w:tc>
          <w:tcPr>
            <w:tcW w:w="896" w:type="dxa"/>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3.5.1</w:t>
            </w:r>
          </w:p>
        </w:tc>
        <w:tc>
          <w:tcPr>
            <w:tcW w:w="1975" w:type="dxa"/>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投标人基本情况表</w:t>
            </w:r>
          </w:p>
        </w:tc>
        <w:tc>
          <w:tcPr>
            <w:tcW w:w="6823" w:type="dxa"/>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3.5.1 “投标人基本情况表”应附企业法人营业执照副本、施工资质证书副本或电子证书、基本账户开户许可证（或基本账户开户银行开具证明）的复印件，投标人在交通运输部“全国公路建设市场信用信息管理系统”公路工程施工资质企业名录中的网页截图复印件，以及投标人在国家企业信用信息公示系统中基础信息（体现股东及出资详细信息）的网页截图复印件。</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法人营业执照副本、施工资质证书副本、基本账户开户许可证的复印件应提供全本（证书封面、封底、空白页除外），应包括投标人名称、投标人其他相关信息、颁发机构名称、投标人信息变更情况等关键页在内，并逐页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5"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近年财务状况的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年份要求</w:t>
            </w:r>
          </w:p>
        </w:tc>
        <w:tc>
          <w:tcPr>
            <w:tcW w:w="6823" w:type="dxa"/>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近年完成的类似项目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情况的时间要求</w:t>
            </w:r>
          </w:p>
        </w:tc>
        <w:tc>
          <w:tcPr>
            <w:tcW w:w="6823" w:type="dxa"/>
            <w:vAlign w:val="center"/>
          </w:tcPr>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2016年1月1日后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3.5.3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近年完成的类似</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kern w:val="0"/>
                <w:sz w:val="21"/>
                <w:szCs w:val="21"/>
                <w:lang w:val="zh-CN"/>
              </w:rPr>
              <w:t>项目业绩要求</w:t>
            </w:r>
          </w:p>
        </w:tc>
        <w:tc>
          <w:tcPr>
            <w:tcW w:w="6823" w:type="dxa"/>
            <w:vAlign w:val="center"/>
          </w:tcPr>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kern w:val="0"/>
                <w:sz w:val="21"/>
                <w:szCs w:val="21"/>
                <w:lang w:val="zh-CN"/>
              </w:rPr>
              <w:t>本条款修改为：</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1．提供合同协议书的复印件。</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2．如近年来，投标人法人机构发生合法变更或重组或法人名称变更时，应提供相关部门的合法批件或其他相关证明材料来证明其所附业绩的继承性。</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3．如以上所提供的证明材料中不能查找出满足最低资格条件要求的数据时，投标人应补充相应的项目法人或项目法人主管部门或相应级别质量监督机构出具的证明材料；如附外文业绩证明材料需有经公证的中文译文并应能证明其完成情况。</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4．投标人所填报的施工业绩如因企业名称发生变化而与投标人名称不符时，应由其营业执照的发证机关出具相应证明材料（资质证书中已经明示的除外）或附有效企业改制等证明材料。</w:t>
            </w:r>
          </w:p>
          <w:p>
            <w:pPr>
              <w:pStyle w:val="6"/>
              <w:pageBreakBefore w:val="0"/>
              <w:pBdr>
                <w:bottom w:val="none" w:color="auto" w:sz="0" w:space="0"/>
              </w:pBdr>
              <w:tabs>
                <w:tab w:val="left" w:pos="420"/>
              </w:tabs>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5．投标人子公司的施工业绩不能作为投标人的施工业绩；投标人填报的业绩若为其总（母）公司或其他公司名称时，应由项目法人或项目法人的主管部门出具相应证明材料。若为其兼并或重组的其他公司名称时，应由有关部门出具证明材料。</w:t>
            </w:r>
          </w:p>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lang w:val="zh-CN"/>
              </w:rPr>
              <w:t>6．投标人填报某项业绩提供证明材料不符合以上要求时，则该项业绩视为无效业绩，不作为评审依据。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7"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投标人的信誉情况</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3.5.4 “投标人的信誉情况表”应附投标人在国家企业信用信息公示系统中是否被列入严重违法失信企业名单、在“信用中国”网站中是否被列入失信被执行人名单的网页截图复印件，</w:t>
            </w:r>
            <w:r>
              <w:rPr>
                <w:rFonts w:hint="eastAsia" w:asciiTheme="minorEastAsia" w:hAnsiTheme="minorEastAsia" w:eastAsiaTheme="minorEastAsia" w:cstheme="minorEastAsia"/>
                <w:color w:val="000000" w:themeColor="text1"/>
                <w:sz w:val="21"/>
                <w:szCs w:val="21"/>
                <w14:textFill>
                  <w14:solidFill>
                    <w14:schemeClr w14:val="tx1"/>
                  </w14:solidFill>
                </w14:textFill>
              </w:rPr>
              <w:t>以及由投标人出具的近三年内投标人及其法定代表人、拟委任的项目经理均无行贿犯罪行为的书面承诺原件。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70" w:hRule="atLeast"/>
        </w:trPr>
        <w:tc>
          <w:tcPr>
            <w:tcW w:w="896"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3.5.5</w:t>
            </w:r>
          </w:p>
        </w:tc>
        <w:tc>
          <w:tcPr>
            <w:tcW w:w="1975"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拟委任的项目经理资历表</w:t>
            </w:r>
          </w:p>
        </w:tc>
        <w:tc>
          <w:tcPr>
            <w:tcW w:w="6823" w:type="dxa"/>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应附项目经理的身份证以及资格审查条件所要求的其他相关证书的复印件，以及投标人在社保系统打印的本单位人员（拟委任的项目经理和项目总工）缴费明细。</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lang w:val="zh-CN"/>
              </w:rPr>
              <w:t>“拟委任的项目经理资历表”还应附</w:t>
            </w:r>
            <w:r>
              <w:rPr>
                <w:rFonts w:hint="eastAsia" w:asciiTheme="minorEastAsia" w:hAnsiTheme="minorEastAsia" w:eastAsiaTheme="minorEastAsia" w:cstheme="minorEastAsia"/>
                <w:sz w:val="21"/>
                <w:szCs w:val="21"/>
              </w:rPr>
              <w:t>能够证明项目经理具有相关业绩证明</w:t>
            </w:r>
            <w:r>
              <w:rPr>
                <w:rFonts w:hint="eastAsia" w:asciiTheme="minorEastAsia" w:hAnsiTheme="minorEastAsia" w:eastAsiaTheme="minorEastAsia" w:cstheme="minorEastAsia"/>
                <w:sz w:val="21"/>
                <w:szCs w:val="21"/>
                <w:lang w:val="zh-CN"/>
              </w:rPr>
              <w:t>材料：提供合同协议书和任职证明的复印件（任职证明应明确任职职务、任职时间、任职期内的施工内容，出具机构为该项目的发包人或发包人的上级行政主管部门或相应的质量监督机构，</w:t>
            </w:r>
            <w:r>
              <w:rPr>
                <w:rFonts w:hint="eastAsia" w:asciiTheme="minorEastAsia" w:hAnsiTheme="minorEastAsia" w:eastAsiaTheme="minorEastAsia" w:cstheme="minorEastAsia"/>
                <w:b/>
                <w:kern w:val="0"/>
                <w:sz w:val="21"/>
                <w:szCs w:val="21"/>
                <w:lang w:val="zh-CN"/>
              </w:rPr>
              <w:t>该任职证明中必须体现项目经理的名字，中标通知书或合同协议书中项目经理的名字不做评审依据</w:t>
            </w:r>
            <w:r>
              <w:rPr>
                <w:rFonts w:hint="eastAsia" w:asciiTheme="minorEastAsia" w:hAnsiTheme="minorEastAsia" w:eastAsiaTheme="minorEastAsia" w:cstheme="minorEastAsia"/>
                <w:sz w:val="21"/>
                <w:szCs w:val="21"/>
                <w:lang w:val="zh-CN"/>
              </w:rPr>
              <w:t>）。未提供任职证明的相关业绩不作为评审依据。</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如项目经理目前仍在其他项目上任职，则投标人出具上述人员能够从该项目撤离的书面承诺原件。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是否允许递交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备选投标方案</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副本份数</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及其他要求</w:t>
            </w:r>
          </w:p>
        </w:tc>
        <w:tc>
          <w:tcPr>
            <w:tcW w:w="6823" w:type="dxa"/>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投标文件副本份数：在递交投标文件时投标人不需要提供副本。</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是否要求提交电子版文件：1份电子版已标价的工程量清单及《投标文件关键内容摘录表》（U盘）。</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其他要求：中标人应在收到中标通知书后并在与招标人签订合同前提供投标文件副本3份。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装订的其他要求</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投标文件第一信封书脊上应明确标注投标人的单位名称和所投标的项目名称及标段。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1"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封套上应载明的信息</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标段施工招标</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第一个信封（商务及技术文件）投标文件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分（第一个信封开标时间）前不得开启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标段施工招标</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第二个信封（报价文件）投标文件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在投标文件第二个信封（报价文件）开标前不得开启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投标人地址：</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银行保函封套：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标段施工招标</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投标保证金（银行保函原件）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是否退还</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投标人少于3个的，投标文件当场退还给投标人；</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否则，投标文件第一个信封（商务及技术文件）均不退还，未通过第一个信封评审的投标人的投标文件第二个信封（报价文件）予以退还。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开标时间和</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地点</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投标文件第一个信封（商务及技术文件）开标时间：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同投标截止时间</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投标文件第一个信封（商务及技术文件）</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开标地点：</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同递交投标文件地点</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投标文件第二个信封（报价文件）开标时间：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投标文件第二个信封（报价文件）</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开标地点：</w:t>
            </w:r>
          </w:p>
          <w:p>
            <w:pPr>
              <w:pageBreakBefore w:val="0"/>
              <w:kinsoku/>
              <w:wordWrap/>
              <w:overflowPunct/>
              <w:topLinePunct w:val="0"/>
              <w:bidi w:val="0"/>
              <w:snapToGrid w:val="0"/>
              <w:spacing w:line="360" w:lineRule="exact"/>
              <w:ind w:firstLine="404" w:firstLineChars="200"/>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5.2.1</w:t>
            </w:r>
          </w:p>
        </w:tc>
        <w:tc>
          <w:tcPr>
            <w:tcW w:w="1975"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第一个信封（商务及技术文件）</w:t>
            </w:r>
          </w:p>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开标程序</w:t>
            </w:r>
          </w:p>
        </w:tc>
        <w:tc>
          <w:tcPr>
            <w:tcW w:w="6823" w:type="dxa"/>
            <w:vAlign w:val="center"/>
          </w:tcPr>
          <w:p>
            <w:pPr>
              <w:pageBreakBefore w:val="0"/>
              <w:numPr>
                <w:ilvl w:val="0"/>
                <w:numId w:val="2"/>
              </w:numPr>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密封情况检查：检查商务及技术文件是否存在提前开启情况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（5）开标顺序：按照投标人名称的汉语拼音升序（以Microsoft Office自动排序为准）的开标顺序开标。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5.2.3</w:t>
            </w:r>
          </w:p>
        </w:tc>
        <w:tc>
          <w:tcPr>
            <w:tcW w:w="1975" w:type="dxa"/>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第二个信封（报价文件）开标程序</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（4）密封情况检查：检查报价文件是否存在提前开启情况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（5）开标顺序：按照投标人的商务和技术得分由高到低的开标顺序开标。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评标委员会的组建</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评标委员会构成：9人，其中招标人代表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人，专家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6.3.2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评标委员会推荐</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中标候选人的人数</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3名（或3名以内）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中标候选人</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公示媒介及</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期限</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公示媒介：中国招标投标公共服务平台、吉林省公共资源交易公共服务平台、吉林省交通运输厅网站、延边州人民政府信息公开专栏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是否授权评标委员会</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确定中标人</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中标通知书和中标结</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果通知发出的形式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中标通知书以书面形式发出，中标结果通知以中标结果公告的形式在本须知7.6款明确的媒介上发出。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7.6</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中标结果公告</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媒介及期限</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公告媒介：中国招标投标公共服务平台、吉林省交通运输厅网站、延边州人民政府信息公开专栏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7.7.1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履约保证金形式：银行保函或现金、支票形式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履约保证金金额：10%签约合同价。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（1）采用现金、支票形式时，应由中标人的基本账户汇入发包人指定账户。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（2）采用银行保函时，出具保函的银行级别：应由“工商银行、农业银行、中国银行、建设银行、交通银行”五大国有商业银行及全国性商业银行开具，银行级别应为地市级分、支行以上级别。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8.5.1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监督部门</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监督部门：延边州交通运输局</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址：延吉市公园路5568号</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    话：0433-2705070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传    真：0433-2257000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邮　　编：133000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是否采用电子招标投标</w:t>
            </w:r>
          </w:p>
        </w:tc>
        <w:tc>
          <w:tcPr>
            <w:tcW w:w="6823" w:type="dxa"/>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694" w:type="dxa"/>
            <w:gridSpan w:val="3"/>
            <w:vAlign w:val="center"/>
          </w:tcPr>
          <w:p>
            <w:pPr>
              <w:pageBreakBefore w:val="0"/>
              <w:kinsoku/>
              <w:wordWrap/>
              <w:overflowPunct/>
              <w:topLinePunct w:val="0"/>
              <w:bidi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 无</w:t>
            </w:r>
          </w:p>
        </w:tc>
      </w:tr>
    </w:tbl>
    <w:p>
      <w:pPr>
        <w:pStyle w:val="4"/>
        <w:pageBreakBefore w:val="0"/>
        <w:numPr>
          <w:ilvl w:val="0"/>
          <w:numId w:val="0"/>
        </w:numPr>
        <w:kinsoku/>
        <w:wordWrap/>
        <w:overflowPunct/>
        <w:topLinePunct w:val="0"/>
        <w:bidi w:val="0"/>
        <w:spacing w:before="480" w:beforeLines="200" w:after="240" w:afterLines="100"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附录1  资格审查条件（资质最低要求）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854" w:type="dxa"/>
            <w:vAlign w:val="center"/>
          </w:tcPr>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lang w:bidi="zh-TW"/>
                <w14:textFill>
                  <w14:solidFill>
                    <w14:schemeClr w14:val="tx1"/>
                  </w14:solidFill>
                </w14:textFill>
              </w:rPr>
            </w:pPr>
            <w:r>
              <w:rPr>
                <w:rFonts w:hint="eastAsia" w:asciiTheme="minorEastAsia" w:hAnsiTheme="minorEastAsia" w:eastAsiaTheme="minorEastAsia" w:cstheme="minorEastAsia"/>
                <w:sz w:val="21"/>
                <w:szCs w:val="21"/>
                <w:lang w:bidi="zh-TW"/>
              </w:rPr>
              <w:t>吉林省公路养护工程施工三类甲级（或乙级）资质</w:t>
            </w:r>
            <w:r>
              <w:rPr>
                <w:rFonts w:hint="eastAsia" w:asciiTheme="minorEastAsia" w:hAnsiTheme="minorEastAsia" w:eastAsiaTheme="minorEastAsia" w:cstheme="minorEastAsia"/>
                <w:color w:val="000000" w:themeColor="text1"/>
                <w:sz w:val="21"/>
                <w:szCs w:val="21"/>
                <w:lang w:bidi="zh-TW"/>
                <w14:textFill>
                  <w14:solidFill>
                    <w14:schemeClr w14:val="tx1"/>
                  </w14:solidFill>
                </w14:textFill>
              </w:rPr>
              <w:t>。</w:t>
            </w:r>
          </w:p>
        </w:tc>
      </w:tr>
    </w:tbl>
    <w:p>
      <w:pPr>
        <w:pStyle w:val="4"/>
        <w:pageBreakBefore w:val="0"/>
        <w:numPr>
          <w:ilvl w:val="0"/>
          <w:numId w:val="0"/>
        </w:numPr>
        <w:kinsoku/>
        <w:wordWrap/>
        <w:overflowPunct/>
        <w:topLinePunct w:val="0"/>
        <w:bidi w:val="0"/>
        <w:spacing w:before="480" w:beforeLines="200" w:after="240" w:afterLines="100"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附录2  资格审查条件（财务最低要求）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4" w:type="dxa"/>
            <w:vAlign w:val="center"/>
          </w:tcPr>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投标人的经审计的</w:t>
            </w:r>
            <w:r>
              <w:rPr>
                <w:rFonts w:hint="eastAsia" w:asciiTheme="minorEastAsia" w:hAnsiTheme="minorEastAsia" w:eastAsiaTheme="minorEastAsia" w:cstheme="minorEastAsia"/>
                <w:b/>
                <w:color w:val="000000" w:themeColor="text1"/>
                <w:kern w:val="1"/>
                <w:sz w:val="21"/>
                <w:szCs w:val="21"/>
                <w:u w:val="single"/>
                <w14:textFill>
                  <w14:solidFill>
                    <w14:schemeClr w14:val="tx1"/>
                  </w14:solidFill>
                </w14:textFill>
              </w:rPr>
              <w:t>2019</w:t>
            </w:r>
            <w:r>
              <w:rPr>
                <w:rFonts w:hint="eastAsia" w:asciiTheme="minorEastAsia" w:hAnsiTheme="minorEastAsia" w:eastAsiaTheme="minorEastAsia" w:cstheme="minorEastAsia"/>
                <w:color w:val="000000" w:themeColor="text1"/>
                <w:kern w:val="1"/>
                <w:sz w:val="21"/>
                <w:szCs w:val="21"/>
                <w:u w:val="single"/>
                <w14:textFill>
                  <w14:solidFill>
                    <w14:schemeClr w14:val="tx1"/>
                  </w14:solidFill>
                </w14:textFill>
              </w:rPr>
              <w:t>年</w:t>
            </w: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财务会计报告中流动资金（流动资金=流动资产－流动负债）与为本项目开具的银行信贷证明之和必须达到</w:t>
            </w:r>
            <w:r>
              <w:rPr>
                <w:rFonts w:hint="eastAsia" w:asciiTheme="minorEastAsia" w:hAnsiTheme="minorEastAsia" w:eastAsiaTheme="minorEastAsia" w:cstheme="minorEastAsia"/>
                <w:b/>
                <w:bCs/>
                <w:color w:val="000000" w:themeColor="text1"/>
                <w:kern w:val="0"/>
                <w:sz w:val="21"/>
                <w:szCs w:val="21"/>
                <w:u w:val="single"/>
                <w14:textFill>
                  <w14:solidFill>
                    <w14:schemeClr w14:val="tx1"/>
                  </w14:solidFill>
                </w14:textFill>
              </w:rPr>
              <w:t>20</w:t>
            </w:r>
            <w:r>
              <w:rPr>
                <w:rFonts w:hint="eastAsia" w:asciiTheme="minorEastAsia" w:hAnsiTheme="minorEastAsia" w:eastAsiaTheme="minorEastAsia" w:cstheme="minorEastAsia"/>
                <w:b/>
                <w:bCs/>
                <w:color w:val="000000" w:themeColor="text1"/>
                <w:kern w:val="1"/>
                <w:sz w:val="21"/>
                <w:szCs w:val="21"/>
                <w:u w:val="single"/>
                <w14:textFill>
                  <w14:solidFill>
                    <w14:schemeClr w14:val="tx1"/>
                  </w14:solidFill>
                </w14:textFill>
              </w:rPr>
              <w:t>万元</w:t>
            </w: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。银行信贷证明必须在地（市）级或以上级别的信誉良好的国有或股份制商业银行支行开具。</w:t>
            </w:r>
          </w:p>
        </w:tc>
      </w:tr>
    </w:tbl>
    <w:p>
      <w:pPr>
        <w:pageBreakBefore w:val="0"/>
        <w:kinsoku/>
        <w:wordWrap/>
        <w:overflowPunct/>
        <w:topLinePunct w:val="0"/>
        <w:bidi w:val="0"/>
        <w:spacing w:line="360" w:lineRule="exact"/>
        <w:ind w:firstLine="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 xml:space="preserve">注：投标人经审计的2019年财务报告中的流动资金不低于最低要求，不强制开具银行信贷证明。银行信贷证明的证明时效必须满足预计工期同时由出具该证明的银行的法定代表人签署，并加盖该银行的法人公章。中标人的银行信贷证明将不予返还，直至工程结束；其他未中标的投标人的银行信贷证明自动作废。  </w:t>
      </w:r>
    </w:p>
    <w:p>
      <w:pPr>
        <w:pageBreakBefore w:val="0"/>
        <w:widowControl/>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 xml:space="preserve">     </w:t>
      </w:r>
    </w:p>
    <w:p>
      <w:pPr>
        <w:pageBreakBefore w:val="0"/>
        <w:widowControl/>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附录3  资格审查条件（业绩最低要求）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54" w:type="dxa"/>
            <w:vAlign w:val="center"/>
          </w:tcPr>
          <w:p>
            <w:pPr>
              <w:pageBreakBefore w:val="0"/>
              <w:kinsoku/>
              <w:wordWrap/>
              <w:overflowPunct/>
              <w:topLinePunct w:val="0"/>
              <w:bidi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2016年1月1日以后</w:t>
            </w:r>
            <w:r>
              <w:rPr>
                <w:rFonts w:hint="eastAsia" w:asciiTheme="minorEastAsia" w:hAnsiTheme="minorEastAsia" w:eastAsiaTheme="minorEastAsia" w:cstheme="minorEastAsia"/>
                <w:sz w:val="21"/>
                <w:szCs w:val="21"/>
                <w:lang w:bidi="zh-TW"/>
              </w:rPr>
              <w:t>累计完成过不少于15公里</w:t>
            </w:r>
            <w:r>
              <w:rPr>
                <w:rFonts w:hint="eastAsia" w:asciiTheme="minorEastAsia" w:hAnsiTheme="minorEastAsia" w:eastAsiaTheme="minorEastAsia" w:cstheme="minorEastAsia"/>
                <w:color w:val="000000" w:themeColor="text1"/>
                <w:sz w:val="21"/>
                <w:szCs w:val="21"/>
                <w14:textFill>
                  <w14:solidFill>
                    <w14:schemeClr w14:val="tx1"/>
                  </w14:solidFill>
                </w14:textFill>
              </w:rPr>
              <w:t>二级或二级以上</w:t>
            </w:r>
            <w:r>
              <w:rPr>
                <w:rFonts w:hint="eastAsia" w:asciiTheme="minorEastAsia" w:hAnsiTheme="minorEastAsia" w:eastAsiaTheme="minorEastAsia" w:cstheme="minorEastAsia"/>
                <w:sz w:val="21"/>
                <w:szCs w:val="21"/>
                <w:lang w:bidi="zh-TW"/>
              </w:rPr>
              <w:t>公路工程或小修保养施工业绩</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p>
        </w:tc>
      </w:tr>
    </w:tbl>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附录4  资格审查条件（信誉最低要求）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tcBorders>
              <w:bottom w:val="single" w:color="auto" w:sz="4" w:space="0"/>
            </w:tcBorders>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tcBorders>
              <w:top w:val="single" w:color="auto" w:sz="4" w:space="0"/>
            </w:tcBorders>
            <w:vAlign w:val="center"/>
          </w:tcPr>
          <w:p>
            <w:pPr>
              <w:pageBreakBefore w:val="0"/>
              <w:kinsoku/>
              <w:wordWrap/>
              <w:overflowPunct/>
              <w:topLinePunct w:val="0"/>
              <w:bidi w:val="0"/>
              <w:snapToGrid w:val="0"/>
              <w:spacing w:before="36" w:beforeLines="15" w:after="36" w:afterLines="15"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1"/>
                <w:sz w:val="21"/>
                <w:szCs w:val="21"/>
                <w14:textFill>
                  <w14:solidFill>
                    <w14:schemeClr w14:val="tx1"/>
                  </w14:solidFill>
                </w14:textFill>
              </w:rPr>
              <w:t>/</w:t>
            </w:r>
          </w:p>
        </w:tc>
      </w:tr>
    </w:tbl>
    <w:p>
      <w:pPr>
        <w:pStyle w:val="4"/>
        <w:pageBreakBefore w:val="0"/>
        <w:numPr>
          <w:ilvl w:val="0"/>
          <w:numId w:val="0"/>
        </w:numPr>
        <w:kinsoku/>
        <w:wordWrap/>
        <w:overflowPunct/>
        <w:topLinePunct w:val="0"/>
        <w:bidi w:val="0"/>
        <w:spacing w:before="480" w:beforeLines="200" w:after="240" w:afterLines="100"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附录5  资格审查条件（项目经理最低要求）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tbl>
      <w:tblPr>
        <w:tblStyle w:val="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73"/>
        <w:gridCol w:w="941"/>
        <w:gridCol w:w="461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37" w:type="dxa"/>
            <w:tcBorders>
              <w:top w:val="single" w:color="auto" w:sz="12" w:space="0"/>
              <w:left w:val="single" w:color="auto" w:sz="12"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标段</w:t>
            </w:r>
          </w:p>
        </w:tc>
        <w:tc>
          <w:tcPr>
            <w:tcW w:w="1073" w:type="dxa"/>
            <w:tcBorders>
              <w:top w:val="single" w:color="auto" w:sz="12" w:space="0"/>
              <w:lef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941" w:type="dxa"/>
            <w:tcBorders>
              <w:top w:val="single" w:color="auto" w:sz="12"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数量（人）</w:t>
            </w:r>
          </w:p>
        </w:tc>
        <w:tc>
          <w:tcPr>
            <w:tcW w:w="4613" w:type="dxa"/>
            <w:tcBorders>
              <w:top w:val="single" w:color="auto" w:sz="12" w:space="0"/>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资格要求</w:t>
            </w:r>
          </w:p>
        </w:tc>
        <w:tc>
          <w:tcPr>
            <w:tcW w:w="1451" w:type="dxa"/>
            <w:tcBorders>
              <w:top w:val="single" w:color="auto" w:sz="12" w:space="0"/>
              <w:left w:val="single" w:color="auto" w:sz="4" w:space="0"/>
              <w:right w:val="single" w:color="auto" w:sz="12" w:space="0"/>
            </w:tcBorders>
            <w:vAlign w:val="center"/>
          </w:tcPr>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137" w:type="dxa"/>
            <w:tcBorders>
              <w:left w:val="single" w:color="auto" w:sz="12"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YAYH01</w:t>
            </w:r>
          </w:p>
        </w:tc>
        <w:tc>
          <w:tcPr>
            <w:tcW w:w="1073" w:type="dxa"/>
            <w:tcBorders>
              <w:lef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项目经理</w:t>
            </w:r>
          </w:p>
        </w:tc>
        <w:tc>
          <w:tcPr>
            <w:tcW w:w="941"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613" w:type="dxa"/>
            <w:tcBorders>
              <w:right w:val="single" w:color="auto" w:sz="4" w:space="0"/>
            </w:tcBorders>
            <w:vAlign w:val="center"/>
          </w:tcPr>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（1）投标人自有人员；</w:t>
            </w:r>
          </w:p>
          <w:p>
            <w:pPr>
              <w:pageBreakBefore w:val="0"/>
              <w:kinsoku/>
              <w:wordWrap/>
              <w:overflowPunct/>
              <w:topLinePunct w:val="0"/>
              <w:bidi w:val="0"/>
              <w:adjustRightInd w:val="0"/>
              <w:snapToGrid w:val="0"/>
              <w:spacing w:line="360" w:lineRule="exact"/>
              <w:ind w:left="21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（2）持有建设行政主管部门颁发的 “公路工程”</w:t>
            </w:r>
            <w:r>
              <w:rPr>
                <w:rFonts w:hint="eastAsia" w:asciiTheme="minorEastAsia" w:hAnsiTheme="minorEastAsia" w:eastAsiaTheme="minorEastAsia" w:cstheme="minorEastAsia"/>
                <w:sz w:val="21"/>
                <w:szCs w:val="21"/>
              </w:rPr>
              <w:t>或“市政工程”</w:t>
            </w:r>
            <w:r>
              <w:rPr>
                <w:rFonts w:hint="eastAsia" w:asciiTheme="minorEastAsia" w:hAnsiTheme="minorEastAsia" w:eastAsiaTheme="minorEastAsia" w:cstheme="minorEastAsia"/>
                <w:color w:val="000000" w:themeColor="text1"/>
                <w:sz w:val="21"/>
                <w:szCs w:val="21"/>
                <w14:textFill>
                  <w14:solidFill>
                    <w14:schemeClr w14:val="tx1"/>
                  </w14:solidFill>
                </w14:textFill>
              </w:rPr>
              <w:t>专业《二级建造师注册证书》或</w:t>
            </w:r>
            <w:r>
              <w:rPr>
                <w:rFonts w:hint="eastAsia" w:asciiTheme="minorEastAsia" w:hAnsiTheme="minorEastAsia" w:eastAsiaTheme="minorEastAsia" w:cstheme="minorEastAsia"/>
                <w:sz w:val="21"/>
                <w:szCs w:val="21"/>
              </w:rPr>
              <w:t>《二级建造师电子注册证书》</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，且现注册单位为投标人； </w:t>
            </w:r>
          </w:p>
          <w:p>
            <w:pPr>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（3））具有有效的B类安全生产考核合格证书。</w:t>
            </w:r>
          </w:p>
        </w:tc>
        <w:tc>
          <w:tcPr>
            <w:tcW w:w="1451" w:type="dxa"/>
            <w:tcBorders>
              <w:top w:val="single" w:color="auto" w:sz="8" w:space="0"/>
              <w:left w:val="single" w:color="auto" w:sz="4" w:space="0"/>
              <w:right w:val="single" w:color="auto" w:sz="12" w:space="0"/>
            </w:tcBorders>
            <w:vAlign w:val="center"/>
          </w:tcPr>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无在岗项目（指目前未在其他项目上任职，或虽在其他项目上任职但本项目中标后能从该项目撤离）</w:t>
            </w:r>
          </w:p>
        </w:tc>
      </w:tr>
    </w:tbl>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 上表中所列人员不得兼职。</w:t>
      </w: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Style w:val="3"/>
        <w:keepNext w:val="0"/>
        <w:keepLines w:val="0"/>
        <w:pageBreakBefore w:val="0"/>
        <w:kinsoku/>
        <w:wordWrap/>
        <w:overflowPunct/>
        <w:topLinePunct w:val="0"/>
        <w:bidi w:val="0"/>
        <w:spacing w:before="0" w:after="0" w:line="360" w:lineRule="exact"/>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bookmarkStart w:id="52" w:name="_Toc67481454"/>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评标办法前附表</w:t>
      </w:r>
      <w:bookmarkEnd w:id="52"/>
    </w:p>
    <w:tbl>
      <w:tblPr>
        <w:tblStyle w:val="8"/>
        <w:tblW w:w="97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72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jc w:val="center"/>
        </w:trPr>
        <w:tc>
          <w:tcPr>
            <w:tcW w:w="999" w:type="dxa"/>
            <w:tcBorders>
              <w:top w:val="single" w:color="000000" w:sz="12"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条款内容</w:t>
            </w:r>
          </w:p>
        </w:tc>
        <w:tc>
          <w:tcPr>
            <w:tcW w:w="7232" w:type="dxa"/>
            <w:tcBorders>
              <w:top w:val="single" w:color="000000" w:sz="12" w:space="0"/>
              <w:left w:val="single" w:color="auto" w:sz="4"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评标方法</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评标价相等时，评标委员会依次按照以下优先顺序推荐中标候选人：</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（1）履约信誉得分较高的投标人优先；</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（2）商务和技术得分较高的投标人优先；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（3）施工组织设计得分较高的投标人优先；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（4）企业业绩得分较高的投标人优先；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若以上均相等，则由评标委员会表决确定其排序先后。</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形式评审与</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响应性评审标准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第一个信封（商务及技术文件）评审标准：</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（1）投标文件按照招标文件规定的格式、内容填写，字迹清晰可辨：</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a.投标函按招标文件规定填报了项目名称、标段号、补遗书编号（如有)、工期、工程质量要求及安全目标；</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b.投标函附录的所有数据均符合招标文件规定；</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c.投标文件组成齐全完整，内容均按规定填写。</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（2）投标文件上法定代表人或其委托代理人的签字、投标人的单位章盖章齐全，符合招标文件规定。</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（3）投标人按照招标文件的规定提供了投标保证金：</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a.投标保证金金额符合招标文件规定的金额，且投标保证金有效期不少于投标有效期；</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b.若投标保证金采用现金或支票形式提交，投标人应在递交投标保证金截止时间之前，将投标保证金由投标人的基本账户一次性转入并到达招标人指定账户；</w:t>
            </w:r>
          </w:p>
          <w:p>
            <w:pPr>
              <w:pageBreakBefore w:val="0"/>
              <w:kinsoku/>
              <w:wordWrap/>
              <w:overflowPunct/>
              <w:topLinePunct w:val="0"/>
              <w:bidi w:val="0"/>
              <w:adjustRightInd w:val="0"/>
              <w:snapToGrid w:val="0"/>
              <w:spacing w:before="24" w:beforeLines="10" w:after="24" w:afterLines="10" w:line="360" w:lineRule="exact"/>
              <w:ind w:firstLine="630" w:firstLineChars="3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c．若投标保证金采用银行保函形式提交，银行保函的格式、开具保函的银行均满足招标文件要求，且在递交投标文件截止时间之前向招标人提交了银行保函原件。</w:t>
            </w:r>
          </w:p>
          <w:p>
            <w:pPr>
              <w:pageBreakBefore w:val="0"/>
              <w:kinsoku/>
              <w:wordWrap/>
              <w:overflowPunct/>
              <w:topLinePunct w:val="0"/>
              <w:bidi w:val="0"/>
              <w:adjustRightInd w:val="0"/>
              <w:snapToGrid w:val="0"/>
              <w:spacing w:before="24" w:beforeLines="10" w:after="24" w:afterLines="10"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（4）投标人法定代表人授权委托代理人签署投标文件的，须提交授权委托书，且授权人和被授权人均在授权委托书上签名，未使用印章、签名章或其他电子制版签名代替。</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（5）投标人法定代表人亲自签署投标文件的，提供了法定代表人身份证明，且法定代表人在法定代表人身份证明上签名，未使用印章、签名章或其他电子制版签名代替。</w:t>
            </w:r>
          </w:p>
          <w:p>
            <w:pPr>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（6）投标人以联合体形式投标时，联合体满足招标文件的要求：</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投标人按照招标文件提供的格式签订了联合体协议书，明确各方承担连带责任，并明确了联合体牵头人。</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（7）投标人如有分包计划，符合招标文件第二章“投标人须知”第1.11款规定，且按招标文件第九章“投标文件格式”的要求填写了“拟分包项目情况表”。</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（8）同一投标人未提交两个以上不同的投标文件，但招标文件要求提交备选投标的除外。</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（9）投标文件中未出现有关投标报价的内容。</w:t>
            </w:r>
          </w:p>
          <w:p>
            <w:pPr>
              <w:pStyle w:val="12"/>
              <w:pageBreakBefore w:val="0"/>
              <w:shd w:val="clear" w:color="auto" w:fill="auto"/>
              <w:tabs>
                <w:tab w:val="left" w:pos="938"/>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（10）投标文件载明的招标项目完成期限未超过招标文件规定的时限。</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（11）投标文件对招标文件的实质性要求和条件作出响应。</w:t>
            </w:r>
          </w:p>
          <w:p>
            <w:pPr>
              <w:pStyle w:val="12"/>
              <w:pageBreakBefore w:val="0"/>
              <w:shd w:val="clear" w:color="auto" w:fill="auto"/>
              <w:tabs>
                <w:tab w:val="left" w:pos="922"/>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（12）权利义务符合招标文件规定：</w:t>
            </w:r>
          </w:p>
          <w:p>
            <w:pPr>
              <w:pStyle w:val="12"/>
              <w:pageBreakBefore w:val="0"/>
              <w:shd w:val="clear" w:color="auto" w:fill="auto"/>
              <w:tabs>
                <w:tab w:val="left" w:pos="530"/>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a．投标人应接受招标文件规定的风险划分原则，未提出新的风险划分办法；</w:t>
            </w:r>
          </w:p>
          <w:p>
            <w:pPr>
              <w:pStyle w:val="12"/>
              <w:pageBreakBefore w:val="0"/>
              <w:shd w:val="clear" w:color="auto" w:fill="auto"/>
              <w:tabs>
                <w:tab w:val="left" w:pos="666"/>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b．投标人未增加发包人的责任范围，或减少投标人义务；</w:t>
            </w:r>
          </w:p>
          <w:p>
            <w:pPr>
              <w:pStyle w:val="12"/>
              <w:pageBreakBefore w:val="0"/>
              <w:shd w:val="clear" w:color="auto" w:fill="auto"/>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c．投标人未提出不同的工程验收、计量、支付办法；</w:t>
            </w:r>
          </w:p>
          <w:p>
            <w:pPr>
              <w:pStyle w:val="12"/>
              <w:pageBreakBefore w:val="0"/>
              <w:shd w:val="clear" w:color="auto" w:fill="auto"/>
              <w:tabs>
                <w:tab w:val="left" w:pos="661"/>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d．投标人对合同纠纷、事故处理办法未提出异议；</w:t>
            </w:r>
          </w:p>
          <w:p>
            <w:pPr>
              <w:pStyle w:val="12"/>
              <w:pageBreakBefore w:val="0"/>
              <w:shd w:val="clear" w:color="auto" w:fill="auto"/>
              <w:tabs>
                <w:tab w:val="left" w:pos="649"/>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e．投标人在投标活动中无欺诈行为；</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f．投标人未对合同条款有重要保留。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2.1.1</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形式评审与</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响应性评审标准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adjustRightInd w:val="0"/>
              <w:snapToGrid w:val="0"/>
              <w:spacing w:before="24" w:beforeLines="10" w:after="24" w:afterLines="10"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第二个信封（报价文件）评审标准</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（1）投标文件按照招标文件规定的格式、内容填写，字迹清晰可辨：</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a．投标函按招标文件规定填报了项目名称、标段号、补遗书编号（如有)、投标价（包括大写金额和小写金额)；</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b．已标价工程量清单说明文字与招标文件规定一致，未进行实质性修改和删减；</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c．投标文件组成齐全完整，内容均按规定填写。</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（2）投标文件上法定代表人或其委托代理人的签字、投标人的单位章盖章齐全，符合招标文件规定。</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（3）投</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标报价未超过招标文件设定的最高投标限价</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投标报价的大写金额能够确定具体数值。</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（5）同一投标人未提交两个以上不同的投标报价。</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（6）投标人未提交调价函。</w:t>
            </w:r>
          </w:p>
          <w:p>
            <w:pPr>
              <w:pStyle w:val="12"/>
              <w:pageBreakBefore w:val="0"/>
              <w:shd w:val="clear" w:color="auto" w:fill="auto"/>
              <w:tabs>
                <w:tab w:val="left" w:pos="914"/>
              </w:tabs>
              <w:kinsoku/>
              <w:wordWrap/>
              <w:overflowPunct/>
              <w:topLinePunct w:val="0"/>
              <w:bidi w:val="0"/>
              <w:spacing w:before="0" w:line="360" w:lineRule="exact"/>
              <w:ind w:firstLine="420" w:firstLineChars="200"/>
              <w:jc w:val="both"/>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（7）投标人填写完毕的工程量固化清单未对工程量固化清单电子文件中的数据、格式和运算定义进行修改；工程量固化清单中的投标报价和投标函大写金额报价一致。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资格评审标准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（1）投标人具备有效的营业执照、组织机构代码证、资质证书、基本账户开户许可证</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或开户证明</w:t>
            </w: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3"/>
              <w:pageBreakBefore w:val="0"/>
              <w:shd w:val="clear" w:color="auto" w:fill="auto"/>
              <w:tabs>
                <w:tab w:val="left" w:pos="1615"/>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（2）投标人的资质等级符合招标文件规定。</w:t>
            </w:r>
          </w:p>
          <w:p>
            <w:pPr>
              <w:pStyle w:val="13"/>
              <w:pageBreakBefore w:val="0"/>
              <w:shd w:val="clear" w:color="auto" w:fill="auto"/>
              <w:tabs>
                <w:tab w:val="left" w:pos="1646"/>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（3）投标人的财务状况符合招标文件规定。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（4）投标人的类似项目业绩符合招标文件规定。</w:t>
            </w:r>
          </w:p>
          <w:p>
            <w:pPr>
              <w:pStyle w:val="13"/>
              <w:pageBreakBefore w:val="0"/>
              <w:shd w:val="clear" w:color="auto" w:fill="auto"/>
              <w:tabs>
                <w:tab w:val="left" w:pos="1646"/>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（5）投标人的信誉符合招标文件规定。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（6）投标人的项目经理资格、在岗情况符合招标文件规定。</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（7）投标人不存在第二章“投标人须知”第1.4.3项或第1.4.4项规定的任何一种情形。</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（8）投标人符合第二章“投标人须知”第1.4.5项规定。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第一个信封评分分值构成 ：</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(总分100分)</w:t>
            </w:r>
          </w:p>
        </w:tc>
        <w:tc>
          <w:tcPr>
            <w:tcW w:w="7232" w:type="dxa"/>
            <w:tcBorders>
              <w:top w:val="single" w:color="000000" w:sz="6" w:space="0"/>
              <w:left w:val="single" w:color="000000" w:sz="6" w:space="0"/>
              <w:bottom w:val="single" w:color="000000" w:sz="6" w:space="0"/>
              <w:right w:val="single" w:color="000000" w:sz="12" w:space="0"/>
            </w:tcBorders>
            <w:vAlign w:val="center"/>
          </w:tcPr>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施工组织设计：      40分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主要人员：          25分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履约信誉：          15分</w:t>
            </w:r>
          </w:p>
          <w:p>
            <w:pPr>
              <w:pStyle w:val="13"/>
              <w:pageBreakBefore w:val="0"/>
              <w:shd w:val="clear" w:color="auto" w:fill="auto"/>
              <w:tabs>
                <w:tab w:val="left" w:pos="2133"/>
              </w:tabs>
              <w:kinsoku/>
              <w:wordWrap/>
              <w:overflowPunct/>
              <w:topLinePunct w:val="0"/>
              <w:bidi w:val="0"/>
              <w:spacing w:before="0" w:after="0" w:line="360" w:lineRule="exact"/>
              <w:ind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企业业绩：          </w:t>
            </w:r>
            <w:r>
              <w:rPr>
                <w:rStyle w:val="14"/>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w:t>
            </w:r>
            <w:r>
              <w:rPr>
                <w:rStyle w:val="14"/>
                <w:rFonts w:hint="eastAsia" w:asciiTheme="minorEastAsia" w:hAnsiTheme="minorEastAsia" w:eastAsiaTheme="minorEastAsia" w:cstheme="minorEastAsia"/>
                <w:color w:val="000000" w:themeColor="text1"/>
                <w:sz w:val="21"/>
                <w:szCs w:val="21"/>
                <w14:textFill>
                  <w14:solidFill>
                    <w14:schemeClr w14:val="tx1"/>
                  </w14:solidFill>
                </w14:textFill>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2.2.3</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w:t>
            </w:r>
          </w:p>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详细评审标准</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评标价计算公式：</w:t>
            </w:r>
          </w:p>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评标价=投标函文字报价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99" w:type="dxa"/>
            <w:tcBorders>
              <w:top w:val="single" w:color="000000" w:sz="6" w:space="0"/>
              <w:left w:val="single" w:color="000000" w:sz="12"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3.2.4</w:t>
            </w:r>
          </w:p>
        </w:tc>
        <w:tc>
          <w:tcPr>
            <w:tcW w:w="1555" w:type="dxa"/>
            <w:tcBorders>
              <w:top w:val="single" w:color="000000" w:sz="6" w:space="0"/>
              <w:left w:val="single" w:color="000000" w:sz="6" w:space="0"/>
              <w:bottom w:val="single" w:color="000000" w:sz="6" w:space="0"/>
              <w:right w:val="single" w:color="000000" w:sz="6" w:space="0"/>
            </w:tcBorders>
            <w:vAlign w:val="center"/>
          </w:tcPr>
          <w:p>
            <w:pPr>
              <w:pageBreakBefore w:val="0"/>
              <w:kinsoku/>
              <w:wordWrap/>
              <w:overflowPunct/>
              <w:topLinePunct w:val="0"/>
              <w:bidi w:val="0"/>
              <w:adjustRightInd w:val="0"/>
              <w:snapToGrid w:val="0"/>
              <w:spacing w:before="24" w:beforeLines="10" w:after="24" w:afterLines="1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通过第一个信封详细评审的投标人数量</w:t>
            </w:r>
          </w:p>
        </w:tc>
        <w:tc>
          <w:tcPr>
            <w:tcW w:w="7232" w:type="dxa"/>
            <w:tcBorders>
              <w:top w:val="single" w:color="000000" w:sz="6" w:space="0"/>
              <w:left w:val="single" w:color="000000" w:sz="6" w:space="0"/>
              <w:bottom w:val="single" w:color="000000" w:sz="6" w:space="0"/>
              <w:right w:val="single" w:color="000000" w:sz="12" w:space="0"/>
            </w:tcBorders>
            <w:vAlign w:val="center"/>
          </w:tcPr>
          <w:p>
            <w:pPr>
              <w:pageBreakBefore w:val="0"/>
              <w:kinsoku/>
              <w:wordWrap/>
              <w:overflowPunct/>
              <w:topLinePunct w:val="0"/>
              <w:bidi w:val="0"/>
              <w:spacing w:line="360" w:lineRule="exact"/>
              <w:ind w:left="113" w:leftChars="54" w:right="113"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按照投标人的商务和技术得分由高到低排序，选择前3名通过详细评审。</w:t>
            </w:r>
          </w:p>
        </w:tc>
      </w:tr>
    </w:tbl>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1"/>
        <w:gridCol w:w="624"/>
        <w:gridCol w:w="604"/>
        <w:gridCol w:w="853"/>
        <w:gridCol w:w="1737"/>
        <w:gridCol w:w="802"/>
        <w:gridCol w:w="3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2487" w:type="pct"/>
            <w:gridSpan w:val="5"/>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评分因素与权重分值</w:t>
            </w:r>
          </w:p>
        </w:tc>
        <w:tc>
          <w:tcPr>
            <w:tcW w:w="1995"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评分因素</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评分因素</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权重分值</w:t>
            </w:r>
          </w:p>
        </w:tc>
        <w:tc>
          <w:tcPr>
            <w:tcW w:w="93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各评分因素细分项</w:t>
            </w:r>
          </w:p>
        </w:tc>
        <w:tc>
          <w:tcPr>
            <w:tcW w:w="432"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分值</w:t>
            </w:r>
          </w:p>
        </w:tc>
        <w:tc>
          <w:tcPr>
            <w:tcW w:w="1995"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2.2.2（1）</w:t>
            </w:r>
          </w:p>
        </w:tc>
        <w:tc>
          <w:tcPr>
            <w:tcW w:w="661" w:type="pct"/>
            <w:gridSpan w:val="2"/>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施工组织设计</w:t>
            </w:r>
          </w:p>
        </w:tc>
        <w:tc>
          <w:tcPr>
            <w:tcW w:w="459"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40分</w:t>
            </w: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关键工程的施工方案、方法与技术措施</w:t>
            </w:r>
          </w:p>
        </w:tc>
        <w:tc>
          <w:tcPr>
            <w:tcW w:w="432" w:type="pct"/>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20</w:t>
            </w:r>
          </w:p>
        </w:tc>
        <w:tc>
          <w:tcPr>
            <w:tcW w:w="1995"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好，16-20 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较好，12-16分；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一般，12分；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1"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工期保证体系及保证措施</w:t>
            </w:r>
          </w:p>
        </w:tc>
        <w:tc>
          <w:tcPr>
            <w:tcW w:w="432" w:type="pct"/>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t>
            </w:r>
          </w:p>
        </w:tc>
        <w:tc>
          <w:tcPr>
            <w:tcW w:w="1995"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好，2.4-3.0分；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较好，1.8-2.4分；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一般，1.8分；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工程质量管理体系及保证措施</w:t>
            </w:r>
          </w:p>
        </w:tc>
        <w:tc>
          <w:tcPr>
            <w:tcW w:w="432"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995"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好，4-5分；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较好，3-4分；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1" w:hRule="exac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安全生产管理体系及保证措施</w:t>
            </w:r>
          </w:p>
        </w:tc>
        <w:tc>
          <w:tcPr>
            <w:tcW w:w="432"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995"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好，4-5分；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较好，3-4分；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9" w:hRule="atLeas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环境保护、水土保持、文明施工、文物保护保证体系及保证措施</w:t>
            </w:r>
          </w:p>
        </w:tc>
        <w:tc>
          <w:tcPr>
            <w:tcW w:w="432"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995"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好，4-5分；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较好，3-4分；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61" w:type="pct"/>
            <w:gridSpan w:val="2"/>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9"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项目风险预测与防范，事故应急预案</w:t>
            </w:r>
          </w:p>
        </w:tc>
        <w:tc>
          <w:tcPr>
            <w:tcW w:w="432" w:type="pct"/>
            <w:vAlign w:val="center"/>
          </w:tcPr>
          <w:p>
            <w:pPr>
              <w:pStyle w:val="15"/>
              <w:pageBreakBefore w:val="0"/>
              <w:tabs>
                <w:tab w:val="left" w:pos="457"/>
              </w:tabs>
              <w:kinsoku/>
              <w:wordWrap/>
              <w:overflowPunct/>
              <w:topLinePunct w:val="0"/>
              <w:bidi w:val="0"/>
              <w:spacing w:before="60"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1995" w:type="pct"/>
            <w:vAlign w:val="center"/>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好，1.6-2分；</w:t>
            </w:r>
          </w:p>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较好，1.2-1.6分；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一般，1.2分；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exact"/>
          <w:jc w:val="center"/>
        </w:trPr>
        <w:tc>
          <w:tcPr>
            <w:tcW w:w="518"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2.2.2（2）</w:t>
            </w:r>
          </w:p>
        </w:tc>
        <w:tc>
          <w:tcPr>
            <w:tcW w:w="661" w:type="pct"/>
            <w:gridSpan w:val="2"/>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主要人员</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25分</w:t>
            </w:r>
          </w:p>
        </w:tc>
        <w:tc>
          <w:tcPr>
            <w:tcW w:w="93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项目经理任职资格与业绩</w:t>
            </w:r>
          </w:p>
        </w:tc>
        <w:tc>
          <w:tcPr>
            <w:tcW w:w="432"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w:t>
            </w:r>
          </w:p>
        </w:tc>
        <w:tc>
          <w:tcPr>
            <w:tcW w:w="1995" w:type="pct"/>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满足资格审查条件得15分，每担任过1项公路工程或市政工程或小修保养施工业绩的项目经理加10分，最多加10分。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2" w:hRule="exact"/>
          <w:jc w:val="center"/>
        </w:trPr>
        <w:tc>
          <w:tcPr>
            <w:tcW w:w="518"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2.2.2（3）</w:t>
            </w:r>
          </w:p>
        </w:tc>
        <w:tc>
          <w:tcPr>
            <w:tcW w:w="336" w:type="pct"/>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其他因素</w:t>
            </w:r>
          </w:p>
        </w:tc>
        <w:tc>
          <w:tcPr>
            <w:tcW w:w="32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企业业绩</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20分</w:t>
            </w:r>
          </w:p>
        </w:tc>
        <w:tc>
          <w:tcPr>
            <w:tcW w:w="93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企业施工业绩</w:t>
            </w:r>
          </w:p>
        </w:tc>
        <w:tc>
          <w:tcPr>
            <w:tcW w:w="432" w:type="pct"/>
            <w:vAlign w:val="center"/>
          </w:tcPr>
          <w:p>
            <w:pPr>
              <w:pageBreakBefore w:val="0"/>
              <w:kinsoku/>
              <w:wordWrap/>
              <w:overflowPunct/>
              <w:topLinePunct w:val="0"/>
              <w:bidi w:val="0"/>
              <w:spacing w:line="360" w:lineRule="exact"/>
              <w:ind w:right="113"/>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w:t>
            </w:r>
          </w:p>
        </w:tc>
        <w:tc>
          <w:tcPr>
            <w:tcW w:w="1995" w:type="pct"/>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满足资格审查条件得12分，2016年1月1日以后交工的工程，每增加1公里二级或二级以上公路工程或小修保养施工业绩加2分，最多加8分。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3" w:hRule="atLeast"/>
          <w:jc w:val="center"/>
        </w:trPr>
        <w:tc>
          <w:tcPr>
            <w:tcW w:w="518"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36" w:type="pct"/>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25"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履约信誉</w:t>
            </w:r>
          </w:p>
        </w:tc>
        <w:tc>
          <w:tcPr>
            <w:tcW w:w="459"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15分</w:t>
            </w:r>
          </w:p>
        </w:tc>
        <w:tc>
          <w:tcPr>
            <w:tcW w:w="935" w:type="pct"/>
            <w:vAlign w:val="center"/>
          </w:tcPr>
          <w:p>
            <w:pPr>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企业信用</w:t>
            </w:r>
          </w:p>
        </w:tc>
        <w:tc>
          <w:tcPr>
            <w:tcW w:w="432" w:type="pc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1995" w:type="pct"/>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sz w:val="21"/>
                <w:szCs w:val="21"/>
              </w:rPr>
              <w:t>投标人的信誉等级评价以《</w:t>
            </w:r>
            <w:r>
              <w:rPr>
                <w:rFonts w:hint="eastAsia" w:asciiTheme="minorEastAsia" w:hAnsiTheme="minorEastAsia" w:eastAsiaTheme="minorEastAsia" w:cstheme="minorEastAsia"/>
                <w:b/>
                <w:bCs/>
                <w:sz w:val="21"/>
                <w:szCs w:val="21"/>
              </w:rPr>
              <w:t>吉林省公路管理局2019年度普通干线公路小修保养企业信用评价公告》</w:t>
            </w:r>
            <w:r>
              <w:rPr>
                <w:rFonts w:hint="eastAsia" w:asciiTheme="minorEastAsia" w:hAnsiTheme="minorEastAsia" w:eastAsiaTheme="minorEastAsia" w:cstheme="minorEastAsia"/>
                <w:kern w:val="0"/>
                <w:sz w:val="21"/>
                <w:szCs w:val="21"/>
                <w:lang w:val="zh-CN"/>
              </w:rPr>
              <w:t>为准。如投标人未列入</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吉林省公路管理局2019年度普通干线公路小修保养企业信用评价公告》</w:t>
            </w:r>
            <w:r>
              <w:rPr>
                <w:rFonts w:hint="eastAsia" w:asciiTheme="minorEastAsia" w:hAnsiTheme="minorEastAsia" w:eastAsiaTheme="minorEastAsia" w:cstheme="minorEastAsia"/>
                <w:kern w:val="0"/>
                <w:sz w:val="21"/>
                <w:szCs w:val="21"/>
                <w:lang w:val="zh-CN"/>
              </w:rPr>
              <w:t>，无失信行为的，投标人的信誉评分按照A级确定；有失信行为的，投标人的信誉评分按照D级确定。</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信誉等级AA级、A级、B级得15分；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信誉等级C得9分；</w:t>
            </w:r>
          </w:p>
          <w:p>
            <w:pPr>
              <w:pageBreakBefore w:val="0"/>
              <w:kinsoku/>
              <w:wordWrap/>
              <w:overflowPunct/>
              <w:topLinePunct w:val="0"/>
              <w:autoSpaceDE w:val="0"/>
              <w:autoSpaceDN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信誉等级D得0分。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1" w:hRule="atLeast"/>
          <w:jc w:val="center"/>
        </w:trPr>
        <w:tc>
          <w:tcPr>
            <w:tcW w:w="5000" w:type="pct"/>
            <w:gridSpan w:val="7"/>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1、施工组织设计得分一般不得低于其权重分值的60%，</w:t>
            </w:r>
            <w:r>
              <w:rPr>
                <w:rFonts w:hint="eastAsia" w:asciiTheme="minorEastAsia" w:hAnsiTheme="minorEastAsia" w:eastAsiaTheme="minorEastAsia" w:cstheme="minorEastAsia"/>
                <w:color w:val="auto"/>
                <w:sz w:val="21"/>
                <w:szCs w:val="21"/>
              </w:rPr>
              <w:t>且得分应以评标委员会各成员的打分平均值确定，该平均值以去掉一个最高值和一个最低值计算。</w:t>
            </w: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。评标委员会成员的评分低于权重分值60%的，应在评标报告中作出说明。</w:t>
            </w:r>
          </w:p>
          <w:p>
            <w:pPr>
              <w:pageBreakBefore w:val="0"/>
              <w:kinsoku/>
              <w:wordWrap/>
              <w:overflowPunct/>
              <w:topLinePunct w:val="0"/>
              <w:autoSpaceDE w:val="0"/>
              <w:autoSpaceDN w:val="0"/>
              <w:bidi w:val="0"/>
              <w:adjustRightInd w:val="0"/>
              <w:spacing w:before="120" w:beforeLines="50" w:line="360" w:lineRule="exact"/>
              <w:ind w:leftChars="-20" w:hanging="42" w:hangingChars="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sz w:val="21"/>
                <w:szCs w:val="21"/>
              </w:rPr>
              <w:t>如同一标段出现多名投标人的第一个信封（商务及技术文件）综合得分相等时，评标委员会依次按照以下优先顺序确定通过第一个信封详细评审的投标人：</w:t>
            </w:r>
          </w:p>
          <w:p>
            <w:pPr>
              <w:pageBreakBefore w:val="0"/>
              <w:kinsoku/>
              <w:wordWrap/>
              <w:overflowPunct/>
              <w:topLinePunct w:val="0"/>
              <w:bidi w:val="0"/>
              <w:adjustRightInd w:val="0"/>
              <w:snapToGrid w:val="0"/>
              <w:spacing w:before="24" w:beforeLines="10" w:after="24" w:afterLines="10" w:line="36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履约信誉得分较高的投标人优先；</w:t>
            </w:r>
          </w:p>
          <w:p>
            <w:pPr>
              <w:pageBreakBefore w:val="0"/>
              <w:kinsoku/>
              <w:wordWrap/>
              <w:overflowPunct/>
              <w:topLinePunct w:val="0"/>
              <w:autoSpaceDE w:val="0"/>
              <w:autoSpaceDN w:val="0"/>
              <w:bidi w:val="0"/>
              <w:adjustRightInd w:val="0"/>
              <w:spacing w:line="36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z w:val="21"/>
                <w:szCs w:val="21"/>
              </w:rPr>
              <w:t>施工组织设计得分较高的投标人优先；</w:t>
            </w:r>
          </w:p>
          <w:p>
            <w:pPr>
              <w:pageBreakBefore w:val="0"/>
              <w:kinsoku/>
              <w:wordWrap/>
              <w:overflowPunct/>
              <w:topLinePunct w:val="0"/>
              <w:bidi w:val="0"/>
              <w:adjustRightInd w:val="0"/>
              <w:snapToGrid w:val="0"/>
              <w:spacing w:before="24" w:beforeLines="10" w:after="24" w:afterLines="10" w:line="360" w:lineRule="exact"/>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（3）企业业绩得分较高的投标人优先。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若以上各项评分因素得分都相等，则通过评委会投票表决，推荐票数多的投标人排序在先。</w:t>
            </w:r>
          </w:p>
        </w:tc>
      </w:tr>
    </w:tbl>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jc w:val="center"/>
        <w:textAlignment w:val="auto"/>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53" w:name="_Toc67481455"/>
      <w:r>
        <w:rPr>
          <w:rFonts w:hint="eastAsia" w:asciiTheme="minorEastAsia" w:hAnsiTheme="minorEastAsia" w:eastAsiaTheme="minorEastAsia" w:cstheme="minorEastAsia"/>
          <w:color w:val="000000" w:themeColor="text1"/>
          <w:sz w:val="21"/>
          <w:szCs w:val="21"/>
          <w14:textFill>
            <w14:solidFill>
              <w14:schemeClr w14:val="tx1"/>
            </w14:solidFill>
          </w14:textFill>
        </w:rPr>
        <w:t>评标办法正文</w:t>
      </w:r>
      <w:bookmarkEnd w:id="53"/>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评标方法</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评标采用技术评分最低标价法。评标委员会对满足招标文件实质要求的投标文件的施工组织设计、主要人员、技术能力等因素进行评分，按照得分由高到低排序，对排名在招标文件规定数量以内的投标人的报价文件进行评审，按照评标价由低到高顺序推荐中标候选人，或根据招标人授权直接确定中标人，但投标报价低于其成本的除外。评标价相等时，评标委员会应按照评标办法前附表规定的优先次序推荐中标候选人或确定中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 评审标准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初步评审标准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 形式评审标准：见评标办法前附表。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 资格评审标准：见评标办法前附表（适用于未进行资格预审的）。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 资格评审标准：见资格预审文件第三章“资格审查办法”详细审查标准（适用于已进行资格预审的）。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 响应性评审标准：见评标办法前附表。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分值构成与评分标准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 第一个信封评分分值构成</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（1）施工组织设计：见评标办法前附表；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（2）主要人员：见评标办法前附表；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（3）其他评分因素：见评标办法前附表。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2.2.2第一个信封评分标准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（1）施工组织设计评分标准：见评标办法前附表；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（2）主要人员评分标准：见评标办法前附表；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（3）其他因素评分标准：见评标办法前附表。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2.2.3第二个信封详细评审标准：见评标办法前附表。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 评标程序</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第一个信封初步评审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第一个信封详细评审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3.2.1评标委员会按本章第2.2款规定的量化因素和分值进行打分，并计算出各投标人的商务和技术得分。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（1）按本章第2.2.2（1）目规定的评审因素和分值对施工组织设计部分计算出得分A；</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（2）按本章第2.2.2（2）目规定的评审因素和分值对主要人员部分计算出得分B；</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（3）按本章第2.2.2（3）目规定的评审因素和分值对其他部分计算出得分C。</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3.2.2投标人的商务和技术得分分值计算保留小数点后两位，小数点后第三位“四舍五入”。</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3.2.3投标人的商务和技术得分=A+B+C。</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3.2.4评标委员会按照投标人的商务和技术得分由高到低排序，排名在评标办法前附表规定数量以内的投标人，其投标文件第一个信封（商务及技术文件）通过详细评审。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第二个信封开标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第二个信封初步评审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 评标委员会依据本章第2.1.1项、第2.1.3项规定的评审标准对投标文件第二个信封（报价文件）进行初步评审。有一项不符合评审标准的，评标委员会应否决其投标。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w:t>
      </w:r>
      <w:r>
        <w:rPr>
          <w:rFonts w:hint="eastAsia" w:asciiTheme="minorEastAsia" w:hAnsiTheme="minorEastAsia" w:eastAsiaTheme="minorEastAsia" w:cstheme="minorEastAsia"/>
          <w:sz w:val="21"/>
          <w:szCs w:val="21"/>
        </w:rPr>
        <w:footnoteReference w:id="4"/>
      </w:r>
      <w:r>
        <w:rPr>
          <w:rFonts w:hint="eastAsia" w:asciiTheme="minorEastAsia" w:hAnsiTheme="minorEastAsia" w:eastAsiaTheme="minorEastAsia" w:cstheme="minorEastAsia"/>
          <w:sz w:val="21"/>
          <w:szCs w:val="21"/>
        </w:rPr>
        <w:t xml:space="preserve"> 投标报价有算术错误的，评标委员会按以下原则对投标报价进行修正，修正的价格经投标人书面确认后具有约束力。投标人不接受修正价格的，评标委员会应否决其投标。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（1）投标文件中的大写金额与小写金额不一致的，以大写金额为准；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（2）总价金额与依据单价计算出的结果不一致的，以单价金额为准修正总价，但单价金额小数点有明显错误的除外；</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（3）当单价与数量相乘不等于合价时，以单价计算为准，如果单价有明显的小数点位置差错，应以标出的合价为准，同时对单价予以修正；</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（4）当各子目的合价累计不等于总价时，应以各子目合价累计数为准，修正总价。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（3）当单价与数量的乘积与合价（金额）虽然一致，但投标人修改了该子目的工程数量，则其合价按招标人给定的工程数量乘以投标人所报单价予以修正。</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 修正后的最终投标报价若超过最高投标限价（如有），评标委员会应否决其投标。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  第二个信封详细评审</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3.5.1 评标委员会按本章第2.2款规定的量化因素和标准进行价格折算，计算出评标价，并编制价格比较一览表。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  投标文件相关信息的核查</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（1）有下列情形之一的，属于投标人相互串通投标：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a.投标人之间协商投标报价等投标文件的实质性内容；</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b.投标人之间约定中标人；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c.投标人之间约定部分投标人放弃投标或中标；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d.属于同一集团、协会、商会等组织成员的投标人按照该组织要求协同投标；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e.投标人之间为谋取中标或者排斥特定投标人而采取的其他联合行动。</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（2）有下列情形之一的，视为投标人相互串通投标：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a.不同投标人的投标文件由同一单位或者个人编制；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b.不同投标人委托同一单位或个人办理投标事宜；</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c.不同投标人的投标文件载明的项目管理成员为同一人；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d.不同投标人的投标文件异常一致或者投标报价呈规律性差异；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e.不同投标人的投标文件相互混装；</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f.不同投标人的投标保证金从同一单位或个人的账户转出。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（3）有下列情形之一的，属于招标人与投标人串通投标：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a.招标人在开标前开启投标文件并将有关信息泄露给其他投标人；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b.招标人直接或间接向投标人泄露标底、评标委员会成员等信息；</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c.招标人明示或暗示投标人压低或抬高投标报价；</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d.招标人授意投标人撤换、修改投标文件；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e.招标人明示或暗示投标人为特定投标人中标提供方便；</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f.招标人与投标人为谋求特定投标人中标而采取的其他串通行为。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（4）投标人有下列情形之一的，属于弄虚作假的行为：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a.使用通过受让或租借等方式获取的资格、资质证书投标；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b.使用伪造、变造的许可证件；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c.提供虚假的财务状况或业绩；</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d.提供虚假的项目负责人或主要技术人员简历、劳动关系证明；</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e.提供虚假的信用状况；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f.其他弄虚作假的行为。</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  投标文件的澄清和说明</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3.7.2 澄清和说明不得超出投标文件的范围或改变投标文件的实质性内容（算术性错误修正的除外）。投标人的书面澄清、说明属于投标文件的组成部分。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 评标委员会不得暗示或诱导投标人作出澄清、说明，对投标人提交的澄清、说明有疑问的，可以要求投标人进一步澄清或说明，直至满足评标委员会的要求。</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 凡超出招标文件规定的或给发包人带来未曾要求的利益的变化、偏差或其他因素在评标时不予考虑。</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  不得否决投标的情形</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投标文件存在第二章“投标人须知”第1.12.3项所列情形的，均视为细微偏差，评标委员会不得否决投标人的投标，应按照第二章“投标人须知”第1.12.4项规定的原则处理。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  评标结果</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3.9.1除第二章“投标人须知”前附表授权直接确定中标人外，评标委员会按照评标价由低到高的顺序推荐中标候选人，并标明排序。</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3.9.2 评标委员会完成评标后，应向招标人提交书面评标报告。</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YASY01标段</w:t>
      </w:r>
    </w:p>
    <w:p>
      <w:pPr>
        <w:pStyle w:val="3"/>
        <w:pageBreakBefore w:val="0"/>
        <w:kinsoku/>
        <w:wordWrap/>
        <w:overflowPunct/>
        <w:topLinePunct w:val="0"/>
        <w:bidi w:val="0"/>
        <w:snapToGrid w:val="0"/>
        <w:spacing w:before="0" w:after="0" w:line="360" w:lineRule="exact"/>
        <w:ind w:firstLine="210" w:firstLineChars="100"/>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auto"/>
          <w:kern w:val="0"/>
          <w:sz w:val="21"/>
          <w:szCs w:val="21"/>
          <w:lang w:val="en-US" w:eastAsia="zh-CN"/>
        </w:rPr>
        <w:t>7.</w:t>
      </w:r>
      <w:bookmarkStart w:id="54" w:name="_Toc67485318"/>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投标人须知前附表</w:t>
      </w:r>
      <w:r>
        <w:rPr>
          <w:rStyle w:val="10"/>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footnoteReference w:id="5"/>
      </w:r>
      <w:bookmarkEnd w:id="54"/>
    </w:p>
    <w:tbl>
      <w:tblPr>
        <w:tblStyle w:val="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6"/>
        <w:gridCol w:w="1975"/>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tblHeader/>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条款号</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条款名称</w:t>
            </w:r>
          </w:p>
        </w:tc>
        <w:tc>
          <w:tcPr>
            <w:tcW w:w="6823" w:type="dxa"/>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w:t>
            </w:r>
          </w:p>
        </w:tc>
        <w:tc>
          <w:tcPr>
            <w:tcW w:w="6823" w:type="dxa"/>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名称：延边珲乌公路改建项目建设办公室</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地址：吉林省延吉市公园路5568号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联系人：程昭钦</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电话：0433-3135706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代理机构</w:t>
            </w:r>
          </w:p>
        </w:tc>
        <w:tc>
          <w:tcPr>
            <w:tcW w:w="6823" w:type="dxa"/>
            <w:vAlign w:val="center"/>
          </w:tcPr>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：吉林建宇工程咨询有限公司</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地址：</w:t>
            </w:r>
            <w:r>
              <w:rPr>
                <w:rFonts w:hint="eastAsia" w:asciiTheme="minorEastAsia" w:hAnsiTheme="minorEastAsia" w:eastAsiaTheme="minorEastAsia" w:cstheme="minorEastAsia"/>
                <w:color w:val="000000" w:themeColor="text1"/>
                <w:sz w:val="21"/>
                <w:szCs w:val="21"/>
                <w14:textFill>
                  <w14:solidFill>
                    <w14:schemeClr w14:val="tx1"/>
                  </w14:solidFill>
                </w14:textFill>
              </w:rPr>
              <w:t>延吉市人民路2239-3001号</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联系人：焦艳</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电话：0433-8316525</w:t>
            </w:r>
          </w:p>
          <w:p>
            <w:pPr>
              <w:pageBreakBefore w:val="0"/>
              <w:kinsoku/>
              <w:wordWrap/>
              <w:overflowPunct/>
              <w:topLinePunct w:val="0"/>
              <w:bidi w:val="0"/>
              <w:spacing w:line="360" w:lineRule="exact"/>
              <w:ind w:left="105" w:left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电子邮箱：yjsjy8543@163.com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招标项目名称</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国道珲春至阿尔山公路延吉至安图段改建项目附属工程（房建、机电、养护、试验检测机构）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标段建设地点</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吉林省延吉市、龙井市、安图县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1.1.6</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标段建设规模</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1.1.7</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招标项目施工</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预计开工日期</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和建设周期</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bidi="zh-TW"/>
              </w:rPr>
              <w:t>自合同签订之日始至工程竣工验收之日止。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1.1.8</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建筑安装工程费/工程概算投资额</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lang w:bidi="zh-TW"/>
              </w:rPr>
            </w:pP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资金来源</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及比例</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中央投资补贴67%；地方政府财政资金33%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落实情况</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招标范围</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服务期限</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质量要求</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符合国家规范、规程和地方法规等规定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安全目标</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安全生产责任事故为零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投标人资质条件、</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能力和信誉</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资质要求：见附录1</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业绩要求：见附录2</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信誉要求：见附录3</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项目负责人资格：见附录4</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是否接受</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联合体投标</w:t>
            </w:r>
          </w:p>
        </w:tc>
        <w:tc>
          <w:tcPr>
            <w:tcW w:w="6823" w:type="dxa"/>
            <w:vAlign w:val="center"/>
          </w:tcPr>
          <w:p>
            <w:pPr>
              <w:pageBreakBefore w:val="0"/>
              <w:kinsoku/>
              <w:wordWrap/>
              <w:overflowPunct/>
              <w:topLinePunct w:val="0"/>
              <w:bidi w:val="0"/>
              <w:adjustRightInd w:val="0"/>
              <w:snapToGrid w:val="0"/>
              <w:spacing w:before="72" w:beforeLines="30" w:after="72" w:afterLines="30"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存在的其他</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关联情况</w:t>
            </w:r>
          </w:p>
        </w:tc>
        <w:tc>
          <w:tcPr>
            <w:tcW w:w="6823" w:type="dxa"/>
            <w:vAlign w:val="center"/>
          </w:tcPr>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auto"/>
                <w:sz w:val="21"/>
                <w:szCs w:val="21"/>
              </w:rPr>
              <w:t>与本标段的施工单位或监理单位存在控股或参股关系。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vAlign w:val="center"/>
          </w:tcPr>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keepLines/>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存在的不良状况</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不良信用</w:t>
            </w:r>
          </w:p>
        </w:tc>
        <w:tc>
          <w:tcPr>
            <w:tcW w:w="6823" w:type="dxa"/>
            <w:vAlign w:val="center"/>
          </w:tcPr>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
                <w:kern w:val="0"/>
                <w:sz w:val="21"/>
                <w:szCs w:val="21"/>
                <w:lang w:val="zh-CN"/>
              </w:rPr>
              <w:t>本款内容第（1）（6）项修改为：</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（6）投标人或其法定代表人、拟委任的项目负责人在近三年内有行贿犯罪行为的；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5"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投标人不得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存在的其他不良</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状况或不良信用</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公路工程施工资质企业名录</w:t>
            </w:r>
          </w:p>
        </w:tc>
        <w:tc>
          <w:tcPr>
            <w:tcW w:w="6823" w:type="dxa"/>
            <w:vAlign w:val="center"/>
          </w:tcPr>
          <w:p>
            <w:pPr>
              <w:pStyle w:val="6"/>
              <w:pageBreakBefore w:val="0"/>
              <w:pBdr>
                <w:bottom w:val="none" w:color="auto" w:sz="0" w:space="0"/>
              </w:pBdr>
              <w:tabs>
                <w:tab w:val="clear" w:pos="4153"/>
                <w:tab w:val="clear" w:pos="8306"/>
              </w:tabs>
              <w:kinsoku/>
              <w:wordWrap/>
              <w:overflowPunct/>
              <w:topLinePunct w:val="0"/>
              <w:autoSpaceDE w:val="0"/>
              <w:autoSpaceDN w:val="0"/>
              <w:bidi w:val="0"/>
              <w:adjustRightInd w:val="0"/>
              <w:snapToGrid/>
              <w:spacing w:line="360" w:lineRule="exact"/>
              <w:jc w:val="both"/>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投标人在投标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预备会提出问题</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分包</w:t>
            </w:r>
          </w:p>
        </w:tc>
        <w:tc>
          <w:tcPr>
            <w:tcW w:w="6823" w:type="dxa"/>
            <w:vAlign w:val="center"/>
          </w:tcPr>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构成招标文件的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其他材料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2.2.1</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澄清招标文件</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1"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形式：加盖单位公章的电子文档发送邮件至招标代理机构邮箱yjsjy8543@163.com，并电话通知招标代理机构。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招标文件澄清</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发出的形式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澄清电子文件发布在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“吉林省公共资源交易中心交易平台”，</w:t>
            </w:r>
            <w:r>
              <w:rPr>
                <w:rFonts w:hint="eastAsia" w:asciiTheme="minorEastAsia" w:hAnsiTheme="minorEastAsia" w:eastAsiaTheme="minorEastAsia" w:cstheme="minorEastAsia"/>
                <w:kern w:val="0"/>
                <w:sz w:val="21"/>
                <w:szCs w:val="21"/>
              </w:rPr>
              <w:t>同时发布在</w:t>
            </w:r>
            <w:r>
              <w:rPr>
                <w:rFonts w:hint="eastAsia" w:asciiTheme="minorEastAsia" w:hAnsiTheme="minorEastAsia" w:eastAsiaTheme="minorEastAsia" w:cstheme="minorEastAsia"/>
                <w:color w:val="000000"/>
                <w:sz w:val="21"/>
                <w:szCs w:val="21"/>
              </w:rPr>
              <w:t>网盘：</w:t>
            </w: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2.2.3</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收到招标文件澄清</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时间：收到澄清后24小时内（以招标文件澄清发出时间为准）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形式：加盖单位公章的电子版确认函按要求将回执扫描后，发送至yjsjy8543@163.com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0"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招标文件修改</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发出的方式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i/>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补遗电子文件发布在</w:t>
            </w:r>
            <w:r>
              <w:rPr>
                <w:rFonts w:hint="eastAsia" w:asciiTheme="minorEastAsia" w:hAnsiTheme="minorEastAsia" w:eastAsiaTheme="minorEastAsia" w:cstheme="minorEastAsia"/>
                <w:kern w:val="0"/>
                <w:sz w:val="21"/>
                <w:szCs w:val="21"/>
              </w:rPr>
              <w:t>“吉林省公共资源交易中心交易平台”，同时发布在</w:t>
            </w:r>
            <w:r>
              <w:rPr>
                <w:rFonts w:hint="eastAsia" w:asciiTheme="minorEastAsia" w:hAnsiTheme="minorEastAsia" w:eastAsiaTheme="minorEastAsia" w:cstheme="minorEastAsia"/>
                <w:color w:val="000000"/>
                <w:sz w:val="21"/>
                <w:szCs w:val="21"/>
              </w:rPr>
              <w:t>网盘：</w:t>
            </w:r>
            <w:r>
              <w:rPr>
                <w:rFonts w:hint="eastAsia" w:asciiTheme="minorEastAsia" w:hAnsiTheme="minorEastAsia" w:eastAsiaTheme="minorEastAsia" w:cstheme="minorEastAsia"/>
                <w:b/>
                <w:sz w:val="21"/>
                <w:szCs w:val="21"/>
                <w:lang w:eastAsia="zh-CN"/>
              </w:rPr>
              <w:t>https://pan.baidu.com/s/1Is0JZLLeB_AkVfFtMppvUw，提取码：hpw1</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由投标人自行下载，投标人应在投标截止期前不定时浏览上述平台和网盘，否则出现一切后果由投标人自负。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投标人确认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收到招标文件修改</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时间：收到修改后24小时内（以招标文件修改发出时间为准）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形式：按要求将回执扫描后，发送至yjsjy8543@163.com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投标文件密封形式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构成投标文件的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其他资料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增值税税金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的计算方法</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3.2.4</w:t>
            </w:r>
          </w:p>
        </w:tc>
        <w:tc>
          <w:tcPr>
            <w:tcW w:w="1975" w:type="dxa"/>
            <w:tcBorders>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最高投标限价</w:t>
            </w:r>
          </w:p>
        </w:tc>
        <w:tc>
          <w:tcPr>
            <w:tcW w:w="68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有，最高投标限价：人民币</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柒拾贰万叁仟玖佰陆拾陆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 xml:space="preserve"> 723,966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投标报价的</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其他要求</w:t>
            </w:r>
          </w:p>
        </w:tc>
        <w:tc>
          <w:tcPr>
            <w:tcW w:w="6823" w:type="dxa"/>
            <w:tcBorders>
              <w:top w:val="single" w:color="auto" w:sz="4" w:space="0"/>
            </w:tcBorders>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是否要求投标人递交投标保证金：要求</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投标保证金的金额：</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1万元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若采用银行保函，出具保函的银行级别：应由“工商银行、农业银行、中国银行、建设银行、交通银行”五大国有商业银行之一或全国性股份制商业银行开具，银行应为地市级分、支行或以上级别。银行保函复印件装订在投标文件内。原件单独密封在投标保函原件封套中，随同投标文件一起（在递交投标文件截止之前）递交给招标代理机构。</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（2）若采用现金或支票或汇票形式，投标人应在投标截止时间前，将投标保证金由投标人的基本账户一次性汇入并到达招标人指定账户，否则视为投标保证金无效。</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招标人指定的银行及账号如下：</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开户银行：中国邮政储蓄银行延吉市公园路支行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账户名称：延边珲乌公路改建项目建设办公室</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    号：100718894520010001</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 系 人：程昭钦</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联系电话：0433-3135706</w:t>
            </w:r>
          </w:p>
          <w:p>
            <w:pPr>
              <w:pageBreakBefore w:val="0"/>
              <w:kinsoku/>
              <w:wordWrap/>
              <w:overflowPunct/>
              <w:topLinePunct w:val="0"/>
              <w:bidi w:val="0"/>
              <w:adjustRightInd w:val="0"/>
              <w:snapToGrid w:val="0"/>
              <w:spacing w:before="120" w:beforeLines="50" w:after="120" w:afterLines="50"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银行转账业务备注栏填写：延吉安图招标XX标段投标保证金。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3.4.3</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的利息计算</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原则</w:t>
            </w:r>
          </w:p>
        </w:tc>
        <w:tc>
          <w:tcPr>
            <w:tcW w:w="6823" w:type="dxa"/>
            <w:vAlign w:val="bottom"/>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（1）计算利息的起始日期为投标截止当日，终止日期为招标人退还投标保证金日期的前一日；</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（2）投标保证金的利息按照第（1)款所述计息时间段内招标人指定汇入银行公告的活期存款利率计付，并扣除招标人汇款手续费；</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投标人应及时向招标人提交退还投标保证金的有关资料：</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（1）基本账户开户证明（指基本账户开户许可证或其他有效的基本账户开户证明）复印件（清晰可辨）；</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（2）给招标人开具的财务收据原件；</w:t>
            </w:r>
          </w:p>
          <w:p>
            <w:pPr>
              <w:pageBreakBefore w:val="0"/>
              <w:kinsoku/>
              <w:wordWrap/>
              <w:overflowPunct/>
              <w:topLinePunct w:val="0"/>
              <w:bidi w:val="0"/>
              <w:adjustRightInd w:val="0"/>
              <w:snapToGrid w:val="0"/>
              <w:spacing w:line="360" w:lineRule="exact"/>
              <w:ind w:firstLine="105" w:firstLine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（3）提供办理人联系方式。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其他可以不予退还</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投标保证金情形</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资格审查资料的</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特殊要求</w:t>
            </w:r>
          </w:p>
        </w:tc>
        <w:tc>
          <w:tcPr>
            <w:tcW w:w="6823" w:type="dxa"/>
            <w:vAlign w:val="center"/>
          </w:tcPr>
          <w:p>
            <w:pPr>
              <w:pageBreakBefore w:val="0"/>
              <w:tabs>
                <w:tab w:val="left" w:pos="620"/>
              </w:tabs>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11" w:hRule="atLeast"/>
        </w:trPr>
        <w:tc>
          <w:tcPr>
            <w:tcW w:w="896" w:type="dxa"/>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3.5.1</w:t>
            </w:r>
          </w:p>
        </w:tc>
        <w:tc>
          <w:tcPr>
            <w:tcW w:w="1975" w:type="dxa"/>
            <w:vAlign w:val="center"/>
          </w:tcPr>
          <w:p>
            <w:pPr>
              <w:keepLines/>
              <w:pageBreakBefore w:val="0"/>
              <w:kinsoku/>
              <w:wordWrap/>
              <w:overflowPunct/>
              <w:topLinePunct w:val="0"/>
              <w:autoSpaceDE w:val="0"/>
              <w:autoSpaceDN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投标人基本情况表</w:t>
            </w:r>
          </w:p>
        </w:tc>
        <w:tc>
          <w:tcPr>
            <w:tcW w:w="6823" w:type="dxa"/>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1.“投标人基本情况表”应附企业法人营业执照副本和组织机构代码证副本（按照“三证合一”或“五证合一”登记制度进行等级的，可仅提供营业执照副本，下同）、试验检测机构等级证书、计量认证证书（CMA）、基本账户开户证明（基本账户开户许可证或其它有效的基本账户开户证明），投标人在国家企业信用信息公示系统中基础信息（体现股东及出资详细信息）的网页截图。</w:t>
            </w:r>
          </w:p>
          <w:p>
            <w:pPr>
              <w:keepLines/>
              <w:pageBreakBefore w:val="0"/>
              <w:kinsoku/>
              <w:wordWrap/>
              <w:overflowPunct/>
              <w:topLinePunct w:val="0"/>
              <w:bidi w:val="0"/>
              <w:snapToGrid w:val="0"/>
              <w:spacing w:before="36" w:beforeLines="15" w:after="36" w:afterLines="15"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2.上述证照的彩色复印件应提供全本（证书封面、封底、空白页除外），应包括投标人名称、投标人其他信息、颁发机构名称、投标人信息变更情况等关键页在内，并逐页加盖投标人单位章。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2"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近年完成的类似项目时间要求</w:t>
            </w:r>
          </w:p>
        </w:tc>
        <w:tc>
          <w:tcPr>
            <w:tcW w:w="6823" w:type="dxa"/>
            <w:vAlign w:val="center"/>
          </w:tcPr>
          <w:p>
            <w:pPr>
              <w:pageBreakBefore w:val="0"/>
              <w:kinsoku/>
              <w:wordWrap/>
              <w:overflowPunct/>
              <w:topLinePunct w:val="0"/>
              <w:bidi w:val="0"/>
              <w:spacing w:line="360" w:lineRule="exact"/>
              <w:ind w:right="113"/>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2016年1月1日后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8"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3.5.2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近年完成的类似</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kern w:val="0"/>
                <w:sz w:val="21"/>
                <w:szCs w:val="21"/>
                <w:lang w:val="zh-CN"/>
              </w:rPr>
              <w:t>项目业绩要求</w:t>
            </w:r>
          </w:p>
        </w:tc>
        <w:tc>
          <w:tcPr>
            <w:tcW w:w="6823" w:type="dxa"/>
            <w:vAlign w:val="center"/>
          </w:tcPr>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本条款修改为：</w:t>
            </w:r>
          </w:p>
          <w:p>
            <w:pPr>
              <w:pageBreakBefore w:val="0"/>
              <w:kinsoku/>
              <w:wordWrap/>
              <w:overflowPunct/>
              <w:topLinePunct w:val="0"/>
              <w:autoSpaceDE w:val="0"/>
              <w:autoSpaceDN w:val="0"/>
              <w:bidi w:val="0"/>
              <w:adjustRightInd w:val="0"/>
              <w:spacing w:line="360" w:lineRule="exact"/>
              <w:ind w:firstLine="420" w:firstLineChars="2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1.通过公开招标方式取得的业绩应附检测服务合同或中标通知书或项目所在地招投标监管部门网站可查询到的中标结果公示打印页、中标网址、能证明业绩概况的相关材料；未通过公开招标方式取得业绩的投标人，应提供所承担检测项目的委托检测服务合同或业主证明等。</w:t>
            </w:r>
          </w:p>
          <w:p>
            <w:pPr>
              <w:pageBreakBefore w:val="0"/>
              <w:kinsoku/>
              <w:wordWrap/>
              <w:overflowPunct/>
              <w:topLinePunct w:val="0"/>
              <w:autoSpaceDE w:val="0"/>
              <w:autoSpaceDN w:val="0"/>
              <w:bidi w:val="0"/>
              <w:adjustRightInd w:val="0"/>
              <w:spacing w:line="360" w:lineRule="exact"/>
              <w:ind w:firstLine="420" w:firstLineChars="2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2.若投标人提供的业绩证明材料内容无法符合招标文件要求，或因体现的项目信息不全导致评标委员会无法认定时，则该业绩不予认可。所提供的业主证明材料的信息必须与所承担的检测项目业绩中相关信息一致，否则按业绩不予认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7"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投标人的信誉情况</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应附资料</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应附投标人在国家企业信用信息公示系统中未被列入严重违法失信企业名单、在“信用中国”网站中未被列入失信被执行人名单的网页截图复印件，以及近三年内投标人及其法定代表人、拟委任的项目负责人</w:t>
            </w:r>
            <w:r>
              <w:rPr>
                <w:rFonts w:hint="eastAsia" w:asciiTheme="minorEastAsia" w:hAnsiTheme="minorEastAsia" w:eastAsiaTheme="minorEastAsia" w:cstheme="minorEastAsia"/>
                <w:kern w:val="0"/>
                <w:sz w:val="21"/>
                <w:szCs w:val="21"/>
                <w:lang w:val="zh-CN"/>
              </w:rPr>
              <w:t>近三年内无行贿犯罪行为承诺书原件</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4" w:hRule="atLeast"/>
        </w:trPr>
        <w:tc>
          <w:tcPr>
            <w:tcW w:w="896"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3.5.4</w:t>
            </w:r>
          </w:p>
        </w:tc>
        <w:tc>
          <w:tcPr>
            <w:tcW w:w="1975"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项目负责人资历应附材料要求</w:t>
            </w:r>
          </w:p>
        </w:tc>
        <w:tc>
          <w:tcPr>
            <w:tcW w:w="6823" w:type="dxa"/>
            <w:vAlign w:val="center"/>
          </w:tcPr>
          <w:p>
            <w:pPr>
              <w:keepLines/>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本项内容修改为：</w:t>
            </w:r>
          </w:p>
          <w:p>
            <w:pPr>
              <w:pageBreakBefore w:val="0"/>
              <w:kinsoku/>
              <w:wordWrap/>
              <w:overflowPunct/>
              <w:topLinePunct w:val="0"/>
              <w:autoSpaceDE w:val="0"/>
              <w:autoSpaceDN w:val="0"/>
              <w:bidi w:val="0"/>
              <w:adjustRightInd w:val="0"/>
              <w:spacing w:line="360" w:lineRule="exact"/>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应附项目负责人的身份证、职称资格证书以及资格审查条件所要求的其他相关证书（如试验检测工程师证书）的复印件，试验检测工程师证书在政府相关部门网站上公开信息的网页截图复印件，以及</w:t>
            </w:r>
            <w:r>
              <w:rPr>
                <w:rFonts w:hint="eastAsia" w:asciiTheme="minorEastAsia" w:hAnsiTheme="minorEastAsia" w:eastAsiaTheme="minorEastAsia" w:cstheme="minorEastAsia"/>
                <w:kern w:val="0"/>
                <w:sz w:val="21"/>
                <w:szCs w:val="21"/>
              </w:rPr>
              <w:t>在投标人所属社保系统打印的本单位人员（拟委任的项目负责人）缴费明细复印件</w:t>
            </w:r>
            <w:r>
              <w:rPr>
                <w:rFonts w:hint="eastAsia" w:asciiTheme="minorEastAsia" w:hAnsiTheme="minorEastAsia" w:eastAsiaTheme="minorEastAsia" w:cstheme="minorEastAsia"/>
                <w:kern w:val="0"/>
                <w:sz w:val="21"/>
                <w:szCs w:val="21"/>
                <w:lang w:val="zh-CN"/>
              </w:rPr>
              <w:t>。</w:t>
            </w:r>
          </w:p>
          <w:p>
            <w:pPr>
              <w:pageBreakBefore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如项目负责人目前仍在其他项目上任职，则投标人应提供上述人员能够从该项目撤离的书面承诺原件。</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能够证明项目负责人具有相关业绩证明</w:t>
            </w:r>
            <w:r>
              <w:rPr>
                <w:rFonts w:hint="eastAsia" w:asciiTheme="minorEastAsia" w:hAnsiTheme="minorEastAsia" w:eastAsiaTheme="minorEastAsia" w:cstheme="minorEastAsia"/>
                <w:sz w:val="21"/>
                <w:szCs w:val="21"/>
                <w:lang w:val="zh-CN"/>
              </w:rPr>
              <w:t>材料：提供委托检测服务合同（合同能够体现项目负责人姓名及试验检测内容）或任职证明（任职证明应明确任职职务、任职时间、任职期内的试验检测内容，出具机构为该项目的发包人或发包人的上级行政主管部门或相应的质量监督机构）。未提供任职证明的相关业绩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是否允许递交</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备选投标方案</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副本份数</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及其他要求</w:t>
            </w:r>
          </w:p>
        </w:tc>
        <w:tc>
          <w:tcPr>
            <w:tcW w:w="6823" w:type="dxa"/>
            <w:vAlign w:val="center"/>
          </w:tcPr>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投标文件副本份数：在递交投标文件时投标人不需要提供副本。</w:t>
            </w:r>
          </w:p>
          <w:p>
            <w:pPr>
              <w:pageBreakBefore w:val="0"/>
              <w:kinsoku/>
              <w:wordWrap/>
              <w:overflowPunct/>
              <w:topLinePunct w:val="0"/>
              <w:bidi w:val="0"/>
              <w:spacing w:line="360" w:lineRule="exact"/>
              <w:ind w:left="113"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是否要求提交电子版文件：1份电子版已标价的工程量清单及《投标文件关键内容摘录表》（U盘）。</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其他要求：中标人应在收到中标通知书后并在与招标人签订合同前提供投标文件副本3份。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装订的其他要求</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投标文件第一信封书脊上应明确标注投标人的单位名称和所投标的项目名称及标段。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1" w:hRule="atLeast"/>
        </w:trPr>
        <w:tc>
          <w:tcPr>
            <w:tcW w:w="896"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4.1.2</w:t>
            </w:r>
          </w:p>
        </w:tc>
        <w:tc>
          <w:tcPr>
            <w:tcW w:w="197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封套上应载明的信息</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标段招标</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第一个信封（商务及技术文件）投标文件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分（第一个信封开标时间）前不得开启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标段招标</w:t>
            </w:r>
          </w:p>
          <w:p>
            <w:pPr>
              <w:pageBreakBefore w:val="0"/>
              <w:kinsoku/>
              <w:wordWrap/>
              <w:overflowPunct/>
              <w:topLinePunct w:val="0"/>
              <w:bidi w:val="0"/>
              <w:adjustRightInd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第二个信封（报价文件）投标文件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在投标文件第二个信封（报价文件）开标前不得开启</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投标人地址：</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 w:hRule="atLeast"/>
        </w:trPr>
        <w:tc>
          <w:tcPr>
            <w:tcW w:w="896"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75" w:type="dxa"/>
            <w:vMerge w:val="continue"/>
            <w:vAlign w:val="center"/>
          </w:tcPr>
          <w:p>
            <w:pPr>
              <w:pageBreakBefore w:val="0"/>
              <w:kinsoku/>
              <w:wordWrap/>
              <w:overflowPunct/>
              <w:topLinePunct w:val="0"/>
              <w:bidi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银行保函封套：</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招标人名称：</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autoSpaceDE w:val="0"/>
              <w:autoSpaceDN w:val="0"/>
              <w:bidi w:val="0"/>
              <w:adjustRightInd w:val="0"/>
              <w:snapToGrid w:val="0"/>
              <w:spacing w:line="360" w:lineRule="exac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招标人地址：</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国道珲春至阿尔山公路延吉至安图段改建项目附属工程（房建、机电、养护、试验检测机构）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标段招标</w:t>
            </w:r>
          </w:p>
          <w:p>
            <w:pPr>
              <w:pageBreakBefore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投标保证金（银行保函原件）</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招标项目编号：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4.2.3</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是否退还</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投标人少于3个的，投标文件当场退还给投标人；</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否则，投标文件第一个信封（商务及技术文件）均不退还，未通过第一个信封评审的投标人的投标文件第二个信封（报价文件）予以退还。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开标时间和</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地点</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投标文件第一个信封（商务及技术文件）开标时间：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同投标截止时间</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投标文件第一个信封（商务及技术文件）</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开标地点：</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同递交投标文件地点</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投标文件第二个信封（报价文件）开标时间：</w:t>
            </w:r>
          </w:p>
          <w:p>
            <w:pPr>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见招标公告</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投标文件第二个信封（报价文件）</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开标地点：</w:t>
            </w:r>
          </w:p>
          <w:p>
            <w:pPr>
              <w:pageBreakBefore w:val="0"/>
              <w:kinsoku/>
              <w:wordWrap/>
              <w:overflowPunct/>
              <w:topLinePunct w:val="0"/>
              <w:bidi w:val="0"/>
              <w:snapToGrid w:val="0"/>
              <w:spacing w:line="360" w:lineRule="exact"/>
              <w:ind w:firstLine="404" w:firstLineChars="200"/>
              <w:textAlignment w:val="auto"/>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5.2.1</w:t>
            </w:r>
          </w:p>
        </w:tc>
        <w:tc>
          <w:tcPr>
            <w:tcW w:w="1975" w:type="dxa"/>
            <w:vAlign w:val="center"/>
          </w:tcPr>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第一个信封（商务及技术文件）</w:t>
            </w:r>
          </w:p>
          <w:p>
            <w:pPr>
              <w:keepLines/>
              <w:pageBreakBefore w:val="0"/>
              <w:kinsoku/>
              <w:wordWrap/>
              <w:overflowPunct/>
              <w:topLinePunct w:val="0"/>
              <w:bidi w:val="0"/>
              <w:adjustRightInd w:val="0"/>
              <w:snapToGrid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开标程序</w:t>
            </w:r>
          </w:p>
        </w:tc>
        <w:tc>
          <w:tcPr>
            <w:tcW w:w="6823" w:type="dxa"/>
            <w:vAlign w:val="center"/>
          </w:tcPr>
          <w:p>
            <w:pPr>
              <w:pageBreakBefore w:val="0"/>
              <w:numPr>
                <w:ilvl w:val="0"/>
                <w:numId w:val="2"/>
              </w:numPr>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密封情况检查：检查商务及技术文件是否存在提前开启情况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（5）开标顺序：按照投标人名称的汉语拼音升序（以Microsoft Office自动排序为准）的开标顺序开标。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5.2.3</w:t>
            </w:r>
          </w:p>
        </w:tc>
        <w:tc>
          <w:tcPr>
            <w:tcW w:w="1975" w:type="dxa"/>
            <w:vAlign w:val="center"/>
          </w:tcPr>
          <w:p>
            <w:pPr>
              <w:pageBreakBefore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第二个信封（报价文件）开标程序</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（4）密封情况检查：检查报价文件是否存在提前开启情况</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（5）开标顺序：按照投标人的商务和技术得分由高到低的开标顺序开标。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6.1.1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评标委员会的组建</w:t>
            </w:r>
          </w:p>
        </w:tc>
        <w:tc>
          <w:tcPr>
            <w:tcW w:w="6823" w:type="dxa"/>
            <w:vAlign w:val="center"/>
          </w:tcPr>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评标委员会构成：9人，其中招标人代表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人，专家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p>
          <w:p>
            <w:pPr>
              <w:pageBreakBefore w:val="0"/>
              <w:kinsoku/>
              <w:wordWrap/>
              <w:overflowPunct/>
              <w:topLinePunct w:val="0"/>
              <w:bidi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6.3.2</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评标委员会推荐</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中标候选人的人数</w:t>
            </w:r>
          </w:p>
        </w:tc>
        <w:tc>
          <w:tcPr>
            <w:tcW w:w="6823" w:type="dxa"/>
            <w:vAlign w:val="center"/>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3名（或3名以内）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中标候选人</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公示媒介及</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期限</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公示媒介：中国招标投标公共服务平台、吉林省公共资源交易公共服务平台、吉林省交通运输厅网站、延边州人民政府信息公开专栏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7.4</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是否授权评标委员会</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确定中标人</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7.5</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中标通知书和中标结</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果通知发出的形式</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中标通知书以书面形式发出，中标结果通知以中标结果公告的形式在本须知7.6款明确的媒介上发出。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7.6</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中标结果公告</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媒介及期限</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公告媒介：中国招标投标公共服务平台、吉林省交通运输厅网站、延边州人民政府信息公开专栏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公告期限：3日</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公告的其他内容：/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7.7.1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p>
        </w:tc>
        <w:tc>
          <w:tcPr>
            <w:tcW w:w="6823" w:type="dxa"/>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履约保证金形式：银行保函或现金、支票形式</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履约保证金金额：10%签约合同价。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（1）采用现金、支票形式时，应由中标人的基本账户汇入发包人指定账户。</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（2）采用银行保函时，出具保函的银行级别：应由“工商银行、农业银行、中国银行、建设银行、交通银行”五大国有商业银行及全国性商业银行开具，银行级别应为地市级分、支行以上级别。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8.5.1</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监督部门</w:t>
            </w:r>
          </w:p>
        </w:tc>
        <w:tc>
          <w:tcPr>
            <w:tcW w:w="6823" w:type="dxa"/>
            <w:vAlign w:val="center"/>
          </w:tcPr>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监督部门：延边州交通运输局</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址：延吉市公园路5568号</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    话：0433-2705070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传    真：0433-2257000</w:t>
            </w:r>
          </w:p>
          <w:p>
            <w:pPr>
              <w:pageBreakBefore w:val="0"/>
              <w:kinsoku/>
              <w:wordWrap/>
              <w:overflowPunct/>
              <w:topLinePunct w:val="0"/>
              <w:bidi w:val="0"/>
              <w:adjustRightInd w:val="0"/>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邮　　编：133000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896"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p>
        </w:tc>
        <w:tc>
          <w:tcPr>
            <w:tcW w:w="19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是否采用电子招标投标</w:t>
            </w:r>
          </w:p>
        </w:tc>
        <w:tc>
          <w:tcPr>
            <w:tcW w:w="6823" w:type="dxa"/>
            <w:vAlign w:val="center"/>
          </w:tcPr>
          <w:p>
            <w:pPr>
              <w:pageBreakBefore w:val="0"/>
              <w:kinsoku/>
              <w:wordWrap/>
              <w:overflowPunct/>
              <w:topLinePunct w:val="0"/>
              <w:bidi w:val="0"/>
              <w:spacing w:line="360" w:lineRule="exact"/>
              <w:ind w:right="113"/>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694" w:type="dxa"/>
            <w:gridSpan w:val="3"/>
            <w:vAlign w:val="center"/>
          </w:tcPr>
          <w:p>
            <w:pPr>
              <w:pageBreakBefore w:val="0"/>
              <w:kinsoku/>
              <w:wordWrap/>
              <w:overflowPunct/>
              <w:topLinePunct w:val="0"/>
              <w:bidi w:val="0"/>
              <w:snapToGrid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 无</w:t>
            </w:r>
          </w:p>
        </w:tc>
      </w:tr>
    </w:tbl>
    <w:p>
      <w:pPr>
        <w:pageBreakBefore w:val="0"/>
        <w:widowControl/>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bookmarkStart w:id="55" w:name="_Toc436994103"/>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附录1  资格审查条件（资质最低要求）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54" w:type="dxa"/>
            <w:vAlign w:val="center"/>
          </w:tcPr>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lang w:bidi="zh-TW"/>
                <w14:textFill>
                  <w14:solidFill>
                    <w14:schemeClr w14:val="tx1"/>
                  </w14:solidFill>
                </w14:textFill>
              </w:rPr>
            </w:pPr>
            <w:r>
              <w:rPr>
                <w:rFonts w:hint="eastAsia" w:asciiTheme="minorEastAsia" w:hAnsiTheme="minorEastAsia" w:eastAsiaTheme="minorEastAsia" w:cstheme="minorEastAsia"/>
                <w:sz w:val="21"/>
                <w:szCs w:val="21"/>
                <w:lang w:bidi="zh-TW"/>
              </w:rPr>
              <w:t>具有独立法人资格，具备交通运输行业主管部门颁发的公路工程综合甲级试验检测资质，通过省级以上质量监督部门计量认证。</w:t>
            </w:r>
          </w:p>
        </w:tc>
      </w:tr>
    </w:tbl>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附录2  资格审查条件（业绩最低要求）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4" w:type="dxa"/>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54" w:type="dxa"/>
            <w:vAlign w:val="center"/>
          </w:tcPr>
          <w:p>
            <w:pPr>
              <w:pageBreakBefore w:val="0"/>
              <w:kinsoku/>
              <w:wordWrap/>
              <w:overflowPunct/>
              <w:topLinePunct w:val="0"/>
              <w:bidi w:val="0"/>
              <w:spacing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2016年1月1日</w:t>
            </w:r>
            <w:r>
              <w:rPr>
                <w:rFonts w:hint="eastAsia" w:asciiTheme="minorEastAsia" w:hAnsiTheme="minorEastAsia" w:eastAsiaTheme="minorEastAsia" w:cstheme="minorEastAsia"/>
                <w:sz w:val="21"/>
                <w:szCs w:val="21"/>
                <w:lang w:bidi="zh-TW"/>
              </w:rPr>
              <w:t>累计完成不少于45公里二级以上（含二级）公路新建或改扩建工程试验检测业绩。</w:t>
            </w:r>
          </w:p>
        </w:tc>
      </w:tr>
    </w:tbl>
    <w:p>
      <w:pPr>
        <w:pageBreakBefore w:val="0"/>
        <w:widowControl/>
        <w:kinsoku/>
        <w:wordWrap/>
        <w:overflowPunct/>
        <w:topLinePunct w:val="0"/>
        <w:bidi w:val="0"/>
        <w:spacing w:line="360" w:lineRule="exact"/>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附录3  资格审查条件（信誉最低要求）</w:t>
      </w:r>
    </w:p>
    <w:tbl>
      <w:tblPr>
        <w:tblStyle w:val="8"/>
        <w:tblW w:w="985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54" w:type="dxa"/>
            <w:tcBorders>
              <w:bottom w:val="single" w:color="auto" w:sz="4" w:space="0"/>
            </w:tcBorders>
            <w:vAlign w:val="center"/>
          </w:tcPr>
          <w:p>
            <w:pPr>
              <w:pageBreakBefore w:val="0"/>
              <w:kinsoku/>
              <w:wordWrap/>
              <w:overflowPunct/>
              <w:topLinePunct w:val="0"/>
              <w:bidi w:val="0"/>
              <w:snapToGrid w:val="0"/>
              <w:spacing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9854" w:type="dxa"/>
            <w:tcBorders>
              <w:top w:val="single" w:color="auto" w:sz="4" w:space="0"/>
            </w:tcBorders>
            <w:vAlign w:val="center"/>
          </w:tcPr>
          <w:p>
            <w:pPr>
              <w:pageBreakBefore w:val="0"/>
              <w:kinsoku/>
              <w:wordWrap/>
              <w:overflowPunct/>
              <w:topLinePunct w:val="0"/>
              <w:bidi w:val="0"/>
              <w:snapToGrid w:val="0"/>
              <w:spacing w:before="36" w:beforeLines="15" w:after="36" w:afterLines="15" w:line="360" w:lineRule="exact"/>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投标人不得存在以下规定的情形：</w:t>
            </w:r>
          </w:p>
          <w:p>
            <w:pPr>
              <w:pageBreakBefore w:val="0"/>
              <w:kinsoku/>
              <w:wordWrap/>
              <w:overflowPunct/>
              <w:topLinePunct w:val="0"/>
              <w:bidi w:val="0"/>
              <w:snapToGrid w:val="0"/>
              <w:spacing w:before="36" w:beforeLines="15" w:after="36" w:afterLines="15" w:line="360" w:lineRule="exact"/>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2019年度试验检测机构信用评价等级为D级的。</w:t>
            </w:r>
          </w:p>
        </w:tc>
      </w:tr>
      <w:bookmarkEnd w:id="55"/>
    </w:tbl>
    <w:p>
      <w:pPr>
        <w:pStyle w:val="4"/>
        <w:pageBreakBefore w:val="0"/>
        <w:numPr>
          <w:ilvl w:val="0"/>
          <w:numId w:val="0"/>
        </w:numPr>
        <w:kinsoku/>
        <w:wordWrap/>
        <w:overflowPunct/>
        <w:topLinePunct w:val="0"/>
        <w:bidi w:val="0"/>
        <w:spacing w:before="480" w:beforeLines="200" w:after="240" w:afterLines="100" w:line="360"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附录4  资格审查条件（</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项目负责人最低要求</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75"/>
        <w:gridCol w:w="4678"/>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99" w:type="dxa"/>
            <w:tcBorders>
              <w:top w:val="single" w:color="auto" w:sz="12" w:space="0"/>
              <w:left w:val="single" w:color="auto" w:sz="12"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1275" w:type="dxa"/>
            <w:tcBorders>
              <w:top w:val="single" w:color="auto" w:sz="12"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数量（人）</w:t>
            </w:r>
          </w:p>
        </w:tc>
        <w:tc>
          <w:tcPr>
            <w:tcW w:w="4678" w:type="dxa"/>
            <w:tcBorders>
              <w:top w:val="single" w:color="auto" w:sz="12" w:space="0"/>
              <w:right w:val="single" w:color="auto" w:sz="4"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资格要求</w:t>
            </w:r>
          </w:p>
        </w:tc>
        <w:tc>
          <w:tcPr>
            <w:tcW w:w="2247" w:type="dxa"/>
            <w:tcBorders>
              <w:top w:val="single" w:color="auto" w:sz="12" w:space="0"/>
              <w:left w:val="single" w:color="auto" w:sz="4" w:space="0"/>
              <w:right w:val="single" w:color="auto" w:sz="12" w:space="0"/>
            </w:tcBorders>
            <w:vAlign w:val="center"/>
          </w:tcPr>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1399" w:type="dxa"/>
            <w:tcBorders>
              <w:left w:val="single" w:color="auto" w:sz="12" w:space="0"/>
            </w:tcBorders>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p>
        </w:tc>
        <w:tc>
          <w:tcPr>
            <w:tcW w:w="127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678" w:type="dxa"/>
            <w:tcBorders>
              <w:right w:val="single" w:color="auto" w:sz="4" w:space="0"/>
            </w:tcBorders>
            <w:vAlign w:val="center"/>
          </w:tcPr>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（1）投标人自有人员；</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（2）具有公路工程相关专业高级工程职称；</w:t>
            </w:r>
          </w:p>
          <w:p>
            <w:pPr>
              <w:pageBreakBefore w:val="0"/>
              <w:kinsoku/>
              <w:wordWrap/>
              <w:overflowPunct/>
              <w:topLinePunct w:val="0"/>
              <w:bidi w:val="0"/>
              <w:adjustRightInd w:val="0"/>
              <w:snapToGrid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（3）具有《试验检测工程师证书》或《试验检测工程师过渡考试合格证》（道路及桥梁专业）；</w:t>
            </w:r>
          </w:p>
        </w:tc>
        <w:tc>
          <w:tcPr>
            <w:tcW w:w="2247" w:type="dxa"/>
            <w:tcBorders>
              <w:top w:val="single" w:color="auto" w:sz="8" w:space="0"/>
              <w:left w:val="single" w:color="auto" w:sz="4" w:space="0"/>
              <w:right w:val="single" w:color="auto" w:sz="12" w:space="0"/>
            </w:tcBorders>
            <w:vAlign w:val="center"/>
          </w:tcPr>
          <w:p>
            <w:pPr>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无在岗项目（指目前未在其他项目上任职，或虽在其他项目上任职但本项目中标后能从该项目撤离）</w:t>
            </w:r>
          </w:p>
        </w:tc>
      </w:tr>
    </w:tbl>
    <w:p>
      <w:pPr>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 上表中所列人员不得兼职。</w:t>
      </w:r>
    </w:p>
    <w:p>
      <w:pPr>
        <w:pStyle w:val="11"/>
        <w:pageBreakBefore w:val="0"/>
        <w:kinsoku/>
        <w:wordWrap/>
        <w:overflowPunct/>
        <w:topLinePunct w:val="0"/>
        <w:bidi w:val="0"/>
        <w:adjustRightInd w:val="0"/>
        <w:snapToGrid w:val="0"/>
        <w:spacing w:line="360" w:lineRule="exact"/>
        <w:ind w:left="426"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widowControl/>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6"/>
        <w:pageBreakBefore w:val="0"/>
        <w:numPr>
          <w:ilvl w:val="0"/>
          <w:numId w:val="6"/>
        </w:numPr>
        <w:kinsoku/>
        <w:wordWrap/>
        <w:overflowPunct/>
        <w:topLinePunct w:val="0"/>
        <w:bidi w:val="0"/>
        <w:spacing w:line="36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评标办法前附表</w:t>
      </w:r>
    </w:p>
    <w:tbl>
      <w:tblPr>
        <w:tblStyle w:val="8"/>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80"/>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85"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条款号</w:t>
            </w:r>
          </w:p>
        </w:tc>
        <w:tc>
          <w:tcPr>
            <w:tcW w:w="1680"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c>
          <w:tcPr>
            <w:tcW w:w="7157"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8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80"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7157" w:type="dxa"/>
          </w:tcPr>
          <w:p>
            <w:pPr>
              <w:pageBreakBefore w:val="0"/>
              <w:kinsoku/>
              <w:wordWrap/>
              <w:overflowPunct/>
              <w:topLinePunct w:val="0"/>
              <w:bidi w:val="0"/>
              <w:spacing w:line="36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本次评标采用综合评估法。</w:t>
            </w:r>
          </w:p>
          <w:p>
            <w:pPr>
              <w:pStyle w:val="16"/>
              <w:pageBreakBefore w:val="0"/>
              <w:kinsoku/>
              <w:wordWrap/>
              <w:overflowPunct/>
              <w:topLinePunct w:val="0"/>
              <w:bidi w:val="0"/>
              <w:spacing w:line="3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评标委员会对满足招标文件实质性要求的投标文件，按照本章第2.2款规定的评分标准进行评分，并按综合得分由高到低顺序推荐中标候选人。</w:t>
            </w:r>
          </w:p>
          <w:p>
            <w:pPr>
              <w:pStyle w:val="16"/>
              <w:pageBreakBefore w:val="0"/>
              <w:kinsoku/>
              <w:wordWrap/>
              <w:overflowPunct/>
              <w:topLinePunct w:val="0"/>
              <w:bidi w:val="0"/>
              <w:spacing w:line="360" w:lineRule="exact"/>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综合评分相同时，若评标价不相等，以评标价较低者优先；若评标价也相同，则依次按照“试验检测方案”、“项目负责人”、“业绩”、“信誉”评审各单项得分由高到低的顺序进行先后排序，得分高者优先。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85" w:type="dxa"/>
            <w:vAlign w:val="center"/>
          </w:tcPr>
          <w:p>
            <w:pPr>
              <w:pageBreakBefore w:val="0"/>
              <w:kinsoku/>
              <w:wordWrap/>
              <w:overflowPunct/>
              <w:topLinePunct w:val="0"/>
              <w:bidi w:val="0"/>
              <w:spacing w:line="360" w:lineRule="exact"/>
              <w:ind w:firstLine="315" w:firstLineChars="1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p>
            <w:pPr>
              <w:pageBreakBefore w:val="0"/>
              <w:kinsoku/>
              <w:wordWrap/>
              <w:overflowPunct/>
              <w:topLinePunct w:val="0"/>
              <w:bidi w:val="0"/>
              <w:spacing w:line="360" w:lineRule="exact"/>
              <w:ind w:firstLine="315" w:firstLineChars="1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w:t>
            </w:r>
          </w:p>
        </w:tc>
        <w:tc>
          <w:tcPr>
            <w:tcW w:w="1680" w:type="dxa"/>
            <w:vAlign w:val="center"/>
          </w:tcPr>
          <w:p>
            <w:pPr>
              <w:pageBreakBefore w:val="0"/>
              <w:kinsoku/>
              <w:wordWrap/>
              <w:overflowPunct/>
              <w:topLinePunct w:val="0"/>
              <w:bidi w:val="0"/>
              <w:spacing w:line="360" w:lineRule="exact"/>
              <w:ind w:firstLine="315" w:firstLineChars="1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形式评审与响应性评审标准</w:t>
            </w:r>
          </w:p>
        </w:tc>
        <w:tc>
          <w:tcPr>
            <w:tcW w:w="7157" w:type="dxa"/>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第一个信封（技术文件）评审标准：</w:t>
            </w:r>
          </w:p>
          <w:p>
            <w:pPr>
              <w:pStyle w:val="12"/>
              <w:keepLines/>
              <w:pageBreakBefore w:val="0"/>
              <w:shd w:val="clear" w:color="auto" w:fill="auto"/>
              <w:tabs>
                <w:tab w:val="left" w:pos="914"/>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kern w:val="2"/>
                <w:sz w:val="21"/>
                <w:szCs w:val="21"/>
              </w:rPr>
              <w:t>）投标文件按照招标文件规定的格式、内容填写，字迹清晰可辨：</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a．投标函按招标文件规定填报了项目名称、标段号、补遗书编号（如有）、服务期、工程质量要求及安全目标。</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b．投标文件组成齐全完整，内容均按规定填写。</w:t>
            </w:r>
          </w:p>
          <w:p>
            <w:pPr>
              <w:keepLines/>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（2）投标文件上法定代表人或其授权代理人的签字、投标人的单位章盖章齐全，符合招标文件规定。</w:t>
            </w:r>
          </w:p>
          <w:p>
            <w:pPr>
              <w:keepLines/>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（3）投标人按照招标文件的规定提供了投标保证金：</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a.投标保证金金额符合招标文件规定的金额，且投标保证金有效期不少于投标有效期；</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b.若投标保证金采用现金或支票形式提交，投标人应在递交投标保证金截止时间之前，将投标保证金由投标人的基本账户一次性转入招标人指定账户；</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c．若投标保证金采用银行保函形式提交，银行保函的格式、开具保函的银行均满足招标文件要求，且在递交投标文件截止时间之前向招标人提交了银行保函原件。</w:t>
            </w:r>
          </w:p>
          <w:p>
            <w:pPr>
              <w:keepLines/>
              <w:pageBreakBefore w:val="0"/>
              <w:kinsoku/>
              <w:wordWrap/>
              <w:overflowPunct/>
              <w:topLinePunct w:val="0"/>
              <w:bidi w:val="0"/>
              <w:adjustRightInd w:val="0"/>
              <w:snapToGrid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（4）投标人法定代表人授权委托代理人签署投标文件的，须提交授权委托书，且授权人和被授权人均在授权委托书上签名，未使用印章、签名章或其他电子制版签名代替。</w:t>
            </w:r>
          </w:p>
          <w:p>
            <w:pPr>
              <w:pStyle w:val="12"/>
              <w:keepLines/>
              <w:pageBreakBefore w:val="0"/>
              <w:shd w:val="clear" w:color="auto" w:fill="auto"/>
              <w:tabs>
                <w:tab w:val="left" w:pos="914"/>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（5）投标人法定代表人亲自签署投标文件的，提供了法定代表人身份证明，且法定代表人在法定代表人身份证明上签名，未使用印章、签名章或其他电子制版签名代替。</w:t>
            </w:r>
          </w:p>
          <w:p>
            <w:pPr>
              <w:pStyle w:val="12"/>
              <w:keepLines/>
              <w:pageBreakBefore w:val="0"/>
              <w:shd w:val="clear" w:color="auto" w:fill="auto"/>
              <w:tabs>
                <w:tab w:val="left" w:pos="1038"/>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（6）投标人未以联合体形式投标。</w:t>
            </w:r>
          </w:p>
          <w:p>
            <w:pPr>
              <w:pStyle w:val="12"/>
              <w:keepLines/>
              <w:pageBreakBefore w:val="0"/>
              <w:shd w:val="clear" w:color="auto" w:fill="auto"/>
              <w:tabs>
                <w:tab w:val="left" w:pos="914"/>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（7）投标人未有分包计划。</w:t>
            </w:r>
          </w:p>
          <w:p>
            <w:pPr>
              <w:pStyle w:val="12"/>
              <w:keepLines/>
              <w:pageBreakBefore w:val="0"/>
              <w:shd w:val="clear" w:color="auto" w:fill="auto"/>
              <w:tabs>
                <w:tab w:val="left" w:pos="922"/>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（8）同一投标人未提交两个以上不同的投标文件，但招标文件要求提交备选投标的除外。</w:t>
            </w:r>
          </w:p>
          <w:p>
            <w:pPr>
              <w:pStyle w:val="12"/>
              <w:keepLines/>
              <w:pageBreakBefore w:val="0"/>
              <w:shd w:val="clear" w:color="auto" w:fill="auto"/>
              <w:tabs>
                <w:tab w:val="left" w:pos="922"/>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（9）投标文件中未出现有关投标报价的内容。</w:t>
            </w:r>
          </w:p>
          <w:p>
            <w:pPr>
              <w:pStyle w:val="12"/>
              <w:keepLines/>
              <w:pageBreakBefore w:val="0"/>
              <w:shd w:val="clear" w:color="auto" w:fill="auto"/>
              <w:tabs>
                <w:tab w:val="left" w:pos="938"/>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（10）投标文件载明的招标项目完成期限未超过招标文件规定的时限。</w:t>
            </w:r>
          </w:p>
          <w:p>
            <w:pPr>
              <w:pStyle w:val="12"/>
              <w:keepLines/>
              <w:pageBreakBefore w:val="0"/>
              <w:shd w:val="clear" w:color="auto" w:fill="auto"/>
              <w:tabs>
                <w:tab w:val="left" w:pos="922"/>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（11）投标文件对招标文件的实质性要求和条件作出响应。</w:t>
            </w:r>
          </w:p>
          <w:p>
            <w:pPr>
              <w:pStyle w:val="12"/>
              <w:keepLines/>
              <w:pageBreakBefore w:val="0"/>
              <w:shd w:val="clear" w:color="auto" w:fill="auto"/>
              <w:tabs>
                <w:tab w:val="left" w:pos="922"/>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（12）权利义务符合招标文件规定：</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a．投标人应接受招标文件规定的风险划分原则，未提出新的风险划分办法；</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b．投标人未增加发包人的责任范围，或减少投标人义务；</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c．投标人未提出不同的工程验收、计量、支付办法；</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d．投标人对合同纠纷、事故处理办法未提出异议；</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e．投标人在投标活动中无欺诈行为；</w:t>
            </w:r>
          </w:p>
          <w:p>
            <w:pPr>
              <w:keepLines/>
              <w:pageBreakBefore w:val="0"/>
              <w:kinsoku/>
              <w:wordWrap/>
              <w:overflowPunct/>
              <w:topLinePunct w:val="0"/>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f．投标人未对合同条款有重要保留。</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（13）投标文件正、副本份数符合招标文件第二章“投标人须知”第3.7.4项规定。</w:t>
            </w:r>
          </w:p>
          <w:p>
            <w:pPr>
              <w:pStyle w:val="16"/>
              <w:pageBreakBefore w:val="0"/>
              <w:kinsoku/>
              <w:wordWrap/>
              <w:overflowPunct/>
              <w:topLinePunct w:val="0"/>
              <w:bidi w:val="0"/>
              <w:spacing w:before="240" w:beforeLines="100"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第二个信封（报价文件）评审标准：</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（1）投标文件按照招标文件规定的格式、内容填写，字迹清晰可辨，内容齐全完整；</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a.投标函按照标文件规定填报了项目名称、标段号、补遗书编号（如有）、投标价（包括大写金额和小写金额）；</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b.已标价报价清单说明文字与招标文件规定一致，未进行实质性修改和删减；</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c.投标文件组成齐全完整，内容均按规定填写。</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（2）投标文件上法定代表人或其委托代表人的签字、投标人的单位章盖章齐全，符合招标文件规定。</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（3）投标报价未超过招标文件设定的最高投标限价。</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（4）投标报价的大写金额能够确定具体数值。</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（5）同一投标人未提交两个以上不用的投标报价，但招标文件要求提交备选投标的除外。</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8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2.1.2</w:t>
            </w:r>
          </w:p>
        </w:tc>
        <w:tc>
          <w:tcPr>
            <w:tcW w:w="1680"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7157" w:type="dxa"/>
          </w:tcPr>
          <w:p>
            <w:pPr>
              <w:pStyle w:val="12"/>
              <w:keepLines/>
              <w:pageBreakBefore w:val="0"/>
              <w:shd w:val="clear" w:color="auto" w:fill="auto"/>
              <w:tabs>
                <w:tab w:val="left" w:pos="914"/>
              </w:tabs>
              <w:kinsoku/>
              <w:wordWrap/>
              <w:overflowPunct/>
              <w:topLinePunct w:val="0"/>
              <w:bidi w:val="0"/>
              <w:snapToGrid w:val="0"/>
              <w:spacing w:before="0" w:line="36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（1）投标人具备有效的营业执照、组织机构代码证、试验检测机构等级证书、中国计量认证证书（CMA）、基本账户开户证明（基本账户开户许可证或其它有效的基本账户开户证明），</w:t>
            </w:r>
            <w:r>
              <w:rPr>
                <w:rFonts w:hint="eastAsia" w:asciiTheme="minorEastAsia" w:hAnsiTheme="minorEastAsia" w:eastAsiaTheme="minorEastAsia" w:cstheme="minorEastAsia"/>
                <w:kern w:val="2"/>
                <w:sz w:val="21"/>
                <w:szCs w:val="21"/>
              </w:rPr>
              <w:t>提交了</w:t>
            </w:r>
            <w:r>
              <w:rPr>
                <w:rFonts w:hint="eastAsia" w:asciiTheme="minorEastAsia" w:hAnsiTheme="minorEastAsia" w:eastAsiaTheme="minorEastAsia" w:cstheme="minorEastAsia"/>
                <w:sz w:val="21"/>
                <w:szCs w:val="21"/>
              </w:rPr>
              <w:t>投标人在全国企业信用信息公示系统中基础信息（体现股东及出资详细信息）的网页截图。</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（2）投标人的资质等级符合招标文件规定。</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（3）投标人的类似项目业绩符合招标文件规定。</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（4）投标人的信誉符合招标文件规定。</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（5）投标人的项目负责人资格符合招标文件规定。</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8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2.2.1</w:t>
            </w:r>
          </w:p>
        </w:tc>
        <w:tc>
          <w:tcPr>
            <w:tcW w:w="1680"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（总分100分）</w:t>
            </w:r>
          </w:p>
        </w:tc>
        <w:tc>
          <w:tcPr>
            <w:tcW w:w="7157" w:type="dxa"/>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第一个信封(商务及技术文件)：90分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检测方案40分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企业信用5分 </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项目负责人资格与业绩25分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企业业绩20分</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第二个信封（投标报价和报价清单）：10分</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a.评标价：10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8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2.2.2</w:t>
            </w:r>
          </w:p>
        </w:tc>
        <w:tc>
          <w:tcPr>
            <w:tcW w:w="1680"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评标基准价计算方法</w:t>
            </w:r>
          </w:p>
        </w:tc>
        <w:tc>
          <w:tcPr>
            <w:tcW w:w="7157" w:type="dxa"/>
          </w:tcPr>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评标基准价的计算：</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在开标现场，招标人将当场计算并宣布评标基准价。</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（1）评标价的确定；</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评标价=投标函文字报价</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（2）评标价平均值的计算：</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除按第二章“投标人须知”第5.2.4项规定开标现场被宣布为不进入评标基准价计算的投标报价之外，所有投标人的评标价算术平均值即为评标价平均值。</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（3）评标基准价的确定：</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将评标价平均值直接作为评标基准价。</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8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w:t>
            </w:r>
          </w:p>
        </w:tc>
        <w:tc>
          <w:tcPr>
            <w:tcW w:w="1680"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评标价的偏差率</w:t>
            </w:r>
            <w:r>
              <w:rPr>
                <w:rFonts w:hint="eastAsia" w:asciiTheme="minorEastAsia" w:hAnsiTheme="minorEastAsia" w:eastAsiaTheme="minorEastAsia" w:cstheme="minorEastAsia"/>
                <w:sz w:val="21"/>
                <w:szCs w:val="21"/>
                <w:lang w:eastAsia="zh-CN"/>
              </w:rPr>
              <w:t>计算公式</w:t>
            </w:r>
          </w:p>
        </w:tc>
        <w:tc>
          <w:tcPr>
            <w:tcW w:w="7157" w:type="dxa"/>
            <w:vAlign w:val="center"/>
          </w:tcPr>
          <w:p>
            <w:pPr>
              <w:pStyle w:val="16"/>
              <w:pageBreakBefore w:val="0"/>
              <w:kinsoku/>
              <w:wordWrap/>
              <w:overflowPunct/>
              <w:topLinePunct w:val="0"/>
              <w:bidi w:val="0"/>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偏差率=100%*（投标人评标价-评标基准价）/评标基准价</w:t>
            </w:r>
          </w:p>
        </w:tc>
      </w:tr>
    </w:tbl>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sectPr>
          <w:footnotePr>
            <w:numFmt w:val="decimalEnclosedCircleChinese"/>
            <w:numRestart w:val="eachPage"/>
          </w:footnotePr>
          <w:pgSz w:w="11907" w:h="16840"/>
          <w:pgMar w:top="1418" w:right="1418" w:bottom="1418" w:left="1418" w:header="720" w:footer="720" w:gutter="0"/>
          <w:pgNumType w:fmt="decimal"/>
          <w:cols w:space="720" w:num="1"/>
        </w:sectPr>
      </w:pP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续上表</w:t>
      </w:r>
    </w:p>
    <w:tbl>
      <w:tblPr>
        <w:tblStyle w:val="8"/>
        <w:tblW w:w="10632"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992"/>
        <w:gridCol w:w="155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686" w:type="dxa"/>
            <w:gridSpan w:val="3"/>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评审因素与评审标准</w:t>
            </w:r>
          </w:p>
        </w:tc>
        <w:tc>
          <w:tcPr>
            <w:tcW w:w="6946" w:type="dxa"/>
            <w:vMerge w:val="restart"/>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5"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条款号</w:t>
            </w:r>
          </w:p>
        </w:tc>
        <w:tc>
          <w:tcPr>
            <w:tcW w:w="992"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条款名称</w:t>
            </w:r>
          </w:p>
        </w:tc>
        <w:tc>
          <w:tcPr>
            <w:tcW w:w="1559"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权重分值</w:t>
            </w:r>
          </w:p>
        </w:tc>
        <w:tc>
          <w:tcPr>
            <w:tcW w:w="6946" w:type="dxa"/>
            <w:vMerge w:val="continue"/>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restart"/>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2.2.4（1）</w:t>
            </w:r>
          </w:p>
        </w:tc>
        <w:tc>
          <w:tcPr>
            <w:tcW w:w="992" w:type="dxa"/>
            <w:vMerge w:val="restart"/>
            <w:vAlign w:val="center"/>
          </w:tcPr>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试验检测总体方案</w:t>
            </w:r>
          </w:p>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40分</w:t>
            </w:r>
          </w:p>
        </w:tc>
        <w:tc>
          <w:tcPr>
            <w:tcW w:w="1559"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试验检测方案及计划</w:t>
            </w:r>
          </w:p>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 分）</w:t>
            </w:r>
          </w:p>
        </w:tc>
        <w:tc>
          <w:tcPr>
            <w:tcW w:w="6946" w:type="dxa"/>
            <w:vAlign w:val="center"/>
          </w:tcPr>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（1）优秀12.1-15分：试验检测方案、计划论述完整、清晰，人员组织分工合理，总体组织具有实际性、有效性；</w:t>
            </w:r>
          </w:p>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（2）良好9.1-12分：试验检测方案、计划论述比较完整、清晰，人员组织分工比较合理，总体组织比较具有实际性、有效性；</w:t>
            </w:r>
          </w:p>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（3）一般9分：试验检测方案、计划论述基本完整、清晰，人员组织分工基本合理，总体组织基本具有实际性、有效性。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p>
        </w:tc>
        <w:tc>
          <w:tcPr>
            <w:tcW w:w="992" w:type="dxa"/>
            <w:vMerge w:val="continue"/>
            <w:vAlign w:val="center"/>
          </w:tcPr>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p>
        </w:tc>
        <w:tc>
          <w:tcPr>
            <w:tcW w:w="1559"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本项目实施过程中的重点、难点分析及其对策</w:t>
            </w:r>
          </w:p>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（20</w:t>
            </w:r>
            <w:r>
              <w:rPr>
                <w:rFonts w:hint="eastAsia" w:asciiTheme="minorEastAsia" w:hAnsiTheme="minorEastAsia" w:eastAsiaTheme="minorEastAsia" w:cstheme="minorEastAsia"/>
                <w:color w:val="auto"/>
                <w:sz w:val="21"/>
                <w:szCs w:val="21"/>
              </w:rPr>
              <w:t>分）</w:t>
            </w:r>
          </w:p>
        </w:tc>
        <w:tc>
          <w:tcPr>
            <w:tcW w:w="6946" w:type="dxa"/>
            <w:vAlign w:val="center"/>
          </w:tcPr>
          <w:p>
            <w:pPr>
              <w:pageBreakBefore w:val="0"/>
              <w:tabs>
                <w:tab w:val="left" w:pos="0"/>
              </w:tabs>
              <w:kinsoku/>
              <w:wordWrap/>
              <w:overflowPunct/>
              <w:topLinePunct w:val="0"/>
              <w:bidi w:val="0"/>
              <w:spacing w:line="360" w:lineRule="exact"/>
              <w:ind w:left="105" w:hanging="105" w:hangingChars="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（1）优秀16.1-20分： 对重点、难点分析合理深刻，对策合理可行；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（2）良好12.1-16分：对重点、难点分析比较合理深刻，对策比较合理可行；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（3）一般12分：对重点、难点分析基本合理深刻，对策基本合理可行。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p>
        </w:tc>
        <w:tc>
          <w:tcPr>
            <w:tcW w:w="992" w:type="dxa"/>
            <w:vMerge w:val="continue"/>
            <w:vAlign w:val="center"/>
          </w:tcPr>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bCs/>
                <w:sz w:val="21"/>
                <w:szCs w:val="21"/>
              </w:rPr>
            </w:pPr>
          </w:p>
        </w:tc>
        <w:tc>
          <w:tcPr>
            <w:tcW w:w="1559"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试验检测工作安全保证措施</w:t>
            </w:r>
          </w:p>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（5分）</w:t>
            </w:r>
          </w:p>
        </w:tc>
        <w:tc>
          <w:tcPr>
            <w:tcW w:w="6946" w:type="dxa"/>
            <w:vAlign w:val="center"/>
          </w:tcPr>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优秀4.1-5分：检测工作安全保证措施得力可行；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良好3.1-4.0分：试验检测工作安全保证措施比较得力可行；</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一般3.0分： 试验检测工作安全保证措施基本得力可行；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3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2.2.4（2）</w:t>
            </w:r>
          </w:p>
        </w:tc>
        <w:tc>
          <w:tcPr>
            <w:tcW w:w="992"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w:t>
            </w:r>
          </w:p>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5分</w:t>
            </w:r>
          </w:p>
        </w:tc>
        <w:tc>
          <w:tcPr>
            <w:tcW w:w="1559" w:type="dxa"/>
            <w:vAlign w:val="center"/>
          </w:tcPr>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信用评价5分</w:t>
            </w:r>
          </w:p>
        </w:tc>
        <w:tc>
          <w:tcPr>
            <w:tcW w:w="6946" w:type="dxa"/>
            <w:vAlign w:val="center"/>
          </w:tcPr>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在2019年交通运输部或本省级交通运输主管部门公路试验检测机构信用评价结果中获得AA级得5分，A级得2分，B级、C级不得分，D级不能通过评审（并提供网络截图）；如投标人未列入交通运输部或本省级交通运输主管部门信用评价结果中，无失信行为的，投标人的信誉评分按照A级确定；有失信行为的，投标人的信誉评分按照D级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2.2.4（3）</w:t>
            </w:r>
          </w:p>
        </w:tc>
        <w:tc>
          <w:tcPr>
            <w:tcW w:w="992" w:type="dxa"/>
            <w:vAlign w:val="center"/>
          </w:tcPr>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25分</w:t>
            </w:r>
          </w:p>
        </w:tc>
        <w:tc>
          <w:tcPr>
            <w:tcW w:w="1559"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资格及</w:t>
            </w:r>
          </w:p>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w:t>
            </w:r>
          </w:p>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（25分）</w:t>
            </w:r>
          </w:p>
        </w:tc>
        <w:tc>
          <w:tcPr>
            <w:tcW w:w="6946" w:type="dxa"/>
            <w:vAlign w:val="center"/>
          </w:tcPr>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满足资格审查强制性资格条件要求的，得基本分15分； </w:t>
            </w:r>
          </w:p>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在满足最低要求的基础上，每有1项公路工程试验检测的项目负责人业绩加10分，最多加10分。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2.2.4（5）</w:t>
            </w:r>
          </w:p>
        </w:tc>
        <w:tc>
          <w:tcPr>
            <w:tcW w:w="992" w:type="dxa"/>
            <w:vAlign w:val="center"/>
          </w:tcPr>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w:t>
            </w:r>
          </w:p>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w:t>
            </w:r>
          </w:p>
          <w:p>
            <w:pPr>
              <w:pageBreakBefore w:val="0"/>
              <w:kinsoku/>
              <w:wordWrap/>
              <w:overflowPunct/>
              <w:topLinePunct w:val="0"/>
              <w:bidi w:val="0"/>
              <w:spacing w:line="360" w:lineRule="exact"/>
              <w:ind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20分</w:t>
            </w:r>
          </w:p>
        </w:tc>
        <w:tc>
          <w:tcPr>
            <w:tcW w:w="1559" w:type="dxa"/>
            <w:vAlign w:val="center"/>
          </w:tcPr>
          <w:p>
            <w:pPr>
              <w:pStyle w:val="16"/>
              <w:pageBreakBefore w:val="0"/>
              <w:kinsoku/>
              <w:wordWrap/>
              <w:overflowPunct/>
              <w:topLinePunct w:val="0"/>
              <w:bidi w:val="0"/>
              <w:spacing w:line="360" w:lineRule="exact"/>
              <w:ind w:firstLine="315" w:firstLineChars="1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20分</w:t>
            </w:r>
          </w:p>
        </w:tc>
        <w:tc>
          <w:tcPr>
            <w:tcW w:w="6946" w:type="dxa"/>
            <w:vAlign w:val="center"/>
          </w:tcPr>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满足资格审查强制性资格条件要求，得基本分12分；</w:t>
            </w:r>
          </w:p>
          <w:p>
            <w:pPr>
              <w:pageBreakBefore w:val="0"/>
              <w:tabs>
                <w:tab w:val="left" w:pos="0"/>
              </w:tabs>
              <w:kinsoku/>
              <w:wordWrap/>
              <w:overflowPunct/>
              <w:topLinePunct w:val="0"/>
              <w:bidi w:val="0"/>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在满足最低要求的基础上，每增加1公里二级及以上公路新建或改扩建工程试验检测业绩加2分，最多加8分。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5"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2.2.4（6）</w:t>
            </w:r>
          </w:p>
        </w:tc>
        <w:tc>
          <w:tcPr>
            <w:tcW w:w="992" w:type="dxa"/>
            <w:vAlign w:val="center"/>
          </w:tcPr>
          <w:p>
            <w:pPr>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评标价</w:t>
            </w:r>
          </w:p>
        </w:tc>
        <w:tc>
          <w:tcPr>
            <w:tcW w:w="1559" w:type="dxa"/>
            <w:vAlign w:val="center"/>
          </w:tcPr>
          <w:p>
            <w:pPr>
              <w:pStyle w:val="16"/>
              <w:pageBreakBefore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10 分</w:t>
            </w:r>
          </w:p>
        </w:tc>
        <w:tc>
          <w:tcPr>
            <w:tcW w:w="6946" w:type="dxa"/>
          </w:tcPr>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评标价得分计算公式示例：</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（1）如果投标人的评标价＞评标基准价，则评标价得分=F-偏差率*100*E</w:t>
            </w:r>
            <w:r>
              <w:rPr>
                <w:rFonts w:hint="eastAsia" w:asciiTheme="minorEastAsia" w:hAnsiTheme="minorEastAsia" w:eastAsiaTheme="minorEastAsia" w:cstheme="minorEastAsia"/>
                <w:color w:val="auto"/>
                <w:sz w:val="21"/>
                <w:szCs w:val="21"/>
                <w:vertAlign w:val="subscript"/>
              </w:rPr>
              <w:t>1</w:t>
            </w:r>
            <w:r>
              <w:rPr>
                <w:rFonts w:hint="eastAsia" w:asciiTheme="minorEastAsia" w:hAnsiTheme="minorEastAsia" w:eastAsiaTheme="minorEastAsia" w:cstheme="minorEastAsia"/>
                <w:color w:val="auto"/>
                <w:sz w:val="21"/>
                <w:szCs w:val="21"/>
              </w:rPr>
              <w:t>；</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vertAlign w:val="subscript"/>
              </w:rPr>
            </w:pPr>
            <w:r>
              <w:rPr>
                <w:rFonts w:hint="eastAsia" w:asciiTheme="minorEastAsia" w:hAnsiTheme="minorEastAsia" w:eastAsiaTheme="minorEastAsia" w:cstheme="minorEastAsia"/>
                <w:color w:val="auto"/>
                <w:sz w:val="21"/>
                <w:szCs w:val="21"/>
              </w:rPr>
              <w:t>（2）如果投标人的评标价≤评标基准价，则评标价得分=F+偏差率*100*E</w:t>
            </w:r>
            <w:r>
              <w:rPr>
                <w:rFonts w:hint="eastAsia" w:asciiTheme="minorEastAsia" w:hAnsiTheme="minorEastAsia" w:eastAsiaTheme="minorEastAsia" w:cstheme="minorEastAsia"/>
                <w:color w:val="auto"/>
                <w:sz w:val="21"/>
                <w:szCs w:val="21"/>
                <w:vertAlign w:val="subscript"/>
              </w:rPr>
              <w:t>2.</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其中：F是评标价所占的权重分值，E</w:t>
            </w:r>
            <w:r>
              <w:rPr>
                <w:rFonts w:hint="eastAsia" w:asciiTheme="minorEastAsia" w:hAnsiTheme="minorEastAsia" w:eastAsiaTheme="minorEastAsia" w:cstheme="minorEastAsia"/>
                <w:color w:val="auto"/>
                <w:sz w:val="21"/>
                <w:szCs w:val="21"/>
                <w:vertAlign w:val="subscript"/>
              </w:rPr>
              <w:t>1</w:t>
            </w:r>
            <w:r>
              <w:rPr>
                <w:rFonts w:hint="eastAsia" w:asciiTheme="minorEastAsia" w:hAnsiTheme="minorEastAsia" w:eastAsiaTheme="minorEastAsia" w:cstheme="minorEastAsia"/>
                <w:color w:val="auto"/>
                <w:sz w:val="21"/>
                <w:szCs w:val="21"/>
              </w:rPr>
              <w:t>是评标价每高于评标基准价一个百分点的扣分制，E</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是评标价每低于评标基准价一个百分点的扣分值；其中，F=10，E</w:t>
            </w:r>
            <w:r>
              <w:rPr>
                <w:rFonts w:hint="eastAsia" w:asciiTheme="minorEastAsia" w:hAnsiTheme="minorEastAsia" w:eastAsiaTheme="minorEastAsia" w:cstheme="minorEastAsia"/>
                <w:color w:val="auto"/>
                <w:sz w:val="21"/>
                <w:szCs w:val="21"/>
                <w:vertAlign w:val="subscript"/>
              </w:rPr>
              <w:t>1</w:t>
            </w:r>
            <w:r>
              <w:rPr>
                <w:rFonts w:hint="eastAsia" w:asciiTheme="minorEastAsia" w:hAnsiTheme="minorEastAsia" w:eastAsiaTheme="minorEastAsia" w:cstheme="minorEastAsia"/>
                <w:color w:val="auto"/>
                <w:sz w:val="21"/>
                <w:szCs w:val="21"/>
              </w:rPr>
              <w:t>=0.2、E</w:t>
            </w:r>
            <w:r>
              <w:rPr>
                <w:rFonts w:hint="eastAsia" w:asciiTheme="minorEastAsia" w:hAnsiTheme="minorEastAsia" w:eastAsiaTheme="minorEastAsia" w:cstheme="minorEastAsia"/>
                <w:color w:val="auto"/>
                <w:sz w:val="21"/>
                <w:szCs w:val="21"/>
                <w:vertAlign w:val="subscript"/>
              </w:rPr>
              <w:t>2</w:t>
            </w:r>
            <w:r>
              <w:rPr>
                <w:rFonts w:hint="eastAsia" w:asciiTheme="minorEastAsia" w:hAnsiTheme="minorEastAsia" w:eastAsiaTheme="minorEastAsia" w:cstheme="minorEastAsia"/>
                <w:color w:val="auto"/>
                <w:sz w:val="21"/>
                <w:szCs w:val="21"/>
              </w:rPr>
              <w:t>=0.1。</w:t>
            </w:r>
          </w:p>
        </w:tc>
      </w:tr>
    </w:tbl>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tbl>
      <w:tblPr>
        <w:tblStyle w:val="8"/>
        <w:tblW w:w="990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trPr>
        <w:tc>
          <w:tcPr>
            <w:tcW w:w="9903" w:type="dxa"/>
          </w:tcPr>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 评标委员会首先对投标文件第一个信封按照本章第2.1款规定进行初步评审（形式评审与响应性评审、资格评审），并对通过第一个信封初步评审的投标文件按照本章第2.2款规定的评分标准进行第一个信封详细评审及评分。</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各评分因素得分以评标委员会各成员的打分平均值确定</w:t>
            </w:r>
            <w:r>
              <w:rPr>
                <w:rFonts w:hint="eastAsia" w:asciiTheme="minorEastAsia" w:hAnsiTheme="minorEastAsia" w:eastAsiaTheme="minorEastAsia" w:cstheme="minorEastAsia"/>
                <w:color w:val="auto"/>
                <w:sz w:val="21"/>
                <w:szCs w:val="21"/>
                <w:lang w:eastAsia="zh-CN"/>
              </w:rPr>
              <w:t>，该平均值以去掉一个最高值和一个最低值计算</w:t>
            </w:r>
            <w:r>
              <w:rPr>
                <w:rFonts w:hint="eastAsia" w:asciiTheme="minorEastAsia" w:hAnsiTheme="minorEastAsia" w:eastAsiaTheme="minorEastAsia" w:cstheme="minorEastAsia"/>
                <w:color w:val="auto"/>
                <w:sz w:val="21"/>
                <w:szCs w:val="21"/>
              </w:rPr>
              <w:t>；各评分因素（评标价和企业信用评分项除外）得分一般不得低于其权重分值的60%。评标委员会成员对某一项评分因素的评分低于权重分值60%的，应在评标报告中作出说明。</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 所有通过第一个信封初步评审的投标人进入第二个信封的评审，其第二个信封在监督人的监督下进行开标；未通过第一个信封初步评审的投标人不进入第二个信封的评审，其第二个信封原封退回，不参与第二个信封的开标。</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 评标委员会对投标文件第二个信封按照本章第2.1款规定进行形式评审与响应性评审，对通过第二个信封形式评审与响应性评审的投标文件按照本章第2.2款规定的评分标准进行评标价评分，各投标人的最终得分为第一个信封与第二个信封得分之和（得分分值计算保留小数点后二位，小数点后第三位“四舍五入”），评标委员会按最终得分由高到低顺序确定中标候选人推荐排序，但投标报价低于其成本的除外。</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当两家及以上投标人的最终得分相等时，若评标价不相等，以评标价较低者优先。</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当两家及以上投标人的最终得分相等且评标价也相等时，则依次按照“试验检测方案”、“项目负责人”、“业绩”评审各单项得分由高到低的顺序进行先后排序。</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 评标委员会按照本条第1.3款中确定的先后排序推荐3名中标候选人。</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 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16"/>
              <w:pageBreakBefore w:val="0"/>
              <w:kinsoku/>
              <w:wordWrap/>
              <w:overflowPunct/>
              <w:topLinePunct w:val="0"/>
              <w:bidi w:val="0"/>
              <w:spacing w:line="360" w:lineRule="exact"/>
              <w:ind w:firstLine="420"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bl>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p>
    <w:p>
      <w:pPr>
        <w:pStyle w:val="3"/>
        <w:keepNext w:val="0"/>
        <w:keepLines w:val="0"/>
        <w:pageBreakBefore w:val="0"/>
        <w:kinsoku/>
        <w:wordWrap/>
        <w:overflowPunct/>
        <w:topLinePunct w:val="0"/>
        <w:bidi w:val="0"/>
        <w:spacing w:before="0" w:after="0"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sz w:val="21"/>
          <w:szCs w:val="21"/>
        </w:rPr>
        <w:br w:type="page"/>
      </w:r>
    </w:p>
    <w:p>
      <w:pPr>
        <w:pageBreakBefore w:val="0"/>
        <w:kinsoku/>
        <w:wordWrap/>
        <w:overflowPunct/>
        <w:topLinePunct w:val="0"/>
        <w:bidi w:val="0"/>
        <w:spacing w:line="360" w:lineRule="exact"/>
        <w:jc w:val="center"/>
        <w:textAlignment w:val="auto"/>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56" w:name="_Toc67485322"/>
      <w:r>
        <w:rPr>
          <w:rFonts w:hint="eastAsia" w:asciiTheme="minorEastAsia" w:hAnsiTheme="minorEastAsia" w:eastAsiaTheme="minorEastAsia" w:cstheme="minorEastAsia"/>
          <w:color w:val="000000" w:themeColor="text1"/>
          <w:sz w:val="21"/>
          <w:szCs w:val="21"/>
          <w14:textFill>
            <w14:solidFill>
              <w14:schemeClr w14:val="tx1"/>
            </w14:solidFill>
          </w14:textFill>
        </w:rPr>
        <w:t>评标办法正文</w:t>
      </w:r>
      <w:bookmarkEnd w:id="56"/>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1.评标方法  </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2.评审标准</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2.1 初步评审标准</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2.1.1 形式评审标准：见评标办法前附表。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 资格评审标准：见评标办法前附表（适用于未进行资格预审的）。</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 资格评审标准：见资格预审文件第三章“资格审查办法”详细审查标准（适用于已进行资格预审的）。</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2.1.3 响应性评审标准：见评标办法前附表。</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 分值构成与评分标准</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2.2.1 分值构成</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（1）检测方案：见评标办法前附表；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（2）企业信用：见评标办法前附表； </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（3）项目负责人：见评标办法前附表；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（4）企业业绩：见评标办法前附表；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（5）评标价：见评标办法前附表。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2.2.2 评标基准价计算</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评标基准价计算方法：见评标办法前附表。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2.2.3 评标价的偏差率计算</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评标价的偏差率计算公式：见评标办法前附表。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2.2.4 评分标准</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（1）检测方案：见评标办法前附表；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（2）企业信用：见评标办法前附表； </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（3）项目负责人：见评标办法前附表；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（4）企业业绩：见评标办法前附表；</w:t>
      </w:r>
    </w:p>
    <w:p>
      <w:pPr>
        <w:pStyle w:val="16"/>
        <w:pageBreakBefore w:val="0"/>
        <w:kinsoku/>
        <w:wordWrap/>
        <w:overflowPunct/>
        <w:topLinePunct w:val="0"/>
        <w:bidi w:val="0"/>
        <w:spacing w:line="360" w:lineRule="exact"/>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（5）评标价：见评标办法前附表。</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3.评标程序</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3.1 第一个信封初步评审</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 评标委员会依据本章第2.1.1项、第2.1.3项规定的评审标准对投标文件第一个信封（商务及技术文件）进行初步评审。有一项不符合评审标准的，评审委员会应否决其投标。当投标人资格预审申请文件的内容发生重大变化时，评标委员会依据本章第2.1.2项规定的标准对其更新资料进行评审。（适用于已进行资格预审的）</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3.2 第一个信封详细评审</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 评标委员会按本章第2.2款规定的量化因素和分值进行打分，并计算出各投标人的商务和技术得分。</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（1）按本章第2.2.4项（1）目规定的评审因素和分值对检测方案部分计算出得分A；</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（2）按本章第2.2.4项（2）目规定的评审因素和分值对企业信用部分计算出得分B； </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（3）按本章第2.2.4项（3）目规定的评审因素和分值对项目负责人部分计算出得分D；</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（4）按本章第2.2.4项（4）目规定的评审因素和分值对企业业绩部分计算出得分E；</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 投标人的商务和技术得分分值计算保留小数点后两位，小数点后第三位“四舍五入”。</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 xml:space="preserve">3.2.3 投标人的商务和技术得分=A+B+D+E。 </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3.3 第二个信封开标</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3.4 第二个信封初步评审 </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3.4.1 评标委员会依据本章第2.1.1项、第2.1.3项规定的评审标准对投标文件第二个信封（报价文件）进行初步评审。有一项不符合评审标准的，评标委员会应否决其投标。</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3.4.2 投标报价有算术错误的，评标委员会按以下原则对投标报价进行修正，修正的价格经投标人书面确认后具有约束力。投标人不接受修正价格的，评标委员会应否决其投标。</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（1）投标文件中的大写金额与小写金额不一致的，以大写金额为准；</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（2）总价金额与依据单价计算</w:t>
      </w:r>
      <w:r>
        <w:rPr>
          <w:rFonts w:hint="eastAsia" w:asciiTheme="minorEastAsia" w:hAnsiTheme="minorEastAsia" w:eastAsiaTheme="minorEastAsia" w:cstheme="minorEastAsia"/>
          <w:color w:val="auto"/>
          <w:sz w:val="21"/>
          <w:szCs w:val="21"/>
          <w:lang w:eastAsia="zh-CN"/>
        </w:rPr>
        <w:t>出</w:t>
      </w:r>
      <w:r>
        <w:rPr>
          <w:rFonts w:hint="eastAsia" w:asciiTheme="minorEastAsia" w:hAnsiTheme="minorEastAsia" w:eastAsiaTheme="minorEastAsia" w:cstheme="minorEastAsia"/>
          <w:color w:val="auto"/>
          <w:sz w:val="21"/>
          <w:szCs w:val="21"/>
        </w:rPr>
        <w:t>的结果不一致的，以单价金额为准修正总价，但单价金额小数点有明显错误的除外；</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（3）当单价与数量相乘不等于合价时，以单价计算为准，如果单价由有明显的小数点位置差错，应以标出的合价为准，同时对单价予以修正；</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（4）当各子目的合价累计不等于总价时，应以各子目合价累计数为准，修正总价。</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3.4.3 修正后的最终投标报价若超过最高投标限价（如有），评标委员会应否决其投标。</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3.4.4 修正后的最终投标报价仅作为签订合同的一个依据，不参与评标价得分的计算。 </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3.5 第二个信封详细评审</w:t>
      </w:r>
    </w:p>
    <w:p>
      <w:pPr>
        <w:pStyle w:val="16"/>
        <w:pageBreakBefore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3.5.1 评标委员会按本章第2.2.4项（3）目规定的评审因素和分值对评标价计算出得分C。评标价得分分值计算保留小数点后两位，小数点后第三位“四舍五入”。 </w:t>
      </w:r>
    </w:p>
    <w:p>
      <w:pPr>
        <w:pStyle w:val="16"/>
        <w:pageBreakBefore w:val="0"/>
        <w:kinsoku/>
        <w:wordWrap/>
        <w:overflowPunct/>
        <w:topLinePunct w:val="0"/>
        <w:bidi w:val="0"/>
        <w:spacing w:line="360" w:lineRule="exact"/>
        <w:ind w:firstLine="46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3.5.2 投标人综合得分=投标人的商务和技术得分+C。</w:t>
      </w:r>
    </w:p>
    <w:p>
      <w:pPr>
        <w:pStyle w:val="16"/>
        <w:pageBreakBefore w:val="0"/>
        <w:kinsoku/>
        <w:wordWrap/>
        <w:overflowPunct/>
        <w:topLinePunct w:val="0"/>
        <w:bidi w:val="0"/>
        <w:spacing w:line="360" w:lineRule="exact"/>
        <w:ind w:firstLine="46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价，并否决其投标。</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3.6 投标文件相关信息的核查</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3.6.1评标委员会应对在评标过程中发现的投标人与投标人之间、投标人与招标人之间存在的串通投标的情形进行评审和认定。投标人存在串通投标、弄虚作假、行贿等违法行为的，评标委员会应否决其投标。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（1）有下列情形之一的，属于投标人相互串通投标：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a.投标人之间协商投标报价等投标文件的实质性内容；</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b.投标人之间约定中标人；</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c.投标人之间约定部门投标人放弃投标或中标；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d.属于同一集团、协会、商会等组织成员的投标人按照该组织要求协同投标；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e.投标人之间为谋求中标或排斥特定投标人而采取的其他联合行动。</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（2）有下列情形之一的，视为投标人相互串通投标：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a.不同投标人的投标文件由同一单位或个人编制；</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b.不同投标人委托同一单位或个人办理投标事宜；</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c.不同投标人的投标文件载明的项目管理成员为同一人；</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d.不同投标人的投标文件异常一致或投标报价呈规律性差异；</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e.不同投标人的投标文件相互混装；</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f.不同投标人的投标保证金从同一单位或个人的账户转出。</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（3）由下列情形之一的，属于招标人与投标人串通投标: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a.招标人在开标前开启投标文件并将有关信息泄漏给其他投标人；</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b.招标人直接或间接向投标人泄漏标底、评标委员会成员信息；</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c.招标人明示或暗示投标人压低或抬高投标报价；</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d.招标人授意投标人撤换、修改投标文件；</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e.招标人明示或暗示投标人为特定投标人中标提供方便。</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招标人与投标人为谋求特定投标人中标而采取的其他串通行为。</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（4）投标人有下列情形之一的，属于弄虚作假的行为：</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使用通过受让或租借等方式获取的资格、资质证书投标；</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使用伪造、变造的许可证件；</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提供虚假的业绩；</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 提供虚假的项目负责人或主要技术人员简历、劳动关系证明；</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提供虚假的信用状况；</w:t>
      </w:r>
    </w:p>
    <w:p>
      <w:pPr>
        <w:pStyle w:val="16"/>
        <w:pageBreakBefore w:val="0"/>
        <w:kinsoku/>
        <w:wordWrap/>
        <w:overflowPunct/>
        <w:topLinePunct w:val="0"/>
        <w:bidi w:val="0"/>
        <w:spacing w:line="360" w:lineRule="exact"/>
        <w:ind w:firstLine="525" w:firstLineChars="2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其他弄虚作假的行为。</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3.7 投标文件的澄清和说明</w:t>
      </w:r>
    </w:p>
    <w:p>
      <w:pPr>
        <w:pStyle w:val="16"/>
        <w:pageBreakBefore w:val="0"/>
        <w:kinsoku/>
        <w:wordWrap/>
        <w:overflowPunct/>
        <w:topLinePunct w:val="0"/>
        <w:bidi w:val="0"/>
        <w:spacing w:line="36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3.7.1 在评标过程中，评标委员会可以书面形式要求投标人对投标文件中含义不明确的内容、明显名字或计算错误进行书面澄清或说明。评标委员会不接受投标人主动提出的澄清、说明。投标人不按评标委员会要求澄清或说明的，评标委员会应否决其投标。</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3.7.2 澄清和说明不得超出投标文件的范围或改变投标文件的实质性内容（算术性错误的修正除外）。投标人的书面澄清、说明属于投标文件的组成部分。</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3.7.3 评标委员会不得暗示或诱导投标人作出澄清、说明，对投标人提交的澄清、说明有疑问的，可以要求投标人进一步澄清或说明，直至满足评标委员会的要求。</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3.7.4 凡超出招标文件规定的或给发包人带来</w:t>
      </w:r>
      <w:r>
        <w:rPr>
          <w:rFonts w:hint="eastAsia" w:asciiTheme="minorEastAsia" w:hAnsiTheme="minorEastAsia" w:eastAsiaTheme="minorEastAsia" w:cstheme="minorEastAsia"/>
          <w:color w:val="auto"/>
          <w:sz w:val="21"/>
          <w:szCs w:val="21"/>
          <w:lang w:eastAsia="zh-CN"/>
        </w:rPr>
        <w:t>未曾</w:t>
      </w:r>
      <w:r>
        <w:rPr>
          <w:rFonts w:hint="eastAsia" w:asciiTheme="minorEastAsia" w:hAnsiTheme="minorEastAsia" w:eastAsiaTheme="minorEastAsia" w:cstheme="minorEastAsia"/>
          <w:color w:val="auto"/>
          <w:sz w:val="21"/>
          <w:szCs w:val="21"/>
        </w:rPr>
        <w:t>要求的利益的变化、偏差或其他因素在评标时不予考虑。</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3.8 不得否决投标的情形 </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投标文件存在第二章“投标人须知”第1.12.3项所列情形的，均视为细微偏差，评标委员会不得否决投标人的投标，应按照第二章“投标人须知”第1.12.4项规定的原则处理。</w:t>
      </w:r>
    </w:p>
    <w:p>
      <w:pPr>
        <w:pStyle w:val="16"/>
        <w:pageBreakBefore w:val="0"/>
        <w:kinsoku/>
        <w:wordWrap/>
        <w:overflowPunct/>
        <w:topLinePunct w:val="0"/>
        <w:bidi w:val="0"/>
        <w:spacing w:line="360" w:lineRule="exact"/>
        <w:ind w:firstLine="105" w:firstLineChars="5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3.9 评标结果</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3.9.1 除第二章“投标人须知”前附表授权直接确定中标人外，评标委员会按照得分由高到低的顺序推荐中标候选人，并表明排序。</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3.9.2 评标委员会完成评标后，应向招标人提交书面评标报告。</w:t>
      </w: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Style w:val="16"/>
        <w:pageBreakBefore w:val="0"/>
        <w:kinsoku/>
        <w:wordWrap/>
        <w:overflowPunct/>
        <w:topLinePunct w:val="0"/>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9．公开时间</w:t>
      </w:r>
    </w:p>
    <w:p>
      <w:pPr>
        <w:keepNext w:val="0"/>
        <w:pageBreakBefore w:val="0"/>
        <w:kinsoku/>
        <w:wordWrap/>
        <w:overflowPunct/>
        <w:topLinePunct w:val="0"/>
        <w:bidi w:val="0"/>
        <w:snapToGrid w:val="0"/>
        <w:spacing w:line="360" w:lineRule="exact"/>
        <w:ind w:firstLine="420" w:firstLineChars="200"/>
        <w:textAlignment w:val="auto"/>
        <w:rPr>
          <w:rFonts w:hint="eastAsia" w:asciiTheme="minorEastAsia" w:hAnsiTheme="minorEastAsia" w:eastAsiaTheme="minorEastAsia" w:cstheme="minorEastAsia"/>
          <w:b w:val="0"/>
          <w:bCs/>
          <w:color w:val="auto"/>
          <w:sz w:val="21"/>
          <w:szCs w:val="21"/>
          <w:u w:val="none"/>
        </w:rPr>
      </w:pPr>
      <w:r>
        <w:rPr>
          <w:rFonts w:hint="eastAsia" w:asciiTheme="minorEastAsia" w:hAnsiTheme="minorEastAsia" w:eastAsiaTheme="minorEastAsia" w:cstheme="minorEastAsia"/>
          <w:b w:val="0"/>
          <w:bCs/>
          <w:color w:val="auto"/>
          <w:sz w:val="21"/>
          <w:szCs w:val="21"/>
          <w:u w:val="none"/>
        </w:rPr>
        <w:t>本次招标文件关键内容信息公开时间至202</w:t>
      </w:r>
      <w:r>
        <w:rPr>
          <w:rFonts w:hint="eastAsia" w:asciiTheme="minorEastAsia" w:hAnsiTheme="minorEastAsia" w:eastAsiaTheme="minorEastAsia" w:cstheme="minorEastAsia"/>
          <w:b w:val="0"/>
          <w:bCs/>
          <w:color w:val="auto"/>
          <w:sz w:val="21"/>
          <w:szCs w:val="21"/>
          <w:u w:val="none"/>
          <w:lang w:val="en-US" w:eastAsia="zh-CN"/>
        </w:rPr>
        <w:t>1</w:t>
      </w:r>
      <w:r>
        <w:rPr>
          <w:rFonts w:hint="eastAsia" w:asciiTheme="minorEastAsia" w:hAnsiTheme="minorEastAsia" w:eastAsiaTheme="minorEastAsia" w:cstheme="minorEastAsia"/>
          <w:b w:val="0"/>
          <w:bCs/>
          <w:color w:val="auto"/>
          <w:sz w:val="21"/>
          <w:szCs w:val="21"/>
          <w:u w:val="none"/>
        </w:rPr>
        <w:t>年</w:t>
      </w:r>
      <w:r>
        <w:rPr>
          <w:rFonts w:hint="eastAsia" w:asciiTheme="minorEastAsia" w:hAnsiTheme="minorEastAsia" w:eastAsiaTheme="minorEastAsia" w:cstheme="minorEastAsia"/>
          <w:b w:val="0"/>
          <w:bCs/>
          <w:color w:val="000000" w:themeColor="text1"/>
          <w:sz w:val="21"/>
          <w:szCs w:val="21"/>
          <w:u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u w:val="none"/>
          <w14:textFill>
            <w14:solidFill>
              <w14:schemeClr w14:val="tx1"/>
            </w14:solidFill>
          </w14:textFill>
        </w:rPr>
        <w:t>月</w:t>
      </w:r>
      <w:r>
        <w:rPr>
          <w:rFonts w:hint="eastAsia" w:asciiTheme="minorEastAsia" w:hAnsiTheme="minorEastAsia" w:eastAsiaTheme="minorEastAsia" w:cstheme="minorEastAsia"/>
          <w:b w:val="0"/>
          <w:bCs/>
          <w:color w:val="000000" w:themeColor="text1"/>
          <w:sz w:val="21"/>
          <w:szCs w:val="21"/>
          <w:u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auto"/>
          <w:sz w:val="21"/>
          <w:szCs w:val="21"/>
          <w:u w:val="none"/>
        </w:rPr>
        <w:t>日结束。</w:t>
      </w:r>
      <w:bookmarkStart w:id="57" w:name="_Toc455238563"/>
    </w:p>
    <w:p>
      <w:pPr>
        <w:keepNext w:val="0"/>
        <w:pageBreakBefore w:val="0"/>
        <w:kinsoku/>
        <w:wordWrap/>
        <w:overflowPunct/>
        <w:topLinePunct w:val="0"/>
        <w:bidi w:val="0"/>
        <w:spacing w:beforeLines="50" w:afterLines="50" w:line="360" w:lineRule="exact"/>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10．联系方式</w:t>
      </w:r>
      <w:bookmarkEnd w:id="57"/>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招标人：延边珲乌公路改建项目建设办公室</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地  址：吉林省延吉市公园路5568号</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邮政编码：133000</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联系人：程昭钦</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电  话：0433-3135706</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招标代理机构：吉林建宇工程咨询有限公司</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地  址：延吉市人民路2239-3001号</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邮政编码：133000</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联系人：焦艳</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电  话：0433-8316525</w:t>
      </w:r>
    </w:p>
    <w:p>
      <w:pPr>
        <w:keepNext w:val="0"/>
        <w:pageBreakBefore w:val="0"/>
        <w:kinsoku/>
        <w:wordWrap/>
        <w:overflowPunct/>
        <w:topLinePunct w:val="0"/>
        <w:bidi w:val="0"/>
        <w:adjustRightInd w:val="0"/>
        <w:snapToGrid w:val="0"/>
        <w:spacing w:before="72" w:beforeLines="30" w:after="72" w:afterLines="30"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电子邮箱：yjsjy8543@163.com</w:t>
      </w:r>
    </w:p>
    <w:p>
      <w:pPr>
        <w:keepNext w:val="0"/>
        <w:pageBreakBefore w:val="0"/>
        <w:kinsoku/>
        <w:wordWrap/>
        <w:overflowPunct/>
        <w:topLinePunct w:val="0"/>
        <w:bidi w:val="0"/>
        <w:spacing w:line="360" w:lineRule="exact"/>
        <w:ind w:firstLine="6300" w:firstLineChars="3000"/>
        <w:textAlignment w:val="auto"/>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highlight w:val="none"/>
          <w:u w:val="none"/>
        </w:rPr>
        <w:t>202</w:t>
      </w:r>
      <w:r>
        <w:rPr>
          <w:rFonts w:hint="eastAsia" w:asciiTheme="minorEastAsia" w:hAnsiTheme="minorEastAsia" w:eastAsiaTheme="minorEastAsia" w:cstheme="minorEastAsia"/>
          <w:b w:val="0"/>
          <w:bCs/>
          <w:color w:val="auto"/>
          <w:sz w:val="21"/>
          <w:szCs w:val="21"/>
          <w:highlight w:val="none"/>
          <w:u w:val="none"/>
          <w:lang w:val="en-US" w:eastAsia="zh-CN"/>
        </w:rPr>
        <w:t>1</w:t>
      </w:r>
      <w:r>
        <w:rPr>
          <w:rFonts w:hint="eastAsia" w:asciiTheme="minorEastAsia" w:hAnsiTheme="minorEastAsia" w:eastAsiaTheme="minorEastAsia" w:cstheme="minorEastAsia"/>
          <w:b w:val="0"/>
          <w:bCs/>
          <w:color w:val="auto"/>
          <w:sz w:val="21"/>
          <w:szCs w:val="21"/>
          <w:highlight w:val="none"/>
          <w:u w:val="none"/>
        </w:rPr>
        <w:t>年</w:t>
      </w:r>
      <w:r>
        <w:rPr>
          <w:rFonts w:hint="eastAsia" w:asciiTheme="minorEastAsia" w:hAnsiTheme="minorEastAsia" w:eastAsiaTheme="minorEastAsia" w:cstheme="minorEastAsia"/>
          <w:b w:val="0"/>
          <w:bCs/>
          <w:color w:val="auto"/>
          <w:sz w:val="21"/>
          <w:szCs w:val="21"/>
          <w:highlight w:val="none"/>
          <w:u w:val="none"/>
          <w:lang w:val="en-US" w:eastAsia="zh-CN"/>
        </w:rPr>
        <w:t>4</w:t>
      </w:r>
      <w:r>
        <w:rPr>
          <w:rFonts w:hint="eastAsia" w:asciiTheme="minorEastAsia" w:hAnsiTheme="minorEastAsia" w:eastAsiaTheme="minorEastAsia" w:cstheme="minorEastAsia"/>
          <w:b w:val="0"/>
          <w:bCs/>
          <w:color w:val="auto"/>
          <w:sz w:val="21"/>
          <w:szCs w:val="21"/>
          <w:highlight w:val="none"/>
          <w:u w:val="none"/>
        </w:rPr>
        <w:t>月</w:t>
      </w:r>
      <w:r>
        <w:rPr>
          <w:rFonts w:hint="eastAsia" w:asciiTheme="minorEastAsia" w:hAnsiTheme="minorEastAsia" w:eastAsiaTheme="minorEastAsia" w:cstheme="minorEastAsia"/>
          <w:b w:val="0"/>
          <w:bCs/>
          <w:color w:val="auto"/>
          <w:sz w:val="21"/>
          <w:szCs w:val="21"/>
          <w:highlight w:val="none"/>
          <w:u w:val="none"/>
          <w:lang w:val="en-US" w:eastAsia="zh-CN"/>
        </w:rPr>
        <w:t>21</w:t>
      </w:r>
      <w:r>
        <w:rPr>
          <w:rFonts w:hint="eastAsia" w:asciiTheme="minorEastAsia" w:hAnsiTheme="minorEastAsia" w:eastAsiaTheme="minorEastAsia" w:cstheme="minorEastAsia"/>
          <w:b w:val="0"/>
          <w:bCs/>
          <w:color w:val="auto"/>
          <w:sz w:val="21"/>
          <w:szCs w:val="21"/>
          <w:highlight w:val="none"/>
          <w:u w:val="none"/>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0515"/>
    </w:sdtPr>
    <w:sdtContent>
      <w:p>
        <w:pPr>
          <w:pStyle w:val="5"/>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7"/>
        <w:rPr>
          <w:color w:val="auto"/>
        </w:rPr>
      </w:pPr>
      <w:r>
        <w:rPr>
          <w:rStyle w:val="10"/>
          <w:color w:val="auto"/>
        </w:rPr>
        <w:footnoteRef/>
      </w:r>
      <w:r>
        <w:rPr>
          <w:color w:val="auto"/>
        </w:rPr>
        <w:t xml:space="preserve"> </w:t>
      </w:r>
      <w:r>
        <w:rPr>
          <w:rFonts w:hint="eastAsia" w:cs="宋体"/>
          <w:color w:val="auto"/>
        </w:rPr>
        <w:t>如本项目招标采用第二章“投标人须知”第</w:t>
      </w:r>
      <w:r>
        <w:rPr>
          <w:color w:val="auto"/>
        </w:rPr>
        <w:t>3.2.1</w:t>
      </w:r>
      <w:r>
        <w:rPr>
          <w:rFonts w:hint="eastAsia" w:cs="宋体"/>
          <w:color w:val="auto"/>
        </w:rPr>
        <w:t>项（</w:t>
      </w:r>
      <w:r>
        <w:rPr>
          <w:color w:val="auto"/>
        </w:rPr>
        <w:t>2</w:t>
      </w:r>
      <w:r>
        <w:rPr>
          <w:rFonts w:hint="eastAsia" w:cs="宋体"/>
          <w:color w:val="auto"/>
        </w:rPr>
        <w:t>）目规定的由投标人按照招标人提供的工程量清单填写本合同各工程子目的单价、合价和总额价方式，则评标委员会按照本章第</w:t>
      </w:r>
      <w:r>
        <w:rPr>
          <w:color w:val="auto"/>
        </w:rPr>
        <w:t>3.4.2</w:t>
      </w:r>
      <w:r>
        <w:rPr>
          <w:rFonts w:hint="eastAsia" w:cs="宋体"/>
          <w:color w:val="auto"/>
        </w:rPr>
        <w:t>项和第</w:t>
      </w:r>
      <w:r>
        <w:rPr>
          <w:color w:val="auto"/>
        </w:rPr>
        <w:t>3.4.3</w:t>
      </w:r>
      <w:r>
        <w:rPr>
          <w:rFonts w:hint="eastAsia" w:cs="宋体"/>
          <w:color w:val="auto"/>
        </w:rPr>
        <w:t>项的规定对投标人的投标报价进行修正。如本项目招标采用第二章“投标人须知”第</w:t>
      </w:r>
      <w:r>
        <w:rPr>
          <w:color w:val="auto"/>
        </w:rPr>
        <w:t>3.2.1</w:t>
      </w:r>
      <w:r>
        <w:rPr>
          <w:rFonts w:hint="eastAsia" w:cs="宋体"/>
          <w:color w:val="auto"/>
        </w:rPr>
        <w:t>项（</w:t>
      </w:r>
      <w:r>
        <w:rPr>
          <w:color w:val="auto"/>
        </w:rPr>
        <w:t>1</w:t>
      </w:r>
      <w:r>
        <w:rPr>
          <w:rFonts w:hint="eastAsia" w:cs="宋体"/>
          <w:color w:val="auto"/>
        </w:rPr>
        <w:t>）目规定的投标人按照招标人提供的工程量固化清单电子文件填写工程量清单的，无须按照本章第</w:t>
      </w:r>
      <w:r>
        <w:rPr>
          <w:color w:val="auto"/>
        </w:rPr>
        <w:t>3.4.2</w:t>
      </w:r>
      <w:r>
        <w:rPr>
          <w:rFonts w:hint="eastAsia" w:cs="宋体"/>
          <w:color w:val="auto"/>
        </w:rPr>
        <w:t>项和第</w:t>
      </w:r>
      <w:r>
        <w:rPr>
          <w:color w:val="auto"/>
        </w:rPr>
        <w:t>3.4.3</w:t>
      </w:r>
      <w:r>
        <w:rPr>
          <w:rFonts w:hint="eastAsia" w:cs="宋体"/>
          <w:color w:val="auto"/>
        </w:rPr>
        <w:t>项的规定对投标报价进行修正，第</w:t>
      </w:r>
      <w:r>
        <w:rPr>
          <w:color w:val="auto"/>
        </w:rPr>
        <w:t>3.4.2</w:t>
      </w:r>
      <w:r>
        <w:rPr>
          <w:rFonts w:hint="eastAsia" w:cs="宋体"/>
          <w:color w:val="auto"/>
        </w:rPr>
        <w:t>项至第</w:t>
      </w:r>
      <w:r>
        <w:rPr>
          <w:color w:val="auto"/>
        </w:rPr>
        <w:t>3.4.4</w:t>
      </w:r>
      <w:r>
        <w:rPr>
          <w:rFonts w:hint="eastAsia" w:cs="宋体"/>
          <w:color w:val="auto"/>
        </w:rPr>
        <w:t>项内容不适用。</w:t>
      </w:r>
    </w:p>
  </w:footnote>
  <w:footnote w:id="1">
    <w:p>
      <w:pPr>
        <w:pStyle w:val="7"/>
        <w:jc w:val="both"/>
        <w:rPr>
          <w:rFonts w:ascii="楷体" w:hAnsi="楷体" w:eastAsia="楷体"/>
        </w:rPr>
      </w:pPr>
      <w:r>
        <w:rPr>
          <w:rStyle w:val="10"/>
        </w:rPr>
        <w:footnoteRef/>
      </w:r>
      <w:r>
        <w:rPr>
          <w:rFonts w:hint="eastAsia" w:ascii="楷体" w:hAnsi="楷体" w:eastAsia="楷体"/>
        </w:rPr>
        <w:t xml:space="preserve"> a.“投标人须知前附表”用于进一步明确正文中的未尽事宜，凡“投标人须知前附表”对本章正文内容进行完善和补充的，均以“投标人须知前附表”为准；未进行完善和补充的，以本章正文内容为准。</w:t>
      </w:r>
    </w:p>
    <w:p>
      <w:pPr>
        <w:pStyle w:val="7"/>
        <w:ind w:firstLine="180" w:firstLineChars="100"/>
        <w:jc w:val="both"/>
        <w:rPr>
          <w:rFonts w:ascii="楷体" w:hAnsi="楷体" w:eastAsia="楷体"/>
        </w:rPr>
      </w:pPr>
      <w:r>
        <w:rPr>
          <w:rFonts w:hint="eastAsia" w:ascii="楷体" w:hAnsi="楷体" w:eastAsia="楷体"/>
        </w:rPr>
        <w:t>b.“投标人须知前附表”中的附录表格同属“投标人须知前附表”内容，具有同等效力。</w:t>
      </w:r>
    </w:p>
    <w:p>
      <w:pPr>
        <w:pStyle w:val="7"/>
        <w:ind w:firstLine="180" w:firstLineChars="100"/>
        <w:jc w:val="both"/>
        <w:rPr>
          <w:rFonts w:ascii="楷体" w:hAnsi="楷体" w:eastAsia="楷体"/>
        </w:rPr>
      </w:pPr>
      <w:r>
        <w:rPr>
          <w:rFonts w:hint="eastAsia" w:ascii="楷体" w:hAnsi="楷体" w:eastAsia="楷体"/>
        </w:rPr>
        <w:t>c.“投标人须知前附表”中条款号与本章正文条款号为对应关系。</w:t>
      </w:r>
    </w:p>
  </w:footnote>
  <w:footnote w:id="2">
    <w:p>
      <w:pPr>
        <w:pStyle w:val="7"/>
      </w:pPr>
      <w:r>
        <w:rPr>
          <w:rStyle w:val="10"/>
        </w:rPr>
        <w:footnoteRef/>
      </w:r>
      <w:r>
        <w:t xml:space="preserve"> </w:t>
      </w:r>
      <w:r>
        <w:rPr>
          <w:rFonts w:hint="eastAsia"/>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第3.4.2项和第3.4.3项的规定对投标报价进行修正，第3.4.2项至第3.4.4项内容不适用。</w:t>
      </w:r>
    </w:p>
  </w:footnote>
  <w:footnote w:id="3">
    <w:p>
      <w:pPr>
        <w:pStyle w:val="7"/>
        <w:jc w:val="both"/>
        <w:rPr>
          <w:rFonts w:ascii="楷体" w:hAnsi="楷体" w:eastAsia="楷体"/>
        </w:rPr>
      </w:pPr>
      <w:r>
        <w:rPr>
          <w:rStyle w:val="10"/>
        </w:rPr>
        <w:footnoteRef/>
      </w:r>
      <w:r>
        <w:rPr>
          <w:rFonts w:hint="eastAsia" w:ascii="楷体" w:hAnsi="楷体" w:eastAsia="楷体"/>
        </w:rPr>
        <w:t xml:space="preserve"> a.“投标人须知前附表”用于进一步明确正文中的未尽事宜，凡“投标人须知前附表”对本章正文内容进行完善和补充的，均以“投标人须知前附表”为准；未进行完善和补充的，以本章正文内容为准。</w:t>
      </w:r>
    </w:p>
    <w:p>
      <w:pPr>
        <w:pStyle w:val="7"/>
        <w:ind w:firstLine="180" w:firstLineChars="100"/>
        <w:jc w:val="both"/>
        <w:rPr>
          <w:rFonts w:ascii="楷体" w:hAnsi="楷体" w:eastAsia="楷体"/>
        </w:rPr>
      </w:pPr>
      <w:r>
        <w:rPr>
          <w:rFonts w:hint="eastAsia" w:ascii="楷体" w:hAnsi="楷体" w:eastAsia="楷体"/>
        </w:rPr>
        <w:t>b.“投标人须知前附表”中的附录表格同属“投标人须知前附表”内容，具有同等效力。</w:t>
      </w:r>
    </w:p>
    <w:p>
      <w:pPr>
        <w:pStyle w:val="7"/>
        <w:ind w:firstLine="180" w:firstLineChars="100"/>
        <w:jc w:val="both"/>
        <w:rPr>
          <w:rFonts w:ascii="楷体" w:hAnsi="楷体" w:eastAsia="楷体"/>
        </w:rPr>
      </w:pPr>
      <w:r>
        <w:rPr>
          <w:rFonts w:hint="eastAsia" w:ascii="楷体" w:hAnsi="楷体" w:eastAsia="楷体"/>
        </w:rPr>
        <w:t>c.“投标人须知前附表”中条款号与本章正文条款号为对应关系。</w:t>
      </w:r>
    </w:p>
  </w:footnote>
  <w:footnote w:id="4">
    <w:p>
      <w:pPr>
        <w:pStyle w:val="7"/>
      </w:pPr>
      <w:r>
        <w:rPr>
          <w:rStyle w:val="10"/>
        </w:rPr>
        <w:footnoteRef/>
      </w:r>
      <w:r>
        <w:t xml:space="preserve"> </w:t>
      </w:r>
      <w:r>
        <w:rPr>
          <w:rFonts w:hint="eastAsia"/>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第3.4.2项和第3.4.3项的规定对投标报价进行修正，第3.4.2项至第3.4.4项内容不适用。</w:t>
      </w:r>
    </w:p>
  </w:footnote>
  <w:footnote w:id="5">
    <w:p>
      <w:pPr>
        <w:pStyle w:val="7"/>
        <w:jc w:val="both"/>
        <w:rPr>
          <w:rFonts w:ascii="楷体" w:hAnsi="楷体" w:eastAsia="楷体"/>
        </w:rPr>
      </w:pPr>
      <w:r>
        <w:rPr>
          <w:rStyle w:val="10"/>
        </w:rPr>
        <w:footnoteRef/>
      </w:r>
      <w:r>
        <w:rPr>
          <w:rFonts w:hint="eastAsia" w:ascii="楷体" w:hAnsi="楷体" w:eastAsia="楷体"/>
        </w:rPr>
        <w:t xml:space="preserve"> a.“投标人须知前附表”用于进一步明确正文中的未尽事宜，凡“投标人须知前附表”对本章正文内容进行完善和补充的，均以“投标人须知前附表”为准；未进行完善和补充的，以本章正文内容为准。</w:t>
      </w:r>
    </w:p>
    <w:p>
      <w:pPr>
        <w:pStyle w:val="7"/>
        <w:ind w:firstLine="180" w:firstLineChars="100"/>
        <w:jc w:val="both"/>
        <w:rPr>
          <w:rFonts w:ascii="楷体" w:hAnsi="楷体" w:eastAsia="楷体"/>
        </w:rPr>
      </w:pPr>
      <w:r>
        <w:rPr>
          <w:rFonts w:hint="eastAsia" w:ascii="楷体" w:hAnsi="楷体" w:eastAsia="楷体"/>
        </w:rPr>
        <w:t>b.“投标人须知前附表”中的附录表格同属“投标人须知前附表”内容，具有同等效力。</w:t>
      </w:r>
    </w:p>
    <w:p>
      <w:pPr>
        <w:pStyle w:val="7"/>
        <w:ind w:firstLine="180" w:firstLineChars="100"/>
        <w:jc w:val="both"/>
        <w:rPr>
          <w:rFonts w:ascii="楷体" w:hAnsi="楷体" w:eastAsia="楷体"/>
        </w:rPr>
      </w:pPr>
      <w:r>
        <w:rPr>
          <w:rFonts w:hint="eastAsia" w:ascii="楷体" w:hAnsi="楷体" w:eastAsia="楷体"/>
        </w:rPr>
        <w:t>c.“投标人须知前附表”中条款号与本章正文条款号为对应关系。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BB36"/>
    <w:multiLevelType w:val="singleLevel"/>
    <w:tmpl w:val="82A8BB36"/>
    <w:lvl w:ilvl="0" w:tentative="0">
      <w:start w:val="8"/>
      <w:numFmt w:val="decimal"/>
      <w:lvlText w:val="%1."/>
      <w:lvlJc w:val="left"/>
      <w:pPr>
        <w:tabs>
          <w:tab w:val="left" w:pos="312"/>
        </w:tabs>
      </w:pPr>
    </w:lvl>
  </w:abstractNum>
  <w:abstractNum w:abstractNumId="1">
    <w:nsid w:val="8AD69FF2"/>
    <w:multiLevelType w:val="singleLevel"/>
    <w:tmpl w:val="8AD69FF2"/>
    <w:lvl w:ilvl="0" w:tentative="0">
      <w:start w:val="4"/>
      <w:numFmt w:val="decimal"/>
      <w:suff w:val="nothing"/>
      <w:lvlText w:val="（%1）"/>
      <w:lvlJc w:val="left"/>
    </w:lvl>
  </w:abstractNum>
  <w:abstractNum w:abstractNumId="2">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7924A8"/>
    <w:multiLevelType w:val="multilevel"/>
    <w:tmpl w:val="5D7924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A16D51"/>
    <w:multiLevelType w:val="multilevel"/>
    <w:tmpl w:val="72A16D51"/>
    <w:lvl w:ilvl="0" w:tentative="0">
      <w:start w:val="1"/>
      <w:numFmt w:val="decimal"/>
      <w:pStyle w:val="4"/>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143" w:firstLine="425"/>
      </w:pPr>
      <w:rPr>
        <w:rFonts w:hint="eastAsia"/>
      </w:rPr>
    </w:lvl>
    <w:lvl w:ilvl="3" w:tentative="0">
      <w:start w:val="1"/>
      <w:numFmt w:val="decimal"/>
      <w:lvlText w:val="%1.%2.%3.%4"/>
      <w:lvlJc w:val="left"/>
      <w:pPr>
        <w:ind w:left="0" w:firstLine="851"/>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D050ADF"/>
    <w:multiLevelType w:val="multilevel"/>
    <w:tmpl w:val="7D050AD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15CAD"/>
    <w:rsid w:val="0C0F3296"/>
    <w:rsid w:val="0F336595"/>
    <w:rsid w:val="153A2044"/>
    <w:rsid w:val="15615CAD"/>
    <w:rsid w:val="20077A2A"/>
    <w:rsid w:val="2A42013E"/>
    <w:rsid w:val="322369DD"/>
    <w:rsid w:val="3310567E"/>
    <w:rsid w:val="3E21048A"/>
    <w:rsid w:val="452C03BD"/>
    <w:rsid w:val="456D64A7"/>
    <w:rsid w:val="461B1EA8"/>
    <w:rsid w:val="63B451B5"/>
    <w:rsid w:val="722711FA"/>
    <w:rsid w:val="7E2D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paragraph" w:styleId="4">
    <w:name w:val="heading 4"/>
    <w:basedOn w:val="1"/>
    <w:next w:val="1"/>
    <w:qFormat/>
    <w:uiPriority w:val="9"/>
    <w:pPr>
      <w:numPr>
        <w:ilvl w:val="0"/>
        <w:numId w:val="1"/>
      </w:numPr>
      <w:tabs>
        <w:tab w:val="left" w:pos="315"/>
      </w:tabs>
      <w:spacing w:before="120" w:after="120"/>
      <w:outlineLvl w:val="3"/>
    </w:pPr>
    <w:rPr>
      <w:rFonts w:ascii="Cambria" w:hAnsi="Cambria" w:eastAsia="黑体"/>
      <w:bCs/>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 w:type="paragraph" w:styleId="5">
    <w:name w:val="footer"/>
    <w:basedOn w:val="1"/>
    <w:unhideWhenUsed/>
    <w:qFormat/>
    <w:uiPriority w:val="0"/>
    <w:pPr>
      <w:tabs>
        <w:tab w:val="center" w:pos="4153"/>
        <w:tab w:val="right" w:pos="8306"/>
      </w:tabs>
      <w:snapToGrid w:val="0"/>
      <w:jc w:val="left"/>
    </w:pPr>
    <w:rPr>
      <w:kern w:val="0"/>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unhideWhenUsed/>
    <w:qFormat/>
    <w:uiPriority w:val="0"/>
    <w:pPr>
      <w:snapToGrid w:val="0"/>
      <w:jc w:val="left"/>
    </w:pPr>
    <w:rPr>
      <w:kern w:val="0"/>
      <w:sz w:val="18"/>
      <w:szCs w:val="18"/>
    </w:rPr>
  </w:style>
  <w:style w:type="character" w:styleId="10">
    <w:name w:val="footnote reference"/>
    <w:basedOn w:val="9"/>
    <w:qFormat/>
    <w:uiPriority w:val="0"/>
    <w:rPr>
      <w:vertAlign w:val="superscript"/>
    </w:rPr>
  </w:style>
  <w:style w:type="paragraph" w:styleId="11">
    <w:name w:val="List Paragraph"/>
    <w:basedOn w:val="1"/>
    <w:qFormat/>
    <w:uiPriority w:val="1"/>
    <w:pPr>
      <w:ind w:firstLine="420" w:firstLineChars="200"/>
    </w:pPr>
  </w:style>
  <w:style w:type="paragraph" w:customStyle="1" w:styleId="12">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customStyle="1" w:styleId="13">
    <w:name w:val="正文文本 (7)"/>
    <w:basedOn w:val="1"/>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4">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paragraph" w:customStyle="1" w:styleId="1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2021-04-01T07:17:00Z</dcterms:created>
  <dc:creator>如愿(초염)</dc:creator>
  <cp:lastModifiedBy>如愿(초염)</cp:lastModifiedBy>
  <dcterms:modified xsi:type="dcterms:W3CDTF">2021-04-19T08:54:09Z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EC7FE603C84446F2A6A3DE0F73801EA8</vt:lpwstr>
  </property>
</Properties>
</file>