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b/>
          <w:bCs/>
          <w:sz w:val="32"/>
          <w:szCs w:val="32"/>
          <w:highlight w:val="none"/>
          <w:lang w:eastAsia="zh-CN"/>
        </w:rPr>
      </w:pPr>
      <w:bookmarkStart w:id="0" w:name="_Hlk522259867"/>
      <w:bookmarkStart w:id="1" w:name="_Toc197951555"/>
      <w:bookmarkStart w:id="2" w:name="_Toc197965596"/>
      <w:bookmarkStart w:id="3" w:name="_Toc197950681"/>
      <w:bookmarkStart w:id="4" w:name="_Toc197960492"/>
      <w:bookmarkStart w:id="5" w:name="_Toc197950802"/>
      <w:bookmarkStart w:id="6" w:name="_Toc197967117"/>
      <w:bookmarkStart w:id="7" w:name="_Toc197951587"/>
      <w:bookmarkStart w:id="8" w:name="_Toc197967265"/>
      <w:bookmarkStart w:id="9" w:name="_Toc197960544"/>
      <w:r>
        <w:rPr>
          <w:rFonts w:hint="eastAsia" w:ascii="宋体" w:hAnsi="宋体" w:cs="宋体"/>
          <w:b/>
          <w:bCs/>
          <w:sz w:val="32"/>
          <w:szCs w:val="32"/>
          <w:highlight w:val="none"/>
          <w:lang w:eastAsia="zh-CN"/>
        </w:rPr>
        <w:t>省道四杨公路（S513）叶赫至杨木林段改建工程监理</w:t>
      </w:r>
    </w:p>
    <w:bookmarkEnd w:id="0"/>
    <w:bookmarkEnd w:id="1"/>
    <w:bookmarkEnd w:id="2"/>
    <w:bookmarkEnd w:id="3"/>
    <w:bookmarkEnd w:id="4"/>
    <w:bookmarkEnd w:id="5"/>
    <w:bookmarkEnd w:id="6"/>
    <w:bookmarkEnd w:id="7"/>
    <w:bookmarkEnd w:id="8"/>
    <w:bookmarkEnd w:id="9"/>
    <w:p>
      <w:pPr>
        <w:widowControl/>
        <w:snapToGrid w:val="0"/>
        <w:ind w:firstLine="422" w:firstLineChars="200"/>
        <w:jc w:val="left"/>
        <w:rPr>
          <w:rFonts w:hint="eastAsia" w:ascii="宋体" w:hAnsi="宋体" w:cs="宋体"/>
          <w:b/>
          <w:bCs/>
          <w:kern w:val="0"/>
          <w:szCs w:val="21"/>
          <w:highlight w:val="none"/>
          <w:lang w:val="en-US" w:eastAsia="zh-CN"/>
        </w:rPr>
      </w:pPr>
    </w:p>
    <w:p>
      <w:pPr>
        <w:widowControl/>
        <w:snapToGrid w:val="0"/>
        <w:ind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lang w:val="en-US" w:eastAsia="zh-CN"/>
        </w:rPr>
        <w:t>1.</w:t>
      </w:r>
      <w:r>
        <w:rPr>
          <w:rFonts w:hint="eastAsia" w:ascii="宋体" w:hAnsi="宋体" w:cs="宋体"/>
          <w:b/>
          <w:bCs/>
          <w:kern w:val="0"/>
          <w:szCs w:val="21"/>
          <w:highlight w:val="none"/>
        </w:rPr>
        <w:t>招标条件</w:t>
      </w:r>
    </w:p>
    <w:p>
      <w:pPr>
        <w:widowControl/>
        <w:ind w:firstLine="420" w:firstLineChars="200"/>
        <w:rPr>
          <w:rFonts w:hint="eastAsia" w:ascii="宋体" w:hAnsi="宋体" w:cs="宋体"/>
          <w:kern w:val="0"/>
          <w:szCs w:val="21"/>
          <w:highlight w:val="none"/>
          <w:lang w:val="zh-CN" w:eastAsia="zh-CN"/>
        </w:rPr>
      </w:pPr>
      <w:r>
        <w:rPr>
          <w:rFonts w:hint="eastAsia" w:ascii="宋体" w:hAnsi="宋体" w:cs="宋体"/>
          <w:kern w:val="0"/>
          <w:szCs w:val="21"/>
          <w:highlight w:val="none"/>
          <w:lang w:val="en-US" w:eastAsia="zh-CN"/>
        </w:rPr>
        <w:t>本招标项目省道四杨公路（S513）叶赫至杨木林段改建工程已由吉林省发展和改革委员会以《吉林省发展改革委关于省道四杨公路（S513）叶赫至杨木林段改建工程可行性研究报告的批复》（吉发改审批【2020】278号）批准建设、施工图设计文件已由吉林省交通运输厅以吉交审批函〔2021〕3号文件批准建设，建设资金除申请省级投资补助资金外，其余资金由四平市财政性资金承担，且已落实。招标人为四平市建融交通投资集团有限公司，项目已具备招标条件，现对该项目施工监理进行公开招标。</w:t>
      </w:r>
    </w:p>
    <w:p>
      <w:pPr>
        <w:widowControl/>
        <w:snapToGrid w:val="0"/>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2.项目概况与招标范围</w:t>
      </w:r>
    </w:p>
    <w:p>
      <w:pPr>
        <w:widowControl/>
        <w:ind w:firstLine="468" w:firstLineChars="200"/>
        <w:rPr>
          <w:rFonts w:hint="eastAsia" w:ascii="宋体" w:hAnsi="宋体" w:cs="宋体"/>
          <w:spacing w:val="12"/>
          <w:kern w:val="0"/>
          <w:szCs w:val="21"/>
          <w:highlight w:val="none"/>
        </w:rPr>
      </w:pPr>
      <w:r>
        <w:rPr>
          <w:rFonts w:hint="eastAsia" w:ascii="宋体" w:hAnsi="宋体" w:cs="宋体"/>
          <w:spacing w:val="12"/>
          <w:kern w:val="0"/>
          <w:szCs w:val="21"/>
          <w:highlight w:val="none"/>
        </w:rPr>
        <w:t>2.</w:t>
      </w:r>
      <w:r>
        <w:rPr>
          <w:rFonts w:hint="eastAsia" w:ascii="宋体" w:hAnsi="宋体" w:cs="宋体"/>
          <w:spacing w:val="12"/>
          <w:kern w:val="0"/>
          <w:szCs w:val="21"/>
          <w:highlight w:val="none"/>
          <w:lang w:val="en-US" w:eastAsia="zh-CN"/>
        </w:rPr>
        <w:t>1</w:t>
      </w:r>
      <w:r>
        <w:rPr>
          <w:rFonts w:hint="eastAsia" w:ascii="宋体" w:hAnsi="宋体" w:cs="宋体"/>
          <w:spacing w:val="12"/>
          <w:kern w:val="0"/>
          <w:szCs w:val="21"/>
          <w:highlight w:val="none"/>
        </w:rPr>
        <w:t xml:space="preserve">建设地点：吉林省四平市。   </w:t>
      </w:r>
      <w:r>
        <w:rPr>
          <w:rFonts w:hint="eastAsia" w:ascii="宋体" w:hAnsi="宋体" w:cs="宋体"/>
          <w:spacing w:val="12"/>
          <w:kern w:val="0"/>
          <w:szCs w:val="21"/>
          <w:highlight w:val="none"/>
        </w:rPr>
        <w:t xml:space="preserve">  </w:t>
      </w:r>
    </w:p>
    <w:p>
      <w:pPr>
        <w:widowControl/>
        <w:ind w:firstLine="468" w:firstLineChars="200"/>
        <w:rPr>
          <w:rFonts w:hint="eastAsia" w:ascii="宋体" w:hAnsi="宋体" w:cs="宋体"/>
          <w:kern w:val="0"/>
          <w:szCs w:val="21"/>
          <w:highlight w:val="none"/>
          <w:lang w:val="en-US" w:eastAsia="zh-CN"/>
        </w:rPr>
      </w:pPr>
      <w:r>
        <w:rPr>
          <w:rFonts w:hint="eastAsia" w:ascii="宋体" w:hAnsi="宋体" w:cs="宋体"/>
          <w:spacing w:val="12"/>
          <w:kern w:val="0"/>
          <w:szCs w:val="21"/>
          <w:highlight w:val="none"/>
        </w:rPr>
        <w:t>2.2项目建设规模</w:t>
      </w:r>
      <w:r>
        <w:rPr>
          <w:rFonts w:hint="eastAsia" w:ascii="宋体" w:hAnsi="宋体" w:cs="宋体"/>
          <w:spacing w:val="12"/>
          <w:kern w:val="0"/>
          <w:szCs w:val="21"/>
          <w:highlight w:val="none"/>
          <w:lang w:val="en-US" w:eastAsia="zh-CN"/>
        </w:rPr>
        <w:t>及技术标准</w:t>
      </w:r>
      <w:r>
        <w:rPr>
          <w:rFonts w:hint="eastAsia" w:ascii="宋体" w:hAnsi="宋体" w:cs="宋体"/>
          <w:spacing w:val="12"/>
          <w:kern w:val="0"/>
          <w:szCs w:val="21"/>
          <w:highlight w:val="none"/>
        </w:rPr>
        <w:t>：</w:t>
      </w:r>
      <w:r>
        <w:rPr>
          <w:rFonts w:hint="eastAsia" w:ascii="宋体" w:hAnsi="宋体" w:cs="宋体"/>
          <w:kern w:val="0"/>
          <w:szCs w:val="21"/>
          <w:highlight w:val="none"/>
          <w:lang w:val="en-US" w:eastAsia="zh-CN"/>
        </w:rPr>
        <w:t>路线起于叶赫镇西侧省道四杨公路与县道叶马公路交叉点的环形交叉处，桩号K25+780，利用既有旧路，经老爷庙村、板仓村、红花店村，止于杨木林村吉辽省界处，桩号K37+195.440.路线全长11.42公里；</w:t>
      </w:r>
    </w:p>
    <w:p>
      <w:pPr>
        <w:widowControl/>
        <w:ind w:firstLine="468" w:firstLineChars="200"/>
        <w:rPr>
          <w:rFonts w:hint="default" w:ascii="宋体" w:hAnsi="宋体" w:eastAsia="宋体" w:cs="宋体"/>
          <w:spacing w:val="12"/>
          <w:kern w:val="0"/>
          <w:szCs w:val="21"/>
          <w:highlight w:val="none"/>
          <w:lang w:val="en-US" w:eastAsia="zh-CN"/>
        </w:rPr>
      </w:pPr>
      <w:r>
        <w:rPr>
          <w:rFonts w:hint="eastAsia" w:ascii="宋体" w:hAnsi="宋体" w:cs="宋体"/>
          <w:spacing w:val="12"/>
          <w:kern w:val="0"/>
          <w:szCs w:val="21"/>
          <w:highlight w:val="none"/>
          <w:lang w:val="en-US" w:eastAsia="zh-CN"/>
        </w:rPr>
        <w:t>全线新建中桥112米/2座，利用既有中桥125米/3座，新建小桥31米/1座，利用既有小桥31米/1座，新建涵洞19道；设平面交叉21处，汽车停靠站5对；</w:t>
      </w:r>
    </w:p>
    <w:p>
      <w:pPr>
        <w:widowControl/>
        <w:ind w:firstLine="420" w:firstLineChars="200"/>
        <w:rPr>
          <w:color w:val="auto"/>
          <w:highlight w:val="none"/>
        </w:rPr>
      </w:pPr>
      <w:r>
        <w:rPr>
          <w:rFonts w:hint="eastAsia"/>
          <w:color w:val="auto"/>
          <w:highlight w:val="none"/>
          <w:lang w:eastAsia="zh-CN"/>
        </w:rPr>
        <w:t>采用设计速度</w:t>
      </w:r>
      <w:r>
        <w:rPr>
          <w:rFonts w:hint="eastAsia"/>
          <w:color w:val="auto"/>
          <w:highlight w:val="none"/>
          <w:lang w:val="en-US" w:eastAsia="zh-CN"/>
        </w:rPr>
        <w:t>60公里/小时的二级公路标准，</w:t>
      </w:r>
      <w:r>
        <w:rPr>
          <w:color w:val="auto"/>
          <w:highlight w:val="none"/>
        </w:rPr>
        <w:t>路基宽</w:t>
      </w:r>
      <w:r>
        <w:rPr>
          <w:rFonts w:hint="eastAsia"/>
          <w:color w:val="auto"/>
          <w:highlight w:val="none"/>
          <w:lang w:val="en-US" w:eastAsia="zh-CN"/>
        </w:rPr>
        <w:t>度10米，其中行车道宽2x3.5米，硬路肩宽2x0.75米，土路肩宽2x0.75米，新建桥涵设计汽车荷载等级采用公路—Ⅰ级，其他技术指标按照《公路工程技术标准》（JTGB01-2014）规定执行</w:t>
      </w:r>
      <w:r>
        <w:rPr>
          <w:color w:val="auto"/>
          <w:highlight w:val="none"/>
        </w:rPr>
        <w:t>。</w:t>
      </w:r>
    </w:p>
    <w:p>
      <w:pPr>
        <w:ind w:firstLine="420" w:firstLineChars="200"/>
        <w:jc w:val="left"/>
        <w:rPr>
          <w:highlight w:val="none"/>
        </w:rPr>
      </w:pPr>
      <w:r>
        <w:rPr>
          <w:rFonts w:hint="eastAsia"/>
          <w:highlight w:val="none"/>
        </w:rPr>
        <w:t>2.</w:t>
      </w:r>
      <w:r>
        <w:rPr>
          <w:rFonts w:hint="eastAsia"/>
          <w:highlight w:val="none"/>
          <w:lang w:val="en-US" w:eastAsia="zh-CN"/>
        </w:rPr>
        <w:t>3</w:t>
      </w:r>
      <w:r>
        <w:rPr>
          <w:rFonts w:hint="eastAsia"/>
          <w:highlight w:val="none"/>
        </w:rPr>
        <w:t>本次招标标段划分：</w:t>
      </w:r>
      <w:r>
        <w:rPr>
          <w:rFonts w:hint="eastAsia" w:ascii="宋体" w:hAnsi="宋体" w:cs="宋体"/>
          <w:spacing w:val="12"/>
          <w:kern w:val="0"/>
          <w:szCs w:val="21"/>
          <w:highlight w:val="none"/>
        </w:rPr>
        <w:t>本次招标共划分为一个标段，即01标段。</w:t>
      </w:r>
    </w:p>
    <w:p>
      <w:pPr>
        <w:ind w:firstLine="420" w:firstLineChars="200"/>
        <w:jc w:val="left"/>
        <w:rPr>
          <w:rFonts w:hint="eastAsia" w:eastAsia="宋体"/>
          <w:highlight w:val="none"/>
          <w:lang w:eastAsia="zh-CN"/>
        </w:rPr>
      </w:pPr>
      <w:r>
        <w:rPr>
          <w:rFonts w:hint="eastAsia"/>
          <w:highlight w:val="none"/>
        </w:rPr>
        <w:t>2.</w:t>
      </w:r>
      <w:r>
        <w:rPr>
          <w:rFonts w:hint="eastAsia"/>
          <w:highlight w:val="none"/>
          <w:lang w:val="en-US" w:eastAsia="zh-CN"/>
        </w:rPr>
        <w:t xml:space="preserve">4 </w:t>
      </w:r>
      <w:r>
        <w:rPr>
          <w:rFonts w:hint="eastAsia"/>
          <w:highlight w:val="none"/>
        </w:rPr>
        <w:t>招标范围：</w:t>
      </w:r>
      <w:r>
        <w:rPr>
          <w:rFonts w:hint="eastAsia"/>
          <w:highlight w:val="none"/>
          <w:lang w:val="en-US" w:eastAsia="zh-CN"/>
        </w:rPr>
        <w:t>本项目设置1个总监理工程师办公室（含中心试验室），</w:t>
      </w:r>
      <w:r>
        <w:rPr>
          <w:rFonts w:hint="eastAsia"/>
          <w:highlight w:val="none"/>
          <w:lang w:val="en-US" w:eastAsia="zh-CN"/>
        </w:rPr>
        <w:t>对本项目路基、路面、防护、排水、桥涵、交通安全设施、绿化环保工程等施工图设计范围内所有工</w:t>
      </w:r>
      <w:r>
        <w:rPr>
          <w:rFonts w:hint="eastAsia"/>
          <w:highlight w:val="none"/>
          <w:lang w:val="en-US" w:eastAsia="zh-CN"/>
        </w:rPr>
        <w:t>程的施工</w:t>
      </w:r>
      <w:r>
        <w:rPr>
          <w:rFonts w:hint="eastAsia"/>
          <w:highlight w:val="none"/>
        </w:rPr>
        <w:t>准备阶段、施工阶段、交工验收与缺陷责任期阶段的全过程监理</w:t>
      </w:r>
      <w:r>
        <w:rPr>
          <w:rFonts w:hint="eastAsia"/>
          <w:highlight w:val="none"/>
          <w:lang w:eastAsia="zh-CN"/>
        </w:rPr>
        <w:t>。</w:t>
      </w:r>
    </w:p>
    <w:p>
      <w:pPr>
        <w:ind w:firstLine="420" w:firstLineChars="200"/>
        <w:jc w:val="left"/>
        <w:rPr>
          <w:rFonts w:hint="eastAsia" w:eastAsia="宋体"/>
          <w:highlight w:val="none"/>
          <w:lang w:val="en-US" w:eastAsia="zh-CN"/>
        </w:rPr>
      </w:pPr>
      <w:r>
        <w:rPr>
          <w:rFonts w:hint="eastAsia"/>
          <w:highlight w:val="none"/>
        </w:rPr>
        <w:t>2.</w:t>
      </w:r>
      <w:r>
        <w:rPr>
          <w:rFonts w:hint="eastAsia"/>
          <w:highlight w:val="none"/>
          <w:lang w:val="en-US" w:eastAsia="zh-CN"/>
        </w:rPr>
        <w:t>5</w:t>
      </w:r>
      <w:r>
        <w:rPr>
          <w:rFonts w:hint="eastAsia"/>
          <w:highlight w:val="none"/>
        </w:rPr>
        <w:t>监理服务期限：监理服务期预计为11</w:t>
      </w:r>
      <w:r>
        <w:rPr>
          <w:rFonts w:hint="eastAsia"/>
          <w:highlight w:val="none"/>
          <w:lang w:val="en-US" w:eastAsia="zh-CN"/>
        </w:rPr>
        <w:t>79</w:t>
      </w:r>
      <w:r>
        <w:rPr>
          <w:rFonts w:hint="eastAsia"/>
          <w:highlight w:val="none"/>
        </w:rPr>
        <w:t>日历天（施工期+缺陷责任期，包括施工准备阶段、施工阶段、交工验收与缺陷责任期阶段）。其中：施工计划工期为2021年9月</w:t>
      </w:r>
      <w:r>
        <w:rPr>
          <w:rFonts w:hint="eastAsia"/>
          <w:highlight w:val="none"/>
          <w:lang w:val="en-US" w:eastAsia="zh-CN"/>
        </w:rPr>
        <w:t>8</w:t>
      </w:r>
      <w:r>
        <w:rPr>
          <w:rFonts w:hint="eastAsia"/>
          <w:highlight w:val="none"/>
        </w:rPr>
        <w:t>日</w:t>
      </w:r>
      <w:r>
        <w:rPr>
          <w:rFonts w:hint="eastAsia"/>
          <w:highlight w:val="none"/>
          <w:lang w:eastAsia="zh-CN"/>
        </w:rPr>
        <w:t>－</w:t>
      </w:r>
      <w:r>
        <w:rPr>
          <w:rFonts w:hint="eastAsia"/>
          <w:highlight w:val="none"/>
        </w:rPr>
        <w:t>2022年11月30日，共计4</w:t>
      </w:r>
      <w:r>
        <w:rPr>
          <w:rFonts w:hint="eastAsia"/>
          <w:highlight w:val="none"/>
          <w:lang w:val="en-US" w:eastAsia="zh-CN"/>
        </w:rPr>
        <w:t>48</w:t>
      </w:r>
      <w:r>
        <w:rPr>
          <w:rFonts w:hint="eastAsia"/>
          <w:highlight w:val="none"/>
        </w:rPr>
        <w:t>日历天。缺陷责任期为731日历天（24个月）</w:t>
      </w:r>
      <w:r>
        <w:rPr>
          <w:rFonts w:hint="eastAsia"/>
          <w:highlight w:val="none"/>
          <w:lang w:eastAsia="zh-CN"/>
        </w:rPr>
        <w:t>。</w:t>
      </w:r>
    </w:p>
    <w:p>
      <w:pPr>
        <w:ind w:firstLine="422" w:firstLineChars="200"/>
        <w:jc w:val="left"/>
        <w:rPr>
          <w:b/>
          <w:bCs/>
          <w:highlight w:val="none"/>
          <w:lang w:val="zh-CN"/>
        </w:rPr>
      </w:pPr>
      <w:r>
        <w:rPr>
          <w:rFonts w:hint="eastAsia"/>
          <w:b/>
          <w:bCs/>
          <w:highlight w:val="none"/>
          <w:lang w:val="zh-CN"/>
        </w:rPr>
        <w:t>3.投标人资格要求</w:t>
      </w:r>
    </w:p>
    <w:p>
      <w:pPr>
        <w:ind w:firstLine="420" w:firstLineChars="200"/>
        <w:jc w:val="left"/>
        <w:rPr>
          <w:rFonts w:hint="eastAsia"/>
          <w:highlight w:val="none"/>
        </w:rPr>
      </w:pPr>
      <w:r>
        <w:rPr>
          <w:rFonts w:hint="eastAsia"/>
          <w:highlight w:val="none"/>
          <w:lang w:val="zh-CN"/>
        </w:rPr>
        <w:t>3.1</w:t>
      </w:r>
      <w:r>
        <w:rPr>
          <w:rFonts w:hint="eastAsia"/>
          <w:highlight w:val="none"/>
        </w:rPr>
        <w:t>本次招标要求投标人须具备交通运输行业主管部门颁发的公路工程专业</w:t>
      </w:r>
      <w:r>
        <w:rPr>
          <w:rFonts w:hint="eastAsia"/>
          <w:highlight w:val="none"/>
          <w:lang w:val="en-US" w:eastAsia="zh-CN"/>
        </w:rPr>
        <w:t>乙</w:t>
      </w:r>
      <w:r>
        <w:rPr>
          <w:rFonts w:hint="eastAsia"/>
          <w:highlight w:val="none"/>
        </w:rPr>
        <w:t>级及以上监理资质，近</w:t>
      </w:r>
      <w:r>
        <w:rPr>
          <w:rFonts w:hint="eastAsia"/>
          <w:highlight w:val="none"/>
          <w:lang w:val="en-US" w:eastAsia="zh-CN"/>
        </w:rPr>
        <w:t>五</w:t>
      </w:r>
      <w:r>
        <w:rPr>
          <w:rFonts w:hint="eastAsia"/>
          <w:highlight w:val="none"/>
        </w:rPr>
        <w:t>年（201</w:t>
      </w:r>
      <w:r>
        <w:rPr>
          <w:rFonts w:hint="eastAsia"/>
          <w:highlight w:val="none"/>
          <w:lang w:val="en-US" w:eastAsia="zh-CN"/>
        </w:rPr>
        <w:t>6</w:t>
      </w:r>
      <w:r>
        <w:rPr>
          <w:rFonts w:hint="eastAsia"/>
          <w:highlight w:val="none"/>
        </w:rPr>
        <w:t>年1月1日</w:t>
      </w:r>
      <w:r>
        <w:rPr>
          <w:rFonts w:hint="eastAsia"/>
          <w:highlight w:val="none"/>
          <w:lang w:val="en-US" w:eastAsia="zh-CN"/>
        </w:rPr>
        <w:t>至今</w:t>
      </w:r>
      <w:r>
        <w:rPr>
          <w:rFonts w:hint="eastAsia"/>
          <w:highlight w:val="none"/>
        </w:rPr>
        <w:t>）具有一项</w:t>
      </w:r>
      <w:r>
        <w:rPr>
          <w:rFonts w:hint="eastAsia"/>
          <w:highlight w:val="none"/>
          <w:lang w:val="en-US" w:eastAsia="zh-CN"/>
        </w:rPr>
        <w:t>二</w:t>
      </w:r>
      <w:r>
        <w:rPr>
          <w:rFonts w:hint="eastAsia"/>
          <w:highlight w:val="none"/>
        </w:rPr>
        <w:t>级及以上公路工程施工监理业绩，并在人员等方面具有相应的施工监理能力。</w:t>
      </w:r>
    </w:p>
    <w:p>
      <w:pPr>
        <w:ind w:firstLine="420" w:firstLineChars="200"/>
        <w:jc w:val="left"/>
        <w:rPr>
          <w:rFonts w:hint="eastAsia"/>
          <w:highlight w:val="none"/>
          <w:lang w:val="zh-CN"/>
        </w:rPr>
      </w:pPr>
      <w:r>
        <w:rPr>
          <w:rFonts w:hint="eastAsia"/>
          <w:highlight w:val="none"/>
          <w:lang w:val="zh-CN"/>
        </w:rPr>
        <w:t>投标人具有交通运输主管部门颁发的公路工程专业甲级或乙级监理资质的应进入交通运输部“全国公路建设市场信用信息管理系统http: //glxy.mot.gov.cn)”中的公路工程监理资质企业名录，且投标人名称和资质与该名录中的相应企业名称和资质完全一致。投标人不满足本项规定条件的，将被否决投标。</w:t>
      </w:r>
    </w:p>
    <w:p>
      <w:pPr>
        <w:ind w:firstLine="420" w:firstLineChars="200"/>
        <w:jc w:val="left"/>
        <w:rPr>
          <w:highlight w:val="none"/>
          <w:lang w:val="zh-CN"/>
        </w:rPr>
      </w:pPr>
      <w:r>
        <w:rPr>
          <w:rFonts w:hint="eastAsia"/>
          <w:highlight w:val="none"/>
          <w:lang w:val="zh-CN"/>
        </w:rPr>
        <w:t>3.</w:t>
      </w:r>
      <w:r>
        <w:rPr>
          <w:rFonts w:hint="eastAsia"/>
          <w:highlight w:val="none"/>
        </w:rPr>
        <w:t xml:space="preserve">2 </w:t>
      </w:r>
      <w:r>
        <w:rPr>
          <w:rFonts w:hint="eastAsia"/>
          <w:highlight w:val="none"/>
          <w:lang w:val="zh-CN"/>
        </w:rPr>
        <w:t>本次招标不接受联合体投标。</w:t>
      </w:r>
    </w:p>
    <w:p>
      <w:pPr>
        <w:ind w:firstLine="420" w:firstLineChars="200"/>
        <w:jc w:val="left"/>
        <w:rPr>
          <w:highlight w:val="none"/>
        </w:rPr>
      </w:pPr>
      <w:r>
        <w:rPr>
          <w:rFonts w:hint="eastAsia"/>
          <w:highlight w:val="none"/>
        </w:rPr>
        <w:t>3.3 与招标人存在利害关系可能影响招标公正性的单位，不得参加投标。单位负责人为同一人或者存在控股、管理关系的不同单位，不得参加同一标段投标，否则</w:t>
      </w:r>
      <w:r>
        <w:rPr>
          <w:rFonts w:hint="eastAsia"/>
          <w:highlight w:val="none"/>
          <w:lang w:eastAsia="zh-CN"/>
        </w:rPr>
        <w:t>，</w:t>
      </w:r>
      <w:r>
        <w:rPr>
          <w:rFonts w:hint="eastAsia"/>
          <w:highlight w:val="none"/>
        </w:rPr>
        <w:t>相关投标均无效。</w:t>
      </w:r>
    </w:p>
    <w:p>
      <w:pPr>
        <w:ind w:firstLine="420" w:firstLineChars="200"/>
        <w:jc w:val="left"/>
        <w:rPr>
          <w:highlight w:val="none"/>
        </w:rPr>
      </w:pPr>
      <w:r>
        <w:rPr>
          <w:rFonts w:hint="eastAsia"/>
          <w:highlight w:val="none"/>
        </w:rPr>
        <w:t>3.4 在“信用中国”网站</w:t>
      </w:r>
      <w:r>
        <w:rPr>
          <w:rFonts w:hint="eastAsia"/>
          <w:highlight w:val="none"/>
          <w:lang w:eastAsia="zh-CN"/>
        </w:rPr>
        <w:t>（</w:t>
      </w:r>
      <w:r>
        <w:rPr>
          <w:rFonts w:hint="eastAsia"/>
          <w:highlight w:val="none"/>
        </w:rPr>
        <w:t>http://www.creditchina.gov.cn/</w:t>
      </w:r>
      <w:r>
        <w:rPr>
          <w:rFonts w:hint="eastAsia"/>
          <w:highlight w:val="none"/>
          <w:lang w:eastAsia="zh-CN"/>
        </w:rPr>
        <w:t>）</w:t>
      </w:r>
      <w:r>
        <w:rPr>
          <w:rFonts w:hint="eastAsia"/>
          <w:highlight w:val="none"/>
        </w:rPr>
        <w:t>中被列入失信被执行人名单的投标人，不得参加投标，否则，相关投标均无效。</w:t>
      </w:r>
    </w:p>
    <w:p>
      <w:pPr>
        <w:ind w:firstLine="422" w:firstLineChars="200"/>
        <w:jc w:val="left"/>
        <w:rPr>
          <w:rFonts w:hint="eastAsia"/>
          <w:b/>
          <w:bCs/>
          <w:highlight w:val="none"/>
        </w:rPr>
      </w:pPr>
      <w:r>
        <w:rPr>
          <w:rFonts w:hint="eastAsia"/>
          <w:b/>
          <w:bCs/>
          <w:highlight w:val="none"/>
          <w:lang w:val="en-US" w:eastAsia="zh-CN"/>
        </w:rPr>
        <w:t>4.</w:t>
      </w:r>
      <w:r>
        <w:rPr>
          <w:rFonts w:hint="eastAsia"/>
          <w:b/>
          <w:bCs/>
          <w:highlight w:val="none"/>
        </w:rPr>
        <w:t>评标办法</w:t>
      </w:r>
    </w:p>
    <w:p>
      <w:pPr>
        <w:ind w:firstLine="420" w:firstLineChars="200"/>
        <w:jc w:val="left"/>
        <w:rPr>
          <w:highlight w:val="none"/>
        </w:rPr>
      </w:pPr>
      <w:r>
        <w:rPr>
          <w:rFonts w:hint="eastAsia"/>
          <w:highlight w:val="none"/>
        </w:rPr>
        <w:t>监理标段采用资格后审方式的双信封形式综合评估法。</w:t>
      </w:r>
    </w:p>
    <w:p>
      <w:pPr>
        <w:numPr>
          <w:ilvl w:val="0"/>
          <w:numId w:val="0"/>
        </w:numPr>
        <w:autoSpaceDE w:val="0"/>
        <w:autoSpaceDN w:val="0"/>
        <w:adjustRightInd w:val="0"/>
        <w:ind w:firstLine="422" w:firstLineChars="200"/>
        <w:jc w:val="left"/>
        <w:rPr>
          <w:rFonts w:hint="eastAsia" w:ascii="宋体" w:hAnsi="宋体" w:cs="宋体"/>
          <w:b/>
          <w:bCs/>
          <w:kern w:val="0"/>
          <w:szCs w:val="18"/>
          <w:highlight w:val="none"/>
          <w:lang w:val="en-US" w:eastAsia="zh-CN"/>
        </w:rPr>
      </w:pPr>
      <w:r>
        <w:rPr>
          <w:rFonts w:hint="eastAsia" w:ascii="宋体" w:hAnsi="宋体" w:cs="宋体"/>
          <w:b/>
          <w:bCs/>
          <w:kern w:val="0"/>
          <w:szCs w:val="18"/>
          <w:highlight w:val="none"/>
          <w:lang w:val="en-US" w:eastAsia="zh-CN"/>
        </w:rPr>
        <w:t>5.电子化招投标</w:t>
      </w:r>
    </w:p>
    <w:p>
      <w:pPr>
        <w:numPr>
          <w:ilvl w:val="0"/>
          <w:numId w:val="0"/>
        </w:numPr>
        <w:autoSpaceDE w:val="0"/>
        <w:autoSpaceDN w:val="0"/>
        <w:adjustRightInd w:val="0"/>
        <w:ind w:firstLine="420" w:firstLineChars="200"/>
        <w:jc w:val="left"/>
        <w:rPr>
          <w:rFonts w:hint="eastAsia" w:ascii="宋体" w:hAnsi="宋体" w:cs="宋体"/>
          <w:b w:val="0"/>
          <w:bCs w:val="0"/>
          <w:kern w:val="0"/>
          <w:szCs w:val="18"/>
          <w:highlight w:val="none"/>
          <w:lang w:val="en-US" w:eastAsia="zh-CN"/>
        </w:rPr>
      </w:pPr>
      <w:r>
        <w:rPr>
          <w:rFonts w:hint="eastAsia" w:ascii="宋体" w:hAnsi="宋体" w:cs="宋体"/>
          <w:b w:val="0"/>
          <w:bCs w:val="0"/>
          <w:kern w:val="0"/>
          <w:szCs w:val="18"/>
          <w:highlight w:val="none"/>
          <w:lang w:val="en-US" w:eastAsia="zh-CN"/>
        </w:rPr>
        <w:t>5.1 本次招标试运行电子化招投标，采用“网上和网下”两种方式同步运行，以“网下”为准。“网上”按电子化招投标流程要求进行，在网上提交加密的电子投标文件，“网下”以书面方式同时进行。除非在试运行期间出现系统故障等特殊情况，投标人均应按要求在网上和网下提交投标文件（网上使用投标工具软件制作投标文件，网下以招标文件给定的格式制作投标文件，两者格式允许不同，但填报的内容原则上应一致）。电子化招投标具体要求详见吉林省公共资源交易管理委员会办公室发布的《关于开展省级交通工程项目招投标全程电子化试运行有关工作的通知》和吉林省交通运输厅发布的《吉林省交通运输厅转发〈关于开展省级交通工程项目招标投标全程电子化试运行有关工作的通知〉的通知》。</w:t>
      </w:r>
    </w:p>
    <w:p>
      <w:pPr>
        <w:numPr>
          <w:ilvl w:val="0"/>
          <w:numId w:val="0"/>
        </w:numPr>
        <w:autoSpaceDE w:val="0"/>
        <w:autoSpaceDN w:val="0"/>
        <w:adjustRightInd w:val="0"/>
        <w:ind w:firstLine="420" w:firstLineChars="200"/>
        <w:jc w:val="left"/>
        <w:rPr>
          <w:rFonts w:hint="eastAsia" w:ascii="宋体" w:hAnsi="宋体" w:cs="宋体"/>
          <w:b w:val="0"/>
          <w:bCs w:val="0"/>
          <w:kern w:val="0"/>
          <w:szCs w:val="18"/>
          <w:highlight w:val="none"/>
          <w:lang w:val="en-US" w:eastAsia="zh-CN"/>
        </w:rPr>
      </w:pPr>
      <w:r>
        <w:rPr>
          <w:rFonts w:hint="eastAsia" w:ascii="宋体" w:hAnsi="宋体" w:cs="宋体"/>
          <w:b w:val="0"/>
          <w:bCs w:val="0"/>
          <w:kern w:val="0"/>
          <w:szCs w:val="18"/>
          <w:highlight w:val="none"/>
          <w:lang w:val="en-US" w:eastAsia="zh-CN"/>
        </w:rPr>
        <w:t>5.2“网上”电子化招投标流程简述如下：</w:t>
      </w:r>
    </w:p>
    <w:p>
      <w:pPr>
        <w:numPr>
          <w:ilvl w:val="0"/>
          <w:numId w:val="0"/>
        </w:numPr>
        <w:autoSpaceDE w:val="0"/>
        <w:autoSpaceDN w:val="0"/>
        <w:adjustRightInd w:val="0"/>
        <w:ind w:firstLine="210" w:firstLineChars="100"/>
        <w:jc w:val="left"/>
        <w:rPr>
          <w:rFonts w:hint="eastAsia" w:ascii="宋体" w:hAnsi="宋体" w:cs="宋体"/>
          <w:b w:val="0"/>
          <w:bCs w:val="0"/>
          <w:kern w:val="0"/>
          <w:szCs w:val="18"/>
          <w:highlight w:val="none"/>
          <w:lang w:val="en-US" w:eastAsia="zh-CN"/>
        </w:rPr>
      </w:pPr>
      <w:r>
        <w:rPr>
          <w:rFonts w:hint="eastAsia" w:ascii="宋体" w:hAnsi="宋体" w:cs="宋体"/>
          <w:b w:val="0"/>
          <w:bCs w:val="0"/>
          <w:kern w:val="0"/>
          <w:szCs w:val="18"/>
          <w:highlight w:val="none"/>
          <w:lang w:val="en-US" w:eastAsia="zh-CN"/>
        </w:rPr>
        <w:t xml:space="preserve">（1）投标人在“吉林省公路建设市场信用信息服务系统”（以下简称“省公路信息系统”）完成注册及信息填报，具体操作流程详见“吉林省交通运输厅关于发布吉林省公路建设市场信用信息服务系统的公告”（ </w:t>
      </w:r>
      <w:r>
        <w:rPr>
          <w:rFonts w:hint="eastAsia" w:ascii="宋体" w:hAnsi="宋体" w:cs="宋体"/>
          <w:b w:val="0"/>
          <w:bCs w:val="0"/>
          <w:kern w:val="0"/>
          <w:szCs w:val="18"/>
          <w:highlight w:val="none"/>
          <w:lang w:val="en-US" w:eastAsia="zh-CN"/>
        </w:rPr>
        <w:fldChar w:fldCharType="begin"/>
      </w:r>
      <w:r>
        <w:rPr>
          <w:rFonts w:hint="eastAsia" w:ascii="宋体" w:hAnsi="宋体" w:cs="宋体"/>
          <w:b w:val="0"/>
          <w:bCs w:val="0"/>
          <w:kern w:val="0"/>
          <w:szCs w:val="18"/>
          <w:highlight w:val="none"/>
          <w:lang w:val="en-US" w:eastAsia="zh-CN"/>
        </w:rPr>
        <w:instrText xml:space="preserve"> HYPERLINK "http://jtyst.jl.gov.cn/zw_133208/tzgg/201905/t20190505_5838764.html）。办理省公路信息系统业务咨询人：杨建，咨询电话：18166851612" </w:instrText>
      </w:r>
      <w:r>
        <w:rPr>
          <w:rFonts w:hint="eastAsia" w:ascii="宋体" w:hAnsi="宋体" w:cs="宋体"/>
          <w:b w:val="0"/>
          <w:bCs w:val="0"/>
          <w:kern w:val="0"/>
          <w:szCs w:val="18"/>
          <w:highlight w:val="none"/>
          <w:lang w:val="en-US" w:eastAsia="zh-CN"/>
        </w:rPr>
        <w:fldChar w:fldCharType="separate"/>
      </w:r>
      <w:r>
        <w:rPr>
          <w:rFonts w:hint="eastAsia" w:ascii="宋体" w:hAnsi="宋体" w:cs="宋体"/>
          <w:b w:val="0"/>
          <w:bCs w:val="0"/>
          <w:kern w:val="0"/>
          <w:szCs w:val="18"/>
          <w:highlight w:val="none"/>
          <w:lang w:val="en-US" w:eastAsia="zh-CN"/>
        </w:rPr>
        <w:t>http://jtyst.jl.gov.cn/zw_133208/tzgg/202011/t20201118_7749408.html）</w:t>
      </w:r>
      <w:r>
        <w:rPr>
          <w:rFonts w:hint="eastAsia" w:ascii="宋体" w:hAnsi="宋体" w:cs="宋体"/>
          <w:b w:val="0"/>
          <w:bCs w:val="0"/>
          <w:kern w:val="0"/>
          <w:szCs w:val="18"/>
          <w:highlight w:val="none"/>
          <w:lang w:val="en-US" w:eastAsia="zh-CN"/>
        </w:rPr>
        <w:fldChar w:fldCharType="end"/>
      </w:r>
      <w:r>
        <w:rPr>
          <w:rFonts w:hint="eastAsia" w:ascii="宋体" w:hAnsi="宋体" w:cs="宋体"/>
          <w:b w:val="0"/>
          <w:bCs w:val="0"/>
          <w:kern w:val="0"/>
          <w:szCs w:val="18"/>
          <w:highlight w:val="none"/>
          <w:lang w:val="en-US" w:eastAsia="zh-CN"/>
        </w:rPr>
        <w:t>。投标人宜在投标截止时间15天前完成省公路信息系统注册及信息填报，咨询电话18166851612。</w:t>
      </w:r>
    </w:p>
    <w:p>
      <w:pPr>
        <w:numPr>
          <w:ilvl w:val="0"/>
          <w:numId w:val="0"/>
        </w:numPr>
        <w:autoSpaceDE w:val="0"/>
        <w:autoSpaceDN w:val="0"/>
        <w:adjustRightInd w:val="0"/>
        <w:ind w:firstLine="210" w:firstLineChars="100"/>
        <w:jc w:val="left"/>
        <w:rPr>
          <w:rFonts w:hint="eastAsia" w:ascii="宋体" w:hAnsi="宋体" w:cs="宋体"/>
          <w:b w:val="0"/>
          <w:bCs w:val="0"/>
          <w:kern w:val="0"/>
          <w:szCs w:val="18"/>
          <w:highlight w:val="none"/>
          <w:lang w:val="en-US" w:eastAsia="zh-CN"/>
        </w:rPr>
      </w:pPr>
      <w:r>
        <w:rPr>
          <w:rFonts w:hint="eastAsia" w:ascii="宋体" w:hAnsi="宋体" w:cs="宋体"/>
          <w:b w:val="0"/>
          <w:bCs w:val="0"/>
          <w:kern w:val="0"/>
          <w:szCs w:val="18"/>
          <w:highlight w:val="none"/>
          <w:lang w:val="en-US" w:eastAsia="zh-CN"/>
        </w:rPr>
        <w:t>（2）投标人在“吉林省公共资源交易中心”完成注册及信息填报，办理CA锁（已有CA锁的投标人可不办理）。办理CA锁咨询电话0431-81126102。</w:t>
      </w:r>
    </w:p>
    <w:p>
      <w:pPr>
        <w:numPr>
          <w:ilvl w:val="0"/>
          <w:numId w:val="0"/>
        </w:numPr>
        <w:autoSpaceDE w:val="0"/>
        <w:autoSpaceDN w:val="0"/>
        <w:adjustRightInd w:val="0"/>
        <w:ind w:firstLine="210" w:firstLineChars="100"/>
        <w:jc w:val="left"/>
        <w:rPr>
          <w:rFonts w:hint="eastAsia" w:ascii="宋体" w:hAnsi="宋体" w:cs="宋体"/>
          <w:b w:val="0"/>
          <w:bCs w:val="0"/>
          <w:kern w:val="0"/>
          <w:szCs w:val="18"/>
          <w:highlight w:val="none"/>
          <w:lang w:val="en-US" w:eastAsia="zh-CN"/>
        </w:rPr>
      </w:pPr>
      <w:r>
        <w:rPr>
          <w:rFonts w:hint="eastAsia" w:ascii="宋体" w:hAnsi="宋体" w:cs="宋体"/>
          <w:b w:val="0"/>
          <w:bCs w:val="0"/>
          <w:kern w:val="0"/>
          <w:szCs w:val="18"/>
          <w:highlight w:val="none"/>
          <w:lang w:val="en-US" w:eastAsia="zh-CN"/>
        </w:rPr>
        <w:t>（3）投标人使用CA锁在“吉林省公共资源交易中心交易平台”下载招标文件。下载招标文件咨询电话0431-82752720、82752713。</w:t>
      </w:r>
    </w:p>
    <w:p>
      <w:pPr>
        <w:numPr>
          <w:ilvl w:val="0"/>
          <w:numId w:val="0"/>
        </w:numPr>
        <w:autoSpaceDE w:val="0"/>
        <w:autoSpaceDN w:val="0"/>
        <w:adjustRightInd w:val="0"/>
        <w:ind w:firstLine="210" w:firstLineChars="100"/>
        <w:jc w:val="left"/>
        <w:rPr>
          <w:rFonts w:hint="eastAsia" w:ascii="宋体" w:hAnsi="宋体" w:cs="宋体"/>
          <w:b w:val="0"/>
          <w:bCs w:val="0"/>
          <w:kern w:val="0"/>
          <w:szCs w:val="18"/>
          <w:highlight w:val="none"/>
          <w:lang w:val="en-US" w:eastAsia="zh-CN"/>
        </w:rPr>
      </w:pPr>
      <w:r>
        <w:rPr>
          <w:rFonts w:hint="eastAsia" w:ascii="宋体" w:hAnsi="宋体" w:cs="宋体"/>
          <w:b w:val="0"/>
          <w:bCs w:val="0"/>
          <w:kern w:val="0"/>
          <w:szCs w:val="18"/>
          <w:highlight w:val="none"/>
          <w:lang w:val="en-US" w:eastAsia="zh-CN"/>
        </w:rPr>
        <w:t>（4）投标人使用投标工具软件（下载地址：https://download.bqpoint.com/download/downloaddetail.html?SourceFrom=Ztb&amp;ZtbSoftXiaQuCode=2308&amp;ZtbSoftType=tballinclusive ）制作并提交投标文件。制作并提交投标文件咨询电话0431-82752720、82752713。</w:t>
      </w:r>
    </w:p>
    <w:p>
      <w:pPr>
        <w:numPr>
          <w:ilvl w:val="0"/>
          <w:numId w:val="0"/>
        </w:numPr>
        <w:autoSpaceDE w:val="0"/>
        <w:autoSpaceDN w:val="0"/>
        <w:adjustRightInd w:val="0"/>
        <w:ind w:firstLine="210" w:firstLineChars="100"/>
        <w:jc w:val="left"/>
        <w:rPr>
          <w:rFonts w:hint="default" w:ascii="宋体" w:hAnsi="宋体" w:eastAsia="宋体" w:cs="宋体"/>
          <w:b/>
          <w:bCs/>
          <w:kern w:val="0"/>
          <w:szCs w:val="18"/>
          <w:highlight w:val="none"/>
          <w:lang w:val="en-US" w:eastAsia="zh-CN"/>
        </w:rPr>
      </w:pPr>
      <w:r>
        <w:rPr>
          <w:rFonts w:hint="eastAsia" w:ascii="宋体" w:hAnsi="宋体" w:cs="宋体"/>
          <w:b w:val="0"/>
          <w:bCs w:val="0"/>
          <w:kern w:val="0"/>
          <w:szCs w:val="18"/>
          <w:highlight w:val="none"/>
          <w:lang w:val="en-US" w:eastAsia="zh-CN"/>
        </w:rPr>
        <w:t>（5）在“吉林省公共资源交易中心交易平台”开标。投标人应在开标时间之前携带单位CA锁（必须是生成投标文件的CA锁）以及装有非加密投标文件的U盘（U盘需密封）到达指定地点，到达开标时间后，投标人应使用CA锁并输入密码进行解密，如解密失败将非加密文件递交开标工作人员，进行非加密上传（若系统识别出非加密电子投标文件和网上递交的加密投标文件识别码不一致，系统将拒绝导入）。</w:t>
      </w:r>
    </w:p>
    <w:p>
      <w:pPr>
        <w:autoSpaceDE w:val="0"/>
        <w:autoSpaceDN w:val="0"/>
        <w:adjustRightInd w:val="0"/>
        <w:ind w:firstLine="422" w:firstLineChars="200"/>
        <w:jc w:val="left"/>
        <w:rPr>
          <w:rFonts w:ascii="宋体" w:hAnsi="宋体" w:cs="宋体"/>
          <w:kern w:val="0"/>
          <w:szCs w:val="18"/>
          <w:highlight w:val="none"/>
          <w:lang w:val="zh-CN"/>
        </w:rPr>
      </w:pPr>
      <w:r>
        <w:rPr>
          <w:rFonts w:hint="eastAsia" w:ascii="宋体" w:hAnsi="宋体" w:cs="宋体"/>
          <w:b/>
          <w:bCs/>
          <w:kern w:val="0"/>
          <w:szCs w:val="18"/>
          <w:highlight w:val="none"/>
          <w:lang w:val="en-US" w:eastAsia="zh-CN"/>
        </w:rPr>
        <w:t>6</w:t>
      </w:r>
      <w:r>
        <w:rPr>
          <w:rFonts w:hint="eastAsia" w:ascii="宋体" w:hAnsi="宋体" w:cs="宋体"/>
          <w:b/>
          <w:bCs/>
          <w:kern w:val="0"/>
          <w:szCs w:val="18"/>
          <w:highlight w:val="none"/>
          <w:lang w:val="zh-CN"/>
        </w:rPr>
        <w:t>.招标文件的获取</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rPr>
        <w:t>凡有意参加投标者，采用以下两种方式获取招标文件（两者不一致的，以书面为准）：</w:t>
      </w:r>
    </w:p>
    <w:p>
      <w:pPr>
        <w:autoSpaceDE w:val="0"/>
        <w:autoSpaceDN w:val="0"/>
        <w:adjustRightInd w:val="0"/>
        <w:ind w:firstLine="210" w:firstLineChars="100"/>
        <w:jc w:val="left"/>
        <w:rPr>
          <w:rFonts w:hint="eastAsia" w:ascii="宋体" w:hAnsi="宋体" w:eastAsia="宋体" w:cs="宋体"/>
          <w:b w:val="0"/>
          <w:bCs w:val="0"/>
          <w:kern w:val="0"/>
          <w:szCs w:val="18"/>
          <w:highlight w:val="none"/>
          <w:lang w:eastAsia="zh-CN"/>
        </w:rPr>
      </w:pPr>
      <w:r>
        <w:rPr>
          <w:rFonts w:hint="eastAsia" w:ascii="宋体" w:hAnsi="宋体" w:cs="宋体"/>
          <w:b w:val="0"/>
          <w:bCs w:val="0"/>
          <w:kern w:val="0"/>
          <w:szCs w:val="18"/>
          <w:highlight w:val="none"/>
        </w:rPr>
        <w:t>（1）投标人请于202</w:t>
      </w:r>
      <w:r>
        <w:rPr>
          <w:rFonts w:hint="eastAsia" w:ascii="宋体" w:hAnsi="宋体" w:cs="宋体"/>
          <w:b w:val="0"/>
          <w:bCs w:val="0"/>
          <w:kern w:val="0"/>
          <w:szCs w:val="18"/>
          <w:highlight w:val="none"/>
          <w:lang w:val="en-US" w:eastAsia="zh-CN"/>
        </w:rPr>
        <w:t>1</w:t>
      </w:r>
      <w:r>
        <w:rPr>
          <w:rFonts w:hint="eastAsia" w:ascii="宋体" w:hAnsi="宋体" w:cs="宋体"/>
          <w:b w:val="0"/>
          <w:bCs w:val="0"/>
          <w:kern w:val="0"/>
          <w:szCs w:val="18"/>
          <w:highlight w:val="none"/>
        </w:rPr>
        <w:t>年</w:t>
      </w:r>
      <w:r>
        <w:rPr>
          <w:rFonts w:hint="eastAsia" w:ascii="宋体" w:hAnsi="宋体" w:cs="宋体"/>
          <w:b w:val="0"/>
          <w:bCs w:val="0"/>
          <w:kern w:val="0"/>
          <w:szCs w:val="18"/>
          <w:highlight w:val="none"/>
          <w:lang w:val="en-US" w:eastAsia="zh-CN"/>
        </w:rPr>
        <w:t>8</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12</w:t>
      </w:r>
      <w:r>
        <w:rPr>
          <w:rFonts w:hint="eastAsia" w:ascii="宋体" w:hAnsi="宋体" w:cs="宋体"/>
          <w:b w:val="0"/>
          <w:bCs w:val="0"/>
          <w:kern w:val="0"/>
          <w:szCs w:val="18"/>
          <w:highlight w:val="none"/>
        </w:rPr>
        <w:t>日至2021年</w:t>
      </w:r>
      <w:r>
        <w:rPr>
          <w:rFonts w:hint="eastAsia" w:ascii="宋体" w:hAnsi="宋体" w:cs="宋体"/>
          <w:b w:val="0"/>
          <w:bCs w:val="0"/>
          <w:kern w:val="0"/>
          <w:szCs w:val="18"/>
          <w:highlight w:val="none"/>
          <w:lang w:val="en-US" w:eastAsia="zh-CN"/>
        </w:rPr>
        <w:t>8</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18</w:t>
      </w:r>
      <w:r>
        <w:rPr>
          <w:rFonts w:hint="eastAsia" w:ascii="宋体" w:hAnsi="宋体" w:cs="宋体"/>
          <w:b w:val="0"/>
          <w:bCs w:val="0"/>
          <w:kern w:val="0"/>
          <w:szCs w:val="18"/>
          <w:highlight w:val="none"/>
        </w:rPr>
        <w:t>日（法定公休日、法定节假日除外），每日上午9：00时至16：30时，在吉林省公共资源交易中心四楼（吉林省人民政府政务大厅楼内，长春市人民大街9999号）</w:t>
      </w:r>
      <w:r>
        <w:rPr>
          <w:rFonts w:hint="eastAsia" w:ascii="宋体" w:hAnsi="宋体" w:cs="宋体"/>
          <w:b w:val="0"/>
          <w:bCs w:val="0"/>
          <w:kern w:val="0"/>
          <w:szCs w:val="18"/>
          <w:highlight w:val="none"/>
          <w:lang w:eastAsia="zh-CN"/>
        </w:rPr>
        <w:t>吉林省智广工程项目管理有限公司</w:t>
      </w:r>
      <w:r>
        <w:rPr>
          <w:rFonts w:hint="eastAsia" w:ascii="宋体" w:hAnsi="宋体" w:cs="宋体"/>
          <w:b w:val="0"/>
          <w:bCs w:val="0"/>
          <w:kern w:val="0"/>
          <w:szCs w:val="18"/>
          <w:highlight w:val="none"/>
        </w:rPr>
        <w:t>窗口持单位介绍信获取书面招标文件</w:t>
      </w:r>
      <w:r>
        <w:rPr>
          <w:rFonts w:hint="eastAsia" w:ascii="宋体" w:hAnsi="宋体" w:cs="宋体"/>
          <w:b w:val="0"/>
          <w:bCs w:val="0"/>
          <w:kern w:val="0"/>
          <w:szCs w:val="18"/>
          <w:highlight w:val="none"/>
          <w:lang w:eastAsia="zh-CN"/>
        </w:rPr>
        <w:t>，未获取纸质招标文件的不能参加投标。</w:t>
      </w:r>
    </w:p>
    <w:p>
      <w:pPr>
        <w:autoSpaceDE w:val="0"/>
        <w:autoSpaceDN w:val="0"/>
        <w:adjustRightInd w:val="0"/>
        <w:ind w:firstLine="210" w:firstLineChars="1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rPr>
        <w:t>（2）投标人请于202</w:t>
      </w:r>
      <w:r>
        <w:rPr>
          <w:rFonts w:hint="eastAsia" w:ascii="宋体" w:hAnsi="宋体" w:cs="宋体"/>
          <w:b w:val="0"/>
          <w:bCs w:val="0"/>
          <w:kern w:val="0"/>
          <w:szCs w:val="18"/>
          <w:highlight w:val="none"/>
          <w:lang w:val="en-US" w:eastAsia="zh-CN"/>
        </w:rPr>
        <w:t>1</w:t>
      </w:r>
      <w:r>
        <w:rPr>
          <w:rFonts w:hint="eastAsia" w:ascii="宋体" w:hAnsi="宋体" w:cs="宋体"/>
          <w:b w:val="0"/>
          <w:bCs w:val="0"/>
          <w:kern w:val="0"/>
          <w:szCs w:val="18"/>
          <w:highlight w:val="none"/>
        </w:rPr>
        <w:t>年</w:t>
      </w:r>
      <w:r>
        <w:rPr>
          <w:rFonts w:hint="eastAsia" w:ascii="宋体" w:hAnsi="宋体" w:cs="宋体"/>
          <w:b w:val="0"/>
          <w:bCs w:val="0"/>
          <w:kern w:val="0"/>
          <w:szCs w:val="18"/>
          <w:highlight w:val="none"/>
          <w:lang w:val="en-US" w:eastAsia="zh-CN"/>
        </w:rPr>
        <w:t>8</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12</w:t>
      </w:r>
      <w:r>
        <w:rPr>
          <w:rFonts w:hint="eastAsia" w:ascii="宋体" w:hAnsi="宋体" w:cs="宋体"/>
          <w:b w:val="0"/>
          <w:bCs w:val="0"/>
          <w:kern w:val="0"/>
          <w:szCs w:val="18"/>
          <w:highlight w:val="none"/>
        </w:rPr>
        <w:t>日至2021年</w:t>
      </w:r>
      <w:r>
        <w:rPr>
          <w:rFonts w:hint="eastAsia" w:ascii="宋体" w:hAnsi="宋体" w:cs="宋体"/>
          <w:b w:val="0"/>
          <w:bCs w:val="0"/>
          <w:kern w:val="0"/>
          <w:szCs w:val="18"/>
          <w:highlight w:val="none"/>
          <w:lang w:val="en-US" w:eastAsia="zh-CN"/>
        </w:rPr>
        <w:t>8</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18</w:t>
      </w:r>
      <w:r>
        <w:rPr>
          <w:rFonts w:hint="eastAsia" w:ascii="宋体" w:hAnsi="宋体" w:cs="宋体"/>
          <w:b w:val="0"/>
          <w:bCs w:val="0"/>
          <w:kern w:val="0"/>
          <w:szCs w:val="18"/>
          <w:highlight w:val="none"/>
        </w:rPr>
        <w:t>日在“吉林省公共资源交易中心交易平台”自行下载招标文件，投标人必须下载招标文件后才能在交易平台上传电子投标文件。</w:t>
      </w:r>
    </w:p>
    <w:p>
      <w:pPr>
        <w:ind w:firstLine="422" w:firstLineChars="200"/>
        <w:rPr>
          <w:rFonts w:hint="eastAsia" w:ascii="宋体" w:hAnsi="宋体" w:cs="宋体"/>
          <w:b/>
          <w:bCs/>
          <w:kern w:val="0"/>
          <w:szCs w:val="18"/>
          <w:highlight w:val="none"/>
        </w:rPr>
      </w:pPr>
      <w:r>
        <w:rPr>
          <w:rFonts w:hint="eastAsia" w:ascii="宋体" w:hAnsi="宋体" w:cs="宋体"/>
          <w:b/>
          <w:bCs/>
          <w:kern w:val="0"/>
          <w:szCs w:val="18"/>
          <w:highlight w:val="none"/>
          <w:lang w:val="en-US" w:eastAsia="zh-CN"/>
        </w:rPr>
        <w:t>7</w:t>
      </w:r>
      <w:r>
        <w:rPr>
          <w:rFonts w:hint="eastAsia" w:ascii="宋体" w:hAnsi="宋体" w:cs="宋体"/>
          <w:b/>
          <w:bCs/>
          <w:kern w:val="0"/>
          <w:szCs w:val="18"/>
          <w:highlight w:val="none"/>
        </w:rPr>
        <w:t>.投标文件的递交及相关事宜</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lang w:val="en-US" w:eastAsia="zh-CN"/>
        </w:rPr>
        <w:t>7</w:t>
      </w:r>
      <w:r>
        <w:rPr>
          <w:rFonts w:hint="eastAsia" w:ascii="宋体" w:hAnsi="宋体" w:cs="宋体"/>
          <w:b w:val="0"/>
          <w:bCs w:val="0"/>
          <w:kern w:val="0"/>
          <w:szCs w:val="18"/>
          <w:highlight w:val="none"/>
        </w:rPr>
        <w:t>.1</w:t>
      </w:r>
      <w:r>
        <w:rPr>
          <w:rFonts w:hint="eastAsia" w:ascii="宋体" w:hAnsi="宋体" w:cs="宋体"/>
          <w:b w:val="0"/>
          <w:bCs w:val="0"/>
          <w:kern w:val="0"/>
          <w:szCs w:val="18"/>
          <w:highlight w:val="none"/>
          <w:lang w:val="en-US" w:eastAsia="zh-CN"/>
        </w:rPr>
        <w:t xml:space="preserve"> </w:t>
      </w:r>
      <w:r>
        <w:rPr>
          <w:rFonts w:hint="eastAsia" w:ascii="宋体" w:hAnsi="宋体" w:cs="宋体"/>
          <w:b w:val="0"/>
          <w:bCs w:val="0"/>
          <w:kern w:val="0"/>
          <w:szCs w:val="18"/>
          <w:highlight w:val="none"/>
        </w:rPr>
        <w:t>招标人不组织工程现场踏勘，不召开投标预备会。</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lang w:val="en-US" w:eastAsia="zh-CN"/>
        </w:rPr>
        <w:t>7</w:t>
      </w:r>
      <w:r>
        <w:rPr>
          <w:rFonts w:hint="eastAsia" w:ascii="宋体" w:hAnsi="宋体" w:cs="宋体"/>
          <w:b w:val="0"/>
          <w:bCs w:val="0"/>
          <w:kern w:val="0"/>
          <w:szCs w:val="18"/>
          <w:highlight w:val="none"/>
        </w:rPr>
        <w:t>.2</w:t>
      </w:r>
      <w:r>
        <w:rPr>
          <w:rFonts w:hint="eastAsia" w:ascii="宋体" w:hAnsi="宋体" w:cs="宋体"/>
          <w:b w:val="0"/>
          <w:bCs w:val="0"/>
          <w:kern w:val="0"/>
          <w:szCs w:val="18"/>
          <w:highlight w:val="none"/>
          <w:lang w:val="en-US" w:eastAsia="zh-CN"/>
        </w:rPr>
        <w:t xml:space="preserve"> </w:t>
      </w:r>
      <w:r>
        <w:rPr>
          <w:rFonts w:hint="eastAsia" w:ascii="宋体" w:hAnsi="宋体" w:cs="宋体"/>
          <w:b w:val="0"/>
          <w:bCs w:val="0"/>
          <w:kern w:val="0"/>
          <w:szCs w:val="18"/>
          <w:highlight w:val="none"/>
        </w:rPr>
        <w:t>投标文件递交的截止时间（投标截止时间，下同）为2021年</w:t>
      </w:r>
      <w:r>
        <w:rPr>
          <w:rFonts w:hint="eastAsia" w:ascii="宋体" w:hAnsi="宋体" w:cs="宋体"/>
          <w:b w:val="0"/>
          <w:bCs w:val="0"/>
          <w:kern w:val="0"/>
          <w:szCs w:val="18"/>
          <w:highlight w:val="none"/>
          <w:lang w:val="en-US" w:eastAsia="zh-CN"/>
        </w:rPr>
        <w:t>9</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2</w:t>
      </w:r>
      <w:r>
        <w:rPr>
          <w:rFonts w:hint="eastAsia" w:ascii="宋体" w:hAnsi="宋体" w:cs="宋体"/>
          <w:b w:val="0"/>
          <w:bCs w:val="0"/>
          <w:kern w:val="0"/>
          <w:szCs w:val="18"/>
          <w:highlight w:val="none"/>
        </w:rPr>
        <w:t>日</w:t>
      </w:r>
      <w:r>
        <w:rPr>
          <w:rFonts w:hint="eastAsia" w:ascii="宋体" w:hAnsi="宋体" w:cs="宋体"/>
          <w:b w:val="0"/>
          <w:bCs w:val="0"/>
          <w:kern w:val="0"/>
          <w:szCs w:val="18"/>
          <w:highlight w:val="none"/>
          <w:lang w:val="en-US" w:eastAsia="zh-CN"/>
        </w:rPr>
        <w:t>09</w:t>
      </w:r>
      <w:r>
        <w:rPr>
          <w:rFonts w:hint="eastAsia" w:ascii="宋体" w:hAnsi="宋体" w:cs="宋体"/>
          <w:b w:val="0"/>
          <w:bCs w:val="0"/>
          <w:kern w:val="0"/>
          <w:szCs w:val="18"/>
          <w:highlight w:val="none"/>
        </w:rPr>
        <w:t>时</w:t>
      </w:r>
      <w:r>
        <w:rPr>
          <w:rFonts w:hint="eastAsia" w:ascii="宋体" w:hAnsi="宋体" w:cs="宋体"/>
          <w:b w:val="0"/>
          <w:bCs w:val="0"/>
          <w:kern w:val="0"/>
          <w:szCs w:val="18"/>
          <w:highlight w:val="none"/>
          <w:lang w:val="en-US" w:eastAsia="zh-CN"/>
        </w:rPr>
        <w:t>30</w:t>
      </w:r>
      <w:r>
        <w:rPr>
          <w:rFonts w:hint="eastAsia" w:ascii="宋体" w:hAnsi="宋体" w:cs="宋体"/>
          <w:b w:val="0"/>
          <w:bCs w:val="0"/>
          <w:kern w:val="0"/>
          <w:szCs w:val="18"/>
          <w:highlight w:val="none"/>
        </w:rPr>
        <w:t>分，采用以下两种方式递交投标文件：</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rPr>
        <w:t>（1）投标人应于当日9时00分至</w:t>
      </w:r>
      <w:r>
        <w:rPr>
          <w:rFonts w:hint="eastAsia" w:ascii="宋体" w:hAnsi="宋体" w:cs="宋体"/>
          <w:b w:val="0"/>
          <w:bCs w:val="0"/>
          <w:kern w:val="0"/>
          <w:szCs w:val="18"/>
          <w:highlight w:val="none"/>
          <w:lang w:val="en-US" w:eastAsia="zh-CN"/>
        </w:rPr>
        <w:t>09</w:t>
      </w:r>
      <w:r>
        <w:rPr>
          <w:rFonts w:hint="eastAsia" w:ascii="宋体" w:hAnsi="宋体" w:cs="宋体"/>
          <w:b w:val="0"/>
          <w:bCs w:val="0"/>
          <w:kern w:val="0"/>
          <w:szCs w:val="18"/>
          <w:highlight w:val="none"/>
        </w:rPr>
        <w:t>时</w:t>
      </w:r>
      <w:r>
        <w:rPr>
          <w:rFonts w:hint="eastAsia" w:ascii="宋体" w:hAnsi="宋体" w:cs="宋体"/>
          <w:b w:val="0"/>
          <w:bCs w:val="0"/>
          <w:kern w:val="0"/>
          <w:szCs w:val="18"/>
          <w:highlight w:val="none"/>
          <w:lang w:val="en-US" w:eastAsia="zh-CN"/>
        </w:rPr>
        <w:t>30</w:t>
      </w:r>
      <w:r>
        <w:rPr>
          <w:rFonts w:hint="eastAsia" w:ascii="宋体" w:hAnsi="宋体" w:cs="宋体"/>
          <w:b w:val="0"/>
          <w:bCs w:val="0"/>
          <w:kern w:val="0"/>
          <w:szCs w:val="18"/>
          <w:highlight w:val="none"/>
        </w:rPr>
        <w:t>分将纸质投标文件递交至吉林省公共资源交易中心四楼开标室（吉林省人民政府政务大厅楼内，长春市人民大街9999号）。</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rPr>
        <w:t>（2）投标人应在2021年</w:t>
      </w:r>
      <w:r>
        <w:rPr>
          <w:rFonts w:hint="eastAsia" w:ascii="宋体" w:hAnsi="宋体" w:cs="宋体"/>
          <w:b w:val="0"/>
          <w:bCs w:val="0"/>
          <w:kern w:val="0"/>
          <w:szCs w:val="18"/>
          <w:highlight w:val="none"/>
          <w:lang w:val="en-US" w:eastAsia="zh-CN"/>
        </w:rPr>
        <w:t>9</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2</w:t>
      </w:r>
      <w:r>
        <w:rPr>
          <w:rFonts w:hint="eastAsia" w:ascii="宋体" w:hAnsi="宋体" w:cs="宋体"/>
          <w:b w:val="0"/>
          <w:bCs w:val="0"/>
          <w:kern w:val="0"/>
          <w:szCs w:val="18"/>
          <w:highlight w:val="none"/>
        </w:rPr>
        <w:t>日</w:t>
      </w:r>
      <w:r>
        <w:rPr>
          <w:rFonts w:hint="eastAsia" w:ascii="宋体" w:hAnsi="宋体" w:cs="宋体"/>
          <w:b w:val="0"/>
          <w:bCs w:val="0"/>
          <w:kern w:val="0"/>
          <w:szCs w:val="18"/>
          <w:highlight w:val="none"/>
          <w:lang w:val="en-US" w:eastAsia="zh-CN"/>
        </w:rPr>
        <w:t>09</w:t>
      </w:r>
      <w:r>
        <w:rPr>
          <w:rFonts w:hint="eastAsia" w:ascii="宋体" w:hAnsi="宋体" w:cs="宋体"/>
          <w:b w:val="0"/>
          <w:bCs w:val="0"/>
          <w:kern w:val="0"/>
          <w:szCs w:val="18"/>
          <w:highlight w:val="none"/>
        </w:rPr>
        <w:t>时</w:t>
      </w:r>
      <w:r>
        <w:rPr>
          <w:rFonts w:hint="eastAsia" w:ascii="宋体" w:hAnsi="宋体" w:cs="宋体"/>
          <w:b w:val="0"/>
          <w:bCs w:val="0"/>
          <w:kern w:val="0"/>
          <w:szCs w:val="18"/>
          <w:highlight w:val="none"/>
          <w:lang w:val="en-US" w:eastAsia="zh-CN"/>
        </w:rPr>
        <w:t>30</w:t>
      </w:r>
      <w:r>
        <w:rPr>
          <w:rFonts w:hint="eastAsia" w:ascii="宋体" w:hAnsi="宋体" w:cs="宋体"/>
          <w:b w:val="0"/>
          <w:bCs w:val="0"/>
          <w:kern w:val="0"/>
          <w:szCs w:val="18"/>
          <w:highlight w:val="none"/>
        </w:rPr>
        <w:t>分前（不含</w:t>
      </w:r>
      <w:r>
        <w:rPr>
          <w:rFonts w:hint="eastAsia" w:ascii="宋体" w:hAnsi="宋体" w:cs="宋体"/>
          <w:b w:val="0"/>
          <w:bCs w:val="0"/>
          <w:kern w:val="0"/>
          <w:szCs w:val="18"/>
          <w:highlight w:val="none"/>
          <w:lang w:val="en-US" w:eastAsia="zh-CN"/>
        </w:rPr>
        <w:t>09</w:t>
      </w:r>
      <w:r>
        <w:rPr>
          <w:rFonts w:hint="eastAsia" w:ascii="宋体" w:hAnsi="宋体" w:cs="宋体"/>
          <w:b w:val="0"/>
          <w:bCs w:val="0"/>
          <w:kern w:val="0"/>
          <w:szCs w:val="18"/>
          <w:highlight w:val="none"/>
        </w:rPr>
        <w:t>时</w:t>
      </w:r>
      <w:r>
        <w:rPr>
          <w:rFonts w:hint="eastAsia" w:ascii="宋体" w:hAnsi="宋体" w:cs="宋体"/>
          <w:b w:val="0"/>
          <w:bCs w:val="0"/>
          <w:kern w:val="0"/>
          <w:szCs w:val="18"/>
          <w:highlight w:val="none"/>
          <w:lang w:val="en-US" w:eastAsia="zh-CN"/>
        </w:rPr>
        <w:t>30</w:t>
      </w:r>
      <w:r>
        <w:rPr>
          <w:rFonts w:hint="eastAsia" w:ascii="宋体" w:hAnsi="宋体" w:cs="宋体"/>
          <w:b w:val="0"/>
          <w:bCs w:val="0"/>
          <w:kern w:val="0"/>
          <w:szCs w:val="18"/>
          <w:highlight w:val="none"/>
        </w:rPr>
        <w:t>分）将电子投标文件上传至“吉林省公共资源交易中心交易平台”。</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rPr>
        <w:t>7.3投标文件第一个信封（商务及技术文件）开标时间：同投标截止时间，开标地点：吉林省公共资源交易中心四楼开标室；投标文件第二个信封（报价文件）开标时间：2021年</w:t>
      </w:r>
      <w:r>
        <w:rPr>
          <w:rFonts w:hint="eastAsia" w:ascii="宋体" w:hAnsi="宋体" w:cs="宋体"/>
          <w:b w:val="0"/>
          <w:bCs w:val="0"/>
          <w:kern w:val="0"/>
          <w:szCs w:val="18"/>
          <w:highlight w:val="none"/>
          <w:lang w:val="en-US" w:eastAsia="zh-CN"/>
        </w:rPr>
        <w:t>9</w:t>
      </w:r>
      <w:r>
        <w:rPr>
          <w:rFonts w:hint="eastAsia" w:ascii="宋体" w:hAnsi="宋体" w:cs="宋体"/>
          <w:b w:val="0"/>
          <w:bCs w:val="0"/>
          <w:kern w:val="0"/>
          <w:szCs w:val="18"/>
          <w:highlight w:val="none"/>
        </w:rPr>
        <w:t>月</w:t>
      </w:r>
      <w:r>
        <w:rPr>
          <w:rFonts w:hint="eastAsia" w:ascii="宋体" w:hAnsi="宋体" w:cs="宋体"/>
          <w:b w:val="0"/>
          <w:bCs w:val="0"/>
          <w:kern w:val="0"/>
          <w:szCs w:val="18"/>
          <w:highlight w:val="none"/>
          <w:lang w:val="en-US" w:eastAsia="zh-CN"/>
        </w:rPr>
        <w:t>2</w:t>
      </w:r>
      <w:r>
        <w:rPr>
          <w:rFonts w:hint="eastAsia" w:ascii="宋体" w:hAnsi="宋体" w:cs="宋体"/>
          <w:b w:val="0"/>
          <w:bCs w:val="0"/>
          <w:kern w:val="0"/>
          <w:szCs w:val="18"/>
          <w:highlight w:val="none"/>
        </w:rPr>
        <w:t>日14时00分，开标地点：吉林省公共资源交易中心四楼开标室。</w:t>
      </w:r>
    </w:p>
    <w:p>
      <w:pPr>
        <w:autoSpaceDE w:val="0"/>
        <w:autoSpaceDN w:val="0"/>
        <w:adjustRightInd w:val="0"/>
        <w:ind w:firstLine="420" w:firstLineChars="200"/>
        <w:jc w:val="left"/>
        <w:rPr>
          <w:rFonts w:hint="eastAsia" w:ascii="宋体" w:hAnsi="宋体" w:cs="宋体"/>
          <w:b w:val="0"/>
          <w:bCs w:val="0"/>
          <w:kern w:val="0"/>
          <w:szCs w:val="18"/>
          <w:highlight w:val="none"/>
        </w:rPr>
      </w:pPr>
      <w:r>
        <w:rPr>
          <w:rFonts w:hint="eastAsia" w:ascii="宋体" w:hAnsi="宋体" w:cs="宋体"/>
          <w:b w:val="0"/>
          <w:bCs w:val="0"/>
          <w:kern w:val="0"/>
          <w:szCs w:val="18"/>
          <w:highlight w:val="none"/>
          <w:lang w:val="en-US" w:eastAsia="zh-CN"/>
        </w:rPr>
        <w:t>7</w:t>
      </w:r>
      <w:r>
        <w:rPr>
          <w:rFonts w:hint="eastAsia" w:ascii="宋体" w:hAnsi="宋体" w:cs="宋体"/>
          <w:b w:val="0"/>
          <w:bCs w:val="0"/>
          <w:kern w:val="0"/>
          <w:szCs w:val="18"/>
          <w:highlight w:val="none"/>
        </w:rPr>
        <w:t>.</w:t>
      </w:r>
      <w:r>
        <w:rPr>
          <w:rFonts w:hint="eastAsia" w:ascii="宋体" w:hAnsi="宋体" w:cs="宋体"/>
          <w:b w:val="0"/>
          <w:bCs w:val="0"/>
          <w:kern w:val="0"/>
          <w:szCs w:val="18"/>
          <w:highlight w:val="none"/>
          <w:lang w:val="en-US" w:eastAsia="zh-CN"/>
        </w:rPr>
        <w:t>4</w:t>
      </w:r>
      <w:r>
        <w:rPr>
          <w:rFonts w:hint="eastAsia" w:ascii="宋体" w:hAnsi="宋体" w:cs="宋体"/>
          <w:b w:val="0"/>
          <w:bCs w:val="0"/>
          <w:kern w:val="0"/>
          <w:szCs w:val="18"/>
          <w:highlight w:val="none"/>
        </w:rPr>
        <w:t>逾期送达的、未送达指定地点的或不按照招标文件要求密封的纸质投标文件</w:t>
      </w:r>
      <w:r>
        <w:rPr>
          <w:rFonts w:hint="eastAsia" w:ascii="宋体" w:hAnsi="宋体" w:cs="宋体"/>
          <w:b w:val="0"/>
          <w:bCs w:val="0"/>
          <w:kern w:val="0"/>
          <w:szCs w:val="18"/>
          <w:highlight w:val="none"/>
        </w:rPr>
        <w:t>，招标人将予以拒收。电子投标文件逾期上传的，“吉林省公共资源交易中心交易平台”将予以拒收。</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210" w:firstLineChars="100"/>
        <w:jc w:val="left"/>
        <w:textAlignment w:val="auto"/>
        <w:rPr>
          <w:rFonts w:hint="eastAsia" w:ascii="宋体" w:hAnsi="宋体" w:eastAsia="宋体" w:cs="宋体"/>
          <w:b w:val="0"/>
          <w:bCs w:val="0"/>
          <w:kern w:val="0"/>
          <w:szCs w:val="18"/>
          <w:highlight w:val="none"/>
        </w:rPr>
      </w:pPr>
    </w:p>
    <w:p>
      <w:pPr>
        <w:pStyle w:val="5"/>
        <w:pageBreakBefore w:val="0"/>
        <w:numPr>
          <w:ilvl w:val="0"/>
          <w:numId w:val="3"/>
        </w:numPr>
        <w:kinsoku/>
        <w:wordWrap/>
        <w:overflowPunct/>
        <w:topLinePunct w:val="0"/>
        <w:bidi w:val="0"/>
        <w:adjustRightInd w:val="0"/>
        <w:snapToGrid w:val="0"/>
        <w:spacing w:before="0" w:beforeAutospacing="0" w:after="0" w:afterAutospacing="0" w:line="240" w:lineRule="auto"/>
        <w:ind w:left="0" w:leftChars="0" w:right="0"/>
        <w:jc w:val="both"/>
        <w:textAlignment w:val="auto"/>
        <w:rPr>
          <w:rFonts w:hint="eastAsia" w:ascii="宋体" w:hAnsi="宋体" w:eastAsia="宋体" w:cs="宋体"/>
          <w:b/>
          <w:bCs/>
          <w:kern w:val="0"/>
          <w:sz w:val="21"/>
          <w:szCs w:val="18"/>
          <w:highlight w:val="none"/>
          <w:lang w:val="en-US" w:eastAsia="zh-CN" w:bidi="ar-SA"/>
        </w:rPr>
      </w:pPr>
      <w:bookmarkStart w:id="29" w:name="_GoBack"/>
      <w:bookmarkEnd w:id="29"/>
      <w:r>
        <w:rPr>
          <w:rFonts w:hint="eastAsia" w:ascii="宋体" w:hAnsi="宋体" w:eastAsia="宋体" w:cs="宋体"/>
          <w:szCs w:val="24"/>
          <w:highlight w:val="none"/>
        </w:rPr>
        <w:br w:type="page"/>
      </w:r>
      <w:bookmarkStart w:id="10" w:name="_Toc462671337"/>
      <w:bookmarkStart w:id="11" w:name="_Toc76911070"/>
      <w:bookmarkStart w:id="12" w:name="_Toc498955117"/>
      <w:r>
        <w:rPr>
          <w:rFonts w:hint="eastAsia" w:ascii="宋体" w:hAnsi="宋体" w:eastAsia="宋体" w:cs="宋体"/>
          <w:b/>
          <w:bCs/>
          <w:kern w:val="0"/>
          <w:sz w:val="21"/>
          <w:szCs w:val="18"/>
          <w:highlight w:val="none"/>
          <w:lang w:val="en-US" w:eastAsia="zh-CN" w:bidi="ar-SA"/>
        </w:rPr>
        <w:t>投标人须知前附表</w:t>
      </w:r>
      <w:bookmarkEnd w:id="10"/>
      <w:bookmarkEnd w:id="11"/>
      <w:bookmarkEnd w:id="12"/>
      <w:r>
        <w:rPr>
          <w:rFonts w:hint="eastAsia" w:ascii="宋体" w:hAnsi="宋体" w:eastAsia="宋体" w:cs="宋体"/>
          <w:b/>
          <w:bCs/>
          <w:kern w:val="0"/>
          <w:sz w:val="21"/>
          <w:szCs w:val="18"/>
          <w:highlight w:val="none"/>
          <w:lang w:val="en-US" w:eastAsia="zh-CN" w:bidi="ar-SA"/>
        </w:rPr>
        <w:footnoteReference w:id="0"/>
      </w:r>
    </w:p>
    <w:tbl>
      <w:tblPr>
        <w:tblStyle w:val="43"/>
        <w:tblW w:w="94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951"/>
        <w:gridCol w:w="2002"/>
        <w:gridCol w:w="65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951" w:type="dxa"/>
            <w:vAlign w:val="center"/>
          </w:tcPr>
          <w:p>
            <w:pPr>
              <w:spacing w:line="240" w:lineRule="auto"/>
              <w:jc w:val="center"/>
              <w:rPr>
                <w:szCs w:val="21"/>
                <w:highlight w:val="none"/>
              </w:rPr>
            </w:pPr>
            <w:r>
              <w:rPr>
                <w:rFonts w:hint="eastAsia" w:hAnsi="宋体"/>
                <w:szCs w:val="21"/>
                <w:highlight w:val="none"/>
              </w:rPr>
              <w:t>条款号</w:t>
            </w:r>
          </w:p>
        </w:tc>
        <w:tc>
          <w:tcPr>
            <w:tcW w:w="2002" w:type="dxa"/>
            <w:vAlign w:val="center"/>
          </w:tcPr>
          <w:p>
            <w:pPr>
              <w:spacing w:line="240" w:lineRule="auto"/>
              <w:jc w:val="center"/>
              <w:rPr>
                <w:szCs w:val="21"/>
                <w:highlight w:val="none"/>
              </w:rPr>
            </w:pPr>
            <w:r>
              <w:rPr>
                <w:rFonts w:hint="eastAsia" w:hAnsi="宋体"/>
                <w:szCs w:val="21"/>
                <w:highlight w:val="none"/>
              </w:rPr>
              <w:t>条款名称</w:t>
            </w:r>
          </w:p>
        </w:tc>
        <w:tc>
          <w:tcPr>
            <w:tcW w:w="6505" w:type="dxa"/>
            <w:vAlign w:val="center"/>
          </w:tcPr>
          <w:p>
            <w:pPr>
              <w:spacing w:line="240" w:lineRule="auto"/>
              <w:jc w:val="center"/>
              <w:rPr>
                <w:szCs w:val="21"/>
                <w:highlight w:val="none"/>
              </w:rPr>
            </w:pPr>
            <w:r>
              <w:rPr>
                <w:rFonts w:hint="eastAsia" w:hAnsi="宋体"/>
                <w:szCs w:val="21"/>
                <w:highlight w:val="non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1.1.2</w:t>
            </w:r>
          </w:p>
        </w:tc>
        <w:tc>
          <w:tcPr>
            <w:tcW w:w="2002" w:type="dxa"/>
            <w:vAlign w:val="center"/>
          </w:tcPr>
          <w:p>
            <w:pPr>
              <w:spacing w:line="240" w:lineRule="auto"/>
              <w:jc w:val="center"/>
              <w:rPr>
                <w:rFonts w:ascii="Batang" w:hAnsi="Batang" w:eastAsia="Batang"/>
                <w:szCs w:val="21"/>
                <w:highlight w:val="none"/>
              </w:rPr>
            </w:pPr>
            <w:r>
              <w:rPr>
                <w:rFonts w:hint="eastAsia" w:ascii="Batang" w:hAnsi="Batang"/>
                <w:szCs w:val="21"/>
                <w:highlight w:val="none"/>
              </w:rPr>
              <w:t>招</w:t>
            </w:r>
            <w:r>
              <w:rPr>
                <w:rFonts w:hint="eastAsia" w:ascii="Batang" w:hAnsi="宋体"/>
                <w:szCs w:val="21"/>
                <w:highlight w:val="none"/>
              </w:rPr>
              <w:t>标</w:t>
            </w:r>
            <w:r>
              <w:rPr>
                <w:rFonts w:hint="eastAsia" w:ascii="Batang" w:hAnsi="Batang"/>
                <w:szCs w:val="21"/>
                <w:highlight w:val="none"/>
              </w:rPr>
              <w:t>人</w:t>
            </w:r>
          </w:p>
        </w:tc>
        <w:tc>
          <w:tcPr>
            <w:tcW w:w="6505" w:type="dxa"/>
            <w:vAlign w:val="center"/>
          </w:tcPr>
          <w:p>
            <w:pPr>
              <w:spacing w:line="240" w:lineRule="auto"/>
              <w:rPr>
                <w:rFonts w:hint="eastAsia" w:ascii="宋体" w:hAnsi="宋体" w:cs="宋体"/>
                <w:kern w:val="0"/>
                <w:szCs w:val="21"/>
                <w:highlight w:val="none"/>
                <w:lang w:eastAsia="zh-CN" w:bidi="zh-CN"/>
              </w:rPr>
            </w:pPr>
            <w:r>
              <w:rPr>
                <w:rFonts w:hint="eastAsia" w:ascii="宋体" w:hAnsi="宋体" w:cs="宋体"/>
                <w:kern w:val="0"/>
                <w:szCs w:val="21"/>
                <w:highlight w:val="none"/>
                <w:lang w:bidi="zh-CN"/>
              </w:rPr>
              <w:t>招标人：</w:t>
            </w:r>
            <w:r>
              <w:rPr>
                <w:rFonts w:hint="eastAsia" w:ascii="宋体" w:hAnsi="宋体" w:cs="宋体"/>
                <w:kern w:val="0"/>
                <w:szCs w:val="21"/>
                <w:highlight w:val="none"/>
                <w:lang w:eastAsia="zh-CN" w:bidi="zh-CN"/>
              </w:rPr>
              <w:t>四平市建融交通投资集团有限公司</w:t>
            </w:r>
          </w:p>
          <w:p>
            <w:pPr>
              <w:spacing w:line="240" w:lineRule="auto"/>
              <w:rPr>
                <w:rFonts w:hint="eastAsia" w:ascii="宋体" w:hAnsi="宋体" w:cs="宋体"/>
                <w:kern w:val="0"/>
                <w:szCs w:val="21"/>
                <w:highlight w:val="none"/>
                <w:lang w:eastAsia="zh-CN" w:bidi="zh-CN"/>
              </w:rPr>
            </w:pPr>
            <w:r>
              <w:rPr>
                <w:rFonts w:hint="eastAsia" w:ascii="宋体" w:hAnsi="宋体" w:cs="宋体"/>
                <w:kern w:val="0"/>
                <w:szCs w:val="21"/>
                <w:highlight w:val="none"/>
                <w:lang w:bidi="zh-CN"/>
              </w:rPr>
              <w:t>地址：</w:t>
            </w:r>
            <w:r>
              <w:rPr>
                <w:rFonts w:hint="eastAsia" w:ascii="宋体" w:hAnsi="宋体" w:cs="宋体"/>
                <w:kern w:val="0"/>
                <w:szCs w:val="21"/>
                <w:highlight w:val="none"/>
                <w:lang w:eastAsia="zh-CN" w:bidi="zh-CN"/>
              </w:rPr>
              <w:t>四平市铁西区站前街676号交通大厦六楼</w:t>
            </w:r>
          </w:p>
          <w:p>
            <w:pPr>
              <w:spacing w:line="240" w:lineRule="auto"/>
              <w:rPr>
                <w:rFonts w:hint="eastAsia" w:ascii="宋体" w:hAnsi="宋体" w:cs="宋体"/>
                <w:kern w:val="0"/>
                <w:szCs w:val="21"/>
                <w:highlight w:val="none"/>
                <w:lang w:eastAsia="zh-CN" w:bidi="zh-CN"/>
              </w:rPr>
            </w:pPr>
            <w:r>
              <w:rPr>
                <w:rFonts w:hint="eastAsia" w:ascii="宋体" w:hAnsi="宋体" w:cs="宋体"/>
                <w:kern w:val="0"/>
                <w:szCs w:val="21"/>
                <w:highlight w:val="none"/>
                <w:lang w:bidi="zh-CN"/>
              </w:rPr>
              <w:t>联系人：</w:t>
            </w:r>
            <w:r>
              <w:rPr>
                <w:rFonts w:hint="eastAsia" w:ascii="宋体" w:hAnsi="宋体" w:cs="宋体"/>
                <w:kern w:val="0"/>
                <w:szCs w:val="21"/>
                <w:highlight w:val="none"/>
                <w:lang w:eastAsia="zh-CN" w:bidi="zh-CN"/>
              </w:rPr>
              <w:t>赵金武</w:t>
            </w:r>
          </w:p>
          <w:p>
            <w:pPr>
              <w:spacing w:line="240" w:lineRule="auto"/>
              <w:rPr>
                <w:rFonts w:hint="eastAsia" w:ascii="宋体" w:hAnsi="宋体" w:cs="宋体"/>
                <w:kern w:val="0"/>
                <w:szCs w:val="21"/>
                <w:highlight w:val="none"/>
                <w:lang w:eastAsia="zh-CN" w:bidi="zh-CN"/>
              </w:rPr>
            </w:pPr>
            <w:r>
              <w:rPr>
                <w:rFonts w:hint="eastAsia" w:ascii="宋体" w:hAnsi="宋体" w:cs="宋体"/>
                <w:kern w:val="0"/>
                <w:szCs w:val="21"/>
                <w:highlight w:val="none"/>
                <w:lang w:bidi="zh-CN"/>
              </w:rPr>
              <w:t>电话：</w:t>
            </w:r>
            <w:r>
              <w:rPr>
                <w:rFonts w:hint="eastAsia" w:ascii="宋体" w:hAnsi="宋体" w:cs="宋体"/>
                <w:kern w:val="0"/>
                <w:szCs w:val="21"/>
                <w:highlight w:val="none"/>
                <w:lang w:eastAsia="zh-CN" w:bidi="zh-CN"/>
              </w:rPr>
              <w:t>0434-3283208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1.1.3</w:t>
            </w:r>
          </w:p>
        </w:tc>
        <w:tc>
          <w:tcPr>
            <w:tcW w:w="2002" w:type="dxa"/>
            <w:vAlign w:val="center"/>
          </w:tcPr>
          <w:p>
            <w:pPr>
              <w:spacing w:line="240" w:lineRule="auto"/>
              <w:jc w:val="center"/>
              <w:rPr>
                <w:rFonts w:ascii="宋体" w:hAnsi="宋体" w:cs="宋体"/>
                <w:kern w:val="0"/>
                <w:szCs w:val="21"/>
                <w:highlight w:val="none"/>
                <w:lang w:val="zh-CN" w:bidi="zh-CN"/>
              </w:rPr>
            </w:pPr>
            <w:r>
              <w:rPr>
                <w:rFonts w:hint="eastAsia" w:ascii="宋体" w:hAnsi="宋体" w:cs="宋体"/>
                <w:kern w:val="0"/>
                <w:szCs w:val="21"/>
                <w:highlight w:val="none"/>
                <w:lang w:val="zh-CN" w:bidi="zh-CN"/>
              </w:rPr>
              <w:t>招标代理机构</w:t>
            </w:r>
          </w:p>
        </w:tc>
        <w:tc>
          <w:tcPr>
            <w:tcW w:w="6505" w:type="dxa"/>
            <w:vAlign w:val="center"/>
          </w:tcPr>
          <w:p>
            <w:pPr>
              <w:spacing w:line="240" w:lineRule="auto"/>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名  称：吉林省智广工程项目管理有限公司</w:t>
            </w:r>
          </w:p>
          <w:p>
            <w:pPr>
              <w:spacing w:line="240" w:lineRule="auto"/>
              <w:rPr>
                <w:rFonts w:hint="eastAsia" w:ascii="宋体" w:hAnsi="宋体" w:cs="宋体"/>
                <w:kern w:val="0"/>
                <w:szCs w:val="21"/>
                <w:highlight w:val="none"/>
                <w:lang w:bidi="zh-CN"/>
              </w:rPr>
            </w:pPr>
            <w:r>
              <w:rPr>
                <w:rFonts w:hint="eastAsia" w:ascii="宋体" w:hAnsi="宋体" w:cs="宋体"/>
                <w:kern w:val="0"/>
                <w:szCs w:val="21"/>
                <w:highlight w:val="none"/>
                <w:lang w:bidi="zh-CN"/>
              </w:rPr>
              <w:t>地址：</w:t>
            </w:r>
            <w:r>
              <w:rPr>
                <w:rFonts w:hint="eastAsia" w:ascii="宋体" w:hAnsi="宋体" w:cs="宋体"/>
                <w:kern w:val="0"/>
                <w:szCs w:val="21"/>
                <w:highlight w:val="none"/>
                <w:lang w:val="en-US" w:eastAsia="zh-CN" w:bidi="zh-CN"/>
              </w:rPr>
              <w:t>长春市朝阳区卫星路7440号远创国际2、3号楼1306室</w:t>
            </w:r>
          </w:p>
          <w:p>
            <w:pPr>
              <w:spacing w:line="240" w:lineRule="auto"/>
              <w:rPr>
                <w:rFonts w:hint="eastAsia" w:ascii="宋体" w:hAnsi="宋体" w:cs="宋体"/>
                <w:kern w:val="0"/>
                <w:szCs w:val="21"/>
                <w:highlight w:val="none"/>
                <w:lang w:bidi="zh-CN"/>
              </w:rPr>
            </w:pPr>
            <w:r>
              <w:rPr>
                <w:rFonts w:hint="eastAsia" w:ascii="宋体" w:hAnsi="宋体" w:cs="宋体"/>
                <w:kern w:val="0"/>
                <w:szCs w:val="21"/>
                <w:highlight w:val="none"/>
                <w:lang w:bidi="zh-CN"/>
              </w:rPr>
              <w:t>联系人：</w:t>
            </w:r>
            <w:r>
              <w:rPr>
                <w:rFonts w:hint="eastAsia" w:ascii="宋体" w:hAnsi="宋体" w:cs="宋体"/>
                <w:kern w:val="0"/>
                <w:szCs w:val="21"/>
                <w:highlight w:val="none"/>
                <w:lang w:val="en-US" w:eastAsia="zh-CN" w:bidi="zh-CN"/>
              </w:rPr>
              <w:t>董女士</w:t>
            </w:r>
          </w:p>
          <w:p>
            <w:pPr>
              <w:spacing w:line="240" w:lineRule="auto"/>
              <w:rPr>
                <w:rFonts w:hint="default" w:ascii="宋体" w:hAnsi="宋体" w:cs="宋体"/>
                <w:kern w:val="0"/>
                <w:szCs w:val="21"/>
                <w:highlight w:val="none"/>
                <w:lang w:val="en-US" w:bidi="zh-CN"/>
              </w:rPr>
            </w:pPr>
            <w:r>
              <w:rPr>
                <w:rFonts w:hint="eastAsia" w:ascii="宋体" w:hAnsi="宋体" w:cs="宋体"/>
                <w:kern w:val="0"/>
                <w:szCs w:val="21"/>
                <w:highlight w:val="none"/>
                <w:lang w:bidi="zh-CN"/>
              </w:rPr>
              <w:t>电话：</w:t>
            </w:r>
            <w:r>
              <w:rPr>
                <w:rFonts w:hint="eastAsia" w:ascii="宋体" w:hAnsi="宋体" w:cs="宋体"/>
                <w:kern w:val="0"/>
                <w:szCs w:val="21"/>
                <w:highlight w:val="none"/>
                <w:lang w:val="en-US" w:eastAsia="zh-CN" w:bidi="zh-CN"/>
              </w:rPr>
              <w:t>0431-88035566  15943022888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1.1.4</w:t>
            </w:r>
          </w:p>
        </w:tc>
        <w:tc>
          <w:tcPr>
            <w:tcW w:w="2002" w:type="dxa"/>
            <w:vAlign w:val="center"/>
          </w:tcPr>
          <w:p>
            <w:pPr>
              <w:spacing w:line="240" w:lineRule="auto"/>
              <w:jc w:val="center"/>
              <w:rPr>
                <w:rFonts w:ascii="宋体" w:hAnsi="宋体" w:cs="宋体"/>
                <w:kern w:val="0"/>
                <w:szCs w:val="21"/>
                <w:highlight w:val="none"/>
                <w:lang w:val="zh-CN" w:bidi="zh-CN"/>
              </w:rPr>
            </w:pPr>
            <w:r>
              <w:rPr>
                <w:rFonts w:hint="eastAsia" w:ascii="宋体" w:hAnsi="宋体" w:cs="宋体"/>
                <w:kern w:val="0"/>
                <w:szCs w:val="21"/>
                <w:highlight w:val="none"/>
                <w:lang w:val="zh-CN" w:bidi="zh-CN"/>
              </w:rPr>
              <w:t>招标项目名称</w:t>
            </w:r>
          </w:p>
        </w:tc>
        <w:tc>
          <w:tcPr>
            <w:tcW w:w="6505" w:type="dxa"/>
            <w:vAlign w:val="center"/>
          </w:tcPr>
          <w:p>
            <w:pPr>
              <w:spacing w:line="240" w:lineRule="auto"/>
              <w:rPr>
                <w:rFonts w:hint="eastAsia" w:ascii="宋体" w:hAnsi="宋体" w:cs="宋体"/>
                <w:kern w:val="0"/>
                <w:szCs w:val="21"/>
                <w:highlight w:val="none"/>
                <w:lang w:bidi="zh-CN"/>
              </w:rPr>
            </w:pPr>
            <w:r>
              <w:rPr>
                <w:rFonts w:hint="eastAsia" w:ascii="宋体" w:hAnsi="宋体" w:cs="宋体"/>
                <w:kern w:val="0"/>
                <w:szCs w:val="21"/>
                <w:highlight w:val="none"/>
                <w:lang w:bidi="zh-CN"/>
              </w:rPr>
              <w:t>省道四杨公路（S513）叶赫至杨木林段改建工程监理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1.1.5</w:t>
            </w:r>
          </w:p>
        </w:tc>
        <w:tc>
          <w:tcPr>
            <w:tcW w:w="2002" w:type="dxa"/>
            <w:vAlign w:val="center"/>
          </w:tcPr>
          <w:p>
            <w:pPr>
              <w:spacing w:line="240" w:lineRule="auto"/>
              <w:jc w:val="center"/>
              <w:rPr>
                <w:rFonts w:ascii="宋体" w:hAnsi="宋体" w:cs="宋体"/>
                <w:kern w:val="0"/>
                <w:szCs w:val="21"/>
                <w:highlight w:val="none"/>
                <w:lang w:val="zh-CN" w:bidi="zh-CN"/>
              </w:rPr>
            </w:pPr>
            <w:r>
              <w:rPr>
                <w:rFonts w:hint="eastAsia" w:ascii="宋体" w:hAnsi="宋体" w:cs="宋体"/>
                <w:kern w:val="0"/>
                <w:szCs w:val="21"/>
                <w:highlight w:val="none"/>
                <w:lang w:val="zh-CN" w:bidi="zh-CN"/>
              </w:rPr>
              <w:t>标段建设地点</w:t>
            </w:r>
          </w:p>
        </w:tc>
        <w:tc>
          <w:tcPr>
            <w:tcW w:w="6505" w:type="dxa"/>
            <w:vAlign w:val="center"/>
          </w:tcPr>
          <w:p>
            <w:pPr>
              <w:spacing w:line="240" w:lineRule="auto"/>
              <w:rPr>
                <w:rFonts w:ascii="宋体" w:hAnsi="宋体" w:cs="宋体"/>
                <w:kern w:val="0"/>
                <w:szCs w:val="21"/>
                <w:highlight w:val="none"/>
                <w:lang w:bidi="zh-CN"/>
              </w:rPr>
            </w:pPr>
            <w:r>
              <w:rPr>
                <w:rFonts w:hint="eastAsia" w:ascii="宋体" w:hAnsi="宋体" w:cs="宋体"/>
                <w:spacing w:val="12"/>
                <w:kern w:val="0"/>
                <w:szCs w:val="21"/>
                <w:highlight w:val="none"/>
              </w:rPr>
              <w:t>吉林省四平市。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1.1.6</w:t>
            </w:r>
          </w:p>
        </w:tc>
        <w:tc>
          <w:tcPr>
            <w:tcW w:w="2002" w:type="dxa"/>
            <w:vAlign w:val="center"/>
          </w:tcPr>
          <w:p>
            <w:pPr>
              <w:spacing w:line="240" w:lineRule="auto"/>
              <w:jc w:val="center"/>
              <w:rPr>
                <w:rFonts w:ascii="宋体" w:hAnsi="宋体" w:cs="宋体"/>
                <w:kern w:val="0"/>
                <w:szCs w:val="21"/>
                <w:highlight w:val="none"/>
                <w:lang w:val="zh-CN" w:bidi="zh-CN"/>
              </w:rPr>
            </w:pPr>
            <w:r>
              <w:rPr>
                <w:rFonts w:hint="eastAsia" w:ascii="宋体" w:hAnsi="宋体" w:cs="宋体"/>
                <w:kern w:val="0"/>
                <w:szCs w:val="21"/>
                <w:highlight w:val="none"/>
                <w:lang w:val="zh-CN" w:bidi="zh-CN"/>
              </w:rPr>
              <w:t>标段建设规模</w:t>
            </w:r>
          </w:p>
        </w:tc>
        <w:tc>
          <w:tcPr>
            <w:tcW w:w="6505" w:type="dxa"/>
            <w:vAlign w:val="center"/>
          </w:tcPr>
          <w:p>
            <w:pPr>
              <w:spacing w:line="240" w:lineRule="auto"/>
              <w:rPr>
                <w:rFonts w:ascii="宋体" w:hAnsi="宋体" w:cs="宋体"/>
                <w:kern w:val="0"/>
                <w:szCs w:val="21"/>
                <w:highlight w:val="none"/>
                <w:lang w:bidi="zh-CN"/>
              </w:rPr>
            </w:pPr>
            <w:r>
              <w:rPr>
                <w:rFonts w:hint="eastAsia" w:ascii="宋体" w:hAnsi="宋体"/>
                <w:color w:val="000000"/>
                <w:szCs w:val="21"/>
                <w:highlight w:val="none"/>
              </w:rPr>
              <w:t>见招标公告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1.1.7</w:t>
            </w:r>
          </w:p>
        </w:tc>
        <w:tc>
          <w:tcPr>
            <w:tcW w:w="2002" w:type="dxa"/>
            <w:vAlign w:val="center"/>
          </w:tcPr>
          <w:p>
            <w:pPr>
              <w:spacing w:line="240" w:lineRule="auto"/>
              <w:jc w:val="center"/>
              <w:rPr>
                <w:rFonts w:hAnsi="宋体"/>
                <w:szCs w:val="21"/>
                <w:highlight w:val="none"/>
              </w:rPr>
            </w:pPr>
            <w:r>
              <w:rPr>
                <w:rFonts w:hint="eastAsia" w:hAnsi="宋体"/>
                <w:szCs w:val="21"/>
                <w:highlight w:val="none"/>
              </w:rPr>
              <w:t>招标项目施工预计开工日期和建设周期</w:t>
            </w:r>
          </w:p>
        </w:tc>
        <w:tc>
          <w:tcPr>
            <w:tcW w:w="6505" w:type="dxa"/>
            <w:vAlign w:val="center"/>
          </w:tcPr>
          <w:p>
            <w:pPr>
              <w:spacing w:line="240" w:lineRule="auto"/>
              <w:rPr>
                <w:rFonts w:hint="eastAsia" w:ascii="宋体" w:hAnsi="宋体" w:cs="宋体"/>
                <w:highlight w:val="none"/>
                <w:lang w:eastAsia="zh-CN"/>
              </w:rPr>
            </w:pPr>
            <w:r>
              <w:rPr>
                <w:rFonts w:hint="eastAsia" w:ascii="宋体" w:hAnsi="宋体" w:cs="宋体"/>
                <w:highlight w:val="none"/>
              </w:rPr>
              <w:t>施工标段计划工期：</w:t>
            </w:r>
            <w:r>
              <w:rPr>
                <w:rFonts w:hint="eastAsia" w:ascii="宋体" w:hAnsi="宋体" w:cs="宋体"/>
                <w:highlight w:val="none"/>
                <w:lang w:eastAsia="zh-CN"/>
              </w:rPr>
              <w:t>2021年</w:t>
            </w:r>
            <w:r>
              <w:rPr>
                <w:rFonts w:hint="eastAsia" w:ascii="宋体" w:hAnsi="宋体" w:cs="宋体"/>
                <w:highlight w:val="none"/>
                <w:lang w:val="en-US" w:eastAsia="zh-CN"/>
              </w:rPr>
              <w:t>9</w:t>
            </w:r>
            <w:r>
              <w:rPr>
                <w:rFonts w:hint="eastAsia" w:ascii="宋体" w:hAnsi="宋体" w:cs="宋体"/>
                <w:highlight w:val="none"/>
                <w:lang w:eastAsia="zh-CN"/>
              </w:rPr>
              <w:t>月</w:t>
            </w:r>
            <w:r>
              <w:rPr>
                <w:rFonts w:hint="eastAsia" w:ascii="宋体" w:hAnsi="宋体" w:cs="宋体"/>
                <w:highlight w:val="none"/>
                <w:lang w:val="en-US" w:eastAsia="zh-CN"/>
              </w:rPr>
              <w:t>8</w:t>
            </w:r>
            <w:r>
              <w:rPr>
                <w:rFonts w:hint="eastAsia" w:ascii="宋体" w:hAnsi="宋体" w:cs="宋体"/>
                <w:highlight w:val="none"/>
                <w:lang w:eastAsia="zh-CN"/>
              </w:rPr>
              <w:t>日-2022年11月30日，共计</w:t>
            </w:r>
            <w:r>
              <w:rPr>
                <w:rFonts w:hint="eastAsia" w:ascii="宋体" w:hAnsi="宋体" w:cs="宋体"/>
                <w:highlight w:val="none"/>
                <w:lang w:val="en-US" w:eastAsia="zh-CN"/>
              </w:rPr>
              <w:t>448</w:t>
            </w:r>
            <w:r>
              <w:rPr>
                <w:rFonts w:hint="eastAsia" w:ascii="宋体" w:hAnsi="宋体" w:cs="宋体"/>
                <w:highlight w:val="none"/>
                <w:lang w:eastAsia="zh-CN"/>
              </w:rPr>
              <w:t>日历天</w:t>
            </w:r>
            <w:r>
              <w:rPr>
                <w:rFonts w:hint="eastAsia" w:ascii="宋体" w:hAnsi="宋体" w:cs="宋体"/>
                <w:highlight w:val="none"/>
              </w:rPr>
              <w:t>。</w:t>
            </w:r>
          </w:p>
          <w:p>
            <w:pPr>
              <w:spacing w:line="240" w:lineRule="auto"/>
              <w:rPr>
                <w:rFonts w:ascii="宋体" w:hAnsi="宋体" w:cs="宋体"/>
                <w:highlight w:val="none"/>
              </w:rPr>
            </w:pPr>
            <w:r>
              <w:rPr>
                <w:rFonts w:hint="eastAsia" w:ascii="宋体" w:hAnsi="宋体" w:cs="宋体"/>
                <w:highlight w:val="none"/>
              </w:rPr>
              <w:t>监理标段服务期限：监理服务期预计为11</w:t>
            </w:r>
            <w:r>
              <w:rPr>
                <w:rFonts w:hint="eastAsia" w:ascii="宋体" w:hAnsi="宋体" w:cs="宋体"/>
                <w:highlight w:val="none"/>
                <w:lang w:val="en-US" w:eastAsia="zh-CN"/>
              </w:rPr>
              <w:t>79</w:t>
            </w:r>
            <w:r>
              <w:rPr>
                <w:rFonts w:hint="eastAsia" w:ascii="宋体" w:hAnsi="宋体" w:cs="宋体"/>
                <w:highlight w:val="none"/>
              </w:rPr>
              <w:t>日历天（施工期+缺陷责任期，包括施工准备阶段、施工阶段、交工验收与缺陷责任期阶段）。其中：施工计划工期</w:t>
            </w:r>
            <w:r>
              <w:rPr>
                <w:rFonts w:hint="eastAsia" w:ascii="宋体" w:hAnsi="宋体" w:cs="宋体"/>
                <w:highlight w:val="none"/>
                <w:lang w:eastAsia="zh-CN"/>
              </w:rPr>
              <w:t>2021年</w:t>
            </w:r>
            <w:r>
              <w:rPr>
                <w:rFonts w:hint="eastAsia" w:ascii="宋体" w:hAnsi="宋体" w:cs="宋体"/>
                <w:highlight w:val="none"/>
                <w:lang w:val="en-US" w:eastAsia="zh-CN"/>
              </w:rPr>
              <w:t>9</w:t>
            </w:r>
            <w:r>
              <w:rPr>
                <w:rFonts w:hint="eastAsia" w:ascii="宋体" w:hAnsi="宋体" w:cs="宋体"/>
                <w:highlight w:val="none"/>
                <w:lang w:eastAsia="zh-CN"/>
              </w:rPr>
              <w:t>月</w:t>
            </w:r>
            <w:r>
              <w:rPr>
                <w:rFonts w:hint="eastAsia" w:ascii="宋体" w:hAnsi="宋体" w:cs="宋体"/>
                <w:highlight w:val="none"/>
                <w:lang w:val="en-US" w:eastAsia="zh-CN"/>
              </w:rPr>
              <w:t>8</w:t>
            </w:r>
            <w:r>
              <w:rPr>
                <w:rFonts w:hint="eastAsia" w:ascii="宋体" w:hAnsi="宋体" w:cs="宋体"/>
                <w:highlight w:val="none"/>
                <w:lang w:eastAsia="zh-CN"/>
              </w:rPr>
              <w:t>日-2022年11月30日，共计</w:t>
            </w:r>
            <w:r>
              <w:rPr>
                <w:rFonts w:hint="eastAsia" w:ascii="宋体" w:hAnsi="宋体" w:cs="宋体"/>
                <w:highlight w:val="none"/>
                <w:lang w:val="en-US" w:eastAsia="zh-CN"/>
              </w:rPr>
              <w:t>448</w:t>
            </w:r>
            <w:r>
              <w:rPr>
                <w:rFonts w:hint="eastAsia" w:ascii="宋体" w:hAnsi="宋体" w:cs="宋体"/>
                <w:highlight w:val="none"/>
                <w:lang w:eastAsia="zh-CN"/>
              </w:rPr>
              <w:t>日历天</w:t>
            </w:r>
            <w:r>
              <w:rPr>
                <w:rFonts w:hint="eastAsia" w:ascii="宋体" w:hAnsi="宋体" w:cs="宋体"/>
                <w:highlight w:val="none"/>
              </w:rPr>
              <w:t>。缺陷责任期为731日历天（24个月）</w:t>
            </w:r>
            <w:r>
              <w:rPr>
                <w:rFonts w:hint="eastAsia" w:ascii="宋体" w:hAnsi="宋体" w:cs="宋体"/>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1.1.8</w:t>
            </w:r>
          </w:p>
        </w:tc>
        <w:tc>
          <w:tcPr>
            <w:tcW w:w="2002" w:type="dxa"/>
            <w:vAlign w:val="center"/>
          </w:tcPr>
          <w:p>
            <w:pPr>
              <w:spacing w:line="240" w:lineRule="auto"/>
              <w:jc w:val="center"/>
              <w:rPr>
                <w:rFonts w:hAnsi="宋体"/>
                <w:szCs w:val="21"/>
                <w:highlight w:val="none"/>
              </w:rPr>
            </w:pPr>
            <w:r>
              <w:rPr>
                <w:rFonts w:hint="eastAsia" w:hAnsi="宋体"/>
                <w:szCs w:val="21"/>
                <w:highlight w:val="none"/>
              </w:rPr>
              <w:t>建筑安装工程费/工程概算投资额</w:t>
            </w:r>
          </w:p>
        </w:tc>
        <w:tc>
          <w:tcPr>
            <w:tcW w:w="6505" w:type="dxa"/>
            <w:vAlign w:val="center"/>
          </w:tcPr>
          <w:p>
            <w:pPr>
              <w:spacing w:line="240" w:lineRule="auto"/>
              <w:rPr>
                <w:rFonts w:hint="default" w:ascii="宋体" w:hAnsi="宋体" w:eastAsia="宋体" w:cs="宋体"/>
                <w:highlight w:val="none"/>
                <w:lang w:val="en-US" w:eastAsia="zh-CN"/>
              </w:rPr>
            </w:pPr>
            <w:r>
              <w:rPr>
                <w:rFonts w:hint="eastAsia" w:ascii="宋体" w:hAnsi="宋体" w:cs="宋体"/>
                <w:highlight w:val="none"/>
                <w:lang w:val="en-US" w:eastAsia="zh-CN"/>
              </w:rPr>
              <w:t>13966.41万元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1.2.1</w:t>
            </w:r>
          </w:p>
        </w:tc>
        <w:tc>
          <w:tcPr>
            <w:tcW w:w="2002" w:type="dxa"/>
            <w:vAlign w:val="center"/>
          </w:tcPr>
          <w:p>
            <w:pPr>
              <w:spacing w:line="240" w:lineRule="auto"/>
              <w:jc w:val="center"/>
              <w:rPr>
                <w:rFonts w:ascii="宋体" w:hAnsi="宋体"/>
                <w:szCs w:val="21"/>
                <w:highlight w:val="none"/>
              </w:rPr>
            </w:pPr>
            <w:r>
              <w:rPr>
                <w:rFonts w:hint="eastAsia" w:ascii="宋体" w:hAnsi="宋体"/>
                <w:szCs w:val="21"/>
                <w:highlight w:val="none"/>
              </w:rPr>
              <w:t>资金来源及</w:t>
            </w:r>
            <w:r>
              <w:rPr>
                <w:rFonts w:hint="eastAsia" w:hAnsi="宋体"/>
                <w:szCs w:val="21"/>
                <w:highlight w:val="none"/>
              </w:rPr>
              <w:t>比例</w:t>
            </w:r>
          </w:p>
        </w:tc>
        <w:tc>
          <w:tcPr>
            <w:tcW w:w="6505" w:type="dxa"/>
            <w:vAlign w:val="center"/>
          </w:tcPr>
          <w:p>
            <w:pPr>
              <w:spacing w:line="240" w:lineRule="auto"/>
              <w:rPr>
                <w:rFonts w:hint="default" w:ascii="宋体" w:hAnsi="宋体" w:eastAsia="宋体"/>
                <w:szCs w:val="21"/>
                <w:highlight w:val="none"/>
                <w:lang w:val="en-US" w:eastAsia="zh-CN"/>
              </w:rPr>
            </w:pPr>
            <w:r>
              <w:rPr>
                <w:rFonts w:hint="eastAsia"/>
                <w:szCs w:val="21"/>
                <w:highlight w:val="none"/>
                <w:lang w:val="zh-CN"/>
              </w:rPr>
              <w:t>建设资金除申请省级投资补助资金外，其余资金由四平市财政性资金承担</w:t>
            </w:r>
            <w:r>
              <w:rPr>
                <w:szCs w:val="21"/>
                <w:highlight w:val="none"/>
                <w:lang w:val="zh-CN"/>
              </w:rPr>
              <w:t>，</w:t>
            </w:r>
            <w:r>
              <w:rPr>
                <w:rFonts w:hint="eastAsia" w:ascii="宋体" w:hAnsi="宋体"/>
                <w:szCs w:val="21"/>
                <w:highlight w:val="none"/>
              </w:rPr>
              <w:t>省级补助资金</w:t>
            </w:r>
            <w:r>
              <w:rPr>
                <w:rFonts w:hint="eastAsia" w:ascii="宋体" w:hAnsi="宋体"/>
                <w:szCs w:val="21"/>
                <w:highlight w:val="none"/>
                <w:lang w:val="en-US" w:eastAsia="zh-CN"/>
              </w:rPr>
              <w:t>28.64%，四平市财政性资金71.36%。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1.2.2</w:t>
            </w:r>
          </w:p>
        </w:tc>
        <w:tc>
          <w:tcPr>
            <w:tcW w:w="2002" w:type="dxa"/>
            <w:vAlign w:val="center"/>
          </w:tcPr>
          <w:p>
            <w:pPr>
              <w:spacing w:line="240" w:lineRule="auto"/>
              <w:jc w:val="center"/>
              <w:rPr>
                <w:rFonts w:hAnsi="宋体"/>
                <w:szCs w:val="21"/>
                <w:highlight w:val="none"/>
              </w:rPr>
            </w:pPr>
            <w:r>
              <w:rPr>
                <w:rFonts w:hint="eastAsia" w:hAnsi="宋体"/>
                <w:szCs w:val="21"/>
                <w:highlight w:val="none"/>
              </w:rPr>
              <w:t>资金落实情况</w:t>
            </w:r>
          </w:p>
        </w:tc>
        <w:tc>
          <w:tcPr>
            <w:tcW w:w="6505" w:type="dxa"/>
            <w:vAlign w:val="center"/>
          </w:tcPr>
          <w:p>
            <w:pPr>
              <w:spacing w:line="240" w:lineRule="auto"/>
              <w:rPr>
                <w:rFonts w:ascii="宋体" w:hAnsi="宋体"/>
                <w:szCs w:val="21"/>
                <w:highlight w:val="none"/>
              </w:rPr>
            </w:pPr>
            <w:r>
              <w:rPr>
                <w:rFonts w:hint="eastAsia" w:ascii="宋体" w:hAnsi="宋体" w:cs="宋体"/>
                <w:szCs w:val="21"/>
                <w:highlight w:val="none"/>
                <w:lang w:val="zh-CN"/>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1.3.1</w:t>
            </w:r>
          </w:p>
        </w:tc>
        <w:tc>
          <w:tcPr>
            <w:tcW w:w="2002" w:type="dxa"/>
            <w:vAlign w:val="center"/>
          </w:tcPr>
          <w:p>
            <w:pPr>
              <w:spacing w:line="240" w:lineRule="auto"/>
              <w:jc w:val="center"/>
              <w:rPr>
                <w:szCs w:val="21"/>
                <w:highlight w:val="none"/>
              </w:rPr>
            </w:pPr>
            <w:r>
              <w:rPr>
                <w:rFonts w:hint="eastAsia" w:hAnsi="宋体"/>
                <w:szCs w:val="21"/>
                <w:highlight w:val="none"/>
              </w:rPr>
              <w:t>招标范围</w:t>
            </w:r>
          </w:p>
        </w:tc>
        <w:tc>
          <w:tcPr>
            <w:tcW w:w="6505" w:type="dxa"/>
            <w:vAlign w:val="center"/>
          </w:tcPr>
          <w:p>
            <w:pPr>
              <w:spacing w:line="240" w:lineRule="auto"/>
              <w:rPr>
                <w:rFonts w:ascii="宋体" w:hAnsi="宋体" w:cs="宋体"/>
                <w:szCs w:val="21"/>
                <w:highlight w:val="none"/>
                <w:lang w:val="zh-CN"/>
              </w:rPr>
            </w:pPr>
            <w:r>
              <w:rPr>
                <w:rFonts w:ascii="宋体" w:hAnsi="宋体" w:cs="宋体"/>
                <w:kern w:val="0"/>
                <w:szCs w:val="21"/>
                <w:highlight w:val="none"/>
                <w:lang w:val="zh-CN"/>
              </w:rPr>
              <w:fldChar w:fldCharType="begin"/>
            </w:r>
            <w:r>
              <w:rPr>
                <w:rFonts w:hint="eastAsia" w:ascii="宋体" w:hAnsi="宋体" w:cs="宋体"/>
                <w:kern w:val="0"/>
                <w:szCs w:val="21"/>
                <w:highlight w:val="none"/>
                <w:lang w:val="zh-CN"/>
              </w:rPr>
              <w:instrText xml:space="preserve">eq \o\ac(□,√)</w:instrText>
            </w:r>
            <w:r>
              <w:rPr>
                <w:rFonts w:ascii="宋体" w:hAnsi="宋体" w:cs="宋体"/>
                <w:kern w:val="0"/>
                <w:szCs w:val="21"/>
                <w:highlight w:val="none"/>
                <w:lang w:val="zh-CN"/>
              </w:rPr>
              <w:fldChar w:fldCharType="end"/>
            </w:r>
            <w:r>
              <w:rPr>
                <w:rFonts w:hint="eastAsia" w:ascii="宋体" w:hAnsi="宋体" w:cs="宋体"/>
                <w:szCs w:val="21"/>
                <w:highlight w:val="none"/>
                <w:lang w:val="zh-CN"/>
              </w:rPr>
              <w:t>总监理工程师办公室</w:t>
            </w:r>
            <w:r>
              <w:rPr>
                <w:rFonts w:hint="eastAsia" w:ascii="宋体" w:hAnsi="宋体"/>
                <w:color w:val="000000"/>
                <w:szCs w:val="21"/>
                <w:highlight w:val="none"/>
              </w:rPr>
              <w:t>（含中心试验室）</w:t>
            </w:r>
            <w:r>
              <w:rPr>
                <w:rFonts w:hint="eastAsia" w:ascii="宋体" w:hAnsi="宋体"/>
                <w:color w:val="000000"/>
                <w:szCs w:val="21"/>
                <w:highlight w:val="none"/>
              </w:rPr>
              <w:t xml:space="preserve"> </w:t>
            </w:r>
          </w:p>
          <w:p>
            <w:pPr>
              <w:spacing w:line="240" w:lineRule="auto"/>
              <w:rPr>
                <w:rFonts w:ascii="宋体" w:hAnsi="宋体" w:cs="宋体"/>
                <w:szCs w:val="21"/>
                <w:highlight w:val="none"/>
                <w:lang w:val="zh-CN"/>
              </w:rPr>
            </w:pPr>
            <w:r>
              <w:rPr>
                <w:rFonts w:hint="eastAsia" w:ascii="宋体" w:hAnsi="宋体"/>
                <w:szCs w:val="21"/>
                <w:highlight w:val="none"/>
              </w:rPr>
              <w:t>□</w:t>
            </w:r>
            <w:r>
              <w:rPr>
                <w:rFonts w:hint="eastAsia" w:ascii="宋体" w:hAnsi="宋体" w:cs="宋体"/>
                <w:szCs w:val="21"/>
                <w:highlight w:val="none"/>
                <w:lang w:val="zh-CN"/>
              </w:rPr>
              <w:t>驻地监理工程师办公室</w:t>
            </w:r>
          </w:p>
          <w:p>
            <w:pPr>
              <w:spacing w:line="240" w:lineRule="auto"/>
              <w:rPr>
                <w:rFonts w:ascii="黑体" w:hAnsi="黑体" w:eastAsia="黑体"/>
                <w:szCs w:val="21"/>
                <w:highlight w:val="none"/>
                <w:u w:val="single"/>
              </w:rPr>
            </w:pPr>
            <w:r>
              <w:rPr>
                <w:rFonts w:hint="eastAsia" w:ascii="宋体" w:hAnsi="宋体"/>
                <w:szCs w:val="21"/>
                <w:highlight w:val="none"/>
              </w:rPr>
              <w:t>□</w:t>
            </w:r>
            <w:r>
              <w:rPr>
                <w:rFonts w:hint="eastAsia" w:ascii="宋体" w:hAnsi="宋体" w:cs="宋体"/>
                <w:szCs w:val="21"/>
                <w:highlight w:val="none"/>
                <w:lang w:val="zh-CN"/>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1.3.2</w:t>
            </w:r>
          </w:p>
        </w:tc>
        <w:tc>
          <w:tcPr>
            <w:tcW w:w="2002" w:type="dxa"/>
            <w:vAlign w:val="center"/>
          </w:tcPr>
          <w:p>
            <w:pPr>
              <w:spacing w:line="240" w:lineRule="auto"/>
              <w:jc w:val="center"/>
              <w:rPr>
                <w:szCs w:val="21"/>
                <w:highlight w:val="none"/>
              </w:rPr>
            </w:pPr>
            <w:r>
              <w:rPr>
                <w:rFonts w:hint="eastAsia" w:hAnsi="宋体"/>
                <w:szCs w:val="21"/>
                <w:highlight w:val="none"/>
              </w:rPr>
              <w:t>监理服务期限</w:t>
            </w:r>
          </w:p>
        </w:tc>
        <w:tc>
          <w:tcPr>
            <w:tcW w:w="6505" w:type="dxa"/>
            <w:vAlign w:val="center"/>
          </w:tcPr>
          <w:p>
            <w:pPr>
              <w:spacing w:line="240" w:lineRule="auto"/>
              <w:rPr>
                <w:szCs w:val="21"/>
                <w:highlight w:val="none"/>
              </w:rPr>
            </w:pPr>
            <w:r>
              <w:rPr>
                <w:rFonts w:hint="eastAsia" w:ascii="宋体" w:hAnsi="宋体" w:cs="宋体"/>
                <w:highlight w:val="none"/>
              </w:rPr>
              <w:t>监理合同生效起至工程竣工验收与缺陷责任期结束为止</w:t>
            </w:r>
            <w:r>
              <w:rPr>
                <w:rFonts w:hint="eastAsia" w:ascii="宋体" w:hAnsi="宋体" w:cs="宋体"/>
                <w:highlight w:val="none"/>
                <w:lang w:val="zh-CN"/>
              </w:rPr>
              <w:t>；（最终以建设单位要求为准）。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1.3.3</w:t>
            </w:r>
          </w:p>
        </w:tc>
        <w:tc>
          <w:tcPr>
            <w:tcW w:w="2002" w:type="dxa"/>
            <w:vAlign w:val="center"/>
          </w:tcPr>
          <w:p>
            <w:pPr>
              <w:spacing w:line="240" w:lineRule="auto"/>
              <w:jc w:val="center"/>
              <w:rPr>
                <w:szCs w:val="21"/>
                <w:highlight w:val="none"/>
              </w:rPr>
            </w:pPr>
            <w:r>
              <w:rPr>
                <w:rFonts w:hint="eastAsia" w:hAnsi="宋体"/>
                <w:szCs w:val="21"/>
                <w:highlight w:val="none"/>
              </w:rPr>
              <w:t>质量要求</w:t>
            </w:r>
          </w:p>
        </w:tc>
        <w:tc>
          <w:tcPr>
            <w:tcW w:w="6505" w:type="dxa"/>
            <w:vAlign w:val="center"/>
          </w:tcPr>
          <w:p>
            <w:pPr>
              <w:spacing w:line="240" w:lineRule="auto"/>
              <w:rPr>
                <w:szCs w:val="21"/>
                <w:highlight w:val="none"/>
              </w:rPr>
            </w:pPr>
            <w:r>
              <w:rPr>
                <w:rFonts w:hint="eastAsia" w:ascii="宋体" w:hAnsi="宋体"/>
                <w:color w:val="000000"/>
                <w:szCs w:val="21"/>
                <w:highlight w:val="none"/>
              </w:rPr>
              <w:t>标段工程交工验收的质量评定：合格；竣工验收的质量评定：合格。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1.3.4</w:t>
            </w:r>
          </w:p>
        </w:tc>
        <w:tc>
          <w:tcPr>
            <w:tcW w:w="2002"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安全目标</w:t>
            </w:r>
          </w:p>
        </w:tc>
        <w:tc>
          <w:tcPr>
            <w:tcW w:w="6505" w:type="dxa"/>
            <w:vAlign w:val="center"/>
          </w:tcPr>
          <w:p>
            <w:pPr>
              <w:spacing w:line="240" w:lineRule="auto"/>
              <w:rPr>
                <w:szCs w:val="21"/>
                <w:highlight w:val="none"/>
              </w:rPr>
            </w:pPr>
            <w:r>
              <w:rPr>
                <w:rFonts w:hint="eastAsia"/>
                <w:szCs w:val="21"/>
                <w:highlight w:val="none"/>
              </w:rPr>
              <w:t>在项目建设过程中杜绝重大安全责任事故，避免发生较大安全责任事故，控制一般安全责任事故。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4"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1.4.1</w:t>
            </w:r>
          </w:p>
        </w:tc>
        <w:tc>
          <w:tcPr>
            <w:tcW w:w="2002" w:type="dxa"/>
            <w:vAlign w:val="center"/>
          </w:tcPr>
          <w:p>
            <w:pPr>
              <w:spacing w:line="240" w:lineRule="auto"/>
              <w:jc w:val="center"/>
              <w:rPr>
                <w:rFonts w:hAnsi="宋体"/>
                <w:szCs w:val="21"/>
                <w:highlight w:val="none"/>
              </w:rPr>
            </w:pPr>
            <w:r>
              <w:rPr>
                <w:rFonts w:hint="eastAsia" w:hAnsi="宋体"/>
                <w:szCs w:val="21"/>
                <w:highlight w:val="none"/>
              </w:rPr>
              <w:t>投标人资质条件、</w:t>
            </w:r>
          </w:p>
          <w:p>
            <w:pPr>
              <w:spacing w:line="240" w:lineRule="auto"/>
              <w:jc w:val="center"/>
              <w:rPr>
                <w:rFonts w:hAnsi="宋体"/>
                <w:szCs w:val="21"/>
                <w:highlight w:val="none"/>
              </w:rPr>
            </w:pPr>
            <w:r>
              <w:rPr>
                <w:rFonts w:hint="eastAsia" w:hAnsi="宋体"/>
                <w:szCs w:val="21"/>
                <w:highlight w:val="none"/>
              </w:rPr>
              <w:t>能力和信誉</w:t>
            </w:r>
          </w:p>
        </w:tc>
        <w:tc>
          <w:tcPr>
            <w:tcW w:w="6505" w:type="dxa"/>
            <w:vAlign w:val="center"/>
          </w:tcPr>
          <w:p>
            <w:pPr>
              <w:spacing w:line="240" w:lineRule="auto"/>
              <w:rPr>
                <w:rFonts w:ascii="宋体" w:hAnsi="宋体"/>
                <w:szCs w:val="21"/>
                <w:highlight w:val="none"/>
              </w:rPr>
            </w:pPr>
            <w:r>
              <w:rPr>
                <w:rFonts w:hint="eastAsia"/>
                <w:szCs w:val="21"/>
                <w:highlight w:val="none"/>
              </w:rPr>
              <w:t>资质条件：</w:t>
            </w:r>
            <w:r>
              <w:rPr>
                <w:rFonts w:hint="eastAsia" w:ascii="宋体" w:hAnsi="宋体"/>
                <w:szCs w:val="21"/>
                <w:highlight w:val="none"/>
              </w:rPr>
              <w:t>见附录1</w:t>
            </w:r>
          </w:p>
          <w:p>
            <w:pPr>
              <w:spacing w:line="240" w:lineRule="auto"/>
              <w:rPr>
                <w:rFonts w:ascii="宋体" w:hAnsi="宋体"/>
                <w:szCs w:val="21"/>
                <w:highlight w:val="none"/>
              </w:rPr>
            </w:pPr>
            <w:r>
              <w:rPr>
                <w:rFonts w:hint="eastAsia" w:ascii="宋体" w:hAnsi="宋体"/>
                <w:szCs w:val="21"/>
                <w:highlight w:val="none"/>
              </w:rPr>
              <w:t>业绩要求：见附录2</w:t>
            </w:r>
          </w:p>
          <w:p>
            <w:pPr>
              <w:spacing w:line="240" w:lineRule="auto"/>
              <w:rPr>
                <w:rFonts w:ascii="宋体" w:hAnsi="宋体"/>
                <w:szCs w:val="21"/>
                <w:highlight w:val="none"/>
              </w:rPr>
            </w:pPr>
            <w:r>
              <w:rPr>
                <w:rFonts w:hint="eastAsia" w:ascii="宋体" w:hAnsi="宋体"/>
                <w:szCs w:val="21"/>
                <w:highlight w:val="none"/>
              </w:rPr>
              <w:t>信誉要求：见附录3</w:t>
            </w:r>
          </w:p>
          <w:p>
            <w:pPr>
              <w:spacing w:line="240" w:lineRule="auto"/>
              <w:rPr>
                <w:rFonts w:ascii="宋体" w:hAnsi="宋体"/>
                <w:szCs w:val="21"/>
                <w:highlight w:val="none"/>
              </w:rPr>
            </w:pPr>
            <w:r>
              <w:rPr>
                <w:rFonts w:hint="eastAsia" w:ascii="宋体" w:hAnsi="宋体"/>
                <w:szCs w:val="21"/>
                <w:highlight w:val="none"/>
              </w:rPr>
              <w:t>总监理工程师资格：见附录4</w:t>
            </w:r>
          </w:p>
          <w:p>
            <w:pPr>
              <w:spacing w:line="240" w:lineRule="auto"/>
              <w:rPr>
                <w:rFonts w:ascii="宋体" w:hAnsi="宋体"/>
                <w:szCs w:val="21"/>
                <w:highlight w:val="none"/>
              </w:rPr>
            </w:pPr>
            <w:r>
              <w:rPr>
                <w:rFonts w:hint="eastAsia" w:ascii="宋体" w:hAnsi="宋体"/>
                <w:szCs w:val="21"/>
                <w:highlight w:val="none"/>
              </w:rPr>
              <w:t>其他要求：无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1.4.2</w:t>
            </w:r>
          </w:p>
        </w:tc>
        <w:tc>
          <w:tcPr>
            <w:tcW w:w="2002" w:type="dxa"/>
            <w:vAlign w:val="center"/>
          </w:tcPr>
          <w:p>
            <w:pPr>
              <w:spacing w:line="240" w:lineRule="auto"/>
              <w:jc w:val="center"/>
              <w:rPr>
                <w:szCs w:val="21"/>
                <w:highlight w:val="none"/>
              </w:rPr>
            </w:pPr>
            <w:r>
              <w:rPr>
                <w:rFonts w:hint="eastAsia"/>
                <w:szCs w:val="21"/>
                <w:highlight w:val="none"/>
              </w:rPr>
              <w:t>是否接受联合体投标</w:t>
            </w:r>
          </w:p>
        </w:tc>
        <w:tc>
          <w:tcPr>
            <w:tcW w:w="6505" w:type="dxa"/>
            <w:vAlign w:val="center"/>
          </w:tcPr>
          <w:p>
            <w:pPr>
              <w:spacing w:line="240" w:lineRule="auto"/>
              <w:rPr>
                <w:szCs w:val="21"/>
                <w:highlight w:val="none"/>
              </w:rPr>
            </w:pPr>
            <w:r>
              <w:rPr>
                <w:rFonts w:ascii="宋体" w:hAnsi="宋体" w:cs="宋体"/>
                <w:kern w:val="0"/>
                <w:szCs w:val="21"/>
                <w:highlight w:val="none"/>
                <w:lang w:val="zh-CN"/>
              </w:rPr>
              <w:fldChar w:fldCharType="begin"/>
            </w:r>
            <w:r>
              <w:rPr>
                <w:rFonts w:hint="eastAsia" w:ascii="宋体" w:hAnsi="宋体" w:cs="宋体"/>
                <w:kern w:val="0"/>
                <w:szCs w:val="21"/>
                <w:highlight w:val="none"/>
                <w:lang w:val="zh-CN"/>
              </w:rPr>
              <w:instrText xml:space="preserve">eq \o\ac(□,√)</w:instrText>
            </w:r>
            <w:r>
              <w:rPr>
                <w:rFonts w:ascii="宋体" w:hAnsi="宋体" w:cs="宋体"/>
                <w:kern w:val="0"/>
                <w:szCs w:val="21"/>
                <w:highlight w:val="none"/>
                <w:lang w:val="zh-CN"/>
              </w:rPr>
              <w:fldChar w:fldCharType="end"/>
            </w:r>
            <w:r>
              <w:rPr>
                <w:rFonts w:hint="eastAsia"/>
                <w:szCs w:val="21"/>
                <w:highlight w:val="none"/>
              </w:rPr>
              <w:t>不接受</w:t>
            </w:r>
          </w:p>
          <w:p>
            <w:pPr>
              <w:spacing w:line="240" w:lineRule="auto"/>
              <w:rPr>
                <w:szCs w:val="21"/>
                <w:highlight w:val="none"/>
              </w:rPr>
            </w:pPr>
            <w:r>
              <w:rPr>
                <w:rFonts w:hint="eastAsia" w:ascii="宋体" w:hAnsi="宋体"/>
                <w:szCs w:val="21"/>
                <w:highlight w:val="none"/>
              </w:rPr>
              <w:t>□</w:t>
            </w:r>
            <w:r>
              <w:rPr>
                <w:rFonts w:hint="eastAsia"/>
                <w:szCs w:val="21"/>
                <w:highlight w:val="none"/>
              </w:rPr>
              <w:t>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1.4.</w:t>
            </w:r>
            <w:r>
              <w:rPr>
                <w:rFonts w:hint="eastAsia" w:ascii="宋体" w:hAnsi="宋体"/>
                <w:szCs w:val="21"/>
                <w:highlight w:val="none"/>
              </w:rPr>
              <w:t>3</w:t>
            </w:r>
          </w:p>
        </w:tc>
        <w:tc>
          <w:tcPr>
            <w:tcW w:w="2002" w:type="dxa"/>
            <w:vAlign w:val="center"/>
          </w:tcPr>
          <w:p>
            <w:pPr>
              <w:pStyle w:val="74"/>
              <w:keepNext/>
              <w:shd w:val="clear" w:color="auto" w:fill="auto"/>
              <w:spacing w:line="240" w:lineRule="auto"/>
              <w:ind w:firstLine="0"/>
              <w:jc w:val="center"/>
              <w:rPr>
                <w:rFonts w:ascii="Times New Roman" w:hAnsi="Times New Roman" w:cs="Times New Roman"/>
                <w:kern w:val="2"/>
                <w:sz w:val="21"/>
                <w:szCs w:val="21"/>
                <w:highlight w:val="none"/>
                <w:lang w:val="en-US" w:bidi="ar-SA"/>
              </w:rPr>
            </w:pPr>
            <w:r>
              <w:rPr>
                <w:rFonts w:ascii="Times New Roman" w:hAnsi="Times New Roman" w:cs="Times New Roman"/>
                <w:kern w:val="2"/>
                <w:sz w:val="21"/>
                <w:szCs w:val="21"/>
                <w:highlight w:val="none"/>
                <w:lang w:val="en-US" w:bidi="ar-SA"/>
              </w:rPr>
              <w:t>投标人不得存在的</w:t>
            </w:r>
          </w:p>
          <w:p>
            <w:pPr>
              <w:spacing w:line="240" w:lineRule="auto"/>
              <w:jc w:val="center"/>
              <w:rPr>
                <w:szCs w:val="21"/>
                <w:highlight w:val="none"/>
              </w:rPr>
            </w:pPr>
            <w:r>
              <w:rPr>
                <w:szCs w:val="21"/>
                <w:highlight w:val="none"/>
              </w:rPr>
              <w:t>其他关联情形</w:t>
            </w:r>
          </w:p>
        </w:tc>
        <w:tc>
          <w:tcPr>
            <w:tcW w:w="6505" w:type="dxa"/>
            <w:vAlign w:val="center"/>
          </w:tcPr>
          <w:p>
            <w:pPr>
              <w:spacing w:line="240" w:lineRule="auto"/>
              <w:rPr>
                <w:rFonts w:ascii="宋体" w:hAnsi="宋体" w:cs="宋体"/>
                <w:kern w:val="0"/>
                <w:szCs w:val="21"/>
                <w:highlight w:val="none"/>
                <w:lang w:val="zh-CN"/>
              </w:rPr>
            </w:pPr>
            <w:r>
              <w:rPr>
                <w:rFonts w:hint="eastAsia" w:ascii="宋体" w:hAnsi="宋体" w:cs="宋体"/>
                <w:kern w:val="0"/>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highlight w:val="none"/>
              </w:rPr>
            </w:pPr>
            <w:r>
              <w:rPr>
                <w:rFonts w:hint="eastAsia" w:ascii="宋体" w:hAnsi="宋体"/>
                <w:szCs w:val="21"/>
                <w:highlight w:val="none"/>
              </w:rPr>
              <w:t>1.4.4</w:t>
            </w:r>
          </w:p>
        </w:tc>
        <w:tc>
          <w:tcPr>
            <w:tcW w:w="2002" w:type="dxa"/>
            <w:vAlign w:val="center"/>
          </w:tcPr>
          <w:p>
            <w:pPr>
              <w:pStyle w:val="74"/>
              <w:keepNext/>
              <w:shd w:val="clear" w:color="auto" w:fill="auto"/>
              <w:spacing w:line="240" w:lineRule="auto"/>
              <w:ind w:firstLine="0"/>
              <w:jc w:val="center"/>
              <w:rPr>
                <w:rFonts w:ascii="Times New Roman" w:hAnsi="Times New Roman" w:cs="Times New Roman"/>
                <w:kern w:val="2"/>
                <w:sz w:val="21"/>
                <w:szCs w:val="21"/>
                <w:highlight w:val="none"/>
                <w:lang w:val="en-US" w:bidi="ar-SA"/>
              </w:rPr>
            </w:pPr>
            <w:r>
              <w:rPr>
                <w:rFonts w:hint="eastAsia" w:ascii="Times New Roman" w:hAnsi="Times New Roman" w:cs="Times New Roman"/>
                <w:kern w:val="2"/>
                <w:sz w:val="21"/>
                <w:szCs w:val="21"/>
                <w:highlight w:val="none"/>
                <w:lang w:val="en-US" w:bidi="ar-SA"/>
              </w:rPr>
              <w:t>投标人不得存在的</w:t>
            </w:r>
          </w:p>
          <w:p>
            <w:pPr>
              <w:pStyle w:val="74"/>
              <w:keepNext/>
              <w:shd w:val="clear" w:color="auto" w:fill="auto"/>
              <w:spacing w:line="240" w:lineRule="auto"/>
              <w:ind w:firstLine="0"/>
              <w:jc w:val="center"/>
              <w:rPr>
                <w:highlight w:val="none"/>
              </w:rPr>
            </w:pPr>
            <w:r>
              <w:rPr>
                <w:rFonts w:hint="eastAsia" w:ascii="Times New Roman" w:hAnsi="Times New Roman" w:cs="Times New Roman"/>
                <w:kern w:val="2"/>
                <w:sz w:val="21"/>
                <w:szCs w:val="21"/>
                <w:highlight w:val="none"/>
                <w:lang w:val="en-US" w:bidi="ar-SA"/>
              </w:rPr>
              <w:t>其他不良状或不良信用记录</w:t>
            </w:r>
          </w:p>
        </w:tc>
        <w:tc>
          <w:tcPr>
            <w:tcW w:w="6505" w:type="dxa"/>
            <w:vAlign w:val="center"/>
          </w:tcPr>
          <w:p>
            <w:pPr>
              <w:spacing w:line="240" w:lineRule="auto"/>
              <w:rPr>
                <w:rFonts w:ascii="Calibri" w:hAnsi="Calibri"/>
                <w:highlight w:val="none"/>
              </w:rPr>
            </w:pPr>
            <w:r>
              <w:rPr>
                <w:rFonts w:hint="eastAsia" w:ascii="宋体" w:hAnsi="宋体" w:cs="宋体"/>
                <w:kern w:val="0"/>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4" w:hRule="atLeast"/>
          <w:jc w:val="center"/>
        </w:trPr>
        <w:tc>
          <w:tcPr>
            <w:tcW w:w="951" w:type="dxa"/>
            <w:vAlign w:val="center"/>
          </w:tcPr>
          <w:p>
            <w:pPr>
              <w:spacing w:beforeLines="50" w:afterLines="50" w:line="240" w:lineRule="auto"/>
              <w:jc w:val="center"/>
              <w:rPr>
                <w:rFonts w:hint="eastAsia" w:ascii="宋体" w:hAnsi="宋体"/>
                <w:szCs w:val="21"/>
                <w:highlight w:val="none"/>
              </w:rPr>
            </w:pPr>
            <w:r>
              <w:rPr>
                <w:rFonts w:hint="eastAsia" w:ascii="宋体" w:hAnsi="宋体"/>
                <w:color w:val="000000"/>
                <w:szCs w:val="21"/>
                <w:highlight w:val="none"/>
              </w:rPr>
              <w:t>1.4.5</w:t>
            </w:r>
          </w:p>
        </w:tc>
        <w:tc>
          <w:tcPr>
            <w:tcW w:w="2002" w:type="dxa"/>
            <w:vAlign w:val="center"/>
          </w:tcPr>
          <w:p>
            <w:pPr>
              <w:spacing w:beforeLines="50" w:afterLines="50" w:line="240" w:lineRule="auto"/>
              <w:jc w:val="center"/>
              <w:rPr>
                <w:rFonts w:hint="eastAsia" w:ascii="Times New Roman" w:hAnsi="Times New Roman" w:cs="Times New Roman"/>
                <w:kern w:val="2"/>
                <w:sz w:val="21"/>
                <w:szCs w:val="21"/>
                <w:highlight w:val="none"/>
                <w:lang w:val="en-US" w:bidi="ar-SA"/>
              </w:rPr>
            </w:pPr>
            <w:r>
              <w:rPr>
                <w:rFonts w:hint="eastAsia" w:ascii="宋体" w:hAnsi="宋体"/>
                <w:color w:val="000000"/>
                <w:szCs w:val="21"/>
                <w:highlight w:val="none"/>
              </w:rPr>
              <w:t>应进入交通运输部“全国公路建设市场信用信息管理系统中”的公路工程监理企业名录</w:t>
            </w:r>
          </w:p>
        </w:tc>
        <w:tc>
          <w:tcPr>
            <w:tcW w:w="6505" w:type="dxa"/>
            <w:vAlign w:val="center"/>
          </w:tcPr>
          <w:p>
            <w:pPr>
              <w:spacing w:line="240" w:lineRule="auto"/>
              <w:rPr>
                <w:rFonts w:ascii="宋体" w:hAnsi="宋体"/>
                <w:szCs w:val="21"/>
                <w:highlight w:val="none"/>
              </w:rPr>
            </w:pPr>
            <w:r>
              <w:rPr>
                <w:rFonts w:hint="eastAsia" w:ascii="宋体" w:hAnsi="宋体"/>
                <w:szCs w:val="21"/>
                <w:highlight w:val="none"/>
              </w:rPr>
              <w:t>本项修改为：</w:t>
            </w:r>
          </w:p>
          <w:p>
            <w:pPr>
              <w:spacing w:line="240" w:lineRule="auto"/>
              <w:ind w:firstLine="420" w:firstLineChars="200"/>
              <w:rPr>
                <w:rFonts w:hint="eastAsia" w:ascii="宋体" w:hAnsi="宋体" w:cs="宋体"/>
                <w:kern w:val="0"/>
                <w:szCs w:val="21"/>
                <w:highlight w:val="none"/>
                <w:lang w:val="zh-CN"/>
              </w:rPr>
            </w:pPr>
            <w:r>
              <w:rPr>
                <w:rFonts w:hint="eastAsia" w:ascii="宋体" w:hAnsi="宋体"/>
                <w:color w:val="000000"/>
                <w:szCs w:val="21"/>
                <w:highlight w:val="none"/>
              </w:rPr>
              <w:t>投标人应进入交通运输部“全国公路建设市场信用信息管理系统（https：//glxy.mot.gov.cn）”中的公路工程监理企业名录，且投标人名称和资质与该名录中的相应企业名称和资质完全一致。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restart"/>
            <w:vAlign w:val="center"/>
          </w:tcPr>
          <w:p>
            <w:pPr>
              <w:adjustRightInd w:val="0"/>
              <w:snapToGrid w:val="0"/>
              <w:spacing w:before="100" w:beforeAutospacing="1" w:after="100" w:afterAutospacing="1" w:line="240" w:lineRule="auto"/>
              <w:jc w:val="center"/>
              <w:rPr>
                <w:highlight w:val="none"/>
              </w:rPr>
            </w:pPr>
            <w:r>
              <w:rPr>
                <w:rFonts w:ascii="宋体" w:hAnsi="宋体"/>
                <w:szCs w:val="21"/>
                <w:highlight w:val="none"/>
              </w:rPr>
              <w:t>1.10.2</w:t>
            </w:r>
          </w:p>
        </w:tc>
        <w:tc>
          <w:tcPr>
            <w:tcW w:w="2002" w:type="dxa"/>
            <w:vMerge w:val="restart"/>
            <w:vAlign w:val="center"/>
          </w:tcPr>
          <w:p>
            <w:pPr>
              <w:spacing w:line="240" w:lineRule="auto"/>
              <w:jc w:val="center"/>
              <w:rPr>
                <w:highlight w:val="none"/>
              </w:rPr>
            </w:pPr>
            <w:r>
              <w:rPr>
                <w:rFonts w:cs="宋体"/>
                <w:highlight w:val="none"/>
              </w:rPr>
              <w:t>投标人在投标预备会前提出问题</w:t>
            </w:r>
          </w:p>
        </w:tc>
        <w:tc>
          <w:tcPr>
            <w:tcW w:w="6505" w:type="dxa"/>
            <w:vAlign w:val="center"/>
          </w:tcPr>
          <w:p>
            <w:pPr>
              <w:spacing w:line="240" w:lineRule="auto"/>
              <w:rPr>
                <w:rFonts w:hint="eastAsia" w:eastAsia="宋体"/>
                <w:highlight w:val="none"/>
                <w:lang w:eastAsia="zh-CN"/>
              </w:rPr>
            </w:pPr>
            <w:r>
              <w:rPr>
                <w:highlight w:val="none"/>
              </w:rPr>
              <w:t>时间</w:t>
            </w:r>
            <w:r>
              <w:rPr>
                <w:rFonts w:hint="eastAsia"/>
                <w:highlight w:val="none"/>
              </w:rPr>
              <w:t>：</w:t>
            </w:r>
            <w:r>
              <w:rPr>
                <w:rFonts w:hint="eastAsia"/>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2002" w:type="dxa"/>
            <w:vMerge w:val="continue"/>
            <w:vAlign w:val="center"/>
          </w:tcPr>
          <w:p>
            <w:pPr>
              <w:pStyle w:val="74"/>
              <w:keepNext/>
              <w:shd w:val="clear" w:color="auto" w:fill="auto"/>
              <w:spacing w:line="240" w:lineRule="auto"/>
              <w:ind w:firstLine="0"/>
              <w:jc w:val="center"/>
              <w:rPr>
                <w:rFonts w:ascii="Times New Roman" w:hAnsi="Times New Roman" w:cs="Times New Roman"/>
                <w:kern w:val="2"/>
                <w:sz w:val="21"/>
                <w:szCs w:val="21"/>
                <w:highlight w:val="none"/>
                <w:lang w:val="en-US" w:bidi="ar-SA"/>
              </w:rPr>
            </w:pPr>
          </w:p>
        </w:tc>
        <w:tc>
          <w:tcPr>
            <w:tcW w:w="6505" w:type="dxa"/>
            <w:vAlign w:val="center"/>
          </w:tcPr>
          <w:p>
            <w:pPr>
              <w:autoSpaceDE w:val="0"/>
              <w:autoSpaceDN w:val="0"/>
              <w:adjustRightInd w:val="0"/>
              <w:spacing w:line="240" w:lineRule="auto"/>
              <w:rPr>
                <w:rFonts w:hint="eastAsia" w:ascii="宋体" w:hAnsi="宋体" w:eastAsia="宋体"/>
                <w:b/>
                <w:bCs/>
                <w:kern w:val="0"/>
                <w:highlight w:val="none"/>
                <w:lang w:eastAsia="zh-CN"/>
              </w:rPr>
            </w:pPr>
            <w:r>
              <w:rPr>
                <w:rFonts w:ascii="宋体"/>
                <w:highlight w:val="none"/>
              </w:rPr>
              <w:t>形式</w:t>
            </w:r>
            <w:r>
              <w:rPr>
                <w:rFonts w:hint="eastAsia" w:ascii="宋体"/>
                <w:highlight w:val="none"/>
              </w:rPr>
              <w:t>：</w:t>
            </w:r>
            <w:r>
              <w:rPr>
                <w:rFonts w:hint="eastAsia" w:ascii="宋体"/>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2.1</w:t>
            </w:r>
          </w:p>
        </w:tc>
        <w:tc>
          <w:tcPr>
            <w:tcW w:w="2002" w:type="dxa"/>
            <w:vAlign w:val="center"/>
          </w:tcPr>
          <w:p>
            <w:pPr>
              <w:spacing w:line="240" w:lineRule="auto"/>
              <w:jc w:val="center"/>
              <w:rPr>
                <w:rFonts w:hAnsi="宋体"/>
                <w:szCs w:val="21"/>
                <w:highlight w:val="none"/>
              </w:rPr>
            </w:pPr>
            <w:r>
              <w:rPr>
                <w:rFonts w:hint="eastAsia" w:hAnsi="宋体"/>
                <w:szCs w:val="21"/>
                <w:highlight w:val="none"/>
              </w:rPr>
              <w:t>构成招标文件的</w:t>
            </w:r>
          </w:p>
          <w:p>
            <w:pPr>
              <w:spacing w:line="240" w:lineRule="auto"/>
              <w:jc w:val="center"/>
              <w:rPr>
                <w:szCs w:val="21"/>
                <w:highlight w:val="none"/>
              </w:rPr>
            </w:pPr>
            <w:r>
              <w:rPr>
                <w:rFonts w:hint="eastAsia" w:hAnsi="宋体"/>
                <w:szCs w:val="21"/>
                <w:highlight w:val="none"/>
              </w:rPr>
              <w:t>其它资料</w:t>
            </w:r>
          </w:p>
        </w:tc>
        <w:tc>
          <w:tcPr>
            <w:tcW w:w="6505" w:type="dxa"/>
            <w:vAlign w:val="center"/>
          </w:tcPr>
          <w:p>
            <w:pPr>
              <w:spacing w:line="240" w:lineRule="auto"/>
              <w:rPr>
                <w:rFonts w:ascii="宋体" w:hAnsi="宋体" w:cs="Arial"/>
                <w:szCs w:val="21"/>
                <w:highlight w:val="none"/>
              </w:rPr>
            </w:pPr>
            <w:r>
              <w:rPr>
                <w:rFonts w:hint="eastAsia" w:ascii="宋体" w:hAnsi="宋体"/>
                <w:szCs w:val="21"/>
                <w:highlight w:val="none"/>
              </w:rPr>
              <w:t>图纸扫描件由招标人提供</w:t>
            </w:r>
            <w:r>
              <w:rPr>
                <w:rFonts w:hint="eastAsia" w:ascii="宋体" w:hAnsi="宋体"/>
                <w:szCs w:val="21"/>
                <w:highlight w:val="none"/>
                <w:lang w:eastAsia="zh-CN"/>
              </w:rPr>
              <w:t>、</w:t>
            </w:r>
            <w:r>
              <w:rPr>
                <w:rFonts w:hint="eastAsia" w:ascii="宋体" w:hAnsi="宋体" w:cs="Arial"/>
                <w:szCs w:val="21"/>
                <w:highlight w:val="none"/>
              </w:rPr>
              <w:t>本项目带有编号的补遗书（如有）。</w:t>
            </w:r>
          </w:p>
          <w:p>
            <w:pPr>
              <w:spacing w:line="240" w:lineRule="auto"/>
              <w:ind w:firstLine="420" w:firstLineChars="200"/>
              <w:rPr>
                <w:rFonts w:ascii="方正超粗黑简体" w:hAnsi="宋体" w:eastAsia="方正超粗黑简体" w:cs="Arial"/>
                <w:szCs w:val="21"/>
                <w:highlight w:val="none"/>
              </w:rPr>
            </w:pPr>
            <w:r>
              <w:rPr>
                <w:rFonts w:hint="eastAsia" w:ascii="宋体" w:hAnsi="宋体" w:cs="Arial"/>
                <w:szCs w:val="21"/>
                <w:highlight w:val="none"/>
              </w:rPr>
              <w:t>文件发布在“吉林省公共资源交易中心交易平台”，同时发布在网盘：</w:t>
            </w:r>
            <w:r>
              <w:rPr>
                <w:rFonts w:hint="eastAsia" w:ascii="宋体" w:hAnsi="宋体" w:cs="Arial"/>
                <w:szCs w:val="21"/>
                <w:highlight w:val="none"/>
                <w:lang w:eastAsia="zh-CN"/>
              </w:rPr>
              <w:t>https://pan.baidu.com/s/1P6bRr5HFlUoqRL3PtUEwrA</w:t>
            </w:r>
            <w:r>
              <w:rPr>
                <w:rFonts w:hint="eastAsia" w:ascii="宋体" w:hAnsi="宋体" w:cs="Arial"/>
                <w:szCs w:val="21"/>
                <w:highlight w:val="none"/>
              </w:rPr>
              <w:t xml:space="preserve"> ，提取码：</w:t>
            </w:r>
            <w:r>
              <w:rPr>
                <w:rFonts w:hint="eastAsia" w:ascii="宋体" w:hAnsi="宋体" w:cs="Arial"/>
                <w:szCs w:val="21"/>
                <w:highlight w:val="none"/>
                <w:lang w:eastAsia="zh-CN"/>
              </w:rPr>
              <w:t>syjl</w:t>
            </w:r>
            <w:r>
              <w:rPr>
                <w:rFonts w:hint="eastAsia" w:ascii="宋体" w:hAnsi="宋体" w:cs="Arial"/>
                <w:szCs w:val="21"/>
                <w:highlight w:val="none"/>
              </w:rPr>
              <w:t>，由投标人自行下载，投标人应在投标截止期前不定时浏览上述平台和网盘，否则出现一切后果由投标人自负。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2.2.1</w:t>
            </w:r>
          </w:p>
        </w:tc>
        <w:tc>
          <w:tcPr>
            <w:tcW w:w="2002" w:type="dxa"/>
            <w:vMerge w:val="restart"/>
            <w:vAlign w:val="center"/>
          </w:tcPr>
          <w:p>
            <w:pPr>
              <w:spacing w:line="240" w:lineRule="auto"/>
              <w:jc w:val="center"/>
              <w:rPr>
                <w:rFonts w:hAnsi="宋体"/>
                <w:szCs w:val="21"/>
                <w:highlight w:val="none"/>
              </w:rPr>
            </w:pPr>
            <w:r>
              <w:rPr>
                <w:rFonts w:hint="eastAsia" w:hAnsi="宋体"/>
                <w:szCs w:val="21"/>
                <w:highlight w:val="none"/>
              </w:rPr>
              <w:t>投标人要求澄清</w:t>
            </w:r>
          </w:p>
          <w:p>
            <w:pPr>
              <w:spacing w:line="240" w:lineRule="auto"/>
              <w:jc w:val="center"/>
              <w:rPr>
                <w:szCs w:val="21"/>
                <w:highlight w:val="none"/>
              </w:rPr>
            </w:pPr>
            <w:r>
              <w:rPr>
                <w:rFonts w:hint="eastAsia" w:hAnsi="宋体"/>
                <w:szCs w:val="21"/>
                <w:highlight w:val="none"/>
              </w:rPr>
              <w:t>招标文件</w:t>
            </w:r>
          </w:p>
        </w:tc>
        <w:tc>
          <w:tcPr>
            <w:tcW w:w="6505" w:type="dxa"/>
            <w:vAlign w:val="bottom"/>
          </w:tcPr>
          <w:p>
            <w:pPr>
              <w:pStyle w:val="74"/>
              <w:shd w:val="clear" w:color="auto" w:fill="auto"/>
              <w:spacing w:after="80" w:line="240" w:lineRule="auto"/>
              <w:ind w:left="101" w:leftChars="48" w:right="2300" w:firstLine="0"/>
              <w:jc w:val="both"/>
              <w:rPr>
                <w:rFonts w:ascii="Times New Roman" w:hAnsi="Times New Roman" w:cs="Times New Roman"/>
                <w:kern w:val="2"/>
                <w:sz w:val="21"/>
                <w:szCs w:val="24"/>
                <w:highlight w:val="none"/>
                <w:lang w:val="en-US" w:bidi="ar-SA"/>
              </w:rPr>
            </w:pPr>
            <w:r>
              <w:rPr>
                <w:rFonts w:ascii="Times New Roman" w:hAnsi="Times New Roman" w:cs="Times New Roman"/>
                <w:kern w:val="2"/>
                <w:sz w:val="21"/>
                <w:szCs w:val="24"/>
                <w:highlight w:val="none"/>
                <w:lang w:val="en-US" w:bidi="ar-SA"/>
              </w:rPr>
              <w:t>时间：</w:t>
            </w:r>
            <w:r>
              <w:rPr>
                <w:rFonts w:hint="eastAsia" w:ascii="Times New Roman" w:hAnsi="Times New Roman" w:cs="Times New Roman"/>
                <w:kern w:val="2"/>
                <w:sz w:val="21"/>
                <w:szCs w:val="24"/>
                <w:highlight w:val="none"/>
                <w:lang w:val="en-US" w:bidi="ar-SA"/>
              </w:rPr>
              <w:t>投标截止时间10日前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2002" w:type="dxa"/>
            <w:vMerge w:val="continue"/>
            <w:vAlign w:val="center"/>
          </w:tcPr>
          <w:p>
            <w:pPr>
              <w:spacing w:line="240" w:lineRule="auto"/>
              <w:jc w:val="center"/>
              <w:rPr>
                <w:rFonts w:hAnsi="宋体"/>
                <w:szCs w:val="21"/>
                <w:highlight w:val="none"/>
              </w:rPr>
            </w:pPr>
          </w:p>
        </w:tc>
        <w:tc>
          <w:tcPr>
            <w:tcW w:w="6505" w:type="dxa"/>
            <w:vAlign w:val="bottom"/>
          </w:tcPr>
          <w:p>
            <w:pPr>
              <w:spacing w:line="240" w:lineRule="auto"/>
              <w:ind w:left="101" w:leftChars="48"/>
              <w:jc w:val="left"/>
              <w:rPr>
                <w:rFonts w:ascii="宋体" w:hAnsi="宋体" w:cs="Arial"/>
                <w:szCs w:val="21"/>
                <w:highlight w:val="none"/>
              </w:rPr>
            </w:pPr>
            <w:r>
              <w:rPr>
                <w:rFonts w:ascii="宋体" w:hAnsi="宋体" w:cs="Arial"/>
                <w:szCs w:val="21"/>
                <w:highlight w:val="none"/>
              </w:rPr>
              <w:t>形式：将要求澄清的内容以电子邮件方式发送至</w:t>
            </w:r>
            <w:r>
              <w:rPr>
                <w:rFonts w:hint="eastAsia" w:ascii="宋体" w:hAnsi="宋体"/>
                <w:szCs w:val="21"/>
                <w:highlight w:val="none"/>
                <w:lang w:val="en-US" w:eastAsia="zh-CN"/>
              </w:rPr>
              <w:t>772596064</w:t>
            </w:r>
            <w:r>
              <w:rPr>
                <w:rFonts w:hint="eastAsia" w:ascii="宋体" w:hAnsi="宋体"/>
                <w:szCs w:val="21"/>
                <w:highlight w:val="none"/>
              </w:rPr>
              <w:t>@qq.com</w:t>
            </w:r>
            <w:r>
              <w:rPr>
                <w:rFonts w:hint="eastAsia" w:ascii="宋体" w:hAnsi="宋体" w:cs="Arial"/>
                <w:szCs w:val="21"/>
                <w:highlight w:val="none"/>
              </w:rPr>
              <w:t>，同时电话通知招标代理机构查收。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2.2.2</w:t>
            </w:r>
          </w:p>
        </w:tc>
        <w:tc>
          <w:tcPr>
            <w:tcW w:w="2002" w:type="dxa"/>
            <w:vAlign w:val="center"/>
          </w:tcPr>
          <w:p>
            <w:pPr>
              <w:spacing w:line="240" w:lineRule="auto"/>
              <w:jc w:val="center"/>
              <w:rPr>
                <w:szCs w:val="21"/>
                <w:highlight w:val="none"/>
              </w:rPr>
            </w:pPr>
            <w:r>
              <w:rPr>
                <w:rFonts w:hint="eastAsia"/>
                <w:szCs w:val="21"/>
                <w:highlight w:val="none"/>
              </w:rPr>
              <w:t>招标文件澄清</w:t>
            </w:r>
          </w:p>
          <w:p>
            <w:pPr>
              <w:spacing w:line="240" w:lineRule="auto"/>
              <w:jc w:val="center"/>
              <w:rPr>
                <w:szCs w:val="21"/>
                <w:highlight w:val="none"/>
              </w:rPr>
            </w:pPr>
            <w:r>
              <w:rPr>
                <w:rFonts w:hint="eastAsia"/>
                <w:szCs w:val="21"/>
                <w:highlight w:val="none"/>
              </w:rPr>
              <w:t>发出的形式</w:t>
            </w:r>
          </w:p>
        </w:tc>
        <w:tc>
          <w:tcPr>
            <w:tcW w:w="6505" w:type="dxa"/>
            <w:vAlign w:val="center"/>
          </w:tcPr>
          <w:p>
            <w:pPr>
              <w:spacing w:line="240" w:lineRule="auto"/>
              <w:rPr>
                <w:rFonts w:ascii="宋体" w:hAnsi="宋体"/>
                <w:szCs w:val="21"/>
                <w:highlight w:val="none"/>
              </w:rPr>
            </w:pPr>
            <w:r>
              <w:rPr>
                <w:rFonts w:hint="eastAsia" w:ascii="宋体" w:hAnsi="宋体"/>
                <w:szCs w:val="21"/>
                <w:highlight w:val="none"/>
              </w:rPr>
              <w:t>招标代理机构以将招标文件澄清（如有）</w:t>
            </w:r>
            <w:r>
              <w:rPr>
                <w:rFonts w:hint="eastAsia" w:ascii="宋体" w:hAnsi="宋体" w:cs="Arial"/>
                <w:szCs w:val="21"/>
                <w:highlight w:val="none"/>
              </w:rPr>
              <w:t>发布在“吉林省公共资源交易中心交易平台”，同时发布在网盘：</w:t>
            </w:r>
            <w:r>
              <w:rPr>
                <w:rFonts w:hint="eastAsia" w:ascii="宋体" w:hAnsi="宋体" w:cs="Arial"/>
                <w:szCs w:val="21"/>
                <w:highlight w:val="none"/>
                <w:lang w:eastAsia="zh-CN"/>
              </w:rPr>
              <w:t>https://pan.baidu.com/s/1P6bRr5HFlUoqRL3PtUEwrA</w:t>
            </w:r>
            <w:r>
              <w:rPr>
                <w:rFonts w:hint="eastAsia" w:ascii="宋体" w:hAnsi="宋体" w:cs="Arial"/>
                <w:szCs w:val="21"/>
                <w:highlight w:val="none"/>
              </w:rPr>
              <w:t>，提取码：</w:t>
            </w:r>
            <w:r>
              <w:rPr>
                <w:rFonts w:hint="eastAsia" w:ascii="宋体" w:hAnsi="宋体" w:cs="Arial"/>
                <w:szCs w:val="21"/>
                <w:highlight w:val="none"/>
                <w:lang w:eastAsia="zh-CN"/>
              </w:rPr>
              <w:t>syjl</w:t>
            </w:r>
            <w:r>
              <w:rPr>
                <w:rFonts w:hint="eastAsia" w:ascii="宋体" w:hAnsi="宋体" w:cs="Arial"/>
                <w:szCs w:val="21"/>
                <w:highlight w:val="none"/>
              </w:rPr>
              <w:t>，由投标人自行下载，投标人应在投标截止期前不定时浏览上述平台和网盘，否则出现一切后果由投标人自负。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2.2.3</w:t>
            </w:r>
          </w:p>
        </w:tc>
        <w:tc>
          <w:tcPr>
            <w:tcW w:w="2002" w:type="dxa"/>
            <w:vMerge w:val="restart"/>
            <w:vAlign w:val="center"/>
          </w:tcPr>
          <w:p>
            <w:pPr>
              <w:spacing w:line="240" w:lineRule="auto"/>
              <w:jc w:val="center"/>
              <w:rPr>
                <w:rFonts w:hAnsi="宋体"/>
                <w:szCs w:val="21"/>
                <w:highlight w:val="none"/>
              </w:rPr>
            </w:pPr>
            <w:r>
              <w:rPr>
                <w:rFonts w:hint="eastAsia" w:hAnsi="宋体"/>
                <w:szCs w:val="21"/>
                <w:highlight w:val="none"/>
              </w:rPr>
              <w:t>投标人确认收到</w:t>
            </w:r>
          </w:p>
          <w:p>
            <w:pPr>
              <w:spacing w:line="240" w:lineRule="auto"/>
              <w:jc w:val="center"/>
              <w:rPr>
                <w:szCs w:val="21"/>
                <w:highlight w:val="none"/>
              </w:rPr>
            </w:pPr>
            <w:r>
              <w:rPr>
                <w:rFonts w:hint="eastAsia" w:hAnsi="宋体"/>
                <w:szCs w:val="21"/>
                <w:highlight w:val="none"/>
              </w:rPr>
              <w:t>招标文件澄清</w:t>
            </w:r>
          </w:p>
        </w:tc>
        <w:tc>
          <w:tcPr>
            <w:tcW w:w="6505" w:type="dxa"/>
            <w:vAlign w:val="center"/>
          </w:tcPr>
          <w:p>
            <w:pPr>
              <w:spacing w:line="240" w:lineRule="auto"/>
              <w:rPr>
                <w:rFonts w:ascii="宋体" w:hAnsi="宋体"/>
                <w:szCs w:val="21"/>
                <w:highlight w:val="none"/>
              </w:rPr>
            </w:pPr>
            <w:r>
              <w:rPr>
                <w:rFonts w:hint="eastAsia" w:hAnsi="宋体"/>
                <w:szCs w:val="21"/>
                <w:highlight w:val="none"/>
              </w:rPr>
              <w:t>时间：</w:t>
            </w:r>
            <w:r>
              <w:rPr>
                <w:rFonts w:hint="eastAsia" w:ascii="宋体" w:hAnsi="宋体"/>
                <w:szCs w:val="21"/>
                <w:highlight w:val="none"/>
              </w:rPr>
              <w:t>收到澄清后</w:t>
            </w:r>
            <w:r>
              <w:rPr>
                <w:rFonts w:hint="eastAsia" w:ascii="宋体" w:hAnsi="宋体"/>
                <w:szCs w:val="21"/>
                <w:highlight w:val="none"/>
                <w:u w:val="single"/>
              </w:rPr>
              <w:t>24小时</w:t>
            </w:r>
            <w:r>
              <w:rPr>
                <w:rFonts w:hint="eastAsia" w:ascii="宋体" w:hAnsi="宋体"/>
                <w:szCs w:val="21"/>
                <w:highlight w:val="none"/>
              </w:rPr>
              <w:t>内（以发出时间为准）。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2002" w:type="dxa"/>
            <w:vMerge w:val="continue"/>
            <w:vAlign w:val="center"/>
          </w:tcPr>
          <w:p>
            <w:pPr>
              <w:spacing w:line="240" w:lineRule="auto"/>
              <w:jc w:val="center"/>
              <w:rPr>
                <w:rFonts w:hAnsi="宋体"/>
                <w:szCs w:val="21"/>
                <w:highlight w:val="none"/>
              </w:rPr>
            </w:pPr>
          </w:p>
        </w:tc>
        <w:tc>
          <w:tcPr>
            <w:tcW w:w="6505" w:type="dxa"/>
            <w:vAlign w:val="center"/>
          </w:tcPr>
          <w:p>
            <w:pPr>
              <w:spacing w:line="240" w:lineRule="auto"/>
              <w:jc w:val="left"/>
              <w:rPr>
                <w:rFonts w:ascii="宋体" w:hAnsi="宋体"/>
                <w:szCs w:val="21"/>
                <w:highlight w:val="none"/>
              </w:rPr>
            </w:pPr>
            <w:r>
              <w:rPr>
                <w:rFonts w:hint="eastAsia" w:ascii="宋体" w:hAnsi="宋体"/>
                <w:szCs w:val="21"/>
                <w:highlight w:val="none"/>
              </w:rPr>
              <w:t>形式：</w:t>
            </w:r>
            <w:r>
              <w:rPr>
                <w:highlight w:val="none"/>
              </w:rPr>
              <w:fldChar w:fldCharType="begin"/>
            </w:r>
            <w:r>
              <w:rPr>
                <w:highlight w:val="none"/>
              </w:rPr>
              <w:instrText xml:space="preserve"> HYPERLINK "mailto:将收到澄清的确认函以电子邮件方式发送至@qq.com" </w:instrText>
            </w:r>
            <w:r>
              <w:rPr>
                <w:highlight w:val="none"/>
              </w:rPr>
              <w:fldChar w:fldCharType="separate"/>
            </w:r>
            <w:r>
              <w:rPr>
                <w:rFonts w:hint="eastAsia"/>
                <w:highlight w:val="none"/>
              </w:rPr>
              <w:t>将收到澄清的确认函以电子邮件方式发送至</w:t>
            </w:r>
            <w:r>
              <w:rPr>
                <w:rFonts w:hint="eastAsia" w:ascii="宋体" w:hAnsi="宋体"/>
                <w:szCs w:val="21"/>
                <w:highlight w:val="none"/>
                <w:lang w:val="en-US" w:eastAsia="zh-CN"/>
              </w:rPr>
              <w:t>772596064</w:t>
            </w:r>
            <w:r>
              <w:rPr>
                <w:rFonts w:hint="eastAsia" w:ascii="宋体" w:hAnsi="宋体"/>
                <w:szCs w:val="21"/>
                <w:highlight w:val="none"/>
              </w:rPr>
              <w:t>@qq.com</w:t>
            </w:r>
            <w:r>
              <w:rPr>
                <w:rFonts w:hint="eastAsia" w:ascii="宋体" w:hAnsi="宋体"/>
                <w:szCs w:val="21"/>
                <w:highlight w:val="none"/>
              </w:rPr>
              <w:fldChar w:fldCharType="end"/>
            </w:r>
            <w:r>
              <w:rPr>
                <w:rFonts w:hint="eastAsia"/>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2.3.1</w:t>
            </w:r>
          </w:p>
        </w:tc>
        <w:tc>
          <w:tcPr>
            <w:tcW w:w="2002" w:type="dxa"/>
            <w:vAlign w:val="center"/>
          </w:tcPr>
          <w:p>
            <w:pPr>
              <w:autoSpaceDE w:val="0"/>
              <w:autoSpaceDN w:val="0"/>
              <w:adjustRightInd w:val="0"/>
              <w:spacing w:line="240" w:lineRule="auto"/>
              <w:jc w:val="center"/>
              <w:rPr>
                <w:bCs/>
                <w:highlight w:val="none"/>
                <w:lang w:val="zh-CN"/>
              </w:rPr>
            </w:pPr>
            <w:r>
              <w:rPr>
                <w:bCs/>
                <w:highlight w:val="none"/>
                <w:lang w:val="zh-CN"/>
              </w:rPr>
              <w:t>招标文件的修改</w:t>
            </w:r>
          </w:p>
          <w:p>
            <w:pPr>
              <w:autoSpaceDE w:val="0"/>
              <w:autoSpaceDN w:val="0"/>
              <w:adjustRightInd w:val="0"/>
              <w:spacing w:line="240" w:lineRule="auto"/>
              <w:jc w:val="center"/>
              <w:rPr>
                <w:bCs/>
                <w:highlight w:val="none"/>
                <w:lang w:val="zh-CN"/>
              </w:rPr>
            </w:pPr>
            <w:r>
              <w:rPr>
                <w:rFonts w:hint="eastAsia"/>
                <w:bCs/>
                <w:highlight w:val="none"/>
                <w:lang w:val="zh-CN"/>
              </w:rPr>
              <w:t>发出的形式</w:t>
            </w:r>
          </w:p>
        </w:tc>
        <w:tc>
          <w:tcPr>
            <w:tcW w:w="6505" w:type="dxa"/>
            <w:vAlign w:val="center"/>
          </w:tcPr>
          <w:p>
            <w:pPr>
              <w:spacing w:line="240" w:lineRule="auto"/>
              <w:rPr>
                <w:rFonts w:ascii="Arial" w:hAnsi="Arial" w:cs="Arial"/>
                <w:szCs w:val="21"/>
                <w:highlight w:val="none"/>
              </w:rPr>
            </w:pPr>
            <w:r>
              <w:rPr>
                <w:rFonts w:hint="eastAsia" w:ascii="Arial" w:hAnsi="Arial" w:cs="Arial"/>
                <w:szCs w:val="21"/>
                <w:highlight w:val="none"/>
              </w:rPr>
              <w:t>招标代理机构以将招标文件修改（如有）</w:t>
            </w:r>
            <w:r>
              <w:rPr>
                <w:rFonts w:hint="eastAsia" w:ascii="宋体" w:hAnsi="宋体" w:cs="Arial"/>
                <w:szCs w:val="21"/>
                <w:highlight w:val="none"/>
              </w:rPr>
              <w:t>发布在“吉林省公共资源交易中心交易平台”，同时发布在网盘：</w:t>
            </w:r>
            <w:r>
              <w:rPr>
                <w:rFonts w:hint="eastAsia" w:ascii="宋体" w:hAnsi="宋体" w:cs="Arial"/>
                <w:szCs w:val="21"/>
                <w:highlight w:val="none"/>
                <w:lang w:eastAsia="zh-CN"/>
              </w:rPr>
              <w:t>https://pan.baidu.com/s/1P6bRr5HFlUoqRL3PtUEwrA</w:t>
            </w:r>
            <w:r>
              <w:rPr>
                <w:rFonts w:hint="eastAsia" w:ascii="宋体" w:hAnsi="宋体" w:cs="Arial"/>
                <w:szCs w:val="21"/>
                <w:highlight w:val="none"/>
              </w:rPr>
              <w:t>，提取码：</w:t>
            </w:r>
            <w:r>
              <w:rPr>
                <w:rFonts w:hint="eastAsia" w:ascii="宋体" w:hAnsi="宋体" w:cs="Arial"/>
                <w:szCs w:val="21"/>
                <w:highlight w:val="none"/>
                <w:lang w:eastAsia="zh-CN"/>
              </w:rPr>
              <w:t>syjl</w:t>
            </w:r>
            <w:r>
              <w:rPr>
                <w:rFonts w:hint="eastAsia" w:ascii="宋体" w:hAnsi="宋体" w:cs="Arial"/>
                <w:szCs w:val="21"/>
                <w:highlight w:val="none"/>
              </w:rPr>
              <w:t>，由投标人自行下载，投标人应在投标截止期前不定时浏览上述平台和网盘，否则出现一切后果由投标人自负。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2.3.2</w:t>
            </w:r>
          </w:p>
        </w:tc>
        <w:tc>
          <w:tcPr>
            <w:tcW w:w="2002" w:type="dxa"/>
            <w:vMerge w:val="restart"/>
            <w:vAlign w:val="center"/>
          </w:tcPr>
          <w:p>
            <w:pPr>
              <w:spacing w:line="240" w:lineRule="auto"/>
              <w:jc w:val="center"/>
              <w:rPr>
                <w:rFonts w:hAnsi="宋体"/>
                <w:szCs w:val="21"/>
                <w:highlight w:val="none"/>
              </w:rPr>
            </w:pPr>
            <w:r>
              <w:rPr>
                <w:rFonts w:hint="eastAsia" w:hAnsi="宋体"/>
                <w:szCs w:val="21"/>
                <w:highlight w:val="none"/>
              </w:rPr>
              <w:t>投标人确认收到</w:t>
            </w:r>
          </w:p>
          <w:p>
            <w:pPr>
              <w:spacing w:line="240" w:lineRule="auto"/>
              <w:jc w:val="center"/>
              <w:rPr>
                <w:szCs w:val="21"/>
                <w:highlight w:val="none"/>
              </w:rPr>
            </w:pPr>
            <w:r>
              <w:rPr>
                <w:rFonts w:hint="eastAsia" w:hAnsi="宋体"/>
                <w:szCs w:val="21"/>
                <w:highlight w:val="none"/>
              </w:rPr>
              <w:t>招标文件修改</w:t>
            </w:r>
          </w:p>
        </w:tc>
        <w:tc>
          <w:tcPr>
            <w:tcW w:w="6505" w:type="dxa"/>
            <w:vAlign w:val="center"/>
          </w:tcPr>
          <w:p>
            <w:pPr>
              <w:spacing w:line="240" w:lineRule="auto"/>
              <w:rPr>
                <w:rFonts w:ascii="宋体" w:hAnsi="宋体"/>
                <w:szCs w:val="21"/>
                <w:highlight w:val="none"/>
              </w:rPr>
            </w:pPr>
            <w:r>
              <w:rPr>
                <w:rFonts w:hint="eastAsia" w:hAnsi="宋体"/>
                <w:szCs w:val="21"/>
                <w:highlight w:val="none"/>
              </w:rPr>
              <w:t>时间：</w:t>
            </w:r>
            <w:r>
              <w:rPr>
                <w:rFonts w:hint="eastAsia" w:ascii="宋体" w:hAnsi="宋体"/>
                <w:szCs w:val="21"/>
                <w:highlight w:val="none"/>
              </w:rPr>
              <w:t>收到修改后</w:t>
            </w:r>
            <w:r>
              <w:rPr>
                <w:rFonts w:hint="eastAsia" w:ascii="宋体" w:hAnsi="宋体"/>
                <w:szCs w:val="21"/>
                <w:highlight w:val="none"/>
                <w:u w:val="single"/>
              </w:rPr>
              <w:t>24小时</w:t>
            </w:r>
            <w:r>
              <w:rPr>
                <w:rFonts w:hint="eastAsia" w:ascii="宋体" w:hAnsi="宋体"/>
                <w:szCs w:val="21"/>
                <w:highlight w:val="none"/>
              </w:rPr>
              <w:t>内（以发出时间为准）。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2002" w:type="dxa"/>
            <w:vMerge w:val="continue"/>
            <w:vAlign w:val="center"/>
          </w:tcPr>
          <w:p>
            <w:pPr>
              <w:spacing w:line="240" w:lineRule="auto"/>
              <w:jc w:val="center"/>
              <w:rPr>
                <w:rFonts w:hAnsi="宋体"/>
                <w:szCs w:val="21"/>
                <w:highlight w:val="none"/>
              </w:rPr>
            </w:pPr>
          </w:p>
        </w:tc>
        <w:tc>
          <w:tcPr>
            <w:tcW w:w="6505" w:type="dxa"/>
            <w:vAlign w:val="center"/>
          </w:tcPr>
          <w:p>
            <w:pPr>
              <w:spacing w:line="240" w:lineRule="auto"/>
              <w:jc w:val="left"/>
              <w:rPr>
                <w:rFonts w:ascii="宋体" w:hAnsi="宋体"/>
                <w:szCs w:val="21"/>
                <w:highlight w:val="none"/>
              </w:rPr>
            </w:pPr>
            <w:r>
              <w:rPr>
                <w:rFonts w:hint="eastAsia" w:ascii="宋体" w:hAnsi="宋体"/>
                <w:szCs w:val="21"/>
                <w:highlight w:val="none"/>
              </w:rPr>
              <w:t>形式：将收到修改的确认函以电子邮件方式发送至</w:t>
            </w:r>
            <w:r>
              <w:rPr>
                <w:rFonts w:hint="eastAsia" w:ascii="宋体" w:hAnsi="宋体"/>
                <w:szCs w:val="21"/>
                <w:highlight w:val="none"/>
                <w:lang w:val="en-US" w:eastAsia="zh-CN"/>
              </w:rPr>
              <w:t>772596064</w:t>
            </w:r>
            <w:r>
              <w:rPr>
                <w:rFonts w:hint="eastAsia" w:ascii="宋体" w:hAnsi="宋体"/>
                <w:szCs w:val="21"/>
                <w:highlight w:val="none"/>
              </w:rPr>
              <w:t>@qq.com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3.1.1</w:t>
            </w:r>
          </w:p>
        </w:tc>
        <w:tc>
          <w:tcPr>
            <w:tcW w:w="2002" w:type="dxa"/>
            <w:vAlign w:val="center"/>
          </w:tcPr>
          <w:p>
            <w:pPr>
              <w:spacing w:line="240" w:lineRule="auto"/>
              <w:jc w:val="center"/>
              <w:rPr>
                <w:rFonts w:hAnsi="宋体"/>
                <w:szCs w:val="21"/>
                <w:highlight w:val="none"/>
              </w:rPr>
            </w:pPr>
            <w:r>
              <w:rPr>
                <w:rFonts w:hint="eastAsia" w:hAnsi="宋体"/>
                <w:szCs w:val="21"/>
                <w:highlight w:val="none"/>
              </w:rPr>
              <w:t>构成投标文件的</w:t>
            </w:r>
          </w:p>
          <w:p>
            <w:pPr>
              <w:spacing w:line="240" w:lineRule="auto"/>
              <w:jc w:val="center"/>
              <w:rPr>
                <w:szCs w:val="21"/>
                <w:highlight w:val="none"/>
              </w:rPr>
            </w:pPr>
            <w:r>
              <w:rPr>
                <w:rFonts w:hint="eastAsia" w:hAnsi="宋体"/>
                <w:szCs w:val="21"/>
                <w:highlight w:val="none"/>
              </w:rPr>
              <w:t>其它资料</w:t>
            </w:r>
          </w:p>
        </w:tc>
        <w:tc>
          <w:tcPr>
            <w:tcW w:w="6505" w:type="dxa"/>
            <w:vAlign w:val="center"/>
          </w:tcPr>
          <w:p>
            <w:pPr>
              <w:spacing w:line="240" w:lineRule="auto"/>
              <w:rPr>
                <w:rFonts w:hint="eastAsia" w:ascii="宋体" w:hAnsi="宋体" w:eastAsia="宋体" w:cs="宋体"/>
                <w:szCs w:val="18"/>
                <w:highlight w:val="none"/>
                <w:lang w:eastAsia="zh-CN"/>
              </w:rPr>
            </w:pPr>
            <w:r>
              <w:rPr>
                <w:rFonts w:hint="eastAsia" w:ascii="宋体" w:hAnsi="宋体"/>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3.2.1</w:t>
            </w:r>
          </w:p>
        </w:tc>
        <w:tc>
          <w:tcPr>
            <w:tcW w:w="2002" w:type="dxa"/>
            <w:vAlign w:val="center"/>
          </w:tcPr>
          <w:p>
            <w:pPr>
              <w:spacing w:line="240" w:lineRule="auto"/>
              <w:jc w:val="center"/>
              <w:rPr>
                <w:rFonts w:hAnsi="宋体"/>
                <w:szCs w:val="21"/>
                <w:highlight w:val="none"/>
              </w:rPr>
            </w:pPr>
            <w:r>
              <w:rPr>
                <w:rFonts w:hAnsi="宋体"/>
                <w:szCs w:val="21"/>
                <w:highlight w:val="none"/>
              </w:rPr>
              <w:t>增值税税金的</w:t>
            </w:r>
          </w:p>
          <w:p>
            <w:pPr>
              <w:spacing w:line="240" w:lineRule="auto"/>
              <w:jc w:val="center"/>
              <w:rPr>
                <w:rFonts w:hAnsi="宋体"/>
                <w:szCs w:val="21"/>
                <w:highlight w:val="none"/>
              </w:rPr>
            </w:pPr>
            <w:r>
              <w:rPr>
                <w:rFonts w:hAnsi="宋体"/>
                <w:szCs w:val="21"/>
                <w:highlight w:val="none"/>
              </w:rPr>
              <w:t>计算方法</w:t>
            </w:r>
          </w:p>
        </w:tc>
        <w:tc>
          <w:tcPr>
            <w:tcW w:w="6505" w:type="dxa"/>
            <w:vAlign w:val="center"/>
          </w:tcPr>
          <w:p>
            <w:pPr>
              <w:adjustRightInd w:val="0"/>
              <w:snapToGrid w:val="0"/>
              <w:spacing w:before="100" w:beforeAutospacing="1" w:after="100" w:afterAutospacing="1" w:line="240" w:lineRule="auto"/>
              <w:jc w:val="left"/>
              <w:rPr>
                <w:rFonts w:ascii="宋体" w:hAnsi="宋体"/>
                <w:szCs w:val="21"/>
                <w:highlight w:val="none"/>
              </w:rPr>
            </w:pPr>
            <w:r>
              <w:rPr>
                <w:rFonts w:hint="eastAsia" w:ascii="宋体" w:hAnsi="宋体" w:cs="宋体"/>
                <w:bCs/>
                <w:color w:val="000000"/>
                <w:szCs w:val="21"/>
                <w:highlight w:val="none"/>
                <w:lang w:val="zh-CN"/>
              </w:rPr>
              <w:t>按国家有关规定执行。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3.2.3</w:t>
            </w:r>
          </w:p>
        </w:tc>
        <w:tc>
          <w:tcPr>
            <w:tcW w:w="2002"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报价方式</w:t>
            </w:r>
          </w:p>
        </w:tc>
        <w:tc>
          <w:tcPr>
            <w:tcW w:w="6505" w:type="dxa"/>
            <w:vAlign w:val="center"/>
          </w:tcPr>
          <w:p>
            <w:pPr>
              <w:pStyle w:val="74"/>
              <w:shd w:val="clear" w:color="auto" w:fill="auto"/>
              <w:spacing w:line="240" w:lineRule="auto"/>
              <w:ind w:firstLine="0"/>
              <w:jc w:val="both"/>
              <w:rPr>
                <w:sz w:val="21"/>
                <w:szCs w:val="21"/>
                <w:highlight w:val="none"/>
              </w:rPr>
            </w:pPr>
            <w:r>
              <w:rPr>
                <w:rFonts w:hint="eastAsia"/>
                <w:sz w:val="21"/>
                <w:szCs w:val="21"/>
                <w:highlight w:val="none"/>
              </w:rPr>
              <w:t>□</w:t>
            </w:r>
            <w:r>
              <w:rPr>
                <w:sz w:val="21"/>
                <w:szCs w:val="21"/>
                <w:highlight w:val="none"/>
              </w:rPr>
              <w:t>单价</w:t>
            </w:r>
          </w:p>
          <w:p>
            <w:pPr>
              <w:pStyle w:val="74"/>
              <w:shd w:val="clear" w:color="auto" w:fill="auto"/>
              <w:spacing w:line="240" w:lineRule="auto"/>
              <w:ind w:firstLine="0"/>
              <w:jc w:val="both"/>
              <w:rPr>
                <w:highlight w:val="none"/>
              </w:rPr>
            </w:pPr>
            <w:r>
              <w:rPr>
                <w:sz w:val="21"/>
                <w:szCs w:val="21"/>
                <w:highlight w:val="none"/>
                <w:lang w:bidi="en-US"/>
              </w:rPr>
              <w:fldChar w:fldCharType="begin"/>
            </w:r>
            <w:r>
              <w:rPr>
                <w:rFonts w:hint="eastAsia"/>
                <w:sz w:val="21"/>
                <w:szCs w:val="21"/>
                <w:highlight w:val="none"/>
                <w:lang w:bidi="en-US"/>
              </w:rPr>
              <w:instrText xml:space="preserve">eq \o\ac(□,√)</w:instrText>
            </w:r>
            <w:r>
              <w:rPr>
                <w:sz w:val="21"/>
                <w:szCs w:val="21"/>
                <w:highlight w:val="none"/>
              </w:rPr>
              <w:fldChar w:fldCharType="end"/>
            </w:r>
            <w:r>
              <w:rPr>
                <w:sz w:val="21"/>
                <w:szCs w:val="21"/>
                <w:highlight w:val="none"/>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3.2.4</w:t>
            </w:r>
          </w:p>
        </w:tc>
        <w:tc>
          <w:tcPr>
            <w:tcW w:w="2002" w:type="dxa"/>
            <w:vAlign w:val="center"/>
          </w:tcPr>
          <w:p>
            <w:pPr>
              <w:spacing w:line="240" w:lineRule="auto"/>
              <w:jc w:val="center"/>
              <w:rPr>
                <w:rFonts w:ascii="宋体" w:hAnsi="宋体"/>
                <w:szCs w:val="21"/>
                <w:highlight w:val="none"/>
              </w:rPr>
            </w:pPr>
            <w:r>
              <w:rPr>
                <w:rFonts w:ascii="宋体" w:hAnsi="宋体"/>
                <w:szCs w:val="21"/>
                <w:highlight w:val="none"/>
                <w:lang w:bidi="en-US"/>
              </w:rPr>
              <w:t>最高投标限价</w:t>
            </w:r>
          </w:p>
        </w:tc>
        <w:tc>
          <w:tcPr>
            <w:tcW w:w="6505" w:type="dxa"/>
            <w:vAlign w:val="center"/>
          </w:tcPr>
          <w:p>
            <w:pPr>
              <w:pStyle w:val="74"/>
              <w:shd w:val="clear" w:color="auto" w:fill="auto"/>
              <w:spacing w:line="240" w:lineRule="auto"/>
              <w:ind w:firstLine="0"/>
              <w:jc w:val="both"/>
              <w:rPr>
                <w:sz w:val="21"/>
                <w:szCs w:val="21"/>
                <w:highlight w:val="none"/>
              </w:rPr>
            </w:pPr>
            <w:r>
              <w:rPr>
                <w:sz w:val="21"/>
                <w:szCs w:val="21"/>
                <w:highlight w:val="none"/>
              </w:rPr>
              <w:t>□无</w:t>
            </w:r>
          </w:p>
          <w:p>
            <w:pPr>
              <w:pStyle w:val="28"/>
              <w:pBdr>
                <w:bottom w:val="none" w:color="auto" w:sz="0" w:space="0"/>
              </w:pBdr>
              <w:tabs>
                <w:tab w:val="clear" w:pos="4153"/>
                <w:tab w:val="clear" w:pos="8306"/>
              </w:tabs>
              <w:snapToGrid/>
              <w:spacing w:line="240" w:lineRule="auto"/>
              <w:jc w:val="both"/>
              <w:rPr>
                <w:rFonts w:hint="default" w:ascii="宋体" w:hAnsi="宋体" w:eastAsia="宋体"/>
                <w:sz w:val="21"/>
                <w:szCs w:val="21"/>
                <w:highlight w:val="none"/>
                <w:u w:val="single"/>
                <w:lang w:val="en-US" w:eastAsia="zh-CN"/>
              </w:rPr>
            </w:pPr>
            <w:r>
              <w:rPr>
                <w:rFonts w:ascii="宋体" w:hAnsi="宋体"/>
                <w:sz w:val="21"/>
                <w:szCs w:val="21"/>
                <w:highlight w:val="none"/>
                <w:lang w:bidi="en-US"/>
              </w:rPr>
              <w:fldChar w:fldCharType="begin"/>
            </w:r>
            <w:r>
              <w:rPr>
                <w:rFonts w:hint="eastAsia" w:ascii="宋体" w:hAnsi="宋体"/>
                <w:sz w:val="21"/>
                <w:szCs w:val="21"/>
                <w:highlight w:val="none"/>
                <w:lang w:bidi="en-US"/>
              </w:rPr>
              <w:instrText xml:space="preserve">eq \o\ac(□,√)</w:instrText>
            </w:r>
            <w:r>
              <w:rPr>
                <w:rFonts w:ascii="宋体" w:hAnsi="宋体"/>
                <w:sz w:val="21"/>
                <w:szCs w:val="21"/>
                <w:highlight w:val="none"/>
              </w:rPr>
              <w:fldChar w:fldCharType="end"/>
            </w:r>
            <w:r>
              <w:rPr>
                <w:rFonts w:hint="eastAsia" w:ascii="宋体" w:hAnsi="宋体"/>
                <w:sz w:val="21"/>
                <w:szCs w:val="21"/>
                <w:highlight w:val="none"/>
              </w:rPr>
              <w:t>有，最高投标限价：</w:t>
            </w:r>
            <w:r>
              <w:rPr>
                <w:rFonts w:hint="eastAsia" w:ascii="宋体" w:hAnsi="宋体"/>
                <w:sz w:val="21"/>
                <w:szCs w:val="21"/>
                <w:highlight w:val="none"/>
                <w:lang w:val="en-US" w:eastAsia="zh-CN"/>
              </w:rPr>
              <w:t xml:space="preserve"> </w:t>
            </w:r>
            <w:r>
              <w:rPr>
                <w:rFonts w:hint="eastAsia" w:ascii="宋体" w:hAnsi="宋体"/>
                <w:sz w:val="21"/>
                <w:szCs w:val="21"/>
                <w:highlight w:val="none"/>
                <w:u w:val="single"/>
                <w:lang w:val="en-US" w:eastAsia="zh-CN"/>
              </w:rPr>
              <w:t xml:space="preserve"> 115万元（人民币）</w:t>
            </w:r>
          </w:p>
          <w:p>
            <w:pPr>
              <w:pStyle w:val="28"/>
              <w:pBdr>
                <w:bottom w:val="none" w:color="auto" w:sz="0" w:space="0"/>
              </w:pBdr>
              <w:tabs>
                <w:tab w:val="clear" w:pos="4153"/>
                <w:tab w:val="clear" w:pos="8306"/>
              </w:tabs>
              <w:snapToGrid/>
              <w:spacing w:line="240" w:lineRule="auto"/>
              <w:jc w:val="both"/>
              <w:rPr>
                <w:rFonts w:hint="default" w:ascii="宋体" w:hAnsi="宋体" w:eastAsia="宋体"/>
                <w:sz w:val="21"/>
                <w:szCs w:val="21"/>
                <w:highlight w:val="none"/>
                <w:u w:val="single"/>
                <w:lang w:val="en-US" w:eastAsia="zh-CN"/>
              </w:rPr>
            </w:pPr>
            <w:r>
              <w:rPr>
                <w:rFonts w:hint="eastAsia" w:ascii="宋体" w:hAnsi="宋体"/>
                <w:sz w:val="21"/>
                <w:szCs w:val="21"/>
                <w:highlight w:val="none"/>
                <w:u w:val="single"/>
              </w:rPr>
              <w:t>高于最高投标限价的投标报价</w:t>
            </w:r>
            <w:r>
              <w:rPr>
                <w:rFonts w:hint="eastAsia" w:ascii="宋体" w:hAnsi="宋体"/>
                <w:sz w:val="21"/>
                <w:szCs w:val="21"/>
                <w:highlight w:val="none"/>
                <w:u w:val="single"/>
                <w:lang w:val="en-US" w:eastAsia="zh-CN"/>
              </w:rPr>
              <w:t>将不能通过评审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3.2.</w:t>
            </w:r>
            <w:r>
              <w:rPr>
                <w:rFonts w:hint="eastAsia" w:ascii="宋体" w:hAnsi="宋体"/>
                <w:szCs w:val="21"/>
                <w:highlight w:val="none"/>
              </w:rPr>
              <w:t>5</w:t>
            </w:r>
          </w:p>
        </w:tc>
        <w:tc>
          <w:tcPr>
            <w:tcW w:w="2002"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投标报价的其他要求</w:t>
            </w:r>
          </w:p>
        </w:tc>
        <w:tc>
          <w:tcPr>
            <w:tcW w:w="6505" w:type="dxa"/>
            <w:vAlign w:val="center"/>
          </w:tcPr>
          <w:p>
            <w:pPr>
              <w:spacing w:line="240" w:lineRule="auto"/>
              <w:rPr>
                <w:rFonts w:hint="eastAsia" w:hAnsi="宋体" w:eastAsia="宋体"/>
                <w:szCs w:val="21"/>
                <w:highlight w:val="none"/>
                <w:lang w:eastAsia="zh-CN"/>
              </w:rPr>
            </w:pPr>
            <w:r>
              <w:rPr>
                <w:rFonts w:hint="eastAsia" w:hAnsi="宋体"/>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3.3.1</w:t>
            </w:r>
          </w:p>
        </w:tc>
        <w:tc>
          <w:tcPr>
            <w:tcW w:w="2002" w:type="dxa"/>
            <w:vAlign w:val="center"/>
          </w:tcPr>
          <w:p>
            <w:pPr>
              <w:spacing w:line="240" w:lineRule="auto"/>
              <w:jc w:val="center"/>
              <w:rPr>
                <w:szCs w:val="21"/>
                <w:highlight w:val="none"/>
              </w:rPr>
            </w:pPr>
            <w:r>
              <w:rPr>
                <w:rFonts w:hint="eastAsia" w:hAnsi="宋体"/>
                <w:szCs w:val="21"/>
                <w:highlight w:val="none"/>
              </w:rPr>
              <w:t>投标有效期</w:t>
            </w:r>
          </w:p>
        </w:tc>
        <w:tc>
          <w:tcPr>
            <w:tcW w:w="6505" w:type="dxa"/>
            <w:vAlign w:val="center"/>
          </w:tcPr>
          <w:p>
            <w:pPr>
              <w:spacing w:line="240" w:lineRule="auto"/>
              <w:rPr>
                <w:szCs w:val="21"/>
                <w:highlight w:val="none"/>
              </w:rPr>
            </w:pPr>
            <w:r>
              <w:rPr>
                <w:rFonts w:hint="eastAsia" w:hAnsi="宋体"/>
                <w:szCs w:val="21"/>
                <w:highlight w:val="none"/>
              </w:rPr>
              <w:t>自投标人提交投标文件截止之日起计算</w:t>
            </w:r>
            <w:r>
              <w:rPr>
                <w:rFonts w:hint="eastAsia"/>
                <w:szCs w:val="21"/>
                <w:highlight w:val="none"/>
                <w:u w:val="single"/>
              </w:rPr>
              <w:t>9</w:t>
            </w:r>
            <w:r>
              <w:rPr>
                <w:szCs w:val="21"/>
                <w:highlight w:val="none"/>
                <w:u w:val="single"/>
              </w:rPr>
              <w:t>0</w:t>
            </w:r>
            <w:r>
              <w:rPr>
                <w:rFonts w:hint="eastAsia" w:hAnsi="宋体"/>
                <w:szCs w:val="21"/>
                <w:highlight w:val="none"/>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4"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3.4.1</w:t>
            </w:r>
          </w:p>
        </w:tc>
        <w:tc>
          <w:tcPr>
            <w:tcW w:w="2002" w:type="dxa"/>
            <w:vAlign w:val="center"/>
          </w:tcPr>
          <w:p>
            <w:pPr>
              <w:spacing w:line="240" w:lineRule="auto"/>
              <w:jc w:val="center"/>
              <w:rPr>
                <w:rFonts w:hAnsi="宋体"/>
                <w:szCs w:val="21"/>
                <w:highlight w:val="none"/>
              </w:rPr>
            </w:pPr>
            <w:r>
              <w:rPr>
                <w:rFonts w:hint="eastAsia" w:hAnsi="宋体"/>
                <w:szCs w:val="21"/>
                <w:highlight w:val="none"/>
              </w:rPr>
              <w:t>投标保证金</w:t>
            </w:r>
          </w:p>
        </w:tc>
        <w:tc>
          <w:tcPr>
            <w:tcW w:w="6505" w:type="dxa"/>
            <w:vAlign w:val="center"/>
          </w:tcPr>
          <w:p>
            <w:pPr>
              <w:spacing w:line="240" w:lineRule="auto"/>
              <w:rPr>
                <w:rFonts w:hint="eastAsia" w:ascii="Times New Roman" w:hAnsi="Times New Roman" w:cs="Times New Roman"/>
                <w:szCs w:val="21"/>
                <w:highlight w:val="none"/>
                <w:lang w:val="zh-CN"/>
              </w:rPr>
            </w:pPr>
            <w:r>
              <w:rPr>
                <w:rFonts w:hint="eastAsia" w:ascii="Times New Roman" w:hAnsi="Times New Roman" w:cs="Times New Roman"/>
                <w:szCs w:val="21"/>
                <w:highlight w:val="none"/>
                <w:lang w:val="zh-CN"/>
              </w:rPr>
              <w:t>是否要求投标人递交投标保证金</w:t>
            </w:r>
          </w:p>
          <w:p>
            <w:pPr>
              <w:spacing w:line="240" w:lineRule="auto"/>
              <w:rPr>
                <w:rFonts w:hint="eastAsia" w:ascii="Times New Roman" w:hAnsi="Times New Roman" w:cs="Times New Roman"/>
                <w:szCs w:val="21"/>
                <w:highlight w:val="none"/>
              </w:rPr>
            </w:pPr>
            <w:r>
              <w:rPr>
                <w:rFonts w:hint="eastAsia" w:ascii="Times New Roman" w:hAnsi="Times New Roman" w:cs="Times New Roman"/>
                <w:szCs w:val="21"/>
                <w:highlight w:val="none"/>
                <w:lang w:val="zh-CN"/>
              </w:rPr>
              <w:fldChar w:fldCharType="begin"/>
            </w:r>
            <w:r>
              <w:rPr>
                <w:rFonts w:hint="eastAsia" w:ascii="Times New Roman" w:hAnsi="Times New Roman" w:cs="Times New Roman"/>
                <w:szCs w:val="21"/>
                <w:highlight w:val="none"/>
                <w:lang w:val="zh-CN"/>
              </w:rPr>
              <w:instrText xml:space="preserve"> eq \o\ac(□,√)</w:instrText>
            </w:r>
            <w:r>
              <w:rPr>
                <w:rFonts w:hint="eastAsia" w:ascii="Times New Roman" w:hAnsi="Times New Roman" w:cs="Times New Roman"/>
                <w:szCs w:val="21"/>
                <w:highlight w:val="none"/>
                <w:lang w:val="zh-CN"/>
              </w:rPr>
              <w:fldChar w:fldCharType="end"/>
            </w:r>
            <w:r>
              <w:rPr>
                <w:rFonts w:hint="eastAsia" w:ascii="Times New Roman" w:hAnsi="Times New Roman" w:cs="Times New Roman"/>
                <w:szCs w:val="21"/>
                <w:highlight w:val="none"/>
                <w:lang w:val="zh-CN"/>
              </w:rPr>
              <w:t>要求，</w:t>
            </w:r>
            <w:r>
              <w:rPr>
                <w:rFonts w:hint="eastAsia" w:ascii="Times New Roman" w:hAnsi="Times New Roman" w:cs="Times New Roman"/>
                <w:szCs w:val="21"/>
                <w:highlight w:val="none"/>
              </w:rPr>
              <w:t>投标保证金的金额：</w:t>
            </w:r>
          </w:p>
          <w:p>
            <w:pPr>
              <w:spacing w:line="24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01标段为人民币</w:t>
            </w:r>
            <w:r>
              <w:rPr>
                <w:rFonts w:hint="eastAsia" w:cs="Times New Roman"/>
                <w:szCs w:val="21"/>
                <w:highlight w:val="none"/>
                <w:lang w:val="en-US" w:eastAsia="zh-CN"/>
              </w:rPr>
              <w:t>2</w:t>
            </w:r>
            <w:r>
              <w:rPr>
                <w:rFonts w:hint="eastAsia" w:ascii="Times New Roman" w:hAnsi="Times New Roman" w:cs="Times New Roman"/>
                <w:szCs w:val="21"/>
                <w:highlight w:val="none"/>
              </w:rPr>
              <w:t>万元（￥</w:t>
            </w:r>
            <w:r>
              <w:rPr>
                <w:rFonts w:hint="eastAsia" w:cs="Times New Roman"/>
                <w:szCs w:val="21"/>
                <w:highlight w:val="none"/>
                <w:lang w:val="en-US" w:eastAsia="zh-CN"/>
              </w:rPr>
              <w:t>20000</w:t>
            </w:r>
            <w:r>
              <w:rPr>
                <w:rFonts w:hint="eastAsia" w:ascii="Times New Roman" w:hAnsi="Times New Roman" w:cs="Times New Roman"/>
                <w:szCs w:val="21"/>
                <w:highlight w:val="none"/>
              </w:rPr>
              <w:t>元）/投标人；</w:t>
            </w:r>
          </w:p>
          <w:p>
            <w:pPr>
              <w:adjustRightInd w:val="0"/>
              <w:snapToGrid w:val="0"/>
              <w:spacing w:line="240" w:lineRule="auto"/>
              <w:ind w:firstLine="210" w:firstLineChars="100"/>
              <w:rPr>
                <w:rFonts w:hint="eastAsia" w:ascii="宋体" w:hAnsi="宋体"/>
                <w:szCs w:val="21"/>
                <w:highlight w:val="none"/>
              </w:rPr>
            </w:pPr>
            <w:r>
              <w:rPr>
                <w:rFonts w:hint="eastAsia" w:ascii="宋体" w:hAnsi="宋体"/>
                <w:szCs w:val="21"/>
                <w:highlight w:val="none"/>
              </w:rPr>
              <w:t>投标保证金的形式：现金、支票或银行保函</w:t>
            </w:r>
          </w:p>
          <w:p>
            <w:pPr>
              <w:adjustRightInd w:val="0"/>
              <w:snapToGrid w:val="0"/>
              <w:spacing w:line="240" w:lineRule="auto"/>
              <w:ind w:firstLine="210" w:firstLineChars="100"/>
              <w:rPr>
                <w:rFonts w:hint="eastAsia" w:ascii="宋体" w:hAnsi="宋体" w:eastAsia="宋体" w:cs="Times New Roman"/>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）若采用银行保函，出具保函的银行级别：</w:t>
            </w:r>
            <w:r>
              <w:rPr>
                <w:rFonts w:ascii="宋体" w:hAnsi="宋体"/>
                <w:color w:val="000000"/>
                <w:highlight w:val="none"/>
              </w:rPr>
              <w:t>应由</w:t>
            </w:r>
            <w:r>
              <w:rPr>
                <w:rFonts w:hint="eastAsia" w:ascii="宋体" w:hAnsi="宋体"/>
                <w:color w:val="000000"/>
                <w:highlight w:val="none"/>
              </w:rPr>
              <w:t>“工商银行、农业银行、中国银行、建设银行、交通银行”五大国有商业银行之一或全国性股份制商业银行</w:t>
            </w:r>
            <w:r>
              <w:rPr>
                <w:rFonts w:ascii="宋体" w:hAnsi="宋体"/>
                <w:color w:val="000000"/>
                <w:highlight w:val="none"/>
              </w:rPr>
              <w:t>开具，</w:t>
            </w:r>
            <w:r>
              <w:rPr>
                <w:rFonts w:hint="eastAsia" w:ascii="宋体" w:hAnsi="宋体"/>
                <w:color w:val="000000"/>
                <w:highlight w:val="none"/>
              </w:rPr>
              <w:t>银行应为地市级分、支行或以上级别。</w:t>
            </w:r>
            <w:r>
              <w:rPr>
                <w:rFonts w:ascii="宋体" w:hAnsi="宋体"/>
                <w:color w:val="000000"/>
                <w:szCs w:val="21"/>
                <w:highlight w:val="none"/>
              </w:rPr>
              <w:t>银行保函复印件装订在投标文件内。</w:t>
            </w:r>
            <w:r>
              <w:rPr>
                <w:rFonts w:hint="eastAsia" w:ascii="宋体" w:hAnsi="宋体"/>
                <w:color w:val="000000"/>
                <w:szCs w:val="21"/>
                <w:highlight w:val="none"/>
              </w:rPr>
              <w:t>原件单独密封在投</w:t>
            </w:r>
            <w:r>
              <w:rPr>
                <w:rFonts w:hint="eastAsia" w:ascii="宋体" w:hAnsi="宋体" w:eastAsia="宋体" w:cs="Times New Roman"/>
                <w:color w:val="000000"/>
                <w:highlight w:val="none"/>
              </w:rPr>
              <w:t>标保函原件封套中，随同投标文件一起（在递交投标文件截止之前）递交给招标代理机构。</w:t>
            </w:r>
          </w:p>
          <w:p>
            <w:pPr>
              <w:adjustRightInd w:val="0"/>
              <w:snapToGrid w:val="0"/>
              <w:spacing w:line="240" w:lineRule="auto"/>
              <w:ind w:firstLine="210" w:firstLineChars="100"/>
              <w:rPr>
                <w:rFonts w:hint="eastAsia" w:ascii="宋体" w:hAnsi="宋体"/>
                <w:szCs w:val="21"/>
                <w:highlight w:val="none"/>
              </w:rPr>
            </w:pPr>
            <w:r>
              <w:rPr>
                <w:rFonts w:hint="eastAsia" w:ascii="宋体" w:hAnsi="宋体" w:eastAsia="宋体" w:cs="Times New Roman"/>
                <w:color w:val="000000"/>
                <w:highlight w:val="none"/>
              </w:rPr>
              <w:t>（2）若采用现金或支票或汇票形式，投标人应在投标截止时间前，将投标保证金由投标人的基本账户一次性汇入并到达招标人指定账户，否则视为投标保证金无效。</w:t>
            </w:r>
          </w:p>
          <w:p>
            <w:pPr>
              <w:spacing w:line="240" w:lineRule="auto"/>
              <w:rPr>
                <w:rFonts w:hint="eastAsia" w:ascii="宋体" w:hAnsi="宋体"/>
                <w:szCs w:val="21"/>
                <w:highlight w:val="none"/>
              </w:rPr>
            </w:pPr>
            <w:r>
              <w:rPr>
                <w:rFonts w:hint="eastAsia" w:ascii="宋体" w:hAnsi="宋体"/>
                <w:szCs w:val="21"/>
                <w:highlight w:val="none"/>
              </w:rPr>
              <w:t>招标人指定的开户银行及账号如下：</w:t>
            </w:r>
          </w:p>
          <w:p>
            <w:pPr>
              <w:spacing w:line="240" w:lineRule="auto"/>
              <w:rPr>
                <w:rFonts w:hint="eastAsia" w:ascii="宋体" w:hAnsi="宋体"/>
                <w:szCs w:val="21"/>
                <w:highlight w:val="none"/>
              </w:rPr>
            </w:pPr>
            <w:r>
              <w:rPr>
                <w:rFonts w:hint="eastAsia" w:ascii="宋体" w:hAnsi="宋体"/>
                <w:szCs w:val="21"/>
                <w:highlight w:val="none"/>
              </w:rPr>
              <w:t>开户名称：</w:t>
            </w:r>
            <w:r>
              <w:rPr>
                <w:rFonts w:hint="eastAsia"/>
                <w:szCs w:val="21"/>
                <w:highlight w:val="none"/>
              </w:rPr>
              <w:t>吉林省智广工程项目管理有限公司</w:t>
            </w:r>
          </w:p>
          <w:p>
            <w:pPr>
              <w:spacing w:line="240" w:lineRule="auto"/>
              <w:rPr>
                <w:rFonts w:hint="eastAsia" w:ascii="宋体" w:hAnsi="宋体"/>
                <w:szCs w:val="21"/>
                <w:highlight w:val="none"/>
                <w:lang w:val="zh-CN"/>
              </w:rPr>
            </w:pPr>
            <w:r>
              <w:rPr>
                <w:rFonts w:hint="eastAsia" w:ascii="宋体" w:hAnsi="宋体"/>
                <w:szCs w:val="21"/>
                <w:highlight w:val="none"/>
              </w:rPr>
              <w:t>开户银行:</w:t>
            </w:r>
            <w:r>
              <w:rPr>
                <w:rFonts w:hint="eastAsia" w:ascii="宋体" w:hAnsi="宋体"/>
                <w:szCs w:val="21"/>
                <w:highlight w:val="none"/>
                <w:lang w:val="zh-CN"/>
              </w:rPr>
              <w:t>中国银行股份有限公司长春卫星路支行</w:t>
            </w:r>
          </w:p>
          <w:p>
            <w:pPr>
              <w:spacing w:line="240" w:lineRule="auto"/>
              <w:rPr>
                <w:rFonts w:hint="eastAsia" w:ascii="宋体" w:hAnsi="宋体"/>
                <w:szCs w:val="21"/>
                <w:highlight w:val="none"/>
              </w:rPr>
            </w:pPr>
            <w:r>
              <w:rPr>
                <w:rFonts w:hint="eastAsia" w:ascii="宋体" w:hAnsi="宋体"/>
                <w:szCs w:val="21"/>
                <w:highlight w:val="none"/>
              </w:rPr>
              <w:t>银行账号:</w:t>
            </w:r>
            <w:r>
              <w:rPr>
                <w:rFonts w:hint="eastAsia" w:ascii="宋体" w:hAnsi="宋体"/>
                <w:szCs w:val="21"/>
                <w:highlight w:val="none"/>
                <w:lang w:val="zh-CN"/>
              </w:rPr>
              <w:t>157253286546</w:t>
            </w:r>
          </w:p>
          <w:p>
            <w:pPr>
              <w:spacing w:line="240" w:lineRule="auto"/>
              <w:rPr>
                <w:rFonts w:hint="eastAsia" w:ascii="宋体" w:hAnsi="宋体"/>
                <w:szCs w:val="21"/>
                <w:highlight w:val="none"/>
              </w:rPr>
            </w:pPr>
            <w:r>
              <w:rPr>
                <w:rFonts w:hint="eastAsia" w:ascii="宋体" w:hAnsi="宋体"/>
                <w:szCs w:val="21"/>
                <w:highlight w:val="none"/>
              </w:rPr>
              <w:t>银行转账业务备注一栏可填写：“</w:t>
            </w:r>
            <w:r>
              <w:rPr>
                <w:rFonts w:hint="eastAsia" w:ascii="宋体" w:hAnsi="宋体"/>
                <w:szCs w:val="21"/>
                <w:highlight w:val="none"/>
                <w:lang w:eastAsia="zh-CN"/>
              </w:rPr>
              <w:t>省道四杨公路（S513）改建工程</w:t>
            </w:r>
            <w:r>
              <w:rPr>
                <w:rFonts w:hint="eastAsia" w:ascii="宋体" w:hAnsi="宋体"/>
                <w:szCs w:val="21"/>
                <w:highlight w:val="none"/>
                <w:lang w:val="en-US" w:eastAsia="zh-CN"/>
              </w:rPr>
              <w:t>监理</w:t>
            </w:r>
            <w:r>
              <w:rPr>
                <w:rFonts w:hint="eastAsia" w:ascii="宋体" w:hAnsi="宋体"/>
                <w:szCs w:val="21"/>
                <w:highlight w:val="none"/>
              </w:rPr>
              <w:t>投标保证金”</w:t>
            </w:r>
          </w:p>
          <w:p>
            <w:pPr>
              <w:spacing w:line="240" w:lineRule="auto"/>
              <w:rPr>
                <w:rFonts w:hAnsi="宋体"/>
                <w:szCs w:val="21"/>
                <w:highlight w:val="none"/>
              </w:rPr>
            </w:pPr>
            <w:r>
              <w:rPr>
                <w:rFonts w:hint="eastAsia" w:ascii="宋体" w:hAnsi="宋体"/>
                <w:szCs w:val="21"/>
                <w:highlight w:val="none"/>
                <w:lang w:val="zh-CN"/>
              </w:rPr>
              <w:t>无论采取何种形式的投标保证金，投标保证金有效期均应与投标有效期一致。招标人如果按本章第3.3.3项的规定延长了投标有效期，则投标保证金的有效期也相应延长。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7"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3.4.3</w:t>
            </w:r>
          </w:p>
        </w:tc>
        <w:tc>
          <w:tcPr>
            <w:tcW w:w="2002" w:type="dxa"/>
            <w:vAlign w:val="center"/>
          </w:tcPr>
          <w:p>
            <w:pPr>
              <w:spacing w:line="240" w:lineRule="auto"/>
              <w:jc w:val="center"/>
              <w:rPr>
                <w:rFonts w:hAnsi="宋体"/>
                <w:szCs w:val="21"/>
                <w:highlight w:val="none"/>
              </w:rPr>
            </w:pPr>
            <w:r>
              <w:rPr>
                <w:rFonts w:hint="eastAsia" w:ascii="宋体" w:hAnsi="宋体"/>
                <w:color w:val="000000"/>
                <w:szCs w:val="21"/>
                <w:highlight w:val="none"/>
              </w:rPr>
              <w:t>投标保证金的退还</w:t>
            </w:r>
          </w:p>
        </w:tc>
        <w:tc>
          <w:tcPr>
            <w:tcW w:w="6505" w:type="dxa"/>
            <w:vAlign w:val="center"/>
          </w:tcPr>
          <w:p>
            <w:pPr>
              <w:spacing w:line="240" w:lineRule="auto"/>
              <w:jc w:val="left"/>
              <w:rPr>
                <w:rFonts w:ascii="宋体" w:hAnsi="宋体"/>
                <w:szCs w:val="21"/>
                <w:highlight w:val="none"/>
              </w:rPr>
            </w:pPr>
            <w:r>
              <w:rPr>
                <w:rFonts w:ascii="宋体" w:hAnsi="宋体"/>
                <w:szCs w:val="21"/>
                <w:highlight w:val="none"/>
              </w:rPr>
              <w:t>修改为：</w:t>
            </w:r>
          </w:p>
          <w:p>
            <w:pPr>
              <w:spacing w:line="240" w:lineRule="auto"/>
              <w:ind w:firstLine="420" w:firstLineChars="200"/>
              <w:jc w:val="left"/>
              <w:rPr>
                <w:rFonts w:ascii="宋体" w:hAnsi="宋体"/>
                <w:szCs w:val="21"/>
                <w:highlight w:val="none"/>
                <w:lang w:val="zh-CN"/>
              </w:rPr>
            </w:pPr>
            <w:r>
              <w:rPr>
                <w:rFonts w:hint="eastAsia" w:ascii="宋体" w:hAnsi="宋体"/>
                <w:szCs w:val="21"/>
                <w:highlight w:val="none"/>
                <w:lang w:val="zh-CN"/>
              </w:rPr>
              <w:t>招标代理机构在中标通知书发出5日内向中标候选人以外的其他投标人退还投标保证金，</w:t>
            </w:r>
            <w:r>
              <w:rPr>
                <w:rFonts w:ascii="宋体" w:hAnsi="宋体"/>
                <w:szCs w:val="21"/>
                <w:highlight w:val="none"/>
                <w:lang w:val="zh-CN"/>
              </w:rPr>
              <w:t>与中标人签订</w:t>
            </w:r>
            <w:r>
              <w:rPr>
                <w:rFonts w:hint="eastAsia" w:ascii="宋体" w:hAnsi="宋体"/>
                <w:szCs w:val="21"/>
                <w:highlight w:val="none"/>
                <w:lang w:val="zh-CN"/>
              </w:rPr>
              <w:t>书面</w:t>
            </w:r>
            <w:r>
              <w:rPr>
                <w:rFonts w:ascii="宋体" w:hAnsi="宋体"/>
                <w:szCs w:val="21"/>
                <w:highlight w:val="none"/>
                <w:lang w:val="zh-CN"/>
              </w:rPr>
              <w:t>合同后5日内，</w:t>
            </w:r>
            <w:r>
              <w:rPr>
                <w:rFonts w:hint="eastAsia" w:ascii="宋体" w:hAnsi="宋体"/>
                <w:szCs w:val="21"/>
                <w:highlight w:val="none"/>
                <w:lang w:val="zh-CN"/>
              </w:rPr>
              <w:t>向中标人和其他中标候选人退还投标保证金。招标代理机构</w:t>
            </w:r>
            <w:r>
              <w:rPr>
                <w:rFonts w:ascii="宋体" w:hAnsi="宋体"/>
                <w:szCs w:val="21"/>
                <w:highlight w:val="none"/>
                <w:lang w:val="zh-CN"/>
              </w:rPr>
              <w:t>直接向中标及未中标投标人的基本账户（递交投标保证金时账户）返还投标保证金（中标人</w:t>
            </w:r>
            <w:r>
              <w:rPr>
                <w:rFonts w:hint="eastAsia" w:ascii="宋体" w:hAnsi="宋体"/>
                <w:szCs w:val="21"/>
                <w:highlight w:val="none"/>
                <w:lang w:val="zh-CN"/>
              </w:rPr>
              <w:t>递交招标代理费后返还</w:t>
            </w:r>
            <w:r>
              <w:rPr>
                <w:rFonts w:ascii="宋体" w:hAnsi="宋体"/>
                <w:szCs w:val="21"/>
                <w:highlight w:val="none"/>
                <w:lang w:val="zh-CN"/>
              </w:rPr>
              <w:t>投标保证金）。</w:t>
            </w:r>
          </w:p>
          <w:p>
            <w:pPr>
              <w:spacing w:line="240" w:lineRule="auto"/>
              <w:ind w:firstLine="420" w:firstLineChars="200"/>
              <w:jc w:val="left"/>
              <w:rPr>
                <w:rFonts w:ascii="宋体" w:hAnsi="宋体" w:cs="宋体"/>
                <w:highlight w:val="none"/>
              </w:rPr>
            </w:pPr>
            <w:r>
              <w:rPr>
                <w:rFonts w:ascii="宋体" w:hAnsi="宋体"/>
                <w:szCs w:val="21"/>
                <w:highlight w:val="none"/>
                <w:lang w:val="zh-CN"/>
              </w:rPr>
              <w:t>如投标人单位名称发生变化，需在</w:t>
            </w:r>
            <w:r>
              <w:rPr>
                <w:rFonts w:hint="eastAsia" w:ascii="宋体" w:hAnsi="宋体"/>
                <w:szCs w:val="21"/>
                <w:highlight w:val="none"/>
                <w:lang w:val="zh-CN"/>
              </w:rPr>
              <w:t>公示结束后</w:t>
            </w:r>
            <w:r>
              <w:rPr>
                <w:rFonts w:ascii="宋体" w:hAnsi="宋体"/>
                <w:szCs w:val="21"/>
                <w:highlight w:val="none"/>
                <w:lang w:val="zh-CN"/>
              </w:rPr>
              <w:t>5个工作日内提交工商局出具的相关证明；如投标人开户行发生变化，需在</w:t>
            </w:r>
            <w:r>
              <w:rPr>
                <w:rFonts w:hint="eastAsia" w:ascii="宋体" w:hAnsi="宋体"/>
                <w:szCs w:val="21"/>
                <w:highlight w:val="none"/>
                <w:lang w:val="zh-CN"/>
              </w:rPr>
              <w:t>公示结束后</w:t>
            </w:r>
            <w:r>
              <w:rPr>
                <w:rFonts w:ascii="宋体" w:hAnsi="宋体"/>
                <w:szCs w:val="21"/>
                <w:highlight w:val="none"/>
                <w:lang w:val="zh-CN"/>
              </w:rPr>
              <w:t>5个工作日内提交新基本户开户行出具的“开户许可证”</w:t>
            </w:r>
            <w:r>
              <w:rPr>
                <w:rFonts w:hint="eastAsia" w:ascii="宋体" w:hAnsi="宋体"/>
                <w:szCs w:val="21"/>
                <w:highlight w:val="none"/>
                <w:lang w:val="zh-CN"/>
              </w:rPr>
              <w:t>或基本账户开户银行开具的证明</w:t>
            </w:r>
            <w:r>
              <w:rPr>
                <w:rFonts w:ascii="宋体" w:hAnsi="宋体"/>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3.4.4</w:t>
            </w:r>
          </w:p>
        </w:tc>
        <w:tc>
          <w:tcPr>
            <w:tcW w:w="2002" w:type="dxa"/>
            <w:vAlign w:val="center"/>
          </w:tcPr>
          <w:p>
            <w:pPr>
              <w:spacing w:line="240" w:lineRule="auto"/>
              <w:jc w:val="center"/>
              <w:rPr>
                <w:szCs w:val="21"/>
                <w:highlight w:val="none"/>
              </w:rPr>
            </w:pPr>
            <w:r>
              <w:rPr>
                <w:rFonts w:hint="eastAsia" w:ascii="宋体" w:hAnsi="宋体"/>
                <w:szCs w:val="21"/>
                <w:highlight w:val="none"/>
              </w:rPr>
              <w:t>其他可以不予退还投标保证金的情形</w:t>
            </w:r>
          </w:p>
        </w:tc>
        <w:tc>
          <w:tcPr>
            <w:tcW w:w="6505" w:type="dxa"/>
            <w:vAlign w:val="center"/>
          </w:tcPr>
          <w:p>
            <w:pPr>
              <w:spacing w:line="240" w:lineRule="auto"/>
              <w:rPr>
                <w:rFonts w:hint="eastAsia"/>
                <w:szCs w:val="21"/>
                <w:highlight w:val="none"/>
              </w:rPr>
            </w:pPr>
            <w:r>
              <w:rPr>
                <w:rFonts w:hint="eastAsia"/>
                <w:szCs w:val="21"/>
                <w:highlight w:val="none"/>
              </w:rPr>
              <w:t>增加：</w:t>
            </w:r>
          </w:p>
          <w:p>
            <w:pPr>
              <w:spacing w:line="240" w:lineRule="auto"/>
              <w:rPr>
                <w:rFonts w:hint="eastAsia"/>
                <w:szCs w:val="21"/>
                <w:highlight w:val="none"/>
              </w:rPr>
            </w:pPr>
            <w:r>
              <w:rPr>
                <w:rFonts w:hint="eastAsia"/>
                <w:szCs w:val="21"/>
                <w:highlight w:val="none"/>
              </w:rPr>
              <w:t>（</w:t>
            </w:r>
            <w:r>
              <w:rPr>
                <w:rFonts w:hint="eastAsia"/>
                <w:szCs w:val="21"/>
                <w:highlight w:val="none"/>
                <w:lang w:val="en-US" w:eastAsia="zh-CN"/>
              </w:rPr>
              <w:t>4</w:t>
            </w:r>
            <w:r>
              <w:rPr>
                <w:rFonts w:hint="eastAsia"/>
                <w:szCs w:val="21"/>
                <w:highlight w:val="none"/>
              </w:rPr>
              <w:t>）投标人提交了虚假资料；</w:t>
            </w:r>
          </w:p>
          <w:p>
            <w:pPr>
              <w:spacing w:line="240" w:lineRule="auto"/>
              <w:rPr>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）投标人在投标过程中借用他人资质，互相串通、结盟，或违反国家有关规定，损害招标的公正性和竞争性进行投标者。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3.5</w:t>
            </w:r>
          </w:p>
        </w:tc>
        <w:tc>
          <w:tcPr>
            <w:tcW w:w="2002" w:type="dxa"/>
            <w:vAlign w:val="center"/>
          </w:tcPr>
          <w:p>
            <w:pPr>
              <w:spacing w:line="240" w:lineRule="auto"/>
              <w:jc w:val="center"/>
              <w:rPr>
                <w:rFonts w:ascii="宋体" w:hAnsi="宋体"/>
                <w:szCs w:val="21"/>
                <w:highlight w:val="none"/>
              </w:rPr>
            </w:pPr>
            <w:r>
              <w:rPr>
                <w:rFonts w:hint="eastAsia" w:ascii="宋体" w:hAnsi="宋体"/>
                <w:szCs w:val="21"/>
                <w:highlight w:val="none"/>
              </w:rPr>
              <w:t>资格审查资料的</w:t>
            </w:r>
          </w:p>
          <w:p>
            <w:pPr>
              <w:spacing w:line="240" w:lineRule="auto"/>
              <w:jc w:val="center"/>
              <w:rPr>
                <w:rFonts w:ascii="宋体" w:hAnsi="宋体"/>
                <w:szCs w:val="21"/>
                <w:highlight w:val="none"/>
              </w:rPr>
            </w:pPr>
            <w:r>
              <w:rPr>
                <w:rFonts w:hint="eastAsia" w:ascii="宋体" w:hAnsi="宋体"/>
                <w:szCs w:val="21"/>
                <w:highlight w:val="none"/>
              </w:rPr>
              <w:t>特殊要求</w:t>
            </w:r>
          </w:p>
        </w:tc>
        <w:tc>
          <w:tcPr>
            <w:tcW w:w="6505" w:type="dxa"/>
            <w:vAlign w:val="center"/>
          </w:tcPr>
          <w:p>
            <w:pPr>
              <w:autoSpaceDE w:val="0"/>
              <w:autoSpaceDN w:val="0"/>
              <w:adjustRightInd w:val="0"/>
              <w:spacing w:line="240" w:lineRule="auto"/>
              <w:rPr>
                <w:rFonts w:ascii="宋体" w:hAnsi="宋体"/>
                <w:szCs w:val="21"/>
                <w:highlight w:val="none"/>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ascii="宋体" w:hAnsi="宋体"/>
                <w:kern w:val="0"/>
                <w:szCs w:val="21"/>
                <w:highlight w:val="none"/>
                <w:lang w:val="zh-CN"/>
              </w:rPr>
              <w:fldChar w:fldCharType="end"/>
            </w:r>
            <w:r>
              <w:rPr>
                <w:rFonts w:ascii="宋体" w:hAnsi="宋体"/>
                <w:szCs w:val="21"/>
                <w:highlight w:val="none"/>
              </w:rPr>
              <w:t>无</w:t>
            </w:r>
          </w:p>
          <w:p>
            <w:pPr>
              <w:adjustRightInd w:val="0"/>
              <w:snapToGrid w:val="0"/>
              <w:spacing w:line="240" w:lineRule="auto"/>
              <w:rPr>
                <w:rFonts w:ascii="宋体" w:hAnsi="宋体"/>
                <w:kern w:val="0"/>
                <w:szCs w:val="21"/>
                <w:highlight w:val="none"/>
                <w:lang w:val="zh-CN"/>
              </w:rPr>
            </w:pPr>
            <w:r>
              <w:rPr>
                <w:rFonts w:ascii="宋体" w:hAnsi="宋体"/>
                <w:szCs w:val="21"/>
                <w:highlight w:val="none"/>
              </w:rPr>
              <w:t>□</w:t>
            </w:r>
            <w:r>
              <w:rPr>
                <w:rFonts w:ascii="宋体" w:hAnsi="宋体"/>
                <w:kern w:val="0"/>
                <w:szCs w:val="21"/>
                <w:highlight w:val="none"/>
                <w:lang w:val="zh-CN"/>
              </w:rPr>
              <w:t>有，具体要求：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spacing w:beforeLines="50" w:afterLines="50" w:line="240" w:lineRule="auto"/>
              <w:jc w:val="center"/>
              <w:rPr>
                <w:rFonts w:hint="eastAsia" w:ascii="宋体" w:hAnsi="宋体"/>
                <w:szCs w:val="21"/>
                <w:highlight w:val="none"/>
              </w:rPr>
            </w:pPr>
            <w:r>
              <w:rPr>
                <w:rFonts w:hint="eastAsia" w:ascii="宋体" w:hAnsi="宋体"/>
                <w:color w:val="000000"/>
                <w:szCs w:val="21"/>
                <w:highlight w:val="none"/>
              </w:rPr>
              <w:t>3.5.1</w:t>
            </w:r>
          </w:p>
        </w:tc>
        <w:tc>
          <w:tcPr>
            <w:tcW w:w="2002" w:type="dxa"/>
            <w:vAlign w:val="center"/>
          </w:tcPr>
          <w:p>
            <w:pPr>
              <w:spacing w:line="240" w:lineRule="auto"/>
              <w:jc w:val="center"/>
              <w:rPr>
                <w:rFonts w:hint="eastAsia" w:ascii="宋体" w:hAnsi="宋体"/>
                <w:szCs w:val="21"/>
                <w:highlight w:val="none"/>
              </w:rPr>
            </w:pPr>
            <w:r>
              <w:rPr>
                <w:rFonts w:ascii="宋体" w:hAnsi="宋体"/>
                <w:szCs w:val="21"/>
                <w:highlight w:val="none"/>
              </w:rPr>
              <w:t>投标人基本情况</w:t>
            </w:r>
            <w:r>
              <w:rPr>
                <w:rFonts w:hint="eastAsia" w:ascii="宋体" w:hAnsi="宋体"/>
                <w:szCs w:val="21"/>
                <w:highlight w:val="none"/>
              </w:rPr>
              <w:t>所附证明材料</w:t>
            </w:r>
          </w:p>
        </w:tc>
        <w:tc>
          <w:tcPr>
            <w:tcW w:w="6505" w:type="dxa"/>
            <w:vAlign w:val="center"/>
          </w:tcPr>
          <w:p>
            <w:pPr>
              <w:spacing w:line="240" w:lineRule="auto"/>
              <w:ind w:firstLine="420" w:firstLineChars="200"/>
              <w:rPr>
                <w:rFonts w:ascii="宋体" w:hAnsi="宋体"/>
                <w:szCs w:val="21"/>
                <w:highlight w:val="none"/>
              </w:rPr>
            </w:pPr>
            <w:r>
              <w:rPr>
                <w:rFonts w:hint="eastAsia" w:ascii="宋体" w:hAnsi="宋体"/>
                <w:color w:val="000000"/>
                <w:szCs w:val="21"/>
                <w:highlight w:val="none"/>
              </w:rPr>
              <w:t>“投标人基本情况表”应附企业法人营业执照副本和组织机构代码证副本（按照“三证合一”或“五证合一”登记制度进行登记的，可仅提供营业执照副本，下同）、监理资质证书副本、</w:t>
            </w:r>
            <w:r>
              <w:rPr>
                <w:rFonts w:hint="eastAsia" w:ascii="宋体" w:hAnsi="宋体"/>
                <w:szCs w:val="21"/>
                <w:highlight w:val="none"/>
              </w:rPr>
              <w:t xml:space="preserve">基本账户开户许可证或基本账户开户银行开具证明的复印件 </w:t>
            </w:r>
            <w:r>
              <w:rPr>
                <w:rStyle w:val="53"/>
                <w:szCs w:val="21"/>
                <w:highlight w:val="none"/>
              </w:rPr>
              <w:footnoteReference w:id="1"/>
            </w:r>
            <w:r>
              <w:rPr>
                <w:rFonts w:hint="eastAsia" w:ascii="宋体" w:hAnsi="宋体"/>
                <w:color w:val="000000"/>
                <w:szCs w:val="21"/>
                <w:highlight w:val="none"/>
              </w:rPr>
              <w:t>，</w:t>
            </w:r>
            <w:r>
              <w:rPr>
                <w:rFonts w:hint="eastAsia" w:ascii="宋体" w:hAnsi="宋体"/>
                <w:szCs w:val="21"/>
                <w:highlight w:val="none"/>
              </w:rPr>
              <w:t>投标人在交通运输部“全国公路建设市场信用信息管理系统”公路工程施工监理资质企业名录中的网页截图复印件，以及投标人在国家企业信用信息公示系统中基础信息（体现股东及出资详细信息）的网页截图复印件。</w:t>
            </w:r>
          </w:p>
          <w:p>
            <w:pPr>
              <w:spacing w:line="240" w:lineRule="auto"/>
              <w:ind w:right="113" w:rightChars="0" w:firstLine="420" w:firstLineChars="200"/>
              <w:rPr>
                <w:rFonts w:ascii="宋体" w:hAnsi="宋体"/>
                <w:szCs w:val="21"/>
                <w:highlight w:val="none"/>
              </w:rPr>
            </w:pPr>
            <w:r>
              <w:rPr>
                <w:rFonts w:hint="eastAsia" w:ascii="宋体" w:hAnsi="宋体"/>
                <w:szCs w:val="21"/>
                <w:highlight w:val="none"/>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3.5.2</w:t>
            </w:r>
          </w:p>
        </w:tc>
        <w:tc>
          <w:tcPr>
            <w:tcW w:w="2002" w:type="dxa"/>
            <w:vAlign w:val="center"/>
          </w:tcPr>
          <w:p>
            <w:pPr>
              <w:spacing w:line="240" w:lineRule="auto"/>
              <w:jc w:val="center"/>
              <w:rPr>
                <w:szCs w:val="21"/>
                <w:highlight w:val="none"/>
              </w:rPr>
            </w:pPr>
            <w:r>
              <w:rPr>
                <w:rFonts w:hint="eastAsia"/>
                <w:szCs w:val="21"/>
                <w:highlight w:val="none"/>
              </w:rPr>
              <w:t>近年完成的类似项目情况的时间要求</w:t>
            </w:r>
          </w:p>
        </w:tc>
        <w:tc>
          <w:tcPr>
            <w:tcW w:w="6505" w:type="dxa"/>
            <w:vAlign w:val="center"/>
          </w:tcPr>
          <w:p>
            <w:pPr>
              <w:spacing w:line="240" w:lineRule="auto"/>
              <w:jc w:val="left"/>
              <w:rPr>
                <w:szCs w:val="21"/>
                <w:highlight w:val="none"/>
              </w:rPr>
            </w:pPr>
            <w:r>
              <w:rPr>
                <w:rFonts w:hint="eastAsia"/>
                <w:szCs w:val="21"/>
                <w:highlight w:val="none"/>
              </w:rPr>
              <w:t>2016年1月1日后（以交工日期为准）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spacing w:beforeLines="50" w:afterLines="50" w:line="240" w:lineRule="auto"/>
              <w:jc w:val="center"/>
              <w:rPr>
                <w:rFonts w:hint="eastAsia" w:ascii="宋体" w:hAnsi="宋体"/>
                <w:szCs w:val="21"/>
                <w:highlight w:val="none"/>
              </w:rPr>
            </w:pPr>
            <w:r>
              <w:rPr>
                <w:rFonts w:hint="eastAsia" w:ascii="宋体" w:hAnsi="宋体"/>
                <w:color w:val="000000"/>
                <w:szCs w:val="21"/>
                <w:highlight w:val="none"/>
              </w:rPr>
              <w:t>3.5.3</w:t>
            </w:r>
          </w:p>
        </w:tc>
        <w:tc>
          <w:tcPr>
            <w:tcW w:w="2002" w:type="dxa"/>
            <w:vAlign w:val="center"/>
          </w:tcPr>
          <w:p>
            <w:pPr>
              <w:keepLines/>
              <w:adjustRightInd w:val="0"/>
              <w:snapToGrid w:val="0"/>
              <w:spacing w:beforeLines="50" w:afterLines="50" w:line="240" w:lineRule="auto"/>
              <w:jc w:val="center"/>
              <w:rPr>
                <w:rFonts w:ascii="宋体" w:hAnsi="宋体"/>
                <w:color w:val="000000"/>
                <w:szCs w:val="21"/>
                <w:highlight w:val="none"/>
              </w:rPr>
            </w:pPr>
            <w:r>
              <w:rPr>
                <w:rFonts w:hint="eastAsia" w:ascii="宋体" w:hAnsi="宋体"/>
                <w:color w:val="000000"/>
                <w:szCs w:val="21"/>
                <w:highlight w:val="none"/>
              </w:rPr>
              <w:t>投标人的</w:t>
            </w:r>
          </w:p>
          <w:p>
            <w:pPr>
              <w:keepLines/>
              <w:adjustRightInd w:val="0"/>
              <w:snapToGrid w:val="0"/>
              <w:spacing w:beforeLines="50" w:afterLines="50" w:line="240" w:lineRule="auto"/>
              <w:jc w:val="center"/>
              <w:rPr>
                <w:rFonts w:hint="eastAsia"/>
                <w:szCs w:val="21"/>
                <w:highlight w:val="none"/>
              </w:rPr>
            </w:pPr>
            <w:r>
              <w:rPr>
                <w:rFonts w:hint="eastAsia" w:ascii="宋体" w:hAnsi="宋体"/>
                <w:color w:val="000000"/>
                <w:szCs w:val="21"/>
                <w:highlight w:val="none"/>
              </w:rPr>
              <w:t>信誉情况</w:t>
            </w:r>
          </w:p>
        </w:tc>
        <w:tc>
          <w:tcPr>
            <w:tcW w:w="6505" w:type="dxa"/>
            <w:vAlign w:val="center"/>
          </w:tcPr>
          <w:p>
            <w:pPr>
              <w:spacing w:line="240" w:lineRule="auto"/>
              <w:rPr>
                <w:rFonts w:hint="eastAsia" w:ascii="宋体" w:hAnsi="宋体" w:cs="宋体"/>
                <w:szCs w:val="21"/>
                <w:highlight w:val="none"/>
              </w:rPr>
            </w:pPr>
            <w:r>
              <w:rPr>
                <w:rFonts w:hint="eastAsia" w:ascii="宋体" w:hAnsi="宋体" w:cs="宋体"/>
                <w:szCs w:val="21"/>
                <w:highlight w:val="none"/>
              </w:rPr>
              <w:t>本款修改为：</w:t>
            </w:r>
          </w:p>
          <w:p>
            <w:pPr>
              <w:spacing w:line="240" w:lineRule="auto"/>
              <w:jc w:val="left"/>
              <w:rPr>
                <w:rFonts w:hint="eastAsia"/>
                <w:szCs w:val="21"/>
                <w:highlight w:val="none"/>
              </w:rPr>
            </w:pPr>
            <w:r>
              <w:rPr>
                <w:rFonts w:hint="eastAsia" w:ascii="宋体" w:hAnsi="宋体"/>
                <w:kern w:val="0"/>
                <w:szCs w:val="21"/>
                <w:highlight w:val="none"/>
              </w:rPr>
              <w:t>“投标人的信誉情况表”应附投标人在国家企业信用信息公示系统中是否被列入严重违法失信企业名单、在“信用中国”网站中是否被列入失信被执行人名单的网页截图复印件，</w:t>
            </w:r>
            <w:r>
              <w:rPr>
                <w:rFonts w:hint="eastAsia" w:hAnsi="宋体"/>
                <w:szCs w:val="21"/>
                <w:highlight w:val="none"/>
              </w:rPr>
              <w:t>以及近三年内投标人及其法定代表人、拟委任的总监理工程师</w:t>
            </w:r>
            <w:r>
              <w:rPr>
                <w:rFonts w:hint="eastAsia"/>
                <w:kern w:val="0"/>
                <w:szCs w:val="21"/>
                <w:highlight w:val="none"/>
                <w:lang w:val="zh-CN"/>
              </w:rPr>
              <w:t>无行贿犯罪行为承诺书原件。</w:t>
            </w:r>
            <w:r>
              <w:rPr>
                <w:rFonts w:hint="eastAsia"/>
                <w:kern w:val="0"/>
                <w:szCs w:val="21"/>
                <w:highlight w:val="none"/>
                <w:lang w:val="zh-CN" w:eastAsia="zh-CN"/>
              </w:rPr>
              <w:t>（格式自拟）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3.5.4</w:t>
            </w:r>
          </w:p>
        </w:tc>
        <w:tc>
          <w:tcPr>
            <w:tcW w:w="2002" w:type="dxa"/>
            <w:vAlign w:val="center"/>
          </w:tcPr>
          <w:p>
            <w:pPr>
              <w:spacing w:line="240" w:lineRule="auto"/>
              <w:jc w:val="center"/>
              <w:rPr>
                <w:szCs w:val="21"/>
                <w:highlight w:val="none"/>
              </w:rPr>
            </w:pPr>
            <w:r>
              <w:rPr>
                <w:rFonts w:hint="eastAsia"/>
                <w:szCs w:val="21"/>
                <w:highlight w:val="none"/>
              </w:rPr>
              <w:t>拟委任的总监理工程师</w:t>
            </w:r>
          </w:p>
        </w:tc>
        <w:tc>
          <w:tcPr>
            <w:tcW w:w="6505" w:type="dxa"/>
            <w:vAlign w:val="center"/>
          </w:tcPr>
          <w:p>
            <w:pPr>
              <w:autoSpaceDE w:val="0"/>
              <w:autoSpaceDN w:val="0"/>
              <w:adjustRightInd w:val="0"/>
              <w:spacing w:line="240" w:lineRule="auto"/>
              <w:jc w:val="left"/>
              <w:rPr>
                <w:bCs/>
                <w:szCs w:val="18"/>
                <w:highlight w:val="none"/>
              </w:rPr>
            </w:pPr>
            <w:r>
              <w:rPr>
                <w:rFonts w:hint="eastAsia"/>
                <w:bCs/>
                <w:szCs w:val="18"/>
                <w:highlight w:val="none"/>
              </w:rPr>
              <w:t>本款第二自然段后增加以下内容：</w:t>
            </w:r>
          </w:p>
          <w:p>
            <w:pPr>
              <w:autoSpaceDE w:val="0"/>
              <w:autoSpaceDN w:val="0"/>
              <w:adjustRightInd w:val="0"/>
              <w:spacing w:line="240" w:lineRule="auto"/>
              <w:ind w:firstLine="420" w:firstLineChars="200"/>
              <w:jc w:val="left"/>
              <w:rPr>
                <w:bCs/>
                <w:szCs w:val="18"/>
                <w:highlight w:val="none"/>
              </w:rPr>
            </w:pPr>
            <w:r>
              <w:rPr>
                <w:rFonts w:hint="eastAsia"/>
                <w:bCs/>
                <w:szCs w:val="18"/>
                <w:highlight w:val="none"/>
              </w:rPr>
              <w:t>若“拟委任的总监理工程师”个人业绩未列入到交通运输部“全国公路建设市场信用信息管理系统”中，投标人可提供满足招标文件要求的业绩信息证明材料（如：合同协议书或交工验收证书或网页截图），如投标人所附业绩证明材料不能满足招标文件要求，还应出具由上级主管部门或发包人开具的证明。如投标人未提供相关业绩证明材料复印件或证明材料中无法证实投标人满足招标文件规定的资格审查条件（总监理工程师最低要求），则该业绩不予认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3.6</w:t>
            </w:r>
            <w:r>
              <w:rPr>
                <w:rFonts w:hint="eastAsia" w:ascii="宋体" w:hAnsi="宋体"/>
                <w:szCs w:val="21"/>
                <w:highlight w:val="none"/>
              </w:rPr>
              <w:t>.1</w:t>
            </w:r>
          </w:p>
        </w:tc>
        <w:tc>
          <w:tcPr>
            <w:tcW w:w="2002" w:type="dxa"/>
            <w:vAlign w:val="center"/>
          </w:tcPr>
          <w:p>
            <w:pPr>
              <w:spacing w:line="240" w:lineRule="auto"/>
              <w:jc w:val="center"/>
              <w:rPr>
                <w:szCs w:val="21"/>
                <w:highlight w:val="none"/>
              </w:rPr>
            </w:pPr>
            <w:r>
              <w:rPr>
                <w:rFonts w:hint="eastAsia" w:hAnsi="宋体"/>
                <w:szCs w:val="21"/>
                <w:highlight w:val="none"/>
              </w:rPr>
              <w:t>是否允许递交备选投标方案</w:t>
            </w:r>
          </w:p>
        </w:tc>
        <w:tc>
          <w:tcPr>
            <w:tcW w:w="6505" w:type="dxa"/>
            <w:vAlign w:val="center"/>
          </w:tcPr>
          <w:p>
            <w:pPr>
              <w:autoSpaceDE w:val="0"/>
              <w:autoSpaceDN w:val="0"/>
              <w:adjustRightInd w:val="0"/>
              <w:spacing w:line="240" w:lineRule="auto"/>
              <w:rPr>
                <w:kern w:val="0"/>
                <w:szCs w:val="21"/>
                <w:highlight w:val="none"/>
                <w:lang w:val="zh-CN"/>
              </w:rPr>
            </w:pPr>
            <w:r>
              <w:rPr>
                <w:rFonts w:ascii="宋体" w:hAnsi="宋体" w:cs="宋体"/>
                <w:kern w:val="0"/>
                <w:szCs w:val="21"/>
                <w:highlight w:val="none"/>
                <w:lang w:val="zh-CN"/>
              </w:rPr>
              <w:fldChar w:fldCharType="begin"/>
            </w:r>
            <w:r>
              <w:rPr>
                <w:rFonts w:hint="eastAsia" w:ascii="宋体" w:hAnsi="宋体" w:cs="宋体"/>
                <w:kern w:val="0"/>
                <w:szCs w:val="21"/>
                <w:highlight w:val="none"/>
                <w:lang w:val="zh-CN"/>
              </w:rPr>
              <w:instrText xml:space="preserve">eq \o\ac(□,√)</w:instrText>
            </w:r>
            <w:r>
              <w:rPr>
                <w:rFonts w:ascii="宋体" w:hAnsi="宋体" w:cs="宋体"/>
                <w:kern w:val="0"/>
                <w:szCs w:val="21"/>
                <w:highlight w:val="none"/>
                <w:lang w:val="zh-CN"/>
              </w:rPr>
              <w:fldChar w:fldCharType="end"/>
            </w:r>
            <w:r>
              <w:rPr>
                <w:rFonts w:hint="eastAsia" w:hAnsi="宋体"/>
                <w:kern w:val="0"/>
                <w:szCs w:val="21"/>
                <w:highlight w:val="none"/>
                <w:lang w:val="zh-CN"/>
              </w:rPr>
              <w:t>不允许</w:t>
            </w:r>
          </w:p>
          <w:p>
            <w:pPr>
              <w:spacing w:line="240" w:lineRule="auto"/>
              <w:rPr>
                <w:szCs w:val="21"/>
                <w:highlight w:val="none"/>
              </w:rPr>
            </w:pPr>
            <w:r>
              <w:rPr>
                <w:rFonts w:hint="eastAsia" w:ascii="宋体" w:hAnsi="宋体"/>
                <w:szCs w:val="21"/>
                <w:highlight w:val="none"/>
              </w:rPr>
              <w:t>□</w:t>
            </w:r>
            <w:r>
              <w:rPr>
                <w:rFonts w:hint="eastAsia" w:hAnsi="宋体"/>
                <w:kern w:val="0"/>
                <w:szCs w:val="21"/>
                <w:highlight w:val="none"/>
                <w:lang w:val="zh-CN"/>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3.7.4</w:t>
            </w:r>
          </w:p>
        </w:tc>
        <w:tc>
          <w:tcPr>
            <w:tcW w:w="2002" w:type="dxa"/>
            <w:vAlign w:val="center"/>
          </w:tcPr>
          <w:p>
            <w:pPr>
              <w:spacing w:line="240" w:lineRule="auto"/>
              <w:jc w:val="center"/>
              <w:rPr>
                <w:szCs w:val="21"/>
                <w:highlight w:val="none"/>
              </w:rPr>
            </w:pPr>
            <w:r>
              <w:rPr>
                <w:rFonts w:hint="eastAsia" w:hAnsi="宋体"/>
                <w:szCs w:val="21"/>
                <w:highlight w:val="none"/>
              </w:rPr>
              <w:t>投标文件副本份数及其他要求</w:t>
            </w:r>
          </w:p>
        </w:tc>
        <w:tc>
          <w:tcPr>
            <w:tcW w:w="6505" w:type="dxa"/>
            <w:vAlign w:val="center"/>
          </w:tcPr>
          <w:p>
            <w:pPr>
              <w:spacing w:line="240" w:lineRule="auto"/>
              <w:rPr>
                <w:rFonts w:hint="eastAsia" w:ascii="宋体" w:hAnsi="宋体" w:cs="宋体"/>
                <w:szCs w:val="18"/>
                <w:highlight w:val="none"/>
              </w:rPr>
            </w:pPr>
            <w:r>
              <w:rPr>
                <w:rFonts w:hint="eastAsia" w:ascii="宋体" w:hAnsi="宋体" w:cs="宋体"/>
                <w:szCs w:val="18"/>
                <w:highlight w:val="none"/>
              </w:rPr>
              <w:t>投标文件副本份数：3份</w:t>
            </w:r>
          </w:p>
          <w:p>
            <w:pPr>
              <w:snapToGrid w:val="0"/>
              <w:spacing w:line="240" w:lineRule="auto"/>
              <w:rPr>
                <w:rFonts w:hint="eastAsia" w:ascii="宋体" w:hAnsi="宋体" w:cs="宋体"/>
                <w:szCs w:val="18"/>
                <w:highlight w:val="none"/>
              </w:rPr>
            </w:pPr>
            <w:r>
              <w:rPr>
                <w:rFonts w:hint="eastAsia" w:ascii="宋体" w:hAnsi="宋体" w:cs="宋体"/>
                <w:szCs w:val="18"/>
                <w:highlight w:val="none"/>
              </w:rPr>
              <w:t>是否要求提交电子版文件：1份电子版（U盘）。</w:t>
            </w:r>
          </w:p>
          <w:p>
            <w:pPr>
              <w:snapToGrid w:val="0"/>
              <w:spacing w:line="240" w:lineRule="auto"/>
              <w:rPr>
                <w:rFonts w:cs="宋体"/>
                <w:highlight w:val="none"/>
              </w:rPr>
            </w:pPr>
            <w:r>
              <w:rPr>
                <w:rFonts w:hint="eastAsia" w:cs="宋体"/>
                <w:highlight w:val="none"/>
              </w:rPr>
              <w:t>电子版文件至少应包括：</w:t>
            </w:r>
          </w:p>
          <w:p>
            <w:pPr>
              <w:snapToGrid w:val="0"/>
              <w:spacing w:line="240" w:lineRule="auto"/>
              <w:rPr>
                <w:rFonts w:ascii="宋体" w:hAnsi="宋体"/>
                <w:color w:val="000000"/>
                <w:highlight w:val="none"/>
              </w:rPr>
            </w:pPr>
            <w:r>
              <w:rPr>
                <w:rFonts w:hint="eastAsia" w:ascii="宋体" w:hAnsi="宋体"/>
                <w:color w:val="000000"/>
                <w:highlight w:val="none"/>
              </w:rPr>
              <w:t>（1）监理服务费报价清单电子文件；</w:t>
            </w:r>
          </w:p>
          <w:p>
            <w:pPr>
              <w:snapToGrid w:val="0"/>
              <w:spacing w:line="240" w:lineRule="auto"/>
              <w:rPr>
                <w:rFonts w:ascii="宋体" w:hAnsi="宋体"/>
                <w:color w:val="000000"/>
                <w:highlight w:val="none"/>
              </w:rPr>
            </w:pPr>
            <w:r>
              <w:rPr>
                <w:rFonts w:hint="eastAsia" w:ascii="宋体" w:hAnsi="宋体"/>
                <w:color w:val="000000"/>
                <w:highlight w:val="none"/>
              </w:rPr>
              <w:t>（2）按照招标文件规定的格式、内容填写的《投标文件关键内容摘录表电子文件(公示)》（可编辑的Microsoft Word文件）；</w:t>
            </w:r>
          </w:p>
          <w:p>
            <w:pPr>
              <w:spacing w:line="240" w:lineRule="auto"/>
              <w:rPr>
                <w:rFonts w:ascii="宋体" w:hAnsi="宋体" w:cs="宋体"/>
                <w:szCs w:val="18"/>
                <w:highlight w:val="none"/>
              </w:rPr>
            </w:pPr>
            <w:r>
              <w:rPr>
                <w:rFonts w:hint="eastAsia" w:cs="宋体"/>
                <w:highlight w:val="none"/>
              </w:rPr>
              <w:t>其他要求：</w:t>
            </w:r>
            <w:r>
              <w:rPr>
                <w:rFonts w:hint="eastAsia" w:ascii="宋体" w:hAnsi="宋体" w:cs="黑体"/>
                <w:color w:val="00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3.7.5</w:t>
            </w:r>
          </w:p>
        </w:tc>
        <w:tc>
          <w:tcPr>
            <w:tcW w:w="2002" w:type="dxa"/>
            <w:vAlign w:val="center"/>
          </w:tcPr>
          <w:p>
            <w:pPr>
              <w:spacing w:line="240" w:lineRule="auto"/>
              <w:jc w:val="center"/>
              <w:rPr>
                <w:szCs w:val="21"/>
                <w:highlight w:val="none"/>
              </w:rPr>
            </w:pPr>
            <w:r>
              <w:rPr>
                <w:rFonts w:hint="eastAsia" w:hAnsi="宋体"/>
                <w:szCs w:val="21"/>
                <w:highlight w:val="none"/>
              </w:rPr>
              <w:t>装订的其他要求</w:t>
            </w:r>
          </w:p>
        </w:tc>
        <w:tc>
          <w:tcPr>
            <w:tcW w:w="6505" w:type="dxa"/>
            <w:vAlign w:val="center"/>
          </w:tcPr>
          <w:p>
            <w:pPr>
              <w:spacing w:line="240" w:lineRule="auto"/>
              <w:rPr>
                <w:rFonts w:ascii="宋体" w:hAnsi="宋体"/>
                <w:szCs w:val="21"/>
                <w:highlight w:val="none"/>
              </w:rPr>
            </w:pPr>
            <w:r>
              <w:rPr>
                <w:rFonts w:ascii="宋体" w:hAnsi="宋体"/>
                <w:szCs w:val="21"/>
                <w:highlight w:val="none"/>
              </w:rPr>
              <w:fldChar w:fldCharType="begin"/>
            </w:r>
            <w:r>
              <w:rPr>
                <w:rFonts w:hint="eastAsia" w:ascii="宋体" w:hAnsi="宋体"/>
                <w:szCs w:val="21"/>
                <w:highlight w:val="none"/>
              </w:rPr>
              <w:instrText xml:space="preserve">= 1 \* GB3</w:instrText>
            </w:r>
            <w:r>
              <w:rPr>
                <w:rFonts w:ascii="宋体" w:hAnsi="宋体"/>
                <w:szCs w:val="21"/>
                <w:highlight w:val="none"/>
              </w:rPr>
              <w:fldChar w:fldCharType="separate"/>
            </w:r>
            <w:r>
              <w:rPr>
                <w:rFonts w:hint="eastAsia" w:ascii="宋体" w:hAnsi="宋体"/>
                <w:szCs w:val="21"/>
                <w:highlight w:val="none"/>
              </w:rPr>
              <w:t>①</w:t>
            </w:r>
            <w:r>
              <w:rPr>
                <w:rFonts w:ascii="宋体" w:hAnsi="宋体"/>
                <w:szCs w:val="21"/>
                <w:highlight w:val="none"/>
              </w:rPr>
              <w:fldChar w:fldCharType="end"/>
            </w:r>
            <w:r>
              <w:rPr>
                <w:rFonts w:hint="eastAsia" w:ascii="宋体" w:hAnsi="宋体"/>
                <w:szCs w:val="21"/>
                <w:highlight w:val="none"/>
              </w:rPr>
              <w:t>投标文件第一信封采用左侧纵向胶装，第一信封和第二信封分别装订成一册；</w:t>
            </w:r>
          </w:p>
          <w:p>
            <w:pPr>
              <w:spacing w:line="240" w:lineRule="auto"/>
              <w:rPr>
                <w:rFonts w:ascii="黑体" w:eastAsia="黑体"/>
                <w:szCs w:val="21"/>
                <w:highlight w:val="none"/>
              </w:rPr>
            </w:pPr>
            <w:r>
              <w:rPr>
                <w:rFonts w:ascii="宋体" w:hAnsi="宋体"/>
                <w:szCs w:val="21"/>
                <w:highlight w:val="none"/>
              </w:rPr>
              <w:fldChar w:fldCharType="begin"/>
            </w:r>
            <w:r>
              <w:rPr>
                <w:rFonts w:hint="eastAsia" w:ascii="宋体" w:hAnsi="宋体"/>
                <w:szCs w:val="21"/>
                <w:highlight w:val="none"/>
              </w:rPr>
              <w:instrText xml:space="preserve">= 2 \* GB3</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szCs w:val="21"/>
                <w:highlight w:val="none"/>
              </w:rPr>
              <w:t>投标文件第一信封</w:t>
            </w:r>
            <w:r>
              <w:rPr>
                <w:rFonts w:hint="eastAsia" w:ascii="黑体" w:hAnsi="黑体" w:eastAsia="黑体" w:cs="黑体"/>
                <w:b/>
                <w:bCs/>
                <w:szCs w:val="21"/>
                <w:highlight w:val="none"/>
              </w:rPr>
              <w:t>书脊</w:t>
            </w:r>
            <w:r>
              <w:rPr>
                <w:rFonts w:hint="eastAsia" w:ascii="宋体" w:hAnsi="宋体"/>
                <w:szCs w:val="21"/>
                <w:highlight w:val="none"/>
              </w:rPr>
              <w:t>上应明确标注</w:t>
            </w:r>
            <w:r>
              <w:rPr>
                <w:rFonts w:hint="eastAsia" w:ascii="宋体" w:hAnsi="宋体"/>
                <w:b/>
                <w:bCs/>
                <w:szCs w:val="21"/>
                <w:highlight w:val="none"/>
              </w:rPr>
              <w:t>投</w:t>
            </w:r>
            <w:r>
              <w:rPr>
                <w:rFonts w:hint="eastAsia" w:ascii="黑体" w:hAnsi="黑体" w:eastAsia="黑体" w:cs="黑体"/>
                <w:b/>
                <w:bCs/>
                <w:szCs w:val="21"/>
                <w:highlight w:val="none"/>
              </w:rPr>
              <w:t>标人名称和所投标段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1" w:hRule="atLeast"/>
          <w:jc w:val="center"/>
        </w:trPr>
        <w:tc>
          <w:tcPr>
            <w:tcW w:w="951"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4.1.2</w:t>
            </w:r>
          </w:p>
        </w:tc>
        <w:tc>
          <w:tcPr>
            <w:tcW w:w="2002"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封套上写明</w:t>
            </w:r>
          </w:p>
        </w:tc>
        <w:tc>
          <w:tcPr>
            <w:tcW w:w="6505" w:type="dxa"/>
            <w:vAlign w:val="center"/>
          </w:tcPr>
          <w:p>
            <w:pPr>
              <w:adjustRightInd w:val="0"/>
              <w:snapToGrid w:val="0"/>
              <w:spacing w:line="240" w:lineRule="auto"/>
              <w:jc w:val="left"/>
              <w:rPr>
                <w:rFonts w:ascii="黑体" w:hAnsi="宋体" w:eastAsia="黑体"/>
                <w:b/>
                <w:bCs/>
                <w:kern w:val="0"/>
                <w:highlight w:val="none"/>
              </w:rPr>
            </w:pPr>
            <w:r>
              <w:rPr>
                <w:rFonts w:hint="eastAsia" w:ascii="黑体" w:hAnsi="宋体" w:eastAsia="黑体" w:cs="黑体"/>
                <w:b/>
                <w:bCs/>
                <w:kern w:val="0"/>
                <w:highlight w:val="none"/>
              </w:rPr>
              <w:t>投标文件第一个信封（商务及技术文件）封套：</w:t>
            </w:r>
          </w:p>
          <w:p>
            <w:pPr>
              <w:adjustRightInd w:val="0"/>
              <w:snapToGrid w:val="0"/>
              <w:spacing w:line="240" w:lineRule="auto"/>
              <w:rPr>
                <w:rFonts w:ascii="宋体"/>
                <w:highlight w:val="none"/>
              </w:rPr>
            </w:pPr>
          </w:p>
          <w:p>
            <w:pPr>
              <w:adjustRightInd w:val="0"/>
              <w:snapToGrid w:val="0"/>
              <w:spacing w:line="240" w:lineRule="auto"/>
              <w:rPr>
                <w:rFonts w:ascii="宋体" w:hAnsi="宋体"/>
                <w:szCs w:val="21"/>
                <w:highlight w:val="none"/>
                <w:u w:val="single"/>
              </w:rPr>
            </w:pPr>
            <w:r>
              <w:rPr>
                <w:rFonts w:ascii="宋体" w:hAnsi="宋体" w:cs="宋体"/>
                <w:highlight w:val="none"/>
              </w:rPr>
              <w:t>招标代理机构</w:t>
            </w:r>
            <w:r>
              <w:rPr>
                <w:rFonts w:hint="eastAsia" w:ascii="宋体" w:hAnsi="宋体" w:cs="宋体"/>
                <w:highlight w:val="none"/>
              </w:rPr>
              <w:t>名称：</w:t>
            </w:r>
          </w:p>
          <w:p>
            <w:pPr>
              <w:adjustRightInd w:val="0"/>
              <w:snapToGrid w:val="0"/>
              <w:spacing w:line="240" w:lineRule="auto"/>
              <w:rPr>
                <w:rFonts w:ascii="宋体"/>
                <w:highlight w:val="none"/>
                <w:u w:val="single"/>
              </w:rPr>
            </w:pPr>
            <w:r>
              <w:rPr>
                <w:rFonts w:hint="eastAsia" w:ascii="宋体" w:hAnsi="宋体" w:cs="宋体"/>
                <w:highlight w:val="none"/>
              </w:rPr>
              <w:t>投标文件递交地址：</w:t>
            </w:r>
          </w:p>
          <w:p>
            <w:pPr>
              <w:adjustRightInd w:val="0"/>
              <w:snapToGrid w:val="0"/>
              <w:spacing w:line="240" w:lineRule="auto"/>
              <w:rPr>
                <w:rFonts w:ascii="宋体"/>
                <w:highlight w:val="none"/>
              </w:rPr>
            </w:pPr>
          </w:p>
          <w:p>
            <w:pPr>
              <w:adjustRightInd w:val="0"/>
              <w:snapToGrid w:val="0"/>
              <w:spacing w:line="240" w:lineRule="auto"/>
              <w:rPr>
                <w:rFonts w:ascii="宋体" w:hAnsi="宋体" w:cs="宋体"/>
                <w:highlight w:val="none"/>
              </w:rPr>
            </w:pPr>
            <w:r>
              <w:rPr>
                <w:rFonts w:hint="eastAsia" w:ascii="宋体" w:hAnsi="宋体" w:cs="宋体"/>
                <w:highlight w:val="none"/>
                <w:u w:val="single"/>
              </w:rPr>
              <w:t>（项目名称）</w:t>
            </w:r>
            <w:r>
              <w:rPr>
                <w:rFonts w:hint="eastAsia" w:ascii="宋体" w:hAnsi="宋体" w:cs="宋体"/>
                <w:highlight w:val="none"/>
              </w:rPr>
              <w:t>标段施工监理招标第一个信封（商务及技术文件）投标文件</w:t>
            </w:r>
          </w:p>
          <w:p>
            <w:pPr>
              <w:adjustRightInd w:val="0"/>
              <w:snapToGrid w:val="0"/>
              <w:spacing w:line="240" w:lineRule="auto"/>
              <w:rPr>
                <w:rFonts w:ascii="宋体" w:hAnsi="宋体"/>
                <w:szCs w:val="21"/>
                <w:highlight w:val="none"/>
                <w:u w:val="single"/>
              </w:rPr>
            </w:pPr>
            <w:r>
              <w:rPr>
                <w:rStyle w:val="164"/>
                <w:rFonts w:ascii="宋体" w:hAnsi="宋体" w:eastAsia="宋体"/>
                <w:sz w:val="21"/>
                <w:szCs w:val="21"/>
                <w:highlight w:val="none"/>
              </w:rPr>
              <w:t>招标项目编号：</w:t>
            </w:r>
          </w:p>
          <w:p>
            <w:pPr>
              <w:adjustRightInd w:val="0"/>
              <w:snapToGrid w:val="0"/>
              <w:spacing w:line="240" w:lineRule="auto"/>
              <w:rPr>
                <w:rFonts w:ascii="宋体"/>
                <w:highlight w:val="none"/>
              </w:rPr>
            </w:pPr>
            <w:r>
              <w:rPr>
                <w:rFonts w:hint="eastAsia" w:ascii="宋体" w:hAnsi="宋体" w:cs="宋体"/>
                <w:highlight w:val="none"/>
              </w:rPr>
              <w:t>在年月日时分（第一个信封开标时间）前不得开启</w:t>
            </w:r>
          </w:p>
          <w:p>
            <w:pPr>
              <w:adjustRightInd w:val="0"/>
              <w:snapToGrid w:val="0"/>
              <w:spacing w:line="240" w:lineRule="auto"/>
              <w:rPr>
                <w:rFonts w:ascii="宋体"/>
                <w:highlight w:val="none"/>
              </w:rPr>
            </w:pPr>
          </w:p>
          <w:p>
            <w:pPr>
              <w:adjustRightInd w:val="0"/>
              <w:snapToGrid w:val="0"/>
              <w:spacing w:line="240" w:lineRule="auto"/>
              <w:rPr>
                <w:rFonts w:ascii="宋体" w:hAnsi="宋体" w:cs="宋体"/>
                <w:highlight w:val="none"/>
                <w:u w:val="single"/>
              </w:rPr>
            </w:pPr>
            <w:r>
              <w:rPr>
                <w:rFonts w:hint="eastAsia" w:ascii="宋体" w:hAnsi="宋体" w:cs="宋体"/>
                <w:highlight w:val="none"/>
              </w:rPr>
              <w:t>投标人名称：</w:t>
            </w:r>
          </w:p>
          <w:p>
            <w:pPr>
              <w:adjustRightInd w:val="0"/>
              <w:snapToGrid w:val="0"/>
              <w:spacing w:line="240" w:lineRule="auto"/>
              <w:rPr>
                <w:rFonts w:ascii="宋体" w:hAnsi="宋体"/>
                <w:szCs w:val="21"/>
                <w:highlight w:val="none"/>
                <w:u w:val="single"/>
              </w:rPr>
            </w:pPr>
            <w:r>
              <w:rPr>
                <w:rFonts w:hint="eastAsia" w:ascii="宋体" w:hAnsi="宋体" w:cs="宋体"/>
                <w:highlight w:val="none"/>
              </w:rPr>
              <w:t>投标人联系人及联系方式：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2002"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6505" w:type="dxa"/>
            <w:vAlign w:val="center"/>
          </w:tcPr>
          <w:p>
            <w:pPr>
              <w:adjustRightInd w:val="0"/>
              <w:snapToGrid w:val="0"/>
              <w:spacing w:line="240" w:lineRule="auto"/>
              <w:jc w:val="left"/>
              <w:rPr>
                <w:rFonts w:ascii="黑体" w:hAnsi="黑体" w:eastAsia="黑体" w:cs="宋体"/>
                <w:b/>
                <w:kern w:val="0"/>
                <w:szCs w:val="21"/>
                <w:highlight w:val="none"/>
              </w:rPr>
            </w:pPr>
            <w:r>
              <w:rPr>
                <w:rFonts w:hint="eastAsia" w:ascii="黑体" w:hAnsi="黑体" w:eastAsia="黑体" w:cs="宋体"/>
                <w:b/>
                <w:kern w:val="0"/>
                <w:szCs w:val="21"/>
                <w:highlight w:val="none"/>
              </w:rPr>
              <w:t>投标文件第二个信封（报价文件）封套：</w:t>
            </w:r>
          </w:p>
          <w:p>
            <w:pPr>
              <w:adjustRightInd w:val="0"/>
              <w:snapToGrid w:val="0"/>
              <w:spacing w:line="240" w:lineRule="auto"/>
              <w:rPr>
                <w:rFonts w:ascii="宋体" w:hAnsi="宋体"/>
                <w:szCs w:val="21"/>
                <w:highlight w:val="none"/>
              </w:rPr>
            </w:pPr>
          </w:p>
          <w:p>
            <w:pPr>
              <w:adjustRightInd w:val="0"/>
              <w:snapToGrid w:val="0"/>
              <w:spacing w:line="240" w:lineRule="auto"/>
              <w:rPr>
                <w:rFonts w:ascii="宋体" w:hAnsi="宋体"/>
                <w:szCs w:val="21"/>
                <w:highlight w:val="none"/>
                <w:u w:val="single"/>
              </w:rPr>
            </w:pPr>
            <w:r>
              <w:rPr>
                <w:rFonts w:hint="eastAsia" w:ascii="宋体" w:hAnsi="宋体"/>
                <w:szCs w:val="21"/>
                <w:highlight w:val="none"/>
              </w:rPr>
              <w:t>招标代理机构名称：</w:t>
            </w:r>
          </w:p>
          <w:p>
            <w:pPr>
              <w:adjustRightInd w:val="0"/>
              <w:snapToGrid w:val="0"/>
              <w:spacing w:line="240" w:lineRule="auto"/>
              <w:rPr>
                <w:rFonts w:ascii="宋体" w:hAnsi="宋体"/>
                <w:szCs w:val="21"/>
                <w:highlight w:val="none"/>
                <w:u w:val="single"/>
              </w:rPr>
            </w:pPr>
            <w:r>
              <w:rPr>
                <w:rFonts w:hint="eastAsia" w:ascii="宋体" w:hAnsi="宋体"/>
                <w:szCs w:val="21"/>
                <w:highlight w:val="none"/>
              </w:rPr>
              <w:t>投标文件递交地址：</w:t>
            </w:r>
          </w:p>
          <w:p>
            <w:pPr>
              <w:adjustRightInd w:val="0"/>
              <w:snapToGrid w:val="0"/>
              <w:spacing w:line="240" w:lineRule="auto"/>
              <w:rPr>
                <w:rFonts w:ascii="宋体" w:hAnsi="宋体"/>
                <w:szCs w:val="21"/>
                <w:highlight w:val="none"/>
              </w:rPr>
            </w:pPr>
          </w:p>
          <w:p>
            <w:pPr>
              <w:adjustRightInd w:val="0"/>
              <w:snapToGrid w:val="0"/>
              <w:spacing w:line="240" w:lineRule="auto"/>
              <w:rPr>
                <w:rFonts w:ascii="宋体" w:hAnsi="宋体"/>
                <w:szCs w:val="21"/>
                <w:highlight w:val="none"/>
              </w:rPr>
            </w:pPr>
            <w:r>
              <w:rPr>
                <w:rFonts w:hint="eastAsia" w:ascii="宋体" w:hAnsi="宋体"/>
                <w:szCs w:val="21"/>
                <w:highlight w:val="none"/>
                <w:u w:val="single"/>
              </w:rPr>
              <w:t>（项目名称）</w:t>
            </w:r>
            <w:r>
              <w:rPr>
                <w:rFonts w:hint="eastAsia" w:ascii="宋体" w:hAnsi="宋体"/>
                <w:szCs w:val="21"/>
                <w:highlight w:val="none"/>
              </w:rPr>
              <w:t>标段施工监理招标第二个信封（报价文件）投标文件</w:t>
            </w:r>
          </w:p>
          <w:p>
            <w:pPr>
              <w:adjustRightInd w:val="0"/>
              <w:snapToGrid w:val="0"/>
              <w:spacing w:line="240" w:lineRule="auto"/>
              <w:rPr>
                <w:rFonts w:ascii="宋体" w:hAnsi="宋体"/>
                <w:szCs w:val="21"/>
                <w:highlight w:val="none"/>
              </w:rPr>
            </w:pPr>
            <w:r>
              <w:rPr>
                <w:rFonts w:hint="eastAsia" w:ascii="宋体" w:hAnsi="宋体"/>
                <w:szCs w:val="21"/>
                <w:highlight w:val="none"/>
              </w:rPr>
              <w:t>在投标文件第二个信封（报价文件）</w:t>
            </w:r>
          </w:p>
          <w:p>
            <w:pPr>
              <w:adjustRightInd w:val="0"/>
              <w:snapToGrid w:val="0"/>
              <w:spacing w:line="240" w:lineRule="auto"/>
              <w:rPr>
                <w:rFonts w:ascii="宋体" w:hAnsi="宋体"/>
                <w:szCs w:val="21"/>
                <w:highlight w:val="none"/>
              </w:rPr>
            </w:pPr>
            <w:r>
              <w:rPr>
                <w:rFonts w:hint="eastAsia" w:ascii="宋体" w:hAnsi="宋体"/>
                <w:szCs w:val="21"/>
                <w:highlight w:val="none"/>
              </w:rPr>
              <w:t>在</w:t>
            </w:r>
            <w:r>
              <w:rPr>
                <w:rFonts w:hint="eastAsia" w:ascii="宋体" w:hAnsi="宋体" w:cs="宋体"/>
                <w:highlight w:val="none"/>
              </w:rPr>
              <w:t>年月日时分（第二信封开标时间）</w:t>
            </w:r>
            <w:r>
              <w:rPr>
                <w:rFonts w:hint="eastAsia" w:ascii="宋体" w:hAnsi="宋体"/>
                <w:szCs w:val="21"/>
                <w:highlight w:val="none"/>
              </w:rPr>
              <w:t>前不得开启</w:t>
            </w:r>
          </w:p>
          <w:p>
            <w:pPr>
              <w:adjustRightInd w:val="0"/>
              <w:snapToGrid w:val="0"/>
              <w:spacing w:line="240" w:lineRule="auto"/>
              <w:rPr>
                <w:rFonts w:ascii="宋体" w:hAnsi="宋体"/>
                <w:szCs w:val="21"/>
                <w:highlight w:val="none"/>
              </w:rPr>
            </w:pPr>
          </w:p>
          <w:p>
            <w:pPr>
              <w:adjustRightInd w:val="0"/>
              <w:snapToGrid w:val="0"/>
              <w:spacing w:line="240" w:lineRule="auto"/>
              <w:rPr>
                <w:rFonts w:ascii="宋体" w:hAnsi="宋体"/>
                <w:szCs w:val="21"/>
                <w:highlight w:val="none"/>
                <w:u w:val="single"/>
              </w:rPr>
            </w:pPr>
            <w:r>
              <w:rPr>
                <w:rFonts w:hint="eastAsia" w:ascii="宋体" w:hAnsi="宋体"/>
                <w:szCs w:val="21"/>
                <w:highlight w:val="none"/>
              </w:rPr>
              <w:t>投标人名称：</w:t>
            </w:r>
          </w:p>
          <w:p>
            <w:pPr>
              <w:adjustRightInd w:val="0"/>
              <w:snapToGrid w:val="0"/>
              <w:spacing w:line="240" w:lineRule="auto"/>
              <w:rPr>
                <w:rFonts w:ascii="宋体" w:hAnsi="宋体"/>
                <w:szCs w:val="21"/>
                <w:highlight w:val="none"/>
                <w:u w:val="single"/>
              </w:rPr>
            </w:pPr>
            <w:r>
              <w:rPr>
                <w:rFonts w:hint="eastAsia" w:ascii="宋体" w:hAnsi="宋体"/>
                <w:szCs w:val="21"/>
                <w:highlight w:val="none"/>
              </w:rPr>
              <w:t>投标人地址：</w:t>
            </w:r>
          </w:p>
          <w:p>
            <w:pPr>
              <w:adjustRightInd w:val="0"/>
              <w:snapToGrid w:val="0"/>
              <w:spacing w:line="240" w:lineRule="auto"/>
              <w:jc w:val="left"/>
              <w:rPr>
                <w:rFonts w:ascii="黑体" w:hAnsi="宋体" w:eastAsia="黑体" w:cs="黑体"/>
                <w:b/>
                <w:bCs/>
                <w:kern w:val="0"/>
                <w:highlight w:val="none"/>
                <w:u w:val="single"/>
              </w:rPr>
            </w:pPr>
            <w:r>
              <w:rPr>
                <w:rFonts w:hint="eastAsia" w:ascii="宋体" w:hAnsi="宋体"/>
                <w:szCs w:val="21"/>
                <w:highlight w:val="none"/>
              </w:rPr>
              <w:t>投标人联系人及联系电话：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2002" w:type="dxa"/>
            <w:vMerge w:val="continue"/>
            <w:vAlign w:val="center"/>
          </w:tcPr>
          <w:p>
            <w:pPr>
              <w:adjustRightInd w:val="0"/>
              <w:snapToGrid w:val="0"/>
              <w:spacing w:before="100" w:beforeAutospacing="1" w:after="100" w:afterAutospacing="1" w:line="240" w:lineRule="auto"/>
              <w:jc w:val="center"/>
              <w:rPr>
                <w:rFonts w:ascii="宋体" w:hAnsi="宋体"/>
                <w:szCs w:val="21"/>
                <w:highlight w:val="none"/>
              </w:rPr>
            </w:pPr>
          </w:p>
        </w:tc>
        <w:tc>
          <w:tcPr>
            <w:tcW w:w="6505" w:type="dxa"/>
            <w:vAlign w:val="center"/>
          </w:tcPr>
          <w:p>
            <w:pPr>
              <w:adjustRightInd w:val="0"/>
              <w:snapToGrid w:val="0"/>
              <w:spacing w:line="240" w:lineRule="auto"/>
              <w:jc w:val="left"/>
              <w:rPr>
                <w:rFonts w:ascii="黑体" w:hAnsi="黑体" w:eastAsia="黑体" w:cs="宋体"/>
                <w:b/>
                <w:kern w:val="0"/>
                <w:szCs w:val="21"/>
                <w:highlight w:val="none"/>
              </w:rPr>
            </w:pPr>
            <w:r>
              <w:rPr>
                <w:rFonts w:ascii="黑体" w:hAnsi="黑体" w:eastAsia="黑体" w:cs="宋体"/>
                <w:b/>
                <w:kern w:val="0"/>
                <w:highlight w:val="none"/>
              </w:rPr>
              <w:t>银行保函封套：</w:t>
            </w:r>
            <w:r>
              <w:rPr>
                <w:rFonts w:hint="eastAsia" w:ascii="黑体" w:hAnsi="黑体" w:eastAsia="黑体" w:cs="宋体"/>
                <w:b/>
                <w:kern w:val="0"/>
                <w:highlight w:val="none"/>
              </w:rPr>
              <w:t>（适用于采用银行保函形式递交投标保证金的情形）</w:t>
            </w:r>
          </w:p>
          <w:p>
            <w:pPr>
              <w:pStyle w:val="166"/>
              <w:shd w:val="clear" w:color="auto" w:fill="auto"/>
              <w:spacing w:before="0" w:after="0" w:line="240" w:lineRule="auto"/>
              <w:jc w:val="both"/>
              <w:rPr>
                <w:rFonts w:ascii="宋体" w:hAnsi="宋体" w:eastAsia="宋体" w:cs="PMingLiU"/>
                <w:sz w:val="21"/>
                <w:szCs w:val="21"/>
                <w:highlight w:val="none"/>
                <w:u w:val="single"/>
              </w:rPr>
            </w:pPr>
            <w:r>
              <w:rPr>
                <w:rStyle w:val="164"/>
                <w:rFonts w:ascii="宋体" w:hAnsi="宋体" w:eastAsia="宋体"/>
                <w:sz w:val="21"/>
                <w:szCs w:val="21"/>
                <w:highlight w:val="none"/>
              </w:rPr>
              <w:t>招标人名称：</w:t>
            </w:r>
          </w:p>
          <w:p>
            <w:pPr>
              <w:pStyle w:val="166"/>
              <w:shd w:val="clear" w:color="auto" w:fill="auto"/>
              <w:spacing w:before="0" w:after="0" w:line="240" w:lineRule="auto"/>
              <w:jc w:val="both"/>
              <w:rPr>
                <w:rFonts w:ascii="宋体" w:hAnsi="宋体" w:eastAsia="宋体" w:cs="PMingLiU"/>
                <w:sz w:val="21"/>
                <w:szCs w:val="21"/>
                <w:highlight w:val="none"/>
                <w:u w:val="single"/>
              </w:rPr>
            </w:pPr>
            <w:r>
              <w:rPr>
                <w:rStyle w:val="164"/>
                <w:rFonts w:ascii="宋体" w:hAnsi="宋体" w:eastAsia="宋体"/>
                <w:sz w:val="21"/>
                <w:szCs w:val="21"/>
                <w:highlight w:val="none"/>
              </w:rPr>
              <w:t>招标人地址：</w:t>
            </w:r>
          </w:p>
          <w:p>
            <w:pPr>
              <w:pStyle w:val="166"/>
              <w:shd w:val="clear" w:color="auto" w:fill="auto"/>
              <w:tabs>
                <w:tab w:val="left" w:pos="1160"/>
              </w:tabs>
              <w:spacing w:before="0" w:after="0" w:line="240" w:lineRule="auto"/>
              <w:jc w:val="both"/>
              <w:rPr>
                <w:rFonts w:ascii="宋体" w:hAnsi="宋体" w:eastAsia="宋体" w:cs="PMingLiU"/>
                <w:sz w:val="21"/>
                <w:szCs w:val="21"/>
                <w:highlight w:val="none"/>
              </w:rPr>
            </w:pPr>
            <w:r>
              <w:rPr>
                <w:rStyle w:val="164"/>
                <w:rFonts w:ascii="宋体" w:hAnsi="宋体" w:eastAsia="宋体"/>
                <w:sz w:val="21"/>
                <w:szCs w:val="21"/>
                <w:highlight w:val="none"/>
                <w:u w:val="single"/>
              </w:rPr>
              <w:t xml:space="preserve"> (项目名称）</w:t>
            </w:r>
            <w:r>
              <w:rPr>
                <w:rStyle w:val="164"/>
                <w:rFonts w:ascii="宋体" w:hAnsi="宋体" w:eastAsia="宋体"/>
                <w:sz w:val="21"/>
                <w:szCs w:val="21"/>
                <w:highlight w:val="none"/>
              </w:rPr>
              <w:t>标段</w:t>
            </w:r>
            <w:r>
              <w:rPr>
                <w:rStyle w:val="164"/>
                <w:rFonts w:hint="eastAsia" w:ascii="宋体" w:hAnsi="宋体" w:eastAsia="宋体"/>
                <w:sz w:val="21"/>
                <w:szCs w:val="21"/>
                <w:highlight w:val="none"/>
              </w:rPr>
              <w:t>施工监理</w:t>
            </w:r>
            <w:r>
              <w:rPr>
                <w:rStyle w:val="164"/>
                <w:rFonts w:ascii="宋体" w:hAnsi="宋体" w:eastAsia="宋体"/>
                <w:sz w:val="21"/>
                <w:szCs w:val="21"/>
                <w:highlight w:val="none"/>
              </w:rPr>
              <w:t>招标投标保证金(银行保函原件）</w:t>
            </w:r>
          </w:p>
          <w:p>
            <w:pPr>
              <w:pStyle w:val="166"/>
              <w:shd w:val="clear" w:color="auto" w:fill="auto"/>
              <w:spacing w:before="0" w:after="0" w:line="240" w:lineRule="auto"/>
              <w:jc w:val="both"/>
              <w:rPr>
                <w:rFonts w:ascii="宋体" w:hAnsi="宋体" w:eastAsia="宋体" w:cs="PMingLiU"/>
                <w:sz w:val="21"/>
                <w:szCs w:val="21"/>
                <w:highlight w:val="none"/>
              </w:rPr>
            </w:pPr>
            <w:r>
              <w:rPr>
                <w:rStyle w:val="164"/>
                <w:rFonts w:ascii="宋体" w:hAnsi="宋体" w:eastAsia="宋体"/>
                <w:sz w:val="21"/>
                <w:szCs w:val="21"/>
                <w:highlight w:val="none"/>
              </w:rPr>
              <w:t>招标项目编号：</w:t>
            </w:r>
          </w:p>
          <w:p>
            <w:pPr>
              <w:adjustRightInd w:val="0"/>
              <w:snapToGrid w:val="0"/>
              <w:spacing w:line="240" w:lineRule="auto"/>
              <w:jc w:val="left"/>
              <w:rPr>
                <w:rStyle w:val="164"/>
                <w:rFonts w:ascii="宋体" w:hAnsi="宋体" w:eastAsia="宋体"/>
                <w:sz w:val="21"/>
                <w:szCs w:val="21"/>
                <w:highlight w:val="none"/>
                <w:u w:val="single"/>
              </w:rPr>
            </w:pPr>
            <w:r>
              <w:rPr>
                <w:rStyle w:val="164"/>
                <w:rFonts w:ascii="宋体" w:hAnsi="宋体" w:eastAsia="宋体"/>
                <w:sz w:val="21"/>
                <w:szCs w:val="21"/>
                <w:highlight w:val="none"/>
              </w:rPr>
              <w:t>投标人名称：</w:t>
            </w:r>
          </w:p>
          <w:p>
            <w:pPr>
              <w:adjustRightInd w:val="0"/>
              <w:snapToGrid w:val="0"/>
              <w:spacing w:line="240" w:lineRule="auto"/>
              <w:jc w:val="left"/>
              <w:rPr>
                <w:rFonts w:ascii="宋体" w:hAnsi="宋体" w:cs="黑体"/>
                <w:b/>
                <w:bCs/>
                <w:kern w:val="0"/>
                <w:szCs w:val="21"/>
                <w:highlight w:val="none"/>
                <w:u w:val="single"/>
              </w:rPr>
            </w:pPr>
            <w:r>
              <w:rPr>
                <w:rFonts w:hint="eastAsia" w:ascii="宋体" w:hAnsi="宋体" w:cs="宋体"/>
                <w:szCs w:val="21"/>
                <w:highlight w:val="none"/>
              </w:rPr>
              <w:t>投标人联系人及联系电话：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4.2.3</w:t>
            </w:r>
          </w:p>
        </w:tc>
        <w:tc>
          <w:tcPr>
            <w:tcW w:w="2002" w:type="dxa"/>
            <w:vAlign w:val="center"/>
          </w:tcPr>
          <w:p>
            <w:pPr>
              <w:spacing w:line="240" w:lineRule="auto"/>
              <w:jc w:val="center"/>
              <w:rPr>
                <w:szCs w:val="21"/>
                <w:highlight w:val="none"/>
              </w:rPr>
            </w:pPr>
            <w:r>
              <w:rPr>
                <w:rFonts w:hint="eastAsia" w:hAnsi="宋体"/>
                <w:szCs w:val="21"/>
                <w:highlight w:val="none"/>
              </w:rPr>
              <w:t>是否退还投标文件</w:t>
            </w:r>
          </w:p>
        </w:tc>
        <w:tc>
          <w:tcPr>
            <w:tcW w:w="6505" w:type="dxa"/>
            <w:vAlign w:val="center"/>
          </w:tcPr>
          <w:p>
            <w:pPr>
              <w:adjustRightInd w:val="0"/>
              <w:snapToGrid w:val="0"/>
              <w:spacing w:line="240" w:lineRule="auto"/>
              <w:rPr>
                <w:rFonts w:ascii="宋体" w:hAnsi="宋体"/>
                <w:highlight w:val="none"/>
              </w:rPr>
            </w:pPr>
            <w:r>
              <w:rPr>
                <w:rFonts w:ascii="宋体" w:hAnsi="宋体"/>
                <w:highlight w:val="none"/>
              </w:rPr>
              <w:t>投标人少于3个的，投标文件当场退还给投标人</w:t>
            </w:r>
            <w:r>
              <w:rPr>
                <w:rFonts w:hint="eastAsia" w:ascii="宋体" w:hAnsi="宋体"/>
                <w:highlight w:val="none"/>
              </w:rPr>
              <w:t>；</w:t>
            </w:r>
          </w:p>
          <w:p>
            <w:pPr>
              <w:spacing w:line="240" w:lineRule="auto"/>
              <w:rPr>
                <w:highlight w:val="none"/>
              </w:rPr>
            </w:pPr>
            <w:r>
              <w:rPr>
                <w:rFonts w:hint="eastAsia" w:ascii="宋体" w:hAnsi="宋体"/>
                <w:szCs w:val="21"/>
                <w:highlight w:val="none"/>
              </w:rPr>
              <w:t>否则，投标文件第一个信封（商务及技术文件）均不退还，未通过第一个信封评审的投标人的投标文件第二个信封（报价文件）予以退还。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5.1</w:t>
            </w:r>
          </w:p>
        </w:tc>
        <w:tc>
          <w:tcPr>
            <w:tcW w:w="2002"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开标时间和地点</w:t>
            </w:r>
          </w:p>
        </w:tc>
        <w:tc>
          <w:tcPr>
            <w:tcW w:w="6505" w:type="dxa"/>
            <w:vAlign w:val="center"/>
          </w:tcPr>
          <w:p>
            <w:pPr>
              <w:snapToGrid w:val="0"/>
              <w:spacing w:line="240" w:lineRule="auto"/>
              <w:rPr>
                <w:rFonts w:ascii="宋体" w:hAnsi="宋体"/>
                <w:color w:val="000000"/>
                <w:szCs w:val="21"/>
                <w:highlight w:val="none"/>
              </w:rPr>
            </w:pPr>
            <w:r>
              <w:rPr>
                <w:rFonts w:ascii="宋体" w:hAnsi="宋体"/>
                <w:color w:val="000000"/>
                <w:szCs w:val="21"/>
                <w:highlight w:val="none"/>
              </w:rPr>
              <w:t>投标文件第一个信封（商务及技术文件）开标时间：同投标截止时间；</w:t>
            </w:r>
          </w:p>
          <w:p>
            <w:pPr>
              <w:snapToGrid w:val="0"/>
              <w:spacing w:line="240" w:lineRule="auto"/>
              <w:rPr>
                <w:rFonts w:ascii="宋体" w:hAnsi="宋体"/>
                <w:color w:val="000000"/>
                <w:szCs w:val="21"/>
                <w:highlight w:val="none"/>
              </w:rPr>
            </w:pPr>
            <w:r>
              <w:rPr>
                <w:rFonts w:ascii="宋体" w:hAnsi="宋体"/>
                <w:color w:val="000000"/>
                <w:szCs w:val="21"/>
                <w:highlight w:val="none"/>
              </w:rPr>
              <w:t>投标文件第一个信封（商务及技术文件）</w:t>
            </w:r>
            <w:r>
              <w:rPr>
                <w:rFonts w:ascii="宋体" w:hAnsi="宋体"/>
                <w:color w:val="000000"/>
                <w:spacing w:val="-4"/>
                <w:szCs w:val="21"/>
                <w:highlight w:val="none"/>
              </w:rPr>
              <w:t>开标地点：</w:t>
            </w:r>
            <w:r>
              <w:rPr>
                <w:rFonts w:hint="eastAsia" w:ascii="宋体" w:hAnsi="宋体"/>
                <w:color w:val="000000"/>
                <w:szCs w:val="21"/>
                <w:highlight w:val="none"/>
              </w:rPr>
              <w:t>同递交投标文件地点；</w:t>
            </w:r>
          </w:p>
          <w:p>
            <w:pPr>
              <w:snapToGrid w:val="0"/>
              <w:spacing w:line="240" w:lineRule="auto"/>
              <w:rPr>
                <w:rFonts w:ascii="宋体" w:hAnsi="宋体"/>
                <w:color w:val="000000"/>
                <w:szCs w:val="21"/>
                <w:highlight w:val="none"/>
              </w:rPr>
            </w:pPr>
            <w:r>
              <w:rPr>
                <w:rFonts w:ascii="宋体" w:hAnsi="宋体"/>
                <w:color w:val="000000"/>
                <w:szCs w:val="21"/>
                <w:highlight w:val="none"/>
              </w:rPr>
              <w:t>投标文件第二个信封（</w:t>
            </w:r>
            <w:r>
              <w:rPr>
                <w:rFonts w:hint="eastAsia" w:ascii="宋体" w:hAnsi="宋体"/>
                <w:color w:val="000000"/>
                <w:szCs w:val="21"/>
                <w:highlight w:val="none"/>
              </w:rPr>
              <w:t>报价文件</w:t>
            </w:r>
            <w:r>
              <w:rPr>
                <w:rFonts w:ascii="宋体" w:hAnsi="宋体"/>
                <w:color w:val="000000"/>
                <w:szCs w:val="21"/>
                <w:highlight w:val="none"/>
              </w:rPr>
              <w:t>）开标时间：</w:t>
            </w:r>
            <w:r>
              <w:rPr>
                <w:rFonts w:hint="eastAsia" w:ascii="宋体" w:hAnsi="宋体"/>
                <w:color w:val="000000"/>
                <w:szCs w:val="21"/>
                <w:highlight w:val="none"/>
              </w:rPr>
              <w:t>见招标公告；</w:t>
            </w:r>
          </w:p>
          <w:p>
            <w:pPr>
              <w:adjustRightInd w:val="0"/>
              <w:snapToGrid w:val="0"/>
              <w:spacing w:line="240" w:lineRule="auto"/>
              <w:rPr>
                <w:rFonts w:ascii="宋体" w:hAnsi="宋体"/>
                <w:szCs w:val="21"/>
                <w:highlight w:val="none"/>
              </w:rPr>
            </w:pPr>
            <w:r>
              <w:rPr>
                <w:rFonts w:ascii="宋体" w:hAnsi="宋体"/>
                <w:color w:val="000000"/>
                <w:szCs w:val="21"/>
                <w:highlight w:val="none"/>
              </w:rPr>
              <w:t>投标文件第</w:t>
            </w:r>
            <w:r>
              <w:rPr>
                <w:rFonts w:hint="eastAsia" w:ascii="宋体" w:hAnsi="宋体"/>
                <w:color w:val="000000"/>
                <w:szCs w:val="21"/>
                <w:highlight w:val="none"/>
              </w:rPr>
              <w:t>二</w:t>
            </w:r>
            <w:r>
              <w:rPr>
                <w:rFonts w:ascii="宋体" w:hAnsi="宋体"/>
                <w:color w:val="000000"/>
                <w:szCs w:val="21"/>
                <w:highlight w:val="none"/>
              </w:rPr>
              <w:t>个信封（</w:t>
            </w:r>
            <w:r>
              <w:rPr>
                <w:rFonts w:hint="eastAsia" w:ascii="宋体" w:hAnsi="宋体"/>
                <w:color w:val="000000"/>
                <w:szCs w:val="21"/>
                <w:highlight w:val="none"/>
              </w:rPr>
              <w:t>报价文件</w:t>
            </w:r>
            <w:r>
              <w:rPr>
                <w:rFonts w:ascii="宋体" w:hAnsi="宋体"/>
                <w:color w:val="000000"/>
                <w:szCs w:val="21"/>
                <w:highlight w:val="none"/>
              </w:rPr>
              <w:t>）</w:t>
            </w:r>
            <w:r>
              <w:rPr>
                <w:rFonts w:ascii="宋体" w:hAnsi="宋体"/>
                <w:color w:val="000000"/>
                <w:spacing w:val="-4"/>
                <w:szCs w:val="21"/>
                <w:highlight w:val="none"/>
              </w:rPr>
              <w:t>开标地点：</w:t>
            </w:r>
            <w:r>
              <w:rPr>
                <w:rFonts w:hint="eastAsia" w:ascii="宋体" w:hAnsi="宋体"/>
                <w:color w:val="000000"/>
                <w:spacing w:val="-4"/>
                <w:szCs w:val="21"/>
                <w:highlight w:val="none"/>
              </w:rPr>
              <w:t>见招标公告。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5.2.1</w:t>
            </w:r>
          </w:p>
        </w:tc>
        <w:tc>
          <w:tcPr>
            <w:tcW w:w="2002" w:type="dxa"/>
            <w:vAlign w:val="center"/>
          </w:tcPr>
          <w:p>
            <w:pPr>
              <w:spacing w:line="240" w:lineRule="auto"/>
              <w:jc w:val="center"/>
              <w:rPr>
                <w:rFonts w:ascii="宋体" w:hAnsi="宋体"/>
                <w:highlight w:val="none"/>
              </w:rPr>
            </w:pPr>
            <w:r>
              <w:rPr>
                <w:rFonts w:hint="eastAsia" w:ascii="宋体" w:hAnsi="宋体"/>
                <w:highlight w:val="none"/>
              </w:rPr>
              <w:t>第一个信封（商务及技术文件）开标程序</w:t>
            </w:r>
          </w:p>
        </w:tc>
        <w:tc>
          <w:tcPr>
            <w:tcW w:w="6505" w:type="dxa"/>
            <w:vAlign w:val="center"/>
          </w:tcPr>
          <w:p>
            <w:pPr>
              <w:spacing w:line="240" w:lineRule="auto"/>
              <w:rPr>
                <w:rFonts w:ascii="宋体" w:hAnsi="宋体"/>
                <w:highlight w:val="none"/>
              </w:rPr>
            </w:pPr>
            <w:r>
              <w:rPr>
                <w:rFonts w:hint="eastAsia" w:ascii="宋体" w:hAnsi="宋体"/>
                <w:highlight w:val="none"/>
              </w:rPr>
              <w:t>（4）密封情况检查：检查商务及技术文件是否存在提前开启情况；</w:t>
            </w:r>
          </w:p>
          <w:p>
            <w:pPr>
              <w:spacing w:line="240" w:lineRule="auto"/>
              <w:rPr>
                <w:rFonts w:ascii="宋体" w:hAnsi="宋体"/>
                <w:highlight w:val="none"/>
              </w:rPr>
            </w:pPr>
            <w:r>
              <w:rPr>
                <w:rFonts w:hint="eastAsia" w:ascii="宋体" w:hAnsi="宋体"/>
                <w:szCs w:val="21"/>
                <w:highlight w:val="none"/>
              </w:rPr>
              <w:t>（5）开标顺序：/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hint="eastAsia" w:ascii="宋体" w:hAnsi="宋体"/>
                <w:szCs w:val="21"/>
                <w:highlight w:val="none"/>
              </w:rPr>
            </w:pPr>
          </w:p>
        </w:tc>
        <w:tc>
          <w:tcPr>
            <w:tcW w:w="2002" w:type="dxa"/>
            <w:vAlign w:val="center"/>
          </w:tcPr>
          <w:p>
            <w:pPr>
              <w:keepLines/>
              <w:adjustRightInd w:val="0"/>
              <w:snapToGrid w:val="0"/>
              <w:spacing w:line="240" w:lineRule="auto"/>
              <w:jc w:val="center"/>
              <w:rPr>
                <w:rFonts w:ascii="宋体" w:hAnsi="宋体"/>
                <w:szCs w:val="21"/>
                <w:highlight w:val="none"/>
              </w:rPr>
            </w:pPr>
            <w:r>
              <w:rPr>
                <w:rFonts w:hint="eastAsia" w:ascii="宋体" w:hAnsi="宋体"/>
                <w:szCs w:val="21"/>
                <w:highlight w:val="none"/>
              </w:rPr>
              <w:t>电子招投标第一个信封（商务及技术文件）</w:t>
            </w:r>
          </w:p>
          <w:p>
            <w:pPr>
              <w:keepLines/>
              <w:adjustRightInd w:val="0"/>
              <w:snapToGrid w:val="0"/>
              <w:spacing w:line="240" w:lineRule="auto"/>
              <w:jc w:val="center"/>
              <w:rPr>
                <w:rFonts w:hint="eastAsia" w:ascii="宋体" w:hAnsi="宋体"/>
                <w:highlight w:val="none"/>
              </w:rPr>
            </w:pPr>
            <w:r>
              <w:rPr>
                <w:rFonts w:hint="eastAsia" w:ascii="宋体" w:hAnsi="宋体"/>
                <w:szCs w:val="21"/>
                <w:highlight w:val="none"/>
              </w:rPr>
              <w:t>开标程序</w:t>
            </w:r>
          </w:p>
        </w:tc>
        <w:tc>
          <w:tcPr>
            <w:tcW w:w="6505" w:type="dxa"/>
            <w:vAlign w:val="center"/>
          </w:tcPr>
          <w:p>
            <w:pPr>
              <w:spacing w:line="24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公布在投标截止时间前</w:t>
            </w:r>
            <w:r>
              <w:rPr>
                <w:rFonts w:hint="eastAsia" w:ascii="宋体" w:hAnsi="宋体"/>
                <w:szCs w:val="21"/>
                <w:highlight w:val="none"/>
              </w:rPr>
              <w:t>提</w:t>
            </w:r>
            <w:r>
              <w:rPr>
                <w:rFonts w:ascii="宋体" w:hAnsi="宋体"/>
                <w:szCs w:val="21"/>
                <w:highlight w:val="none"/>
              </w:rPr>
              <w:t>交</w:t>
            </w:r>
            <w:r>
              <w:rPr>
                <w:rFonts w:hint="eastAsia" w:ascii="宋体" w:hAnsi="宋体"/>
                <w:szCs w:val="21"/>
                <w:highlight w:val="none"/>
              </w:rPr>
              <w:t>电子</w:t>
            </w:r>
            <w:r>
              <w:rPr>
                <w:rFonts w:ascii="宋体" w:hAnsi="宋体"/>
                <w:szCs w:val="21"/>
                <w:highlight w:val="none"/>
              </w:rPr>
              <w:t>投标文件的投标人</w:t>
            </w:r>
            <w:r>
              <w:rPr>
                <w:rFonts w:hint="eastAsia" w:ascii="宋体" w:hAnsi="宋体"/>
                <w:szCs w:val="21"/>
                <w:highlight w:val="none"/>
              </w:rPr>
              <w:t>数量；</w:t>
            </w:r>
          </w:p>
          <w:p>
            <w:pPr>
              <w:spacing w:line="240" w:lineRule="auto"/>
              <w:rPr>
                <w:rFonts w:ascii="宋体" w:hAnsi="宋体"/>
                <w:szCs w:val="21"/>
                <w:highlight w:val="none"/>
              </w:rPr>
            </w:pPr>
            <w:r>
              <w:rPr>
                <w:rFonts w:hint="eastAsia" w:ascii="宋体" w:hAnsi="宋体"/>
                <w:szCs w:val="21"/>
                <w:highlight w:val="none"/>
              </w:rPr>
              <w:t>（2）投标人解密电子投标文件第一个信封（商务及技术文件）；</w:t>
            </w:r>
          </w:p>
          <w:p>
            <w:pPr>
              <w:spacing w:line="240" w:lineRule="auto"/>
              <w:rPr>
                <w:rFonts w:ascii="宋体" w:hAnsi="宋体"/>
                <w:szCs w:val="21"/>
                <w:highlight w:val="none"/>
              </w:rPr>
            </w:pPr>
            <w:r>
              <w:rPr>
                <w:rFonts w:hint="eastAsia" w:ascii="宋体" w:hAnsi="宋体"/>
                <w:szCs w:val="21"/>
                <w:highlight w:val="none"/>
              </w:rPr>
              <w:t>（3）</w:t>
            </w:r>
            <w:r>
              <w:rPr>
                <w:rFonts w:ascii="宋体" w:hAnsi="宋体"/>
                <w:szCs w:val="21"/>
                <w:highlight w:val="none"/>
              </w:rPr>
              <w:t>公布</w:t>
            </w:r>
            <w:r>
              <w:rPr>
                <w:rFonts w:hint="eastAsia" w:ascii="宋体" w:hAnsi="宋体"/>
                <w:szCs w:val="21"/>
                <w:highlight w:val="none"/>
              </w:rPr>
              <w:t>标段名称、</w:t>
            </w:r>
            <w:r>
              <w:rPr>
                <w:rFonts w:ascii="宋体" w:hAnsi="宋体"/>
                <w:szCs w:val="21"/>
                <w:highlight w:val="none"/>
              </w:rPr>
              <w:t>投标人名称、投标保证金的递交情况、监理服务期及其他内容</w:t>
            </w:r>
            <w:r>
              <w:rPr>
                <w:rFonts w:hint="eastAsia" w:ascii="宋体" w:hAnsi="宋体"/>
                <w:szCs w:val="21"/>
                <w:highlight w:val="none"/>
              </w:rPr>
              <w:t xml:space="preserve">； </w:t>
            </w:r>
          </w:p>
          <w:p>
            <w:pPr>
              <w:spacing w:line="240" w:lineRule="auto"/>
              <w:rPr>
                <w:rFonts w:hint="eastAsia" w:ascii="宋体" w:hAnsi="宋体"/>
                <w:highlight w:val="none"/>
              </w:rPr>
            </w:pPr>
            <w:r>
              <w:rPr>
                <w:rFonts w:hint="eastAsia" w:ascii="宋体" w:hAnsi="宋体"/>
                <w:szCs w:val="21"/>
                <w:highlight w:val="none"/>
              </w:rPr>
              <w:t>（4）电子招投标第一个信封（商务及技术文件）开标结束。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Merge w:val="restart"/>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5.2.3</w:t>
            </w:r>
          </w:p>
        </w:tc>
        <w:tc>
          <w:tcPr>
            <w:tcW w:w="2002" w:type="dxa"/>
            <w:vAlign w:val="center"/>
          </w:tcPr>
          <w:p>
            <w:pPr>
              <w:spacing w:line="240" w:lineRule="auto"/>
              <w:jc w:val="center"/>
              <w:rPr>
                <w:rFonts w:ascii="宋体" w:hAnsi="宋体"/>
                <w:highlight w:val="none"/>
              </w:rPr>
            </w:pPr>
            <w:r>
              <w:rPr>
                <w:rFonts w:hint="eastAsia" w:ascii="宋体" w:hAnsi="宋体"/>
                <w:highlight w:val="none"/>
              </w:rPr>
              <w:t>第二个信封（报价文件）开标程序</w:t>
            </w:r>
          </w:p>
        </w:tc>
        <w:tc>
          <w:tcPr>
            <w:tcW w:w="6505" w:type="dxa"/>
            <w:vAlign w:val="center"/>
          </w:tcPr>
          <w:p>
            <w:pPr>
              <w:spacing w:line="240" w:lineRule="auto"/>
              <w:rPr>
                <w:rFonts w:ascii="宋体" w:hAnsi="宋体"/>
                <w:szCs w:val="21"/>
                <w:highlight w:val="none"/>
              </w:rPr>
            </w:pPr>
            <w:r>
              <w:rPr>
                <w:rFonts w:hint="eastAsia" w:ascii="宋体" w:hAnsi="宋体"/>
                <w:szCs w:val="21"/>
                <w:highlight w:val="none"/>
              </w:rPr>
              <w:t>（4）密封情况检查：检查报价文件是否存在提前开启情况</w:t>
            </w:r>
          </w:p>
          <w:p>
            <w:pPr>
              <w:spacing w:line="240" w:lineRule="auto"/>
              <w:rPr>
                <w:rFonts w:ascii="宋体" w:hAnsi="宋体"/>
                <w:highlight w:val="none"/>
              </w:rPr>
            </w:pPr>
            <w:r>
              <w:rPr>
                <w:rFonts w:hint="eastAsia" w:ascii="宋体" w:hAnsi="宋体"/>
                <w:szCs w:val="21"/>
                <w:highlight w:val="none"/>
              </w:rPr>
              <w:t>（5）开标顺序：/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6" w:hRule="atLeast"/>
          <w:jc w:val="center"/>
        </w:trPr>
        <w:tc>
          <w:tcPr>
            <w:tcW w:w="951" w:type="dxa"/>
            <w:vMerge w:val="continue"/>
            <w:vAlign w:val="center"/>
          </w:tcPr>
          <w:p>
            <w:pPr>
              <w:adjustRightInd w:val="0"/>
              <w:snapToGrid w:val="0"/>
              <w:spacing w:before="100" w:beforeAutospacing="1" w:after="100" w:afterAutospacing="1" w:line="240" w:lineRule="auto"/>
              <w:jc w:val="center"/>
              <w:rPr>
                <w:rFonts w:hint="eastAsia" w:ascii="宋体" w:hAnsi="宋体"/>
                <w:szCs w:val="21"/>
                <w:highlight w:val="none"/>
              </w:rPr>
            </w:pPr>
          </w:p>
        </w:tc>
        <w:tc>
          <w:tcPr>
            <w:tcW w:w="2002" w:type="dxa"/>
            <w:vAlign w:val="center"/>
          </w:tcPr>
          <w:p>
            <w:pPr>
              <w:autoSpaceDE w:val="0"/>
              <w:autoSpaceDN w:val="0"/>
              <w:adjustRightInd w:val="0"/>
              <w:spacing w:line="240" w:lineRule="auto"/>
              <w:jc w:val="center"/>
              <w:rPr>
                <w:rFonts w:hint="eastAsia" w:ascii="宋体" w:hAnsi="宋体"/>
                <w:highlight w:val="none"/>
              </w:rPr>
            </w:pPr>
            <w:r>
              <w:rPr>
                <w:rFonts w:hint="eastAsia" w:ascii="宋体" w:hAnsi="宋体"/>
                <w:szCs w:val="21"/>
                <w:highlight w:val="none"/>
              </w:rPr>
              <w:t>电子招投标</w:t>
            </w:r>
            <w:r>
              <w:rPr>
                <w:rFonts w:hint="eastAsia" w:ascii="宋体" w:hAnsi="宋体"/>
                <w:color w:val="000000"/>
                <w:szCs w:val="21"/>
                <w:highlight w:val="none"/>
              </w:rPr>
              <w:t>第二个信封（报价文件）开标程序</w:t>
            </w:r>
          </w:p>
        </w:tc>
        <w:tc>
          <w:tcPr>
            <w:tcW w:w="6505" w:type="dxa"/>
            <w:vAlign w:val="center"/>
          </w:tcPr>
          <w:p>
            <w:pPr>
              <w:spacing w:line="240" w:lineRule="auto"/>
              <w:rPr>
                <w:rFonts w:ascii="宋体" w:hAnsi="宋体"/>
                <w:szCs w:val="21"/>
                <w:highlight w:val="none"/>
              </w:rPr>
            </w:pPr>
            <w:r>
              <w:rPr>
                <w:rFonts w:hint="eastAsia" w:ascii="宋体" w:hAnsi="宋体"/>
                <w:szCs w:val="21"/>
                <w:highlight w:val="none"/>
              </w:rPr>
              <w:t>（1）当众拆开投标文件第一个信封（商务及技术文件）评审结果的密封袋，宣布通过投标文件第一个信封（商务及技术文件）评审的投标人名单；</w:t>
            </w:r>
          </w:p>
          <w:p>
            <w:pPr>
              <w:spacing w:line="240" w:lineRule="auto"/>
              <w:rPr>
                <w:rFonts w:ascii="宋体" w:hAnsi="宋体"/>
                <w:szCs w:val="21"/>
                <w:highlight w:val="none"/>
              </w:rPr>
            </w:pPr>
            <w:r>
              <w:rPr>
                <w:rFonts w:hint="eastAsia" w:ascii="宋体" w:hAnsi="宋体"/>
                <w:szCs w:val="21"/>
                <w:highlight w:val="none"/>
              </w:rPr>
              <w:t>（2）通过投标文件第一个信封（商务及技术文件）评审的投标人解密电子投标文件</w:t>
            </w:r>
            <w:r>
              <w:rPr>
                <w:rFonts w:hint="eastAsia" w:ascii="宋体" w:hAnsi="宋体"/>
                <w:color w:val="000000"/>
                <w:szCs w:val="21"/>
                <w:highlight w:val="none"/>
              </w:rPr>
              <w:t>第二个信封（报价文件）</w:t>
            </w:r>
            <w:r>
              <w:rPr>
                <w:rFonts w:hint="eastAsia" w:ascii="宋体" w:hAnsi="宋体"/>
                <w:szCs w:val="21"/>
                <w:highlight w:val="none"/>
              </w:rPr>
              <w:t>；</w:t>
            </w:r>
          </w:p>
          <w:p>
            <w:pPr>
              <w:spacing w:line="240" w:lineRule="auto"/>
              <w:rPr>
                <w:rFonts w:ascii="宋体" w:hAnsi="宋体"/>
                <w:szCs w:val="21"/>
                <w:highlight w:val="none"/>
              </w:rPr>
            </w:pPr>
            <w:r>
              <w:rPr>
                <w:rFonts w:hint="eastAsia" w:ascii="宋体" w:hAnsi="宋体"/>
                <w:szCs w:val="21"/>
                <w:highlight w:val="none"/>
              </w:rPr>
              <w:t>（3）公布标段名称、投标人名称、投标报价</w:t>
            </w:r>
            <w:r>
              <w:rPr>
                <w:rFonts w:ascii="宋体" w:hAnsi="宋体"/>
                <w:szCs w:val="21"/>
                <w:highlight w:val="none"/>
              </w:rPr>
              <w:t>及其他内容</w:t>
            </w:r>
            <w:r>
              <w:rPr>
                <w:rFonts w:hint="eastAsia" w:ascii="宋体" w:hAnsi="宋体"/>
                <w:szCs w:val="21"/>
                <w:highlight w:val="none"/>
              </w:rPr>
              <w:t>；</w:t>
            </w:r>
          </w:p>
          <w:p>
            <w:pPr>
              <w:spacing w:line="240" w:lineRule="auto"/>
              <w:rPr>
                <w:rFonts w:ascii="宋体" w:hAnsi="宋体"/>
                <w:szCs w:val="21"/>
                <w:highlight w:val="none"/>
              </w:rPr>
            </w:pPr>
            <w:r>
              <w:rPr>
                <w:rFonts w:hint="eastAsia" w:ascii="宋体" w:hAnsi="宋体"/>
                <w:szCs w:val="21"/>
                <w:highlight w:val="none"/>
              </w:rPr>
              <w:t>（4）计算</w:t>
            </w:r>
            <w:r>
              <w:rPr>
                <w:rFonts w:ascii="宋体" w:hAnsi="宋体"/>
                <w:szCs w:val="21"/>
                <w:highlight w:val="none"/>
              </w:rPr>
              <w:t>并宣布评标基准价；</w:t>
            </w:r>
          </w:p>
          <w:p>
            <w:pPr>
              <w:spacing w:line="240" w:lineRule="auto"/>
              <w:rPr>
                <w:rFonts w:hint="eastAsia" w:ascii="宋体" w:hAnsi="宋体"/>
                <w:szCs w:val="21"/>
                <w:highlight w:val="none"/>
              </w:rPr>
            </w:pPr>
            <w:r>
              <w:rPr>
                <w:rFonts w:hint="eastAsia" w:ascii="宋体" w:hAnsi="宋体"/>
                <w:szCs w:val="21"/>
                <w:highlight w:val="none"/>
              </w:rPr>
              <w:t>（5）电子招投标</w:t>
            </w:r>
            <w:r>
              <w:rPr>
                <w:rFonts w:hint="eastAsia" w:ascii="宋体" w:hAnsi="宋体"/>
                <w:color w:val="000000"/>
                <w:szCs w:val="21"/>
                <w:highlight w:val="none"/>
              </w:rPr>
              <w:t>第二个信封（报价文件）</w:t>
            </w:r>
            <w:r>
              <w:rPr>
                <w:rFonts w:hint="eastAsia" w:ascii="宋体" w:hAnsi="宋体"/>
                <w:szCs w:val="21"/>
                <w:highlight w:val="none"/>
              </w:rPr>
              <w:t>开标结束。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6.1.1</w:t>
            </w:r>
          </w:p>
        </w:tc>
        <w:tc>
          <w:tcPr>
            <w:tcW w:w="2002" w:type="dxa"/>
            <w:vAlign w:val="center"/>
          </w:tcPr>
          <w:p>
            <w:pPr>
              <w:spacing w:line="240" w:lineRule="auto"/>
              <w:jc w:val="center"/>
              <w:rPr>
                <w:szCs w:val="21"/>
                <w:highlight w:val="none"/>
              </w:rPr>
            </w:pPr>
            <w:r>
              <w:rPr>
                <w:rFonts w:hint="eastAsia" w:hAnsi="宋体"/>
                <w:szCs w:val="21"/>
                <w:highlight w:val="none"/>
              </w:rPr>
              <w:t>评标委员会的组建</w:t>
            </w:r>
          </w:p>
        </w:tc>
        <w:tc>
          <w:tcPr>
            <w:tcW w:w="6505" w:type="dxa"/>
            <w:vAlign w:val="center"/>
          </w:tcPr>
          <w:p>
            <w:pPr>
              <w:spacing w:line="240" w:lineRule="auto"/>
              <w:rPr>
                <w:rFonts w:ascii="宋体" w:hAnsi="宋体"/>
                <w:szCs w:val="21"/>
                <w:highlight w:val="none"/>
              </w:rPr>
            </w:pPr>
            <w:r>
              <w:rPr>
                <w:rFonts w:hint="eastAsia" w:ascii="宋体" w:hAnsi="宋体"/>
                <w:szCs w:val="21"/>
                <w:highlight w:val="none"/>
              </w:rPr>
              <w:t>评标委员会构成：</w:t>
            </w:r>
            <w:r>
              <w:rPr>
                <w:rFonts w:hint="eastAsia" w:ascii="宋体" w:hAnsi="宋体"/>
                <w:szCs w:val="21"/>
                <w:highlight w:val="none"/>
                <w:u w:val="single"/>
                <w:lang w:val="en-US" w:eastAsia="zh-CN"/>
              </w:rPr>
              <w:t>9</w:t>
            </w:r>
            <w:r>
              <w:rPr>
                <w:rFonts w:hint="eastAsia" w:ascii="宋体" w:hAnsi="宋体"/>
                <w:szCs w:val="21"/>
                <w:highlight w:val="none"/>
              </w:rPr>
              <w:t>人，其中招标人代表</w:t>
            </w:r>
            <w:r>
              <w:rPr>
                <w:rFonts w:hint="eastAsia" w:ascii="宋体" w:hAnsi="宋体"/>
                <w:szCs w:val="21"/>
                <w:highlight w:val="none"/>
                <w:u w:val="single"/>
              </w:rPr>
              <w:t>1</w:t>
            </w:r>
            <w:r>
              <w:rPr>
                <w:rFonts w:hint="eastAsia" w:ascii="宋体" w:hAnsi="宋体"/>
                <w:szCs w:val="21"/>
                <w:highlight w:val="none"/>
              </w:rPr>
              <w:t>人，专家</w:t>
            </w:r>
            <w:r>
              <w:rPr>
                <w:rFonts w:hint="eastAsia" w:ascii="宋体" w:hAnsi="宋体"/>
                <w:szCs w:val="21"/>
                <w:highlight w:val="none"/>
                <w:u w:val="single"/>
                <w:lang w:val="en-US" w:eastAsia="zh-CN"/>
              </w:rPr>
              <w:t>8</w:t>
            </w:r>
            <w:r>
              <w:rPr>
                <w:rFonts w:hint="eastAsia" w:ascii="宋体" w:hAnsi="宋体"/>
                <w:szCs w:val="21"/>
                <w:highlight w:val="none"/>
              </w:rPr>
              <w:t>人；</w:t>
            </w:r>
          </w:p>
          <w:p>
            <w:pPr>
              <w:spacing w:line="240" w:lineRule="auto"/>
              <w:rPr>
                <w:szCs w:val="21"/>
                <w:highlight w:val="none"/>
              </w:rPr>
            </w:pPr>
            <w:r>
              <w:rPr>
                <w:rFonts w:hint="eastAsia" w:ascii="宋体" w:hAnsi="宋体"/>
                <w:szCs w:val="21"/>
                <w:highlight w:val="none"/>
              </w:rPr>
              <w:t>评标专家确定方式：</w:t>
            </w:r>
            <w:r>
              <w:rPr>
                <w:rFonts w:hint="eastAsia"/>
                <w:szCs w:val="21"/>
                <w:highlight w:val="none"/>
              </w:rPr>
              <w:t>依法</w:t>
            </w:r>
            <w:r>
              <w:rPr>
                <w:szCs w:val="21"/>
                <w:highlight w:val="none"/>
              </w:rPr>
              <w:t>从</w:t>
            </w:r>
            <w:r>
              <w:rPr>
                <w:rFonts w:hint="eastAsia"/>
                <w:szCs w:val="21"/>
                <w:highlight w:val="none"/>
              </w:rPr>
              <w:t>吉林省公路工程建设项目</w:t>
            </w:r>
            <w:r>
              <w:rPr>
                <w:szCs w:val="21"/>
                <w:highlight w:val="none"/>
              </w:rPr>
              <w:t>评标专家库中随机抽取产生。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6.3.2</w:t>
            </w:r>
          </w:p>
        </w:tc>
        <w:tc>
          <w:tcPr>
            <w:tcW w:w="2002" w:type="dxa"/>
          </w:tcPr>
          <w:p>
            <w:pPr>
              <w:spacing w:line="240" w:lineRule="auto"/>
              <w:jc w:val="center"/>
              <w:rPr>
                <w:rFonts w:hAnsi="宋体"/>
                <w:szCs w:val="21"/>
                <w:highlight w:val="none"/>
              </w:rPr>
            </w:pPr>
            <w:r>
              <w:rPr>
                <w:rFonts w:hint="eastAsia" w:hAnsi="宋体"/>
                <w:szCs w:val="21"/>
                <w:highlight w:val="none"/>
              </w:rPr>
              <w:t>评标委员会推荐中标候选人的人数</w:t>
            </w:r>
          </w:p>
        </w:tc>
        <w:tc>
          <w:tcPr>
            <w:tcW w:w="6505" w:type="dxa"/>
            <w:vAlign w:val="center"/>
          </w:tcPr>
          <w:p>
            <w:pPr>
              <w:spacing w:line="240" w:lineRule="auto"/>
              <w:rPr>
                <w:rFonts w:ascii="宋体" w:hAnsi="宋体"/>
                <w:highlight w:val="none"/>
              </w:rPr>
            </w:pPr>
            <w:r>
              <w:rPr>
                <w:rFonts w:hint="eastAsia" w:ascii="宋体" w:hAnsi="宋体"/>
                <w:highlight w:val="none"/>
              </w:rPr>
              <w:t>3名（或3名以内）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7.1</w:t>
            </w:r>
          </w:p>
        </w:tc>
        <w:tc>
          <w:tcPr>
            <w:tcW w:w="2002" w:type="dxa"/>
            <w:vAlign w:val="center"/>
          </w:tcPr>
          <w:p>
            <w:pPr>
              <w:spacing w:line="240" w:lineRule="auto"/>
              <w:jc w:val="center"/>
              <w:rPr>
                <w:rFonts w:hAnsi="宋体"/>
                <w:szCs w:val="21"/>
                <w:highlight w:val="none"/>
              </w:rPr>
            </w:pPr>
            <w:r>
              <w:rPr>
                <w:rFonts w:hint="eastAsia" w:hAnsi="宋体"/>
                <w:szCs w:val="21"/>
                <w:highlight w:val="none"/>
              </w:rPr>
              <w:t>中标候选人公示媒介及期限</w:t>
            </w:r>
          </w:p>
        </w:tc>
        <w:tc>
          <w:tcPr>
            <w:tcW w:w="6505" w:type="dxa"/>
            <w:vAlign w:val="center"/>
          </w:tcPr>
          <w:p>
            <w:pPr>
              <w:adjustRightInd w:val="0"/>
              <w:snapToGrid w:val="0"/>
              <w:spacing w:line="240" w:lineRule="auto"/>
              <w:rPr>
                <w:rFonts w:hAnsi="宋体"/>
                <w:color w:val="auto"/>
                <w:szCs w:val="21"/>
                <w:highlight w:val="none"/>
              </w:rPr>
            </w:pPr>
            <w:r>
              <w:rPr>
                <w:rFonts w:hint="eastAsia" w:ascii="宋体" w:hAnsi="宋体"/>
                <w:color w:val="auto"/>
                <w:highlight w:val="none"/>
              </w:rPr>
              <w:t>公示媒介：中国招标投标公共服务平台、吉林省公共资源交易中心网、吉林省交通运输厅、四平市交通运输局网站</w:t>
            </w:r>
          </w:p>
          <w:p>
            <w:pPr>
              <w:spacing w:line="240" w:lineRule="auto"/>
              <w:rPr>
                <w:rFonts w:ascii="宋体" w:hAnsi="宋体"/>
                <w:highlight w:val="none"/>
              </w:rPr>
            </w:pPr>
            <w:r>
              <w:rPr>
                <w:rFonts w:hint="eastAsia" w:ascii="宋体" w:hAnsi="宋体"/>
                <w:highlight w:val="none"/>
              </w:rPr>
              <w:t>公示期限：3日；</w:t>
            </w:r>
          </w:p>
          <w:p>
            <w:pPr>
              <w:spacing w:line="240" w:lineRule="auto"/>
              <w:rPr>
                <w:rFonts w:ascii="宋体" w:hAnsi="宋体"/>
                <w:highlight w:val="none"/>
              </w:rPr>
            </w:pPr>
            <w:r>
              <w:rPr>
                <w:rFonts w:hint="eastAsia" w:ascii="宋体" w:hAnsi="宋体"/>
                <w:highlight w:val="none"/>
              </w:rPr>
              <w:t>公示的其他内容：</w:t>
            </w:r>
            <w:r>
              <w:rPr>
                <w:rFonts w:hint="eastAsia"/>
                <w:bCs/>
                <w:szCs w:val="21"/>
                <w:highlight w:val="none"/>
                <w:u w:val="single"/>
                <w:lang w:val="zh-CN"/>
              </w:rPr>
              <w:t>无</w:t>
            </w:r>
            <w:r>
              <w:rPr>
                <w:rFonts w:hint="eastAsia" w:ascii="宋体" w:hAnsi="宋体"/>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7.4</w:t>
            </w:r>
          </w:p>
        </w:tc>
        <w:tc>
          <w:tcPr>
            <w:tcW w:w="2002" w:type="dxa"/>
            <w:vAlign w:val="center"/>
          </w:tcPr>
          <w:p>
            <w:pPr>
              <w:spacing w:line="240" w:lineRule="auto"/>
              <w:jc w:val="center"/>
              <w:rPr>
                <w:rFonts w:hAnsi="宋体"/>
                <w:szCs w:val="21"/>
                <w:highlight w:val="none"/>
              </w:rPr>
            </w:pPr>
            <w:r>
              <w:rPr>
                <w:rFonts w:hint="eastAsia" w:hAnsi="宋体"/>
                <w:szCs w:val="21"/>
                <w:highlight w:val="none"/>
              </w:rPr>
              <w:t>是否授权评标委员会确定中标人</w:t>
            </w:r>
          </w:p>
        </w:tc>
        <w:tc>
          <w:tcPr>
            <w:tcW w:w="6505" w:type="dxa"/>
            <w:vAlign w:val="center"/>
          </w:tcPr>
          <w:p>
            <w:pPr>
              <w:autoSpaceDE w:val="0"/>
              <w:autoSpaceDN w:val="0"/>
              <w:adjustRightInd w:val="0"/>
              <w:spacing w:line="240" w:lineRule="auto"/>
              <w:rPr>
                <w:rFonts w:hAnsi="宋体"/>
                <w:szCs w:val="21"/>
                <w:highlight w:val="none"/>
              </w:rPr>
            </w:pPr>
            <w:r>
              <w:rPr>
                <w:rFonts w:hint="eastAsia" w:hAnsi="宋体"/>
                <w:szCs w:val="21"/>
                <w:highlight w:val="none"/>
              </w:rPr>
              <w:t>□是</w:t>
            </w:r>
          </w:p>
          <w:p>
            <w:pPr>
              <w:autoSpaceDE w:val="0"/>
              <w:autoSpaceDN w:val="0"/>
              <w:adjustRightInd w:val="0"/>
              <w:spacing w:line="240" w:lineRule="auto"/>
              <w:rPr>
                <w:rFonts w:hAnsi="宋体"/>
                <w:szCs w:val="21"/>
                <w:highlight w:val="none"/>
              </w:rPr>
            </w:pPr>
            <w:r>
              <w:rPr>
                <w:rFonts w:hAnsi="宋体"/>
                <w:szCs w:val="21"/>
                <w:highlight w:val="none"/>
              </w:rPr>
              <w:fldChar w:fldCharType="begin"/>
            </w:r>
            <w:r>
              <w:rPr>
                <w:rFonts w:hint="eastAsia" w:hAnsi="宋体"/>
                <w:szCs w:val="21"/>
                <w:highlight w:val="none"/>
              </w:rPr>
              <w:instrText xml:space="preserve">eq \o\ac(□,√)</w:instrText>
            </w:r>
            <w:r>
              <w:rPr>
                <w:rFonts w:hAnsi="宋体"/>
                <w:szCs w:val="21"/>
                <w:highlight w:val="none"/>
              </w:rPr>
              <w:fldChar w:fldCharType="end"/>
            </w:r>
            <w:r>
              <w:rPr>
                <w:rFonts w:hint="eastAsia" w:hAnsi="宋体"/>
                <w:szCs w:val="21"/>
                <w:highlight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7.5</w:t>
            </w:r>
          </w:p>
        </w:tc>
        <w:tc>
          <w:tcPr>
            <w:tcW w:w="2002" w:type="dxa"/>
            <w:vAlign w:val="center"/>
          </w:tcPr>
          <w:p>
            <w:pPr>
              <w:spacing w:line="240" w:lineRule="auto"/>
              <w:jc w:val="center"/>
              <w:rPr>
                <w:rFonts w:hAnsi="宋体"/>
                <w:szCs w:val="21"/>
                <w:highlight w:val="none"/>
              </w:rPr>
            </w:pPr>
            <w:r>
              <w:rPr>
                <w:rFonts w:hint="eastAsia" w:hAnsi="宋体"/>
                <w:szCs w:val="21"/>
                <w:highlight w:val="none"/>
              </w:rPr>
              <w:t>中标通知书和中标结果通知书发出的形式</w:t>
            </w:r>
          </w:p>
        </w:tc>
        <w:tc>
          <w:tcPr>
            <w:tcW w:w="6505" w:type="dxa"/>
            <w:vAlign w:val="center"/>
          </w:tcPr>
          <w:p>
            <w:pPr>
              <w:spacing w:line="240" w:lineRule="auto"/>
              <w:rPr>
                <w:rFonts w:ascii="宋体" w:hAnsi="宋体"/>
                <w:color w:val="000000"/>
                <w:szCs w:val="21"/>
                <w:highlight w:val="none"/>
              </w:rPr>
            </w:pPr>
            <w:r>
              <w:rPr>
                <w:rFonts w:hint="eastAsia" w:ascii="宋体" w:hAnsi="宋体"/>
                <w:color w:val="000000"/>
                <w:szCs w:val="21"/>
                <w:highlight w:val="none"/>
              </w:rPr>
              <w:t>以书面形式向中标人发出中标通知书</w:t>
            </w:r>
          </w:p>
          <w:p>
            <w:pPr>
              <w:spacing w:line="240" w:lineRule="auto"/>
              <w:rPr>
                <w:rFonts w:ascii="宋体" w:hAnsi="宋体"/>
                <w:highlight w:val="none"/>
              </w:rPr>
            </w:pPr>
            <w:r>
              <w:rPr>
                <w:rFonts w:hint="eastAsia" w:ascii="宋体" w:hAnsi="宋体"/>
                <w:color w:val="000000"/>
                <w:szCs w:val="21"/>
                <w:highlight w:val="none"/>
              </w:rPr>
              <w:t>以中标结果公告形式向未中标人发出中标结果通知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7.</w:t>
            </w:r>
            <w:r>
              <w:rPr>
                <w:rFonts w:hint="eastAsia" w:ascii="宋体" w:hAnsi="宋体"/>
                <w:szCs w:val="21"/>
                <w:highlight w:val="none"/>
              </w:rPr>
              <w:t>6</w:t>
            </w:r>
          </w:p>
        </w:tc>
        <w:tc>
          <w:tcPr>
            <w:tcW w:w="2002" w:type="dxa"/>
            <w:vAlign w:val="center"/>
          </w:tcPr>
          <w:p>
            <w:pPr>
              <w:spacing w:line="240" w:lineRule="auto"/>
              <w:jc w:val="center"/>
              <w:rPr>
                <w:rFonts w:hAnsi="宋体" w:cs="宋体"/>
                <w:highlight w:val="none"/>
                <w:lang w:bidi="zh-CN"/>
              </w:rPr>
            </w:pPr>
            <w:r>
              <w:rPr>
                <w:rFonts w:hAnsi="宋体" w:cs="宋体"/>
                <w:highlight w:val="none"/>
                <w:lang w:bidi="zh-CN"/>
              </w:rPr>
              <w:t>中标结果公告</w:t>
            </w:r>
          </w:p>
          <w:p>
            <w:pPr>
              <w:spacing w:line="240" w:lineRule="auto"/>
              <w:jc w:val="center"/>
              <w:rPr>
                <w:rFonts w:hAnsi="宋体"/>
                <w:highlight w:val="none"/>
              </w:rPr>
            </w:pPr>
            <w:r>
              <w:rPr>
                <w:rFonts w:hAnsi="宋体" w:cs="宋体"/>
                <w:highlight w:val="none"/>
                <w:lang w:bidi="zh-CN"/>
              </w:rPr>
              <w:t>媒介及期限</w:t>
            </w:r>
          </w:p>
        </w:tc>
        <w:tc>
          <w:tcPr>
            <w:tcW w:w="6505" w:type="dxa"/>
            <w:vAlign w:val="center"/>
          </w:tcPr>
          <w:p>
            <w:pPr>
              <w:adjustRightInd w:val="0"/>
              <w:snapToGrid w:val="0"/>
              <w:spacing w:line="240" w:lineRule="auto"/>
              <w:rPr>
                <w:rFonts w:ascii="宋体" w:hAnsi="宋体"/>
                <w:highlight w:val="none"/>
              </w:rPr>
            </w:pPr>
            <w:r>
              <w:rPr>
                <w:rFonts w:hint="eastAsia" w:ascii="宋体" w:hAnsi="宋体"/>
                <w:highlight w:val="none"/>
              </w:rPr>
              <w:t>公示媒介：中国招标投标公共服务平台、吉林省公共资源交易中心网、吉林省交通运输厅、四平市交通运输局网站</w:t>
            </w:r>
          </w:p>
          <w:p>
            <w:pPr>
              <w:spacing w:line="240" w:lineRule="auto"/>
              <w:rPr>
                <w:rFonts w:ascii="宋体" w:hAnsi="宋体"/>
                <w:highlight w:val="none"/>
              </w:rPr>
            </w:pPr>
            <w:r>
              <w:rPr>
                <w:rFonts w:hint="eastAsia" w:ascii="宋体" w:hAnsi="宋体"/>
                <w:highlight w:val="none"/>
              </w:rPr>
              <w:t>公示期限：3日；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9"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ascii="宋体" w:hAnsi="宋体"/>
                <w:szCs w:val="21"/>
                <w:highlight w:val="none"/>
              </w:rPr>
              <w:t>7.</w:t>
            </w:r>
            <w:r>
              <w:rPr>
                <w:rFonts w:hint="eastAsia" w:ascii="宋体" w:hAnsi="宋体"/>
                <w:szCs w:val="21"/>
                <w:highlight w:val="none"/>
              </w:rPr>
              <w:t>7</w:t>
            </w:r>
            <w:r>
              <w:rPr>
                <w:rFonts w:ascii="宋体" w:hAnsi="宋体"/>
                <w:szCs w:val="21"/>
                <w:highlight w:val="none"/>
              </w:rPr>
              <w:t>.1</w:t>
            </w:r>
          </w:p>
        </w:tc>
        <w:tc>
          <w:tcPr>
            <w:tcW w:w="2002" w:type="dxa"/>
            <w:vAlign w:val="center"/>
          </w:tcPr>
          <w:p>
            <w:pPr>
              <w:spacing w:line="240" w:lineRule="auto"/>
              <w:jc w:val="center"/>
              <w:rPr>
                <w:szCs w:val="21"/>
                <w:highlight w:val="none"/>
              </w:rPr>
            </w:pPr>
            <w:r>
              <w:rPr>
                <w:rFonts w:hint="eastAsia" w:hAnsi="宋体"/>
                <w:szCs w:val="21"/>
                <w:highlight w:val="none"/>
              </w:rPr>
              <w:t>履约保证金</w:t>
            </w:r>
          </w:p>
        </w:tc>
        <w:tc>
          <w:tcPr>
            <w:tcW w:w="6505" w:type="dxa"/>
            <w:vAlign w:val="center"/>
          </w:tcPr>
          <w:p>
            <w:pPr>
              <w:spacing w:line="240" w:lineRule="auto"/>
              <w:rPr>
                <w:rFonts w:ascii="宋体" w:hAnsi="宋体"/>
                <w:highlight w:val="none"/>
              </w:rPr>
            </w:pPr>
            <w:r>
              <w:rPr>
                <w:rFonts w:hint="eastAsia" w:ascii="宋体" w:hAnsi="宋体"/>
                <w:highlight w:val="none"/>
              </w:rPr>
              <w:t>履约担保形式：现金、支票或银行保函形式。</w:t>
            </w:r>
          </w:p>
          <w:p>
            <w:pPr>
              <w:spacing w:line="240" w:lineRule="auto"/>
              <w:rPr>
                <w:rFonts w:ascii="宋体" w:hAnsi="宋体"/>
                <w:highlight w:val="none"/>
              </w:rPr>
            </w:pPr>
            <w:r>
              <w:rPr>
                <w:rFonts w:hint="eastAsia" w:ascii="宋体" w:hAnsi="宋体"/>
                <w:highlight w:val="none"/>
              </w:rPr>
              <w:t>履约担保金额：5%的签约合同价。</w:t>
            </w:r>
          </w:p>
          <w:p>
            <w:pPr>
              <w:spacing w:line="240" w:lineRule="auto"/>
              <w:rPr>
                <w:rFonts w:ascii="宋体" w:hAnsi="宋体"/>
                <w:highlight w:val="none"/>
              </w:rPr>
            </w:pPr>
            <w:r>
              <w:rPr>
                <w:rFonts w:hint="eastAsia" w:ascii="宋体" w:hAnsi="宋体"/>
                <w:highlight w:val="none"/>
              </w:rPr>
              <w:t>（1）采用现金、支票形式时，应由中标人的基本账户转入发包人账户。</w:t>
            </w:r>
          </w:p>
          <w:p>
            <w:pPr>
              <w:spacing w:line="240" w:lineRule="auto"/>
              <w:rPr>
                <w:rFonts w:ascii="宋体" w:hAnsi="宋体"/>
                <w:highlight w:val="none"/>
              </w:rPr>
            </w:pPr>
            <w:r>
              <w:rPr>
                <w:rFonts w:hint="eastAsia" w:ascii="宋体" w:hAnsi="宋体"/>
                <w:highlight w:val="none"/>
              </w:rPr>
              <w:t>（2）采用银行保函时，应按招标文件第四章“合同条款及格式”规定的履约担保格式出具，应由地市级分行以上级别国有商业银行或全国性股份制商业银行开具。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 w:hRule="atLeast"/>
          <w:jc w:val="center"/>
        </w:trPr>
        <w:tc>
          <w:tcPr>
            <w:tcW w:w="951" w:type="dxa"/>
            <w:vAlign w:val="center"/>
          </w:tcPr>
          <w:p>
            <w:pPr>
              <w:spacing w:line="240" w:lineRule="auto"/>
              <w:jc w:val="center"/>
              <w:rPr>
                <w:rFonts w:ascii="宋体" w:hAnsi="宋体"/>
                <w:szCs w:val="21"/>
                <w:highlight w:val="none"/>
              </w:rPr>
            </w:pPr>
            <w:r>
              <w:rPr>
                <w:rFonts w:hint="eastAsia" w:ascii="宋体" w:hAnsi="宋体"/>
                <w:szCs w:val="21"/>
                <w:highlight w:val="none"/>
              </w:rPr>
              <w:t>8.5.1</w:t>
            </w:r>
          </w:p>
        </w:tc>
        <w:tc>
          <w:tcPr>
            <w:tcW w:w="2002" w:type="dxa"/>
            <w:vAlign w:val="center"/>
          </w:tcPr>
          <w:p>
            <w:pPr>
              <w:spacing w:line="240" w:lineRule="auto"/>
              <w:jc w:val="center"/>
              <w:rPr>
                <w:rFonts w:ascii="宋体" w:hAnsi="宋体"/>
                <w:szCs w:val="21"/>
                <w:highlight w:val="none"/>
              </w:rPr>
            </w:pPr>
            <w:r>
              <w:rPr>
                <w:rFonts w:ascii="宋体" w:hAnsi="宋体"/>
                <w:szCs w:val="21"/>
                <w:highlight w:val="none"/>
              </w:rPr>
              <w:t>监督部门</w:t>
            </w:r>
          </w:p>
        </w:tc>
        <w:tc>
          <w:tcPr>
            <w:tcW w:w="6505" w:type="dxa"/>
            <w:vAlign w:val="center"/>
          </w:tcPr>
          <w:p>
            <w:pPr>
              <w:spacing w:line="240" w:lineRule="auto"/>
              <w:rPr>
                <w:rFonts w:hint="default" w:ascii="宋体" w:hAnsi="宋体"/>
                <w:highlight w:val="none"/>
                <w:lang w:val="en-US"/>
              </w:rPr>
            </w:pPr>
            <w:r>
              <w:rPr>
                <w:rFonts w:hint="eastAsia" w:ascii="宋体" w:hAnsi="宋体"/>
                <w:highlight w:val="none"/>
              </w:rPr>
              <w:t>监督部门：</w:t>
            </w:r>
            <w:r>
              <w:rPr>
                <w:rFonts w:hint="eastAsia" w:ascii="宋体" w:hAnsi="宋体"/>
                <w:highlight w:val="none"/>
                <w:lang w:val="en-US" w:eastAsia="zh-CN"/>
              </w:rPr>
              <w:t>四平市交通运输局</w:t>
            </w:r>
          </w:p>
          <w:p>
            <w:pPr>
              <w:spacing w:line="240" w:lineRule="auto"/>
              <w:rPr>
                <w:rFonts w:ascii="宋体" w:hAnsi="宋体"/>
                <w:highlight w:val="none"/>
              </w:rPr>
            </w:pPr>
            <w:r>
              <w:rPr>
                <w:rFonts w:hint="eastAsia" w:ascii="宋体" w:hAnsi="宋体"/>
                <w:highlight w:val="none"/>
              </w:rPr>
              <w:t>电    话：0434-3281221</w:t>
            </w:r>
          </w:p>
          <w:p>
            <w:pPr>
              <w:spacing w:line="240" w:lineRule="auto"/>
              <w:rPr>
                <w:rFonts w:ascii="宋体" w:hAnsi="宋体"/>
                <w:highlight w:val="none"/>
              </w:rPr>
            </w:pPr>
            <w:r>
              <w:rPr>
                <w:rFonts w:hint="eastAsia" w:ascii="宋体" w:hAnsi="宋体"/>
                <w:highlight w:val="none"/>
              </w:rPr>
              <w:t>注：依据《中华人民共和国招标投标法实施条例》第六十条 “ 就本条例第二十二、第四十四条、第五十四条规定事项投诉的，应当先向招标人提出异议。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8" w:hRule="atLeast"/>
          <w:jc w:val="center"/>
        </w:trPr>
        <w:tc>
          <w:tcPr>
            <w:tcW w:w="951" w:type="dxa"/>
            <w:vAlign w:val="center"/>
          </w:tcPr>
          <w:p>
            <w:pPr>
              <w:adjustRightInd w:val="0"/>
              <w:snapToGrid w:val="0"/>
              <w:spacing w:line="240" w:lineRule="auto"/>
              <w:jc w:val="center"/>
              <w:rPr>
                <w:rFonts w:ascii="宋体" w:hAnsi="宋体"/>
                <w:highlight w:val="none"/>
              </w:rPr>
            </w:pPr>
            <w:r>
              <w:rPr>
                <w:rFonts w:hint="eastAsia" w:ascii="宋体" w:hAnsi="宋体"/>
                <w:highlight w:val="none"/>
              </w:rPr>
              <w:t>9</w:t>
            </w:r>
          </w:p>
        </w:tc>
        <w:tc>
          <w:tcPr>
            <w:tcW w:w="2002" w:type="dxa"/>
            <w:vAlign w:val="center"/>
          </w:tcPr>
          <w:p>
            <w:pPr>
              <w:spacing w:line="240" w:lineRule="auto"/>
              <w:jc w:val="center"/>
              <w:rPr>
                <w:rFonts w:hint="eastAsia" w:ascii="宋体" w:hAnsi="宋体" w:cs="Times New Roman"/>
                <w:highlight w:val="none"/>
              </w:rPr>
            </w:pPr>
            <w:r>
              <w:rPr>
                <w:rFonts w:hint="eastAsia" w:ascii="宋体" w:hAnsi="宋体" w:cs="Times New Roman"/>
                <w:highlight w:val="none"/>
              </w:rPr>
              <w:t>是否采用</w:t>
            </w:r>
          </w:p>
          <w:p>
            <w:pPr>
              <w:spacing w:line="240" w:lineRule="auto"/>
              <w:jc w:val="center"/>
              <w:rPr>
                <w:rFonts w:hint="eastAsia" w:ascii="宋体" w:hAnsi="宋体" w:cs="Times New Roman"/>
                <w:highlight w:val="none"/>
              </w:rPr>
            </w:pPr>
            <w:r>
              <w:rPr>
                <w:rFonts w:hint="eastAsia" w:ascii="宋体" w:hAnsi="宋体" w:cs="Times New Roman"/>
                <w:highlight w:val="none"/>
              </w:rPr>
              <w:t>电子招标投标</w:t>
            </w:r>
          </w:p>
        </w:tc>
        <w:tc>
          <w:tcPr>
            <w:tcW w:w="6505" w:type="dxa"/>
            <w:vAlign w:val="center"/>
          </w:tcPr>
          <w:p>
            <w:pPr>
              <w:spacing w:line="240" w:lineRule="auto"/>
              <w:rPr>
                <w:rFonts w:hint="eastAsia" w:ascii="宋体" w:hAnsi="宋体" w:cs="Times New Roman"/>
                <w:highlight w:val="none"/>
              </w:rPr>
            </w:pPr>
            <w:r>
              <w:rPr>
                <w:rFonts w:hint="eastAsia" w:ascii="宋体" w:hAnsi="宋体" w:cs="Times New Roman"/>
                <w:highlight w:val="none"/>
                <w:lang w:val="zh-CN"/>
              </w:rPr>
              <w:sym w:font="Wingdings 2" w:char="0052"/>
            </w:r>
            <w:r>
              <w:rPr>
                <w:rFonts w:hint="eastAsia" w:ascii="宋体" w:hAnsi="宋体" w:cs="Times New Roman"/>
                <w:highlight w:val="none"/>
              </w:rPr>
              <w:t>是</w:t>
            </w:r>
            <w:r>
              <w:rPr>
                <w:rFonts w:hint="eastAsia" w:ascii="宋体" w:hAnsi="宋体" w:cs="Times New Roman"/>
                <w:highlight w:val="none"/>
                <w:lang w:val="en-US" w:eastAsia="zh-CN"/>
              </w:rPr>
              <w:t xml:space="preserve"> 具</w:t>
            </w:r>
            <w:r>
              <w:rPr>
                <w:rFonts w:hint="eastAsia" w:ascii="宋体" w:hAnsi="宋体" w:cs="Times New Roman"/>
                <w:highlight w:val="none"/>
              </w:rPr>
              <w:t>体要求：本次招标试运行电子化招投标，采用“网上和网下”两种方式同步运行，以“网下”为准。“网上”按电子化招投标流程要求进行，在网上提交加密的电子投标文件，“网下”以书面方式同时进行。除非在试运行期间出现系统故障等特殊情况，投标人均应按要求在网上和网下提交投标文件（网上使用投标工具软件制作投标文件，网下以招标文件给定的格式制作投标文件，两者格式允许不同，但填报的内容原则上应一致）。电子化招投标具体要求详见附件：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p>
            <w:pPr>
              <w:spacing w:line="240" w:lineRule="auto"/>
              <w:rPr>
                <w:rFonts w:hint="eastAsia" w:ascii="宋体" w:hAnsi="宋体" w:cs="Times New Roman"/>
                <w:highlight w:val="none"/>
              </w:rPr>
            </w:pPr>
            <w:r>
              <w:rPr>
                <w:rFonts w:hint="eastAsia" w:ascii="宋体" w:hAnsi="宋体" w:cs="Times New Roman"/>
                <w:highlight w:val="none"/>
                <w:lang w:val="zh-CN"/>
              </w:rPr>
              <w:fldChar w:fldCharType="begin"/>
            </w:r>
            <w:r>
              <w:rPr>
                <w:rFonts w:hint="eastAsia" w:ascii="宋体" w:hAnsi="宋体" w:cs="Times New Roman"/>
                <w:highlight w:val="none"/>
                <w:lang w:val="zh-CN"/>
              </w:rPr>
              <w:instrText xml:space="preserve"> eq \o\ac(□)</w:instrText>
            </w:r>
            <w:r>
              <w:rPr>
                <w:rFonts w:hint="eastAsia" w:ascii="宋体" w:hAnsi="宋体" w:cs="Times New Roman"/>
                <w:highlight w:val="none"/>
                <w:lang w:val="zh-CN"/>
              </w:rPr>
              <w:fldChar w:fldCharType="end"/>
            </w:r>
            <w:r>
              <w:rPr>
                <w:rFonts w:hint="eastAsia" w:ascii="宋体" w:hAnsi="宋体" w:cs="Times New Roman"/>
                <w:highlight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10</w:t>
            </w:r>
          </w:p>
        </w:tc>
        <w:tc>
          <w:tcPr>
            <w:tcW w:w="8507" w:type="dxa"/>
            <w:gridSpan w:val="2"/>
            <w:vAlign w:val="center"/>
          </w:tcPr>
          <w:p>
            <w:pPr>
              <w:spacing w:line="240" w:lineRule="auto"/>
              <w:rPr>
                <w:rFonts w:hAnsi="宋体"/>
                <w:szCs w:val="21"/>
                <w:highlight w:val="none"/>
              </w:rPr>
            </w:pPr>
            <w:r>
              <w:rPr>
                <w:rFonts w:hint="eastAsia" w:hAnsi="宋体"/>
                <w:szCs w:val="21"/>
                <w:highlight w:val="none"/>
              </w:rPr>
              <w:t>需要补充的其它内容：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10.1</w:t>
            </w:r>
          </w:p>
        </w:tc>
        <w:tc>
          <w:tcPr>
            <w:tcW w:w="2002" w:type="dxa"/>
            <w:vAlign w:val="center"/>
          </w:tcPr>
          <w:p>
            <w:pPr>
              <w:adjustRightInd w:val="0"/>
              <w:snapToGrid w:val="0"/>
              <w:spacing w:line="240" w:lineRule="auto"/>
              <w:jc w:val="center"/>
              <w:rPr>
                <w:rFonts w:hAnsi="宋体"/>
                <w:szCs w:val="21"/>
                <w:highlight w:val="none"/>
              </w:rPr>
            </w:pPr>
            <w:r>
              <w:rPr>
                <w:rFonts w:hint="eastAsia" w:ascii="宋体" w:hAnsi="宋体"/>
                <w:szCs w:val="21"/>
                <w:highlight w:val="none"/>
              </w:rPr>
              <w:t>招标代理服务费</w:t>
            </w:r>
          </w:p>
        </w:tc>
        <w:tc>
          <w:tcPr>
            <w:tcW w:w="6505" w:type="dxa"/>
            <w:vAlign w:val="center"/>
          </w:tcPr>
          <w:p>
            <w:pPr>
              <w:autoSpaceDE w:val="0"/>
              <w:autoSpaceDN w:val="0"/>
              <w:adjustRightInd w:val="0"/>
              <w:spacing w:line="240" w:lineRule="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收费依据：采用下表费率以差额定率累进法计算，按中标人的中标金额为基数分段乘以相应费率后累加计算总额×折扣系数0.85收取招标代理服务费。</w:t>
            </w:r>
          </w:p>
          <w:p>
            <w:pPr>
              <w:autoSpaceDE w:val="0"/>
              <w:autoSpaceDN w:val="0"/>
              <w:adjustRightInd w:val="0"/>
              <w:spacing w:line="240" w:lineRule="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招标代理服务收费标准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148"/>
              <w:gridCol w:w="123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中标金额（万元）</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工程招标费率</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服务招标费率</w:t>
                  </w:r>
                </w:p>
              </w:tc>
              <w:tc>
                <w:tcPr>
                  <w:tcW w:w="130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货物招标费率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100以下</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1.0%</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1.5%</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100-500</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0.7%</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0.8%</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500-1000</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0.55%</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0.45%</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1000-5000</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0.35%</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0.25%</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5000-10000</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0.20%</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0.10%</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10000-100000</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0.05%</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0.05%</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22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1000000以上</w:t>
                  </w:r>
                </w:p>
              </w:tc>
              <w:tc>
                <w:tcPr>
                  <w:tcW w:w="114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0.01%</w:t>
                  </w:r>
                </w:p>
              </w:tc>
              <w:tc>
                <w:tcPr>
                  <w:tcW w:w="12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0.01%</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0.01%</w:t>
                  </w:r>
                </w:p>
              </w:tc>
            </w:tr>
          </w:tbl>
          <w:p>
            <w:pPr>
              <w:spacing w:line="240" w:lineRule="auto"/>
              <w:rPr>
                <w:rFonts w:hAnsi="宋体"/>
                <w:szCs w:val="21"/>
                <w:highlight w:val="none"/>
              </w:rPr>
            </w:pPr>
            <w:r>
              <w:rPr>
                <w:rFonts w:hint="eastAsia" w:ascii="宋体" w:hAnsi="宋体" w:cs="宋体"/>
                <w:szCs w:val="21"/>
                <w:highlight w:val="none"/>
              </w:rPr>
              <w:t>收取对象：本项目招标代理费</w:t>
            </w:r>
            <w:r>
              <w:rPr>
                <w:rFonts w:hint="eastAsia" w:ascii="宋体" w:hAnsi="宋体" w:cs="宋体"/>
                <w:szCs w:val="21"/>
                <w:highlight w:val="none"/>
                <w:lang w:val="en-US" w:eastAsia="zh-CN"/>
              </w:rPr>
              <w:t>由</w:t>
            </w:r>
            <w:r>
              <w:rPr>
                <w:rFonts w:hint="eastAsia" w:ascii="宋体" w:hAnsi="宋体" w:cs="宋体"/>
                <w:szCs w:val="21"/>
                <w:highlight w:val="none"/>
              </w:rPr>
              <w:t>中标人</w:t>
            </w:r>
            <w:r>
              <w:rPr>
                <w:rFonts w:hint="eastAsia" w:ascii="宋体" w:hAnsi="宋体" w:cs="宋体"/>
                <w:szCs w:val="21"/>
                <w:highlight w:val="none"/>
                <w:lang w:val="en-US" w:eastAsia="zh-CN"/>
              </w:rPr>
              <w:t>缴纳</w:t>
            </w:r>
            <w:r>
              <w:rPr>
                <w:rFonts w:hint="eastAsia" w:ascii="宋体" w:hAnsi="宋体" w:cs="宋体"/>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adjustRightInd w:val="0"/>
              <w:snapToGrid w:val="0"/>
              <w:spacing w:before="100" w:beforeAutospacing="1" w:after="100" w:afterAutospacing="1" w:line="240" w:lineRule="auto"/>
              <w:jc w:val="center"/>
              <w:rPr>
                <w:rFonts w:ascii="宋体" w:hAnsi="宋体"/>
                <w:szCs w:val="21"/>
                <w:highlight w:val="none"/>
              </w:rPr>
            </w:pPr>
            <w:r>
              <w:rPr>
                <w:rFonts w:hint="eastAsia" w:ascii="宋体" w:hAnsi="宋体"/>
                <w:szCs w:val="21"/>
                <w:highlight w:val="none"/>
              </w:rPr>
              <w:t>10.2</w:t>
            </w:r>
          </w:p>
        </w:tc>
        <w:tc>
          <w:tcPr>
            <w:tcW w:w="2002" w:type="dxa"/>
            <w:vAlign w:val="center"/>
          </w:tcPr>
          <w:p>
            <w:pPr>
              <w:adjustRightInd w:val="0"/>
              <w:snapToGrid w:val="0"/>
              <w:spacing w:line="240" w:lineRule="auto"/>
              <w:jc w:val="center"/>
              <w:rPr>
                <w:rFonts w:ascii="宋体" w:hAnsi="宋体"/>
                <w:szCs w:val="21"/>
                <w:highlight w:val="none"/>
              </w:rPr>
            </w:pPr>
            <w:r>
              <w:rPr>
                <w:rFonts w:hint="eastAsia"/>
                <w:szCs w:val="21"/>
                <w:highlight w:val="none"/>
              </w:rPr>
              <w:t>词语定义</w:t>
            </w:r>
          </w:p>
        </w:tc>
        <w:tc>
          <w:tcPr>
            <w:tcW w:w="6505" w:type="dxa"/>
            <w:vAlign w:val="center"/>
          </w:tcPr>
          <w:p>
            <w:pPr>
              <w:numPr>
                <w:ilvl w:val="0"/>
                <w:numId w:val="4"/>
              </w:numPr>
              <w:autoSpaceDE w:val="0"/>
              <w:autoSpaceDN w:val="0"/>
              <w:adjustRightInd w:val="0"/>
              <w:spacing w:line="240" w:lineRule="auto"/>
              <w:rPr>
                <w:rFonts w:hint="eastAsia" w:ascii="宋体" w:hAnsi="宋体" w:cs="宋体"/>
                <w:highlight w:val="none"/>
              </w:rPr>
            </w:pPr>
            <w:r>
              <w:rPr>
                <w:rFonts w:hint="eastAsia" w:ascii="宋体" w:hAnsi="宋体" w:cs="宋体"/>
                <w:highlight w:val="none"/>
              </w:rPr>
              <w:t>本文件中所称的“</w:t>
            </w:r>
            <w:r>
              <w:rPr>
                <w:rFonts w:hint="eastAsia" w:ascii="黑体" w:hAnsi="黑体" w:eastAsia="黑体" w:cs="黑体"/>
                <w:b/>
                <w:bCs/>
                <w:highlight w:val="none"/>
              </w:rPr>
              <w:t>以上</w:t>
            </w:r>
            <w:r>
              <w:rPr>
                <w:rFonts w:hint="eastAsia" w:ascii="宋体" w:hAnsi="宋体" w:cs="宋体"/>
                <w:highlight w:val="none"/>
              </w:rPr>
              <w:t>”、“</w:t>
            </w:r>
            <w:r>
              <w:rPr>
                <w:rFonts w:hint="eastAsia" w:ascii="黑体" w:hAnsi="黑体" w:eastAsia="黑体" w:cs="黑体"/>
                <w:b/>
                <w:bCs/>
                <w:highlight w:val="none"/>
              </w:rPr>
              <w:t>以下</w:t>
            </w:r>
            <w:r>
              <w:rPr>
                <w:rFonts w:hint="eastAsia" w:ascii="宋体" w:hAnsi="宋体" w:cs="宋体"/>
                <w:highlight w:val="none"/>
              </w:rPr>
              <w:t>”、“</w:t>
            </w:r>
            <w:r>
              <w:rPr>
                <w:rFonts w:hint="eastAsia" w:ascii="黑体" w:hAnsi="黑体" w:eastAsia="黑体" w:cs="黑体"/>
                <w:b/>
                <w:bCs/>
                <w:highlight w:val="none"/>
              </w:rPr>
              <w:t>以内</w:t>
            </w:r>
            <w:r>
              <w:rPr>
                <w:rFonts w:hint="eastAsia" w:ascii="宋体" w:hAnsi="宋体" w:cs="宋体"/>
                <w:highlight w:val="none"/>
              </w:rPr>
              <w:t>”，包括本数；所称的“以外”，不包括本数。</w:t>
            </w:r>
          </w:p>
          <w:p>
            <w:pPr>
              <w:autoSpaceDE w:val="0"/>
              <w:autoSpaceDN w:val="0"/>
              <w:adjustRightInd w:val="0"/>
              <w:spacing w:line="240" w:lineRule="auto"/>
              <w:rPr>
                <w:rFonts w:ascii="宋体" w:hAnsi="宋体" w:cs="宋体"/>
                <w:highlight w:val="none"/>
              </w:rPr>
            </w:pPr>
            <w:r>
              <w:rPr>
                <w:rFonts w:hint="eastAsia" w:ascii="宋体" w:hAnsi="宋体" w:cs="宋体"/>
                <w:highlight w:val="none"/>
              </w:rPr>
              <w:t>（2）除有特殊说明外，本文件中所称的“近3年”或“近5年”等，是指自投标截止时间所在年度起逆推3年或5年。如：投标截止时间所在年度为202</w:t>
            </w:r>
            <w:r>
              <w:rPr>
                <w:rFonts w:hint="eastAsia" w:ascii="宋体" w:hAnsi="宋体" w:cs="宋体"/>
                <w:highlight w:val="none"/>
                <w:lang w:val="en-US" w:eastAsia="zh-CN"/>
              </w:rPr>
              <w:t>1</w:t>
            </w:r>
            <w:r>
              <w:rPr>
                <w:rFonts w:hint="eastAsia" w:ascii="宋体" w:hAnsi="宋体" w:cs="宋体"/>
                <w:highlight w:val="none"/>
              </w:rPr>
              <w:t>年，“近</w:t>
            </w:r>
            <w:r>
              <w:rPr>
                <w:rFonts w:hint="eastAsia" w:ascii="宋体" w:hAnsi="宋体" w:cs="宋体"/>
                <w:highlight w:val="none"/>
                <w:lang w:val="en-US" w:eastAsia="zh-CN"/>
              </w:rPr>
              <w:t>5</w:t>
            </w:r>
            <w:r>
              <w:rPr>
                <w:rFonts w:hint="eastAsia" w:ascii="宋体" w:hAnsi="宋体" w:cs="宋体"/>
                <w:highlight w:val="none"/>
              </w:rPr>
              <w:t>年”的年限从201</w:t>
            </w:r>
            <w:r>
              <w:rPr>
                <w:rFonts w:hint="eastAsia" w:ascii="宋体" w:hAnsi="宋体" w:cs="宋体"/>
                <w:highlight w:val="none"/>
                <w:lang w:val="en-US" w:eastAsia="zh-CN"/>
              </w:rPr>
              <w:t>6</w:t>
            </w:r>
            <w:r>
              <w:rPr>
                <w:rFonts w:hint="eastAsia" w:ascii="宋体" w:hAnsi="宋体" w:cs="宋体"/>
                <w:highlight w:val="none"/>
              </w:rPr>
              <w:t>年1月1日算起。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spacing w:line="240" w:lineRule="auto"/>
              <w:jc w:val="center"/>
              <w:rPr>
                <w:rFonts w:ascii="宋体" w:hAnsi="宋体"/>
                <w:szCs w:val="21"/>
                <w:highlight w:val="none"/>
              </w:rPr>
            </w:pPr>
            <w:r>
              <w:rPr>
                <w:rFonts w:hint="eastAsia"/>
                <w:szCs w:val="21"/>
                <w:highlight w:val="none"/>
              </w:rPr>
              <w:t>10.3</w:t>
            </w:r>
          </w:p>
        </w:tc>
        <w:tc>
          <w:tcPr>
            <w:tcW w:w="2002" w:type="dxa"/>
            <w:vAlign w:val="center"/>
          </w:tcPr>
          <w:p>
            <w:pPr>
              <w:adjustRightInd w:val="0"/>
              <w:snapToGrid w:val="0"/>
              <w:spacing w:line="240" w:lineRule="auto"/>
              <w:jc w:val="center"/>
              <w:rPr>
                <w:b/>
                <w:bCs/>
                <w:szCs w:val="21"/>
                <w:highlight w:val="none"/>
              </w:rPr>
            </w:pPr>
            <w:r>
              <w:rPr>
                <w:rFonts w:hint="eastAsia"/>
                <w:szCs w:val="21"/>
                <w:highlight w:val="none"/>
              </w:rPr>
              <w:t>证明材料</w:t>
            </w:r>
          </w:p>
        </w:tc>
        <w:tc>
          <w:tcPr>
            <w:tcW w:w="6505" w:type="dxa"/>
            <w:vAlign w:val="center"/>
          </w:tcPr>
          <w:p>
            <w:pPr>
              <w:autoSpaceDE w:val="0"/>
              <w:autoSpaceDN w:val="0"/>
              <w:adjustRightInd w:val="0"/>
              <w:spacing w:line="240" w:lineRule="auto"/>
              <w:rPr>
                <w:rFonts w:hint="eastAsia" w:ascii="宋体" w:hAnsi="宋体" w:cs="宋体"/>
                <w:highlight w:val="none"/>
              </w:rPr>
            </w:pPr>
            <w:r>
              <w:rPr>
                <w:rFonts w:hint="eastAsia" w:ascii="宋体" w:hAnsi="宋体" w:cs="宋体"/>
                <w:highlight w:val="none"/>
              </w:rPr>
              <w:t>（1）</w:t>
            </w:r>
            <w:r>
              <w:rPr>
                <w:rFonts w:hint="eastAsia" w:ascii="宋体" w:hAnsi="宋体" w:cs="宋体"/>
                <w:b/>
                <w:bCs/>
                <w:highlight w:val="none"/>
              </w:rPr>
              <w:t>本文件中所提及的“复印件”均指彩色复印件或彩色扫描件</w:t>
            </w:r>
            <w:r>
              <w:rPr>
                <w:rFonts w:hint="eastAsia" w:ascii="宋体" w:hAnsi="宋体" w:cs="宋体"/>
                <w:highlight w:val="none"/>
              </w:rPr>
              <w:t>。</w:t>
            </w:r>
          </w:p>
          <w:p>
            <w:pPr>
              <w:autoSpaceDE w:val="0"/>
              <w:autoSpaceDN w:val="0"/>
              <w:adjustRightInd w:val="0"/>
              <w:spacing w:line="240" w:lineRule="auto"/>
              <w:rPr>
                <w:b/>
                <w:bCs/>
                <w:szCs w:val="21"/>
                <w:highlight w:val="none"/>
              </w:rPr>
            </w:pPr>
            <w:r>
              <w:rPr>
                <w:rFonts w:hint="eastAsia" w:ascii="宋体" w:hAnsi="宋体" w:cs="宋体"/>
                <w:highlight w:val="none"/>
              </w:rPr>
              <w:t>（2）</w:t>
            </w:r>
            <w:r>
              <w:rPr>
                <w:rFonts w:hint="eastAsia" w:ascii="宋体" w:hAnsi="宋体" w:cs="宋体"/>
                <w:b/>
                <w:bCs/>
                <w:highlight w:val="none"/>
              </w:rPr>
              <w:t>为保证评标工作的质量和进度，投标人在其投标文件中所附的证明材料（各种文书、证件等）应提供所有有效页</w:t>
            </w:r>
            <w:r>
              <w:rPr>
                <w:rFonts w:hint="eastAsia" w:ascii="宋体" w:hAnsi="宋体" w:cs="宋体"/>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51" w:type="dxa"/>
            <w:vAlign w:val="center"/>
          </w:tcPr>
          <w:p>
            <w:pPr>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10.4</w:t>
            </w:r>
          </w:p>
        </w:tc>
        <w:tc>
          <w:tcPr>
            <w:tcW w:w="2002" w:type="dxa"/>
            <w:vAlign w:val="center"/>
          </w:tcPr>
          <w:p>
            <w:pPr>
              <w:adjustRightInd w:val="0"/>
              <w:snapToGrid w:val="0"/>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其它注意事项</w:t>
            </w:r>
          </w:p>
        </w:tc>
        <w:tc>
          <w:tcPr>
            <w:tcW w:w="6505" w:type="dxa"/>
            <w:vAlign w:val="center"/>
          </w:tcPr>
          <w:p>
            <w:pPr>
              <w:spacing w:line="240" w:lineRule="auto"/>
              <w:ind w:firstLine="420" w:firstLineChars="200"/>
              <w:rPr>
                <w:rFonts w:hint="eastAsia" w:ascii="宋体" w:hAnsi="宋体" w:eastAsia="宋体" w:cs="宋体"/>
                <w:kern w:val="2"/>
                <w:sz w:val="21"/>
                <w:szCs w:val="22"/>
                <w:highlight w:val="none"/>
                <w:lang w:val="en-US" w:eastAsia="zh-CN" w:bidi="ar-SA"/>
              </w:rPr>
            </w:pPr>
            <w:r>
              <w:rPr>
                <w:rFonts w:hint="eastAsia" w:ascii="宋体" w:hAnsi="宋体" w:cs="宋体"/>
                <w:szCs w:val="21"/>
                <w:highlight w:val="none"/>
              </w:rPr>
              <w:t>无</w:t>
            </w:r>
          </w:p>
        </w:tc>
      </w:tr>
    </w:tbl>
    <w:p>
      <w:pPr>
        <w:spacing w:before="100" w:beforeAutospacing="1" w:line="240" w:lineRule="auto"/>
        <w:jc w:val="center"/>
        <w:rPr>
          <w:rFonts w:ascii="黑体" w:hAnsi="黑体" w:eastAsia="黑体"/>
          <w:sz w:val="28"/>
          <w:szCs w:val="28"/>
          <w:highlight w:val="none"/>
        </w:rPr>
      </w:pPr>
      <w:r>
        <w:rPr>
          <w:rFonts w:hint="eastAsia" w:ascii="宋体" w:hAnsi="宋体" w:eastAsia="宋体" w:cs="宋体"/>
          <w:b/>
          <w:highlight w:val="none"/>
        </w:rPr>
        <w:br w:type="page"/>
      </w:r>
      <w:bookmarkStart w:id="13" w:name="_Toc77793380"/>
      <w:bookmarkStart w:id="14" w:name="_Toc69732638"/>
      <w:bookmarkStart w:id="15" w:name="_Toc484950570"/>
      <w:bookmarkStart w:id="16" w:name="_Toc69732541"/>
      <w:r>
        <w:rPr>
          <w:rFonts w:hint="eastAsia" w:ascii="黑体" w:hAnsi="黑体" w:eastAsia="黑体"/>
          <w:sz w:val="28"/>
          <w:szCs w:val="28"/>
          <w:highlight w:val="none"/>
          <w:lang w:val="en-US" w:eastAsia="zh-CN"/>
        </w:rPr>
        <w:t>9</w:t>
      </w:r>
      <w:r>
        <w:rPr>
          <w:rFonts w:hint="eastAsia" w:ascii="宋体" w:hAnsi="宋体" w:cs="宋体"/>
          <w:b/>
          <w:highlight w:val="none"/>
          <w:lang w:val="en-US" w:eastAsia="zh-CN"/>
        </w:rPr>
        <w:t>、</w:t>
      </w:r>
      <w:bookmarkEnd w:id="13"/>
      <w:bookmarkEnd w:id="14"/>
      <w:bookmarkEnd w:id="15"/>
      <w:bookmarkEnd w:id="16"/>
      <w:r>
        <w:rPr>
          <w:rFonts w:hint="eastAsia" w:ascii="黑体" w:hAnsi="黑体" w:eastAsia="黑体"/>
          <w:sz w:val="28"/>
          <w:szCs w:val="28"/>
          <w:highlight w:val="none"/>
        </w:rPr>
        <w:t>附录1 资格审查条件（资质最低要求）</w:t>
      </w:r>
    </w:p>
    <w:tbl>
      <w:tblPr>
        <w:tblStyle w:val="43"/>
        <w:tblW w:w="95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0"/>
        <w:gridCol w:w="8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0" w:hRule="atLeast"/>
          <w:jc w:val="center"/>
        </w:trPr>
        <w:tc>
          <w:tcPr>
            <w:tcW w:w="1320" w:type="dxa"/>
            <w:vAlign w:val="center"/>
          </w:tcPr>
          <w:p>
            <w:pPr>
              <w:spacing w:line="240" w:lineRule="auto"/>
              <w:jc w:val="center"/>
              <w:rPr>
                <w:rFonts w:ascii="宋体" w:hAnsi="宋体"/>
                <w:szCs w:val="21"/>
                <w:highlight w:val="none"/>
              </w:rPr>
            </w:pPr>
            <w:r>
              <w:rPr>
                <w:rFonts w:hint="eastAsia" w:ascii="宋体" w:hAnsi="宋体"/>
                <w:szCs w:val="21"/>
                <w:highlight w:val="none"/>
              </w:rPr>
              <w:t>标段</w:t>
            </w:r>
          </w:p>
        </w:tc>
        <w:tc>
          <w:tcPr>
            <w:tcW w:w="8196" w:type="dxa"/>
            <w:vAlign w:val="center"/>
          </w:tcPr>
          <w:p>
            <w:pPr>
              <w:spacing w:line="240" w:lineRule="auto"/>
              <w:jc w:val="center"/>
              <w:rPr>
                <w:rFonts w:ascii="宋体" w:hAnsi="宋体"/>
                <w:szCs w:val="21"/>
                <w:highlight w:val="none"/>
              </w:rPr>
            </w:pPr>
            <w:r>
              <w:rPr>
                <w:rFonts w:hint="eastAsia" w:ascii="宋体" w:hAnsi="宋体"/>
                <w:szCs w:val="21"/>
                <w:highlight w:val="none"/>
              </w:rPr>
              <w:t>监理企业资质等级要求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1320" w:type="dxa"/>
            <w:vAlign w:val="center"/>
          </w:tcPr>
          <w:p>
            <w:pPr>
              <w:pStyle w:val="21"/>
              <w:spacing w:line="240" w:lineRule="auto"/>
              <w:jc w:val="center"/>
              <w:rPr>
                <w:rFonts w:hint="default" w:hAnsi="宋体" w:cs="宋体"/>
                <w:kern w:val="0"/>
                <w:highlight w:val="none"/>
                <w:lang w:val="en-US" w:bidi="zh-CN"/>
              </w:rPr>
            </w:pPr>
            <w:r>
              <w:rPr>
                <w:rFonts w:hint="eastAsia" w:hAnsi="宋体" w:cs="宋体"/>
                <w:kern w:val="0"/>
                <w:highlight w:val="none"/>
                <w:lang w:val="en-US" w:bidi="zh-CN"/>
              </w:rPr>
              <w:t>01</w:t>
            </w:r>
          </w:p>
        </w:tc>
        <w:tc>
          <w:tcPr>
            <w:tcW w:w="8196" w:type="dxa"/>
            <w:vAlign w:val="center"/>
          </w:tcPr>
          <w:p>
            <w:pPr>
              <w:pStyle w:val="21"/>
              <w:spacing w:line="240" w:lineRule="auto"/>
              <w:ind w:firstLine="420" w:firstLineChars="200"/>
              <w:jc w:val="center"/>
              <w:rPr>
                <w:rFonts w:hAnsi="宋体" w:cs="宋体"/>
                <w:kern w:val="0"/>
                <w:highlight w:val="none"/>
                <w:lang w:bidi="zh-CN"/>
              </w:rPr>
            </w:pPr>
            <w:r>
              <w:rPr>
                <w:rFonts w:hint="eastAsia" w:hAnsi="宋体" w:cs="宋体"/>
                <w:kern w:val="0"/>
                <w:highlight w:val="none"/>
                <w:lang w:bidi="zh-CN"/>
              </w:rPr>
              <w:t>具备</w:t>
            </w:r>
            <w:r>
              <w:rPr>
                <w:rFonts w:hint="eastAsia" w:hAnsi="宋体" w:cs="宋体"/>
                <w:kern w:val="0"/>
                <w:highlight w:val="none"/>
                <w:lang w:val="zh-CN" w:bidi="zh-CN"/>
              </w:rPr>
              <w:t>交通运输主管部门颁发的公路工程专业</w:t>
            </w:r>
            <w:r>
              <w:rPr>
                <w:rFonts w:hint="eastAsia" w:hAnsi="宋体" w:cs="宋体"/>
                <w:kern w:val="0"/>
                <w:highlight w:val="none"/>
                <w:lang w:val="en-US" w:bidi="zh-CN"/>
              </w:rPr>
              <w:t>乙</w:t>
            </w:r>
            <w:r>
              <w:rPr>
                <w:rFonts w:hint="eastAsia" w:hAnsi="宋体" w:cs="宋体"/>
                <w:kern w:val="0"/>
                <w:highlight w:val="none"/>
                <w:lang w:val="zh-CN" w:bidi="zh-CN"/>
              </w:rPr>
              <w:t>级及以上监理资质证书</w:t>
            </w:r>
            <w:r>
              <w:rPr>
                <w:rFonts w:hint="eastAsia" w:hAnsi="宋体" w:cs="宋体"/>
                <w:kern w:val="0"/>
                <w:highlight w:val="none"/>
                <w:lang w:bidi="zh-CN"/>
              </w:rPr>
              <w:t>。</w:t>
            </w:r>
          </w:p>
        </w:tc>
      </w:tr>
    </w:tbl>
    <w:p>
      <w:pPr>
        <w:spacing w:before="100" w:beforeAutospacing="1" w:line="240" w:lineRule="auto"/>
        <w:jc w:val="center"/>
        <w:rPr>
          <w:rFonts w:ascii="黑体" w:hAnsi="黑体" w:eastAsia="黑体"/>
          <w:sz w:val="28"/>
          <w:szCs w:val="28"/>
          <w:highlight w:val="none"/>
        </w:rPr>
      </w:pPr>
      <w:r>
        <w:rPr>
          <w:rFonts w:hint="eastAsia" w:ascii="黑体" w:hAnsi="黑体" w:eastAsia="黑体"/>
          <w:sz w:val="28"/>
          <w:szCs w:val="28"/>
          <w:highlight w:val="none"/>
        </w:rPr>
        <w:t>附录2资格审查条件（业绩最低要求）</w:t>
      </w:r>
    </w:p>
    <w:tbl>
      <w:tblPr>
        <w:tblStyle w:val="43"/>
        <w:tblW w:w="94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7"/>
        <w:gridCol w:w="81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1347" w:type="dxa"/>
            <w:vAlign w:val="center"/>
          </w:tcPr>
          <w:p>
            <w:pPr>
              <w:spacing w:line="240" w:lineRule="auto"/>
              <w:jc w:val="center"/>
              <w:rPr>
                <w:sz w:val="28"/>
                <w:szCs w:val="28"/>
                <w:highlight w:val="none"/>
              </w:rPr>
            </w:pPr>
            <w:r>
              <w:rPr>
                <w:rFonts w:hint="eastAsia" w:ascii="宋体" w:hAnsi="宋体"/>
                <w:szCs w:val="21"/>
                <w:highlight w:val="none"/>
              </w:rPr>
              <w:t>标段</w:t>
            </w:r>
          </w:p>
        </w:tc>
        <w:tc>
          <w:tcPr>
            <w:tcW w:w="8132" w:type="dxa"/>
            <w:vAlign w:val="center"/>
          </w:tcPr>
          <w:p>
            <w:pPr>
              <w:spacing w:line="240" w:lineRule="auto"/>
              <w:jc w:val="center"/>
              <w:rPr>
                <w:sz w:val="28"/>
                <w:szCs w:val="28"/>
                <w:highlight w:val="none"/>
              </w:rPr>
            </w:pPr>
            <w:r>
              <w:rPr>
                <w:rFonts w:hint="eastAsia"/>
                <w:szCs w:val="21"/>
                <w:highlight w:val="none"/>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1347" w:type="dxa"/>
            <w:vAlign w:val="center"/>
          </w:tcPr>
          <w:p>
            <w:pPr>
              <w:pStyle w:val="21"/>
              <w:spacing w:line="240" w:lineRule="auto"/>
              <w:jc w:val="center"/>
              <w:rPr>
                <w:rFonts w:hint="default" w:hAnsi="宋体" w:cs="宋体"/>
                <w:kern w:val="0"/>
                <w:highlight w:val="none"/>
                <w:lang w:val="en-US" w:bidi="zh-CN"/>
              </w:rPr>
            </w:pPr>
            <w:r>
              <w:rPr>
                <w:rFonts w:hint="eastAsia" w:hAnsi="宋体" w:cs="宋体"/>
                <w:kern w:val="0"/>
                <w:highlight w:val="none"/>
                <w:lang w:val="en-US" w:bidi="zh-CN"/>
              </w:rPr>
              <w:t>01</w:t>
            </w:r>
          </w:p>
        </w:tc>
        <w:tc>
          <w:tcPr>
            <w:tcW w:w="8132" w:type="dxa"/>
            <w:vAlign w:val="center"/>
          </w:tcPr>
          <w:p>
            <w:pPr>
              <w:pStyle w:val="21"/>
              <w:spacing w:line="240" w:lineRule="auto"/>
              <w:ind w:firstLine="420" w:firstLineChars="200"/>
              <w:jc w:val="center"/>
              <w:rPr>
                <w:rFonts w:hAnsi="宋体" w:cs="宋体"/>
                <w:kern w:val="0"/>
                <w:highlight w:val="none"/>
                <w:lang w:bidi="zh-CN"/>
              </w:rPr>
            </w:pPr>
            <w:r>
              <w:rPr>
                <w:rFonts w:hint="eastAsia"/>
                <w:highlight w:val="none"/>
              </w:rPr>
              <w:t>近</w:t>
            </w:r>
            <w:r>
              <w:rPr>
                <w:rFonts w:hint="eastAsia"/>
                <w:highlight w:val="none"/>
                <w:lang w:val="en-US" w:eastAsia="zh-CN"/>
              </w:rPr>
              <w:t>五</w:t>
            </w:r>
            <w:r>
              <w:rPr>
                <w:rFonts w:hint="eastAsia"/>
                <w:highlight w:val="none"/>
              </w:rPr>
              <w:t>年（201</w:t>
            </w:r>
            <w:r>
              <w:rPr>
                <w:rFonts w:hint="eastAsia"/>
                <w:highlight w:val="none"/>
                <w:lang w:val="en-US" w:eastAsia="zh-CN"/>
              </w:rPr>
              <w:t>6</w:t>
            </w:r>
            <w:r>
              <w:rPr>
                <w:rFonts w:hint="eastAsia"/>
                <w:highlight w:val="none"/>
              </w:rPr>
              <w:t>年1月1日</w:t>
            </w:r>
            <w:r>
              <w:rPr>
                <w:rFonts w:hint="eastAsia"/>
                <w:highlight w:val="none"/>
                <w:lang w:val="en-US" w:eastAsia="zh-CN"/>
              </w:rPr>
              <w:t>至今</w:t>
            </w:r>
            <w:r>
              <w:rPr>
                <w:rFonts w:hint="eastAsia"/>
                <w:highlight w:val="none"/>
              </w:rPr>
              <w:t>）具有一项</w:t>
            </w:r>
            <w:r>
              <w:rPr>
                <w:rFonts w:hint="eastAsia"/>
                <w:highlight w:val="none"/>
                <w:lang w:val="en-US" w:eastAsia="zh-CN"/>
              </w:rPr>
              <w:t>二</w:t>
            </w:r>
            <w:r>
              <w:rPr>
                <w:rFonts w:hint="eastAsia"/>
                <w:highlight w:val="none"/>
              </w:rPr>
              <w:t>级及以上公路工程施工监理业绩</w:t>
            </w:r>
          </w:p>
        </w:tc>
      </w:tr>
    </w:tbl>
    <w:p>
      <w:pPr>
        <w:spacing w:before="100" w:beforeAutospacing="1" w:line="240" w:lineRule="auto"/>
        <w:jc w:val="center"/>
        <w:rPr>
          <w:rFonts w:ascii="黑体" w:hAnsi="黑体" w:eastAsia="黑体"/>
          <w:sz w:val="28"/>
          <w:szCs w:val="28"/>
          <w:highlight w:val="none"/>
        </w:rPr>
      </w:pPr>
      <w:r>
        <w:rPr>
          <w:rFonts w:hint="eastAsia" w:ascii="黑体" w:hAnsi="黑体" w:eastAsia="黑体"/>
          <w:sz w:val="28"/>
          <w:szCs w:val="28"/>
          <w:highlight w:val="none"/>
        </w:rPr>
        <w:t>附录3 资格审查条件（信誉最低要求）</w:t>
      </w:r>
    </w:p>
    <w:tbl>
      <w:tblPr>
        <w:tblStyle w:val="43"/>
        <w:tblW w:w="9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9540" w:type="dxa"/>
            <w:vAlign w:val="center"/>
          </w:tcPr>
          <w:p>
            <w:pPr>
              <w:spacing w:line="240" w:lineRule="auto"/>
              <w:jc w:val="center"/>
              <w:rPr>
                <w:szCs w:val="21"/>
                <w:highlight w:val="none"/>
              </w:rPr>
            </w:pPr>
            <w:r>
              <w:rPr>
                <w:rFonts w:hint="eastAsia"/>
                <w:szCs w:val="21"/>
                <w:highlight w:val="none"/>
              </w:rPr>
              <w:t>信誉要求</w:t>
            </w:r>
            <w:r>
              <w:rPr>
                <w:rStyle w:val="53"/>
                <w:rFonts w:hint="eastAsia"/>
                <w:szCs w:val="21"/>
                <w:highlight w:val="none"/>
              </w:rPr>
              <w:footnoteReference w:id="2"/>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8" w:hRule="atLeast"/>
          <w:jc w:val="center"/>
        </w:trPr>
        <w:tc>
          <w:tcPr>
            <w:tcW w:w="9540" w:type="dxa"/>
            <w:vAlign w:val="center"/>
          </w:tcPr>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投标人不得存在下列不良状况或不良信用记录：</w:t>
            </w:r>
          </w:p>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（1）被省级及以上交通运输主管部门取消招标项目所在地的投标资格且处于有效期内；</w:t>
            </w:r>
          </w:p>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（2）被责令停业，暂扣或吊销执照，或吊销资质证书；</w:t>
            </w:r>
          </w:p>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（3）进入清算程序，或被宣告破产，或其他丧失履约能力的情形；</w:t>
            </w:r>
          </w:p>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（4）在国家企业信用信息公示系统（http://www.gsxt.gov.cn/）中被列入严重违法失信企业名单；</w:t>
            </w:r>
          </w:p>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（5）在“信用中国”网站（http://www.creditchina.gov.cn/）中被列入失信被执行人名单；</w:t>
            </w:r>
          </w:p>
          <w:p>
            <w:pPr>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（6）对投标人单位和个人（指法定代表人、拟投入的项目经理）进行行贿犯罪档案查询，投标人（包括单位或者个人）没有行贿犯罪行为的，注：在中国裁判文书网查询；</w:t>
            </w:r>
          </w:p>
          <w:p>
            <w:pPr>
              <w:tabs>
                <w:tab w:val="left" w:pos="339"/>
                <w:tab w:val="left" w:pos="721"/>
              </w:tabs>
              <w:adjustRightInd w:val="0"/>
              <w:snapToGrid w:val="0"/>
              <w:spacing w:before="36" w:beforeLines="15" w:after="36" w:afterLines="15" w:line="240" w:lineRule="auto"/>
              <w:ind w:left="10" w:leftChars="5" w:firstLine="427"/>
              <w:rPr>
                <w:rFonts w:ascii="Calibri" w:hAnsi="Calibri"/>
                <w:szCs w:val="21"/>
                <w:highlight w:val="none"/>
              </w:rPr>
            </w:pPr>
            <w:r>
              <w:rPr>
                <w:rFonts w:hint="eastAsia" w:ascii="宋体" w:hAnsi="宋体" w:cs="宋体"/>
                <w:szCs w:val="21"/>
                <w:highlight w:val="none"/>
              </w:rPr>
              <w:t>（7）法律法规或投标人须知前附表规定的其他情形。</w:t>
            </w:r>
          </w:p>
        </w:tc>
      </w:tr>
    </w:tbl>
    <w:p>
      <w:pPr>
        <w:spacing w:before="100" w:beforeAutospacing="1" w:line="240" w:lineRule="auto"/>
        <w:jc w:val="center"/>
        <w:rPr>
          <w:rFonts w:ascii="黑体" w:hAnsi="黑体" w:eastAsia="黑体"/>
          <w:sz w:val="28"/>
          <w:szCs w:val="28"/>
          <w:highlight w:val="none"/>
        </w:rPr>
      </w:pPr>
      <w:bookmarkStart w:id="17" w:name="_Toc411418983"/>
      <w:r>
        <w:rPr>
          <w:rFonts w:hint="eastAsia" w:ascii="黑体" w:hAnsi="黑体" w:eastAsia="黑体"/>
          <w:sz w:val="28"/>
          <w:szCs w:val="28"/>
          <w:highlight w:val="none"/>
        </w:rPr>
        <w:t>附录4 资格审查条件（总监理工程师最低要求）</w:t>
      </w:r>
      <w:bookmarkEnd w:id="17"/>
    </w:p>
    <w:tbl>
      <w:tblPr>
        <w:tblStyle w:val="43"/>
        <w:tblW w:w="9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1229"/>
        <w:gridCol w:w="5284"/>
        <w:gridCol w:w="18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2" w:hRule="atLeast"/>
          <w:jc w:val="center"/>
        </w:trPr>
        <w:tc>
          <w:tcPr>
            <w:tcW w:w="1260" w:type="dxa"/>
            <w:vAlign w:val="center"/>
          </w:tcPr>
          <w:p>
            <w:pPr>
              <w:spacing w:line="240" w:lineRule="auto"/>
              <w:jc w:val="center"/>
              <w:rPr>
                <w:rFonts w:ascii="宋体" w:hAnsi="宋体"/>
                <w:szCs w:val="21"/>
                <w:highlight w:val="none"/>
              </w:rPr>
            </w:pPr>
            <w:r>
              <w:rPr>
                <w:rFonts w:hint="eastAsia" w:ascii="宋体" w:hAnsi="宋体"/>
                <w:szCs w:val="21"/>
                <w:highlight w:val="none"/>
              </w:rPr>
              <w:t>人员</w:t>
            </w:r>
          </w:p>
        </w:tc>
        <w:tc>
          <w:tcPr>
            <w:tcW w:w="1229" w:type="dxa"/>
            <w:vAlign w:val="center"/>
          </w:tcPr>
          <w:p>
            <w:pPr>
              <w:spacing w:line="240" w:lineRule="auto"/>
              <w:jc w:val="center"/>
              <w:rPr>
                <w:rFonts w:hAnsi="宋体"/>
                <w:szCs w:val="21"/>
                <w:highlight w:val="none"/>
              </w:rPr>
            </w:pPr>
            <w:r>
              <w:rPr>
                <w:rFonts w:hint="eastAsia" w:hAnsi="宋体"/>
                <w:szCs w:val="21"/>
                <w:highlight w:val="none"/>
              </w:rPr>
              <w:t>数量（人）</w:t>
            </w:r>
          </w:p>
        </w:tc>
        <w:tc>
          <w:tcPr>
            <w:tcW w:w="5284" w:type="dxa"/>
            <w:vAlign w:val="center"/>
          </w:tcPr>
          <w:p>
            <w:pPr>
              <w:widowControl/>
              <w:spacing w:line="240" w:lineRule="auto"/>
              <w:jc w:val="center"/>
              <w:rPr>
                <w:rFonts w:ascii="宋体" w:hAnsi="宋体"/>
                <w:szCs w:val="21"/>
                <w:highlight w:val="none"/>
              </w:rPr>
            </w:pPr>
            <w:r>
              <w:rPr>
                <w:rFonts w:hint="eastAsia" w:ascii="宋体" w:hAnsi="宋体"/>
                <w:szCs w:val="21"/>
                <w:highlight w:val="none"/>
              </w:rPr>
              <w:t>资格要求</w:t>
            </w:r>
          </w:p>
        </w:tc>
        <w:tc>
          <w:tcPr>
            <w:tcW w:w="1826" w:type="dxa"/>
            <w:vAlign w:val="center"/>
          </w:tcPr>
          <w:p>
            <w:pPr>
              <w:widowControl/>
              <w:spacing w:line="240" w:lineRule="auto"/>
              <w:jc w:val="center"/>
              <w:rPr>
                <w:rFonts w:ascii="宋体" w:hAnsi="宋体"/>
                <w:szCs w:val="21"/>
                <w:highlight w:val="none"/>
              </w:rPr>
            </w:pPr>
            <w:r>
              <w:rPr>
                <w:rFonts w:ascii="宋体" w:hAnsi="宋体"/>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5" w:hRule="atLeast"/>
          <w:jc w:val="center"/>
        </w:trPr>
        <w:tc>
          <w:tcPr>
            <w:tcW w:w="1260" w:type="dxa"/>
            <w:vAlign w:val="center"/>
          </w:tcPr>
          <w:p>
            <w:pPr>
              <w:spacing w:line="240" w:lineRule="auto"/>
              <w:jc w:val="center"/>
              <w:rPr>
                <w:szCs w:val="21"/>
                <w:highlight w:val="none"/>
              </w:rPr>
            </w:pPr>
            <w:r>
              <w:rPr>
                <w:rFonts w:hint="eastAsia"/>
                <w:szCs w:val="21"/>
                <w:highlight w:val="none"/>
              </w:rPr>
              <w:t>总监理</w:t>
            </w:r>
          </w:p>
          <w:p>
            <w:pPr>
              <w:spacing w:line="240" w:lineRule="auto"/>
              <w:jc w:val="center"/>
              <w:rPr>
                <w:szCs w:val="21"/>
                <w:highlight w:val="none"/>
              </w:rPr>
            </w:pPr>
            <w:r>
              <w:rPr>
                <w:rFonts w:hint="eastAsia"/>
                <w:szCs w:val="21"/>
                <w:highlight w:val="none"/>
              </w:rPr>
              <w:t>工程师</w:t>
            </w:r>
          </w:p>
        </w:tc>
        <w:tc>
          <w:tcPr>
            <w:tcW w:w="1229" w:type="dxa"/>
            <w:vAlign w:val="center"/>
          </w:tcPr>
          <w:p>
            <w:pPr>
              <w:spacing w:line="240" w:lineRule="auto"/>
              <w:jc w:val="center"/>
              <w:rPr>
                <w:rFonts w:hAnsi="宋体"/>
                <w:szCs w:val="21"/>
                <w:highlight w:val="none"/>
              </w:rPr>
            </w:pPr>
            <w:r>
              <w:rPr>
                <w:rFonts w:hint="eastAsia" w:hAnsi="宋体"/>
                <w:szCs w:val="21"/>
                <w:highlight w:val="none"/>
              </w:rPr>
              <w:t>1</w:t>
            </w:r>
          </w:p>
        </w:tc>
        <w:tc>
          <w:tcPr>
            <w:tcW w:w="5284" w:type="dxa"/>
            <w:vAlign w:val="center"/>
          </w:tcPr>
          <w:p>
            <w:pPr>
              <w:widowControl/>
              <w:numPr>
                <w:ilvl w:val="0"/>
                <w:numId w:val="0"/>
              </w:numPr>
              <w:tabs>
                <w:tab w:val="left" w:pos="624"/>
                <w:tab w:val="left" w:pos="909"/>
              </w:tabs>
              <w:spacing w:before="36" w:beforeLines="15" w:after="36" w:afterLines="15" w:line="240" w:lineRule="auto"/>
              <w:jc w:val="left"/>
              <w:rPr>
                <w:rFonts w:hint="eastAsia"/>
                <w:bCs/>
                <w:szCs w:val="21"/>
                <w:highlight w:val="none"/>
              </w:rPr>
            </w:pPr>
            <w:r>
              <w:rPr>
                <w:rFonts w:hint="eastAsia"/>
                <w:bCs/>
                <w:szCs w:val="21"/>
                <w:highlight w:val="none"/>
              </w:rPr>
              <w:t>（1）投标人自有人员；</w:t>
            </w:r>
          </w:p>
          <w:p>
            <w:pPr>
              <w:widowControl/>
              <w:numPr>
                <w:ilvl w:val="0"/>
                <w:numId w:val="0"/>
              </w:numPr>
              <w:tabs>
                <w:tab w:val="left" w:pos="624"/>
                <w:tab w:val="left" w:pos="909"/>
              </w:tabs>
              <w:spacing w:before="36" w:beforeLines="15" w:after="36" w:afterLines="15" w:line="240" w:lineRule="auto"/>
              <w:jc w:val="left"/>
              <w:rPr>
                <w:rFonts w:hint="eastAsia"/>
                <w:bCs/>
                <w:szCs w:val="21"/>
                <w:highlight w:val="none"/>
              </w:rPr>
            </w:pPr>
            <w:r>
              <w:rPr>
                <w:rFonts w:hint="eastAsia"/>
                <w:bCs/>
                <w:szCs w:val="21"/>
                <w:highlight w:val="none"/>
              </w:rPr>
              <w:t>（2）</w:t>
            </w:r>
            <w:r>
              <w:rPr>
                <w:bCs/>
                <w:szCs w:val="21"/>
                <w:highlight w:val="none"/>
              </w:rPr>
              <w:t>具有</w:t>
            </w:r>
            <w:r>
              <w:rPr>
                <w:rFonts w:hint="eastAsia"/>
                <w:bCs/>
                <w:szCs w:val="21"/>
                <w:highlight w:val="none"/>
              </w:rPr>
              <w:t>公路</w:t>
            </w:r>
            <w:r>
              <w:rPr>
                <w:bCs/>
                <w:szCs w:val="21"/>
                <w:highlight w:val="none"/>
              </w:rPr>
              <w:t>相关专业</w:t>
            </w:r>
            <w:r>
              <w:rPr>
                <w:rFonts w:hint="eastAsia"/>
                <w:bCs/>
                <w:szCs w:val="21"/>
                <w:highlight w:val="none"/>
              </w:rPr>
              <w:t>高级工程师职称；</w:t>
            </w:r>
          </w:p>
          <w:p>
            <w:pPr>
              <w:widowControl/>
              <w:numPr>
                <w:ilvl w:val="0"/>
                <w:numId w:val="0"/>
              </w:numPr>
              <w:tabs>
                <w:tab w:val="left" w:pos="624"/>
                <w:tab w:val="left" w:pos="909"/>
              </w:tabs>
              <w:spacing w:before="36" w:beforeLines="15" w:after="36" w:afterLines="15" w:line="240" w:lineRule="auto"/>
              <w:jc w:val="left"/>
              <w:rPr>
                <w:rFonts w:hint="eastAsia"/>
                <w:bCs/>
                <w:szCs w:val="21"/>
                <w:highlight w:val="none"/>
              </w:rPr>
            </w:pPr>
            <w:r>
              <w:rPr>
                <w:rFonts w:hint="eastAsia"/>
                <w:bCs/>
                <w:szCs w:val="21"/>
                <w:highlight w:val="none"/>
              </w:rPr>
              <w:t>（3）具有交通运输部颁发的公路工程 《监理工程师资格证书》（道路与桥梁专业）。</w:t>
            </w:r>
          </w:p>
          <w:p>
            <w:pPr>
              <w:widowControl/>
              <w:numPr>
                <w:ilvl w:val="0"/>
                <w:numId w:val="0"/>
              </w:numPr>
              <w:tabs>
                <w:tab w:val="left" w:pos="624"/>
                <w:tab w:val="left" w:pos="909"/>
              </w:tabs>
              <w:spacing w:before="36" w:beforeLines="15" w:after="36" w:afterLines="15" w:line="240" w:lineRule="auto"/>
              <w:jc w:val="left"/>
              <w:rPr>
                <w:rFonts w:hint="eastAsia" w:eastAsia="宋体"/>
                <w:bCs/>
                <w:szCs w:val="21"/>
                <w:highlight w:val="none"/>
                <w:lang w:eastAsia="zh-CN"/>
              </w:rPr>
            </w:pPr>
            <w:r>
              <w:rPr>
                <w:rFonts w:hint="eastAsia"/>
                <w:bCs/>
                <w:szCs w:val="21"/>
                <w:highlight w:val="none"/>
                <w:lang w:eastAsia="zh-CN"/>
              </w:rPr>
              <w:t>（</w:t>
            </w:r>
            <w:r>
              <w:rPr>
                <w:rFonts w:hint="eastAsia"/>
                <w:bCs/>
                <w:szCs w:val="21"/>
                <w:highlight w:val="none"/>
                <w:lang w:val="en-US" w:eastAsia="zh-CN"/>
              </w:rPr>
              <w:t>4）具有</w:t>
            </w:r>
            <w:r>
              <w:rPr>
                <w:rFonts w:hint="eastAsia"/>
                <w:bCs/>
                <w:szCs w:val="21"/>
                <w:highlight w:val="none"/>
              </w:rPr>
              <w:t>一项以总监理工程师身份完成的</w:t>
            </w:r>
            <w:r>
              <w:rPr>
                <w:rFonts w:hint="eastAsia"/>
                <w:bCs/>
                <w:szCs w:val="21"/>
                <w:highlight w:val="none"/>
                <w:lang w:val="en-US" w:eastAsia="zh-CN"/>
              </w:rPr>
              <w:t>二</w:t>
            </w:r>
            <w:r>
              <w:rPr>
                <w:rFonts w:hint="eastAsia"/>
                <w:bCs/>
                <w:szCs w:val="21"/>
                <w:highlight w:val="none"/>
              </w:rPr>
              <w:t>级及以上公路工程项目监理业绩</w:t>
            </w:r>
            <w:r>
              <w:rPr>
                <w:rFonts w:hint="eastAsia"/>
                <w:bCs/>
                <w:szCs w:val="21"/>
                <w:highlight w:val="none"/>
                <w:lang w:eastAsia="zh-CN"/>
              </w:rPr>
              <w:t>。</w:t>
            </w:r>
          </w:p>
        </w:tc>
        <w:tc>
          <w:tcPr>
            <w:tcW w:w="1826" w:type="dxa"/>
            <w:vAlign w:val="center"/>
          </w:tcPr>
          <w:p>
            <w:pPr>
              <w:widowControl/>
              <w:spacing w:before="36" w:beforeLines="15" w:after="36" w:afterLines="15" w:line="240" w:lineRule="auto"/>
              <w:jc w:val="left"/>
              <w:rPr>
                <w:bCs/>
                <w:szCs w:val="21"/>
                <w:highlight w:val="none"/>
              </w:rPr>
            </w:pPr>
            <w:r>
              <w:rPr>
                <w:bCs/>
                <w:szCs w:val="21"/>
                <w:highlight w:val="none"/>
              </w:rPr>
              <w:t>无在岗项目</w:t>
            </w:r>
            <w:r>
              <w:rPr>
                <w:rFonts w:hint="eastAsia"/>
                <w:bCs/>
                <w:szCs w:val="21"/>
                <w:highlight w:val="none"/>
              </w:rPr>
              <w:t>（指目前未在其他项目上任职，或虽在其他项目上任职但本项目中标后能够从该项目撤离）</w:t>
            </w:r>
          </w:p>
        </w:tc>
      </w:tr>
    </w:tbl>
    <w:p>
      <w:pPr>
        <w:pageBreakBefore w:val="0"/>
        <w:kinsoku/>
        <w:wordWrap/>
        <w:overflowPunct/>
        <w:topLinePunct w:val="0"/>
        <w:bidi w:val="0"/>
        <w:adjustRightInd w:val="0"/>
        <w:snapToGrid w:val="0"/>
        <w:spacing w:beforeAutospacing="0" w:afterAutospacing="0" w:line="240" w:lineRule="auto"/>
        <w:ind w:left="0" w:leftChars="0" w:right="0"/>
        <w:jc w:val="left"/>
        <w:textAlignment w:val="auto"/>
        <w:rPr>
          <w:rFonts w:hint="eastAsia" w:ascii="宋体" w:hAnsi="宋体" w:eastAsia="宋体" w:cs="宋体"/>
          <w:b w:val="0"/>
          <w:bCs/>
          <w:sz w:val="24"/>
          <w:szCs w:val="24"/>
          <w:highlight w:val="none"/>
          <w:lang w:val="en-US" w:eastAsia="zh-CN"/>
        </w:rPr>
        <w:sectPr>
          <w:footerReference r:id="rId4" w:type="default"/>
          <w:footnotePr>
            <w:numFmt w:val="decimalEnclosedCircleChinese"/>
            <w:numRestart w:val="eachPage"/>
          </w:footnotePr>
          <w:pgSz w:w="11900" w:h="16840"/>
          <w:pgMar w:top="1134" w:right="1418" w:bottom="1134" w:left="1418" w:header="851" w:footer="851" w:gutter="0"/>
          <w:cols w:space="720" w:num="1"/>
          <w:docGrid w:linePitch="286" w:charSpace="0"/>
        </w:sectPr>
      </w:pPr>
    </w:p>
    <w:p>
      <w:pPr>
        <w:pageBreakBefore w:val="0"/>
        <w:kinsoku/>
        <w:wordWrap/>
        <w:overflowPunct/>
        <w:topLinePunct w:val="0"/>
        <w:bidi w:val="0"/>
        <w:adjustRightInd w:val="0"/>
        <w:snapToGrid w:val="0"/>
        <w:spacing w:beforeAutospacing="0" w:afterAutospacing="0" w:line="240" w:lineRule="auto"/>
        <w:ind w:left="0" w:leftChars="0" w:right="0"/>
        <w:jc w:val="left"/>
        <w:textAlignment w:val="auto"/>
        <w:rPr>
          <w:rFonts w:hint="eastAsia" w:ascii="宋体" w:hAnsi="宋体" w:eastAsia="宋体" w:cs="宋体"/>
          <w:b w:val="0"/>
          <w:bCs/>
          <w:highlight w:val="none"/>
        </w:rPr>
      </w:pP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rPr>
        <w:t>、</w:t>
      </w:r>
      <w:bookmarkStart w:id="18" w:name="_Toc10029"/>
      <w:bookmarkStart w:id="19" w:name="_Toc197950807"/>
      <w:bookmarkStart w:id="20" w:name="_Toc197965612"/>
      <w:bookmarkStart w:id="21" w:name="_Toc197967128"/>
      <w:bookmarkStart w:id="22" w:name="_Toc197960497"/>
      <w:bookmarkStart w:id="23" w:name="_Toc197950686"/>
      <w:bookmarkStart w:id="24" w:name="_Toc197960549"/>
      <w:bookmarkStart w:id="25" w:name="_Toc197967274"/>
      <w:bookmarkStart w:id="26" w:name="_Toc197951592"/>
      <w:r>
        <w:rPr>
          <w:rFonts w:hint="eastAsia" w:ascii="宋体" w:hAnsi="宋体" w:eastAsia="宋体" w:cs="宋体"/>
          <w:b w:val="0"/>
          <w:bCs/>
          <w:highlight w:val="none"/>
        </w:rPr>
        <w:t>评标办法（</w:t>
      </w:r>
      <w:r>
        <w:rPr>
          <w:rFonts w:hint="eastAsia" w:ascii="宋体" w:hAnsi="宋体" w:cs="宋体"/>
          <w:b w:val="0"/>
          <w:bCs/>
          <w:highlight w:val="none"/>
          <w:lang w:val="en-US" w:eastAsia="zh-CN"/>
        </w:rPr>
        <w:t>综合评估法</w:t>
      </w:r>
      <w:r>
        <w:rPr>
          <w:rFonts w:hint="eastAsia" w:ascii="宋体" w:hAnsi="宋体" w:eastAsia="宋体" w:cs="宋体"/>
          <w:b w:val="0"/>
          <w:bCs/>
          <w:highlight w:val="none"/>
        </w:rPr>
        <w:t>）</w:t>
      </w:r>
      <w:bookmarkEnd w:id="18"/>
    </w:p>
    <w:bookmarkEnd w:id="19"/>
    <w:bookmarkEnd w:id="20"/>
    <w:bookmarkEnd w:id="21"/>
    <w:bookmarkEnd w:id="22"/>
    <w:bookmarkEnd w:id="23"/>
    <w:bookmarkEnd w:id="24"/>
    <w:bookmarkEnd w:id="25"/>
    <w:bookmarkEnd w:id="26"/>
    <w:p>
      <w:pPr>
        <w:spacing w:line="240" w:lineRule="auto"/>
        <w:outlineLvl w:val="1"/>
        <w:rPr>
          <w:rFonts w:ascii="黑体" w:hAnsi="黑体" w:eastAsia="黑体"/>
          <w:sz w:val="30"/>
          <w:szCs w:val="30"/>
          <w:highlight w:val="none"/>
        </w:rPr>
      </w:pPr>
      <w:bookmarkStart w:id="27" w:name="_Toc17346"/>
      <w:r>
        <w:rPr>
          <w:rFonts w:hint="eastAsia" w:ascii="黑体" w:hAnsi="黑体" w:eastAsia="黑体"/>
          <w:sz w:val="30"/>
          <w:szCs w:val="30"/>
          <w:highlight w:val="none"/>
        </w:rPr>
        <w:t>评标办法前附表</w:t>
      </w:r>
      <w:r>
        <w:rPr>
          <w:rStyle w:val="53"/>
          <w:rFonts w:ascii="黑体" w:hAnsi="黑体" w:eastAsia="黑体"/>
          <w:sz w:val="30"/>
          <w:szCs w:val="30"/>
          <w:highlight w:val="none"/>
        </w:rPr>
        <w:footnoteReference w:id="3"/>
      </w:r>
      <w:bookmarkEnd w:id="27"/>
    </w:p>
    <w:tbl>
      <w:tblPr>
        <w:tblStyle w:val="4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19"/>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7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Cs w:val="21"/>
                <w:highlight w:val="none"/>
              </w:rPr>
            </w:pPr>
            <w:r>
              <w:rPr>
                <w:rStyle w:val="399"/>
                <w:rFonts w:ascii="宋体" w:hAnsi="宋体" w:eastAsia="宋体"/>
                <w:b/>
                <w:sz w:val="21"/>
                <w:szCs w:val="21"/>
                <w:highlight w:val="none"/>
              </w:rPr>
              <w:t>条款号</w:t>
            </w:r>
          </w:p>
        </w:tc>
        <w:tc>
          <w:tcPr>
            <w:tcW w:w="72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Cs w:val="21"/>
                <w:highlight w:val="none"/>
              </w:rPr>
            </w:pPr>
            <w:r>
              <w:rPr>
                <w:rStyle w:val="399"/>
                <w:rFonts w:ascii="宋体" w:hAnsi="宋体" w:eastAsia="宋体"/>
                <w:b/>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rPr>
            </w:pPr>
            <w:r>
              <w:rPr>
                <w:rFonts w:hint="eastAsia" w:ascii="宋体" w:hAnsi="宋体"/>
                <w:szCs w:val="21"/>
                <w:highlight w:val="none"/>
              </w:rPr>
              <w:t>1</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rPr>
            </w:pPr>
            <w:r>
              <w:rPr>
                <w:rFonts w:ascii="宋体" w:hAnsi="宋体"/>
                <w:szCs w:val="21"/>
                <w:highlight w:val="none"/>
                <w:lang w:bidi="zh-TW"/>
              </w:rPr>
              <w:t>评标方法</w:t>
            </w:r>
          </w:p>
        </w:tc>
        <w:tc>
          <w:tcPr>
            <w:tcW w:w="7222" w:type="dxa"/>
          </w:tcPr>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315" w:firstLineChars="150"/>
              <w:textAlignment w:val="auto"/>
              <w:rPr>
                <w:rFonts w:hint="eastAsia" w:ascii="宋体" w:hAnsi="宋体"/>
                <w:szCs w:val="21"/>
                <w:highlight w:val="none"/>
              </w:rPr>
            </w:pPr>
            <w:r>
              <w:rPr>
                <w:rFonts w:hint="eastAsia" w:ascii="宋体" w:hAnsi="宋体"/>
                <w:szCs w:val="21"/>
                <w:highlight w:val="none"/>
              </w:rPr>
              <w:t>综合评分相等时，评标委员会依次按照以下优先顺序推荐中标候选人：</w:t>
            </w:r>
          </w:p>
          <w:p>
            <w:pPr>
              <w:keepNext w:val="0"/>
              <w:keepLines w:val="0"/>
              <w:pageBreakBefore w:val="0"/>
              <w:widowControl w:val="0"/>
              <w:kinsoku/>
              <w:wordWrap/>
              <w:overflowPunct/>
              <w:topLinePunct w:val="0"/>
              <w:autoSpaceDE/>
              <w:autoSpaceDN/>
              <w:bidi w:val="0"/>
              <w:adjustRightInd/>
              <w:snapToGrid w:val="0"/>
              <w:spacing w:line="240" w:lineRule="auto"/>
              <w:ind w:left="113" w:right="113" w:firstLine="210" w:firstLineChars="100"/>
              <w:textAlignment w:val="auto"/>
              <w:rPr>
                <w:rFonts w:hint="eastAsia" w:ascii="宋体" w:hAnsi="宋体"/>
                <w:szCs w:val="21"/>
                <w:highlight w:val="none"/>
              </w:rPr>
            </w:pPr>
            <w:r>
              <w:rPr>
                <w:rFonts w:hint="eastAsia" w:ascii="宋体" w:hAnsi="宋体"/>
                <w:szCs w:val="21"/>
                <w:highlight w:val="none"/>
              </w:rPr>
              <w:t>（1）评标价低的投标人优先；</w:t>
            </w:r>
          </w:p>
          <w:p>
            <w:pPr>
              <w:keepNext w:val="0"/>
              <w:keepLines w:val="0"/>
              <w:pageBreakBefore w:val="0"/>
              <w:widowControl w:val="0"/>
              <w:kinsoku/>
              <w:wordWrap/>
              <w:overflowPunct/>
              <w:topLinePunct w:val="0"/>
              <w:autoSpaceDE/>
              <w:autoSpaceDN/>
              <w:bidi w:val="0"/>
              <w:adjustRightInd/>
              <w:snapToGrid w:val="0"/>
              <w:spacing w:line="240" w:lineRule="auto"/>
              <w:ind w:left="113" w:right="113" w:firstLine="210" w:firstLineChars="100"/>
              <w:textAlignment w:val="auto"/>
              <w:rPr>
                <w:rFonts w:hint="eastAsia" w:ascii="宋体" w:hAnsi="宋体"/>
                <w:szCs w:val="21"/>
                <w:highlight w:val="none"/>
              </w:rPr>
            </w:pPr>
            <w:r>
              <w:rPr>
                <w:rFonts w:hint="eastAsia" w:ascii="宋体" w:hAnsi="宋体"/>
                <w:szCs w:val="21"/>
                <w:highlight w:val="none"/>
              </w:rPr>
              <w:t>（2）信用等级高的投标人优先；</w:t>
            </w:r>
          </w:p>
          <w:p>
            <w:pPr>
              <w:keepNext w:val="0"/>
              <w:keepLines w:val="0"/>
              <w:pageBreakBefore w:val="0"/>
              <w:widowControl w:val="0"/>
              <w:kinsoku/>
              <w:wordWrap/>
              <w:overflowPunct/>
              <w:topLinePunct w:val="0"/>
              <w:autoSpaceDE/>
              <w:autoSpaceDN/>
              <w:bidi w:val="0"/>
              <w:adjustRightInd/>
              <w:snapToGrid w:val="0"/>
              <w:spacing w:line="240" w:lineRule="auto"/>
              <w:ind w:left="113" w:right="113" w:firstLine="210" w:firstLineChars="100"/>
              <w:textAlignment w:val="auto"/>
              <w:rPr>
                <w:rFonts w:hint="eastAsia" w:ascii="宋体" w:hAnsi="宋体"/>
                <w:szCs w:val="21"/>
                <w:highlight w:val="none"/>
              </w:rPr>
            </w:pPr>
            <w:r>
              <w:rPr>
                <w:rFonts w:hint="eastAsia" w:ascii="宋体" w:hAnsi="宋体"/>
                <w:szCs w:val="21"/>
                <w:highlight w:val="none"/>
              </w:rPr>
              <w:t>（3）商务和技术得分高的投标人优先；</w:t>
            </w:r>
          </w:p>
          <w:p>
            <w:pPr>
              <w:keepNext w:val="0"/>
              <w:keepLines w:val="0"/>
              <w:pageBreakBefore w:val="0"/>
              <w:widowControl w:val="0"/>
              <w:kinsoku/>
              <w:wordWrap/>
              <w:overflowPunct/>
              <w:topLinePunct w:val="0"/>
              <w:autoSpaceDE/>
              <w:autoSpaceDN/>
              <w:bidi w:val="0"/>
              <w:adjustRightInd/>
              <w:snapToGrid w:val="0"/>
              <w:spacing w:line="240" w:lineRule="auto"/>
              <w:ind w:left="113" w:right="113" w:firstLine="210" w:firstLineChars="100"/>
              <w:textAlignment w:val="auto"/>
              <w:rPr>
                <w:rFonts w:hint="eastAsia" w:ascii="宋体" w:hAnsi="宋体"/>
                <w:szCs w:val="21"/>
                <w:highlight w:val="none"/>
              </w:rPr>
            </w:pPr>
            <w:r>
              <w:rPr>
                <w:rFonts w:hint="eastAsia" w:ascii="宋体" w:hAnsi="宋体"/>
                <w:szCs w:val="21"/>
                <w:highlight w:val="none"/>
              </w:rPr>
              <w:t>（4）技术建议书得分高的投标人优先；</w:t>
            </w:r>
          </w:p>
          <w:p>
            <w:pPr>
              <w:keepNext w:val="0"/>
              <w:keepLines w:val="0"/>
              <w:pageBreakBefore w:val="0"/>
              <w:widowControl w:val="0"/>
              <w:numPr>
                <w:ilvl w:val="0"/>
                <w:numId w:val="0"/>
              </w:numPr>
              <w:tabs>
                <w:tab w:val="left" w:pos="1078"/>
              </w:tabs>
              <w:kinsoku/>
              <w:wordWrap/>
              <w:overflowPunct/>
              <w:topLinePunct w:val="0"/>
              <w:autoSpaceDE/>
              <w:autoSpaceDN/>
              <w:bidi w:val="0"/>
              <w:adjustRightInd/>
              <w:snapToGrid w:val="0"/>
              <w:spacing w:line="240" w:lineRule="auto"/>
              <w:ind w:left="420" w:leftChars="0"/>
              <w:textAlignment w:val="auto"/>
              <w:rPr>
                <w:rFonts w:ascii="宋体" w:hAnsi="宋体"/>
                <w:szCs w:val="21"/>
                <w:highlight w:val="none"/>
              </w:rPr>
            </w:pPr>
            <w:r>
              <w:rPr>
                <w:rFonts w:hint="eastAsia" w:ascii="宋体" w:hAnsi="宋体"/>
                <w:szCs w:val="21"/>
                <w:highlight w:val="none"/>
              </w:rPr>
              <w:t>若以上均相等，则由评标委员会表决确定其排序先后。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pStyle w:val="59"/>
              <w:keepNext w:val="0"/>
              <w:keepLines w:val="0"/>
              <w:pageBreakBefore w:val="0"/>
              <w:widowControl w:val="0"/>
              <w:shd w:val="clear" w:color="auto" w:fill="auto"/>
              <w:kinsoku/>
              <w:wordWrap/>
              <w:overflowPunct/>
              <w:topLinePunct w:val="0"/>
              <w:autoSpaceDE/>
              <w:autoSpaceDN/>
              <w:bidi w:val="0"/>
              <w:adjustRightInd/>
              <w:snapToGrid w:val="0"/>
              <w:spacing w:before="0" w:line="240" w:lineRule="auto"/>
              <w:jc w:val="left"/>
              <w:textAlignment w:val="auto"/>
              <w:rPr>
                <w:rStyle w:val="399"/>
                <w:rFonts w:ascii="宋体" w:hAnsi="宋体" w:eastAsia="宋体"/>
                <w:sz w:val="21"/>
                <w:szCs w:val="21"/>
                <w:highlight w:val="none"/>
                <w:lang w:eastAsia="zh-CN"/>
              </w:rPr>
            </w:pPr>
            <w:r>
              <w:rPr>
                <w:rStyle w:val="399"/>
                <w:rFonts w:ascii="宋体" w:hAnsi="宋体"/>
                <w:sz w:val="21"/>
                <w:szCs w:val="21"/>
                <w:highlight w:val="none"/>
              </w:rPr>
              <w:t>2.1.2</w:t>
            </w:r>
          </w:p>
          <w:p>
            <w:pPr>
              <w:pStyle w:val="59"/>
              <w:keepNext w:val="0"/>
              <w:keepLines w:val="0"/>
              <w:pageBreakBefore w:val="0"/>
              <w:widowControl w:val="0"/>
              <w:shd w:val="clear" w:color="auto" w:fill="auto"/>
              <w:kinsoku/>
              <w:wordWrap/>
              <w:overflowPunct/>
              <w:topLinePunct w:val="0"/>
              <w:autoSpaceDE/>
              <w:autoSpaceDN/>
              <w:bidi w:val="0"/>
              <w:adjustRightInd/>
              <w:snapToGrid w:val="0"/>
              <w:spacing w:before="0" w:line="240" w:lineRule="auto"/>
              <w:jc w:val="left"/>
              <w:textAlignment w:val="auto"/>
              <w:rPr>
                <w:rFonts w:cs="David"/>
                <w:color w:val="000000"/>
                <w:sz w:val="21"/>
                <w:szCs w:val="21"/>
                <w:highlight w:val="none"/>
                <w:shd w:val="clear" w:color="auto" w:fill="FFFFFF"/>
                <w:lang w:bidi="en-US"/>
              </w:rPr>
            </w:pPr>
            <w:r>
              <w:rPr>
                <w:rStyle w:val="399"/>
                <w:rFonts w:ascii="宋体" w:hAnsi="宋体"/>
                <w:sz w:val="21"/>
                <w:szCs w:val="21"/>
                <w:highlight w:val="none"/>
              </w:rPr>
              <w:t>2.1.</w:t>
            </w:r>
            <w:r>
              <w:rPr>
                <w:rStyle w:val="399"/>
                <w:rFonts w:hint="eastAsia" w:ascii="宋体" w:hAnsi="宋体" w:eastAsia="宋体"/>
                <w:sz w:val="21"/>
                <w:szCs w:val="21"/>
                <w:highlight w:val="none"/>
                <w:lang w:eastAsia="zh-CN"/>
              </w:rPr>
              <w:t>3</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lang w:bidi="zh-TW"/>
              </w:rPr>
            </w:pPr>
            <w:r>
              <w:rPr>
                <w:rFonts w:hint="eastAsia" w:ascii="宋体" w:hAnsi="宋体"/>
                <w:szCs w:val="21"/>
                <w:highlight w:val="none"/>
                <w:lang w:bidi="zh-TW"/>
              </w:rPr>
              <w:t>第一信封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18"/>
                <w:szCs w:val="21"/>
                <w:highlight w:val="none"/>
              </w:rPr>
            </w:pPr>
            <w:r>
              <w:rPr>
                <w:rFonts w:ascii="宋体" w:hAnsi="宋体"/>
                <w:szCs w:val="21"/>
                <w:highlight w:val="none"/>
                <w:lang w:bidi="zh-TW"/>
              </w:rPr>
              <w:t>形式评审与响应性评审标准</w:t>
            </w:r>
          </w:p>
        </w:tc>
        <w:tc>
          <w:tcPr>
            <w:tcW w:w="7222"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b/>
                <w:bCs/>
                <w:szCs w:val="21"/>
                <w:highlight w:val="none"/>
                <w:lang w:bidi="zh-TW"/>
              </w:rPr>
              <w:t>第一个信封（商务及技术文件）评审标准：</w:t>
            </w:r>
          </w:p>
          <w:p>
            <w:pPr>
              <w:keepNext w:val="0"/>
              <w:keepLines w:val="0"/>
              <w:pageBreakBefore w:val="0"/>
              <w:widowControl w:val="0"/>
              <w:numPr>
                <w:ilvl w:val="0"/>
                <w:numId w:val="5"/>
              </w:numPr>
              <w:tabs>
                <w:tab w:val="left" w:pos="1029"/>
                <w:tab w:val="left" w:pos="1194"/>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投标文件按照招标文件规定的格式、内容填写，字迹清晰可辨：</w:t>
            </w:r>
          </w:p>
          <w:p>
            <w:pPr>
              <w:keepNext w:val="0"/>
              <w:keepLines w:val="0"/>
              <w:pageBreakBefore w:val="0"/>
              <w:widowControl w:val="0"/>
              <w:tabs>
                <w:tab w:val="left" w:pos="1029"/>
                <w:tab w:val="left" w:pos="1194"/>
              </w:tabs>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zh-TW"/>
              </w:rPr>
            </w:pPr>
            <w:r>
              <w:rPr>
                <w:rFonts w:hint="eastAsia" w:ascii="宋体" w:hAnsi="宋体"/>
                <w:szCs w:val="21"/>
                <w:highlight w:val="none"/>
                <w:lang w:bidi="zh-TW"/>
              </w:rPr>
              <w:t>a.</w:t>
            </w:r>
            <w:r>
              <w:rPr>
                <w:rFonts w:ascii="宋体" w:hAnsi="宋体"/>
                <w:szCs w:val="21"/>
                <w:highlight w:val="none"/>
                <w:lang w:bidi="zh-TW"/>
              </w:rPr>
              <w:t>投标函按招标文件规定填报了项目名称、标段号、补遗书编号（如有)、监理服务期限、工程质量要求及安全目标；</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zh-TW"/>
              </w:rPr>
            </w:pPr>
            <w:r>
              <w:rPr>
                <w:rFonts w:hint="eastAsia" w:ascii="宋体" w:hAnsi="宋体"/>
                <w:szCs w:val="21"/>
                <w:highlight w:val="none"/>
                <w:lang w:bidi="zh-TW"/>
              </w:rPr>
              <w:t>b.</w:t>
            </w:r>
            <w:r>
              <w:rPr>
                <w:rFonts w:ascii="宋体" w:hAnsi="宋体"/>
                <w:szCs w:val="21"/>
                <w:highlight w:val="none"/>
                <w:lang w:bidi="zh-TW"/>
              </w:rPr>
              <w:t>投标文件组成齐全完整，内容均按规定填写。</w:t>
            </w:r>
          </w:p>
          <w:p>
            <w:pPr>
              <w:keepNext w:val="0"/>
              <w:keepLines w:val="0"/>
              <w:pageBreakBefore w:val="0"/>
              <w:widowControl w:val="0"/>
              <w:numPr>
                <w:ilvl w:val="0"/>
                <w:numId w:val="5"/>
              </w:numPr>
              <w:tabs>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投标文件上法定代表人或其委托代理人的签字、投标人的单位章盖章齐全，符合招标文件规定。</w:t>
            </w:r>
          </w:p>
          <w:p>
            <w:pPr>
              <w:keepNext w:val="0"/>
              <w:keepLines w:val="0"/>
              <w:pageBreakBefore w:val="0"/>
              <w:widowControl w:val="0"/>
              <w:numPr>
                <w:ilvl w:val="0"/>
                <w:numId w:val="5"/>
              </w:numPr>
              <w:tabs>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投标人按照招标文件的规定提供了投标保证金：</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zh-TW"/>
              </w:rPr>
            </w:pPr>
            <w:r>
              <w:rPr>
                <w:rFonts w:ascii="宋体" w:hAnsi="宋体"/>
                <w:szCs w:val="21"/>
                <w:highlight w:val="none"/>
                <w:lang w:bidi="en-US"/>
              </w:rPr>
              <w:t>a</w:t>
            </w:r>
            <w:r>
              <w:rPr>
                <w:rFonts w:ascii="宋体" w:hAnsi="宋体"/>
                <w:b/>
                <w:bCs/>
                <w:szCs w:val="21"/>
                <w:highlight w:val="none"/>
                <w:lang w:bidi="en-US"/>
              </w:rPr>
              <w:t>.</w:t>
            </w:r>
            <w:r>
              <w:rPr>
                <w:rFonts w:ascii="宋体" w:hAnsi="宋体"/>
                <w:szCs w:val="21"/>
                <w:highlight w:val="none"/>
                <w:lang w:bidi="zh-TW"/>
              </w:rPr>
              <w:t>投标保证金金额符合招标文件规定的金额，且投标保证金有效期不少于投标有效期；</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zh-TW"/>
              </w:rPr>
            </w:pPr>
            <w:r>
              <w:rPr>
                <w:rFonts w:ascii="宋体" w:hAnsi="宋体"/>
                <w:szCs w:val="21"/>
                <w:highlight w:val="none"/>
                <w:lang w:bidi="en-US"/>
              </w:rPr>
              <w:t>b</w:t>
            </w:r>
            <w:r>
              <w:rPr>
                <w:rFonts w:ascii="宋体" w:hAnsi="宋体"/>
                <w:b/>
                <w:bCs/>
                <w:szCs w:val="21"/>
                <w:highlight w:val="none"/>
                <w:lang w:bidi="en-US"/>
              </w:rPr>
              <w:t>.</w:t>
            </w:r>
            <w:r>
              <w:rPr>
                <w:rFonts w:ascii="宋体" w:hAnsi="宋体"/>
                <w:szCs w:val="21"/>
                <w:highlight w:val="none"/>
                <w:lang w:bidi="zh-TW"/>
              </w:rPr>
              <w:t>若投标保证金采用现金或支票形式提交，投标人应在递交投标文件截止时间之前，将投标保证金由投标人的基本账户转入招标人指定账户；</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zh-TW"/>
              </w:rPr>
            </w:pPr>
            <w:r>
              <w:rPr>
                <w:rFonts w:hint="eastAsia" w:ascii="宋体" w:hAnsi="宋体"/>
                <w:szCs w:val="21"/>
                <w:highlight w:val="none"/>
                <w:lang w:bidi="en-US"/>
              </w:rPr>
              <w:t>c</w:t>
            </w:r>
            <w:r>
              <w:rPr>
                <w:rFonts w:ascii="宋体" w:hAnsi="宋体"/>
                <w:b/>
                <w:bCs/>
                <w:szCs w:val="21"/>
                <w:highlight w:val="none"/>
                <w:lang w:bidi="en-US"/>
              </w:rPr>
              <w:t>.</w:t>
            </w:r>
            <w:r>
              <w:rPr>
                <w:rFonts w:ascii="宋体" w:hAnsi="宋体"/>
                <w:szCs w:val="21"/>
                <w:highlight w:val="none"/>
                <w:lang w:bidi="zh-TW"/>
              </w:rPr>
              <w:t>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numPr>
                <w:ilvl w:val="0"/>
                <w:numId w:val="5"/>
              </w:numPr>
              <w:tabs>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投标人法定代表人授权委托代理人签署投标文件的，须提交授权委托书，且授权人和被授权人均在授权委托书上签名，未使用印章、签名章或其他电子制版签名代替。</w:t>
            </w:r>
          </w:p>
          <w:p>
            <w:pPr>
              <w:keepNext w:val="0"/>
              <w:keepLines w:val="0"/>
              <w:pageBreakBefore w:val="0"/>
              <w:widowControl w:val="0"/>
              <w:numPr>
                <w:ilvl w:val="0"/>
                <w:numId w:val="5"/>
              </w:numPr>
              <w:tabs>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numPr>
                <w:ilvl w:val="0"/>
                <w:numId w:val="5"/>
              </w:numPr>
              <w:tabs>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投标人未以联合体形式投标</w:t>
            </w:r>
            <w:r>
              <w:rPr>
                <w:rFonts w:hint="eastAsia" w:ascii="宋体" w:hAnsi="宋体"/>
                <w:szCs w:val="21"/>
                <w:highlight w:val="none"/>
                <w:lang w:bidi="zh-TW"/>
              </w:rPr>
              <w:t>。</w:t>
            </w:r>
          </w:p>
          <w:p>
            <w:pPr>
              <w:keepNext w:val="0"/>
              <w:keepLines w:val="0"/>
              <w:pageBreakBefore w:val="0"/>
              <w:widowControl w:val="0"/>
              <w:numPr>
                <w:ilvl w:val="0"/>
                <w:numId w:val="5"/>
              </w:numPr>
              <w:tabs>
                <w:tab w:val="left" w:pos="984"/>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同一投标人未提交两个以上不同的投标文件，但招标文件要求提交备选投标的除外。</w:t>
            </w:r>
          </w:p>
          <w:p>
            <w:pPr>
              <w:keepNext w:val="0"/>
              <w:keepLines w:val="0"/>
              <w:pageBreakBefore w:val="0"/>
              <w:widowControl w:val="0"/>
              <w:numPr>
                <w:ilvl w:val="0"/>
                <w:numId w:val="5"/>
              </w:numPr>
              <w:tabs>
                <w:tab w:val="left" w:pos="984"/>
                <w:tab w:val="left" w:pos="1168"/>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zh-TW"/>
              </w:rPr>
              <w:t>投标文件中未出现有关投标报价的内容。</w:t>
            </w:r>
          </w:p>
          <w:p>
            <w:pPr>
              <w:keepNext w:val="0"/>
              <w:keepLines w:val="0"/>
              <w:pageBreakBefore w:val="0"/>
              <w:widowControl w:val="0"/>
              <w:numPr>
                <w:ilvl w:val="0"/>
                <w:numId w:val="5"/>
              </w:numPr>
              <w:tabs>
                <w:tab w:val="left" w:pos="984"/>
                <w:tab w:val="left" w:pos="1168"/>
              </w:tabs>
              <w:kinsoku/>
              <w:wordWrap/>
              <w:overflowPunct/>
              <w:topLinePunct w:val="0"/>
              <w:autoSpaceDE/>
              <w:autoSpaceDN/>
              <w:bidi w:val="0"/>
              <w:adjustRightInd/>
              <w:snapToGrid w:val="0"/>
              <w:spacing w:line="240" w:lineRule="auto"/>
              <w:jc w:val="left"/>
              <w:textAlignment w:val="auto"/>
              <w:rPr>
                <w:rFonts w:ascii="宋体" w:hAnsi="宋体"/>
                <w:szCs w:val="21"/>
                <w:highlight w:val="none"/>
                <w:lang w:bidi="zh-TW"/>
              </w:rPr>
            </w:pPr>
            <w:r>
              <w:rPr>
                <w:rFonts w:ascii="宋体" w:hAnsi="宋体"/>
                <w:szCs w:val="21"/>
                <w:highlight w:val="none"/>
                <w:lang w:bidi="zh-TW"/>
              </w:rPr>
              <w:t>投标文件载明的招标项目完成期限未超过招标文件规定的时限。</w:t>
            </w:r>
          </w:p>
          <w:p>
            <w:pPr>
              <w:keepNext w:val="0"/>
              <w:keepLines w:val="0"/>
              <w:pageBreakBefore w:val="0"/>
              <w:widowControl w:val="0"/>
              <w:numPr>
                <w:ilvl w:val="0"/>
                <w:numId w:val="5"/>
              </w:numPr>
              <w:tabs>
                <w:tab w:val="left" w:pos="1168"/>
                <w:tab w:val="left" w:pos="1310"/>
              </w:tabs>
              <w:kinsoku/>
              <w:wordWrap/>
              <w:overflowPunct/>
              <w:topLinePunct w:val="0"/>
              <w:autoSpaceDE/>
              <w:autoSpaceDN/>
              <w:bidi w:val="0"/>
              <w:adjustRightInd/>
              <w:snapToGrid w:val="0"/>
              <w:spacing w:line="240" w:lineRule="auto"/>
              <w:jc w:val="left"/>
              <w:textAlignment w:val="auto"/>
              <w:rPr>
                <w:rFonts w:ascii="宋体" w:hAnsi="宋体"/>
                <w:szCs w:val="21"/>
                <w:highlight w:val="none"/>
                <w:lang w:bidi="zh-TW"/>
              </w:rPr>
            </w:pPr>
            <w:r>
              <w:rPr>
                <w:rFonts w:ascii="宋体" w:hAnsi="宋体"/>
                <w:szCs w:val="21"/>
                <w:highlight w:val="none"/>
                <w:lang w:bidi="zh-TW"/>
              </w:rPr>
              <w:t>投标文件对招标文件的实质性要求和条件作出响应。</w:t>
            </w:r>
          </w:p>
          <w:p>
            <w:pPr>
              <w:keepNext w:val="0"/>
              <w:keepLines w:val="0"/>
              <w:pageBreakBefore w:val="0"/>
              <w:widowControl w:val="0"/>
              <w:numPr>
                <w:ilvl w:val="0"/>
                <w:numId w:val="5"/>
              </w:numPr>
              <w:tabs>
                <w:tab w:val="left" w:pos="1168"/>
                <w:tab w:val="left" w:pos="1310"/>
              </w:tabs>
              <w:kinsoku/>
              <w:wordWrap/>
              <w:overflowPunct/>
              <w:topLinePunct w:val="0"/>
              <w:autoSpaceDE/>
              <w:autoSpaceDN/>
              <w:bidi w:val="0"/>
              <w:adjustRightInd/>
              <w:snapToGrid w:val="0"/>
              <w:spacing w:line="240" w:lineRule="auto"/>
              <w:jc w:val="left"/>
              <w:textAlignment w:val="auto"/>
              <w:rPr>
                <w:rFonts w:ascii="宋体" w:hAnsi="宋体"/>
                <w:szCs w:val="21"/>
                <w:highlight w:val="none"/>
                <w:lang w:bidi="zh-TW"/>
              </w:rPr>
            </w:pPr>
            <w:r>
              <w:rPr>
                <w:highlight w:val="none"/>
              </w:rPr>
              <w:t>权利义务符合招标文件规定：</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highlight w:val="none"/>
              </w:rPr>
            </w:pPr>
            <w:r>
              <w:rPr>
                <w:highlight w:val="none"/>
              </w:rPr>
              <w:t>投标人应接受招标文件规定的风险划分原则，未提出新的风险划分办法；</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highlight w:val="none"/>
              </w:rPr>
            </w:pPr>
            <w:r>
              <w:rPr>
                <w:highlight w:val="none"/>
              </w:rPr>
              <w:t>投标人未增加委托人的责任范围，或减少投标人义务；</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highlight w:val="none"/>
              </w:rPr>
            </w:pPr>
            <w:r>
              <w:rPr>
                <w:highlight w:val="none"/>
              </w:rPr>
              <w:t>投标人未提出不同的支付办法；</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highlight w:val="none"/>
              </w:rPr>
            </w:pPr>
            <w:r>
              <w:rPr>
                <w:highlight w:val="none"/>
              </w:rPr>
              <w:t>投标人对合同纠纷、事故处理办法未提出异议；</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highlight w:val="none"/>
              </w:rPr>
            </w:pPr>
            <w:r>
              <w:rPr>
                <w:highlight w:val="none"/>
              </w:rPr>
              <w:t>投标人在投标活动中无欺诈行为；</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highlight w:val="none"/>
              </w:rPr>
            </w:pPr>
            <w:r>
              <w:rPr>
                <w:highlight w:val="none"/>
              </w:rPr>
              <w:t>投标人未对合同条款有重要保留。</w:t>
            </w:r>
          </w:p>
          <w:p>
            <w:pPr>
              <w:keepNext w:val="0"/>
              <w:keepLines w:val="0"/>
              <w:pageBreakBefore w:val="0"/>
              <w:widowControl w:val="0"/>
              <w:kinsoku/>
              <w:wordWrap/>
              <w:overflowPunct/>
              <w:topLinePunct w:val="0"/>
              <w:autoSpaceDE/>
              <w:autoSpaceDN/>
              <w:bidi w:val="0"/>
              <w:adjustRightInd/>
              <w:snapToGrid w:val="0"/>
              <w:spacing w:line="240" w:lineRule="auto"/>
              <w:ind w:left="34" w:leftChars="16" w:firstLine="567"/>
              <w:textAlignment w:val="auto"/>
              <w:rPr>
                <w:highlight w:val="none"/>
              </w:rPr>
            </w:pPr>
            <w:r>
              <w:rPr>
                <w:rFonts w:hint="eastAsia"/>
                <w:highlight w:val="none"/>
              </w:rPr>
              <w:t>（12）</w:t>
            </w:r>
            <w:r>
              <w:rPr>
                <w:highlight w:val="none"/>
              </w:rPr>
              <w:t>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rPr>
            </w:pP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lang w:bidi="zh-TW"/>
              </w:rPr>
            </w:pPr>
            <w:r>
              <w:rPr>
                <w:rFonts w:hint="eastAsia" w:ascii="宋体" w:hAnsi="宋体"/>
                <w:szCs w:val="21"/>
                <w:highlight w:val="none"/>
                <w:lang w:bidi="zh-TW"/>
              </w:rPr>
              <w:t>第二信封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rPr>
            </w:pPr>
            <w:r>
              <w:rPr>
                <w:rFonts w:ascii="宋体" w:hAnsi="宋体"/>
                <w:szCs w:val="21"/>
                <w:highlight w:val="none"/>
                <w:lang w:bidi="zh-TW"/>
              </w:rPr>
              <w:t>形式评审与响应性评审标准</w:t>
            </w:r>
          </w:p>
        </w:tc>
        <w:tc>
          <w:tcPr>
            <w:tcW w:w="7222" w:type="dxa"/>
          </w:tcPr>
          <w:p>
            <w:pPr>
              <w:keepNext w:val="0"/>
              <w:keepLines w:val="0"/>
              <w:pageBreakBefore w:val="0"/>
              <w:widowControl w:val="0"/>
              <w:kinsoku/>
              <w:wordWrap/>
              <w:overflowPunct/>
              <w:topLinePunct w:val="0"/>
              <w:autoSpaceDE/>
              <w:autoSpaceDN/>
              <w:bidi w:val="0"/>
              <w:adjustRightInd/>
              <w:snapToGrid w:val="0"/>
              <w:spacing w:line="240" w:lineRule="auto"/>
              <w:ind w:firstLine="413" w:firstLineChars="196"/>
              <w:textAlignment w:val="auto"/>
              <w:rPr>
                <w:rFonts w:ascii="宋体" w:hAnsi="宋体"/>
                <w:b/>
                <w:szCs w:val="21"/>
                <w:highlight w:val="none"/>
                <w:lang w:bidi="zh-TW"/>
              </w:rPr>
            </w:pPr>
            <w:r>
              <w:rPr>
                <w:rFonts w:ascii="宋体" w:hAnsi="宋体"/>
                <w:b/>
                <w:szCs w:val="21"/>
                <w:highlight w:val="none"/>
                <w:lang w:bidi="en-US"/>
              </w:rPr>
              <w:t>第二个信封（报价文件）评审标准：</w:t>
            </w:r>
          </w:p>
          <w:p>
            <w:pPr>
              <w:keepNext w:val="0"/>
              <w:keepLines w:val="0"/>
              <w:pageBreakBefore w:val="0"/>
              <w:widowControl w:val="0"/>
              <w:numPr>
                <w:ilvl w:val="0"/>
                <w:numId w:val="7"/>
              </w:numPr>
              <w:tabs>
                <w:tab w:val="left" w:pos="756"/>
                <w:tab w:val="left" w:pos="1165"/>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投标文件按照招标文件规定的格式、内容填写，字迹清晰可辨，内容齐全完整：</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投标函按招标文件规定填报了项目名称、标段号、补遗书编号（如有)、投标价（包括大写金额和小写金额)；</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己标价报价清单说明文字与招标文件规定一致，未进行实质性修改和删减；</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投标文件组成齐全完整，内容均按规定填写。</w:t>
            </w:r>
          </w:p>
          <w:p>
            <w:pPr>
              <w:keepNext w:val="0"/>
              <w:keepLines w:val="0"/>
              <w:pageBreakBefore w:val="0"/>
              <w:widowControl w:val="0"/>
              <w:numPr>
                <w:ilvl w:val="0"/>
                <w:numId w:val="7"/>
              </w:numPr>
              <w:tabs>
                <w:tab w:val="left" w:pos="756"/>
                <w:tab w:val="left" w:pos="1131"/>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投标文件上法定代表人或其委托代理人的签字、投标人的单位章盖章齐全，符合招标文件规定。</w:t>
            </w:r>
          </w:p>
          <w:p>
            <w:pPr>
              <w:keepNext w:val="0"/>
              <w:keepLines w:val="0"/>
              <w:pageBreakBefore w:val="0"/>
              <w:widowControl w:val="0"/>
              <w:numPr>
                <w:ilvl w:val="0"/>
                <w:numId w:val="7"/>
              </w:numPr>
              <w:tabs>
                <w:tab w:val="left" w:pos="756"/>
                <w:tab w:val="left" w:pos="1131"/>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投标报价未超过招标文件设定的最高投标限价（如有)。</w:t>
            </w:r>
          </w:p>
          <w:p>
            <w:pPr>
              <w:keepNext w:val="0"/>
              <w:keepLines w:val="0"/>
              <w:pageBreakBefore w:val="0"/>
              <w:widowControl w:val="0"/>
              <w:numPr>
                <w:ilvl w:val="0"/>
                <w:numId w:val="7"/>
              </w:numPr>
              <w:tabs>
                <w:tab w:val="left" w:pos="756"/>
                <w:tab w:val="left" w:pos="1131"/>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投标报价的大写金额能够确定具体数值。</w:t>
            </w:r>
          </w:p>
          <w:p>
            <w:pPr>
              <w:keepNext w:val="0"/>
              <w:keepLines w:val="0"/>
              <w:pageBreakBefore w:val="0"/>
              <w:widowControl w:val="0"/>
              <w:numPr>
                <w:ilvl w:val="0"/>
                <w:numId w:val="7"/>
              </w:numPr>
              <w:tabs>
                <w:tab w:val="left" w:pos="756"/>
                <w:tab w:val="left" w:pos="1131"/>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同一投标人未提交两个以上不同的投标报价，但招标文件要求提交备选投标的除外。</w:t>
            </w:r>
          </w:p>
          <w:p>
            <w:pPr>
              <w:keepNext w:val="0"/>
              <w:keepLines w:val="0"/>
              <w:pageBreakBefore w:val="0"/>
              <w:widowControl w:val="0"/>
              <w:numPr>
                <w:ilvl w:val="0"/>
                <w:numId w:val="7"/>
              </w:numPr>
              <w:tabs>
                <w:tab w:val="left" w:pos="756"/>
                <w:tab w:val="left" w:pos="1131"/>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投标文件正、副本份数符合招标文件第二章“投标人须知”第 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Cs w:val="21"/>
                <w:highlight w:val="none"/>
              </w:rPr>
            </w:pPr>
            <w:r>
              <w:rPr>
                <w:rStyle w:val="399"/>
                <w:rFonts w:ascii="宋体" w:hAnsi="宋体"/>
                <w:sz w:val="21"/>
                <w:szCs w:val="21"/>
                <w:highlight w:val="none"/>
              </w:rPr>
              <w:t>2.1.2</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highlight w:val="none"/>
              </w:rPr>
            </w:pPr>
            <w:r>
              <w:rPr>
                <w:highlight w:val="none"/>
              </w:rPr>
              <w:t>资格</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lang w:bidi="en-US"/>
              </w:rPr>
            </w:pPr>
            <w:r>
              <w:rPr>
                <w:highlight w:val="none"/>
              </w:rPr>
              <w:t>评审标准</w:t>
            </w:r>
          </w:p>
        </w:tc>
        <w:tc>
          <w:tcPr>
            <w:tcW w:w="7222" w:type="dxa"/>
          </w:tcPr>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投标人具备有效的营业执照、监理资质证书和基本账户开户许可证。</w:t>
            </w:r>
          </w:p>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投标人的资质等级符合招标文件规定。</w:t>
            </w:r>
          </w:p>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投标人的类似项目业绩符合招标文件规定。</w:t>
            </w:r>
          </w:p>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投标人的信誉符合招标文件规定。</w:t>
            </w:r>
          </w:p>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投标人的总监理工程师在岗情况符合招标文件规定。</w:t>
            </w:r>
          </w:p>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投标人不存在第二章“投标人须知”第1.4.3项或第1.4.4项规定的任何一种情形。</w:t>
            </w:r>
          </w:p>
          <w:p>
            <w:pPr>
              <w:keepNext w:val="0"/>
              <w:keepLines w:val="0"/>
              <w:pageBreakBefore w:val="0"/>
              <w:widowControl w:val="0"/>
              <w:numPr>
                <w:ilvl w:val="0"/>
                <w:numId w:val="9"/>
              </w:numPr>
              <w:tabs>
                <w:tab w:val="left" w:pos="1149"/>
              </w:tabs>
              <w:kinsoku/>
              <w:wordWrap/>
              <w:overflowPunct/>
              <w:topLinePunct w:val="0"/>
              <w:autoSpaceDE/>
              <w:autoSpaceDN/>
              <w:bidi w:val="0"/>
              <w:adjustRightInd/>
              <w:snapToGrid w:val="0"/>
              <w:spacing w:line="240" w:lineRule="auto"/>
              <w:textAlignment w:val="auto"/>
              <w:rPr>
                <w:rFonts w:ascii="宋体" w:hAnsi="宋体"/>
                <w:szCs w:val="21"/>
                <w:highlight w:val="none"/>
                <w:lang w:bidi="zh-TW"/>
              </w:rPr>
            </w:pPr>
            <w:r>
              <w:rPr>
                <w:rFonts w:ascii="宋体" w:hAnsi="宋体"/>
                <w:szCs w:val="21"/>
                <w:highlight w:val="none"/>
                <w:lang w:bidi="en-US"/>
              </w:rPr>
              <w:t>投标人符合第二章“投标人须知”第1.4.5项规定。</w:t>
            </w:r>
            <w:r>
              <w:rPr>
                <w:rStyle w:val="53"/>
                <w:rFonts w:ascii="宋体" w:hAnsi="宋体"/>
                <w:szCs w:val="21"/>
                <w:highlight w:val="none"/>
                <w:lang w:bidi="en-US"/>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rPr>
            </w:pPr>
            <w:r>
              <w:rPr>
                <w:rStyle w:val="54"/>
                <w:rFonts w:ascii="宋体" w:hAnsi="宋体" w:eastAsia="宋体"/>
                <w:szCs w:val="21"/>
                <w:highlight w:val="none"/>
              </w:rPr>
              <w:t>2</w:t>
            </w:r>
            <w:r>
              <w:rPr>
                <w:rStyle w:val="398"/>
                <w:rFonts w:ascii="宋体" w:hAnsi="宋体"/>
                <w:szCs w:val="21"/>
                <w:highlight w:val="none"/>
              </w:rPr>
              <w:t>.</w:t>
            </w:r>
            <w:r>
              <w:rPr>
                <w:rStyle w:val="54"/>
                <w:rFonts w:ascii="宋体" w:hAnsi="宋体" w:eastAsia="宋体"/>
                <w:szCs w:val="21"/>
                <w:highlight w:val="none"/>
              </w:rPr>
              <w:t>2.1</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lang w:bidi="en-US"/>
              </w:rPr>
            </w:pPr>
            <w:r>
              <w:rPr>
                <w:rFonts w:ascii="宋体" w:hAnsi="宋体"/>
                <w:szCs w:val="21"/>
                <w:highlight w:val="none"/>
                <w:lang w:bidi="en-US"/>
              </w:rPr>
              <w:t>分值构成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lang w:bidi="zh-TW"/>
              </w:rPr>
            </w:pPr>
            <w:r>
              <w:rPr>
                <w:rFonts w:ascii="宋体" w:hAnsi="宋体"/>
                <w:szCs w:val="21"/>
                <w:highlight w:val="none"/>
                <w:lang w:bidi="en-US"/>
              </w:rPr>
              <w:t>(总100分）</w:t>
            </w:r>
          </w:p>
        </w:tc>
        <w:tc>
          <w:tcPr>
            <w:tcW w:w="7222" w:type="dxa"/>
          </w:tcPr>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ascii="宋体" w:hAnsi="宋体"/>
                <w:b/>
                <w:szCs w:val="21"/>
                <w:highlight w:val="none"/>
                <w:lang w:bidi="zh-TW"/>
              </w:rPr>
            </w:pPr>
            <w:r>
              <w:rPr>
                <w:rFonts w:ascii="宋体" w:hAnsi="宋体"/>
                <w:b/>
                <w:szCs w:val="21"/>
                <w:highlight w:val="none"/>
                <w:lang w:bidi="en-US"/>
              </w:rPr>
              <w:t>第一个信封（商务及技术文件）评分分值构成：</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en-US"/>
              </w:rPr>
            </w:pPr>
            <w:r>
              <w:rPr>
                <w:rFonts w:ascii="宋体" w:hAnsi="宋体"/>
                <w:szCs w:val="21"/>
                <w:highlight w:val="none"/>
                <w:lang w:bidi="en-US"/>
              </w:rPr>
              <w:t>技术建议书：</w:t>
            </w:r>
            <w:r>
              <w:rPr>
                <w:rFonts w:hint="eastAsia" w:ascii="宋体" w:hAnsi="宋体"/>
                <w:szCs w:val="21"/>
                <w:highlight w:val="none"/>
                <w:u w:val="single"/>
                <w:lang w:bidi="en-US"/>
              </w:rPr>
              <w:t>35</w:t>
            </w:r>
            <w:r>
              <w:rPr>
                <w:rFonts w:ascii="宋体" w:hAnsi="宋体"/>
                <w:szCs w:val="21"/>
                <w:highlight w:val="none"/>
                <w:lang w:bidi="en-US"/>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en-US"/>
              </w:rPr>
            </w:pPr>
            <w:r>
              <w:rPr>
                <w:rFonts w:ascii="宋体" w:hAnsi="宋体"/>
                <w:szCs w:val="21"/>
                <w:highlight w:val="none"/>
                <w:lang w:bidi="en-US"/>
              </w:rPr>
              <w:t>主要人员：</w:t>
            </w:r>
            <w:r>
              <w:rPr>
                <w:rFonts w:hint="eastAsia" w:ascii="宋体" w:hAnsi="宋体"/>
                <w:szCs w:val="21"/>
                <w:highlight w:val="none"/>
                <w:u w:val="single"/>
                <w:lang w:bidi="en-US"/>
              </w:rPr>
              <w:t>25</w:t>
            </w:r>
            <w:r>
              <w:rPr>
                <w:rFonts w:ascii="宋体" w:hAnsi="宋体"/>
                <w:szCs w:val="21"/>
                <w:highlight w:val="none"/>
                <w:lang w:bidi="en-US"/>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en-US"/>
              </w:rPr>
            </w:pPr>
            <w:r>
              <w:rPr>
                <w:rFonts w:ascii="宋体" w:hAnsi="宋体"/>
                <w:szCs w:val="21"/>
                <w:highlight w:val="none"/>
                <w:lang w:bidi="en-US"/>
              </w:rPr>
              <w:t>业绩：</w:t>
            </w:r>
            <w:r>
              <w:rPr>
                <w:rFonts w:hint="eastAsia" w:ascii="宋体" w:hAnsi="宋体"/>
                <w:szCs w:val="21"/>
                <w:highlight w:val="none"/>
                <w:u w:val="single"/>
                <w:lang w:bidi="en-US"/>
              </w:rPr>
              <w:t>20</w:t>
            </w:r>
            <w:r>
              <w:rPr>
                <w:rFonts w:ascii="宋体" w:hAnsi="宋体"/>
                <w:szCs w:val="21"/>
                <w:highlight w:val="none"/>
                <w:lang w:bidi="en-US"/>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lang w:bidi="en-US"/>
              </w:rPr>
            </w:pPr>
            <w:r>
              <w:rPr>
                <w:rFonts w:ascii="宋体" w:hAnsi="宋体"/>
                <w:szCs w:val="21"/>
                <w:highlight w:val="none"/>
                <w:lang w:bidi="en-US"/>
              </w:rPr>
              <w:t>履约信誉：</w:t>
            </w:r>
            <w:r>
              <w:rPr>
                <w:rFonts w:hint="eastAsia" w:ascii="宋体" w:hAnsi="宋体"/>
                <w:szCs w:val="21"/>
                <w:highlight w:val="none"/>
                <w:u w:val="single"/>
                <w:lang w:bidi="en-US"/>
              </w:rPr>
              <w:t>10</w:t>
            </w:r>
            <w:r>
              <w:rPr>
                <w:rFonts w:ascii="宋体" w:hAnsi="宋体"/>
                <w:szCs w:val="21"/>
                <w:highlight w:val="none"/>
                <w:lang w:bidi="en-US"/>
              </w:rPr>
              <w:t>分</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ascii="宋体" w:hAnsi="宋体"/>
                <w:b/>
                <w:szCs w:val="21"/>
                <w:highlight w:val="none"/>
                <w:lang w:bidi="en-US"/>
              </w:rPr>
            </w:pPr>
            <w:r>
              <w:rPr>
                <w:rFonts w:ascii="宋体" w:hAnsi="宋体"/>
                <w:b/>
                <w:szCs w:val="21"/>
                <w:highlight w:val="none"/>
                <w:lang w:bidi="en-US"/>
              </w:rPr>
              <w:t>第二个信封（报价文件）评分分值构成：</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highlight w:val="none"/>
              </w:rPr>
            </w:pPr>
            <w:r>
              <w:rPr>
                <w:rFonts w:hint="eastAsia" w:ascii="宋体" w:hAnsi="宋体"/>
                <w:szCs w:val="21"/>
                <w:highlight w:val="none"/>
                <w:lang w:bidi="en-US"/>
              </w:rPr>
              <w:t>评标价：</w:t>
            </w:r>
            <w:r>
              <w:rPr>
                <w:rFonts w:hint="eastAsia" w:ascii="宋体" w:hAnsi="宋体"/>
                <w:szCs w:val="21"/>
                <w:highlight w:val="none"/>
                <w:u w:val="single"/>
                <w:lang w:bidi="en-US"/>
              </w:rPr>
              <w:t>10</w:t>
            </w:r>
            <w:r>
              <w:rPr>
                <w:rFonts w:hint="eastAsia" w:ascii="宋体" w:hAnsi="宋体"/>
                <w:szCs w:val="21"/>
                <w:highlight w:val="none"/>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Cs w:val="21"/>
                <w:highlight w:val="none"/>
              </w:rPr>
            </w:pPr>
            <w:r>
              <w:rPr>
                <w:rStyle w:val="54"/>
                <w:rFonts w:ascii="宋体" w:hAnsi="宋体" w:eastAsia="宋体"/>
                <w:szCs w:val="21"/>
                <w:highlight w:val="none"/>
              </w:rPr>
              <w:t>2</w:t>
            </w:r>
            <w:r>
              <w:rPr>
                <w:rStyle w:val="398"/>
                <w:rFonts w:ascii="宋体" w:hAnsi="宋体"/>
                <w:szCs w:val="21"/>
                <w:highlight w:val="none"/>
              </w:rPr>
              <w:t>.</w:t>
            </w:r>
            <w:r>
              <w:rPr>
                <w:rStyle w:val="54"/>
                <w:rFonts w:ascii="宋体" w:hAnsi="宋体" w:eastAsia="宋体"/>
                <w:szCs w:val="21"/>
                <w:highlight w:val="none"/>
              </w:rPr>
              <w:t>2.2</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highlight w:val="none"/>
              </w:rPr>
            </w:pPr>
            <w:r>
              <w:rPr>
                <w:highlight w:val="none"/>
              </w:rPr>
              <w:t>评标基准价计算方法</w:t>
            </w:r>
          </w:p>
        </w:tc>
        <w:tc>
          <w:tcPr>
            <w:tcW w:w="7222" w:type="dxa"/>
          </w:tcPr>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420" w:firstLineChars="200"/>
              <w:textAlignment w:val="auto"/>
              <w:rPr>
                <w:rFonts w:hint="eastAsia" w:ascii="宋体" w:hAnsi="宋体"/>
                <w:szCs w:val="21"/>
                <w:highlight w:val="none"/>
              </w:rPr>
            </w:pPr>
            <w:r>
              <w:rPr>
                <w:rFonts w:hint="eastAsia" w:ascii="宋体" w:hAnsi="宋体"/>
                <w:szCs w:val="21"/>
                <w:highlight w:val="none"/>
              </w:rPr>
              <w:t>评标基准价的计算：</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420" w:firstLineChars="200"/>
              <w:textAlignment w:val="auto"/>
              <w:rPr>
                <w:rFonts w:hint="eastAsia" w:ascii="宋体" w:hAnsi="宋体"/>
                <w:szCs w:val="21"/>
                <w:highlight w:val="none"/>
              </w:rPr>
            </w:pPr>
            <w:r>
              <w:rPr>
                <w:rFonts w:hint="eastAsia" w:ascii="宋体" w:hAnsi="宋体"/>
                <w:szCs w:val="21"/>
                <w:highlight w:val="none"/>
              </w:rPr>
              <w:t>在开标现场，招标人将当场计算并宣布评标基准价。</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315" w:firstLineChars="150"/>
              <w:textAlignment w:val="auto"/>
              <w:rPr>
                <w:rFonts w:hint="eastAsia" w:ascii="宋体" w:hAnsi="宋体"/>
                <w:szCs w:val="21"/>
                <w:highlight w:val="none"/>
              </w:rPr>
            </w:pPr>
            <w:r>
              <w:rPr>
                <w:rFonts w:hint="eastAsia" w:ascii="宋体" w:hAnsi="宋体"/>
                <w:szCs w:val="21"/>
                <w:highlight w:val="none"/>
              </w:rPr>
              <w:t>（1）评标价的确定：</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420" w:firstLineChars="200"/>
              <w:textAlignment w:val="auto"/>
              <w:rPr>
                <w:rFonts w:hint="eastAsia" w:ascii="宋体" w:hAnsi="宋体"/>
                <w:szCs w:val="21"/>
                <w:highlight w:val="none"/>
              </w:rPr>
            </w:pPr>
            <w:r>
              <w:rPr>
                <w:rFonts w:hint="eastAsia" w:ascii="宋体" w:hAnsi="宋体"/>
                <w:szCs w:val="21"/>
                <w:highlight w:val="none"/>
              </w:rPr>
              <w:t>评标价=投标函文字报价</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315" w:firstLineChars="150"/>
              <w:textAlignment w:val="auto"/>
              <w:rPr>
                <w:rFonts w:hint="eastAsia" w:ascii="宋体" w:hAnsi="宋体"/>
                <w:szCs w:val="21"/>
                <w:highlight w:val="none"/>
              </w:rPr>
            </w:pPr>
            <w:r>
              <w:rPr>
                <w:rFonts w:hint="eastAsia" w:ascii="宋体" w:hAnsi="宋体"/>
                <w:szCs w:val="21"/>
                <w:highlight w:val="none"/>
              </w:rPr>
              <w:t>（2）评标价平均值的计算：</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420" w:firstLineChars="200"/>
              <w:textAlignment w:val="auto"/>
              <w:rPr>
                <w:rFonts w:hint="eastAsia" w:ascii="宋体" w:hAnsi="宋体"/>
                <w:szCs w:val="21"/>
                <w:highlight w:val="none"/>
              </w:rPr>
            </w:pPr>
            <w:r>
              <w:rPr>
                <w:rFonts w:ascii="宋体" w:hAnsi="宋体"/>
                <w:szCs w:val="21"/>
                <w:highlight w:val="none"/>
              </w:rPr>
              <w:t>除按第二章“投标人须知”第5.2.</w:t>
            </w:r>
            <w:r>
              <w:rPr>
                <w:rFonts w:hint="eastAsia" w:ascii="宋体" w:hAnsi="宋体"/>
                <w:szCs w:val="21"/>
                <w:highlight w:val="none"/>
              </w:rPr>
              <w:t>4</w:t>
            </w:r>
            <w:r>
              <w:rPr>
                <w:rFonts w:ascii="宋体" w:hAnsi="宋体"/>
                <w:szCs w:val="21"/>
                <w:highlight w:val="none"/>
              </w:rPr>
              <w:t>项规定开标现场被宣布为</w:t>
            </w:r>
            <w:r>
              <w:rPr>
                <w:rFonts w:hint="eastAsia" w:ascii="宋体" w:hAnsi="宋体"/>
                <w:szCs w:val="21"/>
                <w:highlight w:val="none"/>
              </w:rPr>
              <w:t>不进入评标基准价计算</w:t>
            </w:r>
            <w:r>
              <w:rPr>
                <w:rFonts w:ascii="宋体" w:hAnsi="宋体"/>
                <w:szCs w:val="21"/>
                <w:highlight w:val="none"/>
              </w:rPr>
              <w:t>的投标报价之外，</w:t>
            </w:r>
            <w:r>
              <w:rPr>
                <w:rFonts w:hint="eastAsia" w:ascii="宋体" w:hAnsi="宋体"/>
                <w:szCs w:val="21"/>
                <w:highlight w:val="none"/>
              </w:rPr>
              <w:t>所有投标人的评标价去掉一个最高值和一个最低值后的算术平均值即为评标价平均值</w:t>
            </w:r>
            <w:r>
              <w:rPr>
                <w:rFonts w:hint="eastAsia" w:ascii="宋体" w:hAnsi="宋体" w:cs="宋体"/>
                <w:bCs/>
                <w:color w:val="000000"/>
                <w:szCs w:val="21"/>
                <w:highlight w:val="none"/>
              </w:rPr>
              <w:t>（</w:t>
            </w:r>
            <w:r>
              <w:rPr>
                <w:rFonts w:ascii="宋体" w:hAnsi="宋体" w:cs="宋体"/>
                <w:bCs/>
                <w:color w:val="000000"/>
                <w:szCs w:val="21"/>
                <w:highlight w:val="none"/>
              </w:rPr>
              <w:t>如</w:t>
            </w:r>
            <w:r>
              <w:rPr>
                <w:rFonts w:hint="eastAsia" w:ascii="宋体" w:hAnsi="宋体" w:cs="宋体"/>
                <w:bCs/>
                <w:color w:val="000000"/>
                <w:szCs w:val="21"/>
                <w:highlight w:val="none"/>
              </w:rPr>
              <w:t>果参与评标价平均值计算的有效投标人少于5家时</w:t>
            </w:r>
            <w:r>
              <w:rPr>
                <w:rFonts w:ascii="宋体" w:hAnsi="宋体" w:cs="宋体"/>
                <w:bCs/>
                <w:color w:val="000000"/>
                <w:szCs w:val="21"/>
                <w:highlight w:val="none"/>
              </w:rPr>
              <w:t>，则</w:t>
            </w:r>
            <w:r>
              <w:rPr>
                <w:rFonts w:hint="eastAsia" w:ascii="宋体" w:hAnsi="宋体" w:cs="宋体"/>
                <w:bCs/>
                <w:color w:val="000000"/>
                <w:szCs w:val="21"/>
                <w:highlight w:val="none"/>
              </w:rPr>
              <w:t>计算评标价平均值时</w:t>
            </w:r>
            <w:r>
              <w:rPr>
                <w:rFonts w:ascii="宋体" w:hAnsi="宋体" w:cs="宋体"/>
                <w:bCs/>
                <w:color w:val="000000"/>
                <w:szCs w:val="21"/>
                <w:highlight w:val="none"/>
              </w:rPr>
              <w:t>不去掉</w:t>
            </w:r>
            <w:r>
              <w:rPr>
                <w:rFonts w:hint="eastAsia" w:ascii="宋体" w:hAnsi="宋体" w:cs="宋体"/>
                <w:bCs/>
                <w:color w:val="000000"/>
                <w:szCs w:val="21"/>
                <w:highlight w:val="none"/>
              </w:rPr>
              <w:t>最高值和最低值</w:t>
            </w:r>
            <w:r>
              <w:rPr>
                <w:rFonts w:hint="eastAsia" w:ascii="宋体" w:hAnsi="宋体" w:cs="宋体"/>
                <w:bCs/>
                <w:szCs w:val="21"/>
                <w:highlight w:val="none"/>
              </w:rPr>
              <w:t>），评标价平均值的计算保留2位小数</w:t>
            </w:r>
            <w:r>
              <w:rPr>
                <w:rFonts w:hint="eastAsia" w:ascii="宋体" w:hAnsi="宋体" w:cs="宋体"/>
                <w:bCs/>
                <w:color w:val="000000"/>
                <w:szCs w:val="21"/>
                <w:highlight w:val="none"/>
              </w:rPr>
              <w:t>，小数点后第3位“四舍五入”。</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420" w:firstLineChars="200"/>
              <w:textAlignment w:val="auto"/>
              <w:rPr>
                <w:rFonts w:hint="eastAsia" w:ascii="宋体" w:hAnsi="宋体"/>
                <w:szCs w:val="21"/>
                <w:highlight w:val="none"/>
              </w:rPr>
            </w:pPr>
            <w:r>
              <w:rPr>
                <w:rFonts w:hint="eastAsia" w:ascii="宋体" w:hAnsi="宋体"/>
                <w:szCs w:val="21"/>
                <w:highlight w:val="none"/>
              </w:rPr>
              <w:t>（3）评标基准价的确定：</w:t>
            </w:r>
          </w:p>
          <w:p>
            <w:pPr>
              <w:keepNext w:val="0"/>
              <w:keepLines w:val="0"/>
              <w:pageBreakBefore w:val="0"/>
              <w:widowControl w:val="0"/>
              <w:kinsoku/>
              <w:wordWrap/>
              <w:overflowPunct/>
              <w:topLinePunct w:val="0"/>
              <w:autoSpaceDE/>
              <w:autoSpaceDN/>
              <w:bidi w:val="0"/>
              <w:adjustRightInd/>
              <w:snapToGrid w:val="0"/>
              <w:spacing w:line="240" w:lineRule="auto"/>
              <w:ind w:left="113" w:leftChars="54" w:right="113" w:firstLine="420" w:firstLineChars="200"/>
              <w:textAlignment w:val="auto"/>
              <w:rPr>
                <w:rFonts w:hint="eastAsia" w:ascii="宋体" w:hAnsi="宋体"/>
                <w:szCs w:val="21"/>
                <w:highlight w:val="none"/>
              </w:rPr>
            </w:pPr>
            <w:r>
              <w:rPr>
                <w:rFonts w:hint="eastAsia" w:ascii="宋体" w:hAnsi="宋体"/>
                <w:szCs w:val="21"/>
                <w:highlight w:val="none"/>
              </w:rPr>
              <w:t>将评标价平均值直接作为评标基准价。</w:t>
            </w:r>
          </w:p>
          <w:p>
            <w:pPr>
              <w:keepNext w:val="0"/>
              <w:keepLines w:val="0"/>
              <w:pageBreakBefore w:val="0"/>
              <w:widowControl w:val="0"/>
              <w:kinsoku/>
              <w:wordWrap/>
              <w:overflowPunct/>
              <w:topLinePunct w:val="0"/>
              <w:autoSpaceDE/>
              <w:autoSpaceDN/>
              <w:bidi w:val="0"/>
              <w:adjustRightInd/>
              <w:snapToGrid w:val="0"/>
              <w:spacing w:line="240" w:lineRule="auto"/>
              <w:ind w:firstLine="455" w:firstLineChars="217"/>
              <w:textAlignment w:val="auto"/>
              <w:rPr>
                <w:rFonts w:ascii="宋体" w:hAnsi="宋体"/>
                <w:szCs w:val="21"/>
                <w:highlight w:val="none"/>
              </w:rPr>
            </w:pPr>
            <w:r>
              <w:rPr>
                <w:rFonts w:hint="eastAsia" w:ascii="宋体" w:hAnsi="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highlight w:val="none"/>
              </w:rPr>
            </w:pPr>
            <w:r>
              <w:rPr>
                <w:rStyle w:val="54"/>
                <w:rFonts w:ascii="宋体" w:hAnsi="宋体" w:eastAsia="宋体"/>
                <w:szCs w:val="21"/>
                <w:highlight w:val="none"/>
                <w:lang w:eastAsia="zh-CN" w:bidi="ar-SA"/>
              </w:rPr>
              <w:t>2.2.3</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highlight w:val="none"/>
              </w:rPr>
            </w:pPr>
            <w:r>
              <w:rPr>
                <w:highlight w:val="none"/>
              </w:rPr>
              <w:t>评标价的偏差率计算公式</w:t>
            </w:r>
          </w:p>
        </w:tc>
        <w:tc>
          <w:tcPr>
            <w:tcW w:w="7222" w:type="dxa"/>
          </w:tcPr>
          <w:p>
            <w:pPr>
              <w:keepNext w:val="0"/>
              <w:keepLines w:val="0"/>
              <w:pageBreakBefore w:val="0"/>
              <w:widowControl w:val="0"/>
              <w:kinsoku/>
              <w:wordWrap/>
              <w:overflowPunct/>
              <w:topLinePunct w:val="0"/>
              <w:autoSpaceDE/>
              <w:autoSpaceDN/>
              <w:bidi w:val="0"/>
              <w:adjustRightInd/>
              <w:snapToGrid w:val="0"/>
              <w:spacing w:line="240" w:lineRule="auto"/>
              <w:ind w:left="50"/>
              <w:textAlignment w:val="auto"/>
              <w:rPr>
                <w:highlight w:val="none"/>
              </w:rPr>
            </w:pPr>
            <w:r>
              <w:rPr>
                <w:highlight w:val="none"/>
              </w:rPr>
              <w:t>偏差率=100%</w:t>
            </w:r>
            <w:r>
              <w:rPr>
                <w:rFonts w:hint="eastAsia"/>
                <w:highlight w:val="none"/>
              </w:rPr>
              <w:t>×（</w:t>
            </w:r>
            <w:r>
              <w:rPr>
                <w:highlight w:val="none"/>
              </w:rPr>
              <w:t>投标人评标价</w:t>
            </w:r>
            <w:r>
              <w:rPr>
                <w:rFonts w:hint="eastAsia"/>
                <w:highlight w:val="none"/>
              </w:rPr>
              <w:t>-</w:t>
            </w:r>
            <w:r>
              <w:rPr>
                <w:highlight w:val="none"/>
              </w:rPr>
              <w:t>评标基准价）/评标基准价</w:t>
            </w:r>
          </w:p>
          <w:p>
            <w:pPr>
              <w:keepNext w:val="0"/>
              <w:keepLines w:val="0"/>
              <w:pageBreakBefore w:val="0"/>
              <w:widowControl w:val="0"/>
              <w:kinsoku/>
              <w:wordWrap/>
              <w:overflowPunct/>
              <w:topLinePunct w:val="0"/>
              <w:autoSpaceDE/>
              <w:autoSpaceDN/>
              <w:bidi w:val="0"/>
              <w:adjustRightInd/>
              <w:snapToGrid w:val="0"/>
              <w:spacing w:line="240" w:lineRule="auto"/>
              <w:ind w:left="50"/>
              <w:textAlignment w:val="auto"/>
              <w:rPr>
                <w:rFonts w:ascii="宋体" w:hAnsi="宋体"/>
                <w:szCs w:val="21"/>
                <w:highlight w:val="none"/>
              </w:rPr>
            </w:pPr>
            <w:r>
              <w:rPr>
                <w:highlight w:val="none"/>
              </w:rPr>
              <w:t>偏差率保留</w:t>
            </w:r>
            <w:r>
              <w:rPr>
                <w:rFonts w:hint="eastAsia"/>
                <w:highlight w:val="none"/>
              </w:rPr>
              <w:t>2</w:t>
            </w:r>
            <w:r>
              <w:rPr>
                <w:highlight w:val="none"/>
              </w:rPr>
              <w:t>位小数</w:t>
            </w:r>
          </w:p>
        </w:tc>
      </w:tr>
    </w:tbl>
    <w:p>
      <w:pPr>
        <w:spacing w:line="240" w:lineRule="auto"/>
        <w:jc w:val="right"/>
        <w:rPr>
          <w:rFonts w:hint="eastAsia" w:ascii="宋体" w:hAnsi="宋体"/>
          <w:szCs w:val="21"/>
          <w:highlight w:val="none"/>
        </w:rPr>
      </w:pPr>
    </w:p>
    <w:p>
      <w:pPr>
        <w:spacing w:line="240" w:lineRule="auto"/>
        <w:jc w:val="right"/>
        <w:rPr>
          <w:rFonts w:hint="eastAsia" w:ascii="宋体" w:hAnsi="宋体"/>
          <w:szCs w:val="21"/>
          <w:highlight w:val="none"/>
        </w:rPr>
      </w:pPr>
    </w:p>
    <w:p>
      <w:pPr>
        <w:spacing w:line="240" w:lineRule="auto"/>
        <w:jc w:val="right"/>
        <w:rPr>
          <w:rFonts w:hint="eastAsia" w:ascii="宋体" w:hAnsi="宋体"/>
          <w:szCs w:val="21"/>
          <w:highlight w:val="none"/>
        </w:rPr>
      </w:pPr>
    </w:p>
    <w:p>
      <w:pPr>
        <w:spacing w:line="240" w:lineRule="auto"/>
        <w:jc w:val="right"/>
        <w:rPr>
          <w:rFonts w:hint="eastAsia" w:ascii="宋体" w:hAnsi="宋体"/>
          <w:szCs w:val="21"/>
          <w:highlight w:val="none"/>
        </w:rPr>
      </w:pPr>
    </w:p>
    <w:p>
      <w:pPr>
        <w:spacing w:line="240" w:lineRule="auto"/>
        <w:jc w:val="right"/>
        <w:rPr>
          <w:rFonts w:ascii="宋体" w:hAnsi="宋体"/>
          <w:szCs w:val="21"/>
          <w:highlight w:val="none"/>
        </w:rPr>
      </w:pPr>
      <w:r>
        <w:rPr>
          <w:rFonts w:hint="eastAsia" w:ascii="宋体" w:hAnsi="宋体"/>
          <w:szCs w:val="21"/>
          <w:highlight w:val="none"/>
        </w:rPr>
        <w:t>续上表</w:t>
      </w:r>
    </w:p>
    <w:tbl>
      <w:tblPr>
        <w:tblStyle w:val="4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07"/>
        <w:gridCol w:w="707"/>
        <w:gridCol w:w="1130"/>
        <w:gridCol w:w="2261"/>
        <w:gridCol w:w="1107"/>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150" w:type="dxa"/>
            <w:gridSpan w:val="6"/>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评分因素与权重分值</w:t>
            </w:r>
            <w:r>
              <w:rPr>
                <w:rStyle w:val="53"/>
                <w:rFonts w:ascii="宋体" w:hAnsi="宋体"/>
                <w:szCs w:val="21"/>
                <w:highlight w:val="none"/>
              </w:rPr>
              <w:footnoteReference w:id="5"/>
            </w:r>
          </w:p>
        </w:tc>
        <w:tc>
          <w:tcPr>
            <w:tcW w:w="2429"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38"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条款号</w:t>
            </w:r>
          </w:p>
        </w:tc>
        <w:tc>
          <w:tcPr>
            <w:tcW w:w="1414" w:type="dxa"/>
            <w:gridSpan w:val="2"/>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评分因素</w:t>
            </w:r>
          </w:p>
        </w:tc>
        <w:tc>
          <w:tcPr>
            <w:tcW w:w="113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评分因素权重分值</w:t>
            </w:r>
          </w:p>
        </w:tc>
        <w:tc>
          <w:tcPr>
            <w:tcW w:w="2261"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各评分因素细分项</w:t>
            </w: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b/>
                <w:szCs w:val="21"/>
                <w:highlight w:val="none"/>
              </w:rPr>
            </w:pPr>
            <w:r>
              <w:rPr>
                <w:rFonts w:hint="eastAsia" w:ascii="宋体" w:hAnsi="宋体"/>
                <w:b/>
                <w:szCs w:val="21"/>
                <w:highlight w:val="none"/>
              </w:rPr>
              <w:t>分值</w:t>
            </w:r>
          </w:p>
        </w:tc>
        <w:tc>
          <w:tcPr>
            <w:tcW w:w="2429" w:type="dxa"/>
            <w:vMerge w:val="continue"/>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38"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2.2.4（1）</w:t>
            </w:r>
          </w:p>
        </w:tc>
        <w:tc>
          <w:tcPr>
            <w:tcW w:w="1414" w:type="dxa"/>
            <w:gridSpan w:val="2"/>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技术建议书</w:t>
            </w:r>
          </w:p>
        </w:tc>
        <w:tc>
          <w:tcPr>
            <w:tcW w:w="1130"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35</w:t>
            </w:r>
            <w:r>
              <w:rPr>
                <w:rFonts w:hint="eastAsia" w:ascii="宋体" w:hAnsi="宋体"/>
                <w:szCs w:val="21"/>
                <w:highlight w:val="none"/>
              </w:rPr>
              <w:t>分</w:t>
            </w:r>
          </w:p>
        </w:tc>
        <w:tc>
          <w:tcPr>
            <w:tcW w:w="2261" w:type="dxa"/>
            <w:vMerge w:val="restart"/>
            <w:vAlign w:val="center"/>
          </w:tcPr>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Cs w:val="21"/>
                <w:highlight w:val="none"/>
              </w:rPr>
            </w:pPr>
            <w:r>
              <w:rPr>
                <w:rFonts w:hint="eastAsia" w:ascii="宋体" w:hAnsi="宋体"/>
                <w:szCs w:val="21"/>
                <w:highlight w:val="none"/>
              </w:rPr>
              <w:t>监理大纲（或监理方案）和措施</w:t>
            </w:r>
          </w:p>
        </w:tc>
        <w:tc>
          <w:tcPr>
            <w:tcW w:w="1107"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2</w:t>
            </w:r>
            <w:r>
              <w:rPr>
                <w:rFonts w:hint="eastAsia" w:ascii="宋体" w:hAnsi="宋体"/>
                <w:szCs w:val="21"/>
                <w:highlight w:val="none"/>
                <w:u w:val="single"/>
                <w:lang w:val="en-US" w:eastAsia="zh-CN"/>
              </w:rPr>
              <w:t>5</w:t>
            </w:r>
            <w:r>
              <w:rPr>
                <w:rFonts w:hint="eastAsia" w:ascii="宋体" w:hAnsi="宋体"/>
                <w:szCs w:val="21"/>
                <w:highlight w:val="none"/>
              </w:rPr>
              <w:t>分</w:t>
            </w:r>
          </w:p>
        </w:tc>
        <w:tc>
          <w:tcPr>
            <w:tcW w:w="2429" w:type="dxa"/>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kern w:val="0"/>
                <w:szCs w:val="21"/>
                <w:highlight w:val="none"/>
              </w:rPr>
            </w:pPr>
            <w:r>
              <w:rPr>
                <w:rFonts w:hint="eastAsia" w:ascii="宋体" w:hAnsi="宋体"/>
                <w:kern w:val="0"/>
                <w:szCs w:val="21"/>
                <w:highlight w:val="none"/>
              </w:rPr>
              <w:t>好，20-25分；</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kern w:val="0"/>
                <w:szCs w:val="21"/>
                <w:highlight w:val="none"/>
              </w:rPr>
            </w:pPr>
            <w:r>
              <w:rPr>
                <w:rFonts w:hint="eastAsia" w:ascii="宋体" w:hAnsi="宋体"/>
                <w:kern w:val="0"/>
                <w:szCs w:val="21"/>
                <w:highlight w:val="none"/>
              </w:rPr>
              <w:t>较好，15-20分；</w:t>
            </w:r>
          </w:p>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r>
              <w:rPr>
                <w:rFonts w:hint="eastAsia" w:ascii="宋体" w:hAnsi="宋体"/>
                <w:kern w:val="0"/>
                <w:szCs w:val="21"/>
                <w:highlight w:val="none"/>
              </w:rPr>
              <w:t>一般，15分。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414" w:type="dxa"/>
            <w:gridSpan w:val="2"/>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130"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2261" w:type="dxa"/>
            <w:vMerge w:val="restart"/>
            <w:vAlign w:val="center"/>
          </w:tcPr>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Cs w:val="21"/>
                <w:highlight w:val="none"/>
              </w:rPr>
            </w:pPr>
            <w:r>
              <w:rPr>
                <w:rFonts w:hint="eastAsia" w:ascii="宋体" w:hAnsi="宋体"/>
                <w:szCs w:val="21"/>
                <w:highlight w:val="none"/>
              </w:rPr>
              <w:t>本工程监理工作的重点与难点分析</w:t>
            </w:r>
          </w:p>
        </w:tc>
        <w:tc>
          <w:tcPr>
            <w:tcW w:w="1107"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lang w:val="en-US" w:eastAsia="zh-CN"/>
              </w:rPr>
              <w:t>5</w:t>
            </w:r>
            <w:r>
              <w:rPr>
                <w:rFonts w:hint="eastAsia" w:ascii="宋体" w:hAnsi="宋体"/>
                <w:szCs w:val="21"/>
                <w:highlight w:val="none"/>
              </w:rPr>
              <w:t>分</w:t>
            </w:r>
          </w:p>
        </w:tc>
        <w:tc>
          <w:tcPr>
            <w:tcW w:w="2429" w:type="dxa"/>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kern w:val="0"/>
                <w:szCs w:val="21"/>
                <w:highlight w:val="none"/>
              </w:rPr>
            </w:pPr>
            <w:r>
              <w:rPr>
                <w:rFonts w:hint="eastAsia" w:ascii="宋体" w:hAnsi="宋体"/>
                <w:kern w:val="0"/>
                <w:szCs w:val="21"/>
                <w:highlight w:val="none"/>
              </w:rPr>
              <w:t>好，4-5分；</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kern w:val="0"/>
                <w:szCs w:val="21"/>
                <w:highlight w:val="none"/>
              </w:rPr>
            </w:pPr>
            <w:r>
              <w:rPr>
                <w:rFonts w:hint="eastAsia" w:ascii="宋体" w:hAnsi="宋体"/>
                <w:kern w:val="0"/>
                <w:szCs w:val="21"/>
                <w:highlight w:val="none"/>
              </w:rPr>
              <w:t>较好，3-4分；</w:t>
            </w:r>
          </w:p>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Cs w:val="21"/>
                <w:highlight w:val="none"/>
              </w:rPr>
            </w:pPr>
            <w:r>
              <w:rPr>
                <w:rFonts w:hint="eastAsia" w:ascii="宋体" w:hAnsi="宋体"/>
                <w:kern w:val="0"/>
                <w:szCs w:val="21"/>
                <w:highlight w:val="none"/>
              </w:rPr>
              <w:t>一般，3分。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414" w:type="dxa"/>
            <w:gridSpan w:val="2"/>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130"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2261" w:type="dxa"/>
            <w:vMerge w:val="restart"/>
            <w:vAlign w:val="center"/>
          </w:tcPr>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Cs w:val="21"/>
                <w:highlight w:val="none"/>
              </w:rPr>
            </w:pPr>
            <w:r>
              <w:rPr>
                <w:rFonts w:hint="eastAsia" w:ascii="宋体" w:hAnsi="宋体"/>
                <w:szCs w:val="21"/>
                <w:highlight w:val="none"/>
              </w:rPr>
              <w:t>对本工程的建议</w:t>
            </w: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u w:val="single"/>
              </w:rPr>
            </w:pPr>
            <w:r>
              <w:rPr>
                <w:rFonts w:hint="eastAsia" w:ascii="宋体" w:hAnsi="宋体"/>
                <w:szCs w:val="21"/>
                <w:highlight w:val="none"/>
                <w:u w:val="single"/>
              </w:rPr>
              <w:t>5</w:t>
            </w:r>
            <w:r>
              <w:rPr>
                <w:rFonts w:hint="eastAsia" w:ascii="宋体" w:hAnsi="宋体"/>
                <w:szCs w:val="21"/>
                <w:highlight w:val="none"/>
              </w:rPr>
              <w:t>分</w:t>
            </w:r>
          </w:p>
        </w:tc>
        <w:tc>
          <w:tcPr>
            <w:tcW w:w="2429" w:type="dxa"/>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kern w:val="0"/>
                <w:szCs w:val="21"/>
                <w:highlight w:val="none"/>
              </w:rPr>
            </w:pPr>
            <w:r>
              <w:rPr>
                <w:rFonts w:hint="eastAsia" w:ascii="宋体" w:hAnsi="宋体"/>
                <w:kern w:val="0"/>
                <w:szCs w:val="21"/>
                <w:highlight w:val="none"/>
              </w:rPr>
              <w:t>好，4-5分；</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kern w:val="0"/>
                <w:szCs w:val="21"/>
                <w:highlight w:val="none"/>
              </w:rPr>
            </w:pPr>
            <w:r>
              <w:rPr>
                <w:rFonts w:hint="eastAsia" w:ascii="宋体" w:hAnsi="宋体"/>
                <w:kern w:val="0"/>
                <w:szCs w:val="21"/>
                <w:highlight w:val="none"/>
              </w:rPr>
              <w:t>较好，3-4分；</w:t>
            </w:r>
          </w:p>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Cs w:val="21"/>
                <w:highlight w:val="none"/>
              </w:rPr>
            </w:pPr>
            <w:r>
              <w:rPr>
                <w:rFonts w:hint="eastAsia" w:ascii="宋体" w:hAnsi="宋体"/>
                <w:kern w:val="0"/>
                <w:szCs w:val="21"/>
                <w:highlight w:val="none"/>
              </w:rPr>
              <w:t>一般，3分。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2.2.4（2）</w:t>
            </w:r>
          </w:p>
        </w:tc>
        <w:tc>
          <w:tcPr>
            <w:tcW w:w="1414" w:type="dxa"/>
            <w:gridSpan w:val="2"/>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主要人员</w:t>
            </w:r>
          </w:p>
        </w:tc>
        <w:tc>
          <w:tcPr>
            <w:tcW w:w="1130"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25</w:t>
            </w:r>
            <w:r>
              <w:rPr>
                <w:rFonts w:hint="eastAsia" w:ascii="宋体" w:hAnsi="宋体"/>
                <w:szCs w:val="21"/>
                <w:highlight w:val="none"/>
              </w:rPr>
              <w:t>分</w:t>
            </w:r>
          </w:p>
        </w:tc>
        <w:tc>
          <w:tcPr>
            <w:tcW w:w="2261" w:type="dxa"/>
            <w:vMerge w:val="restart"/>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r>
              <w:rPr>
                <w:rFonts w:ascii="宋体" w:hAnsi="宋体"/>
                <w:szCs w:val="21"/>
                <w:highlight w:val="none"/>
                <w:lang w:bidi="en-US"/>
              </w:rPr>
              <w:t>总监理工程师任职资格与业绩</w:t>
            </w: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rPr>
              <w:t>分</w:t>
            </w:r>
          </w:p>
        </w:tc>
        <w:tc>
          <w:tcPr>
            <w:tcW w:w="2429" w:type="dxa"/>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szCs w:val="21"/>
                <w:highlight w:val="none"/>
                <w:lang w:val="en-US" w:eastAsia="zh-CN"/>
              </w:rPr>
            </w:pPr>
            <w:r>
              <w:rPr>
                <w:rFonts w:hint="eastAsia" w:ascii="宋体" w:hAnsi="宋体"/>
                <w:szCs w:val="21"/>
                <w:highlight w:val="none"/>
              </w:rPr>
              <w:t>满足资格审查</w:t>
            </w:r>
            <w:r>
              <w:rPr>
                <w:rFonts w:ascii="宋体" w:hAnsi="宋体"/>
                <w:szCs w:val="21"/>
                <w:highlight w:val="none"/>
              </w:rPr>
              <w:t>最低资格要求得</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分</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38"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414" w:type="dxa"/>
            <w:gridSpan w:val="2"/>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130"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u w:val="single"/>
              </w:rPr>
            </w:pPr>
          </w:p>
        </w:tc>
        <w:tc>
          <w:tcPr>
            <w:tcW w:w="2261" w:type="dxa"/>
            <w:vMerge w:val="continue"/>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lang w:bidi="en-US"/>
              </w:rPr>
            </w:pP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u w:val="single"/>
              </w:rPr>
            </w:pPr>
            <w:r>
              <w:rPr>
                <w:rFonts w:hint="eastAsia" w:ascii="宋体" w:hAnsi="宋体"/>
                <w:szCs w:val="21"/>
                <w:highlight w:val="none"/>
                <w:u w:val="single"/>
                <w:lang w:val="en-US" w:eastAsia="zh-CN"/>
              </w:rPr>
              <w:t>10</w:t>
            </w:r>
            <w:r>
              <w:rPr>
                <w:rFonts w:hint="eastAsia" w:ascii="宋体" w:hAnsi="宋体"/>
                <w:szCs w:val="21"/>
                <w:highlight w:val="none"/>
              </w:rPr>
              <w:t>分</w:t>
            </w:r>
          </w:p>
        </w:tc>
        <w:tc>
          <w:tcPr>
            <w:tcW w:w="2429" w:type="dxa"/>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r>
              <w:rPr>
                <w:rFonts w:hint="eastAsia" w:ascii="宋体" w:hAnsi="宋体"/>
                <w:szCs w:val="21"/>
                <w:highlight w:val="none"/>
              </w:rPr>
              <w:t>在满足满足资格审查</w:t>
            </w:r>
            <w:r>
              <w:rPr>
                <w:rFonts w:ascii="宋体" w:hAnsi="宋体"/>
                <w:szCs w:val="21"/>
                <w:highlight w:val="none"/>
              </w:rPr>
              <w:t>最低资格要求</w:t>
            </w:r>
            <w:r>
              <w:rPr>
                <w:rFonts w:hint="eastAsia" w:ascii="宋体" w:hAnsi="宋体"/>
                <w:szCs w:val="21"/>
                <w:highlight w:val="none"/>
              </w:rPr>
              <w:t>前提下，每</w:t>
            </w:r>
            <w:r>
              <w:rPr>
                <w:rFonts w:ascii="宋体" w:hAnsi="宋体"/>
                <w:szCs w:val="21"/>
                <w:highlight w:val="none"/>
              </w:rPr>
              <w:t>增加一项以总监理工程师身份完成的</w:t>
            </w:r>
            <w:r>
              <w:rPr>
                <w:rFonts w:hint="eastAsia" w:ascii="宋体" w:hAnsi="宋体"/>
                <w:szCs w:val="21"/>
                <w:highlight w:val="none"/>
                <w:lang w:val="en-US" w:eastAsia="zh-CN"/>
              </w:rPr>
              <w:t>二</w:t>
            </w:r>
            <w:r>
              <w:rPr>
                <w:rFonts w:ascii="宋体" w:hAnsi="宋体"/>
                <w:szCs w:val="21"/>
                <w:highlight w:val="none"/>
              </w:rPr>
              <w:t>级</w:t>
            </w:r>
            <w:r>
              <w:rPr>
                <w:rFonts w:hint="eastAsia" w:ascii="宋体" w:hAnsi="宋体"/>
                <w:szCs w:val="21"/>
                <w:highlight w:val="none"/>
              </w:rPr>
              <w:t>及</w:t>
            </w:r>
            <w:r>
              <w:rPr>
                <w:rFonts w:ascii="宋体" w:hAnsi="宋体"/>
                <w:szCs w:val="21"/>
                <w:highlight w:val="none"/>
              </w:rPr>
              <w:t>以上公路工程</w:t>
            </w:r>
            <w:r>
              <w:rPr>
                <w:rFonts w:hint="eastAsia" w:ascii="宋体" w:hAnsi="宋体"/>
                <w:szCs w:val="21"/>
                <w:highlight w:val="none"/>
              </w:rPr>
              <w:t>项目</w:t>
            </w:r>
            <w:r>
              <w:rPr>
                <w:rFonts w:ascii="宋体" w:hAnsi="宋体"/>
                <w:szCs w:val="21"/>
                <w:highlight w:val="none"/>
              </w:rPr>
              <w:t>监</w:t>
            </w:r>
            <w:r>
              <w:rPr>
                <w:rFonts w:ascii="宋体" w:hAnsi="宋体"/>
                <w:szCs w:val="21"/>
                <w:highlight w:val="none"/>
              </w:rPr>
              <w:t>理业绩加</w:t>
            </w:r>
            <w:r>
              <w:rPr>
                <w:rFonts w:hint="eastAsia" w:ascii="宋体" w:hAnsi="宋体"/>
                <w:szCs w:val="21"/>
                <w:highlight w:val="none"/>
                <w:lang w:val="en-US" w:eastAsia="zh-CN"/>
              </w:rPr>
              <w:t>5</w:t>
            </w:r>
            <w:r>
              <w:rPr>
                <w:rFonts w:hint="eastAsia" w:ascii="宋体" w:hAnsi="宋体"/>
                <w:szCs w:val="21"/>
                <w:highlight w:val="none"/>
              </w:rPr>
              <w:t>分，</w:t>
            </w:r>
            <w:r>
              <w:rPr>
                <w:rFonts w:ascii="宋体" w:hAnsi="宋体"/>
                <w:szCs w:val="21"/>
                <w:highlight w:val="none"/>
              </w:rPr>
              <w:t>最多加</w:t>
            </w:r>
            <w:r>
              <w:rPr>
                <w:rFonts w:hint="eastAsia" w:ascii="宋体" w:hAnsi="宋体"/>
                <w:szCs w:val="21"/>
                <w:highlight w:val="none"/>
                <w:lang w:val="en-US" w:eastAsia="zh-CN"/>
              </w:rPr>
              <w:t>10</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8"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2.2.4（3）</w:t>
            </w:r>
          </w:p>
        </w:tc>
        <w:tc>
          <w:tcPr>
            <w:tcW w:w="1414" w:type="dxa"/>
            <w:gridSpan w:val="2"/>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评标价</w:t>
            </w:r>
          </w:p>
        </w:tc>
        <w:tc>
          <w:tcPr>
            <w:tcW w:w="113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10</w:t>
            </w:r>
            <w:r>
              <w:rPr>
                <w:rFonts w:hint="eastAsia" w:ascii="宋体" w:hAnsi="宋体"/>
                <w:szCs w:val="21"/>
                <w:highlight w:val="none"/>
              </w:rPr>
              <w:t>分</w:t>
            </w:r>
          </w:p>
        </w:tc>
        <w:tc>
          <w:tcPr>
            <w:tcW w:w="5797" w:type="dxa"/>
            <w:gridSpan w:val="3"/>
          </w:tcPr>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jc w:val="both"/>
              <w:textAlignment w:val="auto"/>
              <w:rPr>
                <w:rFonts w:cs="宋体"/>
                <w:sz w:val="21"/>
                <w:szCs w:val="21"/>
                <w:highlight w:val="none"/>
                <w:lang w:val="zh-CN"/>
              </w:rPr>
            </w:pPr>
            <w:r>
              <w:rPr>
                <w:rFonts w:cs="宋体"/>
                <w:sz w:val="21"/>
                <w:szCs w:val="21"/>
                <w:highlight w:val="none"/>
                <w:lang w:val="zh-CN"/>
              </w:rPr>
              <w:t>评标价得分计算公式示例：</w:t>
            </w:r>
          </w:p>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jc w:val="both"/>
              <w:textAlignment w:val="auto"/>
              <w:rPr>
                <w:sz w:val="21"/>
                <w:szCs w:val="21"/>
                <w:highlight w:val="none"/>
                <w:lang w:val="zh-CN"/>
              </w:rPr>
            </w:pPr>
            <w:r>
              <w:rPr>
                <w:rFonts w:hint="eastAsia" w:cs="宋体"/>
                <w:sz w:val="21"/>
                <w:szCs w:val="21"/>
                <w:highlight w:val="none"/>
                <w:lang w:val="zh-CN"/>
              </w:rPr>
              <w:t>当投标人的评标价等于</w:t>
            </w:r>
            <w:r>
              <w:rPr>
                <w:sz w:val="21"/>
                <w:szCs w:val="21"/>
                <w:highlight w:val="none"/>
                <w:lang w:val="zh-CN"/>
              </w:rPr>
              <w:t>D</w:t>
            </w:r>
            <w:r>
              <w:rPr>
                <w:rFonts w:hint="eastAsia" w:cs="宋体"/>
                <w:sz w:val="21"/>
                <w:szCs w:val="21"/>
                <w:highlight w:val="none"/>
                <w:lang w:val="zh-CN"/>
              </w:rPr>
              <w:t>时得满分（</w:t>
            </w:r>
            <w:r>
              <w:rPr>
                <w:rFonts w:hint="eastAsia"/>
                <w:sz w:val="21"/>
                <w:szCs w:val="21"/>
                <w:highlight w:val="none"/>
                <w:lang w:val="en-US" w:eastAsia="zh-CN"/>
              </w:rPr>
              <w:t>10</w:t>
            </w:r>
            <w:r>
              <w:rPr>
                <w:rFonts w:hint="eastAsia" w:cs="宋体"/>
                <w:sz w:val="21"/>
                <w:szCs w:val="21"/>
                <w:highlight w:val="none"/>
                <w:lang w:val="zh-CN"/>
              </w:rPr>
              <w:t>分），每高于</w:t>
            </w:r>
            <w:r>
              <w:rPr>
                <w:sz w:val="21"/>
                <w:szCs w:val="21"/>
                <w:highlight w:val="none"/>
                <w:lang w:val="zh-CN"/>
              </w:rPr>
              <w:t>D</w:t>
            </w:r>
            <w:r>
              <w:rPr>
                <w:rFonts w:hint="eastAsia" w:cs="宋体"/>
                <w:sz w:val="21"/>
                <w:szCs w:val="21"/>
                <w:highlight w:val="none"/>
                <w:lang w:val="zh-CN"/>
              </w:rPr>
              <w:t>一个百分点扣</w:t>
            </w:r>
            <w:r>
              <w:rPr>
                <w:rFonts w:hint="eastAsia"/>
                <w:sz w:val="21"/>
                <w:szCs w:val="21"/>
                <w:highlight w:val="none"/>
              </w:rPr>
              <w:t>0.2</w:t>
            </w:r>
            <w:r>
              <w:rPr>
                <w:rFonts w:hint="eastAsia" w:cs="宋体"/>
                <w:sz w:val="21"/>
                <w:szCs w:val="21"/>
                <w:highlight w:val="none"/>
                <w:lang w:val="zh-CN"/>
              </w:rPr>
              <w:t>分，每低于</w:t>
            </w:r>
            <w:r>
              <w:rPr>
                <w:sz w:val="21"/>
                <w:szCs w:val="21"/>
                <w:highlight w:val="none"/>
                <w:lang w:val="zh-CN"/>
              </w:rPr>
              <w:t>D</w:t>
            </w:r>
            <w:r>
              <w:rPr>
                <w:rFonts w:hint="eastAsia" w:cs="宋体"/>
                <w:sz w:val="21"/>
                <w:szCs w:val="21"/>
                <w:highlight w:val="none"/>
                <w:lang w:val="zh-CN"/>
              </w:rPr>
              <w:t>一个百分点扣</w:t>
            </w:r>
            <w:r>
              <w:rPr>
                <w:rFonts w:hint="eastAsia" w:cs="宋体"/>
                <w:sz w:val="21"/>
                <w:szCs w:val="21"/>
                <w:highlight w:val="none"/>
              </w:rPr>
              <w:t>0.1</w:t>
            </w:r>
            <w:r>
              <w:rPr>
                <w:rFonts w:hint="eastAsia" w:cs="宋体"/>
                <w:sz w:val="21"/>
                <w:szCs w:val="21"/>
                <w:highlight w:val="none"/>
                <w:lang w:val="zh-CN"/>
              </w:rPr>
              <w:t>分，中间值按比例内插。</w:t>
            </w:r>
          </w:p>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jc w:val="both"/>
              <w:textAlignment w:val="auto"/>
              <w:rPr>
                <w:sz w:val="21"/>
                <w:szCs w:val="21"/>
                <w:highlight w:val="none"/>
                <w:lang w:val="zh-CN"/>
              </w:rPr>
            </w:pPr>
            <w:r>
              <w:rPr>
                <w:rFonts w:hint="eastAsia" w:cs="宋体"/>
                <w:sz w:val="21"/>
                <w:szCs w:val="21"/>
                <w:highlight w:val="none"/>
                <w:lang w:val="zh-CN"/>
              </w:rPr>
              <w:t>用公式表示如下：</w:t>
            </w:r>
          </w:p>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ind w:firstLine="1155" w:firstLineChars="550"/>
              <w:jc w:val="both"/>
              <w:textAlignment w:val="auto"/>
              <w:rPr>
                <w:sz w:val="21"/>
                <w:szCs w:val="21"/>
                <w:highlight w:val="none"/>
                <w:lang w:val="zh-CN"/>
              </w:rPr>
            </w:pPr>
            <w:r>
              <w:rPr>
                <w:position w:val="-24"/>
                <w:sz w:val="21"/>
                <w:szCs w:val="21"/>
                <w:highlight w:val="none"/>
                <w:lang w:val="zh-CN"/>
              </w:rPr>
              <w:object>
                <v:shape id="_x0000_i1025" o:spt="75" type="#_x0000_t75" style="height:39.75pt;width:154.6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ind w:left="630" w:hanging="630" w:hangingChars="300"/>
              <w:jc w:val="both"/>
              <w:textAlignment w:val="auto"/>
              <w:rPr>
                <w:sz w:val="21"/>
                <w:szCs w:val="21"/>
                <w:highlight w:val="none"/>
                <w:lang w:val="zh-CN"/>
              </w:rPr>
            </w:pPr>
            <w:r>
              <w:rPr>
                <w:rFonts w:hint="eastAsia" w:cs="宋体"/>
                <w:sz w:val="21"/>
                <w:szCs w:val="21"/>
                <w:highlight w:val="none"/>
                <w:lang w:val="zh-CN"/>
              </w:rPr>
              <w:t>式中：</w:t>
            </w:r>
            <w:r>
              <w:rPr>
                <w:sz w:val="21"/>
                <w:szCs w:val="21"/>
                <w:highlight w:val="none"/>
                <w:lang w:val="zh-CN"/>
              </w:rPr>
              <w:t>F—</w:t>
            </w:r>
            <w:r>
              <w:rPr>
                <w:rFonts w:hint="eastAsia" w:cs="宋体"/>
                <w:sz w:val="21"/>
                <w:szCs w:val="21"/>
                <w:highlight w:val="none"/>
                <w:lang w:val="zh-CN"/>
              </w:rPr>
              <w:t>投标人投标价得分，计算保留小数点后两位，小数点后第三位</w:t>
            </w:r>
            <w:r>
              <w:rPr>
                <w:sz w:val="21"/>
                <w:szCs w:val="21"/>
                <w:highlight w:val="none"/>
                <w:lang w:val="zh-CN"/>
              </w:rPr>
              <w:t>“</w:t>
            </w:r>
            <w:r>
              <w:rPr>
                <w:rFonts w:hint="eastAsia" w:cs="宋体"/>
                <w:sz w:val="21"/>
                <w:szCs w:val="21"/>
                <w:highlight w:val="none"/>
                <w:lang w:val="zh-CN"/>
              </w:rPr>
              <w:t>四舍五入</w:t>
            </w:r>
            <w:r>
              <w:rPr>
                <w:sz w:val="21"/>
                <w:szCs w:val="21"/>
                <w:highlight w:val="none"/>
                <w:lang w:val="zh-CN"/>
              </w:rPr>
              <w:t>”</w:t>
            </w:r>
            <w:r>
              <w:rPr>
                <w:rFonts w:hint="eastAsia" w:cs="宋体"/>
                <w:sz w:val="21"/>
                <w:szCs w:val="21"/>
                <w:highlight w:val="none"/>
                <w:lang w:val="zh-CN"/>
              </w:rPr>
              <w:t>。</w:t>
            </w:r>
          </w:p>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ind w:firstLine="630" w:firstLineChars="300"/>
              <w:jc w:val="both"/>
              <w:textAlignment w:val="auto"/>
              <w:rPr>
                <w:sz w:val="21"/>
                <w:szCs w:val="21"/>
                <w:highlight w:val="none"/>
                <w:lang w:val="zh-CN"/>
              </w:rPr>
            </w:pPr>
            <w:r>
              <w:rPr>
                <w:sz w:val="21"/>
                <w:szCs w:val="21"/>
                <w:highlight w:val="none"/>
                <w:lang w:val="zh-CN"/>
              </w:rPr>
              <w:t>Di—</w:t>
            </w:r>
            <w:r>
              <w:rPr>
                <w:rFonts w:hint="eastAsia" w:cs="宋体"/>
                <w:sz w:val="21"/>
                <w:szCs w:val="21"/>
                <w:highlight w:val="none"/>
                <w:lang w:val="zh-CN"/>
              </w:rPr>
              <w:t>投标人的评标价；</w:t>
            </w:r>
          </w:p>
          <w:p>
            <w:pPr>
              <w:pStyle w:val="28"/>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240" w:lineRule="auto"/>
              <w:ind w:firstLine="630" w:firstLineChars="300"/>
              <w:jc w:val="both"/>
              <w:textAlignment w:val="auto"/>
              <w:rPr>
                <w:sz w:val="21"/>
                <w:szCs w:val="21"/>
                <w:highlight w:val="none"/>
                <w:lang w:val="zh-CN"/>
              </w:rPr>
            </w:pPr>
            <w:r>
              <w:rPr>
                <w:sz w:val="21"/>
                <w:szCs w:val="21"/>
                <w:highlight w:val="none"/>
                <w:lang w:val="zh-CN"/>
              </w:rPr>
              <w:t>D—</w:t>
            </w:r>
            <w:r>
              <w:rPr>
                <w:rFonts w:hint="eastAsia" w:cs="宋体"/>
                <w:sz w:val="21"/>
                <w:szCs w:val="21"/>
                <w:highlight w:val="none"/>
                <w:lang w:val="zh-CN"/>
              </w:rPr>
              <w:t>评标基准价。</w:t>
            </w:r>
          </w:p>
          <w:p>
            <w:pPr>
              <w:keepNext w:val="0"/>
              <w:keepLines w:val="0"/>
              <w:pageBreakBefore w:val="0"/>
              <w:widowControl w:val="0"/>
              <w:kinsoku/>
              <w:wordWrap/>
              <w:overflowPunct/>
              <w:topLinePunct w:val="0"/>
              <w:bidi w:val="0"/>
              <w:snapToGrid w:val="0"/>
              <w:spacing w:line="240" w:lineRule="auto"/>
              <w:ind w:firstLine="420" w:firstLineChars="200"/>
              <w:jc w:val="left"/>
              <w:textAlignment w:val="auto"/>
              <w:rPr>
                <w:rFonts w:ascii="宋体" w:hAnsi="宋体"/>
                <w:szCs w:val="21"/>
                <w:highlight w:val="none"/>
              </w:rPr>
            </w:pPr>
            <w:r>
              <w:rPr>
                <w:highlight w:val="none"/>
                <w:lang w:val="zh-CN"/>
              </w:rPr>
              <w:t>E—</w:t>
            </w:r>
            <w:r>
              <w:rPr>
                <w:rFonts w:hint="eastAsia" w:cs="宋体"/>
                <w:highlight w:val="none"/>
                <w:lang w:val="zh-CN"/>
              </w:rPr>
              <w:t>扣分值。若</w:t>
            </w:r>
            <w:r>
              <w:rPr>
                <w:highlight w:val="none"/>
                <w:lang w:val="zh-CN"/>
              </w:rPr>
              <w:t>Di≥D</w:t>
            </w:r>
            <w:r>
              <w:rPr>
                <w:rFonts w:hint="eastAsia" w:cs="宋体"/>
                <w:highlight w:val="none"/>
                <w:lang w:val="zh-CN"/>
              </w:rPr>
              <w:t>，则</w:t>
            </w:r>
            <w:r>
              <w:rPr>
                <w:highlight w:val="none"/>
                <w:lang w:val="zh-CN"/>
              </w:rPr>
              <w:t>E=</w:t>
            </w:r>
            <w:r>
              <w:rPr>
                <w:rFonts w:hint="eastAsia"/>
                <w:highlight w:val="none"/>
              </w:rPr>
              <w:t>0.2</w:t>
            </w:r>
            <w:r>
              <w:rPr>
                <w:rFonts w:hint="eastAsia" w:cs="宋体"/>
                <w:highlight w:val="none"/>
                <w:lang w:val="zh-CN"/>
              </w:rPr>
              <w:t>；若</w:t>
            </w:r>
            <w:r>
              <w:rPr>
                <w:highlight w:val="none"/>
                <w:lang w:val="zh-CN"/>
              </w:rPr>
              <w:t>Di&lt;D</w:t>
            </w:r>
            <w:r>
              <w:rPr>
                <w:rFonts w:hint="eastAsia" w:cs="宋体"/>
                <w:highlight w:val="none"/>
                <w:lang w:val="zh-CN"/>
              </w:rPr>
              <w:t>，则</w:t>
            </w:r>
            <w:r>
              <w:rPr>
                <w:highlight w:val="none"/>
                <w:lang w:val="zh-CN"/>
              </w:rPr>
              <w:t>E=</w:t>
            </w:r>
            <w:r>
              <w:rPr>
                <w:rFonts w:hint="eastAsia"/>
                <w:highlight w:val="none"/>
                <w:lang w:val="zh-CN"/>
              </w:rPr>
              <w:t>0.</w:t>
            </w:r>
            <w:r>
              <w:rPr>
                <w:rFonts w:hint="eastAsia"/>
                <w:highlight w:val="none"/>
              </w:rPr>
              <w:t>1</w:t>
            </w:r>
            <w:r>
              <w:rPr>
                <w:rFonts w:hint="eastAsia" w:cs="宋体"/>
                <w:highlight w:val="none"/>
                <w:lang w:val="zh-CN"/>
              </w:rPr>
              <w:t>。</w:t>
            </w:r>
            <w:r>
              <w:rPr>
                <w:rFonts w:hint="eastAsia" w:ascii="宋体" w:hAnsi="宋体" w:cs="宋体"/>
                <w:szCs w:val="21"/>
                <w:highlight w:val="none"/>
              </w:rPr>
              <w:t>评标价得分最低为0分。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2.2.4（4）</w:t>
            </w:r>
          </w:p>
        </w:tc>
        <w:tc>
          <w:tcPr>
            <w:tcW w:w="707"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其他因素</w:t>
            </w:r>
          </w:p>
        </w:tc>
        <w:tc>
          <w:tcPr>
            <w:tcW w:w="707"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业绩</w:t>
            </w:r>
          </w:p>
        </w:tc>
        <w:tc>
          <w:tcPr>
            <w:tcW w:w="1130"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20</w:t>
            </w:r>
            <w:r>
              <w:rPr>
                <w:rFonts w:hint="eastAsia" w:ascii="宋体" w:hAnsi="宋体"/>
                <w:szCs w:val="21"/>
                <w:highlight w:val="none"/>
              </w:rPr>
              <w:t>分</w:t>
            </w:r>
          </w:p>
        </w:tc>
        <w:tc>
          <w:tcPr>
            <w:tcW w:w="2261" w:type="dxa"/>
            <w:vMerge w:val="restart"/>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近</w:t>
            </w:r>
            <w:r>
              <w:rPr>
                <w:rFonts w:hint="eastAsia" w:ascii="宋体" w:hAnsi="宋体"/>
                <w:szCs w:val="21"/>
                <w:highlight w:val="none"/>
                <w:lang w:val="en-US" w:eastAsia="zh-CN"/>
              </w:rPr>
              <w:t>5</w:t>
            </w:r>
            <w:r>
              <w:rPr>
                <w:rFonts w:hint="eastAsia" w:ascii="宋体" w:hAnsi="宋体"/>
                <w:szCs w:val="21"/>
                <w:highlight w:val="none"/>
              </w:rPr>
              <w:t>年</w:t>
            </w:r>
            <w:r>
              <w:rPr>
                <w:rFonts w:ascii="宋体" w:hAnsi="宋体"/>
                <w:szCs w:val="21"/>
                <w:highlight w:val="none"/>
              </w:rPr>
              <w:t>内监理过的</w:t>
            </w:r>
            <w:r>
              <w:rPr>
                <w:rFonts w:hint="eastAsia" w:ascii="宋体" w:hAnsi="宋体"/>
                <w:szCs w:val="21"/>
                <w:highlight w:val="none"/>
              </w:rPr>
              <w:t>最低</w:t>
            </w:r>
            <w:r>
              <w:rPr>
                <w:rFonts w:ascii="宋体" w:hAnsi="宋体"/>
                <w:szCs w:val="21"/>
                <w:highlight w:val="none"/>
              </w:rPr>
              <w:t>资格条件要求的项目</w:t>
            </w: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12</w:t>
            </w:r>
            <w:r>
              <w:rPr>
                <w:rFonts w:hint="eastAsia" w:ascii="宋体" w:hAnsi="宋体"/>
                <w:szCs w:val="21"/>
                <w:highlight w:val="none"/>
              </w:rPr>
              <w:t>分</w:t>
            </w:r>
          </w:p>
        </w:tc>
        <w:tc>
          <w:tcPr>
            <w:tcW w:w="2429" w:type="dxa"/>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r>
              <w:rPr>
                <w:rFonts w:hint="eastAsia" w:ascii="宋体" w:hAnsi="宋体"/>
                <w:szCs w:val="21"/>
                <w:highlight w:val="none"/>
              </w:rPr>
              <w:t>满足</w:t>
            </w:r>
            <w:r>
              <w:rPr>
                <w:rFonts w:ascii="宋体" w:hAnsi="宋体"/>
                <w:szCs w:val="21"/>
                <w:highlight w:val="none"/>
              </w:rPr>
              <w:t>最低资格条件要求</w:t>
            </w:r>
            <w:r>
              <w:rPr>
                <w:rFonts w:hint="eastAsia" w:ascii="宋体" w:hAnsi="宋体"/>
                <w:szCs w:val="21"/>
                <w:highlight w:val="none"/>
              </w:rPr>
              <w:t>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38"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707"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707"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1130"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2261" w:type="dxa"/>
            <w:vMerge w:val="continue"/>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8</w:t>
            </w:r>
            <w:r>
              <w:rPr>
                <w:rFonts w:hint="eastAsia" w:ascii="宋体" w:hAnsi="宋体"/>
                <w:szCs w:val="21"/>
                <w:highlight w:val="none"/>
              </w:rPr>
              <w:t>分</w:t>
            </w:r>
          </w:p>
        </w:tc>
        <w:tc>
          <w:tcPr>
            <w:tcW w:w="2429" w:type="dxa"/>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r>
              <w:rPr>
                <w:rFonts w:hint="eastAsia" w:ascii="宋体" w:hAnsi="宋体"/>
                <w:szCs w:val="21"/>
                <w:highlight w:val="none"/>
              </w:rPr>
              <w:t>在满足</w:t>
            </w:r>
            <w:r>
              <w:rPr>
                <w:rFonts w:ascii="宋体" w:hAnsi="宋体"/>
                <w:szCs w:val="21"/>
                <w:highlight w:val="none"/>
              </w:rPr>
              <w:t>最低资格条件要求</w:t>
            </w:r>
            <w:r>
              <w:rPr>
                <w:rFonts w:hint="eastAsia" w:ascii="宋体" w:hAnsi="宋体"/>
                <w:szCs w:val="21"/>
                <w:highlight w:val="none"/>
              </w:rPr>
              <w:t>前提下，</w:t>
            </w:r>
            <w:r>
              <w:rPr>
                <w:rFonts w:hint="eastAsia" w:ascii="宋体" w:hAnsi="宋体"/>
                <w:szCs w:val="21"/>
                <w:highlight w:val="none"/>
                <w:lang w:val="en-US" w:eastAsia="zh-CN"/>
              </w:rPr>
              <w:t>近五年</w:t>
            </w:r>
            <w:r>
              <w:rPr>
                <w:rFonts w:hint="eastAsia" w:ascii="宋体" w:hAnsi="宋体"/>
                <w:szCs w:val="21"/>
                <w:highlight w:val="none"/>
              </w:rPr>
              <w:t>每</w:t>
            </w:r>
            <w:r>
              <w:rPr>
                <w:rFonts w:ascii="宋体" w:hAnsi="宋体"/>
                <w:szCs w:val="21"/>
                <w:highlight w:val="none"/>
              </w:rPr>
              <w:t>增加</w:t>
            </w:r>
            <w:r>
              <w:rPr>
                <w:rFonts w:hint="eastAsia" w:ascii="宋体" w:hAnsi="宋体"/>
                <w:szCs w:val="21"/>
                <w:highlight w:val="none"/>
              </w:rPr>
              <w:t>一项</w:t>
            </w:r>
            <w:r>
              <w:rPr>
                <w:rFonts w:hint="eastAsia" w:ascii="宋体" w:hAnsi="宋体" w:cs="宋体"/>
                <w:kern w:val="0"/>
                <w:szCs w:val="21"/>
                <w:highlight w:val="none"/>
                <w:lang w:val="en-US" w:bidi="zh-CN"/>
              </w:rPr>
              <w:t>二</w:t>
            </w:r>
            <w:r>
              <w:rPr>
                <w:rFonts w:hint="eastAsia" w:ascii="宋体" w:hAnsi="宋体" w:cs="宋体"/>
                <w:kern w:val="0"/>
                <w:szCs w:val="21"/>
                <w:highlight w:val="none"/>
                <w:lang w:bidi="zh-CN"/>
              </w:rPr>
              <w:t>级及以上公路工程施工监理</w:t>
            </w:r>
            <w:r>
              <w:rPr>
                <w:rFonts w:ascii="宋体" w:hAnsi="宋体"/>
                <w:szCs w:val="21"/>
                <w:highlight w:val="none"/>
              </w:rPr>
              <w:t>业绩</w:t>
            </w:r>
            <w:r>
              <w:rPr>
                <w:rFonts w:hint="eastAsia" w:ascii="宋体" w:hAnsi="宋体"/>
                <w:szCs w:val="21"/>
                <w:highlight w:val="none"/>
              </w:rPr>
              <w:t>的</w:t>
            </w:r>
            <w:r>
              <w:rPr>
                <w:rFonts w:ascii="宋体" w:hAnsi="宋体"/>
                <w:szCs w:val="21"/>
                <w:highlight w:val="none"/>
              </w:rPr>
              <w:t>加</w:t>
            </w:r>
            <w:r>
              <w:rPr>
                <w:rFonts w:hint="eastAsia" w:ascii="宋体" w:hAnsi="宋体"/>
                <w:szCs w:val="21"/>
                <w:highlight w:val="none"/>
              </w:rPr>
              <w:t>2.0分，最多加8.0分。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8"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707" w:type="dxa"/>
            <w:vMerge w:val="continue"/>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p>
        </w:tc>
        <w:tc>
          <w:tcPr>
            <w:tcW w:w="7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履约信誉</w:t>
            </w:r>
          </w:p>
        </w:tc>
        <w:tc>
          <w:tcPr>
            <w:tcW w:w="113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u w:val="single"/>
              </w:rPr>
              <w:t>10</w:t>
            </w:r>
            <w:r>
              <w:rPr>
                <w:rFonts w:hint="eastAsia" w:ascii="宋体" w:hAnsi="宋体"/>
                <w:szCs w:val="21"/>
                <w:highlight w:val="none"/>
              </w:rPr>
              <w:t>分</w:t>
            </w:r>
          </w:p>
        </w:tc>
        <w:tc>
          <w:tcPr>
            <w:tcW w:w="2261" w:type="dxa"/>
            <w:vAlign w:val="center"/>
          </w:tcPr>
          <w:p>
            <w:pPr>
              <w:keepNext w:val="0"/>
              <w:keepLines w:val="0"/>
              <w:pageBreakBefore w:val="0"/>
              <w:widowControl w:val="0"/>
              <w:kinsoku/>
              <w:wordWrap/>
              <w:overflowPunct/>
              <w:topLinePunct w:val="0"/>
              <w:bidi w:val="0"/>
              <w:snapToGrid w:val="0"/>
              <w:spacing w:line="240" w:lineRule="auto"/>
              <w:ind w:right="113"/>
              <w:jc w:val="center"/>
              <w:textAlignment w:val="auto"/>
              <w:rPr>
                <w:rFonts w:ascii="宋体" w:hAnsi="宋体"/>
                <w:szCs w:val="21"/>
                <w:highlight w:val="none"/>
              </w:rPr>
            </w:pPr>
            <w:r>
              <w:rPr>
                <w:rFonts w:hint="eastAsia" w:ascii="宋体" w:hAnsi="宋体"/>
                <w:szCs w:val="21"/>
                <w:highlight w:val="none"/>
              </w:rPr>
              <w:t>信用评价</w:t>
            </w:r>
          </w:p>
        </w:tc>
        <w:tc>
          <w:tcPr>
            <w:tcW w:w="110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10分</w:t>
            </w:r>
          </w:p>
        </w:tc>
        <w:tc>
          <w:tcPr>
            <w:tcW w:w="2429" w:type="dxa"/>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szCs w:val="21"/>
                <w:highlight w:val="none"/>
              </w:rPr>
            </w:pPr>
            <w:r>
              <w:rPr>
                <w:rFonts w:hint="eastAsia" w:ascii="宋体" w:hAnsi="宋体"/>
                <w:szCs w:val="21"/>
                <w:highlight w:val="none"/>
              </w:rPr>
              <w:t>投标人的信用评价等级按照以下优先顺序采用：</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szCs w:val="21"/>
                <w:highlight w:val="none"/>
              </w:rPr>
            </w:pPr>
            <w:r>
              <w:rPr>
                <w:rFonts w:hint="eastAsia" w:ascii="宋体" w:hAnsi="宋体"/>
                <w:szCs w:val="21"/>
                <w:highlight w:val="none"/>
              </w:rPr>
              <w:t>a.采用其在吉林省交通运输厅发布的《关于发布2020年度公路建设市场吉林省省级综合评价结果的通告》中的信用评价等级；</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szCs w:val="21"/>
                <w:highlight w:val="none"/>
              </w:rPr>
            </w:pPr>
            <w:r>
              <w:rPr>
                <w:rFonts w:hint="eastAsia" w:ascii="宋体" w:hAnsi="宋体"/>
                <w:szCs w:val="21"/>
                <w:highlight w:val="none"/>
              </w:rPr>
              <w:t>b.采用其在交通运输部“全国公路建设市场信用信息管理系统”中的2019年信用评价等级；</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szCs w:val="21"/>
                <w:highlight w:val="none"/>
                <w:lang w:eastAsia="zh-CN"/>
              </w:rPr>
            </w:pPr>
            <w:r>
              <w:rPr>
                <w:rFonts w:hint="eastAsia" w:ascii="宋体" w:hAnsi="宋体"/>
                <w:szCs w:val="21"/>
                <w:highlight w:val="none"/>
              </w:rPr>
              <w:t>c.投标人无以上的信用评价等级时，在2018年1月1日后若无交通运输部发布的《公路水运工程监理信用评价办法》附件1中列出的直接定为D级的失信行为，按A级评分，若有直接定为D级的失信行为，按D级评分。AA级</w:t>
            </w:r>
            <w:r>
              <w:rPr>
                <w:rFonts w:hint="eastAsia" w:ascii="宋体" w:hAnsi="宋体"/>
                <w:szCs w:val="21"/>
                <w:highlight w:val="none"/>
                <w:lang w:val="en-US" w:eastAsia="zh-CN"/>
              </w:rPr>
              <w:t>得</w:t>
            </w:r>
            <w:r>
              <w:rPr>
                <w:rFonts w:hint="eastAsia" w:ascii="宋体" w:hAnsi="宋体"/>
                <w:szCs w:val="21"/>
                <w:highlight w:val="none"/>
              </w:rPr>
              <w:t>10分</w:t>
            </w:r>
            <w:r>
              <w:rPr>
                <w:rFonts w:hint="eastAsia" w:ascii="宋体" w:hAnsi="宋体"/>
                <w:szCs w:val="21"/>
                <w:highlight w:val="none"/>
                <w:lang w:eastAsia="zh-CN"/>
              </w:rPr>
              <w:t>；</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szCs w:val="21"/>
                <w:highlight w:val="none"/>
                <w:lang w:eastAsia="zh-CN"/>
              </w:rPr>
            </w:pPr>
            <w:r>
              <w:rPr>
                <w:rFonts w:hint="eastAsia" w:ascii="宋体" w:hAnsi="宋体"/>
                <w:szCs w:val="21"/>
                <w:highlight w:val="none"/>
              </w:rPr>
              <w:t>A级</w:t>
            </w:r>
            <w:r>
              <w:rPr>
                <w:rFonts w:hint="eastAsia" w:ascii="宋体" w:hAnsi="宋体"/>
                <w:szCs w:val="21"/>
                <w:highlight w:val="none"/>
                <w:lang w:val="en-US" w:eastAsia="zh-CN"/>
              </w:rPr>
              <w:t>得</w:t>
            </w:r>
            <w:r>
              <w:rPr>
                <w:rFonts w:hint="eastAsia" w:ascii="宋体" w:hAnsi="宋体"/>
                <w:szCs w:val="21"/>
                <w:highlight w:val="none"/>
              </w:rPr>
              <w:t>9.5分</w:t>
            </w:r>
            <w:r>
              <w:rPr>
                <w:rFonts w:hint="eastAsia" w:ascii="宋体" w:hAnsi="宋体"/>
                <w:szCs w:val="21"/>
                <w:highlight w:val="none"/>
                <w:lang w:eastAsia="zh-CN"/>
              </w:rPr>
              <w:t>；</w:t>
            </w:r>
          </w:p>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szCs w:val="21"/>
                <w:highlight w:val="none"/>
                <w:lang w:eastAsia="zh-CN"/>
              </w:rPr>
            </w:pPr>
            <w:r>
              <w:rPr>
                <w:rFonts w:hint="eastAsia" w:ascii="宋体" w:hAnsi="宋体"/>
                <w:szCs w:val="21"/>
                <w:highlight w:val="none"/>
              </w:rPr>
              <w:t>B级</w:t>
            </w:r>
            <w:r>
              <w:rPr>
                <w:rFonts w:hint="eastAsia" w:ascii="宋体" w:hAnsi="宋体"/>
                <w:szCs w:val="21"/>
                <w:highlight w:val="none"/>
                <w:lang w:val="en-US" w:eastAsia="zh-CN"/>
              </w:rPr>
              <w:t>得8</w:t>
            </w:r>
            <w:r>
              <w:rPr>
                <w:rFonts w:hint="eastAsia" w:ascii="宋体" w:hAnsi="宋体"/>
                <w:szCs w:val="21"/>
                <w:highlight w:val="none"/>
              </w:rPr>
              <w:t>分</w:t>
            </w:r>
            <w:r>
              <w:rPr>
                <w:rFonts w:hint="eastAsia" w:ascii="宋体" w:hAnsi="宋体"/>
                <w:szCs w:val="21"/>
                <w:highlight w:val="none"/>
                <w:lang w:eastAsia="zh-CN"/>
              </w:rPr>
              <w:t>；</w:t>
            </w:r>
          </w:p>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szCs w:val="21"/>
                <w:highlight w:val="none"/>
                <w:lang w:eastAsia="zh-CN"/>
              </w:rPr>
            </w:pPr>
            <w:r>
              <w:rPr>
                <w:rFonts w:hint="eastAsia" w:ascii="宋体" w:hAnsi="宋体"/>
                <w:szCs w:val="21"/>
                <w:highlight w:val="none"/>
              </w:rPr>
              <w:t>C、D级</w:t>
            </w:r>
            <w:r>
              <w:rPr>
                <w:rFonts w:hint="eastAsia" w:ascii="宋体" w:hAnsi="宋体"/>
                <w:szCs w:val="21"/>
                <w:highlight w:val="none"/>
                <w:lang w:val="en-US" w:eastAsia="zh-CN"/>
              </w:rPr>
              <w:t>得</w:t>
            </w:r>
            <w:r>
              <w:rPr>
                <w:rFonts w:hint="eastAsia" w:ascii="宋体" w:hAnsi="宋体"/>
                <w:szCs w:val="21"/>
                <w:highlight w:val="none"/>
              </w:rPr>
              <w:t>0分</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9" w:type="dxa"/>
            <w:gridSpan w:val="7"/>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Cs w:val="21"/>
                <w:highlight w:val="none"/>
              </w:rPr>
            </w:pPr>
            <w:r>
              <w:rPr>
                <w:rFonts w:hint="eastAsia" w:ascii="宋体" w:hAnsi="宋体"/>
                <w:szCs w:val="21"/>
                <w:highlight w:val="none"/>
              </w:rPr>
              <w:t>需要补充的其他内容：3.6.1款内容不适用。</w:t>
            </w:r>
          </w:p>
        </w:tc>
      </w:tr>
    </w:tbl>
    <w:p>
      <w:pPr>
        <w:spacing w:line="240" w:lineRule="auto"/>
        <w:rPr>
          <w:rFonts w:ascii="黑体" w:hAnsi="黑体" w:eastAsia="黑体"/>
          <w:sz w:val="28"/>
          <w:szCs w:val="28"/>
          <w:highlight w:val="none"/>
        </w:rPr>
      </w:pPr>
      <w:r>
        <w:rPr>
          <w:rFonts w:hint="eastAsia" w:ascii="黑体" w:hAnsi="黑体" w:eastAsia="黑体"/>
          <w:sz w:val="28"/>
          <w:szCs w:val="28"/>
          <w:highlight w:val="none"/>
        </w:rPr>
        <w:t>1.评标方法</w:t>
      </w:r>
    </w:p>
    <w:p>
      <w:pPr>
        <w:spacing w:line="240" w:lineRule="auto"/>
        <w:ind w:firstLine="420" w:firstLineChars="200"/>
        <w:rPr>
          <w:rFonts w:ascii="宋体" w:hAnsi="宋体"/>
          <w:szCs w:val="21"/>
          <w:highlight w:val="none"/>
        </w:rPr>
      </w:pPr>
      <w:r>
        <w:rPr>
          <w:rFonts w:hint="eastAsia" w:ascii="宋体" w:hAnsi="宋体"/>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240" w:lineRule="auto"/>
        <w:rPr>
          <w:rFonts w:ascii="黑体" w:hAnsi="黑体" w:eastAsia="黑体"/>
          <w:sz w:val="28"/>
          <w:szCs w:val="28"/>
          <w:highlight w:val="none"/>
        </w:rPr>
      </w:pPr>
      <w:r>
        <w:rPr>
          <w:rFonts w:hint="eastAsia" w:ascii="黑体" w:hAnsi="黑体" w:eastAsia="黑体"/>
          <w:sz w:val="28"/>
          <w:szCs w:val="28"/>
          <w:highlight w:val="none"/>
        </w:rPr>
        <w:t>2.评审标准</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2.1初步评审标准</w:t>
      </w:r>
    </w:p>
    <w:p>
      <w:pPr>
        <w:spacing w:line="240" w:lineRule="auto"/>
        <w:ind w:firstLine="420" w:firstLineChars="200"/>
        <w:rPr>
          <w:rFonts w:ascii="宋体" w:hAnsi="宋体"/>
          <w:szCs w:val="21"/>
          <w:highlight w:val="none"/>
        </w:rPr>
      </w:pPr>
      <w:r>
        <w:rPr>
          <w:rFonts w:ascii="宋体" w:hAnsi="宋体"/>
          <w:szCs w:val="21"/>
          <w:highlight w:val="none"/>
        </w:rPr>
        <w:t>2.1.1</w:t>
      </w:r>
      <w:r>
        <w:rPr>
          <w:szCs w:val="21"/>
          <w:highlight w:val="none"/>
        </w:rPr>
        <w:t>形式评审标准：见评标办法前附表。</w:t>
      </w:r>
    </w:p>
    <w:p>
      <w:pPr>
        <w:spacing w:line="240" w:lineRule="auto"/>
        <w:ind w:firstLine="420" w:firstLineChars="200"/>
        <w:rPr>
          <w:rFonts w:ascii="宋体" w:hAnsi="宋体"/>
          <w:szCs w:val="21"/>
          <w:highlight w:val="none"/>
        </w:rPr>
      </w:pPr>
      <w:r>
        <w:rPr>
          <w:rFonts w:hint="eastAsia" w:ascii="宋体" w:hAnsi="宋体"/>
          <w:szCs w:val="21"/>
          <w:highlight w:val="none"/>
        </w:rPr>
        <w:t>2.1.2资格评审标准：见评标办法前附表（适用于未进行资格预审的）。</w:t>
      </w:r>
    </w:p>
    <w:p>
      <w:pPr>
        <w:spacing w:line="240" w:lineRule="auto"/>
        <w:ind w:firstLine="420" w:firstLineChars="200"/>
        <w:rPr>
          <w:rFonts w:ascii="宋体" w:hAnsi="宋体"/>
          <w:szCs w:val="21"/>
          <w:highlight w:val="none"/>
        </w:rPr>
      </w:pPr>
      <w:r>
        <w:rPr>
          <w:rFonts w:hint="eastAsia" w:ascii="宋体" w:hAnsi="宋体"/>
          <w:szCs w:val="21"/>
          <w:highlight w:val="none"/>
        </w:rPr>
        <w:t>2.1.2资格评审标准：见资格预审文件第三章“资格审查办法”详细审查标准（适用于己进行资格预审的）。</w:t>
      </w:r>
    </w:p>
    <w:p>
      <w:pPr>
        <w:spacing w:line="240" w:lineRule="auto"/>
        <w:ind w:firstLine="420" w:firstLineChars="200"/>
        <w:rPr>
          <w:rFonts w:ascii="宋体" w:hAnsi="宋体"/>
          <w:szCs w:val="21"/>
          <w:highlight w:val="none"/>
        </w:rPr>
      </w:pPr>
      <w:r>
        <w:rPr>
          <w:rFonts w:ascii="宋体" w:hAnsi="宋体"/>
          <w:szCs w:val="21"/>
          <w:highlight w:val="none"/>
        </w:rPr>
        <w:t>2.1.3</w:t>
      </w:r>
      <w:r>
        <w:rPr>
          <w:szCs w:val="21"/>
          <w:highlight w:val="none"/>
        </w:rPr>
        <w:t>响应性评审标准：见评标办法前附表。</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2.2分值构成与评分标准</w:t>
      </w:r>
    </w:p>
    <w:p>
      <w:pPr>
        <w:spacing w:line="240" w:lineRule="auto"/>
        <w:ind w:firstLine="420" w:firstLineChars="200"/>
        <w:rPr>
          <w:rFonts w:ascii="宋体" w:hAnsi="宋体"/>
          <w:szCs w:val="21"/>
          <w:highlight w:val="none"/>
        </w:rPr>
      </w:pPr>
      <w:r>
        <w:rPr>
          <w:rFonts w:hint="eastAsia" w:ascii="宋体" w:hAnsi="宋体"/>
          <w:szCs w:val="21"/>
          <w:highlight w:val="none"/>
        </w:rPr>
        <w:t>2.2.1分值构成</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技术建议书：见评标办法則附表；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主要人员：见评标办法前附表；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评标价：见评标办法則附表；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其他评分因素：见评标办法前附表。</w:t>
      </w:r>
    </w:p>
    <w:p>
      <w:pPr>
        <w:spacing w:line="240" w:lineRule="auto"/>
        <w:ind w:firstLine="420" w:firstLineChars="200"/>
        <w:rPr>
          <w:rFonts w:ascii="宋体" w:hAnsi="宋体"/>
          <w:szCs w:val="21"/>
          <w:highlight w:val="none"/>
        </w:rPr>
      </w:pPr>
      <w:r>
        <w:rPr>
          <w:rFonts w:hint="eastAsia" w:ascii="宋体" w:hAnsi="宋体"/>
          <w:szCs w:val="21"/>
          <w:highlight w:val="none"/>
        </w:rPr>
        <w:t>2.2.2评标基准价计算</w:t>
      </w:r>
    </w:p>
    <w:p>
      <w:pPr>
        <w:spacing w:line="240" w:lineRule="auto"/>
        <w:ind w:firstLine="420" w:firstLineChars="200"/>
        <w:rPr>
          <w:rFonts w:ascii="宋体" w:hAnsi="宋体"/>
          <w:szCs w:val="21"/>
          <w:highlight w:val="none"/>
        </w:rPr>
      </w:pPr>
      <w:r>
        <w:rPr>
          <w:rFonts w:hint="eastAsia" w:ascii="宋体" w:hAnsi="宋体"/>
          <w:szCs w:val="21"/>
          <w:highlight w:val="none"/>
        </w:rPr>
        <w:t>2.2.3评标价的偏差率计算</w:t>
      </w:r>
    </w:p>
    <w:p>
      <w:pPr>
        <w:spacing w:line="240" w:lineRule="auto"/>
        <w:ind w:firstLine="420" w:firstLineChars="200"/>
        <w:rPr>
          <w:rFonts w:ascii="宋体" w:hAnsi="宋体"/>
          <w:szCs w:val="21"/>
          <w:highlight w:val="none"/>
        </w:rPr>
      </w:pPr>
      <w:r>
        <w:rPr>
          <w:rFonts w:hint="eastAsia" w:ascii="宋体" w:hAnsi="宋体"/>
          <w:szCs w:val="21"/>
          <w:highlight w:val="none"/>
        </w:rPr>
        <w:t>评标价的偏差率计算公式：见评标办法則附表。</w:t>
      </w:r>
    </w:p>
    <w:p>
      <w:pPr>
        <w:spacing w:line="240" w:lineRule="auto"/>
        <w:ind w:firstLine="420" w:firstLineChars="200"/>
        <w:rPr>
          <w:rFonts w:ascii="宋体" w:hAnsi="宋体"/>
          <w:szCs w:val="21"/>
          <w:highlight w:val="none"/>
        </w:rPr>
      </w:pPr>
      <w:r>
        <w:rPr>
          <w:rFonts w:hint="eastAsia" w:ascii="宋体" w:hAnsi="宋体"/>
          <w:szCs w:val="21"/>
          <w:highlight w:val="none"/>
        </w:rPr>
        <w:t>2.2.4评分标准</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技术建议书评分标准：见评标办法前附表；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主要人员评分标准：见评标办法前附表；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评标价评分标准：见评标办法則附表；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其他因素评分标准：见评标办法前附表。</w:t>
      </w:r>
    </w:p>
    <w:p>
      <w:pPr>
        <w:spacing w:line="240" w:lineRule="auto"/>
        <w:rPr>
          <w:rFonts w:ascii="黑体" w:hAnsi="黑体" w:eastAsia="黑体"/>
          <w:sz w:val="28"/>
          <w:szCs w:val="28"/>
          <w:highlight w:val="none"/>
        </w:rPr>
      </w:pPr>
      <w:r>
        <w:rPr>
          <w:rFonts w:hint="eastAsia" w:ascii="黑体" w:hAnsi="黑体" w:eastAsia="黑体"/>
          <w:sz w:val="28"/>
          <w:szCs w:val="28"/>
          <w:highlight w:val="none"/>
        </w:rPr>
        <w:t>3.评标程序</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3.1第一个信封初步评审</w:t>
      </w:r>
    </w:p>
    <w:p>
      <w:pPr>
        <w:spacing w:line="240" w:lineRule="auto"/>
        <w:ind w:firstLine="420" w:firstLineChars="200"/>
        <w:rPr>
          <w:rFonts w:ascii="宋体" w:hAnsi="宋体"/>
          <w:szCs w:val="21"/>
          <w:highlight w:val="none"/>
        </w:rPr>
      </w:pPr>
      <w:r>
        <w:rPr>
          <w:rFonts w:hint="eastAsia" w:ascii="宋体" w:hAnsi="宋体"/>
          <w:szCs w:val="21"/>
          <w:highlight w:val="none"/>
        </w:rPr>
        <w:t>3.1.1评标委员会可以要求投标人提交第二章“投标人须知”第15.1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240" w:lineRule="auto"/>
        <w:ind w:firstLine="420" w:firstLineChars="200"/>
        <w:rPr>
          <w:rFonts w:ascii="宋体" w:hAnsi="宋体"/>
          <w:szCs w:val="21"/>
          <w:highlight w:val="none"/>
        </w:rPr>
      </w:pPr>
      <w:r>
        <w:rPr>
          <w:rFonts w:hint="eastAsia" w:ascii="宋体" w:hAnsi="宋体"/>
          <w:szCs w:val="21"/>
          <w:highlight w:val="none"/>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己进行资格预审的）</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3.2第一个信封详细评审</w:t>
      </w:r>
    </w:p>
    <w:p>
      <w:pPr>
        <w:spacing w:line="240" w:lineRule="auto"/>
        <w:ind w:firstLine="420" w:firstLineChars="200"/>
        <w:rPr>
          <w:rFonts w:ascii="宋体" w:hAnsi="宋体"/>
          <w:szCs w:val="21"/>
          <w:highlight w:val="none"/>
        </w:rPr>
      </w:pPr>
      <w:r>
        <w:rPr>
          <w:rFonts w:hint="eastAsia" w:ascii="宋体" w:hAnsi="宋体"/>
          <w:szCs w:val="21"/>
          <w:highlight w:val="none"/>
        </w:rPr>
        <w:t>3.2.1评标委员会按本章第2.2款规定的量化因素和分值进行打分，并计算出各投标人的商务和技术得分。</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按本章第2.2.4项（1)目规定的评审因素和分值对技术建议书部分计算出 得分A；</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按本章第2.2.4项（2)目规定的评审因素和分值对主要人员部分计算出得分B；</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 xml:space="preserve">按本章第2.2.4项（4)目规定的评审因素和分值对其他部分计算出得分D。 </w:t>
      </w:r>
    </w:p>
    <w:p>
      <w:pPr>
        <w:spacing w:line="240" w:lineRule="auto"/>
        <w:ind w:firstLine="420" w:firstLineChars="200"/>
        <w:rPr>
          <w:rFonts w:ascii="宋体" w:hAnsi="宋体"/>
          <w:szCs w:val="21"/>
          <w:highlight w:val="none"/>
        </w:rPr>
      </w:pPr>
      <w:r>
        <w:rPr>
          <w:rFonts w:hint="eastAsia" w:ascii="宋体" w:hAnsi="宋体"/>
          <w:szCs w:val="21"/>
          <w:highlight w:val="none"/>
        </w:rPr>
        <w:t>3.2.2投标人的商务和技术得分分值计算保留小数点后两位，小数点后第三位“四舍五入”。</w:t>
      </w:r>
    </w:p>
    <w:p>
      <w:pPr>
        <w:spacing w:line="240" w:lineRule="auto"/>
        <w:ind w:firstLine="420" w:firstLineChars="200"/>
        <w:rPr>
          <w:rFonts w:ascii="宋体" w:hAnsi="宋体"/>
          <w:szCs w:val="21"/>
          <w:highlight w:val="none"/>
        </w:rPr>
      </w:pPr>
      <w:r>
        <w:rPr>
          <w:rFonts w:hint="eastAsia" w:ascii="宋体" w:hAnsi="宋体"/>
          <w:szCs w:val="21"/>
          <w:highlight w:val="none"/>
        </w:rPr>
        <w:t>3.2.3投标人的商务和技术得分=A+B+D。</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3.3第二个信封开标</w:t>
      </w:r>
    </w:p>
    <w:p>
      <w:pPr>
        <w:spacing w:line="240" w:lineRule="auto"/>
        <w:ind w:firstLine="420" w:firstLineChars="200"/>
        <w:rPr>
          <w:rFonts w:ascii="宋体" w:hAnsi="宋体"/>
          <w:szCs w:val="21"/>
          <w:highlight w:val="none"/>
        </w:rPr>
      </w:pPr>
      <w:r>
        <w:rPr>
          <w:rFonts w:hint="eastAsia" w:ascii="宋体" w:hAnsi="宋体"/>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3.4第二个信封初步评审</w:t>
      </w:r>
    </w:p>
    <w:p>
      <w:pPr>
        <w:spacing w:line="240" w:lineRule="auto"/>
        <w:ind w:firstLine="420" w:firstLineChars="200"/>
        <w:rPr>
          <w:rFonts w:ascii="宋体" w:hAnsi="宋体"/>
          <w:szCs w:val="21"/>
          <w:highlight w:val="none"/>
        </w:rPr>
      </w:pPr>
      <w:r>
        <w:rPr>
          <w:rFonts w:hint="eastAsia" w:ascii="宋体" w:hAnsi="宋体"/>
          <w:szCs w:val="21"/>
          <w:highlight w:val="none"/>
        </w:rPr>
        <w:t>3.4.1评标委员会依据本章第2.1.1项、第2.1.3项规定的评审标准对投标文件第二个信封（报价文件）进行初步评审。有一项不符合评审标准的，评标委员会应否决其投标。</w:t>
      </w:r>
    </w:p>
    <w:p>
      <w:pPr>
        <w:spacing w:line="240" w:lineRule="auto"/>
        <w:ind w:firstLine="420" w:firstLineChars="200"/>
        <w:rPr>
          <w:rFonts w:ascii="宋体" w:hAnsi="宋体"/>
          <w:szCs w:val="21"/>
          <w:highlight w:val="none"/>
        </w:rPr>
      </w:pPr>
      <w:r>
        <w:rPr>
          <w:rFonts w:hint="eastAsia" w:ascii="宋体" w:hAnsi="宋体"/>
          <w:szCs w:val="21"/>
          <w:highlight w:val="none"/>
        </w:rPr>
        <w:t>3.4.2投标报价有算术错误的，评标委员会按以下原则对投标报价进行修正，修正的价格经投标人书面确认后具有约束力。投标人不接受修正价格的，评标委员会应否决其投标。</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投标文件中的大写金额与小写金额不一致的，以大写金额为准；</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总价金额与依据单价计算出的结果不一致的，以单价金额为准修正总价， 但单价金额小数点有明显错误的除外；</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当单价与数量相乘不等于合价时，以单价计算为准，如果单价有明显的小 数点位置差错，应以标出的合价为准，同时对单价予以修正；</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当各子目的合价累计不等于总价时，应以各子目合价累计数为准，修正总价。</w:t>
      </w:r>
    </w:p>
    <w:p>
      <w:pPr>
        <w:spacing w:line="240" w:lineRule="auto"/>
        <w:ind w:firstLine="420" w:firstLineChars="200"/>
        <w:rPr>
          <w:rFonts w:ascii="宋体" w:hAnsi="宋体"/>
          <w:szCs w:val="21"/>
          <w:highlight w:val="none"/>
        </w:rPr>
      </w:pPr>
      <w:r>
        <w:rPr>
          <w:rFonts w:hint="eastAsia" w:ascii="宋体" w:hAnsi="宋体"/>
          <w:szCs w:val="21"/>
          <w:highlight w:val="none"/>
        </w:rPr>
        <w:t>3.4.3修正后的最终投标报价若超过最高投标限价（如有)，评标委员会应否决其投标。</w:t>
      </w:r>
    </w:p>
    <w:p>
      <w:pPr>
        <w:spacing w:line="240" w:lineRule="auto"/>
        <w:ind w:firstLine="420" w:firstLineChars="200"/>
        <w:rPr>
          <w:rFonts w:ascii="宋体" w:hAnsi="宋体"/>
          <w:szCs w:val="21"/>
          <w:highlight w:val="none"/>
        </w:rPr>
      </w:pPr>
      <w:r>
        <w:rPr>
          <w:rFonts w:hint="eastAsia" w:ascii="宋体" w:hAnsi="宋体"/>
          <w:szCs w:val="21"/>
          <w:highlight w:val="none"/>
        </w:rPr>
        <w:t>3.4.4修正后的最终投标报价仅作为签订合同的一个依据，不参与评标价得分的计算。</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3.5第二个信封详细评审</w:t>
      </w:r>
    </w:p>
    <w:p>
      <w:pPr>
        <w:spacing w:line="240" w:lineRule="auto"/>
        <w:ind w:firstLine="420" w:firstLineChars="200"/>
        <w:rPr>
          <w:rFonts w:ascii="宋体" w:hAnsi="宋体"/>
          <w:szCs w:val="21"/>
          <w:highlight w:val="none"/>
        </w:rPr>
      </w:pPr>
      <w:r>
        <w:rPr>
          <w:rFonts w:hint="eastAsia" w:ascii="宋体" w:hAnsi="宋体"/>
          <w:szCs w:val="21"/>
          <w:highlight w:val="none"/>
        </w:rPr>
        <w:t>3.5.1评标委员会按本章第2.2.4项（3)目规定的评审因素和分值对评标价计算出得分C。评标价得分分值计算保留小数点后两位，小数点后第三位“四舍五入”。3.5.2投标人综合得分=投标人的商务和技术得分+C。</w:t>
      </w:r>
    </w:p>
    <w:p>
      <w:pPr>
        <w:spacing w:line="240" w:lineRule="auto"/>
        <w:ind w:firstLine="420" w:firstLineChars="200"/>
        <w:rPr>
          <w:rFonts w:ascii="宋体" w:hAnsi="宋体"/>
          <w:szCs w:val="21"/>
          <w:highlight w:val="none"/>
        </w:rPr>
      </w:pPr>
      <w:r>
        <w:rPr>
          <w:rFonts w:hint="eastAsia" w:ascii="宋体" w:hAnsi="宋体"/>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3.6投标文件相关信息的核查</w:t>
      </w:r>
    </w:p>
    <w:p>
      <w:pPr>
        <w:spacing w:line="240" w:lineRule="auto"/>
        <w:ind w:firstLine="420" w:firstLineChars="200"/>
        <w:rPr>
          <w:rFonts w:ascii="宋体" w:hAnsi="宋体"/>
          <w:szCs w:val="21"/>
          <w:highlight w:val="none"/>
        </w:rPr>
      </w:pPr>
      <w:r>
        <w:rPr>
          <w:rFonts w:hint="eastAsia" w:ascii="宋体" w:hAnsi="宋体"/>
          <w:szCs w:val="21"/>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240" w:lineRule="auto"/>
        <w:ind w:firstLine="420" w:firstLineChars="200"/>
        <w:rPr>
          <w:rFonts w:ascii="宋体" w:hAnsi="宋体"/>
          <w:szCs w:val="21"/>
          <w:highlight w:val="none"/>
        </w:rPr>
      </w:pPr>
      <w:r>
        <w:rPr>
          <w:rFonts w:hint="eastAsia" w:ascii="宋体" w:hAnsi="宋体"/>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有下列情形之一的，属于投标人相互串通投标：</w:t>
      </w:r>
    </w:p>
    <w:p>
      <w:pPr>
        <w:spacing w:line="240" w:lineRule="auto"/>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rPr>
        <w:tab/>
      </w:r>
      <w:r>
        <w:rPr>
          <w:rFonts w:hint="eastAsia" w:ascii="宋体" w:hAnsi="宋体"/>
          <w:szCs w:val="21"/>
          <w:highlight w:val="none"/>
        </w:rPr>
        <w:t>投标人之间协商投标报价等投标文件的实质性内容；</w:t>
      </w:r>
    </w:p>
    <w:p>
      <w:pPr>
        <w:spacing w:line="240" w:lineRule="auto"/>
        <w:ind w:firstLine="420" w:firstLineChars="200"/>
        <w:rPr>
          <w:rFonts w:ascii="宋体" w:hAnsi="宋体"/>
          <w:szCs w:val="21"/>
          <w:highlight w:val="none"/>
        </w:rPr>
      </w:pPr>
      <w:r>
        <w:rPr>
          <w:rFonts w:hint="eastAsia" w:ascii="宋体" w:hAnsi="宋体"/>
          <w:szCs w:val="21"/>
          <w:highlight w:val="none"/>
        </w:rPr>
        <w:t>b.</w:t>
      </w:r>
      <w:r>
        <w:rPr>
          <w:rFonts w:hint="eastAsia" w:ascii="宋体" w:hAnsi="宋体"/>
          <w:szCs w:val="21"/>
          <w:highlight w:val="none"/>
        </w:rPr>
        <w:tab/>
      </w:r>
      <w:r>
        <w:rPr>
          <w:rFonts w:hint="eastAsia" w:ascii="宋体" w:hAnsi="宋体"/>
          <w:szCs w:val="21"/>
          <w:highlight w:val="none"/>
        </w:rPr>
        <w:t>投标人之间约定中标人；</w:t>
      </w:r>
    </w:p>
    <w:p>
      <w:pPr>
        <w:spacing w:line="240" w:lineRule="auto"/>
        <w:ind w:firstLine="420" w:firstLineChars="200"/>
        <w:rPr>
          <w:rFonts w:ascii="宋体" w:hAnsi="宋体"/>
          <w:szCs w:val="21"/>
          <w:highlight w:val="none"/>
        </w:rPr>
      </w:pPr>
      <w:r>
        <w:rPr>
          <w:rFonts w:hint="eastAsia" w:ascii="宋体" w:hAnsi="宋体"/>
          <w:szCs w:val="21"/>
          <w:highlight w:val="none"/>
        </w:rPr>
        <w:t>c.</w:t>
      </w:r>
      <w:r>
        <w:rPr>
          <w:rFonts w:hint="eastAsia" w:ascii="宋体" w:hAnsi="宋体"/>
          <w:szCs w:val="21"/>
          <w:highlight w:val="none"/>
        </w:rPr>
        <w:tab/>
      </w:r>
      <w:r>
        <w:rPr>
          <w:rFonts w:hint="eastAsia" w:ascii="宋体" w:hAnsi="宋体"/>
          <w:szCs w:val="21"/>
          <w:highlight w:val="none"/>
        </w:rPr>
        <w:t>投标人之间约定部分投标人放弃投标或中标；</w:t>
      </w:r>
    </w:p>
    <w:p>
      <w:pPr>
        <w:spacing w:line="240" w:lineRule="auto"/>
        <w:ind w:firstLine="420" w:firstLineChars="200"/>
        <w:rPr>
          <w:rFonts w:ascii="宋体" w:hAnsi="宋体"/>
          <w:szCs w:val="21"/>
          <w:highlight w:val="none"/>
        </w:rPr>
      </w:pPr>
      <w:r>
        <w:rPr>
          <w:rFonts w:hint="eastAsia" w:ascii="宋体" w:hAnsi="宋体"/>
          <w:szCs w:val="21"/>
          <w:highlight w:val="none"/>
        </w:rPr>
        <w:t>d.</w:t>
      </w:r>
      <w:r>
        <w:rPr>
          <w:rFonts w:hint="eastAsia" w:ascii="宋体" w:hAnsi="宋体"/>
          <w:szCs w:val="21"/>
          <w:highlight w:val="none"/>
        </w:rPr>
        <w:tab/>
      </w:r>
      <w:r>
        <w:rPr>
          <w:rFonts w:hint="eastAsia" w:ascii="宋体" w:hAnsi="宋体"/>
          <w:szCs w:val="21"/>
          <w:highlight w:val="none"/>
        </w:rPr>
        <w:t>属于同一集团、协会、商会等组织成员的投标人按照该组织要求协同投标;</w:t>
      </w:r>
    </w:p>
    <w:p>
      <w:pPr>
        <w:spacing w:line="240" w:lineRule="auto"/>
        <w:ind w:firstLine="420" w:firstLineChars="200"/>
        <w:rPr>
          <w:rFonts w:ascii="宋体" w:hAnsi="宋体"/>
          <w:szCs w:val="21"/>
          <w:highlight w:val="none"/>
        </w:rPr>
      </w:pPr>
      <w:r>
        <w:rPr>
          <w:rFonts w:hint="eastAsia" w:ascii="宋体" w:hAnsi="宋体"/>
          <w:szCs w:val="21"/>
          <w:highlight w:val="none"/>
        </w:rPr>
        <w:t>e.</w:t>
      </w:r>
      <w:r>
        <w:rPr>
          <w:rFonts w:hint="eastAsia" w:ascii="宋体" w:hAnsi="宋体"/>
          <w:szCs w:val="21"/>
          <w:highlight w:val="none"/>
        </w:rPr>
        <w:tab/>
      </w:r>
      <w:r>
        <w:rPr>
          <w:rFonts w:hint="eastAsia" w:ascii="宋体" w:hAnsi="宋体"/>
          <w:szCs w:val="21"/>
          <w:highlight w:val="none"/>
        </w:rPr>
        <w:t>投标人之间为谋取中标或排斥特定投标人而采取的其他联合行动。</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有下列情形之一的，视为投标人相互串通投标：</w:t>
      </w:r>
    </w:p>
    <w:p>
      <w:pPr>
        <w:spacing w:line="240" w:lineRule="auto"/>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rPr>
        <w:tab/>
      </w:r>
      <w:r>
        <w:rPr>
          <w:rFonts w:hint="eastAsia" w:ascii="宋体" w:hAnsi="宋体"/>
          <w:szCs w:val="21"/>
          <w:highlight w:val="none"/>
        </w:rPr>
        <w:t>不同投标人的投标文件由同一单位或个人编制；</w:t>
      </w:r>
    </w:p>
    <w:p>
      <w:pPr>
        <w:spacing w:line="240" w:lineRule="auto"/>
        <w:ind w:firstLine="420" w:firstLineChars="200"/>
        <w:rPr>
          <w:rFonts w:ascii="宋体" w:hAnsi="宋体"/>
          <w:szCs w:val="21"/>
          <w:highlight w:val="none"/>
        </w:rPr>
      </w:pPr>
      <w:r>
        <w:rPr>
          <w:rFonts w:hint="eastAsia" w:ascii="宋体" w:hAnsi="宋体"/>
          <w:szCs w:val="21"/>
          <w:highlight w:val="none"/>
        </w:rPr>
        <w:t>b.</w:t>
      </w:r>
      <w:r>
        <w:rPr>
          <w:rFonts w:hint="eastAsia" w:ascii="宋体" w:hAnsi="宋体"/>
          <w:szCs w:val="21"/>
          <w:highlight w:val="none"/>
        </w:rPr>
        <w:tab/>
      </w:r>
      <w:r>
        <w:rPr>
          <w:rFonts w:hint="eastAsia" w:ascii="宋体" w:hAnsi="宋体"/>
          <w:szCs w:val="21"/>
          <w:highlight w:val="none"/>
        </w:rPr>
        <w:t>不同投标人委托同一单位或个人办理投标事宜；</w:t>
      </w:r>
    </w:p>
    <w:p>
      <w:pPr>
        <w:spacing w:line="240" w:lineRule="auto"/>
        <w:ind w:firstLine="420" w:firstLineChars="200"/>
        <w:rPr>
          <w:rFonts w:ascii="宋体" w:hAnsi="宋体"/>
          <w:szCs w:val="21"/>
          <w:highlight w:val="none"/>
        </w:rPr>
      </w:pPr>
      <w:r>
        <w:rPr>
          <w:rFonts w:hint="eastAsia" w:ascii="宋体" w:hAnsi="宋体"/>
          <w:szCs w:val="21"/>
          <w:highlight w:val="none"/>
        </w:rPr>
        <w:t>c.</w:t>
      </w:r>
      <w:r>
        <w:rPr>
          <w:rFonts w:hint="eastAsia" w:ascii="宋体" w:hAnsi="宋体"/>
          <w:szCs w:val="21"/>
          <w:highlight w:val="none"/>
        </w:rPr>
        <w:tab/>
      </w:r>
      <w:r>
        <w:rPr>
          <w:rFonts w:hint="eastAsia" w:ascii="宋体" w:hAnsi="宋体"/>
          <w:szCs w:val="21"/>
          <w:highlight w:val="none"/>
        </w:rPr>
        <w:t>不同投标人的投标文件载明的项目管理成员为同一人；</w:t>
      </w:r>
    </w:p>
    <w:p>
      <w:pPr>
        <w:spacing w:line="240" w:lineRule="auto"/>
        <w:ind w:firstLine="420" w:firstLineChars="200"/>
        <w:rPr>
          <w:rFonts w:ascii="宋体" w:hAnsi="宋体"/>
          <w:szCs w:val="21"/>
          <w:highlight w:val="none"/>
        </w:rPr>
      </w:pPr>
      <w:r>
        <w:rPr>
          <w:rFonts w:hint="eastAsia" w:ascii="宋体" w:hAnsi="宋体"/>
          <w:szCs w:val="21"/>
          <w:highlight w:val="none"/>
        </w:rPr>
        <w:t>d.</w:t>
      </w:r>
      <w:r>
        <w:rPr>
          <w:rFonts w:hint="eastAsia" w:ascii="宋体" w:hAnsi="宋体"/>
          <w:szCs w:val="21"/>
          <w:highlight w:val="none"/>
        </w:rPr>
        <w:tab/>
      </w:r>
      <w:r>
        <w:rPr>
          <w:rFonts w:hint="eastAsia" w:ascii="宋体" w:hAnsi="宋体"/>
          <w:szCs w:val="21"/>
          <w:highlight w:val="none"/>
        </w:rPr>
        <w:t>不同投标人的投标文件异常一致或投标报价呈规律性差异；</w:t>
      </w:r>
    </w:p>
    <w:p>
      <w:pPr>
        <w:spacing w:line="240" w:lineRule="auto"/>
        <w:ind w:firstLine="420" w:firstLineChars="200"/>
        <w:rPr>
          <w:rFonts w:ascii="宋体" w:hAnsi="宋体"/>
          <w:szCs w:val="21"/>
          <w:highlight w:val="none"/>
        </w:rPr>
      </w:pPr>
      <w:r>
        <w:rPr>
          <w:rFonts w:hint="eastAsia" w:ascii="宋体" w:hAnsi="宋体"/>
          <w:szCs w:val="21"/>
          <w:highlight w:val="none"/>
        </w:rPr>
        <w:t>e.</w:t>
      </w:r>
      <w:r>
        <w:rPr>
          <w:rFonts w:hint="eastAsia" w:ascii="宋体" w:hAnsi="宋体"/>
          <w:szCs w:val="21"/>
          <w:highlight w:val="none"/>
        </w:rPr>
        <w:tab/>
      </w:r>
      <w:r>
        <w:rPr>
          <w:rFonts w:hint="eastAsia" w:ascii="宋体" w:hAnsi="宋体"/>
          <w:szCs w:val="21"/>
          <w:highlight w:val="none"/>
        </w:rPr>
        <w:t>不同投标人的投标文件相互混装；</w:t>
      </w:r>
    </w:p>
    <w:p>
      <w:pPr>
        <w:spacing w:line="240" w:lineRule="auto"/>
        <w:ind w:firstLine="420" w:firstLineChars="200"/>
        <w:rPr>
          <w:rFonts w:ascii="宋体" w:hAnsi="宋体"/>
          <w:szCs w:val="21"/>
          <w:highlight w:val="none"/>
        </w:rPr>
      </w:pPr>
      <w:r>
        <w:rPr>
          <w:rFonts w:hint="eastAsia" w:ascii="宋体" w:hAnsi="宋体"/>
          <w:szCs w:val="21"/>
          <w:highlight w:val="none"/>
        </w:rPr>
        <w:t>f.</w:t>
      </w:r>
      <w:r>
        <w:rPr>
          <w:rFonts w:hint="eastAsia" w:ascii="宋体" w:hAnsi="宋体"/>
          <w:szCs w:val="21"/>
          <w:highlight w:val="none"/>
        </w:rPr>
        <w:tab/>
      </w:r>
      <w:r>
        <w:rPr>
          <w:rFonts w:hint="eastAsia" w:ascii="宋体" w:hAnsi="宋体"/>
          <w:szCs w:val="21"/>
          <w:highlight w:val="none"/>
        </w:rPr>
        <w:t>不同投标人的投标保证金从同一单位或个人的账户转出。</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有下列情形之一的，属于招标人与投标人串通投标：</w:t>
      </w:r>
    </w:p>
    <w:p>
      <w:pPr>
        <w:spacing w:line="240" w:lineRule="auto"/>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rPr>
        <w:tab/>
      </w:r>
      <w:r>
        <w:rPr>
          <w:rFonts w:hint="eastAsia" w:ascii="宋体" w:hAnsi="宋体"/>
          <w:szCs w:val="21"/>
          <w:highlight w:val="none"/>
        </w:rPr>
        <w:t>招标人在开标前开启投标文件并将有关信息泄露给其他投标人；</w:t>
      </w:r>
    </w:p>
    <w:p>
      <w:pPr>
        <w:spacing w:line="240" w:lineRule="auto"/>
        <w:ind w:firstLine="420" w:firstLineChars="200"/>
        <w:rPr>
          <w:rFonts w:ascii="宋体" w:hAnsi="宋体"/>
          <w:szCs w:val="21"/>
          <w:highlight w:val="none"/>
        </w:rPr>
      </w:pPr>
      <w:r>
        <w:rPr>
          <w:rFonts w:hint="eastAsia" w:ascii="宋体" w:hAnsi="宋体"/>
          <w:szCs w:val="21"/>
          <w:highlight w:val="none"/>
        </w:rPr>
        <w:t>b.</w:t>
      </w:r>
      <w:r>
        <w:rPr>
          <w:rFonts w:hint="eastAsia" w:ascii="宋体" w:hAnsi="宋体"/>
          <w:szCs w:val="21"/>
          <w:highlight w:val="none"/>
        </w:rPr>
        <w:tab/>
      </w:r>
      <w:r>
        <w:rPr>
          <w:rFonts w:hint="eastAsia" w:ascii="宋体" w:hAnsi="宋体"/>
          <w:szCs w:val="21"/>
          <w:highlight w:val="none"/>
        </w:rPr>
        <w:t>招标人直接或间接向投标人泄露标底、评标委员会成员等信息；</w:t>
      </w:r>
    </w:p>
    <w:p>
      <w:pPr>
        <w:spacing w:line="240" w:lineRule="auto"/>
        <w:ind w:firstLine="420" w:firstLineChars="200"/>
        <w:rPr>
          <w:rFonts w:ascii="宋体" w:hAnsi="宋体"/>
          <w:szCs w:val="21"/>
          <w:highlight w:val="none"/>
        </w:rPr>
      </w:pPr>
      <w:r>
        <w:rPr>
          <w:rFonts w:hint="eastAsia" w:ascii="宋体" w:hAnsi="宋体"/>
          <w:szCs w:val="21"/>
          <w:highlight w:val="none"/>
        </w:rPr>
        <w:t>c.</w:t>
      </w:r>
      <w:r>
        <w:rPr>
          <w:rFonts w:hint="eastAsia" w:ascii="宋体" w:hAnsi="宋体"/>
          <w:szCs w:val="21"/>
          <w:highlight w:val="none"/>
        </w:rPr>
        <w:tab/>
      </w:r>
      <w:r>
        <w:rPr>
          <w:rFonts w:hint="eastAsia" w:ascii="宋体" w:hAnsi="宋体"/>
          <w:szCs w:val="21"/>
          <w:highlight w:val="none"/>
        </w:rPr>
        <w:t>招标人明示或暗示投标人压低或抬高投标报价；</w:t>
      </w:r>
    </w:p>
    <w:p>
      <w:pPr>
        <w:spacing w:line="240" w:lineRule="auto"/>
        <w:ind w:firstLine="420" w:firstLineChars="200"/>
        <w:rPr>
          <w:rFonts w:ascii="宋体" w:hAnsi="宋体"/>
          <w:szCs w:val="21"/>
          <w:highlight w:val="none"/>
        </w:rPr>
      </w:pPr>
      <w:r>
        <w:rPr>
          <w:rFonts w:hint="eastAsia" w:ascii="宋体" w:hAnsi="宋体"/>
          <w:szCs w:val="21"/>
          <w:highlight w:val="none"/>
        </w:rPr>
        <w:t>d.</w:t>
      </w:r>
      <w:r>
        <w:rPr>
          <w:rFonts w:hint="eastAsia" w:ascii="宋体" w:hAnsi="宋体"/>
          <w:szCs w:val="21"/>
          <w:highlight w:val="none"/>
        </w:rPr>
        <w:tab/>
      </w:r>
      <w:r>
        <w:rPr>
          <w:rFonts w:hint="eastAsia" w:ascii="宋体" w:hAnsi="宋体"/>
          <w:szCs w:val="21"/>
          <w:highlight w:val="none"/>
        </w:rPr>
        <w:t>招标人授意投标人撤换、修改投标文件；</w:t>
      </w:r>
    </w:p>
    <w:p>
      <w:pPr>
        <w:spacing w:line="240" w:lineRule="auto"/>
        <w:ind w:firstLine="420" w:firstLineChars="200"/>
        <w:rPr>
          <w:rFonts w:ascii="宋体" w:hAnsi="宋体"/>
          <w:szCs w:val="21"/>
          <w:highlight w:val="none"/>
        </w:rPr>
      </w:pPr>
      <w:r>
        <w:rPr>
          <w:rFonts w:hint="eastAsia" w:ascii="宋体" w:hAnsi="宋体"/>
          <w:szCs w:val="21"/>
          <w:highlight w:val="none"/>
        </w:rPr>
        <w:t>e.</w:t>
      </w:r>
      <w:r>
        <w:rPr>
          <w:rFonts w:hint="eastAsia" w:ascii="宋体" w:hAnsi="宋体"/>
          <w:szCs w:val="21"/>
          <w:highlight w:val="none"/>
        </w:rPr>
        <w:tab/>
      </w:r>
      <w:r>
        <w:rPr>
          <w:rFonts w:hint="eastAsia" w:ascii="宋体" w:hAnsi="宋体"/>
          <w:szCs w:val="21"/>
          <w:highlight w:val="none"/>
        </w:rPr>
        <w:t>招标人明示或暗示投标人为特定投标人中标提供方便；</w:t>
      </w:r>
    </w:p>
    <w:p>
      <w:pPr>
        <w:spacing w:line="240" w:lineRule="auto"/>
        <w:ind w:firstLine="420" w:firstLineChars="200"/>
        <w:rPr>
          <w:rFonts w:ascii="宋体" w:hAnsi="宋体"/>
          <w:szCs w:val="21"/>
          <w:highlight w:val="none"/>
        </w:rPr>
      </w:pPr>
      <w:r>
        <w:rPr>
          <w:rFonts w:hint="eastAsia" w:ascii="宋体" w:hAnsi="宋体"/>
          <w:szCs w:val="21"/>
          <w:highlight w:val="none"/>
        </w:rPr>
        <w:t>f.</w:t>
      </w:r>
      <w:r>
        <w:rPr>
          <w:rFonts w:hint="eastAsia" w:ascii="宋体" w:hAnsi="宋体"/>
          <w:szCs w:val="21"/>
          <w:highlight w:val="none"/>
        </w:rPr>
        <w:tab/>
      </w:r>
      <w:r>
        <w:rPr>
          <w:rFonts w:hint="eastAsia" w:ascii="宋体" w:hAnsi="宋体"/>
          <w:szCs w:val="21"/>
          <w:highlight w:val="none"/>
        </w:rPr>
        <w:t>招标人与投标人为谋求特定投标人中标而采取的其他串通行为。</w:t>
      </w:r>
    </w:p>
    <w:p>
      <w:pPr>
        <w:tabs>
          <w:tab w:val="left" w:pos="851"/>
        </w:tabs>
        <w:spacing w:line="24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投标人有下列情形之一的，属于弄虚作假的行为：</w:t>
      </w:r>
    </w:p>
    <w:p>
      <w:pPr>
        <w:spacing w:line="240" w:lineRule="auto"/>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rPr>
        <w:tab/>
      </w:r>
      <w:r>
        <w:rPr>
          <w:rFonts w:hint="eastAsia" w:ascii="宋体" w:hAnsi="宋体"/>
          <w:szCs w:val="21"/>
          <w:highlight w:val="none"/>
        </w:rPr>
        <w:t>使用通过受让或租借等方式获取的资格、资质证书投标；</w:t>
      </w:r>
    </w:p>
    <w:p>
      <w:pPr>
        <w:spacing w:line="240" w:lineRule="auto"/>
        <w:ind w:firstLine="420" w:firstLineChars="200"/>
        <w:rPr>
          <w:rFonts w:ascii="宋体" w:hAnsi="宋体"/>
          <w:szCs w:val="21"/>
          <w:highlight w:val="none"/>
        </w:rPr>
      </w:pPr>
      <w:r>
        <w:rPr>
          <w:rFonts w:hint="eastAsia" w:ascii="宋体" w:hAnsi="宋体"/>
          <w:szCs w:val="21"/>
          <w:highlight w:val="none"/>
        </w:rPr>
        <w:t>b.</w:t>
      </w:r>
      <w:r>
        <w:rPr>
          <w:rFonts w:hint="eastAsia" w:ascii="宋体" w:hAnsi="宋体"/>
          <w:szCs w:val="21"/>
          <w:highlight w:val="none"/>
        </w:rPr>
        <w:tab/>
      </w:r>
      <w:r>
        <w:rPr>
          <w:rFonts w:hint="eastAsia" w:ascii="宋体" w:hAnsi="宋体"/>
          <w:szCs w:val="21"/>
          <w:highlight w:val="none"/>
        </w:rPr>
        <w:t>使用伪造、变造的许可证件；</w:t>
      </w:r>
    </w:p>
    <w:p>
      <w:pPr>
        <w:spacing w:line="240" w:lineRule="auto"/>
        <w:ind w:firstLine="420" w:firstLineChars="200"/>
        <w:rPr>
          <w:rFonts w:ascii="宋体" w:hAnsi="宋体"/>
          <w:szCs w:val="21"/>
          <w:highlight w:val="none"/>
        </w:rPr>
      </w:pPr>
      <w:r>
        <w:rPr>
          <w:rFonts w:hint="eastAsia" w:ascii="宋体" w:hAnsi="宋体"/>
          <w:szCs w:val="21"/>
          <w:highlight w:val="none"/>
        </w:rPr>
        <w:t>c.</w:t>
      </w:r>
      <w:r>
        <w:rPr>
          <w:rFonts w:hint="eastAsia" w:ascii="宋体" w:hAnsi="宋体"/>
          <w:szCs w:val="21"/>
          <w:highlight w:val="none"/>
        </w:rPr>
        <w:tab/>
      </w:r>
      <w:r>
        <w:rPr>
          <w:rFonts w:hint="eastAsia" w:ascii="宋体" w:hAnsi="宋体"/>
          <w:szCs w:val="21"/>
          <w:highlight w:val="none"/>
        </w:rPr>
        <w:t>提供虚假的业绩；</w:t>
      </w:r>
    </w:p>
    <w:p>
      <w:pPr>
        <w:spacing w:line="240" w:lineRule="auto"/>
        <w:ind w:firstLine="420" w:firstLineChars="200"/>
        <w:rPr>
          <w:rFonts w:ascii="宋体" w:hAnsi="宋体"/>
          <w:szCs w:val="21"/>
          <w:highlight w:val="none"/>
        </w:rPr>
      </w:pPr>
      <w:r>
        <w:rPr>
          <w:rFonts w:hint="eastAsia" w:ascii="宋体" w:hAnsi="宋体"/>
          <w:szCs w:val="21"/>
          <w:highlight w:val="none"/>
        </w:rPr>
        <w:t>d.</w:t>
      </w:r>
      <w:r>
        <w:rPr>
          <w:rFonts w:hint="eastAsia" w:ascii="宋体" w:hAnsi="宋体"/>
          <w:szCs w:val="21"/>
          <w:highlight w:val="none"/>
        </w:rPr>
        <w:tab/>
      </w:r>
      <w:r>
        <w:rPr>
          <w:rFonts w:hint="eastAsia" w:ascii="宋体" w:hAnsi="宋体"/>
          <w:szCs w:val="21"/>
          <w:highlight w:val="none"/>
        </w:rPr>
        <w:t>提供虚假的项目负责人或主要技术人员简历、劳动关系证明；</w:t>
      </w:r>
    </w:p>
    <w:p>
      <w:pPr>
        <w:spacing w:line="240" w:lineRule="auto"/>
        <w:ind w:firstLine="420" w:firstLineChars="200"/>
        <w:rPr>
          <w:rFonts w:ascii="宋体" w:hAnsi="宋体"/>
          <w:szCs w:val="21"/>
          <w:highlight w:val="none"/>
        </w:rPr>
      </w:pPr>
      <w:r>
        <w:rPr>
          <w:rFonts w:hint="eastAsia" w:ascii="宋体" w:hAnsi="宋体"/>
          <w:szCs w:val="21"/>
          <w:highlight w:val="none"/>
        </w:rPr>
        <w:t>e.</w:t>
      </w:r>
      <w:r>
        <w:rPr>
          <w:rFonts w:hint="eastAsia" w:ascii="宋体" w:hAnsi="宋体"/>
          <w:szCs w:val="21"/>
          <w:highlight w:val="none"/>
        </w:rPr>
        <w:tab/>
      </w:r>
      <w:r>
        <w:rPr>
          <w:rFonts w:hint="eastAsia" w:ascii="宋体" w:hAnsi="宋体"/>
          <w:szCs w:val="21"/>
          <w:highlight w:val="none"/>
        </w:rPr>
        <w:t>提供虚假的信用状况；</w:t>
      </w:r>
    </w:p>
    <w:p>
      <w:pPr>
        <w:spacing w:line="240" w:lineRule="auto"/>
        <w:ind w:firstLine="420" w:firstLineChars="200"/>
        <w:rPr>
          <w:rFonts w:ascii="宋体" w:hAnsi="宋体"/>
          <w:szCs w:val="21"/>
          <w:highlight w:val="none"/>
        </w:rPr>
      </w:pPr>
      <w:r>
        <w:rPr>
          <w:rFonts w:hint="eastAsia" w:ascii="宋体" w:hAnsi="宋体"/>
          <w:szCs w:val="21"/>
          <w:highlight w:val="none"/>
        </w:rPr>
        <w:t>f.</w:t>
      </w:r>
      <w:r>
        <w:rPr>
          <w:rFonts w:hint="eastAsia" w:ascii="宋体" w:hAnsi="宋体"/>
          <w:szCs w:val="21"/>
          <w:highlight w:val="none"/>
        </w:rPr>
        <w:tab/>
      </w:r>
      <w:r>
        <w:rPr>
          <w:rFonts w:hint="eastAsia" w:ascii="宋体" w:hAnsi="宋体"/>
          <w:szCs w:val="21"/>
          <w:highlight w:val="none"/>
        </w:rPr>
        <w:t>其他弄虚作假的行为。</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3.7投标文件的澄清和说明</w:t>
      </w:r>
    </w:p>
    <w:p>
      <w:pPr>
        <w:spacing w:line="240" w:lineRule="auto"/>
        <w:ind w:firstLine="420" w:firstLineChars="200"/>
        <w:rPr>
          <w:rFonts w:ascii="宋体" w:hAnsi="宋体"/>
          <w:szCs w:val="21"/>
          <w:highlight w:val="none"/>
        </w:rPr>
      </w:pPr>
      <w:r>
        <w:rPr>
          <w:rFonts w:hint="eastAsia" w:ascii="宋体" w:hAnsi="宋体"/>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240" w:lineRule="auto"/>
        <w:ind w:firstLine="420" w:firstLineChars="200"/>
        <w:rPr>
          <w:rFonts w:ascii="宋体" w:hAnsi="宋体"/>
          <w:szCs w:val="21"/>
          <w:highlight w:val="none"/>
        </w:rPr>
      </w:pPr>
      <w:r>
        <w:rPr>
          <w:rFonts w:hint="eastAsia" w:ascii="宋体" w:hAnsi="宋体"/>
          <w:szCs w:val="21"/>
          <w:highlight w:val="none"/>
        </w:rPr>
        <w:t>3.7.2澄清和说明不得超出投标文件的范围或改变投标文件的实质性内容（算术性错误的修正除外）。投标人的书面澄清、说明属于投标文件的组成部分。</w:t>
      </w:r>
    </w:p>
    <w:p>
      <w:pPr>
        <w:spacing w:line="240" w:lineRule="auto"/>
        <w:ind w:firstLine="420" w:firstLineChars="200"/>
        <w:rPr>
          <w:rFonts w:ascii="宋体" w:hAnsi="宋体"/>
          <w:szCs w:val="21"/>
          <w:highlight w:val="none"/>
        </w:rPr>
      </w:pPr>
      <w:r>
        <w:rPr>
          <w:rFonts w:hint="eastAsia" w:ascii="宋体" w:hAnsi="宋体"/>
          <w:szCs w:val="21"/>
          <w:highlight w:val="none"/>
        </w:rPr>
        <w:t>3.7.3评标委员会不得暗示或诱导投标人作出澄清、说明，对投标人提交的澄清、说明有疑问的，可以要求投标人进一步澄清或说明，直至满足评标委员会的要求。</w:t>
      </w:r>
    </w:p>
    <w:p>
      <w:pPr>
        <w:spacing w:line="240" w:lineRule="auto"/>
        <w:ind w:firstLine="420" w:firstLineChars="200"/>
        <w:rPr>
          <w:rFonts w:ascii="宋体" w:hAnsi="宋体"/>
          <w:szCs w:val="21"/>
          <w:highlight w:val="none"/>
        </w:rPr>
      </w:pPr>
      <w:r>
        <w:rPr>
          <w:rFonts w:hint="eastAsia" w:ascii="宋体" w:hAnsi="宋体"/>
          <w:szCs w:val="21"/>
          <w:highlight w:val="none"/>
        </w:rPr>
        <w:t>3.7.4凡超出招标文件规定的或给委托人带来未曾要求的利益的变化、偏差或其他因素在评标时不予考虑。</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3.8不得否决投标的情形</w:t>
      </w:r>
    </w:p>
    <w:p>
      <w:pPr>
        <w:spacing w:line="240" w:lineRule="auto"/>
        <w:ind w:firstLine="420" w:firstLineChars="200"/>
        <w:rPr>
          <w:rFonts w:ascii="宋体" w:hAnsi="宋体"/>
          <w:szCs w:val="21"/>
          <w:highlight w:val="none"/>
        </w:rPr>
      </w:pPr>
      <w:r>
        <w:rPr>
          <w:rFonts w:hint="eastAsia" w:ascii="宋体" w:hAnsi="宋体"/>
          <w:szCs w:val="21"/>
          <w:highlight w:val="none"/>
        </w:rPr>
        <w:t>投标文件存在第二章“投标人须知”第1.12.3项所列情形的，均视为细微偏差，评标委员会不得否决投标人的投标，应按照第二章“投标人须知”第1.12.4项规定 的原则处理。</w:t>
      </w:r>
    </w:p>
    <w:p>
      <w:pPr>
        <w:spacing w:line="240" w:lineRule="auto"/>
        <w:rPr>
          <w:rFonts w:ascii="黑体" w:hAnsi="黑体" w:eastAsia="黑体"/>
          <w:sz w:val="24"/>
          <w:szCs w:val="28"/>
          <w:highlight w:val="none"/>
        </w:rPr>
      </w:pPr>
      <w:r>
        <w:rPr>
          <w:rFonts w:hint="eastAsia" w:ascii="黑体" w:hAnsi="黑体" w:eastAsia="黑体"/>
          <w:sz w:val="24"/>
          <w:szCs w:val="28"/>
          <w:highlight w:val="none"/>
        </w:rPr>
        <w:t>3.9评标结果</w:t>
      </w:r>
    </w:p>
    <w:p>
      <w:pPr>
        <w:spacing w:line="240" w:lineRule="auto"/>
        <w:ind w:firstLine="420" w:firstLineChars="200"/>
        <w:rPr>
          <w:rFonts w:ascii="宋体" w:hAnsi="宋体"/>
          <w:szCs w:val="21"/>
          <w:highlight w:val="none"/>
        </w:rPr>
      </w:pPr>
      <w:r>
        <w:rPr>
          <w:rFonts w:hint="eastAsia" w:ascii="宋体" w:hAnsi="宋体"/>
          <w:szCs w:val="21"/>
          <w:highlight w:val="none"/>
        </w:rPr>
        <w:t>3.9.1除第二章“投标人须知”前附表授权直接确定中标人外，评标委员会按照得分由高到低的顺序推荐中标候选人，并标明排序。</w:t>
      </w:r>
    </w:p>
    <w:p>
      <w:pPr>
        <w:spacing w:line="240" w:lineRule="auto"/>
        <w:ind w:firstLine="420" w:firstLineChars="200"/>
        <w:rPr>
          <w:rFonts w:ascii="宋体" w:hAnsi="宋体"/>
          <w:szCs w:val="21"/>
          <w:highlight w:val="none"/>
        </w:rPr>
      </w:pPr>
      <w:r>
        <w:rPr>
          <w:rFonts w:hint="eastAsia" w:ascii="宋体" w:hAnsi="宋体"/>
          <w:szCs w:val="21"/>
          <w:highlight w:val="none"/>
        </w:rPr>
        <w:t xml:space="preserve">3.9.2评标委员会完成评标后，应向招标人提交书面评标报告。 </w:t>
      </w:r>
    </w:p>
    <w:p>
      <w:pPr>
        <w:pStyle w:val="59"/>
        <w:pageBreakBefore w:val="0"/>
        <w:shd w:val="clear" w:color="auto" w:fill="auto"/>
        <w:kinsoku/>
        <w:wordWrap/>
        <w:overflowPunct/>
        <w:topLinePunct w:val="0"/>
        <w:bidi w:val="0"/>
        <w:adjustRightInd w:val="0"/>
        <w:snapToGrid w:val="0"/>
        <w:spacing w:before="0" w:beforeAutospacing="0" w:afterAutospacing="0" w:line="240" w:lineRule="auto"/>
        <w:ind w:left="0" w:leftChars="0" w:right="0"/>
        <w:jc w:val="both"/>
        <w:textAlignment w:val="auto"/>
        <w:rPr>
          <w:rFonts w:hint="eastAsia" w:ascii="宋体" w:hAnsi="宋体" w:eastAsia="宋体" w:cs="宋体"/>
          <w:b/>
          <w:bCs/>
          <w:szCs w:val="21"/>
          <w:highlight w:val="none"/>
          <w:lang w:val="en-US" w:eastAsia="zh-CN"/>
        </w:rPr>
      </w:pPr>
    </w:p>
    <w:p>
      <w:pPr>
        <w:pStyle w:val="59"/>
        <w:pageBreakBefore w:val="0"/>
        <w:shd w:val="clear" w:color="auto" w:fill="auto"/>
        <w:kinsoku/>
        <w:wordWrap/>
        <w:overflowPunct/>
        <w:topLinePunct w:val="0"/>
        <w:bidi w:val="0"/>
        <w:adjustRightInd w:val="0"/>
        <w:snapToGrid w:val="0"/>
        <w:spacing w:before="0" w:beforeAutospacing="0" w:afterAutospacing="0" w:line="240" w:lineRule="auto"/>
        <w:ind w:left="0" w:leftChars="0" w:right="0"/>
        <w:jc w:val="both"/>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11、</w:t>
      </w:r>
      <w:r>
        <w:rPr>
          <w:rFonts w:hint="eastAsia" w:ascii="宋体" w:hAnsi="宋体" w:eastAsia="宋体" w:cs="宋体"/>
          <w:b/>
          <w:bCs/>
          <w:szCs w:val="21"/>
          <w:highlight w:val="none"/>
        </w:rPr>
        <w:t xml:space="preserve"> 公开时间</w:t>
      </w:r>
    </w:p>
    <w:p>
      <w:pPr>
        <w:pageBreakBefore w:val="0"/>
        <w:kinsoku/>
        <w:wordWrap/>
        <w:overflowPunct/>
        <w:topLinePunct w:val="0"/>
        <w:bidi w:val="0"/>
        <w:adjustRightInd w:val="0"/>
        <w:snapToGrid w:val="0"/>
        <w:spacing w:beforeAutospacing="0" w:afterAutospacing="0" w:line="240" w:lineRule="auto"/>
        <w:ind w:left="0" w:leftChars="0" w:righ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本次招标文件关键内容信息公开时间至2021年8月</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日结束。</w:t>
      </w:r>
      <w:bookmarkStart w:id="28" w:name="_Toc455238563"/>
    </w:p>
    <w:p>
      <w:pPr>
        <w:pageBreakBefore w:val="0"/>
        <w:kinsoku/>
        <w:wordWrap/>
        <w:overflowPunct/>
        <w:topLinePunct w:val="0"/>
        <w:bidi w:val="0"/>
        <w:adjustRightInd w:val="0"/>
        <w:snapToGrid w:val="0"/>
        <w:spacing w:beforeAutospacing="0" w:afterAutospacing="0" w:line="240" w:lineRule="auto"/>
        <w:ind w:left="0" w:leftChars="0" w:right="0"/>
        <w:textAlignment w:val="auto"/>
        <w:rPr>
          <w:rFonts w:hint="eastAsia" w:ascii="宋体" w:hAnsi="宋体" w:eastAsia="宋体" w:cs="宋体"/>
          <w:b/>
          <w:bCs/>
          <w:i w:val="0"/>
          <w:iCs w:val="0"/>
          <w:szCs w:val="21"/>
          <w:highlight w:val="none"/>
          <w:lang w:val="en-US" w:eastAsia="zh-CN"/>
        </w:rPr>
      </w:pPr>
    </w:p>
    <w:p>
      <w:pPr>
        <w:pageBreakBefore w:val="0"/>
        <w:kinsoku/>
        <w:wordWrap/>
        <w:overflowPunct/>
        <w:topLinePunct w:val="0"/>
        <w:bidi w:val="0"/>
        <w:adjustRightInd w:val="0"/>
        <w:snapToGrid w:val="0"/>
        <w:spacing w:beforeAutospacing="0" w:afterAutospacing="0" w:line="240" w:lineRule="auto"/>
        <w:ind w:left="0" w:leftChars="0" w:right="0"/>
        <w:textAlignment w:val="auto"/>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lang w:val="en-US" w:eastAsia="zh-CN"/>
        </w:rPr>
        <w:t>12</w:t>
      </w:r>
      <w:r>
        <w:rPr>
          <w:rFonts w:hint="eastAsia" w:ascii="宋体" w:hAnsi="宋体" w:eastAsia="宋体" w:cs="宋体"/>
          <w:b/>
          <w:bCs/>
          <w:i w:val="0"/>
          <w:iCs w:val="0"/>
          <w:szCs w:val="21"/>
          <w:highlight w:val="none"/>
        </w:rPr>
        <w:t>.联系方式</w:t>
      </w:r>
      <w:bookmarkEnd w:id="28"/>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lang w:eastAsia="zh-CN"/>
        </w:rPr>
      </w:pPr>
      <w:r>
        <w:rPr>
          <w:rFonts w:hint="eastAsia" w:ascii="宋体" w:hAnsi="宋体" w:eastAsia="宋体" w:cs="宋体"/>
          <w:color w:val="000000"/>
          <w:spacing w:val="1"/>
          <w:kern w:val="0"/>
          <w:szCs w:val="21"/>
          <w:highlight w:val="none"/>
        </w:rPr>
        <w:t xml:space="preserve">招标人: </w:t>
      </w:r>
      <w:r>
        <w:rPr>
          <w:rFonts w:hint="eastAsia" w:ascii="宋体" w:hAnsi="宋体" w:eastAsia="宋体" w:cs="宋体"/>
          <w:color w:val="000000"/>
          <w:spacing w:val="1"/>
          <w:kern w:val="0"/>
          <w:szCs w:val="21"/>
          <w:highlight w:val="none"/>
          <w:lang w:eastAsia="zh-CN"/>
        </w:rPr>
        <w:t>四平市建融交通投资集团有限公司</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rPr>
      </w:pPr>
      <w:r>
        <w:rPr>
          <w:rFonts w:hint="eastAsia" w:ascii="宋体" w:hAnsi="宋体" w:eastAsia="宋体" w:cs="宋体"/>
          <w:color w:val="000000"/>
          <w:spacing w:val="1"/>
          <w:kern w:val="0"/>
          <w:szCs w:val="21"/>
          <w:highlight w:val="none"/>
        </w:rPr>
        <w:t>地址: 四平市铁西区站前街676号交通大厦六楼</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rPr>
      </w:pPr>
      <w:r>
        <w:rPr>
          <w:rFonts w:hint="eastAsia" w:ascii="宋体" w:hAnsi="宋体" w:eastAsia="宋体" w:cs="宋体"/>
          <w:color w:val="000000"/>
          <w:spacing w:val="1"/>
          <w:kern w:val="0"/>
          <w:szCs w:val="21"/>
          <w:highlight w:val="none"/>
        </w:rPr>
        <w:t>联系人: 赵金武</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rPr>
      </w:pPr>
      <w:r>
        <w:rPr>
          <w:rFonts w:hint="eastAsia" w:ascii="宋体" w:hAnsi="宋体" w:eastAsia="宋体" w:cs="宋体"/>
          <w:color w:val="000000"/>
          <w:spacing w:val="1"/>
          <w:kern w:val="0"/>
          <w:szCs w:val="21"/>
          <w:highlight w:val="none"/>
        </w:rPr>
        <w:t>电话: 0434-3283208</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lang w:val="en-US" w:eastAsia="zh-CN"/>
        </w:rPr>
      </w:pPr>
      <w:r>
        <w:rPr>
          <w:rFonts w:hint="eastAsia" w:ascii="宋体" w:hAnsi="宋体" w:eastAsia="宋体" w:cs="宋体"/>
          <w:color w:val="000000"/>
          <w:spacing w:val="1"/>
          <w:kern w:val="0"/>
          <w:szCs w:val="21"/>
          <w:highlight w:val="none"/>
          <w:lang w:val="en-US" w:eastAsia="zh-CN"/>
        </w:rPr>
        <w:t>招标代理机构: 吉林省智广工程项目管理有限公司</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lang w:val="en-US" w:eastAsia="zh-CN"/>
        </w:rPr>
      </w:pPr>
      <w:r>
        <w:rPr>
          <w:rFonts w:hint="eastAsia" w:ascii="宋体" w:hAnsi="宋体" w:eastAsia="宋体" w:cs="宋体"/>
          <w:color w:val="000000"/>
          <w:spacing w:val="1"/>
          <w:kern w:val="0"/>
          <w:szCs w:val="21"/>
          <w:highlight w:val="none"/>
          <w:lang w:val="en-US" w:eastAsia="zh-CN"/>
        </w:rPr>
        <w:t>地址: 长春市朝阳区卫星路7440号远创国际2、3号楼1306室</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color w:val="000000"/>
          <w:spacing w:val="1"/>
          <w:kern w:val="0"/>
          <w:szCs w:val="21"/>
          <w:highlight w:val="none"/>
          <w:lang w:val="en-US" w:eastAsia="zh-CN"/>
        </w:rPr>
      </w:pPr>
      <w:r>
        <w:rPr>
          <w:rFonts w:hint="eastAsia" w:ascii="宋体" w:hAnsi="宋体" w:eastAsia="宋体" w:cs="宋体"/>
          <w:color w:val="000000"/>
          <w:spacing w:val="1"/>
          <w:kern w:val="0"/>
          <w:szCs w:val="21"/>
          <w:highlight w:val="none"/>
          <w:lang w:val="en-US" w:eastAsia="zh-CN"/>
        </w:rPr>
        <w:t>联系人: 董爽</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firstLine="420"/>
        <w:jc w:val="left"/>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spacing w:val="1"/>
          <w:kern w:val="0"/>
          <w:szCs w:val="21"/>
          <w:highlight w:val="none"/>
          <w:lang w:val="en-US" w:eastAsia="zh-CN"/>
        </w:rPr>
        <w:t>电话: 0431-88035566</w:t>
      </w:r>
    </w:p>
    <w:sectPr>
      <w:footnotePr>
        <w:numFmt w:val="decimalEnclosedCircleChinese"/>
        <w:numRestart w:val="eachPage"/>
      </w:footnotePr>
      <w:pgSz w:w="11900" w:h="16840"/>
      <w:pgMar w:top="1134" w:right="1418" w:bottom="1134" w:left="141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rdiaUPC">
    <w:altName w:val="Segoe Print"/>
    <w:panose1 w:val="00000000000000000000"/>
    <w:charset w:val="00"/>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avid">
    <w:altName w:val="Arial"/>
    <w:panose1 w:val="00000000000000000000"/>
    <w:charset w:val="B1"/>
    <w:family w:val="swiss"/>
    <w:pitch w:val="default"/>
    <w:sig w:usb0="00000000" w:usb1="00000000" w:usb2="00000000" w:usb3="00000000" w:csb0="00000020" w:csb1="002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方正超粗黑简体">
    <w:altName w:val="黑体"/>
    <w:panose1 w:val="00000000000000000000"/>
    <w:charset w:val="86"/>
    <w:family w:val="script"/>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32"/>
        <w:spacing w:line="320" w:lineRule="exact"/>
        <w:jc w:val="both"/>
        <w:rPr>
          <w:rFonts w:hint="eastAsia" w:ascii="宋体" w:hAnsi="宋体" w:eastAsia="宋体"/>
          <w:lang w:eastAsia="zh-CN"/>
        </w:rPr>
      </w:pPr>
    </w:p>
  </w:footnote>
  <w:footnote w:id="1">
    <w:p>
      <w:pPr>
        <w:pStyle w:val="32"/>
      </w:pPr>
      <w:r>
        <w:rPr>
          <w:rStyle w:val="53"/>
        </w:rPr>
        <w:footnoteRef/>
      </w:r>
      <w:r>
        <w:t xml:space="preserve"> </w:t>
      </w:r>
      <w:r>
        <w:rPr>
          <w:rFonts w:hint="eastAsia"/>
        </w:rPr>
        <w:t>招标文件中要求投标人提供的各类证照复印件均指彩色扫描件或彩色复印件，其他资料的复印件可为黑白扫描件或黑白复印件。</w:t>
      </w:r>
    </w:p>
  </w:footnote>
  <w:footnote w:id="2">
    <w:p>
      <w:pPr>
        <w:pStyle w:val="32"/>
      </w:pPr>
      <w:r>
        <w:rPr>
          <w:rStyle w:val="53"/>
        </w:rPr>
        <w:footnoteRef/>
      </w:r>
      <w:r>
        <w:rPr>
          <w:rFonts w:hint="eastAsia" w:ascii="黑体" w:hAnsi="黑体" w:eastAsia="黑体"/>
        </w:rPr>
        <w:t>标书内需附加盖公章及法人章的承诺书，格式自拟。</w:t>
      </w:r>
    </w:p>
  </w:footnote>
  <w:footnote w:id="3">
    <w:p>
      <w:pPr>
        <w:pStyle w:val="32"/>
      </w:pPr>
      <w:r>
        <w:rPr>
          <w:rStyle w:val="53"/>
        </w:rPr>
        <w:footnoteRef/>
      </w:r>
      <w:r>
        <w:rPr>
          <w:rFonts w:ascii="黑体" w:hAnsi="黑体" w:eastAsia="黑体"/>
        </w:rPr>
        <w:t xml:space="preserve"> “评标办法前附表”用于明确评标的方法、因素、标准和程序。没有列明的因素和标准不得作为评标的依据。</w:t>
      </w:r>
    </w:p>
  </w:footnote>
  <w:footnote w:id="4">
    <w:p>
      <w:pPr>
        <w:pStyle w:val="32"/>
      </w:pPr>
      <w:r>
        <w:rPr>
          <w:rStyle w:val="53"/>
        </w:rPr>
        <w:footnoteRef/>
      </w:r>
      <w:r>
        <w:rPr>
          <w:rFonts w:hint="eastAsia" w:ascii="黑体" w:hAnsi="黑体" w:eastAsia="黑体"/>
        </w:rPr>
        <w:t>本款规定仅适用于根据《关于发布公路工程从业企业资质名录的通知》（厅公路字﹝2011﹞114号）要求，招标人应通过名录对投标人应通过名录对投标人资质条件进行审核的公路施工监理企业。</w:t>
      </w:r>
    </w:p>
  </w:footnote>
  <w:footnote w:id="5">
    <w:p>
      <w:pPr>
        <w:pStyle w:val="32"/>
        <w:rPr>
          <w:rFonts w:ascii="黑体" w:hAnsi="黑体" w:eastAsia="黑体"/>
        </w:rPr>
      </w:pPr>
      <w:r>
        <w:rPr>
          <w:rStyle w:val="53"/>
          <w:rFonts w:ascii="黑体" w:hAnsi="黑体" w:eastAsia="黑体"/>
        </w:rPr>
        <w:footnoteRef/>
      </w:r>
      <w:r>
        <w:rPr>
          <w:rFonts w:ascii="黑体" w:hAnsi="黑体" w:eastAsia="黑体"/>
        </w:rPr>
        <w:t>各评分因素（评标价和履约信誉评分项除外）得分一般不得低于其权重分值的60%，且各评分因素得分应以评标委员会各成员的打分平均值确定，分数保留两位小数</w:t>
      </w:r>
      <w:r>
        <w:rPr>
          <w:rFonts w:hint="eastAsia" w:ascii="黑体" w:hAnsi="黑体" w:eastAsia="黑体"/>
        </w:rPr>
        <w:t>。</w:t>
      </w:r>
      <w:r>
        <w:rPr>
          <w:rFonts w:ascii="黑体" w:hAnsi="黑体" w:eastAsia="黑体"/>
        </w:rPr>
        <w:t>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3489"/>
    <w:multiLevelType w:val="singleLevel"/>
    <w:tmpl w:val="ACF53489"/>
    <w:lvl w:ilvl="0" w:tentative="0">
      <w:start w:val="1"/>
      <w:numFmt w:val="decimal"/>
      <w:suff w:val="nothing"/>
      <w:lvlText w:val="（%1）"/>
      <w:lvlJc w:val="left"/>
    </w:lvl>
  </w:abstractNum>
  <w:abstractNum w:abstractNumId="1">
    <w:nsid w:val="1B344560"/>
    <w:multiLevelType w:val="multilevel"/>
    <w:tmpl w:val="1B344560"/>
    <w:lvl w:ilvl="0" w:tentative="0">
      <w:start w:val="1"/>
      <w:numFmt w:val="decimal"/>
      <w:pStyle w:val="368"/>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24ED472F"/>
    <w:multiLevelType w:val="multilevel"/>
    <w:tmpl w:val="24ED472F"/>
    <w:lvl w:ilvl="0" w:tentative="0">
      <w:start w:val="1"/>
      <w:numFmt w:val="decimal"/>
      <w:pStyle w:val="367"/>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282C6A03"/>
    <w:multiLevelType w:val="multilevel"/>
    <w:tmpl w:val="282C6A03"/>
    <w:lvl w:ilvl="0" w:tentative="0">
      <w:start w:val="1"/>
      <w:numFmt w:val="lowerLetter"/>
      <w:suff w:val="space"/>
      <w:lvlText w:val="%1."/>
      <w:lvlJc w:val="left"/>
      <w:pPr>
        <w:ind w:left="0" w:firstLine="510"/>
      </w:pPr>
      <w:rPr>
        <w:rFonts w:hint="eastAsia" w:ascii="Trebuchet MS" w:hAnsi="Trebuchet MS" w:eastAsia="宋体" w:cs="Trebuchet MS"/>
        <w:b w:val="0"/>
        <w:bCs w:val="0"/>
        <w:i w:val="0"/>
        <w:iCs w:val="0"/>
        <w:smallCaps w:val="0"/>
        <w:strike w:val="0"/>
        <w:color w:val="000000"/>
        <w:spacing w:val="0"/>
        <w:w w:val="100"/>
        <w:position w:val="0"/>
        <w:sz w:val="19"/>
        <w:szCs w:val="19"/>
        <w:u w:val="none"/>
        <w:lang w:val="en-US" w:eastAsia="en-US" w:bidi="en-US"/>
      </w:rPr>
    </w:lvl>
    <w:lvl w:ilvl="1" w:tentative="0">
      <w:start w:val="0"/>
      <w:numFmt w:val="decimal"/>
      <w:lvlText w:val=""/>
      <w:lvlJc w:val="left"/>
      <w:pPr>
        <w:ind w:left="0" w:firstLine="0"/>
      </w:pPr>
      <w:rPr>
        <w:rFonts w:hint="eastAsia"/>
      </w:rPr>
    </w:lvl>
    <w:lvl w:ilvl="2" w:tentative="0">
      <w:start w:val="0"/>
      <w:numFmt w:val="decimal"/>
      <w:lvlText w:val=""/>
      <w:lvlJc w:val="left"/>
      <w:pPr>
        <w:ind w:left="0" w:firstLine="0"/>
      </w:pPr>
      <w:rPr>
        <w:rFonts w:hint="eastAsia"/>
      </w:rPr>
    </w:lvl>
    <w:lvl w:ilvl="3" w:tentative="0">
      <w:start w:val="0"/>
      <w:numFmt w:val="decimal"/>
      <w:lvlText w:val=""/>
      <w:lvlJc w:val="left"/>
      <w:pPr>
        <w:ind w:left="0" w:firstLine="0"/>
      </w:pPr>
      <w:rPr>
        <w:rFonts w:hint="eastAsia"/>
      </w:rPr>
    </w:lvl>
    <w:lvl w:ilvl="4" w:tentative="0">
      <w:start w:val="0"/>
      <w:numFmt w:val="decimal"/>
      <w:lvlText w:val=""/>
      <w:lvlJc w:val="left"/>
      <w:pPr>
        <w:ind w:left="0" w:firstLine="0"/>
      </w:pPr>
      <w:rPr>
        <w:rFonts w:hint="eastAsia"/>
      </w:rPr>
    </w:lvl>
    <w:lvl w:ilvl="5" w:tentative="0">
      <w:start w:val="0"/>
      <w:numFmt w:val="decimal"/>
      <w:lvlText w:val=""/>
      <w:lvlJc w:val="left"/>
      <w:pPr>
        <w:ind w:left="0" w:firstLine="0"/>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4">
    <w:nsid w:val="341CF7C9"/>
    <w:multiLevelType w:val="singleLevel"/>
    <w:tmpl w:val="341CF7C9"/>
    <w:lvl w:ilvl="0" w:tentative="0">
      <w:start w:val="8"/>
      <w:numFmt w:val="decimal"/>
      <w:suff w:val="nothing"/>
      <w:lvlText w:val="%1、"/>
      <w:lvlJc w:val="left"/>
    </w:lvl>
  </w:abstractNum>
  <w:abstractNum w:abstractNumId="5">
    <w:nsid w:val="3AF4685C"/>
    <w:multiLevelType w:val="multilevel"/>
    <w:tmpl w:val="3AF4685C"/>
    <w:lvl w:ilvl="0" w:tentative="0">
      <w:start w:val="1"/>
      <w:numFmt w:val="lowerLetter"/>
      <w:lvlText w:val="%1)"/>
      <w:lvlJc w:val="left"/>
      <w:pPr>
        <w:ind w:left="1021" w:hanging="420"/>
      </w:p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6">
    <w:nsid w:val="55724C0D"/>
    <w:multiLevelType w:val="multilevel"/>
    <w:tmpl w:val="55724C0D"/>
    <w:lvl w:ilvl="0" w:tentative="0">
      <w:start w:val="1"/>
      <w:numFmt w:val="decimal"/>
      <w:lvlText w:val="（%1）"/>
      <w:lvlJc w:val="left"/>
      <w:pPr>
        <w:ind w:left="0" w:firstLine="510"/>
      </w:pPr>
      <w:rPr>
        <w:rFonts w:hint="eastAsia"/>
        <w:b w:val="0"/>
        <w:bCs w:val="0"/>
        <w:i w:val="0"/>
        <w:iCs w:val="0"/>
        <w:smallCaps w:val="0"/>
        <w:strike w:val="0"/>
        <w:color w:val="000000"/>
        <w:spacing w:val="0"/>
        <w:w w:val="100"/>
        <w:position w:val="0"/>
        <w:sz w:val="19"/>
        <w:szCs w:val="19"/>
        <w:u w:val="none"/>
        <w:lang w:val="en-US" w:eastAsia="en-US" w:bidi="en-US"/>
      </w:rPr>
    </w:lvl>
    <w:lvl w:ilvl="1" w:tentative="0">
      <w:start w:val="0"/>
      <w:numFmt w:val="decimal"/>
      <w:lvlText w:val=""/>
      <w:lvlJc w:val="left"/>
      <w:pPr>
        <w:ind w:left="0" w:firstLine="0"/>
      </w:pPr>
      <w:rPr>
        <w:rFonts w:hint="eastAsia"/>
      </w:rPr>
    </w:lvl>
    <w:lvl w:ilvl="2" w:tentative="0">
      <w:start w:val="0"/>
      <w:numFmt w:val="decimal"/>
      <w:lvlText w:val=""/>
      <w:lvlJc w:val="left"/>
      <w:pPr>
        <w:ind w:left="0" w:firstLine="0"/>
      </w:pPr>
      <w:rPr>
        <w:rFonts w:hint="eastAsia"/>
      </w:rPr>
    </w:lvl>
    <w:lvl w:ilvl="3" w:tentative="0">
      <w:start w:val="0"/>
      <w:numFmt w:val="decimal"/>
      <w:lvlText w:val=""/>
      <w:lvlJc w:val="left"/>
      <w:pPr>
        <w:ind w:left="0" w:firstLine="0"/>
      </w:pPr>
      <w:rPr>
        <w:rFonts w:hint="eastAsia"/>
      </w:rPr>
    </w:lvl>
    <w:lvl w:ilvl="4" w:tentative="0">
      <w:start w:val="0"/>
      <w:numFmt w:val="decimal"/>
      <w:lvlText w:val=""/>
      <w:lvlJc w:val="left"/>
      <w:pPr>
        <w:ind w:left="0" w:firstLine="0"/>
      </w:pPr>
      <w:rPr>
        <w:rFonts w:hint="eastAsia"/>
      </w:rPr>
    </w:lvl>
    <w:lvl w:ilvl="5" w:tentative="0">
      <w:start w:val="0"/>
      <w:numFmt w:val="decimal"/>
      <w:lvlText w:val=""/>
      <w:lvlJc w:val="left"/>
      <w:pPr>
        <w:ind w:left="0" w:firstLine="0"/>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7">
    <w:nsid w:val="6FAF5E99"/>
    <w:multiLevelType w:val="multilevel"/>
    <w:tmpl w:val="6FAF5E99"/>
    <w:lvl w:ilvl="0" w:tentative="0">
      <w:start w:val="1"/>
      <w:numFmt w:val="decimal"/>
      <w:lvlText w:val="（%1）"/>
      <w:lvlJc w:val="left"/>
      <w:pPr>
        <w:ind w:left="0" w:firstLine="510"/>
      </w:pPr>
      <w:rPr>
        <w:rFonts w:hint="eastAsia"/>
        <w:b w:val="0"/>
        <w:bCs w:val="0"/>
        <w:i w:val="0"/>
        <w:iCs w:val="0"/>
        <w:smallCaps w:val="0"/>
        <w:strike w:val="0"/>
        <w:color w:val="000000"/>
        <w:spacing w:val="10"/>
        <w:w w:val="100"/>
        <w:position w:val="0"/>
        <w:sz w:val="21"/>
        <w:szCs w:val="20"/>
        <w:u w:val="none"/>
        <w:lang w:val="en-US" w:eastAsia="en-US" w:bidi="en-US"/>
      </w:rPr>
    </w:lvl>
    <w:lvl w:ilvl="1" w:tentative="0">
      <w:start w:val="0"/>
      <w:numFmt w:val="decimal"/>
      <w:lvlText w:val=""/>
      <w:lvlJc w:val="left"/>
      <w:pPr>
        <w:ind w:left="0" w:firstLine="510"/>
      </w:pPr>
      <w:rPr>
        <w:rFonts w:hint="eastAsia"/>
      </w:rPr>
    </w:lvl>
    <w:lvl w:ilvl="2" w:tentative="0">
      <w:start w:val="0"/>
      <w:numFmt w:val="decimal"/>
      <w:lvlText w:val=""/>
      <w:lvlJc w:val="left"/>
      <w:pPr>
        <w:ind w:left="0" w:firstLine="510"/>
      </w:pPr>
      <w:rPr>
        <w:rFonts w:hint="eastAsia"/>
      </w:rPr>
    </w:lvl>
    <w:lvl w:ilvl="3" w:tentative="0">
      <w:start w:val="0"/>
      <w:numFmt w:val="decimal"/>
      <w:lvlText w:val=""/>
      <w:lvlJc w:val="left"/>
      <w:pPr>
        <w:ind w:left="0" w:firstLine="510"/>
      </w:pPr>
      <w:rPr>
        <w:rFonts w:hint="eastAsia"/>
      </w:rPr>
    </w:lvl>
    <w:lvl w:ilvl="4" w:tentative="0">
      <w:start w:val="0"/>
      <w:numFmt w:val="decimal"/>
      <w:lvlText w:val=""/>
      <w:lvlJc w:val="left"/>
      <w:pPr>
        <w:ind w:left="0" w:firstLine="510"/>
      </w:pPr>
      <w:rPr>
        <w:rFonts w:hint="eastAsia"/>
      </w:rPr>
    </w:lvl>
    <w:lvl w:ilvl="5" w:tentative="0">
      <w:start w:val="0"/>
      <w:numFmt w:val="decimal"/>
      <w:lvlText w:val=""/>
      <w:lvlJc w:val="left"/>
      <w:pPr>
        <w:ind w:left="0" w:firstLine="510"/>
      </w:pPr>
      <w:rPr>
        <w:rFonts w:hint="eastAsia"/>
      </w:rPr>
    </w:lvl>
    <w:lvl w:ilvl="6" w:tentative="0">
      <w:start w:val="0"/>
      <w:numFmt w:val="decimal"/>
      <w:lvlText w:val=""/>
      <w:lvlJc w:val="left"/>
      <w:pPr>
        <w:ind w:left="0" w:firstLine="510"/>
      </w:pPr>
      <w:rPr>
        <w:rFonts w:hint="eastAsia"/>
      </w:rPr>
    </w:lvl>
    <w:lvl w:ilvl="7" w:tentative="0">
      <w:start w:val="0"/>
      <w:numFmt w:val="decimal"/>
      <w:lvlText w:val=""/>
      <w:lvlJc w:val="left"/>
      <w:pPr>
        <w:ind w:left="0" w:firstLine="510"/>
      </w:pPr>
      <w:rPr>
        <w:rFonts w:hint="eastAsia"/>
      </w:rPr>
    </w:lvl>
    <w:lvl w:ilvl="8" w:tentative="0">
      <w:start w:val="0"/>
      <w:numFmt w:val="decimal"/>
      <w:lvlText w:val=""/>
      <w:lvlJc w:val="left"/>
      <w:pPr>
        <w:ind w:left="0" w:firstLine="510"/>
      </w:pPr>
      <w:rPr>
        <w:rFonts w:hint="eastAsia"/>
      </w:rPr>
    </w:lvl>
  </w:abstractNum>
  <w:abstractNum w:abstractNumId="8">
    <w:nsid w:val="79057FCD"/>
    <w:multiLevelType w:val="multilevel"/>
    <w:tmpl w:val="79057FCD"/>
    <w:lvl w:ilvl="0" w:tentative="0">
      <w:start w:val="1"/>
      <w:numFmt w:val="decimal"/>
      <w:lvlText w:val="（%1）"/>
      <w:lvlJc w:val="left"/>
      <w:pPr>
        <w:ind w:left="0" w:firstLine="510"/>
      </w:pPr>
      <w:rPr>
        <w:rFonts w:hint="eastAsia"/>
        <w:b w:val="0"/>
        <w:bCs w:val="0"/>
        <w:i w:val="0"/>
        <w:iCs w:val="0"/>
        <w:smallCaps w:val="0"/>
        <w:strike w:val="0"/>
        <w:color w:val="000000"/>
        <w:spacing w:val="0"/>
        <w:w w:val="100"/>
        <w:position w:val="0"/>
        <w:sz w:val="19"/>
        <w:szCs w:val="19"/>
        <w:u w:val="none"/>
        <w:lang w:val="en-US" w:eastAsia="en-US" w:bidi="en-US"/>
      </w:rPr>
    </w:lvl>
    <w:lvl w:ilvl="1" w:tentative="0">
      <w:start w:val="0"/>
      <w:numFmt w:val="decimal"/>
      <w:lvlText w:val=""/>
      <w:lvlJc w:val="left"/>
      <w:pPr>
        <w:ind w:left="0" w:firstLine="0"/>
      </w:pPr>
      <w:rPr>
        <w:rFonts w:hint="eastAsia"/>
      </w:rPr>
    </w:lvl>
    <w:lvl w:ilvl="2" w:tentative="0">
      <w:start w:val="0"/>
      <w:numFmt w:val="decimal"/>
      <w:lvlText w:val=""/>
      <w:lvlJc w:val="left"/>
      <w:pPr>
        <w:ind w:left="0" w:firstLine="0"/>
      </w:pPr>
      <w:rPr>
        <w:rFonts w:hint="eastAsia"/>
      </w:rPr>
    </w:lvl>
    <w:lvl w:ilvl="3" w:tentative="0">
      <w:start w:val="0"/>
      <w:numFmt w:val="decimal"/>
      <w:lvlText w:val=""/>
      <w:lvlJc w:val="left"/>
      <w:pPr>
        <w:ind w:left="0" w:firstLine="0"/>
      </w:pPr>
      <w:rPr>
        <w:rFonts w:hint="eastAsia"/>
      </w:rPr>
    </w:lvl>
    <w:lvl w:ilvl="4" w:tentative="0">
      <w:start w:val="0"/>
      <w:numFmt w:val="decimal"/>
      <w:lvlText w:val=""/>
      <w:lvlJc w:val="left"/>
      <w:pPr>
        <w:ind w:left="0" w:firstLine="0"/>
      </w:pPr>
      <w:rPr>
        <w:rFonts w:hint="eastAsia"/>
      </w:rPr>
    </w:lvl>
    <w:lvl w:ilvl="5" w:tentative="0">
      <w:start w:val="0"/>
      <w:numFmt w:val="decimal"/>
      <w:lvlText w:val=""/>
      <w:lvlJc w:val="left"/>
      <w:pPr>
        <w:ind w:left="0" w:firstLine="0"/>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num w:numId="1">
    <w:abstractNumId w:val="2"/>
  </w:num>
  <w:num w:numId="2">
    <w:abstractNumId w:val="1"/>
  </w:num>
  <w:num w:numId="3">
    <w:abstractNumId w:val="4"/>
  </w:num>
  <w:num w:numId="4">
    <w:abstractNumId w:val="0"/>
  </w:num>
  <w:num w:numId="5">
    <w:abstractNumId w:val="7"/>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mirrorMargins w:val="1"/>
  <w:bordersDoNotSurroundHeader w:val="1"/>
  <w:bordersDoNotSurroundFooter w:val="1"/>
  <w:hideSpellingErrors/>
  <w:doNotTrackMove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numFmt w:val="decimalEnclosedCircleChinese"/>
    <w:numRestart w:val="eachPag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1A51"/>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6E28"/>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695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48E4"/>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748"/>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067"/>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17A"/>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43E"/>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19F"/>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3CCE"/>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85"/>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3494"/>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298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933"/>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21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4235"/>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32A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18F"/>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D062DE"/>
    <w:rsid w:val="07E7040F"/>
    <w:rsid w:val="08EE4AC9"/>
    <w:rsid w:val="0A8A2985"/>
    <w:rsid w:val="0B500F4D"/>
    <w:rsid w:val="0ECE1FE1"/>
    <w:rsid w:val="109A6BBD"/>
    <w:rsid w:val="128A37DB"/>
    <w:rsid w:val="12AB3CD1"/>
    <w:rsid w:val="133245EF"/>
    <w:rsid w:val="13A30EE0"/>
    <w:rsid w:val="14B01376"/>
    <w:rsid w:val="16EA15CB"/>
    <w:rsid w:val="17195C4C"/>
    <w:rsid w:val="17954F1E"/>
    <w:rsid w:val="17957720"/>
    <w:rsid w:val="18D327EB"/>
    <w:rsid w:val="1AF30CC9"/>
    <w:rsid w:val="1D465329"/>
    <w:rsid w:val="1EB158F9"/>
    <w:rsid w:val="1F0E3112"/>
    <w:rsid w:val="1FDB6ACE"/>
    <w:rsid w:val="1FED3869"/>
    <w:rsid w:val="23867D8E"/>
    <w:rsid w:val="27C95CFE"/>
    <w:rsid w:val="27D50DF1"/>
    <w:rsid w:val="2B057C6A"/>
    <w:rsid w:val="2BE804E3"/>
    <w:rsid w:val="2E2F3B23"/>
    <w:rsid w:val="2EFE7A52"/>
    <w:rsid w:val="2F86131E"/>
    <w:rsid w:val="2FD27634"/>
    <w:rsid w:val="32AC1BC5"/>
    <w:rsid w:val="356808C4"/>
    <w:rsid w:val="37632953"/>
    <w:rsid w:val="3941344A"/>
    <w:rsid w:val="3A921CE0"/>
    <w:rsid w:val="3ACC0FF6"/>
    <w:rsid w:val="3ED94B97"/>
    <w:rsid w:val="407B2F27"/>
    <w:rsid w:val="41632DA3"/>
    <w:rsid w:val="41AF5B64"/>
    <w:rsid w:val="42F36143"/>
    <w:rsid w:val="44557FA6"/>
    <w:rsid w:val="44A45CB7"/>
    <w:rsid w:val="49700E61"/>
    <w:rsid w:val="4BBE4071"/>
    <w:rsid w:val="4FBA4D46"/>
    <w:rsid w:val="51311E45"/>
    <w:rsid w:val="527A4624"/>
    <w:rsid w:val="53DA720D"/>
    <w:rsid w:val="54C3564B"/>
    <w:rsid w:val="586272C3"/>
    <w:rsid w:val="58FB0E2B"/>
    <w:rsid w:val="59326E63"/>
    <w:rsid w:val="59AF00CB"/>
    <w:rsid w:val="59D228EC"/>
    <w:rsid w:val="5A05583A"/>
    <w:rsid w:val="5C041E7A"/>
    <w:rsid w:val="5E464EDC"/>
    <w:rsid w:val="5F130A82"/>
    <w:rsid w:val="602C533D"/>
    <w:rsid w:val="65F43BFC"/>
    <w:rsid w:val="67B773D1"/>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6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0"/>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0"/>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64"/>
    <w:qFormat/>
    <w:uiPriority w:val="0"/>
    <w:pPr>
      <w:tabs>
        <w:tab w:val="left" w:pos="420"/>
      </w:tabs>
      <w:spacing w:beforeLines="50" w:afterLines="50"/>
      <w:outlineLvl w:val="4"/>
    </w:pPr>
    <w:rPr>
      <w:bCs/>
      <w:szCs w:val="28"/>
    </w:rPr>
  </w:style>
  <w:style w:type="paragraph" w:styleId="7">
    <w:name w:val="heading 6"/>
    <w:basedOn w:val="1"/>
    <w:next w:val="1"/>
    <w:link w:val="66"/>
    <w:qFormat/>
    <w:uiPriority w:val="0"/>
    <w:pPr>
      <w:tabs>
        <w:tab w:val="left" w:pos="945"/>
      </w:tabs>
      <w:ind w:left="143" w:firstLine="425"/>
      <w:outlineLvl w:val="5"/>
    </w:pPr>
    <w:rPr>
      <w:rFonts w:ascii="Cambria" w:hAnsi="Cambria"/>
      <w:bCs/>
      <w:szCs w:val="24"/>
    </w:rPr>
  </w:style>
  <w:style w:type="paragraph" w:styleId="8">
    <w:name w:val="heading 7"/>
    <w:basedOn w:val="1"/>
    <w:next w:val="1"/>
    <w:link w:val="300"/>
    <w:qFormat/>
    <w:uiPriority w:val="0"/>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9">
    <w:name w:val="heading 8"/>
    <w:basedOn w:val="1"/>
    <w:next w:val="1"/>
    <w:link w:val="301"/>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302"/>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sz w:val="18"/>
      <w:szCs w:val="18"/>
    </w:rPr>
  </w:style>
  <w:style w:type="paragraph" w:styleId="12">
    <w:name w:val="Normal Indent"/>
    <w:basedOn w:val="1"/>
    <w:qFormat/>
    <w:uiPriority w:val="99"/>
    <w:pPr>
      <w:widowControl/>
      <w:ind w:firstLine="420" w:firstLineChars="200"/>
      <w:jc w:val="center"/>
    </w:pPr>
    <w:rPr>
      <w:b/>
      <w:kern w:val="0"/>
      <w:sz w:val="44"/>
      <w:szCs w:val="20"/>
    </w:rPr>
  </w:style>
  <w:style w:type="paragraph" w:styleId="13">
    <w:name w:val="Document Map"/>
    <w:basedOn w:val="1"/>
    <w:semiHidden/>
    <w:qFormat/>
    <w:uiPriority w:val="0"/>
    <w:pPr>
      <w:shd w:val="clear" w:color="auto" w:fill="000080"/>
    </w:pPr>
  </w:style>
  <w:style w:type="paragraph" w:styleId="14">
    <w:name w:val="toa heading"/>
    <w:basedOn w:val="1"/>
    <w:next w:val="1"/>
    <w:unhideWhenUsed/>
    <w:qFormat/>
    <w:uiPriority w:val="99"/>
    <w:pPr>
      <w:spacing w:before="120"/>
    </w:pPr>
    <w:rPr>
      <w:rFonts w:ascii="Cambria" w:hAnsi="Cambria"/>
      <w:sz w:val="24"/>
      <w:szCs w:val="24"/>
    </w:rPr>
  </w:style>
  <w:style w:type="paragraph" w:styleId="15">
    <w:name w:val="annotation text"/>
    <w:basedOn w:val="1"/>
    <w:link w:val="303"/>
    <w:qFormat/>
    <w:uiPriority w:val="0"/>
    <w:pPr>
      <w:jc w:val="left"/>
    </w:pPr>
  </w:style>
  <w:style w:type="paragraph" w:styleId="16">
    <w:name w:val="Salutation"/>
    <w:basedOn w:val="1"/>
    <w:next w:val="1"/>
    <w:link w:val="379"/>
    <w:qFormat/>
    <w:uiPriority w:val="0"/>
    <w:rPr>
      <w:sz w:val="24"/>
      <w:szCs w:val="24"/>
    </w:rPr>
  </w:style>
  <w:style w:type="paragraph" w:styleId="17">
    <w:name w:val="Body Text"/>
    <w:basedOn w:val="1"/>
    <w:link w:val="192"/>
    <w:qFormat/>
    <w:uiPriority w:val="0"/>
    <w:rPr>
      <w:sz w:val="28"/>
      <w:szCs w:val="24"/>
    </w:rPr>
  </w:style>
  <w:style w:type="paragraph" w:styleId="18">
    <w:name w:val="Body Text Indent"/>
    <w:basedOn w:val="1"/>
    <w:qFormat/>
    <w:uiPriority w:val="0"/>
    <w:pPr>
      <w:ind w:firstLine="1120" w:firstLineChars="400"/>
    </w:pPr>
    <w:rPr>
      <w:sz w:val="28"/>
      <w:szCs w:val="24"/>
    </w:rPr>
  </w:style>
  <w:style w:type="paragraph" w:styleId="19">
    <w:name w:val="toc 5"/>
    <w:basedOn w:val="1"/>
    <w:next w:val="1"/>
    <w:unhideWhenUsed/>
    <w:qFormat/>
    <w:uiPriority w:val="0"/>
    <w:pPr>
      <w:ind w:left="840"/>
      <w:jc w:val="left"/>
    </w:pPr>
    <w:rPr>
      <w:sz w:val="18"/>
      <w:szCs w:val="18"/>
    </w:rPr>
  </w:style>
  <w:style w:type="paragraph" w:styleId="20">
    <w:name w:val="toc 3"/>
    <w:basedOn w:val="1"/>
    <w:next w:val="1"/>
    <w:unhideWhenUsed/>
    <w:qFormat/>
    <w:uiPriority w:val="39"/>
    <w:pPr>
      <w:tabs>
        <w:tab w:val="left" w:pos="740"/>
        <w:tab w:val="right" w:leader="dot" w:pos="9060"/>
      </w:tabs>
      <w:ind w:left="420"/>
      <w:jc w:val="left"/>
    </w:pPr>
    <w:rPr>
      <w:iCs/>
      <w:sz w:val="20"/>
      <w:szCs w:val="20"/>
    </w:rPr>
  </w:style>
  <w:style w:type="paragraph" w:styleId="21">
    <w:name w:val="Plain Text"/>
    <w:basedOn w:val="1"/>
    <w:link w:val="256"/>
    <w:qFormat/>
    <w:uiPriority w:val="0"/>
    <w:rPr>
      <w:rFonts w:ascii="宋体" w:hAnsi="Courier New" w:cs="Courier New"/>
      <w:szCs w:val="21"/>
    </w:rPr>
  </w:style>
  <w:style w:type="paragraph" w:styleId="22">
    <w:name w:val="toc 8"/>
    <w:basedOn w:val="1"/>
    <w:next w:val="1"/>
    <w:unhideWhenUsed/>
    <w:qFormat/>
    <w:uiPriority w:val="0"/>
    <w:pPr>
      <w:ind w:left="1470"/>
      <w:jc w:val="left"/>
    </w:pPr>
    <w:rPr>
      <w:sz w:val="18"/>
      <w:szCs w:val="18"/>
    </w:rPr>
  </w:style>
  <w:style w:type="paragraph" w:styleId="23">
    <w:name w:val="Date"/>
    <w:basedOn w:val="1"/>
    <w:next w:val="1"/>
    <w:link w:val="369"/>
    <w:qFormat/>
    <w:uiPriority w:val="0"/>
    <w:pPr>
      <w:ind w:left="100" w:leftChars="2500"/>
    </w:pPr>
    <w:rPr>
      <w:szCs w:val="24"/>
    </w:rPr>
  </w:style>
  <w:style w:type="paragraph" w:styleId="24">
    <w:name w:val="Body Text Indent 2"/>
    <w:basedOn w:val="1"/>
    <w:qFormat/>
    <w:uiPriority w:val="0"/>
    <w:pPr>
      <w:ind w:left="206" w:hanging="206" w:hangingChars="98"/>
    </w:pPr>
    <w:rPr>
      <w:szCs w:val="24"/>
    </w:rPr>
  </w:style>
  <w:style w:type="paragraph" w:styleId="25">
    <w:name w:val="endnote text"/>
    <w:basedOn w:val="1"/>
    <w:link w:val="394"/>
    <w:qFormat/>
    <w:uiPriority w:val="0"/>
    <w:pPr>
      <w:snapToGrid w:val="0"/>
      <w:jc w:val="left"/>
    </w:pPr>
    <w:rPr>
      <w:szCs w:val="24"/>
    </w:rPr>
  </w:style>
  <w:style w:type="paragraph" w:styleId="26">
    <w:name w:val="Balloon Text"/>
    <w:basedOn w:val="1"/>
    <w:link w:val="67"/>
    <w:unhideWhenUsed/>
    <w:qFormat/>
    <w:uiPriority w:val="0"/>
    <w:rPr>
      <w:kern w:val="0"/>
      <w:sz w:val="18"/>
      <w:szCs w:val="18"/>
    </w:rPr>
  </w:style>
  <w:style w:type="paragraph" w:styleId="27">
    <w:name w:val="footer"/>
    <w:basedOn w:val="1"/>
    <w:link w:val="62"/>
    <w:unhideWhenUsed/>
    <w:qFormat/>
    <w:uiPriority w:val="0"/>
    <w:pPr>
      <w:tabs>
        <w:tab w:val="center" w:pos="4153"/>
        <w:tab w:val="right" w:pos="8306"/>
      </w:tabs>
      <w:snapToGrid w:val="0"/>
      <w:jc w:val="left"/>
    </w:pPr>
    <w:rPr>
      <w:kern w:val="0"/>
      <w:sz w:val="18"/>
      <w:szCs w:val="18"/>
    </w:rPr>
  </w:style>
  <w:style w:type="paragraph" w:styleId="28">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9060"/>
      </w:tabs>
      <w:spacing w:line="400" w:lineRule="exact"/>
      <w:jc w:val="left"/>
    </w:pPr>
    <w:rPr>
      <w:b/>
      <w:bCs/>
      <w:caps/>
      <w:sz w:val="20"/>
      <w:szCs w:val="20"/>
    </w:rPr>
  </w:style>
  <w:style w:type="paragraph" w:styleId="30">
    <w:name w:val="toc 4"/>
    <w:basedOn w:val="1"/>
    <w:next w:val="1"/>
    <w:unhideWhenUsed/>
    <w:qFormat/>
    <w:uiPriority w:val="0"/>
    <w:pPr>
      <w:ind w:left="630"/>
      <w:jc w:val="left"/>
    </w:pPr>
    <w:rPr>
      <w:sz w:val="18"/>
      <w:szCs w:val="18"/>
    </w:rPr>
  </w:style>
  <w:style w:type="paragraph" w:styleId="31">
    <w:name w:val="Subtitle"/>
    <w:basedOn w:val="1"/>
    <w:next w:val="1"/>
    <w:link w:val="56"/>
    <w:qFormat/>
    <w:uiPriority w:val="11"/>
    <w:pPr>
      <w:spacing w:before="240" w:after="60" w:line="312" w:lineRule="auto"/>
      <w:jc w:val="center"/>
      <w:outlineLvl w:val="1"/>
    </w:pPr>
    <w:rPr>
      <w:rFonts w:ascii="Cambria" w:hAnsi="Cambria"/>
      <w:b/>
      <w:bCs/>
      <w:kern w:val="28"/>
      <w:sz w:val="32"/>
      <w:szCs w:val="32"/>
    </w:rPr>
  </w:style>
  <w:style w:type="paragraph" w:styleId="32">
    <w:name w:val="footnote text"/>
    <w:basedOn w:val="1"/>
    <w:link w:val="70"/>
    <w:unhideWhenUsed/>
    <w:qFormat/>
    <w:uiPriority w:val="0"/>
    <w:pPr>
      <w:snapToGrid w:val="0"/>
      <w:jc w:val="left"/>
    </w:pPr>
    <w:rPr>
      <w:kern w:val="0"/>
      <w:sz w:val="18"/>
      <w:szCs w:val="18"/>
    </w:rPr>
  </w:style>
  <w:style w:type="paragraph" w:styleId="33">
    <w:name w:val="toc 6"/>
    <w:basedOn w:val="1"/>
    <w:next w:val="1"/>
    <w:unhideWhenUsed/>
    <w:qFormat/>
    <w:uiPriority w:val="0"/>
    <w:pPr>
      <w:ind w:left="1050"/>
      <w:jc w:val="left"/>
    </w:pPr>
    <w:rPr>
      <w:sz w:val="18"/>
      <w:szCs w:val="18"/>
    </w:rPr>
  </w:style>
  <w:style w:type="paragraph" w:styleId="34">
    <w:name w:val="Body Text Indent 3"/>
    <w:basedOn w:val="1"/>
    <w:link w:val="370"/>
    <w:qFormat/>
    <w:uiPriority w:val="0"/>
    <w:pPr>
      <w:spacing w:line="420" w:lineRule="exact"/>
      <w:ind w:firstLine="420" w:firstLineChars="200"/>
    </w:pPr>
    <w:rPr>
      <w:szCs w:val="24"/>
    </w:rPr>
  </w:style>
  <w:style w:type="paragraph" w:styleId="35">
    <w:name w:val="toc 2"/>
    <w:basedOn w:val="1"/>
    <w:next w:val="1"/>
    <w:link w:val="216"/>
    <w:unhideWhenUsed/>
    <w:qFormat/>
    <w:uiPriority w:val="39"/>
    <w:pPr>
      <w:tabs>
        <w:tab w:val="right" w:leader="dot" w:pos="9072"/>
      </w:tabs>
      <w:ind w:left="210"/>
      <w:jc w:val="left"/>
    </w:pPr>
    <w:rPr>
      <w:smallCaps/>
      <w:sz w:val="20"/>
      <w:szCs w:val="20"/>
    </w:rPr>
  </w:style>
  <w:style w:type="paragraph" w:styleId="36">
    <w:name w:val="toc 9"/>
    <w:basedOn w:val="1"/>
    <w:next w:val="1"/>
    <w:unhideWhenUsed/>
    <w:qFormat/>
    <w:uiPriority w:val="0"/>
    <w:pPr>
      <w:ind w:left="1680"/>
      <w:jc w:val="left"/>
    </w:pPr>
    <w:rPr>
      <w:sz w:val="18"/>
      <w:szCs w:val="18"/>
    </w:rPr>
  </w:style>
  <w:style w:type="paragraph" w:styleId="37">
    <w:name w:val="Body Text 2"/>
    <w:basedOn w:val="1"/>
    <w:qFormat/>
    <w:uiPriority w:val="0"/>
    <w:pPr>
      <w:spacing w:after="120" w:line="480" w:lineRule="auto"/>
    </w:pPr>
    <w:rPr>
      <w:szCs w:val="24"/>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index 1"/>
    <w:basedOn w:val="1"/>
    <w:next w:val="1"/>
    <w:semiHidden/>
    <w:qFormat/>
    <w:uiPriority w:val="0"/>
    <w:rPr>
      <w:szCs w:val="24"/>
    </w:rPr>
  </w:style>
  <w:style w:type="paragraph" w:styleId="40">
    <w:name w:val="Title"/>
    <w:basedOn w:val="1"/>
    <w:link w:val="381"/>
    <w:qFormat/>
    <w:uiPriority w:val="0"/>
    <w:pPr>
      <w:widowControl/>
      <w:spacing w:before="240" w:after="60"/>
      <w:jc w:val="center"/>
      <w:outlineLvl w:val="0"/>
    </w:pPr>
    <w:rPr>
      <w:rFonts w:ascii="Arial" w:hAnsi="Arial" w:cs="Arial"/>
      <w:b/>
      <w:bCs/>
      <w:kern w:val="0"/>
      <w:sz w:val="44"/>
      <w:szCs w:val="32"/>
    </w:rPr>
  </w:style>
  <w:style w:type="paragraph" w:styleId="41">
    <w:name w:val="annotation subject"/>
    <w:basedOn w:val="15"/>
    <w:next w:val="15"/>
    <w:semiHidden/>
    <w:qFormat/>
    <w:uiPriority w:val="0"/>
    <w:rPr>
      <w:b/>
      <w:bCs/>
    </w:rPr>
  </w:style>
  <w:style w:type="paragraph" w:styleId="42">
    <w:name w:val="Body Text First Indent"/>
    <w:basedOn w:val="17"/>
    <w:link w:val="273"/>
    <w:unhideWhenUsed/>
    <w:qFormat/>
    <w:uiPriority w:val="0"/>
    <w:pPr>
      <w:spacing w:after="120"/>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endnote reference"/>
    <w:unhideWhenUsed/>
    <w:qFormat/>
    <w:uiPriority w:val="0"/>
    <w:rPr>
      <w:vertAlign w:val="superscript"/>
    </w:rPr>
  </w:style>
  <w:style w:type="character" w:styleId="48">
    <w:name w:val="page number"/>
    <w:basedOn w:val="45"/>
    <w:qFormat/>
    <w:uiPriority w:val="0"/>
  </w:style>
  <w:style w:type="character" w:styleId="49">
    <w:name w:val="FollowedHyperlink"/>
    <w:unhideWhenUsed/>
    <w:qFormat/>
    <w:uiPriority w:val="99"/>
    <w:rPr>
      <w:color w:val="800080"/>
      <w:u w:val="single"/>
    </w:rPr>
  </w:style>
  <w:style w:type="character" w:styleId="50">
    <w:name w:val="Emphasis"/>
    <w:qFormat/>
    <w:uiPriority w:val="20"/>
    <w:rPr>
      <w:i/>
      <w:iCs/>
    </w:rPr>
  </w:style>
  <w:style w:type="character" w:styleId="51">
    <w:name w:val="Hyperlink"/>
    <w:unhideWhenUsed/>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55">
    <w:name w:val="标题 4 Char1"/>
    <w:link w:val="5"/>
    <w:qFormat/>
    <w:uiPriority w:val="9"/>
    <w:rPr>
      <w:rFonts w:ascii="Cambria" w:hAnsi="Cambria" w:eastAsia="黑体"/>
      <w:bCs/>
      <w:kern w:val="2"/>
      <w:sz w:val="24"/>
      <w:szCs w:val="28"/>
    </w:rPr>
  </w:style>
  <w:style w:type="character" w:customStyle="1" w:styleId="56">
    <w:name w:val="副标题 Char1"/>
    <w:link w:val="31"/>
    <w:qFormat/>
    <w:uiPriority w:val="11"/>
    <w:rPr>
      <w:rFonts w:ascii="Cambria" w:hAnsi="Cambria" w:eastAsia="宋体" w:cs="Times New Roman"/>
      <w:b/>
      <w:bCs/>
      <w:kern w:val="28"/>
      <w:sz w:val="32"/>
      <w:szCs w:val="32"/>
    </w:rPr>
  </w:style>
  <w:style w:type="character" w:customStyle="1" w:styleId="57">
    <w:name w:val="font01"/>
    <w:qFormat/>
    <w:uiPriority w:val="0"/>
    <w:rPr>
      <w:rFonts w:hint="eastAsia" w:ascii="宋体" w:hAnsi="宋体" w:eastAsia="宋体" w:cs="宋体"/>
      <w:color w:val="000000"/>
      <w:sz w:val="22"/>
      <w:szCs w:val="22"/>
      <w:u w:val="single"/>
    </w:rPr>
  </w:style>
  <w:style w:type="character" w:customStyle="1" w:styleId="58">
    <w:name w:val="正文文本 (2)_"/>
    <w:link w:val="59"/>
    <w:qFormat/>
    <w:uiPriority w:val="0"/>
    <w:rPr>
      <w:rFonts w:ascii="宋体" w:hAnsi="宋体" w:cs="宋体"/>
      <w:sz w:val="22"/>
      <w:szCs w:val="22"/>
      <w:shd w:val="clear" w:color="auto" w:fill="FFFFFF"/>
    </w:rPr>
  </w:style>
  <w:style w:type="paragraph" w:customStyle="1" w:styleId="59">
    <w:name w:val="正文文本 (2)"/>
    <w:basedOn w:val="1"/>
    <w:link w:val="58"/>
    <w:qFormat/>
    <w:uiPriority w:val="0"/>
    <w:pPr>
      <w:shd w:val="clear" w:color="auto" w:fill="FFFFFF"/>
      <w:spacing w:before="300" w:line="439" w:lineRule="exact"/>
      <w:jc w:val="distribute"/>
    </w:pPr>
    <w:rPr>
      <w:rFonts w:ascii="宋体" w:hAnsi="宋体"/>
      <w:kern w:val="0"/>
      <w:sz w:val="22"/>
    </w:rPr>
  </w:style>
  <w:style w:type="character" w:customStyle="1" w:styleId="60">
    <w:name w:val="标题 3 Char1"/>
    <w:link w:val="4"/>
    <w:qFormat/>
    <w:uiPriority w:val="99"/>
    <w:rPr>
      <w:b/>
      <w:bCs/>
      <w:sz w:val="32"/>
      <w:szCs w:val="32"/>
    </w:rPr>
  </w:style>
  <w:style w:type="character" w:customStyle="1" w:styleId="61">
    <w:name w:val="页眉 Char1"/>
    <w:link w:val="28"/>
    <w:qFormat/>
    <w:uiPriority w:val="99"/>
    <w:rPr>
      <w:sz w:val="18"/>
      <w:szCs w:val="18"/>
    </w:rPr>
  </w:style>
  <w:style w:type="character" w:customStyle="1" w:styleId="62">
    <w:name w:val="页脚 Char1"/>
    <w:link w:val="27"/>
    <w:qFormat/>
    <w:uiPriority w:val="99"/>
    <w:rPr>
      <w:sz w:val="18"/>
      <w:szCs w:val="18"/>
    </w:rPr>
  </w:style>
  <w:style w:type="character" w:customStyle="1" w:styleId="63">
    <w:name w:val="标题 2 Char1"/>
    <w:link w:val="2"/>
    <w:qFormat/>
    <w:uiPriority w:val="9"/>
    <w:rPr>
      <w:rFonts w:ascii="Cambria" w:hAnsi="Cambria" w:eastAsia="宋体" w:cs="Times New Roman"/>
      <w:b/>
      <w:bCs/>
      <w:sz w:val="32"/>
      <w:szCs w:val="32"/>
    </w:rPr>
  </w:style>
  <w:style w:type="character" w:customStyle="1" w:styleId="64">
    <w:name w:val="标题 5 Char1"/>
    <w:link w:val="6"/>
    <w:qFormat/>
    <w:uiPriority w:val="9"/>
    <w:rPr>
      <w:bCs/>
      <w:kern w:val="2"/>
      <w:sz w:val="21"/>
      <w:szCs w:val="28"/>
    </w:rPr>
  </w:style>
  <w:style w:type="character" w:customStyle="1" w:styleId="65">
    <w:name w:val="Char Char10"/>
    <w:qFormat/>
    <w:uiPriority w:val="0"/>
    <w:rPr>
      <w:kern w:val="2"/>
      <w:sz w:val="18"/>
      <w:szCs w:val="18"/>
    </w:rPr>
  </w:style>
  <w:style w:type="character" w:customStyle="1" w:styleId="66">
    <w:name w:val="标题 6 Char1"/>
    <w:link w:val="7"/>
    <w:qFormat/>
    <w:uiPriority w:val="9"/>
    <w:rPr>
      <w:rFonts w:ascii="Cambria" w:hAnsi="Cambria"/>
      <w:bCs/>
      <w:kern w:val="2"/>
      <w:sz w:val="21"/>
      <w:szCs w:val="24"/>
    </w:rPr>
  </w:style>
  <w:style w:type="character" w:customStyle="1" w:styleId="67">
    <w:name w:val="批注框文本 Char1"/>
    <w:link w:val="26"/>
    <w:semiHidden/>
    <w:qFormat/>
    <w:uiPriority w:val="99"/>
    <w:rPr>
      <w:sz w:val="18"/>
      <w:szCs w:val="18"/>
    </w:rPr>
  </w:style>
  <w:style w:type="character" w:customStyle="1" w:styleId="68">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69">
    <w:name w:val="标题 1 Char1"/>
    <w:link w:val="3"/>
    <w:qFormat/>
    <w:uiPriority w:val="9"/>
    <w:rPr>
      <w:b/>
      <w:bCs/>
      <w:kern w:val="44"/>
      <w:sz w:val="44"/>
      <w:szCs w:val="44"/>
    </w:rPr>
  </w:style>
  <w:style w:type="character" w:customStyle="1" w:styleId="70">
    <w:name w:val="脚注文本 Char1"/>
    <w:link w:val="32"/>
    <w:qFormat/>
    <w:uiPriority w:val="0"/>
    <w:rPr>
      <w:sz w:val="18"/>
      <w:szCs w:val="18"/>
    </w:rPr>
  </w:style>
  <w:style w:type="character" w:customStyle="1" w:styleId="71">
    <w:name w:val="font31"/>
    <w:qFormat/>
    <w:uiPriority w:val="0"/>
    <w:rPr>
      <w:rFonts w:hint="eastAsia" w:ascii="宋体" w:hAnsi="宋体" w:eastAsia="宋体" w:cs="宋体"/>
      <w:color w:val="000000"/>
      <w:sz w:val="22"/>
      <w:szCs w:val="22"/>
      <w:u w:val="none"/>
    </w:rPr>
  </w:style>
  <w:style w:type="character" w:customStyle="1" w:styleId="72">
    <w:name w:val="font11"/>
    <w:qFormat/>
    <w:uiPriority w:val="0"/>
    <w:rPr>
      <w:rFonts w:hint="eastAsia" w:ascii="宋体" w:hAnsi="宋体" w:eastAsia="宋体" w:cs="宋体"/>
      <w:color w:val="000000"/>
      <w:sz w:val="22"/>
      <w:szCs w:val="22"/>
      <w:u w:val="none"/>
    </w:rPr>
  </w:style>
  <w:style w:type="character" w:customStyle="1" w:styleId="73">
    <w:name w:val="其他_"/>
    <w:link w:val="74"/>
    <w:qFormat/>
    <w:uiPriority w:val="0"/>
    <w:rPr>
      <w:rFonts w:ascii="宋体" w:hAnsi="宋体" w:cs="宋体"/>
      <w:shd w:val="clear" w:color="auto" w:fill="FFFFFF"/>
      <w:lang w:val="zh-CN" w:bidi="zh-CN"/>
    </w:rPr>
  </w:style>
  <w:style w:type="paragraph" w:customStyle="1" w:styleId="74">
    <w:name w:val="其他"/>
    <w:basedOn w:val="1"/>
    <w:link w:val="73"/>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75">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76">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paragraph" w:customStyle="1" w:styleId="77">
    <w:name w:val="CM100"/>
    <w:basedOn w:val="78"/>
    <w:next w:val="78"/>
    <w:qFormat/>
    <w:uiPriority w:val="99"/>
    <w:rPr>
      <w:rFonts w:cs="Times New Roman"/>
      <w:color w:val="auto"/>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CM46"/>
    <w:basedOn w:val="78"/>
    <w:next w:val="78"/>
    <w:qFormat/>
    <w:uiPriority w:val="99"/>
    <w:pPr>
      <w:spacing w:line="440" w:lineRule="atLeast"/>
    </w:pPr>
    <w:rPr>
      <w:rFonts w:cs="Times New Roman"/>
      <w:color w:val="auto"/>
    </w:rPr>
  </w:style>
  <w:style w:type="paragraph" w:customStyle="1" w:styleId="80">
    <w:name w:val="CM78"/>
    <w:basedOn w:val="78"/>
    <w:next w:val="78"/>
    <w:qFormat/>
    <w:uiPriority w:val="99"/>
    <w:rPr>
      <w:rFonts w:cs="Times New Roman"/>
      <w:color w:val="auto"/>
    </w:rPr>
  </w:style>
  <w:style w:type="paragraph" w:customStyle="1" w:styleId="81">
    <w:name w:val="CM18"/>
    <w:basedOn w:val="78"/>
    <w:next w:val="78"/>
    <w:qFormat/>
    <w:uiPriority w:val="99"/>
    <w:pPr>
      <w:spacing w:line="440" w:lineRule="atLeast"/>
    </w:pPr>
    <w:rPr>
      <w:rFonts w:cs="Times New Roman"/>
      <w:color w:val="auto"/>
    </w:rPr>
  </w:style>
  <w:style w:type="paragraph" w:customStyle="1" w:styleId="82">
    <w:name w:val="CM9"/>
    <w:basedOn w:val="78"/>
    <w:next w:val="78"/>
    <w:qFormat/>
    <w:uiPriority w:val="99"/>
    <w:rPr>
      <w:rFonts w:cs="Times New Roman"/>
      <w:color w:val="auto"/>
    </w:rPr>
  </w:style>
  <w:style w:type="paragraph" w:customStyle="1" w:styleId="83">
    <w:name w:val="CM6"/>
    <w:basedOn w:val="78"/>
    <w:next w:val="78"/>
    <w:qFormat/>
    <w:uiPriority w:val="99"/>
    <w:pPr>
      <w:spacing w:line="318" w:lineRule="atLeast"/>
    </w:pPr>
    <w:rPr>
      <w:rFonts w:cs="Times New Roman"/>
      <w:color w:val="auto"/>
    </w:rPr>
  </w:style>
  <w:style w:type="paragraph" w:customStyle="1" w:styleId="84">
    <w:name w:val="CM104"/>
    <w:basedOn w:val="78"/>
    <w:next w:val="78"/>
    <w:qFormat/>
    <w:uiPriority w:val="99"/>
    <w:rPr>
      <w:rFonts w:cs="Times New Roman"/>
      <w:color w:val="auto"/>
    </w:rPr>
  </w:style>
  <w:style w:type="paragraph" w:customStyle="1" w:styleId="85">
    <w:name w:val="CM10"/>
    <w:basedOn w:val="78"/>
    <w:next w:val="78"/>
    <w:qFormat/>
    <w:uiPriority w:val="99"/>
    <w:rPr>
      <w:rFonts w:cs="Times New Roman"/>
      <w:color w:val="auto"/>
    </w:rPr>
  </w:style>
  <w:style w:type="paragraph" w:customStyle="1" w:styleId="86">
    <w:name w:val="CM7"/>
    <w:basedOn w:val="78"/>
    <w:next w:val="78"/>
    <w:qFormat/>
    <w:uiPriority w:val="99"/>
    <w:pPr>
      <w:spacing w:line="318" w:lineRule="atLeast"/>
    </w:pPr>
    <w:rPr>
      <w:rFonts w:cs="Times New Roman"/>
      <w:color w:val="auto"/>
    </w:rPr>
  </w:style>
  <w:style w:type="paragraph" w:customStyle="1" w:styleId="87">
    <w:name w:val="CM45"/>
    <w:basedOn w:val="78"/>
    <w:next w:val="78"/>
    <w:qFormat/>
    <w:uiPriority w:val="99"/>
    <w:rPr>
      <w:rFonts w:cs="Times New Roman"/>
      <w:color w:val="auto"/>
    </w:rPr>
  </w:style>
  <w:style w:type="paragraph" w:customStyle="1" w:styleId="88">
    <w:name w:val="CM28"/>
    <w:basedOn w:val="78"/>
    <w:next w:val="78"/>
    <w:qFormat/>
    <w:uiPriority w:val="99"/>
    <w:pPr>
      <w:spacing w:line="398" w:lineRule="atLeast"/>
    </w:pPr>
    <w:rPr>
      <w:rFonts w:cs="Times New Roman"/>
      <w:color w:val="auto"/>
    </w:rPr>
  </w:style>
  <w:style w:type="paragraph" w:customStyle="1" w:styleId="89">
    <w:name w:val="CM19"/>
    <w:basedOn w:val="78"/>
    <w:next w:val="78"/>
    <w:qFormat/>
    <w:uiPriority w:val="99"/>
    <w:pPr>
      <w:spacing w:line="440" w:lineRule="atLeast"/>
    </w:pPr>
    <w:rPr>
      <w:rFonts w:cs="Times New Roman"/>
      <w:color w:val="auto"/>
    </w:rPr>
  </w:style>
  <w:style w:type="paragraph" w:customStyle="1" w:styleId="90">
    <w:name w:val="CM62"/>
    <w:basedOn w:val="78"/>
    <w:next w:val="78"/>
    <w:qFormat/>
    <w:uiPriority w:val="99"/>
    <w:rPr>
      <w:rFonts w:cs="Times New Roman"/>
      <w:color w:val="auto"/>
    </w:rPr>
  </w:style>
  <w:style w:type="paragraph" w:customStyle="1" w:styleId="91">
    <w:name w:val="CM110"/>
    <w:basedOn w:val="78"/>
    <w:next w:val="78"/>
    <w:qFormat/>
    <w:uiPriority w:val="99"/>
    <w:rPr>
      <w:rFonts w:cs="Times New Roman"/>
      <w:color w:val="auto"/>
    </w:rPr>
  </w:style>
  <w:style w:type="paragraph" w:customStyle="1" w:styleId="92">
    <w:name w:val="CM57"/>
    <w:basedOn w:val="78"/>
    <w:next w:val="78"/>
    <w:qFormat/>
    <w:uiPriority w:val="99"/>
    <w:pPr>
      <w:spacing w:line="400" w:lineRule="atLeast"/>
    </w:pPr>
    <w:rPr>
      <w:rFonts w:cs="Times New Roman"/>
      <w:color w:val="auto"/>
    </w:rPr>
  </w:style>
  <w:style w:type="paragraph" w:customStyle="1" w:styleId="93">
    <w:name w:val="CM101"/>
    <w:basedOn w:val="78"/>
    <w:next w:val="78"/>
    <w:qFormat/>
    <w:uiPriority w:val="99"/>
    <w:rPr>
      <w:rFonts w:cs="Times New Roman"/>
      <w:color w:val="auto"/>
    </w:rPr>
  </w:style>
  <w:style w:type="paragraph" w:customStyle="1" w:styleId="94">
    <w:name w:val="CM114"/>
    <w:basedOn w:val="78"/>
    <w:next w:val="78"/>
    <w:qFormat/>
    <w:uiPriority w:val="99"/>
    <w:rPr>
      <w:rFonts w:cs="Times New Roman"/>
      <w:color w:val="auto"/>
    </w:rPr>
  </w:style>
  <w:style w:type="paragraph" w:customStyle="1" w:styleId="95">
    <w:name w:val="CM105"/>
    <w:basedOn w:val="78"/>
    <w:next w:val="78"/>
    <w:qFormat/>
    <w:uiPriority w:val="99"/>
    <w:rPr>
      <w:rFonts w:cs="Times New Roman"/>
      <w:color w:val="auto"/>
    </w:rPr>
  </w:style>
  <w:style w:type="paragraph" w:customStyle="1" w:styleId="96">
    <w:name w:val="CM83"/>
    <w:basedOn w:val="78"/>
    <w:next w:val="78"/>
    <w:qFormat/>
    <w:uiPriority w:val="99"/>
    <w:pPr>
      <w:spacing w:line="400" w:lineRule="atLeast"/>
    </w:pPr>
    <w:rPr>
      <w:rFonts w:cs="Times New Roman"/>
      <w:color w:val="auto"/>
    </w:rPr>
  </w:style>
  <w:style w:type="paragraph" w:customStyle="1" w:styleId="9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98">
    <w:name w:val="CM94"/>
    <w:basedOn w:val="78"/>
    <w:next w:val="78"/>
    <w:qFormat/>
    <w:uiPriority w:val="99"/>
    <w:pPr>
      <w:spacing w:line="440" w:lineRule="atLeast"/>
    </w:pPr>
    <w:rPr>
      <w:rFonts w:cs="Times New Roman"/>
      <w:color w:val="auto"/>
    </w:rPr>
  </w:style>
  <w:style w:type="paragraph" w:customStyle="1" w:styleId="99">
    <w:name w:val="CM17"/>
    <w:basedOn w:val="78"/>
    <w:next w:val="78"/>
    <w:qFormat/>
    <w:uiPriority w:val="99"/>
    <w:pPr>
      <w:spacing w:line="440" w:lineRule="atLeast"/>
    </w:pPr>
    <w:rPr>
      <w:rFonts w:cs="Times New Roman"/>
      <w:color w:val="auto"/>
    </w:rPr>
  </w:style>
  <w:style w:type="paragraph" w:customStyle="1" w:styleId="100">
    <w:name w:val="CM109"/>
    <w:basedOn w:val="78"/>
    <w:next w:val="78"/>
    <w:qFormat/>
    <w:uiPriority w:val="99"/>
    <w:rPr>
      <w:rFonts w:cs="Times New Roman"/>
      <w:color w:val="auto"/>
    </w:rPr>
  </w:style>
  <w:style w:type="paragraph" w:customStyle="1" w:styleId="101">
    <w:name w:val="Char Char"/>
    <w:basedOn w:val="1"/>
    <w:qFormat/>
    <w:uiPriority w:val="0"/>
    <w:rPr>
      <w:rFonts w:ascii="Tahoma" w:hAnsi="Tahoma"/>
      <w:sz w:val="24"/>
      <w:szCs w:val="20"/>
    </w:rPr>
  </w:style>
  <w:style w:type="paragraph" w:customStyle="1" w:styleId="102">
    <w:name w:val="CM90"/>
    <w:basedOn w:val="78"/>
    <w:next w:val="78"/>
    <w:qFormat/>
    <w:uiPriority w:val="99"/>
    <w:pPr>
      <w:spacing w:line="440" w:lineRule="atLeast"/>
    </w:pPr>
    <w:rPr>
      <w:rFonts w:cs="Times New Roman"/>
      <w:color w:val="auto"/>
    </w:rPr>
  </w:style>
  <w:style w:type="paragraph" w:customStyle="1" w:styleId="103">
    <w:name w:val="CM49"/>
    <w:basedOn w:val="78"/>
    <w:next w:val="78"/>
    <w:qFormat/>
    <w:uiPriority w:val="99"/>
    <w:pPr>
      <w:spacing w:line="1020" w:lineRule="atLeast"/>
    </w:pPr>
    <w:rPr>
      <w:rFonts w:cs="Times New Roman"/>
      <w:color w:val="auto"/>
    </w:rPr>
  </w:style>
  <w:style w:type="paragraph" w:customStyle="1" w:styleId="104">
    <w:name w:val="CM96"/>
    <w:basedOn w:val="78"/>
    <w:next w:val="78"/>
    <w:qFormat/>
    <w:uiPriority w:val="99"/>
    <w:rPr>
      <w:rFonts w:cs="Times New Roman"/>
      <w:color w:val="auto"/>
    </w:rPr>
  </w:style>
  <w:style w:type="paragraph" w:customStyle="1" w:styleId="105">
    <w:name w:val="CM97"/>
    <w:basedOn w:val="78"/>
    <w:next w:val="78"/>
    <w:qFormat/>
    <w:uiPriority w:val="99"/>
    <w:rPr>
      <w:rFonts w:cs="Times New Roman"/>
      <w:color w:val="auto"/>
    </w:rPr>
  </w:style>
  <w:style w:type="paragraph" w:customStyle="1" w:styleId="106">
    <w:name w:val="CM64"/>
    <w:basedOn w:val="78"/>
    <w:next w:val="78"/>
    <w:qFormat/>
    <w:uiPriority w:val="99"/>
    <w:pPr>
      <w:spacing w:line="398" w:lineRule="atLeast"/>
    </w:pPr>
    <w:rPr>
      <w:rFonts w:cs="Times New Roman"/>
      <w:color w:val="auto"/>
    </w:rPr>
  </w:style>
  <w:style w:type="paragraph" w:customStyle="1" w:styleId="107">
    <w:name w:val="CM103"/>
    <w:basedOn w:val="78"/>
    <w:next w:val="78"/>
    <w:qFormat/>
    <w:uiPriority w:val="99"/>
    <w:rPr>
      <w:rFonts w:cs="Times New Roman"/>
      <w:color w:val="auto"/>
    </w:rPr>
  </w:style>
  <w:style w:type="paragraph" w:customStyle="1" w:styleId="108">
    <w:name w:val="CM5"/>
    <w:basedOn w:val="78"/>
    <w:next w:val="78"/>
    <w:qFormat/>
    <w:uiPriority w:val="99"/>
    <w:rPr>
      <w:rFonts w:cs="Times New Roman"/>
      <w:color w:val="auto"/>
    </w:rPr>
  </w:style>
  <w:style w:type="paragraph" w:customStyle="1" w:styleId="109">
    <w:name w:val="CM60"/>
    <w:basedOn w:val="78"/>
    <w:next w:val="78"/>
    <w:qFormat/>
    <w:uiPriority w:val="99"/>
    <w:pPr>
      <w:spacing w:line="400" w:lineRule="atLeast"/>
    </w:pPr>
    <w:rPr>
      <w:rFonts w:cs="Times New Roman"/>
      <w:color w:val="auto"/>
    </w:rPr>
  </w:style>
  <w:style w:type="paragraph" w:customStyle="1" w:styleId="110">
    <w:name w:val="CM70"/>
    <w:basedOn w:val="78"/>
    <w:next w:val="78"/>
    <w:qFormat/>
    <w:uiPriority w:val="99"/>
    <w:pPr>
      <w:spacing w:line="400" w:lineRule="atLeast"/>
    </w:pPr>
    <w:rPr>
      <w:rFonts w:cs="Times New Roman"/>
      <w:color w:val="auto"/>
    </w:rPr>
  </w:style>
  <w:style w:type="paragraph" w:customStyle="1" w:styleId="111">
    <w:name w:val="CM115"/>
    <w:basedOn w:val="78"/>
    <w:next w:val="78"/>
    <w:qFormat/>
    <w:uiPriority w:val="99"/>
    <w:rPr>
      <w:rFonts w:cs="Times New Roman"/>
      <w:color w:val="auto"/>
    </w:rPr>
  </w:style>
  <w:style w:type="paragraph" w:customStyle="1" w:styleId="112">
    <w:name w:val="CM4"/>
    <w:basedOn w:val="78"/>
    <w:next w:val="78"/>
    <w:qFormat/>
    <w:uiPriority w:val="99"/>
    <w:rPr>
      <w:rFonts w:cs="Times New Roman"/>
      <w:color w:val="auto"/>
    </w:rPr>
  </w:style>
  <w:style w:type="paragraph" w:customStyle="1" w:styleId="113">
    <w:name w:val="CM26"/>
    <w:basedOn w:val="78"/>
    <w:next w:val="78"/>
    <w:qFormat/>
    <w:uiPriority w:val="99"/>
    <w:pPr>
      <w:spacing w:line="400" w:lineRule="atLeast"/>
    </w:pPr>
    <w:rPr>
      <w:rFonts w:cs="Times New Roman"/>
      <w:color w:val="auto"/>
    </w:rPr>
  </w:style>
  <w:style w:type="paragraph" w:customStyle="1" w:styleId="114">
    <w:name w:val="CM74"/>
    <w:basedOn w:val="78"/>
    <w:next w:val="78"/>
    <w:qFormat/>
    <w:uiPriority w:val="99"/>
    <w:pPr>
      <w:spacing w:line="400" w:lineRule="atLeast"/>
    </w:pPr>
    <w:rPr>
      <w:rFonts w:cs="Times New Roman"/>
      <w:color w:val="auto"/>
    </w:rPr>
  </w:style>
  <w:style w:type="paragraph" w:customStyle="1" w:styleId="115">
    <w:name w:val="CM48"/>
    <w:basedOn w:val="78"/>
    <w:next w:val="78"/>
    <w:qFormat/>
    <w:uiPriority w:val="99"/>
    <w:pPr>
      <w:spacing w:line="440" w:lineRule="atLeast"/>
    </w:pPr>
    <w:rPr>
      <w:rFonts w:cs="Times New Roman"/>
      <w:color w:val="auto"/>
    </w:rPr>
  </w:style>
  <w:style w:type="paragraph" w:customStyle="1" w:styleId="116">
    <w:name w:val="CM84"/>
    <w:basedOn w:val="78"/>
    <w:next w:val="78"/>
    <w:qFormat/>
    <w:uiPriority w:val="99"/>
    <w:pPr>
      <w:spacing w:line="400" w:lineRule="atLeast"/>
    </w:pPr>
    <w:rPr>
      <w:rFonts w:cs="Times New Roman"/>
      <w:color w:val="auto"/>
    </w:rPr>
  </w:style>
  <w:style w:type="paragraph" w:customStyle="1" w:styleId="117">
    <w:name w:val="CM92"/>
    <w:basedOn w:val="78"/>
    <w:next w:val="78"/>
    <w:qFormat/>
    <w:uiPriority w:val="99"/>
    <w:pPr>
      <w:spacing w:line="443" w:lineRule="atLeast"/>
    </w:pPr>
    <w:rPr>
      <w:rFonts w:cs="Times New Roman"/>
      <w:color w:val="auto"/>
    </w:rPr>
  </w:style>
  <w:style w:type="paragraph" w:customStyle="1" w:styleId="118">
    <w:name w:val="CM8"/>
    <w:basedOn w:val="78"/>
    <w:next w:val="78"/>
    <w:qFormat/>
    <w:uiPriority w:val="99"/>
    <w:pPr>
      <w:spacing w:line="318" w:lineRule="atLeast"/>
    </w:pPr>
    <w:rPr>
      <w:rFonts w:cs="Times New Roman"/>
      <w:color w:val="auto"/>
    </w:rPr>
  </w:style>
  <w:style w:type="paragraph" w:customStyle="1" w:styleId="119">
    <w:name w:val="CM3"/>
    <w:basedOn w:val="78"/>
    <w:next w:val="78"/>
    <w:qFormat/>
    <w:uiPriority w:val="99"/>
    <w:pPr>
      <w:spacing w:line="500" w:lineRule="atLeast"/>
    </w:pPr>
    <w:rPr>
      <w:rFonts w:cs="Times New Roman"/>
      <w:color w:val="auto"/>
    </w:rPr>
  </w:style>
  <w:style w:type="paragraph" w:customStyle="1" w:styleId="120">
    <w:name w:val="CM108"/>
    <w:basedOn w:val="78"/>
    <w:next w:val="78"/>
    <w:qFormat/>
    <w:uiPriority w:val="99"/>
    <w:rPr>
      <w:rFonts w:cs="Times New Roman"/>
      <w:color w:val="auto"/>
    </w:rPr>
  </w:style>
  <w:style w:type="paragraph" w:customStyle="1" w:styleId="121">
    <w:name w:val="Char"/>
    <w:basedOn w:val="1"/>
    <w:qFormat/>
    <w:uiPriority w:val="0"/>
    <w:pPr>
      <w:spacing w:line="360" w:lineRule="auto"/>
      <w:ind w:firstLine="200" w:firstLineChars="200"/>
    </w:pPr>
    <w:rPr>
      <w:rFonts w:ascii="宋体" w:hAnsi="宋体" w:cs="宋体"/>
      <w:sz w:val="24"/>
      <w:szCs w:val="24"/>
    </w:rPr>
  </w:style>
  <w:style w:type="paragraph" w:customStyle="1" w:styleId="122">
    <w:name w:val="CM112"/>
    <w:basedOn w:val="78"/>
    <w:next w:val="78"/>
    <w:qFormat/>
    <w:uiPriority w:val="99"/>
    <w:rPr>
      <w:rFonts w:cs="Times New Roman"/>
      <w:color w:val="auto"/>
    </w:rPr>
  </w:style>
  <w:style w:type="paragraph" w:customStyle="1" w:styleId="123">
    <w:name w:val="CM88"/>
    <w:basedOn w:val="78"/>
    <w:next w:val="78"/>
    <w:qFormat/>
    <w:uiPriority w:val="99"/>
    <w:pPr>
      <w:spacing w:line="440" w:lineRule="atLeast"/>
    </w:pPr>
    <w:rPr>
      <w:rFonts w:cs="Times New Roman"/>
      <w:color w:val="auto"/>
    </w:rPr>
  </w:style>
  <w:style w:type="paragraph" w:customStyle="1" w:styleId="124">
    <w:name w:val="CM41"/>
    <w:basedOn w:val="78"/>
    <w:next w:val="78"/>
    <w:qFormat/>
    <w:uiPriority w:val="99"/>
    <w:pPr>
      <w:spacing w:line="400" w:lineRule="atLeast"/>
    </w:pPr>
    <w:rPr>
      <w:rFonts w:cs="Times New Roman"/>
      <w:color w:val="auto"/>
    </w:rPr>
  </w:style>
  <w:style w:type="paragraph" w:customStyle="1" w:styleId="125">
    <w:name w:val="Char1"/>
    <w:basedOn w:val="1"/>
    <w:qFormat/>
    <w:uiPriority w:val="0"/>
    <w:pPr>
      <w:spacing w:line="360" w:lineRule="auto"/>
      <w:ind w:firstLine="200" w:firstLineChars="200"/>
    </w:pPr>
    <w:rPr>
      <w:rFonts w:ascii="宋体" w:hAnsi="宋体" w:cs="宋体"/>
      <w:sz w:val="24"/>
      <w:szCs w:val="24"/>
    </w:rPr>
  </w:style>
  <w:style w:type="paragraph" w:customStyle="1" w:styleId="126">
    <w:name w:val="Char Char Char Char Char Char Char"/>
    <w:basedOn w:val="13"/>
    <w:qFormat/>
    <w:uiPriority w:val="0"/>
    <w:rPr>
      <w:rFonts w:ascii="Tahoma" w:hAnsi="Tahoma"/>
      <w:sz w:val="24"/>
    </w:rPr>
  </w:style>
  <w:style w:type="paragraph" w:customStyle="1" w:styleId="127">
    <w:name w:val="CM99"/>
    <w:basedOn w:val="78"/>
    <w:next w:val="78"/>
    <w:qFormat/>
    <w:uiPriority w:val="99"/>
    <w:rPr>
      <w:rFonts w:cs="Times New Roman"/>
      <w:color w:val="auto"/>
    </w:rPr>
  </w:style>
  <w:style w:type="paragraph" w:customStyle="1" w:styleId="128">
    <w:name w:val="CM20"/>
    <w:basedOn w:val="78"/>
    <w:next w:val="78"/>
    <w:qFormat/>
    <w:uiPriority w:val="99"/>
    <w:pPr>
      <w:spacing w:line="400" w:lineRule="atLeast"/>
    </w:pPr>
    <w:rPr>
      <w:rFonts w:cs="Times New Roman"/>
      <w:color w:val="auto"/>
    </w:rPr>
  </w:style>
  <w:style w:type="paragraph" w:customStyle="1" w:styleId="129">
    <w:name w:val="Char Char Char Char Char Char Char Char Char Char"/>
    <w:basedOn w:val="1"/>
    <w:qFormat/>
    <w:uiPriority w:val="0"/>
    <w:pPr>
      <w:spacing w:line="360" w:lineRule="auto"/>
      <w:ind w:firstLine="200" w:firstLineChars="200"/>
    </w:pPr>
    <w:rPr>
      <w:rFonts w:ascii="宋体" w:hAnsi="宋体" w:cs="宋体"/>
      <w:b/>
      <w:color w:val="000000"/>
      <w:sz w:val="24"/>
      <w:szCs w:val="24"/>
    </w:rPr>
  </w:style>
  <w:style w:type="paragraph" w:customStyle="1" w:styleId="130">
    <w:name w:val="样式3"/>
    <w:basedOn w:val="1"/>
    <w:qFormat/>
    <w:uiPriority w:val="0"/>
    <w:pPr>
      <w:keepNext/>
      <w:keepLines/>
      <w:spacing w:line="400" w:lineRule="exact"/>
      <w:outlineLvl w:val="0"/>
    </w:pPr>
    <w:rPr>
      <w:b/>
      <w:bCs/>
      <w:kern w:val="44"/>
      <w:sz w:val="28"/>
      <w:szCs w:val="44"/>
    </w:rPr>
  </w:style>
  <w:style w:type="paragraph" w:customStyle="1" w:styleId="131">
    <w:name w:val="CM44"/>
    <w:basedOn w:val="78"/>
    <w:next w:val="78"/>
    <w:qFormat/>
    <w:uiPriority w:val="99"/>
    <w:rPr>
      <w:rFonts w:cs="Times New Roman"/>
      <w:color w:val="auto"/>
    </w:rPr>
  </w:style>
  <w:style w:type="paragraph" w:customStyle="1" w:styleId="132">
    <w:name w:val="正文文本1"/>
    <w:basedOn w:val="1"/>
    <w:qFormat/>
    <w:uiPriority w:val="0"/>
    <w:pPr>
      <w:shd w:val="clear" w:color="auto" w:fill="FFFFFF"/>
      <w:spacing w:line="429" w:lineRule="auto"/>
      <w:ind w:firstLine="400"/>
      <w:jc w:val="distribute"/>
    </w:pPr>
    <w:rPr>
      <w:rFonts w:ascii="宋体" w:hAnsi="宋体" w:cs="宋体"/>
      <w:color w:val="000000"/>
      <w:kern w:val="0"/>
      <w:sz w:val="20"/>
      <w:szCs w:val="20"/>
    </w:rPr>
  </w:style>
  <w:style w:type="paragraph" w:customStyle="1" w:styleId="133">
    <w:name w:val="CM102"/>
    <w:basedOn w:val="78"/>
    <w:next w:val="78"/>
    <w:qFormat/>
    <w:uiPriority w:val="99"/>
    <w:rPr>
      <w:rFonts w:cs="Times New Roman"/>
      <w:color w:val="auto"/>
    </w:rPr>
  </w:style>
  <w:style w:type="paragraph" w:customStyle="1" w:styleId="134">
    <w:name w:val="CM25"/>
    <w:basedOn w:val="78"/>
    <w:next w:val="78"/>
    <w:qFormat/>
    <w:uiPriority w:val="99"/>
    <w:pPr>
      <w:spacing w:line="400" w:lineRule="atLeast"/>
    </w:pPr>
    <w:rPr>
      <w:rFonts w:cs="Times New Roman"/>
      <w:color w:val="auto"/>
    </w:rPr>
  </w:style>
  <w:style w:type="paragraph" w:customStyle="1" w:styleId="135">
    <w:name w:val="CM22"/>
    <w:basedOn w:val="78"/>
    <w:next w:val="78"/>
    <w:qFormat/>
    <w:uiPriority w:val="99"/>
    <w:rPr>
      <w:rFonts w:cs="Times New Roman"/>
      <w:color w:val="auto"/>
    </w:rPr>
  </w:style>
  <w:style w:type="paragraph" w:customStyle="1" w:styleId="136">
    <w:name w:val="CM35"/>
    <w:basedOn w:val="78"/>
    <w:next w:val="78"/>
    <w:qFormat/>
    <w:uiPriority w:val="99"/>
    <w:pPr>
      <w:spacing w:line="400" w:lineRule="atLeast"/>
    </w:pPr>
    <w:rPr>
      <w:rFonts w:cs="Times New Roman"/>
      <w:color w:val="auto"/>
    </w:rPr>
  </w:style>
  <w:style w:type="paragraph" w:customStyle="1" w:styleId="137">
    <w:name w:val="CM47"/>
    <w:basedOn w:val="78"/>
    <w:next w:val="78"/>
    <w:qFormat/>
    <w:uiPriority w:val="99"/>
    <w:pPr>
      <w:spacing w:line="540" w:lineRule="atLeast"/>
    </w:pPr>
    <w:rPr>
      <w:rFonts w:cs="Times New Roman"/>
      <w:color w:val="auto"/>
    </w:rPr>
  </w:style>
  <w:style w:type="paragraph" w:customStyle="1" w:styleId="138">
    <w:name w:val="CM54"/>
    <w:basedOn w:val="78"/>
    <w:next w:val="78"/>
    <w:qFormat/>
    <w:uiPriority w:val="99"/>
    <w:rPr>
      <w:rFonts w:cs="Times New Roman"/>
      <w:color w:val="auto"/>
    </w:rPr>
  </w:style>
  <w:style w:type="paragraph" w:customStyle="1" w:styleId="139">
    <w:name w:val="CM43"/>
    <w:basedOn w:val="78"/>
    <w:next w:val="78"/>
    <w:qFormat/>
    <w:uiPriority w:val="99"/>
    <w:pPr>
      <w:spacing w:line="440" w:lineRule="atLeast"/>
    </w:pPr>
    <w:rPr>
      <w:rFonts w:cs="Times New Roman"/>
      <w:color w:val="auto"/>
    </w:rPr>
  </w:style>
  <w:style w:type="paragraph" w:customStyle="1" w:styleId="140">
    <w:name w:val="CM55"/>
    <w:basedOn w:val="78"/>
    <w:next w:val="78"/>
    <w:qFormat/>
    <w:uiPriority w:val="99"/>
    <w:pPr>
      <w:spacing w:line="400" w:lineRule="atLeast"/>
    </w:pPr>
    <w:rPr>
      <w:rFonts w:cs="Times New Roman"/>
      <w:color w:val="auto"/>
    </w:rPr>
  </w:style>
  <w:style w:type="paragraph" w:customStyle="1" w:styleId="141">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42">
    <w:name w:val="CM95"/>
    <w:basedOn w:val="78"/>
    <w:next w:val="78"/>
    <w:qFormat/>
    <w:uiPriority w:val="99"/>
    <w:pPr>
      <w:spacing w:line="440" w:lineRule="atLeast"/>
    </w:pPr>
    <w:rPr>
      <w:rFonts w:cs="Times New Roman"/>
      <w:color w:val="auto"/>
    </w:rPr>
  </w:style>
  <w:style w:type="paragraph" w:customStyle="1" w:styleId="143">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4">
    <w:name w:val="CM11"/>
    <w:basedOn w:val="78"/>
    <w:next w:val="78"/>
    <w:qFormat/>
    <w:uiPriority w:val="99"/>
    <w:pPr>
      <w:spacing w:line="313" w:lineRule="atLeast"/>
    </w:pPr>
    <w:rPr>
      <w:rFonts w:cs="Times New Roman"/>
      <w:color w:val="auto"/>
    </w:rPr>
  </w:style>
  <w:style w:type="paragraph" w:customStyle="1" w:styleId="145">
    <w:name w:val="_Style 121"/>
    <w:basedOn w:val="1"/>
    <w:qFormat/>
    <w:uiPriority w:val="0"/>
    <w:pPr>
      <w:spacing w:line="360" w:lineRule="auto"/>
      <w:ind w:firstLine="200" w:firstLineChars="200"/>
    </w:pPr>
    <w:rPr>
      <w:rFonts w:ascii="宋体" w:hAnsi="宋体" w:cs="宋体"/>
      <w:sz w:val="24"/>
      <w:szCs w:val="24"/>
    </w:rPr>
  </w:style>
  <w:style w:type="paragraph" w:customStyle="1" w:styleId="14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7">
    <w:name w:val="CM24"/>
    <w:basedOn w:val="78"/>
    <w:next w:val="78"/>
    <w:qFormat/>
    <w:uiPriority w:val="99"/>
    <w:pPr>
      <w:spacing w:line="400" w:lineRule="atLeast"/>
    </w:pPr>
    <w:rPr>
      <w:rFonts w:cs="Times New Roman"/>
      <w:color w:val="auto"/>
    </w:rPr>
  </w:style>
  <w:style w:type="paragraph" w:customStyle="1" w:styleId="148">
    <w:name w:val="CM98"/>
    <w:basedOn w:val="78"/>
    <w:next w:val="78"/>
    <w:qFormat/>
    <w:uiPriority w:val="99"/>
    <w:rPr>
      <w:rFonts w:cs="Times New Roman"/>
      <w:color w:val="auto"/>
    </w:rPr>
  </w:style>
  <w:style w:type="paragraph" w:customStyle="1" w:styleId="149">
    <w:name w:val="CM32"/>
    <w:basedOn w:val="78"/>
    <w:next w:val="78"/>
    <w:qFormat/>
    <w:uiPriority w:val="99"/>
    <w:pPr>
      <w:spacing w:line="400" w:lineRule="atLeast"/>
    </w:pPr>
    <w:rPr>
      <w:rFonts w:cs="Times New Roman"/>
      <w:color w:val="auto"/>
    </w:rPr>
  </w:style>
  <w:style w:type="paragraph" w:customStyle="1" w:styleId="150">
    <w:name w:val="CM12"/>
    <w:basedOn w:val="78"/>
    <w:next w:val="78"/>
    <w:qFormat/>
    <w:uiPriority w:val="99"/>
    <w:pPr>
      <w:spacing w:line="313" w:lineRule="atLeast"/>
    </w:pPr>
    <w:rPr>
      <w:rFonts w:cs="Times New Roman"/>
      <w:color w:val="auto"/>
    </w:rPr>
  </w:style>
  <w:style w:type="paragraph" w:customStyle="1" w:styleId="151">
    <w:name w:val="CM87"/>
    <w:basedOn w:val="78"/>
    <w:next w:val="78"/>
    <w:qFormat/>
    <w:uiPriority w:val="99"/>
    <w:pPr>
      <w:spacing w:line="440" w:lineRule="atLeast"/>
    </w:pPr>
    <w:rPr>
      <w:rFonts w:cs="Times New Roman"/>
      <w:color w:val="auto"/>
    </w:rPr>
  </w:style>
  <w:style w:type="paragraph" w:customStyle="1" w:styleId="152">
    <w:name w:val="CM1"/>
    <w:basedOn w:val="78"/>
    <w:next w:val="78"/>
    <w:qFormat/>
    <w:uiPriority w:val="99"/>
    <w:rPr>
      <w:rFonts w:cs="Times New Roman"/>
      <w:color w:val="auto"/>
    </w:rPr>
  </w:style>
  <w:style w:type="paragraph" w:customStyle="1" w:styleId="153">
    <w:name w:val="CM13"/>
    <w:basedOn w:val="78"/>
    <w:next w:val="78"/>
    <w:qFormat/>
    <w:uiPriority w:val="99"/>
    <w:rPr>
      <w:rFonts w:cs="Times New Roman"/>
      <w:color w:val="auto"/>
    </w:rPr>
  </w:style>
  <w:style w:type="paragraph" w:customStyle="1" w:styleId="154">
    <w:name w:val="CM40"/>
    <w:basedOn w:val="78"/>
    <w:next w:val="78"/>
    <w:qFormat/>
    <w:uiPriority w:val="99"/>
    <w:pPr>
      <w:spacing w:line="400" w:lineRule="atLeast"/>
    </w:pPr>
    <w:rPr>
      <w:rFonts w:cs="Times New Roman"/>
      <w:color w:val="auto"/>
    </w:rPr>
  </w:style>
  <w:style w:type="paragraph" w:customStyle="1" w:styleId="155">
    <w:name w:val="CM71"/>
    <w:basedOn w:val="78"/>
    <w:next w:val="78"/>
    <w:qFormat/>
    <w:uiPriority w:val="99"/>
    <w:rPr>
      <w:rFonts w:cs="Times New Roman"/>
      <w:color w:val="auto"/>
    </w:rPr>
  </w:style>
  <w:style w:type="paragraph" w:customStyle="1" w:styleId="156">
    <w:name w:val="CM2"/>
    <w:basedOn w:val="78"/>
    <w:next w:val="78"/>
    <w:qFormat/>
    <w:uiPriority w:val="99"/>
    <w:pPr>
      <w:spacing w:line="500" w:lineRule="atLeast"/>
    </w:pPr>
    <w:rPr>
      <w:rFonts w:cs="Times New Roman"/>
      <w:color w:val="auto"/>
    </w:rPr>
  </w:style>
  <w:style w:type="paragraph" w:styleId="157">
    <w:name w:val="List Paragraph"/>
    <w:basedOn w:val="1"/>
    <w:qFormat/>
    <w:uiPriority w:val="34"/>
    <w:pPr>
      <w:ind w:firstLine="420" w:firstLineChars="200"/>
    </w:pPr>
  </w:style>
  <w:style w:type="paragraph" w:customStyle="1" w:styleId="158">
    <w:name w:val="CM52"/>
    <w:basedOn w:val="78"/>
    <w:next w:val="78"/>
    <w:qFormat/>
    <w:uiPriority w:val="99"/>
    <w:pPr>
      <w:spacing w:line="400" w:lineRule="atLeast"/>
    </w:pPr>
    <w:rPr>
      <w:rFonts w:cs="Times New Roman"/>
      <w:color w:val="auto"/>
    </w:rPr>
  </w:style>
  <w:style w:type="paragraph" w:customStyle="1" w:styleId="159">
    <w:name w:val="CM34"/>
    <w:basedOn w:val="78"/>
    <w:next w:val="78"/>
    <w:qFormat/>
    <w:uiPriority w:val="99"/>
    <w:rPr>
      <w:rFonts w:cs="Times New Roman"/>
      <w:color w:val="auto"/>
    </w:rPr>
  </w:style>
  <w:style w:type="paragraph" w:customStyle="1" w:styleId="1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1">
    <w:name w:val="CM107"/>
    <w:basedOn w:val="78"/>
    <w:next w:val="78"/>
    <w:qFormat/>
    <w:uiPriority w:val="99"/>
    <w:rPr>
      <w:rFonts w:cs="Times New Roman"/>
      <w:color w:val="auto"/>
    </w:rPr>
  </w:style>
  <w:style w:type="paragraph" w:customStyle="1" w:styleId="162">
    <w:name w:val="CM29"/>
    <w:basedOn w:val="78"/>
    <w:next w:val="78"/>
    <w:qFormat/>
    <w:uiPriority w:val="99"/>
    <w:pPr>
      <w:spacing w:line="400" w:lineRule="atLeast"/>
    </w:pPr>
    <w:rPr>
      <w:rFonts w:cs="Times New Roman"/>
      <w:color w:val="auto"/>
    </w:rPr>
  </w:style>
  <w:style w:type="paragraph" w:customStyle="1" w:styleId="163">
    <w:name w:val="标题 #7"/>
    <w:basedOn w:val="1"/>
    <w:link w:val="195"/>
    <w:qFormat/>
    <w:uiPriority w:val="0"/>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164">
    <w:name w:val="MSG_EN_FONT_STYLE_NAME_TEMPLATE_ROLE_NUMBER MSG_EN_FONT_STYLE_NAME_BY_ROLE_TEXT 13 + MSG_EN_FONT_STYLE_MODIFER_SIZE 8.5"/>
    <w:qFormat/>
    <w:uiPriority w:val="99"/>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65">
    <w:name w:val="MSG_EN_FONT_STYLE_NAME_TEMPLATE_ROLE_NUMBER MSG_EN_FONT_STYLE_NAME_BY_ROLE_TEXT 13_"/>
    <w:link w:val="166"/>
    <w:qFormat/>
    <w:uiPriority w:val="0"/>
    <w:rPr>
      <w:rFonts w:ascii="PMingLiU" w:hAnsi="PMingLiU" w:eastAsia="PMingLiU" w:cs="PMingLiU"/>
      <w:shd w:val="clear" w:color="auto" w:fill="FFFFFF"/>
    </w:rPr>
  </w:style>
  <w:style w:type="paragraph" w:customStyle="1" w:styleId="166">
    <w:name w:val="MSG_EN_FONT_STYLE_NAME_TEMPLATE_ROLE_NUMBER MSG_EN_FONT_STYLE_NAME_BY_ROLE_TEXT 131"/>
    <w:basedOn w:val="1"/>
    <w:link w:val="165"/>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167">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68">
    <w:name w:val="MSG_EN_FONT_STYLE_NAME_TEMPLATE_ROLE_NUMBER MSG_EN_FONT_STYLE_NAME_BY_ROLE_TEXT 13 + MSG_EN_FONT_STYLE_MODIFER_NAME Times New Roman4"/>
    <w:qFormat/>
    <w:uiPriority w:val="0"/>
    <w:rPr>
      <w:rFonts w:ascii="Times New Roman" w:hAnsi="Times New Roman" w:eastAsia="Times New Roman" w:cs="Times New Roman"/>
      <w:b/>
      <w:bCs/>
      <w:color w:val="000000"/>
      <w:spacing w:val="0"/>
      <w:w w:val="100"/>
      <w:position w:val="0"/>
      <w:sz w:val="16"/>
      <w:szCs w:val="16"/>
      <w:u w:val="none"/>
      <w:shd w:val="clear" w:color="auto" w:fill="FFFFFF"/>
      <w:lang w:val="en-US" w:eastAsia="en-US" w:bidi="en-US"/>
    </w:rPr>
  </w:style>
  <w:style w:type="character" w:customStyle="1" w:styleId="169">
    <w:name w:val="MSG_EN_FONT_STYLE_NAME_TEMPLATE_ROLE_NUMBER MSG_EN_FONT_STYLE_NAME_BY_ROLE_TEXT 5_"/>
    <w:link w:val="170"/>
    <w:qFormat/>
    <w:uiPriority w:val="0"/>
    <w:rPr>
      <w:rFonts w:ascii="PMingLiU" w:hAnsi="PMingLiU" w:eastAsia="PMingLiU" w:cs="PMingLiU"/>
      <w:sz w:val="17"/>
      <w:szCs w:val="17"/>
      <w:shd w:val="clear" w:color="auto" w:fill="FFFFFF"/>
    </w:rPr>
  </w:style>
  <w:style w:type="paragraph" w:customStyle="1" w:styleId="170">
    <w:name w:val="MSG_EN_FONT_STYLE_NAME_TEMPLATE_ROLE_NUMBER MSG_EN_FONT_STYLE_NAME_BY_ROLE_TEXT 5"/>
    <w:basedOn w:val="1"/>
    <w:link w:val="169"/>
    <w:qFormat/>
    <w:uiPriority w:val="0"/>
    <w:pPr>
      <w:shd w:val="clear" w:color="auto" w:fill="FFFFFF"/>
      <w:spacing w:before="5120" w:line="170" w:lineRule="exact"/>
      <w:jc w:val="left"/>
    </w:pPr>
    <w:rPr>
      <w:rFonts w:ascii="PMingLiU" w:hAnsi="PMingLiU" w:eastAsia="PMingLiU"/>
      <w:kern w:val="0"/>
      <w:sz w:val="17"/>
      <w:szCs w:val="17"/>
    </w:rPr>
  </w:style>
  <w:style w:type="character" w:customStyle="1" w:styleId="171">
    <w:name w:val="size style22"/>
    <w:qFormat/>
    <w:uiPriority w:val="0"/>
  </w:style>
  <w:style w:type="character" w:customStyle="1" w:styleId="172">
    <w:name w:val="Char2 Char Char"/>
    <w:qFormat/>
    <w:uiPriority w:val="0"/>
    <w:rPr>
      <w:sz w:val="18"/>
      <w:szCs w:val="18"/>
    </w:rPr>
  </w:style>
  <w:style w:type="character" w:customStyle="1" w:styleId="173">
    <w:name w:val="正文文本 (6)_"/>
    <w:link w:val="174"/>
    <w:qFormat/>
    <w:uiPriority w:val="0"/>
    <w:rPr>
      <w:rFonts w:ascii="MingLiU" w:hAnsi="MingLiU" w:eastAsia="MingLiU" w:cs="MingLiU"/>
      <w:sz w:val="19"/>
      <w:szCs w:val="19"/>
      <w:shd w:val="clear" w:color="auto" w:fill="FFFFFF"/>
    </w:rPr>
  </w:style>
  <w:style w:type="paragraph" w:customStyle="1" w:styleId="174">
    <w:name w:val="正文文本 (6)"/>
    <w:basedOn w:val="1"/>
    <w:link w:val="173"/>
    <w:qFormat/>
    <w:uiPriority w:val="0"/>
    <w:pPr>
      <w:shd w:val="clear" w:color="auto" w:fill="FFFFFF"/>
      <w:spacing w:before="120" w:after="240" w:line="0" w:lineRule="atLeast"/>
      <w:jc w:val="center"/>
    </w:pPr>
    <w:rPr>
      <w:rFonts w:ascii="MingLiU" w:hAnsi="MingLiU" w:eastAsia="MingLiU"/>
      <w:kern w:val="0"/>
      <w:sz w:val="19"/>
      <w:szCs w:val="19"/>
    </w:rPr>
  </w:style>
  <w:style w:type="character" w:customStyle="1" w:styleId="175">
    <w:name w:val="正文文本 (6) Exact"/>
    <w:qFormat/>
    <w:uiPriority w:val="0"/>
    <w:rPr>
      <w:rFonts w:ascii="MingLiU" w:hAnsi="MingLiU" w:eastAsia="MingLiU" w:cs="MingLiU"/>
      <w:sz w:val="19"/>
      <w:szCs w:val="19"/>
      <w:u w:val="none"/>
    </w:rPr>
  </w:style>
  <w:style w:type="character" w:customStyle="1" w:styleId="176">
    <w:name w:val="正文文本 (2) Exact"/>
    <w:qFormat/>
    <w:uiPriority w:val="0"/>
    <w:rPr>
      <w:rFonts w:ascii="MingLiU" w:hAnsi="MingLiU" w:eastAsia="MingLiU" w:cs="MingLiU"/>
      <w:sz w:val="22"/>
      <w:szCs w:val="22"/>
      <w:u w:val="none"/>
      <w:lang w:val="en-US" w:eastAsia="en-US" w:bidi="en-US"/>
    </w:rPr>
  </w:style>
  <w:style w:type="character" w:customStyle="1" w:styleId="177">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78">
    <w:name w:val="标题 #8 (2)_"/>
    <w:link w:val="179"/>
    <w:qFormat/>
    <w:uiPriority w:val="0"/>
    <w:rPr>
      <w:rFonts w:ascii="MingLiU" w:hAnsi="MingLiU" w:eastAsia="MingLiU" w:cs="MingLiU"/>
      <w:spacing w:val="30"/>
      <w:shd w:val="clear" w:color="auto" w:fill="FFFFFF"/>
    </w:rPr>
  </w:style>
  <w:style w:type="paragraph" w:customStyle="1" w:styleId="179">
    <w:name w:val="标题 #8 (2)"/>
    <w:basedOn w:val="1"/>
    <w:link w:val="178"/>
    <w:qFormat/>
    <w:uiPriority w:val="0"/>
    <w:pPr>
      <w:shd w:val="clear" w:color="auto" w:fill="FFFFFF"/>
      <w:spacing w:after="240" w:line="0" w:lineRule="atLeast"/>
      <w:jc w:val="distribute"/>
      <w:outlineLvl w:val="7"/>
    </w:pPr>
    <w:rPr>
      <w:rFonts w:ascii="MingLiU" w:hAnsi="MingLiU" w:eastAsia="MingLiU"/>
      <w:spacing w:val="30"/>
      <w:kern w:val="0"/>
      <w:sz w:val="20"/>
      <w:szCs w:val="20"/>
    </w:rPr>
  </w:style>
  <w:style w:type="character" w:customStyle="1" w:styleId="180">
    <w:name w:val="标题 #8 (2) + 间距 0 pt"/>
    <w:qFormat/>
    <w:uiPriority w:val="0"/>
    <w:rPr>
      <w:rFonts w:ascii="MingLiU" w:hAnsi="MingLiU" w:eastAsia="MingLiU" w:cs="MingLiU"/>
      <w:color w:val="000000"/>
      <w:spacing w:val="0"/>
      <w:w w:val="100"/>
      <w:position w:val="0"/>
      <w:sz w:val="24"/>
      <w:szCs w:val="24"/>
      <w:shd w:val="clear" w:color="auto" w:fill="FFFFFF"/>
      <w:lang w:val="zh-TW" w:eastAsia="zh-TW" w:bidi="zh-TW"/>
    </w:rPr>
  </w:style>
  <w:style w:type="character" w:customStyle="1" w:styleId="181">
    <w:name w:val="表格标题 (3)_"/>
    <w:link w:val="182"/>
    <w:qFormat/>
    <w:uiPriority w:val="0"/>
    <w:rPr>
      <w:rFonts w:ascii="MingLiU" w:hAnsi="MingLiU" w:eastAsia="MingLiU" w:cs="MingLiU"/>
      <w:sz w:val="19"/>
      <w:szCs w:val="19"/>
      <w:shd w:val="clear" w:color="auto" w:fill="FFFFFF"/>
    </w:rPr>
  </w:style>
  <w:style w:type="paragraph" w:customStyle="1" w:styleId="182">
    <w:name w:val="表格标题 (3)"/>
    <w:basedOn w:val="1"/>
    <w:link w:val="181"/>
    <w:qFormat/>
    <w:uiPriority w:val="0"/>
    <w:pPr>
      <w:shd w:val="clear" w:color="auto" w:fill="FFFFFF"/>
      <w:spacing w:line="0" w:lineRule="atLeast"/>
      <w:jc w:val="left"/>
    </w:pPr>
    <w:rPr>
      <w:rFonts w:ascii="MingLiU" w:hAnsi="MingLiU" w:eastAsia="MingLiU"/>
      <w:kern w:val="0"/>
      <w:sz w:val="19"/>
      <w:szCs w:val="19"/>
    </w:rPr>
  </w:style>
  <w:style w:type="character" w:customStyle="1" w:styleId="183">
    <w:name w:val="正文文本 (2) + 10 pt"/>
    <w:qFormat/>
    <w:uiPriority w:val="99"/>
    <w:rPr>
      <w:rFonts w:ascii="MingLiU" w:hAnsi="MingLiU" w:eastAsia="MingLiU" w:cs="MingLiU"/>
      <w:b/>
      <w:bCs/>
      <w:color w:val="000000"/>
      <w:spacing w:val="0"/>
      <w:w w:val="100"/>
      <w:position w:val="0"/>
      <w:sz w:val="20"/>
      <w:szCs w:val="20"/>
      <w:u w:val="none"/>
      <w:lang w:val="zh-TW" w:eastAsia="zh-TW" w:bidi="zh-TW"/>
    </w:rPr>
  </w:style>
  <w:style w:type="character" w:customStyle="1" w:styleId="184">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185">
    <w:name w:val="正文文本 (2) + CordiaUPC"/>
    <w:qFormat/>
    <w:uiPriority w:val="0"/>
    <w:rPr>
      <w:rFonts w:ascii="CordiaUPC" w:hAnsi="CordiaUPC" w:eastAsia="CordiaUPC" w:cs="CordiaUPC"/>
      <w:color w:val="000000"/>
      <w:spacing w:val="0"/>
      <w:w w:val="100"/>
      <w:position w:val="0"/>
      <w:sz w:val="26"/>
      <w:szCs w:val="26"/>
      <w:u w:val="none"/>
      <w:shd w:val="clear" w:color="auto" w:fill="FFFFFF"/>
      <w:lang w:val="en-US" w:eastAsia="en-US" w:bidi="en-US"/>
    </w:rPr>
  </w:style>
  <w:style w:type="character" w:customStyle="1" w:styleId="186">
    <w:name w:val="正文文本 (2) + 8 pt"/>
    <w:qFormat/>
    <w:uiPriority w:val="0"/>
    <w:rPr>
      <w:rFonts w:ascii="MingLiU" w:hAnsi="MingLiU" w:eastAsia="MingLiU" w:cs="MingLiU"/>
      <w:color w:val="000000"/>
      <w:spacing w:val="0"/>
      <w:w w:val="75"/>
      <w:position w:val="0"/>
      <w:sz w:val="16"/>
      <w:szCs w:val="16"/>
      <w:u w:val="none"/>
      <w:shd w:val="clear" w:color="auto" w:fill="FFFFFF"/>
      <w:lang w:val="en-US" w:eastAsia="en-US" w:bidi="en-US"/>
    </w:rPr>
  </w:style>
  <w:style w:type="character" w:customStyle="1" w:styleId="187">
    <w:name w:val="正文文本 (18)_"/>
    <w:link w:val="188"/>
    <w:qFormat/>
    <w:uiPriority w:val="0"/>
    <w:rPr>
      <w:rFonts w:ascii="MingLiU" w:hAnsi="MingLiU" w:eastAsia="MingLiU" w:cs="MingLiU"/>
      <w:spacing w:val="20"/>
      <w:sz w:val="23"/>
      <w:szCs w:val="23"/>
      <w:shd w:val="clear" w:color="auto" w:fill="FFFFFF"/>
    </w:rPr>
  </w:style>
  <w:style w:type="paragraph" w:customStyle="1" w:styleId="188">
    <w:name w:val="正文文本 (18)"/>
    <w:basedOn w:val="1"/>
    <w:link w:val="187"/>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189">
    <w:name w:val="标题 #7 + 间距 1 pt"/>
    <w:qFormat/>
    <w:uiPriority w:val="0"/>
    <w:rPr>
      <w:rFonts w:ascii="MingLiU" w:hAnsi="MingLiU" w:eastAsia="MingLiU" w:cs="MingLiU"/>
      <w:color w:val="000000"/>
      <w:spacing w:val="20"/>
      <w:w w:val="100"/>
      <w:position w:val="0"/>
      <w:sz w:val="28"/>
      <w:szCs w:val="28"/>
      <w:shd w:val="clear" w:color="auto" w:fill="FFFFFF"/>
      <w:lang w:val="zh-TW" w:eastAsia="zh-TW" w:bidi="zh-TW"/>
    </w:rPr>
  </w:style>
  <w:style w:type="character" w:customStyle="1" w:styleId="190">
    <w:name w:val="正文文本 (1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191">
    <w:name w:val="标题 #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192">
    <w:name w:val="正文文本 Char1"/>
    <w:link w:val="17"/>
    <w:qFormat/>
    <w:uiPriority w:val="1"/>
    <w:rPr>
      <w:kern w:val="2"/>
      <w:sz w:val="28"/>
      <w:szCs w:val="24"/>
    </w:rPr>
  </w:style>
  <w:style w:type="character" w:customStyle="1" w:styleId="193">
    <w:name w:val="页眉或页脚_"/>
    <w:qFormat/>
    <w:uiPriority w:val="0"/>
    <w:rPr>
      <w:rFonts w:ascii="MingLiU" w:hAnsi="MingLiU" w:eastAsia="MingLiU" w:cs="MingLiU"/>
      <w:b/>
      <w:bCs/>
      <w:sz w:val="20"/>
      <w:szCs w:val="20"/>
      <w:u w:val="none"/>
    </w:rPr>
  </w:style>
  <w:style w:type="character" w:customStyle="1" w:styleId="194">
    <w:name w:val="页眉或页脚"/>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195">
    <w:name w:val="标题 #7_"/>
    <w:link w:val="163"/>
    <w:qFormat/>
    <w:uiPriority w:val="0"/>
    <w:rPr>
      <w:rFonts w:ascii="宋体" w:hAnsi="宋体" w:cs="宋体"/>
      <w:color w:val="000000"/>
      <w:sz w:val="24"/>
      <w:szCs w:val="24"/>
      <w:shd w:val="clear" w:color="auto" w:fill="FFFFFF"/>
    </w:rPr>
  </w:style>
  <w:style w:type="character" w:customStyle="1" w:styleId="196">
    <w:name w:val="标题 #8_"/>
    <w:link w:val="197"/>
    <w:qFormat/>
    <w:uiPriority w:val="0"/>
    <w:rPr>
      <w:rFonts w:ascii="MingLiU" w:hAnsi="MingLiU" w:eastAsia="MingLiU" w:cs="MingLiU"/>
      <w:spacing w:val="20"/>
      <w:sz w:val="23"/>
      <w:szCs w:val="23"/>
      <w:shd w:val="clear" w:color="auto" w:fill="FFFFFF"/>
    </w:rPr>
  </w:style>
  <w:style w:type="paragraph" w:customStyle="1" w:styleId="197">
    <w:name w:val="标题 #8"/>
    <w:basedOn w:val="1"/>
    <w:link w:val="196"/>
    <w:qFormat/>
    <w:uiPriority w:val="0"/>
    <w:pPr>
      <w:shd w:val="clear" w:color="auto" w:fill="FFFFFF"/>
      <w:spacing w:before="120" w:after="420" w:line="0" w:lineRule="atLeast"/>
      <w:jc w:val="left"/>
      <w:outlineLvl w:val="7"/>
    </w:pPr>
    <w:rPr>
      <w:rFonts w:ascii="MingLiU" w:hAnsi="MingLiU" w:eastAsia="MingLiU"/>
      <w:spacing w:val="20"/>
      <w:kern w:val="0"/>
      <w:sz w:val="23"/>
      <w:szCs w:val="23"/>
    </w:rPr>
  </w:style>
  <w:style w:type="character" w:customStyle="1" w:styleId="198">
    <w:name w:val="标题 #2 + 间距 3 pt"/>
    <w:qFormat/>
    <w:uiPriority w:val="0"/>
    <w:rPr>
      <w:rFonts w:ascii="MingLiU" w:hAnsi="MingLiU" w:eastAsia="MingLiU" w:cs="MingLiU"/>
      <w:color w:val="000000"/>
      <w:spacing w:val="70"/>
      <w:w w:val="100"/>
      <w:position w:val="0"/>
      <w:sz w:val="56"/>
      <w:szCs w:val="56"/>
      <w:u w:val="none"/>
      <w:lang w:val="zh-TW" w:eastAsia="zh-TW" w:bidi="zh-TW"/>
    </w:rPr>
  </w:style>
  <w:style w:type="character" w:customStyle="1" w:styleId="199">
    <w:name w:val="正文文本 (8)_"/>
    <w:link w:val="200"/>
    <w:qFormat/>
    <w:uiPriority w:val="0"/>
    <w:rPr>
      <w:rFonts w:ascii="MingLiU" w:hAnsi="MingLiU" w:eastAsia="MingLiU" w:cs="MingLiU"/>
      <w:spacing w:val="90"/>
      <w:sz w:val="28"/>
      <w:szCs w:val="28"/>
      <w:shd w:val="clear" w:color="auto" w:fill="FFFFFF"/>
    </w:rPr>
  </w:style>
  <w:style w:type="paragraph" w:customStyle="1" w:styleId="200">
    <w:name w:val="正文文本 (8)"/>
    <w:basedOn w:val="1"/>
    <w:link w:val="199"/>
    <w:qFormat/>
    <w:uiPriority w:val="0"/>
    <w:pPr>
      <w:shd w:val="clear" w:color="auto" w:fill="FFFFFF"/>
      <w:spacing w:before="900" w:line="600" w:lineRule="exact"/>
      <w:ind w:hanging="1800"/>
      <w:jc w:val="distribute"/>
    </w:pPr>
    <w:rPr>
      <w:rFonts w:ascii="MingLiU" w:hAnsi="MingLiU" w:eastAsia="MingLiU"/>
      <w:spacing w:val="90"/>
      <w:kern w:val="0"/>
      <w:sz w:val="28"/>
      <w:szCs w:val="28"/>
    </w:rPr>
  </w:style>
  <w:style w:type="character" w:customStyle="1" w:styleId="201">
    <w:name w:val="标题 #7 + 间距 0 pt"/>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202">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03">
    <w:name w:val="标题 #5 (2)_"/>
    <w:link w:val="204"/>
    <w:qFormat/>
    <w:uiPriority w:val="0"/>
    <w:rPr>
      <w:rFonts w:ascii="MingLiU" w:hAnsi="MingLiU" w:eastAsia="MingLiU" w:cs="MingLiU"/>
      <w:sz w:val="32"/>
      <w:szCs w:val="32"/>
      <w:shd w:val="clear" w:color="auto" w:fill="FFFFFF"/>
    </w:rPr>
  </w:style>
  <w:style w:type="paragraph" w:customStyle="1" w:styleId="204">
    <w:name w:val="标题 #5 (2)"/>
    <w:basedOn w:val="1"/>
    <w:link w:val="203"/>
    <w:qFormat/>
    <w:uiPriority w:val="0"/>
    <w:pPr>
      <w:shd w:val="clear" w:color="auto" w:fill="FFFFFF"/>
      <w:spacing w:line="0" w:lineRule="atLeast"/>
      <w:jc w:val="center"/>
      <w:outlineLvl w:val="4"/>
    </w:pPr>
    <w:rPr>
      <w:rFonts w:ascii="MingLiU" w:hAnsi="MingLiU" w:eastAsia="MingLiU"/>
      <w:kern w:val="0"/>
      <w:sz w:val="32"/>
      <w:szCs w:val="32"/>
    </w:rPr>
  </w:style>
  <w:style w:type="character" w:customStyle="1" w:styleId="205">
    <w:name w:val="正文文本 (20)_"/>
    <w:link w:val="206"/>
    <w:qFormat/>
    <w:uiPriority w:val="0"/>
    <w:rPr>
      <w:rFonts w:ascii="MingLiU" w:hAnsi="MingLiU" w:eastAsia="MingLiU" w:cs="MingLiU"/>
      <w:sz w:val="26"/>
      <w:szCs w:val="26"/>
      <w:shd w:val="clear" w:color="auto" w:fill="FFFFFF"/>
    </w:rPr>
  </w:style>
  <w:style w:type="paragraph" w:customStyle="1" w:styleId="206">
    <w:name w:val="正文文本 (20)"/>
    <w:basedOn w:val="1"/>
    <w:link w:val="205"/>
    <w:qFormat/>
    <w:uiPriority w:val="0"/>
    <w:pPr>
      <w:shd w:val="clear" w:color="auto" w:fill="FFFFFF"/>
      <w:spacing w:before="300" w:after="300" w:line="0" w:lineRule="atLeast"/>
    </w:pPr>
    <w:rPr>
      <w:rFonts w:ascii="MingLiU" w:hAnsi="MingLiU" w:eastAsia="MingLiU"/>
      <w:kern w:val="0"/>
      <w:sz w:val="26"/>
      <w:szCs w:val="26"/>
    </w:rPr>
  </w:style>
  <w:style w:type="character" w:customStyle="1" w:styleId="207">
    <w:name w:val="正文文本 (21)_"/>
    <w:link w:val="208"/>
    <w:qFormat/>
    <w:uiPriority w:val="0"/>
    <w:rPr>
      <w:rFonts w:ascii="MingLiU" w:hAnsi="MingLiU" w:eastAsia="MingLiU" w:cs="MingLiU"/>
      <w:spacing w:val="40"/>
      <w:szCs w:val="21"/>
      <w:shd w:val="clear" w:color="auto" w:fill="FFFFFF"/>
    </w:rPr>
  </w:style>
  <w:style w:type="paragraph" w:customStyle="1" w:styleId="208">
    <w:name w:val="正文文本 (21)"/>
    <w:basedOn w:val="1"/>
    <w:link w:val="207"/>
    <w:qFormat/>
    <w:uiPriority w:val="0"/>
    <w:pPr>
      <w:shd w:val="clear" w:color="auto" w:fill="FFFFFF"/>
      <w:spacing w:line="480" w:lineRule="exact"/>
      <w:ind w:firstLine="520"/>
      <w:jc w:val="distribute"/>
    </w:pPr>
    <w:rPr>
      <w:rFonts w:ascii="MingLiU" w:hAnsi="MingLiU" w:eastAsia="MingLiU"/>
      <w:spacing w:val="40"/>
      <w:kern w:val="0"/>
      <w:sz w:val="20"/>
      <w:szCs w:val="21"/>
    </w:rPr>
  </w:style>
  <w:style w:type="character" w:customStyle="1" w:styleId="209">
    <w:name w:val="标题 #7 (3)_"/>
    <w:link w:val="210"/>
    <w:qFormat/>
    <w:uiPriority w:val="0"/>
    <w:rPr>
      <w:rFonts w:ascii="MingLiU" w:hAnsi="MingLiU" w:eastAsia="MingLiU" w:cs="MingLiU"/>
      <w:sz w:val="26"/>
      <w:szCs w:val="26"/>
      <w:shd w:val="clear" w:color="auto" w:fill="FFFFFF"/>
    </w:rPr>
  </w:style>
  <w:style w:type="paragraph" w:customStyle="1" w:styleId="210">
    <w:name w:val="标题 #7 (3)"/>
    <w:basedOn w:val="1"/>
    <w:link w:val="209"/>
    <w:qFormat/>
    <w:uiPriority w:val="0"/>
    <w:pPr>
      <w:shd w:val="clear" w:color="auto" w:fill="FFFFFF"/>
      <w:spacing w:before="60" w:after="300" w:line="0" w:lineRule="atLeast"/>
      <w:jc w:val="left"/>
      <w:outlineLvl w:val="6"/>
    </w:pPr>
    <w:rPr>
      <w:rFonts w:ascii="MingLiU" w:hAnsi="MingLiU" w:eastAsia="MingLiU"/>
      <w:kern w:val="0"/>
      <w:sz w:val="26"/>
      <w:szCs w:val="26"/>
    </w:rPr>
  </w:style>
  <w:style w:type="character" w:customStyle="1" w:styleId="211">
    <w:name w:val="标题 #7 (4)_"/>
    <w:link w:val="212"/>
    <w:qFormat/>
    <w:uiPriority w:val="0"/>
    <w:rPr>
      <w:rFonts w:ascii="MingLiU" w:hAnsi="MingLiU" w:eastAsia="MingLiU" w:cs="MingLiU"/>
      <w:sz w:val="26"/>
      <w:szCs w:val="26"/>
      <w:shd w:val="clear" w:color="auto" w:fill="FFFFFF"/>
    </w:rPr>
  </w:style>
  <w:style w:type="paragraph" w:customStyle="1" w:styleId="212">
    <w:name w:val="标题 #7 (4)"/>
    <w:basedOn w:val="1"/>
    <w:link w:val="211"/>
    <w:qFormat/>
    <w:uiPriority w:val="0"/>
    <w:pPr>
      <w:shd w:val="clear" w:color="auto" w:fill="FFFFFF"/>
      <w:spacing w:before="60" w:after="300" w:line="0" w:lineRule="atLeast"/>
      <w:jc w:val="left"/>
      <w:outlineLvl w:val="6"/>
    </w:pPr>
    <w:rPr>
      <w:rFonts w:ascii="MingLiU" w:hAnsi="MingLiU" w:eastAsia="MingLiU"/>
      <w:kern w:val="0"/>
      <w:sz w:val="26"/>
      <w:szCs w:val="26"/>
    </w:rPr>
  </w:style>
  <w:style w:type="character" w:customStyle="1" w:styleId="213">
    <w:name w:val="标题 #7 (3) + 间距 1 pt"/>
    <w:qFormat/>
    <w:uiPriority w:val="0"/>
    <w:rPr>
      <w:rFonts w:ascii="MingLiU" w:hAnsi="MingLiU" w:eastAsia="MingLiU" w:cs="MingLiU"/>
      <w:color w:val="000000"/>
      <w:spacing w:val="20"/>
      <w:w w:val="100"/>
      <w:position w:val="0"/>
      <w:sz w:val="26"/>
      <w:szCs w:val="26"/>
      <w:shd w:val="clear" w:color="auto" w:fill="FFFFFF"/>
      <w:lang w:val="zh-TW" w:eastAsia="zh-TW" w:bidi="zh-TW"/>
    </w:rPr>
  </w:style>
  <w:style w:type="character" w:customStyle="1" w:styleId="214">
    <w:name w:val="正文文本 (8)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215">
    <w:name w:val="标题 #5 (2) + 间距 2 pt"/>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216">
    <w:name w:val="目录 2 Char"/>
    <w:link w:val="35"/>
    <w:qFormat/>
    <w:uiPriority w:val="0"/>
    <w:rPr>
      <w:smallCaps/>
      <w:kern w:val="2"/>
    </w:rPr>
  </w:style>
  <w:style w:type="character" w:customStyle="1" w:styleId="217">
    <w:name w:val="目录 (6)_"/>
    <w:link w:val="218"/>
    <w:qFormat/>
    <w:uiPriority w:val="0"/>
    <w:rPr>
      <w:rFonts w:ascii="MingLiU" w:hAnsi="MingLiU" w:eastAsia="MingLiU" w:cs="MingLiU"/>
      <w:sz w:val="23"/>
      <w:szCs w:val="23"/>
      <w:shd w:val="clear" w:color="auto" w:fill="FFFFFF"/>
    </w:rPr>
  </w:style>
  <w:style w:type="paragraph" w:customStyle="1" w:styleId="218">
    <w:name w:val="目录 (6)"/>
    <w:basedOn w:val="1"/>
    <w:link w:val="217"/>
    <w:qFormat/>
    <w:uiPriority w:val="0"/>
    <w:pPr>
      <w:shd w:val="clear" w:color="auto" w:fill="FFFFFF"/>
      <w:spacing w:line="478" w:lineRule="exact"/>
      <w:jc w:val="distribute"/>
    </w:pPr>
    <w:rPr>
      <w:rFonts w:ascii="MingLiU" w:hAnsi="MingLiU" w:eastAsia="MingLiU"/>
      <w:kern w:val="0"/>
      <w:sz w:val="23"/>
      <w:szCs w:val="23"/>
    </w:rPr>
  </w:style>
  <w:style w:type="character" w:customStyle="1" w:styleId="219">
    <w:name w:val="目录 (2) + 11.5 pt"/>
    <w:qFormat/>
    <w:uiPriority w:val="0"/>
    <w:rPr>
      <w:rFonts w:ascii="宋体" w:hAnsi="宋体" w:eastAsia="宋体" w:cs="MingLiU"/>
      <w:color w:val="000000"/>
      <w:spacing w:val="0"/>
      <w:w w:val="100"/>
      <w:position w:val="0"/>
      <w:sz w:val="23"/>
      <w:szCs w:val="23"/>
      <w:lang w:val="zh-TW" w:eastAsia="zh-TW" w:bidi="zh-TW"/>
    </w:rPr>
  </w:style>
  <w:style w:type="character" w:customStyle="1" w:styleId="220">
    <w:name w:val="目录 (7)_"/>
    <w:link w:val="221"/>
    <w:qFormat/>
    <w:uiPriority w:val="0"/>
    <w:rPr>
      <w:rFonts w:ascii="MingLiU" w:hAnsi="MingLiU" w:eastAsia="MingLiU" w:cs="MingLiU"/>
      <w:sz w:val="26"/>
      <w:szCs w:val="26"/>
      <w:shd w:val="clear" w:color="auto" w:fill="FFFFFF"/>
    </w:rPr>
  </w:style>
  <w:style w:type="paragraph" w:customStyle="1" w:styleId="221">
    <w:name w:val="目录 (7)"/>
    <w:basedOn w:val="1"/>
    <w:link w:val="220"/>
    <w:qFormat/>
    <w:uiPriority w:val="0"/>
    <w:pPr>
      <w:shd w:val="clear" w:color="auto" w:fill="FFFFFF"/>
      <w:spacing w:before="300" w:line="576" w:lineRule="exact"/>
      <w:ind w:hanging="520"/>
      <w:jc w:val="left"/>
    </w:pPr>
    <w:rPr>
      <w:rFonts w:ascii="MingLiU" w:hAnsi="MingLiU" w:eastAsia="MingLiU"/>
      <w:kern w:val="0"/>
      <w:sz w:val="26"/>
      <w:szCs w:val="26"/>
    </w:rPr>
  </w:style>
  <w:style w:type="character" w:customStyle="1" w:styleId="222">
    <w:name w:val="目录 (7) + 11.5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223">
    <w:name w:val="正文文本 (7)_"/>
    <w:qFormat/>
    <w:uiPriority w:val="0"/>
    <w:rPr>
      <w:rFonts w:ascii="MingLiU" w:hAnsi="MingLiU" w:eastAsia="MingLiU" w:cs="MingLiU"/>
      <w:u w:val="none"/>
    </w:rPr>
  </w:style>
  <w:style w:type="character" w:customStyle="1" w:styleId="224">
    <w:name w:val="正文文本 (9)_"/>
    <w:link w:val="225"/>
    <w:qFormat/>
    <w:uiPriority w:val="0"/>
    <w:rPr>
      <w:rFonts w:ascii="MingLiU" w:hAnsi="MingLiU" w:eastAsia="MingLiU" w:cs="MingLiU"/>
      <w:shd w:val="clear" w:color="auto" w:fill="FFFFFF"/>
    </w:rPr>
  </w:style>
  <w:style w:type="paragraph" w:customStyle="1" w:styleId="225">
    <w:name w:val="正文文本 (9)"/>
    <w:basedOn w:val="1"/>
    <w:link w:val="224"/>
    <w:qFormat/>
    <w:uiPriority w:val="0"/>
    <w:pPr>
      <w:shd w:val="clear" w:color="auto" w:fill="FFFFFF"/>
      <w:spacing w:before="600" w:line="451" w:lineRule="exact"/>
      <w:jc w:val="distribute"/>
    </w:pPr>
    <w:rPr>
      <w:rFonts w:ascii="MingLiU" w:hAnsi="MingLiU" w:eastAsia="MingLiU"/>
      <w:kern w:val="0"/>
      <w:sz w:val="20"/>
      <w:szCs w:val="20"/>
    </w:rPr>
  </w:style>
  <w:style w:type="character" w:customStyle="1" w:styleId="226">
    <w:name w:val="标题 #6_"/>
    <w:link w:val="227"/>
    <w:qFormat/>
    <w:uiPriority w:val="0"/>
    <w:rPr>
      <w:rFonts w:ascii="MingLiU" w:hAnsi="MingLiU" w:eastAsia="MingLiU" w:cs="MingLiU"/>
      <w:sz w:val="28"/>
      <w:szCs w:val="28"/>
      <w:shd w:val="clear" w:color="auto" w:fill="FFFFFF"/>
    </w:rPr>
  </w:style>
  <w:style w:type="paragraph" w:customStyle="1" w:styleId="227">
    <w:name w:val="标题 #6"/>
    <w:basedOn w:val="1"/>
    <w:link w:val="226"/>
    <w:qFormat/>
    <w:uiPriority w:val="0"/>
    <w:pPr>
      <w:shd w:val="clear" w:color="auto" w:fill="FFFFFF"/>
      <w:spacing w:before="720" w:after="420" w:line="0" w:lineRule="atLeast"/>
      <w:jc w:val="distribute"/>
      <w:outlineLvl w:val="5"/>
    </w:pPr>
    <w:rPr>
      <w:rFonts w:ascii="MingLiU" w:hAnsi="MingLiU" w:eastAsia="MingLiU"/>
      <w:kern w:val="0"/>
      <w:sz w:val="28"/>
      <w:szCs w:val="28"/>
    </w:rPr>
  </w:style>
  <w:style w:type="character" w:customStyle="1" w:styleId="228">
    <w:name w:val="正文文本 (14)_"/>
    <w:link w:val="229"/>
    <w:qFormat/>
    <w:uiPriority w:val="0"/>
    <w:rPr>
      <w:rFonts w:ascii="MingLiU" w:hAnsi="MingLiU" w:eastAsia="MingLiU" w:cs="MingLiU"/>
      <w:sz w:val="17"/>
      <w:szCs w:val="17"/>
      <w:shd w:val="clear" w:color="auto" w:fill="FFFFFF"/>
    </w:rPr>
  </w:style>
  <w:style w:type="paragraph" w:customStyle="1" w:styleId="229">
    <w:name w:val="正文文本 (14)"/>
    <w:basedOn w:val="1"/>
    <w:link w:val="228"/>
    <w:qFormat/>
    <w:uiPriority w:val="0"/>
    <w:pPr>
      <w:shd w:val="clear" w:color="auto" w:fill="FFFFFF"/>
      <w:spacing w:before="600" w:line="319" w:lineRule="exact"/>
      <w:jc w:val="distribute"/>
    </w:pPr>
    <w:rPr>
      <w:rFonts w:ascii="MingLiU" w:hAnsi="MingLiU" w:eastAsia="MingLiU"/>
      <w:kern w:val="0"/>
      <w:sz w:val="17"/>
      <w:szCs w:val="17"/>
    </w:rPr>
  </w:style>
  <w:style w:type="character" w:customStyle="1" w:styleId="230">
    <w:name w:val="正文文本 (14) Exact"/>
    <w:qFormat/>
    <w:uiPriority w:val="0"/>
    <w:rPr>
      <w:rFonts w:ascii="MingLiU" w:hAnsi="MingLiU" w:eastAsia="MingLiU" w:cs="MingLiU"/>
      <w:sz w:val="17"/>
      <w:szCs w:val="17"/>
      <w:u w:val="none"/>
    </w:rPr>
  </w:style>
  <w:style w:type="character" w:customStyle="1" w:styleId="231">
    <w:name w:val="正文文本 (2) + 间距 6 pt"/>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character" w:customStyle="1" w:styleId="232">
    <w:name w:val="目录 (2) + 间距 3 pt"/>
    <w:qFormat/>
    <w:uiPriority w:val="0"/>
    <w:rPr>
      <w:rFonts w:ascii="宋体" w:hAnsi="宋体" w:eastAsia="宋体" w:cs="MingLiU"/>
      <w:color w:val="000000"/>
      <w:spacing w:val="60"/>
      <w:w w:val="100"/>
      <w:position w:val="0"/>
      <w:szCs w:val="22"/>
      <w:u w:val="none"/>
      <w:lang w:val="zh-TW" w:eastAsia="zh-TW" w:bidi="zh-TW"/>
    </w:rPr>
  </w:style>
  <w:style w:type="character" w:customStyle="1" w:styleId="233">
    <w:name w:val="正文文本 (2) + 11.5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234">
    <w:name w:val="正文文本 (22)_"/>
    <w:link w:val="235"/>
    <w:qFormat/>
    <w:uiPriority w:val="0"/>
    <w:rPr>
      <w:rFonts w:ascii="MingLiU" w:hAnsi="MingLiU" w:eastAsia="MingLiU" w:cs="MingLiU"/>
      <w:spacing w:val="20"/>
      <w:sz w:val="26"/>
      <w:szCs w:val="26"/>
      <w:shd w:val="clear" w:color="auto" w:fill="FFFFFF"/>
      <w:lang w:eastAsia="en-US" w:bidi="en-US"/>
    </w:rPr>
  </w:style>
  <w:style w:type="paragraph" w:customStyle="1" w:styleId="235">
    <w:name w:val="正文文本 (22)"/>
    <w:basedOn w:val="1"/>
    <w:link w:val="234"/>
    <w:qFormat/>
    <w:uiPriority w:val="0"/>
    <w:pPr>
      <w:shd w:val="clear" w:color="auto" w:fill="FFFFFF"/>
      <w:spacing w:before="120" w:after="360" w:line="0" w:lineRule="atLeast"/>
    </w:pPr>
    <w:rPr>
      <w:rFonts w:ascii="MingLiU" w:hAnsi="MingLiU" w:eastAsia="MingLiU" w:cs="MingLiU"/>
      <w:spacing w:val="20"/>
      <w:kern w:val="0"/>
      <w:sz w:val="26"/>
      <w:szCs w:val="26"/>
      <w:lang w:eastAsia="en-US" w:bidi="en-US"/>
    </w:rPr>
  </w:style>
  <w:style w:type="character" w:customStyle="1" w:styleId="236">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237">
    <w:name w:val="标题 #7 + 间距 7 pt"/>
    <w:qFormat/>
    <w:uiPriority w:val="0"/>
    <w:rPr>
      <w:rFonts w:ascii="MingLiU" w:hAnsi="MingLiU" w:eastAsia="MingLiU" w:cs="MingLiU"/>
      <w:color w:val="000000"/>
      <w:spacing w:val="140"/>
      <w:w w:val="100"/>
      <w:position w:val="0"/>
      <w:sz w:val="28"/>
      <w:szCs w:val="28"/>
      <w:u w:val="none"/>
      <w:shd w:val="clear" w:color="auto" w:fill="FFFFFF"/>
      <w:lang w:val="zh-TW" w:eastAsia="zh-TW" w:bidi="zh-TW"/>
    </w:rPr>
  </w:style>
  <w:style w:type="character" w:customStyle="1" w:styleId="238">
    <w:name w:val="目录 (2) + 间距 5 pt"/>
    <w:qFormat/>
    <w:uiPriority w:val="0"/>
    <w:rPr>
      <w:rFonts w:ascii="宋体" w:hAnsi="宋体" w:eastAsia="宋体" w:cs="MingLiU"/>
      <w:color w:val="000000"/>
      <w:spacing w:val="100"/>
      <w:w w:val="100"/>
      <w:position w:val="0"/>
      <w:szCs w:val="22"/>
      <w:u w:val="none"/>
      <w:lang w:val="zh-TW" w:eastAsia="zh-TW" w:bidi="zh-TW"/>
    </w:rPr>
  </w:style>
  <w:style w:type="character" w:customStyle="1" w:styleId="239">
    <w:name w:val="正文文本 (23) Exact"/>
    <w:link w:val="240"/>
    <w:qFormat/>
    <w:uiPriority w:val="0"/>
    <w:rPr>
      <w:rFonts w:ascii="MingLiU" w:hAnsi="MingLiU" w:eastAsia="MingLiU" w:cs="MingLiU"/>
      <w:sz w:val="18"/>
      <w:szCs w:val="18"/>
      <w:shd w:val="clear" w:color="auto" w:fill="FFFFFF"/>
    </w:rPr>
  </w:style>
  <w:style w:type="paragraph" w:customStyle="1" w:styleId="240">
    <w:name w:val="正文文本 (23)"/>
    <w:basedOn w:val="1"/>
    <w:link w:val="239"/>
    <w:qFormat/>
    <w:uiPriority w:val="0"/>
    <w:pPr>
      <w:shd w:val="clear" w:color="auto" w:fill="FFFFFF"/>
      <w:spacing w:line="0" w:lineRule="atLeast"/>
      <w:jc w:val="left"/>
    </w:pPr>
    <w:rPr>
      <w:rFonts w:ascii="MingLiU" w:hAnsi="MingLiU" w:eastAsia="MingLiU"/>
      <w:kern w:val="0"/>
      <w:sz w:val="18"/>
      <w:szCs w:val="18"/>
    </w:rPr>
  </w:style>
  <w:style w:type="character" w:customStyle="1" w:styleId="241">
    <w:name w:val="正文文本 (24) Exact"/>
    <w:link w:val="242"/>
    <w:qFormat/>
    <w:uiPriority w:val="0"/>
    <w:rPr>
      <w:rFonts w:ascii="MingLiU" w:hAnsi="MingLiU" w:eastAsia="MingLiU" w:cs="MingLiU"/>
      <w:spacing w:val="-20"/>
      <w:sz w:val="17"/>
      <w:szCs w:val="17"/>
      <w:shd w:val="clear" w:color="auto" w:fill="FFFFFF"/>
    </w:rPr>
  </w:style>
  <w:style w:type="paragraph" w:customStyle="1" w:styleId="242">
    <w:name w:val="正文文本 (24)"/>
    <w:basedOn w:val="1"/>
    <w:link w:val="241"/>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43">
    <w:name w:val="正文文本 (26) Exact"/>
    <w:link w:val="244"/>
    <w:qFormat/>
    <w:uiPriority w:val="0"/>
    <w:rPr>
      <w:rFonts w:ascii="MingLiU" w:hAnsi="MingLiU" w:eastAsia="MingLiU" w:cs="MingLiU"/>
      <w:spacing w:val="-20"/>
      <w:sz w:val="17"/>
      <w:szCs w:val="17"/>
      <w:shd w:val="clear" w:color="auto" w:fill="FFFFFF"/>
    </w:rPr>
  </w:style>
  <w:style w:type="paragraph" w:customStyle="1" w:styleId="244">
    <w:name w:val="正文文本 (26)"/>
    <w:basedOn w:val="1"/>
    <w:link w:val="243"/>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45">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TW" w:eastAsia="zh-TW" w:bidi="zh-TW"/>
    </w:rPr>
  </w:style>
  <w:style w:type="character" w:customStyle="1" w:styleId="246">
    <w:name w:val="正文文本 (25)_"/>
    <w:link w:val="247"/>
    <w:qFormat/>
    <w:uiPriority w:val="0"/>
    <w:rPr>
      <w:rFonts w:ascii="MingLiU" w:hAnsi="MingLiU" w:eastAsia="MingLiU" w:cs="MingLiU"/>
      <w:sz w:val="22"/>
      <w:shd w:val="clear" w:color="auto" w:fill="FFFFFF"/>
    </w:rPr>
  </w:style>
  <w:style w:type="paragraph" w:customStyle="1" w:styleId="247">
    <w:name w:val="正文文本 (25)"/>
    <w:basedOn w:val="1"/>
    <w:link w:val="246"/>
    <w:qFormat/>
    <w:uiPriority w:val="0"/>
    <w:pPr>
      <w:shd w:val="clear" w:color="auto" w:fill="FFFFFF"/>
      <w:spacing w:after="120" w:line="0" w:lineRule="atLeast"/>
      <w:jc w:val="distribute"/>
    </w:pPr>
    <w:rPr>
      <w:rFonts w:ascii="MingLiU" w:hAnsi="MingLiU" w:eastAsia="MingLiU"/>
      <w:kern w:val="0"/>
      <w:sz w:val="22"/>
      <w:szCs w:val="20"/>
    </w:rPr>
  </w:style>
  <w:style w:type="character" w:customStyle="1" w:styleId="248">
    <w:name w:val="正文文本 (27) Exact"/>
    <w:link w:val="249"/>
    <w:qFormat/>
    <w:uiPriority w:val="0"/>
    <w:rPr>
      <w:rFonts w:ascii="MingLiU" w:hAnsi="MingLiU" w:eastAsia="MingLiU" w:cs="MingLiU"/>
      <w:spacing w:val="40"/>
      <w:sz w:val="36"/>
      <w:szCs w:val="36"/>
      <w:shd w:val="clear" w:color="auto" w:fill="FFFFFF"/>
    </w:rPr>
  </w:style>
  <w:style w:type="paragraph" w:customStyle="1" w:styleId="249">
    <w:name w:val="正文文本 (27)"/>
    <w:basedOn w:val="1"/>
    <w:link w:val="248"/>
    <w:qFormat/>
    <w:uiPriority w:val="0"/>
    <w:pPr>
      <w:shd w:val="clear" w:color="auto" w:fill="FFFFFF"/>
      <w:spacing w:line="0" w:lineRule="atLeast"/>
      <w:jc w:val="left"/>
    </w:pPr>
    <w:rPr>
      <w:rFonts w:ascii="MingLiU" w:hAnsi="MingLiU" w:eastAsia="MingLiU"/>
      <w:spacing w:val="40"/>
      <w:kern w:val="0"/>
      <w:sz w:val="36"/>
      <w:szCs w:val="36"/>
    </w:rPr>
  </w:style>
  <w:style w:type="character" w:customStyle="1" w:styleId="250">
    <w:name w:val="正文文本 (9) Exact"/>
    <w:qFormat/>
    <w:uiPriority w:val="0"/>
    <w:rPr>
      <w:rFonts w:ascii="MingLiU" w:hAnsi="MingLiU" w:eastAsia="MingLiU" w:cs="MingLiU"/>
      <w:u w:val="none"/>
    </w:rPr>
  </w:style>
  <w:style w:type="character" w:customStyle="1" w:styleId="251">
    <w:name w:val="页眉或页脚 + Times New Roman"/>
    <w:qFormat/>
    <w:uiPriority w:val="0"/>
    <w:rPr>
      <w:rFonts w:ascii="Times New Roman" w:hAnsi="Times New Roman" w:eastAsia="Times New Roman" w:cs="Times New Roman"/>
      <w:b/>
      <w:bCs/>
      <w:color w:val="000000"/>
      <w:spacing w:val="0"/>
      <w:w w:val="100"/>
      <w:position w:val="0"/>
      <w:sz w:val="17"/>
      <w:szCs w:val="17"/>
      <w:u w:val="none"/>
      <w:lang w:val="en-US" w:eastAsia="en-US" w:bidi="en-US"/>
    </w:rPr>
  </w:style>
  <w:style w:type="character" w:customStyle="1" w:styleId="252">
    <w:name w:val="正文文本 (2) + 5 pt"/>
    <w:qFormat/>
    <w:uiPriority w:val="0"/>
    <w:rPr>
      <w:rFonts w:ascii="MingLiU" w:hAnsi="MingLiU" w:eastAsia="MingLiU" w:cs="MingLiU"/>
      <w:color w:val="000000"/>
      <w:spacing w:val="140"/>
      <w:w w:val="100"/>
      <w:position w:val="0"/>
      <w:sz w:val="10"/>
      <w:szCs w:val="10"/>
      <w:u w:val="none"/>
      <w:shd w:val="clear" w:color="auto" w:fill="FFFFFF"/>
      <w:lang w:val="zh-TW" w:eastAsia="zh-TW" w:bidi="zh-TW"/>
    </w:rPr>
  </w:style>
  <w:style w:type="character" w:customStyle="1" w:styleId="253">
    <w:name w:val="正文文本 (7)"/>
    <w:qFormat/>
    <w:uiPriority w:val="0"/>
    <w:rPr>
      <w:rFonts w:ascii="MingLiU" w:hAnsi="MingLiU" w:eastAsia="MingLiU" w:cs="MingLiU"/>
      <w:color w:val="000000"/>
      <w:spacing w:val="0"/>
      <w:w w:val="100"/>
      <w:position w:val="0"/>
      <w:sz w:val="24"/>
      <w:szCs w:val="24"/>
      <w:u w:val="none"/>
      <w:lang w:val="zh-TW" w:eastAsia="zh-TW" w:bidi="zh-TW"/>
    </w:rPr>
  </w:style>
  <w:style w:type="character" w:customStyle="1" w:styleId="254">
    <w:name w:val="正文文本 (2) + 9.5 pt17"/>
    <w:basedOn w:val="58"/>
    <w:qFormat/>
    <w:uiPriority w:val="0"/>
    <w:rPr>
      <w:rFonts w:ascii="宋体" w:hAnsi="宋体" w:eastAsia="宋体" w:cs="宋体"/>
      <w:b/>
      <w:bCs/>
      <w:color w:val="000000"/>
      <w:spacing w:val="0"/>
      <w:w w:val="100"/>
      <w:position w:val="0"/>
      <w:sz w:val="19"/>
      <w:szCs w:val="19"/>
      <w:u w:val="none"/>
      <w:shd w:val="clear" w:color="auto" w:fill="FFFFFF"/>
      <w:lang w:val="zh-CN" w:eastAsia="zh-CN" w:bidi="zh-CN"/>
    </w:rPr>
  </w:style>
  <w:style w:type="character" w:customStyle="1" w:styleId="255">
    <w:name w:val="正文文本 (8) + Arial Narrow"/>
    <w:basedOn w:val="199"/>
    <w:qFormat/>
    <w:uiPriority w:val="0"/>
    <w:rPr>
      <w:rFonts w:ascii="Arial Narrow" w:hAnsi="Arial Narrow" w:eastAsia="Arial Narrow" w:cs="Arial Narrow"/>
      <w:b/>
      <w:bCs/>
      <w:color w:val="000000"/>
      <w:spacing w:val="0"/>
      <w:w w:val="100"/>
      <w:position w:val="0"/>
      <w:sz w:val="24"/>
      <w:szCs w:val="24"/>
      <w:u w:val="none"/>
      <w:shd w:val="clear" w:color="auto" w:fill="FFFFFF"/>
      <w:lang w:val="en-US" w:eastAsia="en-US" w:bidi="en-US"/>
    </w:rPr>
  </w:style>
  <w:style w:type="character" w:customStyle="1" w:styleId="256">
    <w:name w:val="纯文本 Char2"/>
    <w:basedOn w:val="45"/>
    <w:link w:val="21"/>
    <w:qFormat/>
    <w:uiPriority w:val="0"/>
    <w:rPr>
      <w:rFonts w:ascii="宋体" w:hAnsi="Courier New" w:cs="Courier New"/>
      <w:kern w:val="2"/>
      <w:sz w:val="21"/>
      <w:szCs w:val="21"/>
    </w:rPr>
  </w:style>
  <w:style w:type="character" w:customStyle="1" w:styleId="257">
    <w:name w:val="Char Char4"/>
    <w:semiHidden/>
    <w:qFormat/>
    <w:locked/>
    <w:uiPriority w:val="0"/>
    <w:rPr>
      <w:sz w:val="18"/>
      <w:szCs w:val="18"/>
      <w:lang w:bidi="ar-SA"/>
    </w:rPr>
  </w:style>
  <w:style w:type="character" w:customStyle="1" w:styleId="258">
    <w:name w:val="纯文本 Char1"/>
    <w:qFormat/>
    <w:locked/>
    <w:uiPriority w:val="0"/>
    <w:rPr>
      <w:rFonts w:ascii="宋体" w:hAnsi="Courier New" w:eastAsia="宋体" w:cs="宋体"/>
      <w:szCs w:val="21"/>
    </w:rPr>
  </w:style>
  <w:style w:type="paragraph" w:customStyle="1" w:styleId="259">
    <w:name w:val="_Style 254"/>
    <w:basedOn w:val="1"/>
    <w:next w:val="157"/>
    <w:qFormat/>
    <w:uiPriority w:val="34"/>
    <w:pPr>
      <w:ind w:firstLine="420" w:firstLineChars="200"/>
    </w:pPr>
    <w:rPr>
      <w:rFonts w:ascii="Calibri" w:hAnsi="Calibri"/>
    </w:rPr>
  </w:style>
  <w:style w:type="character" w:customStyle="1" w:styleId="260">
    <w:name w:val="页脚 Char"/>
    <w:qFormat/>
    <w:uiPriority w:val="0"/>
    <w:rPr>
      <w:sz w:val="18"/>
      <w:szCs w:val="18"/>
    </w:rPr>
  </w:style>
  <w:style w:type="character" w:customStyle="1" w:styleId="261">
    <w:name w:val="标题 5 Char"/>
    <w:qFormat/>
    <w:uiPriority w:val="0"/>
    <w:rPr>
      <w:bCs/>
      <w:kern w:val="2"/>
      <w:sz w:val="21"/>
      <w:szCs w:val="28"/>
    </w:rPr>
  </w:style>
  <w:style w:type="character" w:customStyle="1" w:styleId="262">
    <w:name w:val="标题 1 Char"/>
    <w:qFormat/>
    <w:uiPriority w:val="9"/>
    <w:rPr>
      <w:b/>
      <w:bCs/>
      <w:kern w:val="44"/>
      <w:sz w:val="44"/>
      <w:szCs w:val="44"/>
    </w:rPr>
  </w:style>
  <w:style w:type="character" w:customStyle="1" w:styleId="263">
    <w:name w:val="标题 2 Char"/>
    <w:qFormat/>
    <w:uiPriority w:val="9"/>
    <w:rPr>
      <w:rFonts w:ascii="Cambria" w:hAnsi="Cambria" w:eastAsia="宋体" w:cs="Times New Roman"/>
      <w:b/>
      <w:bCs/>
      <w:sz w:val="32"/>
      <w:szCs w:val="32"/>
    </w:rPr>
  </w:style>
  <w:style w:type="character" w:customStyle="1" w:styleId="264">
    <w:name w:val="纯文本 Char"/>
    <w:qFormat/>
    <w:locked/>
    <w:uiPriority w:val="0"/>
    <w:rPr>
      <w:rFonts w:ascii="宋体" w:hAnsi="Courier New" w:cs="Courier New"/>
      <w:kern w:val="2"/>
      <w:sz w:val="21"/>
      <w:szCs w:val="21"/>
    </w:rPr>
  </w:style>
  <w:style w:type="character" w:customStyle="1" w:styleId="265">
    <w:name w:val="批注框文本 Char"/>
    <w:qFormat/>
    <w:uiPriority w:val="0"/>
    <w:rPr>
      <w:sz w:val="18"/>
      <w:szCs w:val="18"/>
    </w:rPr>
  </w:style>
  <w:style w:type="character" w:customStyle="1" w:styleId="266">
    <w:name w:val="标题 6 Char"/>
    <w:qFormat/>
    <w:uiPriority w:val="0"/>
    <w:rPr>
      <w:rFonts w:ascii="Cambria" w:hAnsi="Cambria"/>
      <w:bCs/>
      <w:kern w:val="2"/>
      <w:sz w:val="21"/>
      <w:szCs w:val="24"/>
    </w:rPr>
  </w:style>
  <w:style w:type="character" w:customStyle="1" w:styleId="267">
    <w:name w:val="正文文本 Char"/>
    <w:qFormat/>
    <w:uiPriority w:val="0"/>
    <w:rPr>
      <w:rFonts w:ascii="Times New Roman" w:hAnsi="Times New Roman"/>
      <w:kern w:val="2"/>
      <w:sz w:val="28"/>
      <w:szCs w:val="24"/>
    </w:rPr>
  </w:style>
  <w:style w:type="character" w:customStyle="1" w:styleId="268">
    <w:name w:val="Char Char11"/>
    <w:link w:val="269"/>
    <w:qFormat/>
    <w:uiPriority w:val="0"/>
    <w:rPr>
      <w:rFonts w:ascii="宋体" w:hAnsi="宋体" w:cs="宋体"/>
      <w:kern w:val="2"/>
      <w:sz w:val="24"/>
      <w:szCs w:val="24"/>
    </w:rPr>
  </w:style>
  <w:style w:type="paragraph" w:customStyle="1" w:styleId="269">
    <w:name w:val="Char2"/>
    <w:basedOn w:val="1"/>
    <w:link w:val="268"/>
    <w:qFormat/>
    <w:uiPriority w:val="0"/>
    <w:pPr>
      <w:spacing w:line="360" w:lineRule="auto"/>
      <w:ind w:firstLine="200" w:firstLineChars="200"/>
    </w:pPr>
    <w:rPr>
      <w:rFonts w:ascii="宋体" w:hAnsi="宋体" w:cs="宋体"/>
      <w:sz w:val="24"/>
      <w:szCs w:val="24"/>
    </w:rPr>
  </w:style>
  <w:style w:type="character" w:customStyle="1" w:styleId="270">
    <w:name w:val="副标题 Char"/>
    <w:qFormat/>
    <w:uiPriority w:val="11"/>
    <w:rPr>
      <w:rFonts w:ascii="Cambria" w:hAnsi="Cambria" w:eastAsia="宋体" w:cs="Times New Roman"/>
      <w:b/>
      <w:bCs/>
      <w:kern w:val="28"/>
      <w:sz w:val="32"/>
      <w:szCs w:val="32"/>
    </w:rPr>
  </w:style>
  <w:style w:type="character" w:customStyle="1" w:styleId="271">
    <w:name w:val="Char Char14"/>
    <w:qFormat/>
    <w:locked/>
    <w:uiPriority w:val="0"/>
    <w:rPr>
      <w:rFonts w:ascii="Calibri" w:hAnsi="Calibri" w:eastAsia="宋体" w:cs="Calibri"/>
      <w:kern w:val="2"/>
      <w:sz w:val="18"/>
      <w:szCs w:val="18"/>
      <w:lang w:val="en-US" w:eastAsia="zh-CN" w:bidi="ar-SA"/>
    </w:rPr>
  </w:style>
  <w:style w:type="character" w:customStyle="1" w:styleId="272">
    <w:name w:val="标题 4 Char"/>
    <w:qFormat/>
    <w:uiPriority w:val="0"/>
    <w:rPr>
      <w:rFonts w:ascii="Cambria" w:hAnsi="Cambria" w:eastAsia="黑体"/>
      <w:bCs/>
      <w:kern w:val="2"/>
      <w:sz w:val="24"/>
      <w:szCs w:val="28"/>
    </w:rPr>
  </w:style>
  <w:style w:type="character" w:customStyle="1" w:styleId="273">
    <w:name w:val="正文首行缩进 Char1"/>
    <w:link w:val="42"/>
    <w:qFormat/>
    <w:uiPriority w:val="0"/>
    <w:rPr>
      <w:rFonts w:ascii="Times New Roman" w:hAnsi="Times New Roman"/>
      <w:kern w:val="2"/>
      <w:sz w:val="21"/>
      <w:szCs w:val="24"/>
    </w:rPr>
  </w:style>
  <w:style w:type="character" w:customStyle="1" w:styleId="274">
    <w:name w:val="脚注文本 Char"/>
    <w:qFormat/>
    <w:uiPriority w:val="0"/>
    <w:rPr>
      <w:sz w:val="18"/>
      <w:szCs w:val="18"/>
    </w:rPr>
  </w:style>
  <w:style w:type="character" w:customStyle="1" w:styleId="275">
    <w:name w:val="标题 3 Char"/>
    <w:qFormat/>
    <w:uiPriority w:val="9"/>
    <w:rPr>
      <w:b/>
      <w:bCs/>
      <w:sz w:val="32"/>
      <w:szCs w:val="32"/>
    </w:rPr>
  </w:style>
  <w:style w:type="character" w:customStyle="1" w:styleId="276">
    <w:name w:val="页眉 Char"/>
    <w:qFormat/>
    <w:uiPriority w:val="99"/>
    <w:rPr>
      <w:sz w:val="18"/>
      <w:szCs w:val="18"/>
    </w:rPr>
  </w:style>
  <w:style w:type="paragraph" w:customStyle="1" w:styleId="277">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8">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9">
    <w:name w:val="Char Char Char Char Char Char Char1"/>
    <w:basedOn w:val="13"/>
    <w:qFormat/>
    <w:uiPriority w:val="0"/>
    <w:rPr>
      <w:rFonts w:ascii="Tahoma" w:hAnsi="Tahoma"/>
      <w:sz w:val="24"/>
    </w:rPr>
  </w:style>
  <w:style w:type="paragraph" w:customStyle="1" w:styleId="280">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8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82">
    <w:name w:val="Char Char1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83">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284">
    <w:name w:val="1 Char"/>
    <w:basedOn w:val="1"/>
    <w:qFormat/>
    <w:uiPriority w:val="0"/>
    <w:pPr>
      <w:spacing w:line="360" w:lineRule="auto"/>
      <w:ind w:firstLine="200" w:firstLineChars="200"/>
    </w:pPr>
    <w:rPr>
      <w:rFonts w:ascii="宋体" w:hAnsi="宋体" w:cs="宋体"/>
      <w:sz w:val="24"/>
      <w:szCs w:val="24"/>
    </w:rPr>
  </w:style>
  <w:style w:type="paragraph" w:customStyle="1" w:styleId="285">
    <w:name w:val="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86">
    <w:name w:val="列表段落1"/>
    <w:basedOn w:val="1"/>
    <w:qFormat/>
    <w:uiPriority w:val="0"/>
    <w:pPr>
      <w:ind w:firstLine="420" w:firstLineChars="200"/>
    </w:pPr>
    <w:rPr>
      <w:rFonts w:ascii="Calibri" w:hAnsi="Calibri"/>
    </w:rPr>
  </w:style>
  <w:style w:type="table" w:customStyle="1" w:styleId="287">
    <w:name w:val="网格型1"/>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8">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289">
    <w:name w:val="Char2 Char Char1"/>
    <w:qFormat/>
    <w:uiPriority w:val="0"/>
    <w:rPr>
      <w:sz w:val="18"/>
      <w:szCs w:val="18"/>
    </w:rPr>
  </w:style>
  <w:style w:type="character" w:customStyle="1" w:styleId="290">
    <w:name w:val="Char Char25"/>
    <w:qFormat/>
    <w:uiPriority w:val="0"/>
    <w:rPr>
      <w:b/>
      <w:bCs/>
      <w:kern w:val="44"/>
      <w:sz w:val="44"/>
      <w:szCs w:val="44"/>
    </w:rPr>
  </w:style>
  <w:style w:type="character" w:customStyle="1" w:styleId="291">
    <w:name w:val="Char Char24"/>
    <w:qFormat/>
    <w:uiPriority w:val="0"/>
    <w:rPr>
      <w:rFonts w:ascii="Cambria" w:hAnsi="Cambria" w:eastAsia="宋体" w:cs="Times New Roman"/>
      <w:b/>
      <w:bCs/>
      <w:sz w:val="32"/>
      <w:szCs w:val="32"/>
    </w:rPr>
  </w:style>
  <w:style w:type="character" w:customStyle="1" w:styleId="292">
    <w:name w:val="Char Char23"/>
    <w:qFormat/>
    <w:uiPriority w:val="0"/>
    <w:rPr>
      <w:b/>
      <w:bCs/>
      <w:sz w:val="32"/>
      <w:szCs w:val="32"/>
    </w:rPr>
  </w:style>
  <w:style w:type="character" w:customStyle="1" w:styleId="293">
    <w:name w:val="Char Char22"/>
    <w:qFormat/>
    <w:uiPriority w:val="0"/>
    <w:rPr>
      <w:rFonts w:ascii="Cambria" w:hAnsi="Cambria" w:eastAsia="黑体"/>
      <w:bCs/>
      <w:kern w:val="2"/>
      <w:sz w:val="24"/>
      <w:szCs w:val="28"/>
      <w:lang w:val="en-US" w:eastAsia="zh-CN" w:bidi="ar-SA"/>
    </w:rPr>
  </w:style>
  <w:style w:type="character" w:customStyle="1" w:styleId="294">
    <w:name w:val="Char Char21"/>
    <w:qFormat/>
    <w:uiPriority w:val="0"/>
    <w:rPr>
      <w:rFonts w:ascii="Calibri" w:hAnsi="Calibri" w:eastAsia="宋体"/>
      <w:bCs/>
      <w:kern w:val="2"/>
      <w:sz w:val="21"/>
      <w:szCs w:val="28"/>
      <w:lang w:val="en-US" w:eastAsia="zh-CN" w:bidi="ar-SA"/>
    </w:rPr>
  </w:style>
  <w:style w:type="character" w:customStyle="1" w:styleId="295">
    <w:name w:val="Char Char20"/>
    <w:qFormat/>
    <w:uiPriority w:val="0"/>
    <w:rPr>
      <w:rFonts w:ascii="Cambria" w:hAnsi="Cambria" w:eastAsia="宋体"/>
      <w:bCs/>
      <w:kern w:val="2"/>
      <w:sz w:val="21"/>
      <w:szCs w:val="24"/>
      <w:lang w:val="en-US" w:eastAsia="zh-CN" w:bidi="ar-SA"/>
    </w:rPr>
  </w:style>
  <w:style w:type="character" w:customStyle="1" w:styleId="296">
    <w:name w:val="Char Char16"/>
    <w:semiHidden/>
    <w:qFormat/>
    <w:uiPriority w:val="0"/>
    <w:rPr>
      <w:sz w:val="18"/>
      <w:szCs w:val="18"/>
    </w:rPr>
  </w:style>
  <w:style w:type="character" w:customStyle="1" w:styleId="297">
    <w:name w:val="Char Char15"/>
    <w:semiHidden/>
    <w:qFormat/>
    <w:uiPriority w:val="0"/>
    <w:rPr>
      <w:sz w:val="18"/>
      <w:szCs w:val="18"/>
    </w:rPr>
  </w:style>
  <w:style w:type="character" w:customStyle="1" w:styleId="298">
    <w:name w:val="Char Char13"/>
    <w:semiHidden/>
    <w:qFormat/>
    <w:uiPriority w:val="0"/>
    <w:rPr>
      <w:sz w:val="18"/>
      <w:szCs w:val="18"/>
    </w:rPr>
  </w:style>
  <w:style w:type="character" w:customStyle="1" w:styleId="299">
    <w:name w:val="Char Char12"/>
    <w:qFormat/>
    <w:uiPriority w:val="0"/>
    <w:rPr>
      <w:rFonts w:ascii="Cambria" w:hAnsi="Cambria" w:eastAsia="宋体" w:cs="Times New Roman"/>
      <w:b/>
      <w:bCs/>
      <w:kern w:val="28"/>
      <w:sz w:val="32"/>
      <w:szCs w:val="32"/>
    </w:rPr>
  </w:style>
  <w:style w:type="character" w:customStyle="1" w:styleId="300">
    <w:name w:val="标题 7 Char1"/>
    <w:link w:val="8"/>
    <w:qFormat/>
    <w:uiPriority w:val="0"/>
    <w:rPr>
      <w:bCs/>
      <w:sz w:val="24"/>
      <w:szCs w:val="24"/>
    </w:rPr>
  </w:style>
  <w:style w:type="character" w:customStyle="1" w:styleId="301">
    <w:name w:val="标题 8 Char1"/>
    <w:link w:val="9"/>
    <w:qFormat/>
    <w:uiPriority w:val="0"/>
    <w:rPr>
      <w:rFonts w:ascii="Arial" w:hAnsi="Arial" w:eastAsia="黑体"/>
      <w:b/>
      <w:sz w:val="24"/>
      <w:szCs w:val="24"/>
    </w:rPr>
  </w:style>
  <w:style w:type="character" w:customStyle="1" w:styleId="302">
    <w:name w:val="标题 9 Char1"/>
    <w:link w:val="10"/>
    <w:qFormat/>
    <w:uiPriority w:val="0"/>
    <w:rPr>
      <w:rFonts w:ascii="Arial" w:hAnsi="Arial" w:eastAsia="黑体"/>
      <w:b/>
      <w:sz w:val="21"/>
      <w:szCs w:val="21"/>
    </w:rPr>
  </w:style>
  <w:style w:type="character" w:customStyle="1" w:styleId="303">
    <w:name w:val="批注文字 Char1"/>
    <w:link w:val="15"/>
    <w:qFormat/>
    <w:uiPriority w:val="0"/>
    <w:rPr>
      <w:kern w:val="2"/>
      <w:sz w:val="21"/>
      <w:szCs w:val="22"/>
    </w:r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5">
    <w:name w:val="未处理的提及1"/>
    <w:semiHidden/>
    <w:unhideWhenUsed/>
    <w:qFormat/>
    <w:uiPriority w:val="99"/>
    <w:rPr>
      <w:color w:val="808080"/>
      <w:shd w:val="clear" w:color="auto" w:fill="E6E6E6"/>
    </w:rPr>
  </w:style>
  <w:style w:type="character" w:customStyle="1" w:styleId="306">
    <w:name w:val="标题 #6 (3)_"/>
    <w:link w:val="307"/>
    <w:qFormat/>
    <w:uiPriority w:val="0"/>
    <w:rPr>
      <w:rFonts w:ascii="宋体" w:hAnsi="宋体" w:cs="宋体"/>
      <w:sz w:val="26"/>
      <w:szCs w:val="26"/>
      <w:shd w:val="clear" w:color="auto" w:fill="FFFFFF"/>
    </w:rPr>
  </w:style>
  <w:style w:type="paragraph" w:customStyle="1" w:styleId="307">
    <w:name w:val="标题 #6 (3)"/>
    <w:basedOn w:val="1"/>
    <w:link w:val="306"/>
    <w:qFormat/>
    <w:uiPriority w:val="0"/>
    <w:pPr>
      <w:shd w:val="clear" w:color="auto" w:fill="FFFFFF"/>
      <w:spacing w:after="960" w:line="0" w:lineRule="atLeast"/>
      <w:jc w:val="left"/>
      <w:outlineLvl w:val="5"/>
    </w:pPr>
    <w:rPr>
      <w:rFonts w:ascii="宋体" w:hAnsi="宋体" w:cs="宋体"/>
      <w:kern w:val="0"/>
      <w:sz w:val="26"/>
      <w:szCs w:val="26"/>
    </w:rPr>
  </w:style>
  <w:style w:type="character" w:customStyle="1" w:styleId="308">
    <w:name w:val="正文文本 (19)_"/>
    <w:link w:val="309"/>
    <w:qFormat/>
    <w:uiPriority w:val="0"/>
    <w:rPr>
      <w:rFonts w:ascii="宋体" w:hAnsi="宋体" w:cs="宋体"/>
      <w:b/>
      <w:bCs/>
      <w:sz w:val="23"/>
      <w:szCs w:val="23"/>
      <w:shd w:val="clear" w:color="auto" w:fill="FFFFFF"/>
    </w:rPr>
  </w:style>
  <w:style w:type="paragraph" w:customStyle="1" w:styleId="309">
    <w:name w:val="正文文本 (19)"/>
    <w:basedOn w:val="1"/>
    <w:link w:val="308"/>
    <w:qFormat/>
    <w:uiPriority w:val="0"/>
    <w:pPr>
      <w:shd w:val="clear" w:color="auto" w:fill="FFFFFF"/>
      <w:spacing w:line="559" w:lineRule="exact"/>
      <w:jc w:val="left"/>
    </w:pPr>
    <w:rPr>
      <w:rFonts w:ascii="宋体" w:hAnsi="宋体" w:cs="宋体"/>
      <w:b/>
      <w:bCs/>
      <w:kern w:val="0"/>
      <w:sz w:val="23"/>
      <w:szCs w:val="23"/>
    </w:rPr>
  </w:style>
  <w:style w:type="character" w:customStyle="1" w:styleId="310">
    <w:name w:val="标题 #7 + 11 pt"/>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311">
    <w:name w:val="标题 #6 (3) + 间距 1 pt"/>
    <w:qFormat/>
    <w:uiPriority w:val="0"/>
    <w:rPr>
      <w:rFonts w:ascii="宋体" w:hAnsi="宋体" w:eastAsia="宋体" w:cs="宋体"/>
      <w:color w:val="000000"/>
      <w:spacing w:val="30"/>
      <w:w w:val="100"/>
      <w:position w:val="0"/>
      <w:sz w:val="26"/>
      <w:szCs w:val="26"/>
      <w:u w:val="none"/>
      <w:lang w:val="zh-TW" w:eastAsia="zh-TW" w:bidi="zh-TW"/>
    </w:rPr>
  </w:style>
  <w:style w:type="character" w:customStyle="1" w:styleId="312">
    <w:name w:val="正文文本 (2) + 间距 -1 pt"/>
    <w:qFormat/>
    <w:uiPriority w:val="0"/>
    <w:rPr>
      <w:rFonts w:ascii="宋体" w:hAnsi="宋体" w:eastAsia="宋体" w:cs="宋体"/>
      <w:color w:val="000000"/>
      <w:spacing w:val="-20"/>
      <w:w w:val="100"/>
      <w:position w:val="0"/>
      <w:sz w:val="22"/>
      <w:szCs w:val="22"/>
      <w:u w:val="none"/>
      <w:shd w:val="clear" w:color="auto" w:fill="FFFFFF"/>
      <w:lang w:val="en-US" w:eastAsia="en-US" w:bidi="en-US"/>
    </w:rPr>
  </w:style>
  <w:style w:type="character" w:customStyle="1" w:styleId="313">
    <w:name w:val="正文文本 (26)_"/>
    <w:qFormat/>
    <w:uiPriority w:val="0"/>
    <w:rPr>
      <w:rFonts w:ascii="Times New Roman" w:hAnsi="Times New Roman" w:eastAsia="Times New Roman"/>
      <w:shd w:val="clear" w:color="auto" w:fill="FFFFFF"/>
      <w:lang w:eastAsia="en-US" w:bidi="en-US"/>
    </w:rPr>
  </w:style>
  <w:style w:type="character" w:customStyle="1" w:styleId="314">
    <w:name w:val="正文文本 (27)_"/>
    <w:qFormat/>
    <w:uiPriority w:val="0"/>
    <w:rPr>
      <w:rFonts w:ascii="Times New Roman" w:hAnsi="Times New Roman" w:eastAsia="Times New Roman"/>
      <w:shd w:val="clear" w:color="auto" w:fill="FFFFFF"/>
      <w:lang w:eastAsia="en-US" w:bidi="en-US"/>
    </w:rPr>
  </w:style>
  <w:style w:type="character" w:customStyle="1" w:styleId="315">
    <w:name w:val="正文文本首行缩进 字符"/>
    <w:basedOn w:val="192"/>
    <w:semiHidden/>
    <w:qFormat/>
    <w:uiPriority w:val="99"/>
    <w:rPr>
      <w:kern w:val="2"/>
      <w:sz w:val="21"/>
      <w:szCs w:val="22"/>
    </w:rPr>
  </w:style>
  <w:style w:type="paragraph" w:customStyle="1" w:styleId="316">
    <w:name w:val="_Style 314"/>
    <w:basedOn w:val="1"/>
    <w:next w:val="157"/>
    <w:link w:val="320"/>
    <w:qFormat/>
    <w:uiPriority w:val="0"/>
    <w:pPr>
      <w:ind w:firstLine="420" w:firstLineChars="200"/>
    </w:pPr>
    <w:rPr>
      <w:szCs w:val="24"/>
    </w:rPr>
  </w:style>
  <w:style w:type="character" w:customStyle="1" w:styleId="317">
    <w:name w:val="Char Char111"/>
    <w:link w:val="318"/>
    <w:qFormat/>
    <w:uiPriority w:val="0"/>
    <w:rPr>
      <w:rFonts w:ascii="宋体" w:hAnsi="宋体" w:cs="宋体"/>
      <w:kern w:val="2"/>
      <w:sz w:val="24"/>
      <w:szCs w:val="24"/>
    </w:rPr>
  </w:style>
  <w:style w:type="paragraph" w:customStyle="1" w:styleId="318">
    <w:name w:val="Char3"/>
    <w:basedOn w:val="1"/>
    <w:link w:val="317"/>
    <w:qFormat/>
    <w:uiPriority w:val="0"/>
    <w:pPr>
      <w:spacing w:line="360" w:lineRule="auto"/>
      <w:ind w:firstLine="200" w:firstLineChars="200"/>
    </w:pPr>
    <w:rPr>
      <w:rFonts w:ascii="宋体" w:hAnsi="宋体" w:cs="宋体"/>
      <w:sz w:val="24"/>
      <w:szCs w:val="24"/>
    </w:rPr>
  </w:style>
  <w:style w:type="character" w:customStyle="1" w:styleId="319">
    <w:name w:val="Char Char141"/>
    <w:qFormat/>
    <w:locked/>
    <w:uiPriority w:val="0"/>
    <w:rPr>
      <w:rFonts w:ascii="Calibri" w:hAnsi="Calibri" w:eastAsia="宋体" w:cs="Calibri"/>
      <w:kern w:val="2"/>
      <w:sz w:val="18"/>
      <w:szCs w:val="18"/>
      <w:lang w:val="en-US" w:eastAsia="zh-CN" w:bidi="ar-SA"/>
    </w:rPr>
  </w:style>
  <w:style w:type="character" w:customStyle="1" w:styleId="320">
    <w:name w:val="正文首行缩进 Char"/>
    <w:link w:val="316"/>
    <w:qFormat/>
    <w:uiPriority w:val="0"/>
    <w:rPr>
      <w:kern w:val="2"/>
      <w:sz w:val="21"/>
      <w:szCs w:val="24"/>
    </w:rPr>
  </w:style>
  <w:style w:type="paragraph" w:customStyle="1" w:styleId="321">
    <w:name w:val="Char Char Char Char Char Char Char2"/>
    <w:basedOn w:val="13"/>
    <w:qFormat/>
    <w:uiPriority w:val="0"/>
    <w:rPr>
      <w:rFonts w:ascii="Tahoma" w:hAnsi="Tahoma"/>
      <w:sz w:val="24"/>
    </w:rPr>
  </w:style>
  <w:style w:type="paragraph" w:customStyle="1" w:styleId="322">
    <w:name w:val="Char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323">
    <w:name w:val="Char Char1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24">
    <w:name w:val="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25">
    <w:name w:val="列表段落2"/>
    <w:basedOn w:val="1"/>
    <w:qFormat/>
    <w:uiPriority w:val="0"/>
    <w:pPr>
      <w:ind w:firstLine="420" w:firstLineChars="200"/>
    </w:pPr>
    <w:rPr>
      <w:rFonts w:ascii="Calibri" w:hAnsi="Calibri"/>
    </w:rPr>
  </w:style>
  <w:style w:type="table" w:customStyle="1" w:styleId="326">
    <w:name w:val="网格型2"/>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7">
    <w:name w:val="Char Char251"/>
    <w:qFormat/>
    <w:uiPriority w:val="0"/>
    <w:rPr>
      <w:b/>
      <w:bCs/>
      <w:kern w:val="44"/>
      <w:sz w:val="44"/>
      <w:szCs w:val="44"/>
    </w:rPr>
  </w:style>
  <w:style w:type="character" w:customStyle="1" w:styleId="328">
    <w:name w:val="Char Char241"/>
    <w:qFormat/>
    <w:uiPriority w:val="0"/>
    <w:rPr>
      <w:rFonts w:ascii="Cambria" w:hAnsi="Cambria" w:eastAsia="宋体" w:cs="Times New Roman"/>
      <w:b/>
      <w:bCs/>
      <w:sz w:val="32"/>
      <w:szCs w:val="32"/>
    </w:rPr>
  </w:style>
  <w:style w:type="character" w:customStyle="1" w:styleId="329">
    <w:name w:val="Char Char231"/>
    <w:qFormat/>
    <w:uiPriority w:val="0"/>
    <w:rPr>
      <w:b/>
      <w:bCs/>
      <w:sz w:val="32"/>
      <w:szCs w:val="32"/>
    </w:rPr>
  </w:style>
  <w:style w:type="character" w:customStyle="1" w:styleId="330">
    <w:name w:val="Char Char221"/>
    <w:qFormat/>
    <w:uiPriority w:val="0"/>
    <w:rPr>
      <w:rFonts w:ascii="Cambria" w:hAnsi="Cambria" w:eastAsia="黑体"/>
      <w:bCs/>
      <w:kern w:val="2"/>
      <w:sz w:val="24"/>
      <w:szCs w:val="28"/>
      <w:lang w:val="en-US" w:eastAsia="zh-CN" w:bidi="ar-SA"/>
    </w:rPr>
  </w:style>
  <w:style w:type="character" w:customStyle="1" w:styleId="331">
    <w:name w:val="Char Char211"/>
    <w:qFormat/>
    <w:uiPriority w:val="0"/>
    <w:rPr>
      <w:rFonts w:ascii="Calibri" w:hAnsi="Calibri" w:eastAsia="宋体"/>
      <w:bCs/>
      <w:kern w:val="2"/>
      <w:sz w:val="21"/>
      <w:szCs w:val="28"/>
      <w:lang w:val="en-US" w:eastAsia="zh-CN" w:bidi="ar-SA"/>
    </w:rPr>
  </w:style>
  <w:style w:type="character" w:customStyle="1" w:styleId="332">
    <w:name w:val="Char Char201"/>
    <w:qFormat/>
    <w:uiPriority w:val="0"/>
    <w:rPr>
      <w:rFonts w:ascii="Cambria" w:hAnsi="Cambria" w:eastAsia="宋体"/>
      <w:bCs/>
      <w:kern w:val="2"/>
      <w:sz w:val="21"/>
      <w:szCs w:val="24"/>
      <w:lang w:val="en-US" w:eastAsia="zh-CN" w:bidi="ar-SA"/>
    </w:rPr>
  </w:style>
  <w:style w:type="character" w:customStyle="1" w:styleId="333">
    <w:name w:val="Char Char161"/>
    <w:semiHidden/>
    <w:qFormat/>
    <w:uiPriority w:val="0"/>
    <w:rPr>
      <w:sz w:val="18"/>
      <w:szCs w:val="18"/>
    </w:rPr>
  </w:style>
  <w:style w:type="character" w:customStyle="1" w:styleId="334">
    <w:name w:val="Char Char151"/>
    <w:semiHidden/>
    <w:qFormat/>
    <w:uiPriority w:val="0"/>
    <w:rPr>
      <w:sz w:val="18"/>
      <w:szCs w:val="18"/>
    </w:rPr>
  </w:style>
  <w:style w:type="character" w:customStyle="1" w:styleId="335">
    <w:name w:val="Char Char131"/>
    <w:semiHidden/>
    <w:qFormat/>
    <w:uiPriority w:val="0"/>
    <w:rPr>
      <w:sz w:val="18"/>
      <w:szCs w:val="18"/>
    </w:rPr>
  </w:style>
  <w:style w:type="character" w:customStyle="1" w:styleId="336">
    <w:name w:val="Char Char121"/>
    <w:qFormat/>
    <w:uiPriority w:val="0"/>
    <w:rPr>
      <w:rFonts w:ascii="Cambria" w:hAnsi="Cambria" w:eastAsia="宋体" w:cs="Times New Roman"/>
      <w:b/>
      <w:bCs/>
      <w:kern w:val="28"/>
      <w:sz w:val="32"/>
      <w:szCs w:val="32"/>
    </w:rPr>
  </w:style>
  <w:style w:type="character" w:customStyle="1" w:styleId="337">
    <w:name w:val="标题 7 Char"/>
    <w:qFormat/>
    <w:uiPriority w:val="0"/>
    <w:rPr>
      <w:rFonts w:ascii="Times New Roman" w:hAnsi="Times New Roman"/>
      <w:bCs/>
      <w:sz w:val="24"/>
      <w:szCs w:val="24"/>
    </w:rPr>
  </w:style>
  <w:style w:type="character" w:customStyle="1" w:styleId="338">
    <w:name w:val="标题 8 Char"/>
    <w:qFormat/>
    <w:uiPriority w:val="0"/>
    <w:rPr>
      <w:rFonts w:ascii="Arial" w:hAnsi="Arial" w:eastAsia="黑体"/>
      <w:b/>
      <w:sz w:val="24"/>
      <w:szCs w:val="24"/>
    </w:rPr>
  </w:style>
  <w:style w:type="character" w:customStyle="1" w:styleId="339">
    <w:name w:val="标题 9 Char"/>
    <w:qFormat/>
    <w:uiPriority w:val="0"/>
    <w:rPr>
      <w:rFonts w:ascii="Arial" w:hAnsi="Arial" w:eastAsia="黑体"/>
      <w:b/>
      <w:sz w:val="21"/>
      <w:szCs w:val="21"/>
    </w:rPr>
  </w:style>
  <w:style w:type="character" w:customStyle="1" w:styleId="340">
    <w:name w:val="批注文字 Char"/>
    <w:qFormat/>
    <w:uiPriority w:val="0"/>
    <w:rPr>
      <w:kern w:val="2"/>
      <w:sz w:val="21"/>
      <w:szCs w:val="22"/>
    </w:rPr>
  </w:style>
  <w:style w:type="paragraph" w:customStyle="1" w:styleId="341">
    <w:name w:val="_Style 33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2">
    <w:name w:val="Char Char112"/>
    <w:link w:val="343"/>
    <w:qFormat/>
    <w:uiPriority w:val="0"/>
    <w:rPr>
      <w:rFonts w:ascii="宋体" w:hAnsi="宋体" w:cs="宋体"/>
      <w:kern w:val="2"/>
      <w:sz w:val="24"/>
      <w:szCs w:val="24"/>
    </w:rPr>
  </w:style>
  <w:style w:type="paragraph" w:customStyle="1" w:styleId="343">
    <w:name w:val="Char4"/>
    <w:basedOn w:val="1"/>
    <w:link w:val="342"/>
    <w:qFormat/>
    <w:uiPriority w:val="0"/>
    <w:pPr>
      <w:spacing w:line="360" w:lineRule="auto"/>
      <w:ind w:firstLine="200" w:firstLineChars="200"/>
    </w:pPr>
    <w:rPr>
      <w:rFonts w:ascii="宋体" w:hAnsi="宋体" w:cs="宋体"/>
      <w:sz w:val="24"/>
      <w:szCs w:val="24"/>
    </w:rPr>
  </w:style>
  <w:style w:type="character" w:customStyle="1" w:styleId="344">
    <w:name w:val="Char Char142"/>
    <w:qFormat/>
    <w:locked/>
    <w:uiPriority w:val="0"/>
    <w:rPr>
      <w:rFonts w:ascii="Calibri" w:hAnsi="Calibri" w:eastAsia="宋体" w:cs="Calibri"/>
      <w:kern w:val="2"/>
      <w:sz w:val="18"/>
      <w:szCs w:val="18"/>
      <w:lang w:val="en-US" w:eastAsia="zh-CN" w:bidi="ar-SA"/>
    </w:rPr>
  </w:style>
  <w:style w:type="paragraph" w:customStyle="1" w:styleId="345">
    <w:name w:val="Char Char Char Char Char Char Char3"/>
    <w:basedOn w:val="13"/>
    <w:qFormat/>
    <w:uiPriority w:val="0"/>
    <w:rPr>
      <w:rFonts w:ascii="Tahoma" w:hAnsi="Tahoma"/>
      <w:sz w:val="24"/>
    </w:rPr>
  </w:style>
  <w:style w:type="paragraph" w:customStyle="1" w:styleId="346">
    <w:name w:val="Char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47">
    <w:name w:val="Char Char1 Char Char Char Char Char Char Char Char Char Char Char Char3"/>
    <w:basedOn w:val="1"/>
    <w:qFormat/>
    <w:uiPriority w:val="0"/>
    <w:pPr>
      <w:spacing w:line="360" w:lineRule="auto"/>
      <w:ind w:firstLine="200" w:firstLineChars="200"/>
    </w:pPr>
    <w:rPr>
      <w:rFonts w:ascii="宋体" w:hAnsi="宋体" w:cs="宋体"/>
      <w:sz w:val="24"/>
      <w:szCs w:val="24"/>
    </w:rPr>
  </w:style>
  <w:style w:type="paragraph" w:customStyle="1" w:styleId="348">
    <w:name w:val="Char Char Char Char Char Char Char Char Char Char3"/>
    <w:basedOn w:val="1"/>
    <w:qFormat/>
    <w:uiPriority w:val="0"/>
    <w:pPr>
      <w:spacing w:line="360" w:lineRule="auto"/>
      <w:ind w:firstLine="200" w:firstLineChars="200"/>
    </w:pPr>
    <w:rPr>
      <w:rFonts w:ascii="宋体" w:hAnsi="宋体" w:cs="宋体"/>
      <w:sz w:val="24"/>
      <w:szCs w:val="24"/>
    </w:rPr>
  </w:style>
  <w:style w:type="paragraph" w:customStyle="1" w:styleId="349">
    <w:name w:val="列出段落1"/>
    <w:basedOn w:val="1"/>
    <w:qFormat/>
    <w:uiPriority w:val="0"/>
    <w:pPr>
      <w:ind w:firstLine="420" w:firstLineChars="200"/>
    </w:pPr>
    <w:rPr>
      <w:rFonts w:ascii="Calibri" w:hAnsi="Calibri"/>
    </w:rPr>
  </w:style>
  <w:style w:type="table" w:customStyle="1" w:styleId="350">
    <w:name w:val="网格型3"/>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1">
    <w:name w:val="Char Char252"/>
    <w:qFormat/>
    <w:uiPriority w:val="0"/>
    <w:rPr>
      <w:b/>
      <w:bCs/>
      <w:kern w:val="44"/>
      <w:sz w:val="44"/>
      <w:szCs w:val="44"/>
    </w:rPr>
  </w:style>
  <w:style w:type="character" w:customStyle="1" w:styleId="352">
    <w:name w:val="Char Char242"/>
    <w:qFormat/>
    <w:uiPriority w:val="0"/>
    <w:rPr>
      <w:rFonts w:ascii="Cambria" w:hAnsi="Cambria" w:eastAsia="宋体" w:cs="Times New Roman"/>
      <w:b/>
      <w:bCs/>
      <w:sz w:val="32"/>
      <w:szCs w:val="32"/>
    </w:rPr>
  </w:style>
  <w:style w:type="character" w:customStyle="1" w:styleId="353">
    <w:name w:val="Char Char232"/>
    <w:qFormat/>
    <w:uiPriority w:val="0"/>
    <w:rPr>
      <w:b/>
      <w:bCs/>
      <w:sz w:val="32"/>
      <w:szCs w:val="32"/>
    </w:rPr>
  </w:style>
  <w:style w:type="character" w:customStyle="1" w:styleId="354">
    <w:name w:val="Char Char222"/>
    <w:qFormat/>
    <w:uiPriority w:val="0"/>
    <w:rPr>
      <w:rFonts w:ascii="Cambria" w:hAnsi="Cambria" w:eastAsia="黑体"/>
      <w:bCs/>
      <w:kern w:val="2"/>
      <w:sz w:val="24"/>
      <w:szCs w:val="28"/>
      <w:lang w:val="en-US" w:eastAsia="zh-CN" w:bidi="ar-SA"/>
    </w:rPr>
  </w:style>
  <w:style w:type="character" w:customStyle="1" w:styleId="355">
    <w:name w:val="Char Char212"/>
    <w:qFormat/>
    <w:uiPriority w:val="0"/>
    <w:rPr>
      <w:rFonts w:ascii="Calibri" w:hAnsi="Calibri" w:eastAsia="宋体"/>
      <w:bCs/>
      <w:kern w:val="2"/>
      <w:sz w:val="21"/>
      <w:szCs w:val="28"/>
      <w:lang w:val="en-US" w:eastAsia="zh-CN" w:bidi="ar-SA"/>
    </w:rPr>
  </w:style>
  <w:style w:type="character" w:customStyle="1" w:styleId="356">
    <w:name w:val="Char Char202"/>
    <w:qFormat/>
    <w:uiPriority w:val="0"/>
    <w:rPr>
      <w:rFonts w:ascii="Cambria" w:hAnsi="Cambria" w:eastAsia="宋体"/>
      <w:bCs/>
      <w:kern w:val="2"/>
      <w:sz w:val="21"/>
      <w:szCs w:val="24"/>
      <w:lang w:val="en-US" w:eastAsia="zh-CN" w:bidi="ar-SA"/>
    </w:rPr>
  </w:style>
  <w:style w:type="character" w:customStyle="1" w:styleId="357">
    <w:name w:val="Char Char162"/>
    <w:semiHidden/>
    <w:qFormat/>
    <w:uiPriority w:val="0"/>
    <w:rPr>
      <w:sz w:val="18"/>
      <w:szCs w:val="18"/>
    </w:rPr>
  </w:style>
  <w:style w:type="character" w:customStyle="1" w:styleId="358">
    <w:name w:val="Char Char152"/>
    <w:semiHidden/>
    <w:qFormat/>
    <w:uiPriority w:val="0"/>
    <w:rPr>
      <w:sz w:val="18"/>
      <w:szCs w:val="18"/>
    </w:rPr>
  </w:style>
  <w:style w:type="character" w:customStyle="1" w:styleId="359">
    <w:name w:val="Char Char132"/>
    <w:semiHidden/>
    <w:qFormat/>
    <w:uiPriority w:val="0"/>
    <w:rPr>
      <w:sz w:val="18"/>
      <w:szCs w:val="18"/>
    </w:rPr>
  </w:style>
  <w:style w:type="character" w:customStyle="1" w:styleId="360">
    <w:name w:val="Char Char122"/>
    <w:qFormat/>
    <w:uiPriority w:val="0"/>
    <w:rPr>
      <w:rFonts w:ascii="Cambria" w:hAnsi="Cambria" w:eastAsia="宋体" w:cs="Times New Roman"/>
      <w:b/>
      <w:bCs/>
      <w:kern w:val="28"/>
      <w:sz w:val="32"/>
      <w:szCs w:val="32"/>
    </w:rPr>
  </w:style>
  <w:style w:type="character" w:customStyle="1" w:styleId="361">
    <w:name w:val="未处理的提及2"/>
    <w:semiHidden/>
    <w:unhideWhenUsed/>
    <w:qFormat/>
    <w:uiPriority w:val="99"/>
    <w:rPr>
      <w:color w:val="808080"/>
      <w:shd w:val="clear" w:color="auto" w:fill="E6E6E6"/>
    </w:rPr>
  </w:style>
  <w:style w:type="character" w:customStyle="1" w:styleId="362">
    <w:name w:val="标题 3 字符"/>
    <w:qFormat/>
    <w:uiPriority w:val="99"/>
    <w:rPr>
      <w:b/>
      <w:bCs/>
      <w:sz w:val="32"/>
      <w:szCs w:val="32"/>
    </w:rPr>
  </w:style>
  <w:style w:type="character" w:customStyle="1" w:styleId="363">
    <w:name w:val="正文文本 (2) + 10 pt3"/>
    <w:qFormat/>
    <w:uiPriority w:val="99"/>
    <w:rPr>
      <w:rFonts w:ascii="宋体" w:hAnsi="宋体" w:eastAsia="宋体" w:cs="宋体"/>
      <w:color w:val="000000"/>
      <w:spacing w:val="0"/>
      <w:w w:val="100"/>
      <w:position w:val="0"/>
      <w:sz w:val="20"/>
      <w:szCs w:val="20"/>
      <w:u w:val="none"/>
      <w:lang w:val="zh-TW" w:eastAsia="zh-TW"/>
    </w:rPr>
  </w:style>
  <w:style w:type="character" w:customStyle="1" w:styleId="364">
    <w:name w:val="正文文本 (2) + 10 pt4"/>
    <w:qFormat/>
    <w:uiPriority w:val="99"/>
    <w:rPr>
      <w:rFonts w:ascii="宋体" w:hAnsi="宋体" w:eastAsia="宋体" w:cs="宋体"/>
      <w:color w:val="000000"/>
      <w:spacing w:val="20"/>
      <w:w w:val="100"/>
      <w:position w:val="0"/>
      <w:sz w:val="20"/>
      <w:szCs w:val="20"/>
      <w:u w:val="none"/>
      <w:lang w:val="zh-TW" w:eastAsia="zh-TW"/>
    </w:rPr>
  </w:style>
  <w:style w:type="character" w:customStyle="1" w:styleId="365">
    <w:name w:val="正文文本 (2) + Times New Roman1"/>
    <w:qFormat/>
    <w:uiPriority w:val="99"/>
    <w:rPr>
      <w:rFonts w:ascii="Times New Roman" w:hAnsi="Times New Roman" w:eastAsia="宋体" w:cs="Times New Roman"/>
      <w:color w:val="000000"/>
      <w:spacing w:val="0"/>
      <w:w w:val="100"/>
      <w:position w:val="0"/>
      <w:sz w:val="20"/>
      <w:szCs w:val="20"/>
      <w:u w:val="none"/>
      <w:shd w:val="clear" w:color="auto" w:fill="FFFFFF"/>
      <w:lang w:val="en-US" w:eastAsia="en-US"/>
    </w:rPr>
  </w:style>
  <w:style w:type="character" w:customStyle="1" w:styleId="366">
    <w:name w:val="正文文本 (2) + Times New Roman2"/>
    <w:qFormat/>
    <w:uiPriority w:val="99"/>
    <w:rPr>
      <w:rFonts w:ascii="Times New Roman" w:hAnsi="Times New Roman" w:eastAsia="宋体" w:cs="Times New Roman"/>
      <w:color w:val="000000"/>
      <w:spacing w:val="0"/>
      <w:w w:val="100"/>
      <w:position w:val="0"/>
      <w:sz w:val="20"/>
      <w:szCs w:val="20"/>
      <w:u w:val="none"/>
      <w:shd w:val="clear" w:color="auto" w:fill="FFFFFF"/>
      <w:lang w:val="en-US" w:eastAsia="en-US"/>
    </w:rPr>
  </w:style>
  <w:style w:type="paragraph" w:customStyle="1" w:styleId="367">
    <w:name w:val="一、"/>
    <w:next w:val="42"/>
    <w:qFormat/>
    <w:uiPriority w:val="0"/>
    <w:pPr>
      <w:numPr>
        <w:ilvl w:val="0"/>
        <w:numId w:val="1"/>
      </w:numPr>
      <w:tabs>
        <w:tab w:val="left" w:pos="360"/>
        <w:tab w:val="left" w:pos="960"/>
      </w:tabs>
      <w:spacing w:before="240" w:after="240"/>
      <w:ind w:firstLine="0"/>
    </w:pPr>
    <w:rPr>
      <w:rFonts w:ascii="Times New Roman" w:hAnsi="Times New Roman" w:eastAsia="黑体" w:cs="Times New Roman"/>
      <w:sz w:val="28"/>
      <w:lang w:val="en-US" w:eastAsia="zh-CN" w:bidi="ar-SA"/>
    </w:rPr>
  </w:style>
  <w:style w:type="paragraph" w:customStyle="1" w:styleId="368">
    <w:name w:val="1."/>
    <w:basedOn w:val="1"/>
    <w:qFormat/>
    <w:uiPriority w:val="0"/>
    <w:pPr>
      <w:numPr>
        <w:ilvl w:val="0"/>
        <w:numId w:val="2"/>
      </w:numPr>
      <w:spacing w:line="360" w:lineRule="auto"/>
      <w:ind w:firstLine="482"/>
    </w:pPr>
    <w:rPr>
      <w:sz w:val="28"/>
      <w:szCs w:val="20"/>
    </w:rPr>
  </w:style>
  <w:style w:type="character" w:customStyle="1" w:styleId="369">
    <w:name w:val="日期 Char"/>
    <w:link w:val="23"/>
    <w:qFormat/>
    <w:uiPriority w:val="0"/>
    <w:rPr>
      <w:kern w:val="2"/>
      <w:sz w:val="21"/>
      <w:szCs w:val="24"/>
    </w:rPr>
  </w:style>
  <w:style w:type="character" w:customStyle="1" w:styleId="370">
    <w:name w:val="正文文本缩进 3 Char"/>
    <w:link w:val="34"/>
    <w:qFormat/>
    <w:uiPriority w:val="0"/>
    <w:rPr>
      <w:kern w:val="2"/>
      <w:sz w:val="21"/>
      <w:szCs w:val="24"/>
    </w:rPr>
  </w:style>
  <w:style w:type="paragraph" w:customStyle="1" w:styleId="371">
    <w:name w:val="表中"/>
    <w:basedOn w:val="1"/>
    <w:qFormat/>
    <w:uiPriority w:val="0"/>
    <w:pPr>
      <w:adjustRightInd w:val="0"/>
      <w:spacing w:line="360" w:lineRule="atLeast"/>
      <w:jc w:val="center"/>
      <w:textAlignment w:val="baseline"/>
    </w:pPr>
    <w:rPr>
      <w:kern w:val="0"/>
      <w:szCs w:val="20"/>
    </w:rPr>
  </w:style>
  <w:style w:type="paragraph" w:customStyle="1" w:styleId="372">
    <w:name w:val="表格文字"/>
    <w:basedOn w:val="1"/>
    <w:qFormat/>
    <w:uiPriority w:val="0"/>
    <w:pPr>
      <w:adjustRightInd w:val="0"/>
      <w:spacing w:line="420" w:lineRule="atLeast"/>
      <w:jc w:val="left"/>
      <w:textAlignment w:val="baseline"/>
    </w:pPr>
    <w:rPr>
      <w:kern w:val="0"/>
      <w:szCs w:val="20"/>
    </w:rPr>
  </w:style>
  <w:style w:type="paragraph" w:customStyle="1" w:styleId="373">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4">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75">
    <w:name w:val="Char Char Char Char Char Char1 Char Char Char Char"/>
    <w:basedOn w:val="1"/>
    <w:qFormat/>
    <w:uiPriority w:val="0"/>
    <w:rPr>
      <w:rFonts w:ascii="仿宋_GB2312" w:eastAsia="仿宋_GB2312"/>
      <w:b/>
      <w:sz w:val="32"/>
      <w:szCs w:val="32"/>
    </w:rPr>
  </w:style>
  <w:style w:type="paragraph" w:customStyle="1" w:styleId="376">
    <w:name w:val="Char Char Char Char1"/>
    <w:basedOn w:val="1"/>
    <w:qFormat/>
    <w:uiPriority w:val="0"/>
    <w:pPr>
      <w:widowControl/>
      <w:spacing w:after="160" w:line="240" w:lineRule="exact"/>
      <w:jc w:val="left"/>
    </w:pPr>
    <w:rPr>
      <w:szCs w:val="20"/>
    </w:rPr>
  </w:style>
  <w:style w:type="character" w:customStyle="1" w:styleId="377">
    <w:name w:val="tpc_content1"/>
    <w:qFormat/>
    <w:uiPriority w:val="0"/>
    <w:rPr>
      <w:sz w:val="20"/>
      <w:szCs w:val="20"/>
    </w:rPr>
  </w:style>
  <w:style w:type="paragraph" w:customStyle="1" w:styleId="378">
    <w:name w:val="Char Char1"/>
    <w:basedOn w:val="1"/>
    <w:qFormat/>
    <w:uiPriority w:val="0"/>
    <w:rPr>
      <w:rFonts w:ascii="Tahoma" w:hAnsi="Tahoma"/>
      <w:sz w:val="24"/>
      <w:szCs w:val="20"/>
    </w:rPr>
  </w:style>
  <w:style w:type="character" w:customStyle="1" w:styleId="379">
    <w:name w:val="称呼 Char"/>
    <w:basedOn w:val="45"/>
    <w:link w:val="16"/>
    <w:qFormat/>
    <w:uiPriority w:val="0"/>
    <w:rPr>
      <w:kern w:val="2"/>
      <w:sz w:val="24"/>
      <w:szCs w:val="24"/>
    </w:rPr>
  </w:style>
  <w:style w:type="paragraph" w:customStyle="1" w:styleId="380">
    <w:name w:val="xl30"/>
    <w:basedOn w:val="1"/>
    <w:qFormat/>
    <w:uiPriority w:val="0"/>
    <w:pPr>
      <w:widowControl/>
      <w:spacing w:before="100" w:beforeAutospacing="1" w:after="100" w:afterAutospacing="1"/>
      <w:jc w:val="center"/>
      <w:textAlignment w:val="center"/>
    </w:pPr>
    <w:rPr>
      <w:rFonts w:ascii="Arial Unicode MS" w:hAnsi="Arial Unicode MS" w:eastAsia="Arial Unicode MS" w:cs="Courier New"/>
      <w:b/>
      <w:bCs/>
      <w:kern w:val="0"/>
      <w:sz w:val="24"/>
      <w:szCs w:val="24"/>
    </w:rPr>
  </w:style>
  <w:style w:type="character" w:customStyle="1" w:styleId="381">
    <w:name w:val="标题 Char"/>
    <w:link w:val="40"/>
    <w:qFormat/>
    <w:uiPriority w:val="0"/>
    <w:rPr>
      <w:rFonts w:ascii="Arial" w:hAnsi="Arial" w:cs="Arial"/>
      <w:b/>
      <w:bCs/>
      <w:sz w:val="44"/>
      <w:szCs w:val="32"/>
    </w:rPr>
  </w:style>
  <w:style w:type="paragraph" w:customStyle="1" w:styleId="382">
    <w:name w:val="标题 1_0"/>
    <w:basedOn w:val="1"/>
    <w:next w:val="1"/>
    <w:link w:val="383"/>
    <w:qFormat/>
    <w:uiPriority w:val="0"/>
    <w:pPr>
      <w:keepNext/>
      <w:keepLines/>
      <w:spacing w:before="340" w:after="330" w:line="578" w:lineRule="auto"/>
      <w:outlineLvl w:val="0"/>
    </w:pPr>
    <w:rPr>
      <w:b/>
      <w:bCs/>
      <w:kern w:val="44"/>
      <w:sz w:val="44"/>
      <w:szCs w:val="44"/>
    </w:rPr>
  </w:style>
  <w:style w:type="character" w:customStyle="1" w:styleId="383">
    <w:name w:val="标题 1 字符"/>
    <w:link w:val="382"/>
    <w:qFormat/>
    <w:uiPriority w:val="0"/>
    <w:rPr>
      <w:b/>
      <w:bCs/>
      <w:kern w:val="44"/>
      <w:sz w:val="44"/>
      <w:szCs w:val="44"/>
    </w:rPr>
  </w:style>
  <w:style w:type="paragraph" w:customStyle="1" w:styleId="38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标题 4_0"/>
    <w:basedOn w:val="384"/>
    <w:next w:val="384"/>
    <w:link w:val="386"/>
    <w:qFormat/>
    <w:uiPriority w:val="0"/>
    <w:pPr>
      <w:keepNext/>
      <w:keepLines/>
      <w:spacing w:before="280" w:after="290" w:line="376" w:lineRule="auto"/>
      <w:outlineLvl w:val="3"/>
    </w:pPr>
    <w:rPr>
      <w:rFonts w:ascii="Arial" w:hAnsi="Arial" w:eastAsia="黑体"/>
      <w:b/>
      <w:bCs/>
      <w:sz w:val="28"/>
      <w:szCs w:val="28"/>
    </w:rPr>
  </w:style>
  <w:style w:type="character" w:customStyle="1" w:styleId="386">
    <w:name w:val="标题 4 字符"/>
    <w:link w:val="385"/>
    <w:qFormat/>
    <w:uiPriority w:val="0"/>
    <w:rPr>
      <w:rFonts w:ascii="Arial" w:hAnsi="Arial" w:eastAsia="黑体"/>
      <w:b/>
      <w:bCs/>
      <w:kern w:val="2"/>
      <w:sz w:val="28"/>
      <w:szCs w:val="28"/>
    </w:rPr>
  </w:style>
  <w:style w:type="paragraph" w:customStyle="1" w:styleId="387">
    <w:name w:val="标题 5_0"/>
    <w:basedOn w:val="384"/>
    <w:next w:val="384"/>
    <w:link w:val="388"/>
    <w:qFormat/>
    <w:uiPriority w:val="0"/>
    <w:pPr>
      <w:keepNext/>
      <w:keepLines/>
      <w:spacing w:before="280" w:after="290" w:line="376" w:lineRule="auto"/>
      <w:outlineLvl w:val="4"/>
    </w:pPr>
    <w:rPr>
      <w:b/>
      <w:bCs/>
      <w:sz w:val="28"/>
      <w:szCs w:val="28"/>
    </w:rPr>
  </w:style>
  <w:style w:type="character" w:customStyle="1" w:styleId="388">
    <w:name w:val="标题 5 字符"/>
    <w:link w:val="387"/>
    <w:qFormat/>
    <w:uiPriority w:val="0"/>
    <w:rPr>
      <w:b/>
      <w:bCs/>
      <w:kern w:val="2"/>
      <w:sz w:val="28"/>
      <w:szCs w:val="28"/>
    </w:rPr>
  </w:style>
  <w:style w:type="paragraph" w:customStyle="1" w:styleId="389">
    <w:name w:val="标题 3_0"/>
    <w:basedOn w:val="390"/>
    <w:next w:val="390"/>
    <w:link w:val="391"/>
    <w:unhideWhenUsed/>
    <w:qFormat/>
    <w:uiPriority w:val="0"/>
    <w:pPr>
      <w:keepNext/>
      <w:keepLines/>
      <w:spacing w:before="260" w:after="260" w:line="416" w:lineRule="auto"/>
      <w:outlineLvl w:val="2"/>
    </w:pPr>
    <w:rPr>
      <w:b/>
      <w:bCs/>
      <w:sz w:val="32"/>
      <w:szCs w:val="32"/>
    </w:rPr>
  </w:style>
  <w:style w:type="paragraph" w:customStyle="1" w:styleId="39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1">
    <w:name w:val="标题 3 Char_0"/>
    <w:link w:val="389"/>
    <w:qFormat/>
    <w:uiPriority w:val="0"/>
    <w:rPr>
      <w:b/>
      <w:bCs/>
      <w:kern w:val="2"/>
      <w:sz w:val="32"/>
      <w:szCs w:val="32"/>
    </w:rPr>
  </w:style>
  <w:style w:type="paragraph" w:customStyle="1" w:styleId="392">
    <w:name w:val="列出段落_0"/>
    <w:basedOn w:val="390"/>
    <w:qFormat/>
    <w:uiPriority w:val="0"/>
    <w:pPr>
      <w:ind w:firstLine="420" w:firstLineChars="200"/>
    </w:pPr>
    <w:rPr>
      <w:rFonts w:ascii="Calibri" w:hAnsi="Calibri"/>
    </w:rPr>
  </w:style>
  <w:style w:type="paragraph" w:customStyle="1" w:styleId="39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4">
    <w:name w:val="尾注文本 Char"/>
    <w:link w:val="25"/>
    <w:qFormat/>
    <w:uiPriority w:val="0"/>
    <w:rPr>
      <w:kern w:val="2"/>
      <w:sz w:val="21"/>
      <w:szCs w:val="24"/>
    </w:rPr>
  </w:style>
  <w:style w:type="character" w:customStyle="1" w:styleId="395">
    <w:name w:val="尾注文本 Char1"/>
    <w:qFormat/>
    <w:uiPriority w:val="0"/>
    <w:rPr>
      <w:rFonts w:ascii="Calibri" w:hAnsi="Calibri"/>
      <w:kern w:val="2"/>
      <w:sz w:val="21"/>
      <w:szCs w:val="22"/>
    </w:rPr>
  </w:style>
  <w:style w:type="character" w:customStyle="1" w:styleId="396">
    <w:name w:val="style61"/>
    <w:qFormat/>
    <w:uiPriority w:val="0"/>
    <w:rPr>
      <w:color w:val="333333"/>
    </w:rPr>
  </w:style>
  <w:style w:type="paragraph" w:customStyle="1" w:styleId="397">
    <w:name w:val="p0"/>
    <w:basedOn w:val="1"/>
    <w:qFormat/>
    <w:uiPriority w:val="0"/>
    <w:pPr>
      <w:widowControl/>
    </w:pPr>
    <w:rPr>
      <w:kern w:val="0"/>
      <w:szCs w:val="21"/>
    </w:rPr>
  </w:style>
  <w:style w:type="character" w:customStyle="1" w:styleId="398">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399">
    <w:name w:val="正文文本 (7) + David"/>
    <w:qFormat/>
    <w:uiPriority w:val="0"/>
    <w:rPr>
      <w:rFonts w:ascii="David" w:hAnsi="David" w:eastAsia="David" w:cs="David"/>
      <w:color w:val="000000"/>
      <w:spacing w:val="0"/>
      <w:w w:val="100"/>
      <w:position w:val="0"/>
      <w:sz w:val="42"/>
      <w:szCs w:val="42"/>
      <w:shd w:val="clear" w:color="auto" w:fill="FFFFFF"/>
      <w:lang w:val="en-US" w:eastAsia="en-US" w:bidi="en-US"/>
    </w:rPr>
  </w:style>
  <w:style w:type="paragraph" w:customStyle="1" w:styleId="400">
    <w:name w:val="Table Paragraph"/>
    <w:basedOn w:val="1"/>
    <w:qFormat/>
    <w:uiPriority w:val="99"/>
    <w:pPr>
      <w:jc w:val="left"/>
    </w:pPr>
    <w:rPr>
      <w:kern w:val="0"/>
      <w:sz w:val="22"/>
      <w:lang w:eastAsia="en-US"/>
    </w:rPr>
  </w:style>
  <w:style w:type="paragraph" w:customStyle="1" w:styleId="401">
    <w:name w:val="正文1"/>
    <w:qFormat/>
    <w:uiPriority w:val="0"/>
    <w:pPr>
      <w:widowControl w:val="0"/>
      <w:adjustRightInd w:val="0"/>
      <w:spacing w:afterLines="10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402">
    <w:name w:val="MSG_EN_FONT_STYLE_NAME_TEMPLATE_ROLE_NUMBER MSG_EN_FONT_STYLE_NAME_BY_ROLE_TEXT 13 + MSG_EN_FONT_STYLE_MODIFER_NAME Times New Roman"/>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03">
    <w:name w:val="MSG_EN_FONT_STYLE_NAME_TEMPLATE_ROLE_NUMBER MSG_EN_FONT_STYLE_NAME_BY_ROLE_TEXT 13 + MSG_EN_FONT_STYLE_MODIFER_SIZE 11"/>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404">
    <w:name w:val="MSG_EN_FONT_STYLE_NAME_TEMPLATE_ROLE_NUMBER MSG_EN_FONT_STYLE_NAME_BY_ROLE_TEXT 13 + MSG_EN_FONT_STYLE_MODIFER_NAME Times New Roman15"/>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405">
    <w:name w:val="MSG_EN_FONT_STYLE_NAME_TEMPLATE_ROLE_NUMBER MSG_EN_FONT_STYLE_NAME_BY_ROLE_TEXT 13 + MSG_EN_FONT_STYLE_MODIFER_SIZE 111"/>
    <w:qFormat/>
    <w:uiPriority w:val="0"/>
    <w:rPr>
      <w:rFonts w:ascii="PMingLiU" w:hAnsi="PMingLiU" w:eastAsia="PMingLiU" w:cs="PMingLiU"/>
      <w:color w:val="000000"/>
      <w:spacing w:val="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85900-396D-4CFF-90C3-B04DCF3C26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3645</Words>
  <Characters>20777</Characters>
  <Lines>173</Lines>
  <Paragraphs>48</Paragraphs>
  <TotalTime>2</TotalTime>
  <ScaleCrop>false</ScaleCrop>
  <LinksUpToDate>false</LinksUpToDate>
  <CharactersWithSpaces>24374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2018-08-30T08:43:00Z</dcterms:created>
  <dc:creator>徐绍宇</dc:creator>
  <cp:lastModifiedBy>Lucky one</cp:lastModifiedBy>
  <cp:lastPrinted>2020-09-14T01:13:00Z</cp:lastPrinted>
  <dcterms:modified xsi:type="dcterms:W3CDTF">2021-08-11T03:12:23Z</dcterms:modified>
  <dc:title>中华人民共和国</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105C1C45A680453E8FBC7BED482EE7BB</vt:lpwstr>
  </property>
</Properties>
</file>