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国道珲阿公路延吉境内平安至民主段工程施工监理招标</w:t>
      </w:r>
    </w:p>
    <w:p>
      <w:pPr>
        <w:adjustRightInd w:val="0"/>
        <w:snapToGrid w:val="0"/>
        <w:spacing w:line="360" w:lineRule="auto"/>
        <w:jc w:val="center"/>
        <w:rPr>
          <w:rFonts w:hint="eastAsia" w:ascii="宋体" w:hAnsi="宋体" w:eastAsia="宋体" w:cs="宋体"/>
          <w:b/>
          <w:color w:val="000000"/>
          <w:kern w:val="0"/>
          <w:sz w:val="32"/>
          <w:szCs w:val="32"/>
          <w:lang w:val="en-US" w:eastAsia="zh-CN"/>
        </w:rPr>
      </w:pPr>
      <w:r>
        <w:rPr>
          <w:rFonts w:hint="eastAsia" w:ascii="宋体" w:hAnsi="宋体" w:eastAsia="宋体" w:cs="宋体"/>
          <w:b/>
          <w:color w:val="000000"/>
          <w:kern w:val="0"/>
          <w:sz w:val="32"/>
          <w:szCs w:val="32"/>
          <w:lang w:val="en-US" w:eastAsia="zh-CN"/>
        </w:rPr>
        <w:t>招标文件关键内容信息公开</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1．招标条件</w:t>
      </w:r>
    </w:p>
    <w:p>
      <w:pPr>
        <w:adjustRightInd w:val="0"/>
        <w:snapToGrid w:val="0"/>
        <w:spacing w:before="72" w:beforeLines="30" w:after="72" w:afterLines="30" w:line="360" w:lineRule="auto"/>
        <w:ind w:firstLine="420" w:firstLineChars="200"/>
        <w:rPr>
          <w:rFonts w:hint="eastAsia" w:ascii="宋体" w:hAnsi="宋体" w:eastAsia="宋体" w:cs="宋体"/>
          <w:color w:val="auto"/>
        </w:rPr>
      </w:pPr>
      <w:r>
        <w:rPr>
          <w:rFonts w:hint="eastAsia" w:ascii="宋体" w:hAnsi="宋体" w:eastAsia="宋体" w:cs="宋体"/>
          <w:color w:val="auto"/>
        </w:rPr>
        <w:t>本招标项目国道珲阿公路延吉境内平安至民主段工程已由</w:t>
      </w:r>
      <w:r>
        <w:rPr>
          <w:rFonts w:hint="eastAsia" w:ascii="宋体" w:hAnsi="宋体" w:eastAsia="宋体" w:cs="宋体"/>
          <w:b/>
          <w:bCs/>
          <w:color w:val="auto"/>
        </w:rPr>
        <w:t>吉林省发展和改革委</w:t>
      </w:r>
      <w:r>
        <w:rPr>
          <w:rFonts w:hint="eastAsia" w:ascii="宋体" w:hAnsi="宋体" w:eastAsia="宋体" w:cs="宋体"/>
          <w:color w:val="auto"/>
        </w:rPr>
        <w:t>以</w:t>
      </w:r>
      <w:r>
        <w:rPr>
          <w:rFonts w:hint="eastAsia" w:ascii="宋体" w:hAnsi="宋体" w:eastAsia="宋体" w:cs="宋体"/>
          <w:b/>
          <w:bCs/>
          <w:color w:val="auto"/>
        </w:rPr>
        <w:t>《吉林省发展改革委关于国道珲阿公路延吉境内平安至民主段工程可行性研究报告的批复》（吉发改审批〔2020〕205号）批准建设，施工图设计已由吉林省交通运输厅以《吉林省交通运输厅关于国道珲阿公路延吉境内平安至民主段一阶段施工图设计的批复》（吉交审批函〔2022〕2号）</w:t>
      </w:r>
      <w:r>
        <w:rPr>
          <w:rFonts w:hint="eastAsia" w:ascii="宋体" w:hAnsi="宋体" w:eastAsia="宋体" w:cs="宋体"/>
          <w:color w:val="auto"/>
        </w:rPr>
        <w:t>批准，项目业主为</w:t>
      </w:r>
      <w:r>
        <w:rPr>
          <w:rFonts w:hint="eastAsia" w:ascii="宋体" w:hAnsi="宋体" w:eastAsia="宋体" w:cs="宋体"/>
          <w:b/>
          <w:bCs/>
          <w:color w:val="auto"/>
        </w:rPr>
        <w:t>延吉市公路工程建设管理中心</w:t>
      </w:r>
      <w:r>
        <w:rPr>
          <w:rFonts w:hint="eastAsia" w:ascii="宋体" w:hAnsi="宋体" w:eastAsia="宋体" w:cs="宋体"/>
          <w:color w:val="auto"/>
        </w:rPr>
        <w:t>，建设资金除申请中央投资补贴外，其余资金由延吉市财政性资金承担，出资比例为20%：80%，招标人为</w:t>
      </w:r>
      <w:r>
        <w:rPr>
          <w:rFonts w:hint="eastAsia" w:ascii="宋体" w:hAnsi="宋体" w:eastAsia="宋体" w:cs="宋体"/>
          <w:b/>
          <w:bCs/>
          <w:color w:val="auto"/>
        </w:rPr>
        <w:t>延吉市公路工程建设管理中心</w:t>
      </w:r>
      <w:r>
        <w:rPr>
          <w:rFonts w:hint="eastAsia" w:ascii="宋体" w:hAnsi="宋体" w:eastAsia="宋体" w:cs="宋体"/>
          <w:color w:val="auto"/>
        </w:rPr>
        <w:t>。项目已具备招标条件，现对该项目的</w:t>
      </w:r>
      <w:r>
        <w:rPr>
          <w:rFonts w:hint="eastAsia" w:ascii="宋体" w:hAnsi="宋体" w:eastAsia="宋体" w:cs="宋体"/>
          <w:b/>
          <w:bCs/>
          <w:color w:val="auto"/>
        </w:rPr>
        <w:t>施工监理</w:t>
      </w:r>
      <w:r>
        <w:rPr>
          <w:rFonts w:hint="eastAsia" w:ascii="宋体" w:hAnsi="宋体" w:eastAsia="宋体" w:cs="宋体"/>
          <w:color w:val="auto"/>
        </w:rPr>
        <w:t>进行公开招标。</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2．项目概况及招标范围</w:t>
      </w:r>
    </w:p>
    <w:p>
      <w:pPr>
        <w:adjustRightInd w:val="0"/>
        <w:snapToGrid w:val="0"/>
        <w:spacing w:before="72" w:beforeLines="30" w:after="72" w:afterLines="30"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2.1 建设地点：吉林省延吉市。</w:t>
      </w:r>
    </w:p>
    <w:p>
      <w:pPr>
        <w:adjustRightInd w:val="0"/>
        <w:snapToGrid w:val="0"/>
        <w:spacing w:before="72" w:beforeLines="30" w:after="72" w:afterLines="30"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 建设规模及技术标准：</w:t>
      </w:r>
    </w:p>
    <w:p>
      <w:pPr>
        <w:adjustRightInd w:val="0"/>
        <w:snapToGrid w:val="0"/>
        <w:spacing w:before="72" w:beforeLines="30" w:after="72" w:afterLines="30"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公路工程路线起于延吉市北侧的平安村附近，既有国道珲阿公路（G302）与珲乌高速（G12）延吉连接线交叉处，起点桩号K0+037.198。经龙渊村、延边州党校后，下穿吉图珲客运专线铁路，止于小营镇民主村，顺接既有国道珲阿公路，终点桩号K9+153.411。</w:t>
      </w:r>
    </w:p>
    <w:p>
      <w:pPr>
        <w:adjustRightInd w:val="0"/>
        <w:snapToGrid w:val="0"/>
        <w:spacing w:before="72" w:beforeLines="30" w:after="72" w:afterLines="30" w:line="360" w:lineRule="auto"/>
        <w:ind w:firstLine="420" w:firstLineChars="200"/>
        <w:rPr>
          <w:rFonts w:hint="eastAsia" w:ascii="宋体" w:hAnsi="宋体" w:eastAsia="宋体" w:cs="宋体"/>
          <w:color w:val="auto"/>
        </w:rPr>
      </w:pPr>
      <w:r>
        <w:rPr>
          <w:rFonts w:hint="eastAsia" w:ascii="宋体" w:hAnsi="宋体" w:eastAsia="宋体" w:cs="宋体"/>
          <w:color w:val="auto"/>
        </w:rPr>
        <w:t>公路工程施工部分为路线全长9.12公里，采用双向六车道一级公路标准，设计速度80公里/小时。</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2.3监理服务期限：监理服务期</w:t>
      </w:r>
      <w:r>
        <w:rPr>
          <w:rFonts w:hint="eastAsia" w:ascii="宋体" w:hAnsi="宋体" w:eastAsia="宋体" w:cs="宋体"/>
          <w:color w:val="auto"/>
          <w:szCs w:val="21"/>
          <w:lang w:val="en-US" w:eastAsia="zh-CN"/>
        </w:rPr>
        <w:t>1794</w:t>
      </w:r>
      <w:r>
        <w:rPr>
          <w:rFonts w:hint="eastAsia" w:ascii="宋体" w:hAnsi="宋体" w:eastAsia="宋体" w:cs="宋体"/>
          <w:color w:val="auto"/>
          <w:szCs w:val="21"/>
        </w:rPr>
        <w:t>日历天，其中施工期</w:t>
      </w:r>
      <w:r>
        <w:rPr>
          <w:rFonts w:hint="eastAsia" w:ascii="宋体" w:hAnsi="宋体" w:eastAsia="宋体" w:cs="宋体"/>
          <w:color w:val="auto"/>
          <w:szCs w:val="21"/>
          <w:lang w:val="en-US" w:eastAsia="zh-CN"/>
        </w:rPr>
        <w:t>1064</w:t>
      </w:r>
      <w:r>
        <w:rPr>
          <w:rFonts w:hint="eastAsia" w:ascii="宋体" w:hAnsi="宋体" w:eastAsia="宋体" w:cs="宋体"/>
          <w:color w:val="auto"/>
          <w:szCs w:val="21"/>
        </w:rPr>
        <w:t>日历天（</w:t>
      </w:r>
      <w:r>
        <w:rPr>
          <w:rFonts w:hint="eastAsia" w:ascii="宋体" w:hAnsi="宋体" w:eastAsia="宋体" w:cs="宋体"/>
          <w:bCs/>
          <w:color w:val="auto"/>
          <w:szCs w:val="21"/>
        </w:rPr>
        <w:t>202</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年2月</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日～202</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年12月31日）</w:t>
      </w:r>
      <w:r>
        <w:rPr>
          <w:rFonts w:hint="eastAsia" w:ascii="宋体" w:hAnsi="宋体" w:eastAsia="宋体" w:cs="宋体"/>
          <w:color w:val="auto"/>
          <w:szCs w:val="21"/>
        </w:rPr>
        <w:t>，缺陷责任期730日历天）。</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2.4招标范围：</w:t>
      </w:r>
      <w:r>
        <w:rPr>
          <w:rFonts w:hint="eastAsia" w:ascii="宋体" w:hAnsi="宋体" w:eastAsia="宋体" w:cs="宋体"/>
          <w:color w:val="auto"/>
        </w:rPr>
        <w:t>路基、路面、桥涵、交通安全设施、防护、排水、绿化等施工图设计范围内的所有工程的施工监理</w:t>
      </w:r>
      <w:r>
        <w:rPr>
          <w:rFonts w:hint="eastAsia" w:ascii="宋体" w:hAnsi="宋体" w:eastAsia="宋体" w:cs="宋体"/>
          <w:color w:val="auto"/>
          <w:szCs w:val="21"/>
        </w:rPr>
        <w:t>。具体划分如下：</w:t>
      </w:r>
    </w:p>
    <w:tbl>
      <w:tblPr>
        <w:tblStyle w:val="8"/>
        <w:tblpPr w:leftFromText="180" w:rightFromText="180" w:vertAnchor="text" w:horzAnchor="page" w:tblpXSpec="center" w:tblpY="15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65"/>
        <w:gridCol w:w="2160"/>
        <w:gridCol w:w="822"/>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blHeader/>
          <w:jc w:val="center"/>
        </w:trPr>
        <w:tc>
          <w:tcPr>
            <w:tcW w:w="1032" w:type="dxa"/>
            <w:noWrap w:val="0"/>
            <w:vAlign w:val="center"/>
          </w:tcPr>
          <w:p>
            <w:pPr>
              <w:widowControl/>
              <w:spacing w:line="240" w:lineRule="exact"/>
              <w:ind w:left="-50" w:right="-50"/>
              <w:jc w:val="center"/>
              <w:rPr>
                <w:rFonts w:hint="eastAsia" w:ascii="宋体" w:hAnsi="宋体" w:eastAsia="宋体" w:cs="宋体"/>
                <w:color w:val="auto"/>
                <w:kern w:val="0"/>
                <w:szCs w:val="21"/>
              </w:rPr>
            </w:pPr>
            <w:r>
              <w:rPr>
                <w:rFonts w:hint="eastAsia" w:ascii="宋体" w:hAnsi="宋体" w:eastAsia="宋体" w:cs="宋体"/>
                <w:color w:val="auto"/>
                <w:kern w:val="0"/>
                <w:szCs w:val="21"/>
              </w:rPr>
              <w:t>服务类型</w:t>
            </w:r>
          </w:p>
        </w:tc>
        <w:tc>
          <w:tcPr>
            <w:tcW w:w="865" w:type="dxa"/>
            <w:noWrap w:val="0"/>
            <w:vAlign w:val="center"/>
          </w:tcPr>
          <w:p>
            <w:pPr>
              <w:widowControl/>
              <w:spacing w:line="240" w:lineRule="exact"/>
              <w:ind w:left="-50" w:right="-50"/>
              <w:jc w:val="center"/>
              <w:rPr>
                <w:rFonts w:hint="eastAsia" w:ascii="宋体" w:hAnsi="宋体" w:eastAsia="宋体" w:cs="宋体"/>
                <w:color w:val="auto"/>
                <w:kern w:val="0"/>
                <w:szCs w:val="21"/>
              </w:rPr>
            </w:pPr>
            <w:r>
              <w:rPr>
                <w:rFonts w:hint="eastAsia" w:ascii="宋体" w:hAnsi="宋体" w:eastAsia="宋体" w:cs="宋体"/>
                <w:color w:val="auto"/>
                <w:kern w:val="0"/>
                <w:szCs w:val="21"/>
              </w:rPr>
              <w:t>施工标段名称</w:t>
            </w:r>
          </w:p>
        </w:tc>
        <w:tc>
          <w:tcPr>
            <w:tcW w:w="2160" w:type="dxa"/>
            <w:noWrap w:val="0"/>
            <w:vAlign w:val="center"/>
          </w:tcPr>
          <w:p>
            <w:pPr>
              <w:widowControl/>
              <w:spacing w:line="230" w:lineRule="exact"/>
              <w:ind w:left="-50" w:right="-50"/>
              <w:jc w:val="center"/>
              <w:rPr>
                <w:rFonts w:hint="eastAsia" w:ascii="宋体" w:hAnsi="宋体" w:eastAsia="宋体" w:cs="宋体"/>
                <w:color w:val="auto"/>
                <w:kern w:val="0"/>
                <w:szCs w:val="21"/>
              </w:rPr>
            </w:pPr>
            <w:r>
              <w:rPr>
                <w:rFonts w:hint="eastAsia" w:ascii="宋体" w:hAnsi="宋体" w:eastAsia="宋体" w:cs="宋体"/>
                <w:color w:val="auto"/>
                <w:kern w:val="0"/>
                <w:szCs w:val="21"/>
              </w:rPr>
              <w:t>起讫桩号</w:t>
            </w:r>
          </w:p>
        </w:tc>
        <w:tc>
          <w:tcPr>
            <w:tcW w:w="822" w:type="dxa"/>
            <w:noWrap w:val="0"/>
            <w:vAlign w:val="center"/>
          </w:tcPr>
          <w:p>
            <w:pPr>
              <w:widowControl/>
              <w:spacing w:line="230" w:lineRule="exact"/>
              <w:ind w:left="-50" w:right="-50"/>
              <w:jc w:val="center"/>
              <w:rPr>
                <w:rFonts w:hint="eastAsia" w:ascii="宋体" w:hAnsi="宋体" w:eastAsia="宋体" w:cs="宋体"/>
                <w:color w:val="auto"/>
                <w:kern w:val="0"/>
                <w:szCs w:val="21"/>
              </w:rPr>
            </w:pPr>
            <w:r>
              <w:rPr>
                <w:rFonts w:hint="eastAsia" w:ascii="宋体" w:hAnsi="宋体" w:eastAsia="宋体" w:cs="宋体"/>
                <w:color w:val="auto"/>
                <w:kern w:val="0"/>
                <w:szCs w:val="21"/>
              </w:rPr>
              <w:t>长度（Km）</w:t>
            </w:r>
          </w:p>
        </w:tc>
        <w:tc>
          <w:tcPr>
            <w:tcW w:w="3560" w:type="dxa"/>
            <w:noWrap w:val="0"/>
            <w:vAlign w:val="center"/>
          </w:tcPr>
          <w:p>
            <w:pPr>
              <w:widowControl/>
              <w:spacing w:line="230" w:lineRule="exact"/>
              <w:ind w:left="-50" w:right="-50"/>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032" w:type="dxa"/>
            <w:vMerge w:val="restart"/>
            <w:noWrap w:val="0"/>
            <w:vAlign w:val="center"/>
          </w:tcPr>
          <w:p>
            <w:pPr>
              <w:widowControl/>
              <w:ind w:left="-50" w:right="-5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总监办</w:t>
            </w:r>
          </w:p>
        </w:tc>
        <w:tc>
          <w:tcPr>
            <w:tcW w:w="865" w:type="dxa"/>
            <w:noWrap w:val="0"/>
            <w:vAlign w:val="center"/>
          </w:tcPr>
          <w:p>
            <w:pPr>
              <w:widowControl/>
              <w:ind w:left="-50" w:right="-50"/>
              <w:jc w:val="center"/>
              <w:rPr>
                <w:rFonts w:hint="eastAsia" w:ascii="宋体" w:hAnsi="宋体" w:eastAsia="宋体" w:cs="宋体"/>
                <w:color w:val="auto"/>
                <w:kern w:val="0"/>
                <w:szCs w:val="21"/>
              </w:rPr>
            </w:pPr>
            <w:r>
              <w:rPr>
                <w:rFonts w:hint="eastAsia" w:ascii="宋体" w:hAnsi="宋体" w:eastAsia="宋体" w:cs="宋体"/>
                <w:color w:val="auto"/>
              </w:rPr>
              <w:t>PMSG01</w:t>
            </w:r>
          </w:p>
        </w:tc>
        <w:tc>
          <w:tcPr>
            <w:tcW w:w="2160" w:type="dxa"/>
            <w:noWrap w:val="0"/>
            <w:vAlign w:val="center"/>
          </w:tcPr>
          <w:p>
            <w:pPr>
              <w:widowControl/>
              <w:ind w:left="-50" w:right="-50"/>
              <w:jc w:val="center"/>
              <w:rPr>
                <w:rFonts w:hint="eastAsia" w:ascii="宋体" w:hAnsi="宋体" w:eastAsia="宋体" w:cs="宋体"/>
                <w:color w:val="auto"/>
                <w:kern w:val="0"/>
                <w:szCs w:val="21"/>
              </w:rPr>
            </w:pPr>
            <w:r>
              <w:rPr>
                <w:rFonts w:hint="eastAsia" w:ascii="宋体" w:hAnsi="宋体" w:eastAsia="宋体" w:cs="宋体"/>
                <w:color w:val="auto"/>
                <w:szCs w:val="21"/>
              </w:rPr>
              <w:t>K0+037.198-K5+400</w:t>
            </w:r>
          </w:p>
        </w:tc>
        <w:tc>
          <w:tcPr>
            <w:tcW w:w="822" w:type="dxa"/>
            <w:noWrap w:val="0"/>
            <w:vAlign w:val="center"/>
          </w:tcPr>
          <w:p>
            <w:pPr>
              <w:widowControl/>
              <w:ind w:left="-50" w:right="-50"/>
              <w:jc w:val="center"/>
              <w:rPr>
                <w:rFonts w:hint="eastAsia" w:ascii="宋体" w:hAnsi="宋体" w:eastAsia="宋体" w:cs="宋体"/>
                <w:color w:val="auto"/>
                <w:kern w:val="0"/>
                <w:szCs w:val="21"/>
              </w:rPr>
            </w:pPr>
            <w:r>
              <w:rPr>
                <w:rFonts w:hint="eastAsia" w:ascii="宋体" w:hAnsi="宋体" w:eastAsia="宋体" w:cs="宋体"/>
                <w:color w:val="auto"/>
                <w:szCs w:val="21"/>
              </w:rPr>
              <w:t>5.363</w:t>
            </w:r>
          </w:p>
        </w:tc>
        <w:tc>
          <w:tcPr>
            <w:tcW w:w="3560" w:type="dxa"/>
            <w:noWrap w:val="0"/>
            <w:vAlign w:val="center"/>
          </w:tcPr>
          <w:p>
            <w:pPr>
              <w:widowControl/>
              <w:ind w:left="-50" w:right="-50"/>
              <w:jc w:val="left"/>
              <w:rPr>
                <w:rFonts w:hint="eastAsia" w:ascii="宋体" w:hAnsi="宋体" w:eastAsia="宋体" w:cs="宋体"/>
                <w:color w:val="auto"/>
                <w:kern w:val="0"/>
                <w:szCs w:val="21"/>
              </w:rPr>
            </w:pPr>
            <w:r>
              <w:rPr>
                <w:rFonts w:hint="eastAsia" w:ascii="宋体" w:hAnsi="宋体" w:eastAsia="宋体" w:cs="宋体"/>
                <w:color w:val="auto"/>
                <w:kern w:val="0"/>
                <w:szCs w:val="21"/>
              </w:rPr>
              <w:t>拆除、路基、路面、桥涵、</w:t>
            </w:r>
            <w:r>
              <w:rPr>
                <w:rFonts w:hint="eastAsia" w:ascii="宋体" w:hAnsi="宋体" w:eastAsia="宋体" w:cs="宋体"/>
                <w:color w:val="auto"/>
                <w:szCs w:val="21"/>
              </w:rPr>
              <w:t>排水、防护、安全设施及绿化工程等全部工程的施工监理。其中：中桥97米/1座。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032" w:type="dxa"/>
            <w:vMerge w:val="continue"/>
            <w:noWrap w:val="0"/>
            <w:vAlign w:val="center"/>
          </w:tcPr>
          <w:p>
            <w:pPr>
              <w:widowControl/>
              <w:ind w:left="-50" w:right="-50"/>
              <w:jc w:val="center"/>
              <w:rPr>
                <w:rFonts w:hint="eastAsia" w:ascii="宋体" w:hAnsi="宋体" w:eastAsia="宋体" w:cs="宋体"/>
                <w:color w:val="auto"/>
                <w:kern w:val="0"/>
                <w:szCs w:val="21"/>
              </w:rPr>
            </w:pPr>
          </w:p>
        </w:tc>
        <w:tc>
          <w:tcPr>
            <w:tcW w:w="865" w:type="dxa"/>
            <w:noWrap w:val="0"/>
            <w:vAlign w:val="center"/>
          </w:tcPr>
          <w:p>
            <w:pPr>
              <w:widowControl/>
              <w:ind w:left="-50" w:right="-50"/>
              <w:jc w:val="center"/>
              <w:rPr>
                <w:rFonts w:hint="eastAsia" w:ascii="宋体" w:hAnsi="宋体" w:eastAsia="宋体" w:cs="宋体"/>
                <w:color w:val="auto"/>
                <w:kern w:val="0"/>
                <w:szCs w:val="21"/>
              </w:rPr>
            </w:pPr>
            <w:r>
              <w:rPr>
                <w:rFonts w:hint="eastAsia" w:ascii="宋体" w:hAnsi="宋体" w:eastAsia="宋体" w:cs="宋体"/>
                <w:color w:val="auto"/>
              </w:rPr>
              <w:t>PMSG02</w:t>
            </w:r>
          </w:p>
        </w:tc>
        <w:tc>
          <w:tcPr>
            <w:tcW w:w="2160" w:type="dxa"/>
            <w:noWrap w:val="0"/>
            <w:vAlign w:val="center"/>
          </w:tcPr>
          <w:p>
            <w:pPr>
              <w:widowControl/>
              <w:ind w:left="-50" w:right="-50"/>
              <w:jc w:val="center"/>
              <w:rPr>
                <w:rFonts w:hint="eastAsia" w:ascii="宋体" w:hAnsi="宋体" w:eastAsia="宋体" w:cs="宋体"/>
                <w:color w:val="auto"/>
                <w:kern w:val="0"/>
                <w:szCs w:val="21"/>
              </w:rPr>
            </w:pPr>
            <w:r>
              <w:rPr>
                <w:rFonts w:hint="eastAsia" w:ascii="宋体" w:hAnsi="宋体" w:eastAsia="宋体" w:cs="宋体"/>
                <w:color w:val="auto"/>
                <w:szCs w:val="21"/>
              </w:rPr>
              <w:t>K5+400-</w:t>
            </w:r>
            <w:r>
              <w:rPr>
                <w:rFonts w:hint="eastAsia" w:ascii="宋体" w:hAnsi="宋体" w:eastAsia="宋体" w:cs="宋体"/>
                <w:color w:val="auto"/>
              </w:rPr>
              <w:t>K9+153.411</w:t>
            </w:r>
          </w:p>
        </w:tc>
        <w:tc>
          <w:tcPr>
            <w:tcW w:w="822" w:type="dxa"/>
            <w:noWrap w:val="0"/>
            <w:vAlign w:val="center"/>
          </w:tcPr>
          <w:p>
            <w:pPr>
              <w:widowControl/>
              <w:ind w:left="-50" w:right="-50"/>
              <w:jc w:val="center"/>
              <w:rPr>
                <w:rFonts w:hint="eastAsia" w:ascii="宋体" w:hAnsi="宋体" w:eastAsia="宋体" w:cs="宋体"/>
                <w:color w:val="auto"/>
                <w:kern w:val="0"/>
                <w:szCs w:val="21"/>
              </w:rPr>
            </w:pPr>
            <w:r>
              <w:rPr>
                <w:rFonts w:hint="eastAsia" w:ascii="宋体" w:hAnsi="宋体" w:eastAsia="宋体" w:cs="宋体"/>
                <w:color w:val="auto"/>
                <w:szCs w:val="21"/>
              </w:rPr>
              <w:t>3.753</w:t>
            </w:r>
          </w:p>
        </w:tc>
        <w:tc>
          <w:tcPr>
            <w:tcW w:w="3560" w:type="dxa"/>
            <w:noWrap w:val="0"/>
            <w:vAlign w:val="center"/>
          </w:tcPr>
          <w:p>
            <w:pPr>
              <w:widowControl/>
              <w:ind w:left="-50" w:right="-50"/>
              <w:jc w:val="left"/>
              <w:rPr>
                <w:rFonts w:hint="eastAsia" w:ascii="宋体" w:hAnsi="宋体" w:eastAsia="宋体" w:cs="宋体"/>
                <w:color w:val="auto"/>
                <w:kern w:val="0"/>
                <w:szCs w:val="21"/>
              </w:rPr>
            </w:pPr>
            <w:r>
              <w:rPr>
                <w:rFonts w:hint="eastAsia" w:ascii="宋体" w:hAnsi="宋体" w:eastAsia="宋体" w:cs="宋体"/>
                <w:color w:val="auto"/>
                <w:kern w:val="0"/>
                <w:szCs w:val="21"/>
              </w:rPr>
              <w:t>拆除、路基、路面、</w:t>
            </w:r>
            <w:r>
              <w:rPr>
                <w:rFonts w:hint="eastAsia" w:ascii="宋体" w:hAnsi="宋体" w:eastAsia="宋体" w:cs="宋体"/>
                <w:color w:val="auto"/>
                <w:szCs w:val="21"/>
              </w:rPr>
              <w:t>防护工程等全部工程的施工监理。</w:t>
            </w:r>
          </w:p>
        </w:tc>
      </w:tr>
    </w:tbl>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2.5标段划分：本项目按一级监理机构设置，设置1个总监理工程师办公室（含中心试验室），即PMJL01标段。</w:t>
      </w:r>
    </w:p>
    <w:p>
      <w:pPr>
        <w:pStyle w:val="12"/>
        <w:rPr>
          <w:rFonts w:hint="eastAsia" w:ascii="宋体" w:hAnsi="宋体" w:eastAsia="宋体" w:cs="宋体"/>
          <w:color w:val="auto"/>
          <w:szCs w:val="21"/>
        </w:rPr>
      </w:pPr>
    </w:p>
    <w:p>
      <w:pPr>
        <w:pStyle w:val="12"/>
        <w:rPr>
          <w:rFonts w:hint="eastAsia" w:ascii="宋体" w:hAnsi="宋体" w:eastAsia="宋体" w:cs="宋体"/>
          <w:color w:val="auto"/>
          <w:szCs w:val="21"/>
        </w:rPr>
      </w:pPr>
      <w:bookmarkStart w:id="3" w:name="_GoBack"/>
      <w:bookmarkEnd w:id="3"/>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3．投标人资格要求</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3.1本次招标要求投标人须具备以下资质和业绩，并在人员等方面具备相应的施工监理能力：</w:t>
      </w:r>
    </w:p>
    <w:tbl>
      <w:tblPr>
        <w:tblStyle w:val="8"/>
        <w:tblpPr w:leftFromText="180" w:rightFromText="180" w:vertAnchor="text" w:horzAnchor="margin" w:tblpX="232" w:tblpY="78"/>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309"/>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63" w:type="dxa"/>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标段</w:t>
            </w:r>
          </w:p>
        </w:tc>
        <w:tc>
          <w:tcPr>
            <w:tcW w:w="3309" w:type="dxa"/>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资质要求</w:t>
            </w:r>
          </w:p>
        </w:tc>
        <w:tc>
          <w:tcPr>
            <w:tcW w:w="4677" w:type="dxa"/>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963" w:type="dxa"/>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PMJL01</w:t>
            </w:r>
          </w:p>
        </w:tc>
        <w:tc>
          <w:tcPr>
            <w:tcW w:w="3309" w:type="dxa"/>
            <w:noWrap w:val="0"/>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公路工程监理甲级或乙级资质（尚在有效期内的公路工程监理企业旧资质证书仍然有效）</w:t>
            </w:r>
          </w:p>
        </w:tc>
        <w:tc>
          <w:tcPr>
            <w:tcW w:w="4677" w:type="dxa"/>
            <w:noWrap w:val="0"/>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2017年1月1日后（以交工时间为准），累计完成过不少于下列施工监理业绩：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1、1项一级或一级以上公路路基工程；</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2、1项一级或一级以上公路沥青凝土路面工程。</w:t>
            </w:r>
          </w:p>
        </w:tc>
      </w:tr>
    </w:tbl>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注：①施工监理业绩均应为国内新建或改扩建一级或一级以上公路的施工监理业绩。</w:t>
      </w:r>
    </w:p>
    <w:p>
      <w:pPr>
        <w:spacing w:line="360" w:lineRule="exact"/>
        <w:ind w:firstLine="840" w:firstLineChars="400"/>
        <w:rPr>
          <w:rFonts w:hint="eastAsia" w:ascii="宋体" w:hAnsi="宋体" w:eastAsia="宋体" w:cs="宋体"/>
          <w:color w:val="auto"/>
          <w:szCs w:val="21"/>
        </w:rPr>
      </w:pPr>
      <w:r>
        <w:rPr>
          <w:rFonts w:hint="eastAsia" w:ascii="宋体" w:hAnsi="宋体" w:eastAsia="宋体" w:cs="宋体"/>
          <w:color w:val="auto"/>
          <w:szCs w:val="21"/>
        </w:rPr>
        <w:t>②施工监理业绩均应是已列入交通运输主管部门“公路建设市场信用信息管理系统”并已交工的业绩，交工日期以“公路建设市场信用信息管理系统”→“业绩信息”→“项目交工信息”栏目列明的交工日期为准。</w:t>
      </w:r>
    </w:p>
    <w:p>
      <w:pPr>
        <w:spacing w:line="360" w:lineRule="exact"/>
        <w:ind w:firstLine="840" w:firstLineChars="400"/>
        <w:rPr>
          <w:rFonts w:hint="eastAsia" w:ascii="宋体" w:hAnsi="宋体" w:eastAsia="宋体" w:cs="宋体"/>
          <w:color w:val="auto"/>
          <w:szCs w:val="21"/>
        </w:rPr>
      </w:pPr>
      <w:r>
        <w:rPr>
          <w:rFonts w:hint="eastAsia" w:ascii="宋体" w:hAnsi="宋体" w:eastAsia="宋体" w:cs="宋体"/>
          <w:color w:val="auto"/>
          <w:szCs w:val="21"/>
        </w:rPr>
        <w:t>③同一业绩内有路基和沥青混凝土路面施工监理业绩，按两项业绩计算。</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zh-TW"/>
        </w:rPr>
        <w:t>投标人（</w:t>
      </w:r>
      <w:r>
        <w:rPr>
          <w:rFonts w:hint="eastAsia" w:ascii="宋体" w:hAnsi="宋体" w:eastAsia="宋体" w:cs="宋体"/>
          <w:color w:val="auto"/>
          <w:szCs w:val="21"/>
        </w:rPr>
        <w:t>仅指公路工程专业甲级或乙级监理资质</w:t>
      </w:r>
      <w:r>
        <w:rPr>
          <w:rFonts w:hint="eastAsia" w:ascii="宋体" w:hAnsi="宋体" w:eastAsia="宋体" w:cs="宋体"/>
          <w:color w:val="auto"/>
          <w:szCs w:val="21"/>
          <w:lang w:bidi="zh-TW"/>
        </w:rPr>
        <w:t>的投标人）</w:t>
      </w:r>
      <w:r>
        <w:rPr>
          <w:rFonts w:hint="eastAsia" w:ascii="宋体" w:hAnsi="宋体" w:eastAsia="宋体" w:cs="宋体"/>
          <w:color w:val="auto"/>
          <w:szCs w:val="21"/>
        </w:rPr>
        <w:t>应进入交通运输部“全国公路建设市场信用信息管理系统（https://glxy.mot.gov.cn）”中的公路工程监理企业名录，且投标人名称和资质与该名录中的相应企业名称和资质完全一致。</w:t>
      </w:r>
    </w:p>
    <w:p>
      <w:pPr>
        <w:spacing w:line="360" w:lineRule="exact"/>
        <w:ind w:firstLine="420" w:firstLineChars="200"/>
        <w:rPr>
          <w:rFonts w:hint="eastAsia" w:ascii="宋体" w:hAnsi="宋体" w:eastAsia="宋体" w:cs="宋体"/>
          <w:color w:val="auto"/>
          <w:szCs w:val="21"/>
          <w:lang w:bidi="zh-TW"/>
        </w:rPr>
      </w:pPr>
      <w:r>
        <w:rPr>
          <w:rFonts w:hint="eastAsia" w:ascii="宋体" w:hAnsi="宋体" w:eastAsia="宋体" w:cs="宋体"/>
          <w:color w:val="auto"/>
          <w:szCs w:val="21"/>
        </w:rPr>
        <w:t>3.2本次招标不接受联合体投标。</w:t>
      </w:r>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3.3与招标人存在利害关系可能影响招标公正性的单位，不得参加投标。单位负责人为同一人或存在控股、管理关系的不同单位，不得参加同一标段投标，否则，相关投</w:t>
      </w:r>
      <w:r>
        <w:rPr>
          <w:rFonts w:hint="eastAsia" w:ascii="宋体" w:hAnsi="宋体" w:eastAsia="宋体" w:cs="宋体"/>
          <w:bCs/>
          <w:color w:val="auto"/>
          <w:szCs w:val="21"/>
        </w:rPr>
        <w:t>标</w:t>
      </w:r>
      <w:r>
        <w:rPr>
          <w:rFonts w:hint="eastAsia" w:ascii="宋体" w:hAnsi="宋体" w:eastAsia="宋体" w:cs="宋体"/>
          <w:color w:val="auto"/>
          <w:szCs w:val="21"/>
        </w:rPr>
        <w:t>均无效。</w:t>
      </w:r>
    </w:p>
    <w:p>
      <w:pPr>
        <w:keepNext w:val="0"/>
        <w:keepLines w:val="0"/>
        <w:pageBreakBefore w:val="0"/>
        <w:widowControl w:val="0"/>
        <w:kinsoku/>
        <w:overflowPunct/>
        <w:autoSpaceDE/>
        <w:autoSpaceDN/>
        <w:bidi w:val="0"/>
        <w:spacing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3.4 在“信用中国”网站（http://www.creditchina.gov.cn/）中被列入失信被执行人名单的投标人，不得参加投标。</w:t>
      </w:r>
    </w:p>
    <w:p>
      <w:pPr>
        <w:keepNext w:val="0"/>
        <w:keepLines w:val="0"/>
        <w:pageBreakBefore w:val="0"/>
        <w:widowControl w:val="0"/>
        <w:kinsoku/>
        <w:overflowPunct/>
        <w:autoSpaceDE/>
        <w:autoSpaceDN/>
        <w:bidi w:val="0"/>
        <w:adjustRightInd w:val="0"/>
        <w:snapToGrid w:val="0"/>
        <w:spacing w:before="72" w:beforeLines="30" w:after="72" w:afterLines="30" w:line="360" w:lineRule="exact"/>
        <w:textAlignment w:val="auto"/>
        <w:rPr>
          <w:rFonts w:hint="eastAsia" w:ascii="宋体" w:hAnsi="宋体" w:eastAsia="宋体" w:cs="宋体"/>
          <w:b/>
          <w:bCs/>
          <w:color w:val="auto"/>
          <w:sz w:val="24"/>
          <w:lang w:val="en-US" w:eastAsia="zh-CN"/>
        </w:rPr>
      </w:pPr>
      <w:bookmarkStart w:id="0" w:name="_Toc184704556"/>
      <w:r>
        <w:rPr>
          <w:rFonts w:hint="eastAsia" w:ascii="宋体" w:hAnsi="宋体" w:eastAsia="宋体" w:cs="宋体"/>
          <w:b/>
          <w:bCs/>
          <w:color w:val="auto"/>
          <w:sz w:val="24"/>
          <w:lang w:val="en-US" w:eastAsia="zh-CN"/>
        </w:rPr>
        <w:t>4．</w:t>
      </w:r>
      <w:bookmarkEnd w:id="0"/>
      <w:r>
        <w:rPr>
          <w:rFonts w:hint="eastAsia" w:ascii="宋体" w:hAnsi="宋体" w:eastAsia="宋体" w:cs="宋体"/>
          <w:b/>
          <w:bCs/>
          <w:color w:val="auto"/>
          <w:sz w:val="24"/>
          <w:lang w:val="en-US" w:eastAsia="zh-CN"/>
        </w:rPr>
        <w:t>评标办法</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本次招标采用</w:t>
      </w:r>
      <w:r>
        <w:rPr>
          <w:rFonts w:hint="eastAsia" w:ascii="宋体" w:hAnsi="宋体" w:eastAsia="宋体" w:cs="宋体"/>
          <w:b/>
          <w:bCs/>
          <w:color w:val="auto"/>
          <w:szCs w:val="21"/>
        </w:rPr>
        <w:t>综合评估法</w:t>
      </w:r>
      <w:r>
        <w:rPr>
          <w:rFonts w:hint="eastAsia" w:ascii="宋体" w:hAnsi="宋体" w:eastAsia="宋体" w:cs="宋体"/>
          <w:color w:val="auto"/>
          <w:szCs w:val="21"/>
        </w:rPr>
        <w:t>评标。</w:t>
      </w:r>
    </w:p>
    <w:p>
      <w:pPr>
        <w:adjustRightInd w:val="0"/>
        <w:snapToGrid w:val="0"/>
        <w:spacing w:beforeLines="30" w:afterLines="3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最低资格条件</w:t>
      </w:r>
    </w:p>
    <w:p>
      <w:pPr>
        <w:spacing w:before="120" w:after="120"/>
        <w:jc w:val="center"/>
        <w:rPr>
          <w:rFonts w:hint="eastAsia" w:ascii="宋体" w:hAnsi="宋体" w:eastAsia="宋体" w:cs="宋体"/>
          <w:b/>
          <w:bCs/>
          <w:color w:val="auto"/>
          <w:kern w:val="44"/>
          <w:sz w:val="30"/>
          <w:szCs w:val="30"/>
        </w:rPr>
      </w:pPr>
      <w:bookmarkStart w:id="1" w:name="_Toc234382588"/>
      <w:r>
        <w:rPr>
          <w:rFonts w:hint="eastAsia" w:ascii="宋体" w:hAnsi="宋体" w:eastAsia="宋体" w:cs="宋体"/>
          <w:b/>
          <w:bCs/>
          <w:color w:val="auto"/>
          <w:kern w:val="44"/>
          <w:sz w:val="30"/>
          <w:szCs w:val="30"/>
        </w:rPr>
        <w:t>附录1  资格审查条件(资质最低要求)</w:t>
      </w:r>
      <w:bookmarkEnd w:id="1"/>
    </w:p>
    <w:tbl>
      <w:tblPr>
        <w:tblStyle w:val="8"/>
        <w:tblW w:w="90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9057"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监理企业资质等级要求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5" w:hRule="atLeast"/>
          <w:jc w:val="center"/>
        </w:trPr>
        <w:tc>
          <w:tcPr>
            <w:tcW w:w="9057" w:type="dxa"/>
            <w:noWrap w:val="0"/>
            <w:vAlign w:val="center"/>
          </w:tcPr>
          <w:p>
            <w:pPr>
              <w:spacing w:line="360" w:lineRule="exact"/>
              <w:rPr>
                <w:rFonts w:hint="eastAsia" w:ascii="宋体" w:hAnsi="宋体" w:eastAsia="宋体" w:cs="宋体"/>
                <w:bCs/>
                <w:color w:val="auto"/>
                <w:szCs w:val="21"/>
              </w:rPr>
            </w:pPr>
            <w:r>
              <w:rPr>
                <w:rFonts w:hint="eastAsia" w:ascii="宋体" w:hAnsi="宋体" w:eastAsia="宋体" w:cs="宋体"/>
                <w:color w:val="auto"/>
                <w:szCs w:val="21"/>
              </w:rPr>
              <w:t>1.公路工程监理甲级或乙级资质（尚在有效期内的公路工程监理企业旧资质证书仍然有效）</w:t>
            </w:r>
          </w:p>
        </w:tc>
      </w:tr>
    </w:tbl>
    <w:p>
      <w:pPr>
        <w:spacing w:before="120" w:after="120"/>
        <w:jc w:val="center"/>
        <w:rPr>
          <w:rFonts w:hint="eastAsia" w:ascii="宋体" w:hAnsi="宋体" w:eastAsia="宋体" w:cs="宋体"/>
          <w:b/>
          <w:bCs/>
          <w:color w:val="auto"/>
          <w:kern w:val="44"/>
          <w:sz w:val="30"/>
          <w:szCs w:val="30"/>
        </w:rPr>
      </w:pPr>
    </w:p>
    <w:p>
      <w:pPr>
        <w:pStyle w:val="2"/>
        <w:rPr>
          <w:rFonts w:hint="eastAsia" w:ascii="宋体" w:hAnsi="宋体" w:eastAsia="宋体" w:cs="宋体"/>
          <w:b/>
          <w:bCs/>
          <w:color w:val="auto"/>
          <w:kern w:val="44"/>
          <w:sz w:val="30"/>
          <w:szCs w:val="30"/>
        </w:rPr>
      </w:pPr>
    </w:p>
    <w:p>
      <w:pPr>
        <w:pStyle w:val="3"/>
        <w:rPr>
          <w:rFonts w:hint="eastAsia" w:ascii="宋体" w:hAnsi="宋体" w:eastAsia="宋体" w:cs="宋体"/>
          <w:b/>
          <w:bCs/>
          <w:color w:val="auto"/>
          <w:kern w:val="44"/>
          <w:sz w:val="30"/>
          <w:szCs w:val="30"/>
        </w:rPr>
      </w:pPr>
    </w:p>
    <w:p>
      <w:pPr>
        <w:rPr>
          <w:rFonts w:hint="eastAsia" w:ascii="宋体" w:hAnsi="宋体" w:eastAsia="宋体" w:cs="宋体"/>
          <w:b/>
          <w:bCs/>
          <w:color w:val="auto"/>
          <w:kern w:val="44"/>
          <w:sz w:val="30"/>
          <w:szCs w:val="30"/>
        </w:rPr>
      </w:pPr>
    </w:p>
    <w:p>
      <w:pPr>
        <w:pStyle w:val="2"/>
        <w:rPr>
          <w:rFonts w:hint="eastAsia" w:ascii="宋体" w:hAnsi="宋体" w:eastAsia="宋体" w:cs="宋体"/>
        </w:rPr>
      </w:pPr>
    </w:p>
    <w:p>
      <w:pPr>
        <w:spacing w:before="120" w:after="120"/>
        <w:jc w:val="center"/>
        <w:rPr>
          <w:rFonts w:hint="eastAsia" w:ascii="宋体" w:hAnsi="宋体" w:eastAsia="宋体" w:cs="宋体"/>
          <w:color w:val="auto"/>
          <w:sz w:val="24"/>
          <w:vertAlign w:val="superscript"/>
        </w:rPr>
      </w:pPr>
      <w:r>
        <w:rPr>
          <w:rFonts w:hint="eastAsia" w:ascii="宋体" w:hAnsi="宋体" w:eastAsia="宋体" w:cs="宋体"/>
          <w:b/>
          <w:bCs/>
          <w:color w:val="auto"/>
          <w:kern w:val="44"/>
          <w:sz w:val="30"/>
          <w:szCs w:val="30"/>
        </w:rPr>
        <w:t>附录2  资格审查条件(业绩最低要求)</w:t>
      </w:r>
    </w:p>
    <w:tbl>
      <w:tblPr>
        <w:tblStyle w:val="8"/>
        <w:tblW w:w="90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9057"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业 绩 要 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057" w:type="dxa"/>
            <w:noWrap w:val="0"/>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2017年1月1日后（以交工时间为准），累计完成过不少于下列施工监理业绩：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1、1项一级或一级以上公路路基工程；</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2、1项一级或一级以上公路沥青凝土路面工程。</w:t>
            </w:r>
          </w:p>
        </w:tc>
      </w:tr>
    </w:tbl>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注：①施工监理业绩均应为国内新建或改扩建一级或一级以上公路的施工监理业绩。</w:t>
      </w:r>
    </w:p>
    <w:p>
      <w:pPr>
        <w:spacing w:line="400" w:lineRule="exact"/>
        <w:ind w:firstLine="840" w:firstLineChars="400"/>
        <w:rPr>
          <w:rFonts w:hint="eastAsia" w:ascii="宋体" w:hAnsi="宋体" w:eastAsia="宋体" w:cs="宋体"/>
          <w:color w:val="auto"/>
          <w:szCs w:val="21"/>
        </w:rPr>
      </w:pPr>
      <w:r>
        <w:rPr>
          <w:rFonts w:hint="eastAsia" w:ascii="宋体" w:hAnsi="宋体" w:eastAsia="宋体" w:cs="宋体"/>
          <w:color w:val="auto"/>
          <w:szCs w:val="21"/>
        </w:rPr>
        <w:t>②施工监理业绩均应是已列入交通运输主管部门“公路建设市场信用信息管理系统”并已交工的业绩，交工日期以“公路建设市场信用信息管理系统”→“业绩信息”→“项目交工信息”栏目列明的交工日期为准。</w:t>
      </w:r>
    </w:p>
    <w:p>
      <w:pPr>
        <w:spacing w:line="360" w:lineRule="exact"/>
        <w:ind w:firstLine="840" w:firstLineChars="400"/>
        <w:rPr>
          <w:rFonts w:hint="eastAsia" w:ascii="宋体" w:hAnsi="宋体" w:eastAsia="宋体" w:cs="宋体"/>
          <w:color w:val="auto"/>
          <w:szCs w:val="21"/>
        </w:rPr>
      </w:pPr>
      <w:r>
        <w:rPr>
          <w:rFonts w:hint="eastAsia" w:ascii="宋体" w:hAnsi="宋体" w:eastAsia="宋体" w:cs="宋体"/>
          <w:color w:val="auto"/>
          <w:szCs w:val="21"/>
        </w:rPr>
        <w:t>③联合体投标的，施工监理业绩按牵头人业绩数量计算。</w:t>
      </w:r>
    </w:p>
    <w:p>
      <w:pPr>
        <w:spacing w:line="360" w:lineRule="exact"/>
        <w:ind w:firstLine="840" w:firstLineChars="400"/>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4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④</w:t>
      </w:r>
      <w:r>
        <w:rPr>
          <w:rFonts w:hint="eastAsia" w:ascii="宋体" w:hAnsi="宋体" w:eastAsia="宋体" w:cs="宋体"/>
          <w:color w:val="auto"/>
          <w:szCs w:val="21"/>
        </w:rPr>
        <w:fldChar w:fldCharType="end"/>
      </w:r>
      <w:r>
        <w:rPr>
          <w:rFonts w:hint="eastAsia" w:ascii="宋体" w:hAnsi="宋体" w:eastAsia="宋体" w:cs="宋体"/>
          <w:color w:val="auto"/>
          <w:szCs w:val="21"/>
        </w:rPr>
        <w:t>同一业绩内有路基和沥青混凝土路面施工监理业绩，按两项业绩计算。</w:t>
      </w:r>
    </w:p>
    <w:p>
      <w:pPr>
        <w:spacing w:before="120" w:after="120"/>
        <w:jc w:val="center"/>
        <w:rPr>
          <w:rFonts w:hint="eastAsia" w:ascii="宋体" w:hAnsi="宋体" w:eastAsia="宋体" w:cs="宋体"/>
          <w:b/>
          <w:bCs/>
          <w:color w:val="auto"/>
          <w:kern w:val="44"/>
          <w:sz w:val="30"/>
          <w:szCs w:val="30"/>
        </w:rPr>
      </w:pPr>
    </w:p>
    <w:p>
      <w:pPr>
        <w:spacing w:before="120" w:after="120"/>
        <w:jc w:val="center"/>
        <w:rPr>
          <w:rFonts w:hint="eastAsia" w:ascii="宋体" w:hAnsi="宋体" w:eastAsia="宋体" w:cs="宋体"/>
          <w:b/>
          <w:bCs/>
          <w:color w:val="auto"/>
          <w:kern w:val="44"/>
          <w:sz w:val="30"/>
          <w:szCs w:val="30"/>
        </w:rPr>
      </w:pPr>
      <w:r>
        <w:rPr>
          <w:rFonts w:hint="eastAsia" w:ascii="宋体" w:hAnsi="宋体" w:eastAsia="宋体" w:cs="宋体"/>
          <w:b/>
          <w:bCs/>
          <w:color w:val="auto"/>
          <w:kern w:val="44"/>
          <w:sz w:val="30"/>
          <w:szCs w:val="30"/>
        </w:rPr>
        <w:t>附录3  资格审查条件(信誉最低要求)</w:t>
      </w:r>
    </w:p>
    <w:tbl>
      <w:tblPr>
        <w:tblStyle w:val="8"/>
        <w:tblW w:w="90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9057"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信 誉 要 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3" w:hRule="atLeast"/>
          <w:jc w:val="center"/>
        </w:trPr>
        <w:tc>
          <w:tcPr>
            <w:tcW w:w="9057" w:type="dxa"/>
            <w:noWrap w:val="0"/>
            <w:vAlign w:val="center"/>
          </w:tcPr>
          <w:p>
            <w:pPr>
              <w:snapToGrid w:val="0"/>
              <w:spacing w:before="36" w:beforeLines="15" w:after="36" w:afterLines="15"/>
              <w:ind w:firstLine="204" w:firstLineChars="100"/>
              <w:rPr>
                <w:rFonts w:hint="eastAsia" w:ascii="宋体" w:hAnsi="宋体" w:eastAsia="宋体" w:cs="宋体"/>
                <w:color w:val="auto"/>
                <w:szCs w:val="21"/>
              </w:rPr>
            </w:pPr>
            <w:r>
              <w:rPr>
                <w:rFonts w:hint="eastAsia" w:ascii="宋体" w:hAnsi="宋体" w:eastAsia="宋体" w:cs="宋体"/>
                <w:color w:val="auto"/>
                <w:spacing w:val="-8"/>
                <w:sz w:val="22"/>
                <w:szCs w:val="22"/>
              </w:rPr>
              <w:t>投标人</w:t>
            </w:r>
            <w:r>
              <w:rPr>
                <w:rFonts w:hint="eastAsia" w:ascii="宋体" w:hAnsi="宋体" w:eastAsia="宋体" w:cs="宋体"/>
                <w:color w:val="auto"/>
                <w:spacing w:val="-4"/>
                <w:sz w:val="22"/>
                <w:szCs w:val="22"/>
              </w:rPr>
              <w:t>的信誉符合招标文件规定,除“投标人须知”第 1.4.4 项规定的内容外，无其他信誉</w:t>
            </w:r>
            <w:r>
              <w:rPr>
                <w:rFonts w:hint="eastAsia" w:ascii="宋体" w:hAnsi="宋体" w:eastAsia="宋体" w:cs="宋体"/>
                <w:color w:val="auto"/>
                <w:sz w:val="22"/>
                <w:szCs w:val="22"/>
              </w:rPr>
              <w:t xml:space="preserve"> </w:t>
            </w:r>
            <w:r>
              <w:rPr>
                <w:rFonts w:hint="eastAsia" w:ascii="宋体" w:hAnsi="宋体" w:eastAsia="宋体" w:cs="宋体"/>
                <w:color w:val="auto"/>
                <w:spacing w:val="-11"/>
                <w:sz w:val="22"/>
                <w:szCs w:val="22"/>
              </w:rPr>
              <w:t>要</w:t>
            </w:r>
            <w:r>
              <w:rPr>
                <w:rFonts w:hint="eastAsia" w:ascii="宋体" w:hAnsi="宋体" w:eastAsia="宋体" w:cs="宋体"/>
                <w:color w:val="auto"/>
                <w:spacing w:val="-8"/>
                <w:sz w:val="22"/>
                <w:szCs w:val="22"/>
              </w:rPr>
              <w:t>求。</w:t>
            </w:r>
          </w:p>
        </w:tc>
      </w:tr>
    </w:tbl>
    <w:p>
      <w:pPr>
        <w:spacing w:before="120" w:after="120"/>
        <w:jc w:val="center"/>
        <w:rPr>
          <w:rFonts w:hint="eastAsia" w:ascii="宋体" w:hAnsi="宋体" w:eastAsia="宋体" w:cs="宋体"/>
          <w:b/>
          <w:bCs/>
          <w:color w:val="auto"/>
          <w:kern w:val="44"/>
          <w:sz w:val="30"/>
          <w:szCs w:val="30"/>
        </w:rPr>
        <w:sectPr>
          <w:headerReference r:id="rId4" w:type="default"/>
          <w:footerReference r:id="rId5" w:type="even"/>
          <w:footnotePr>
            <w:numFmt w:val="decimalEnclosedCircleChinese"/>
            <w:numRestart w:val="eachPage"/>
          </w:footnotePr>
          <w:pgSz w:w="11906" w:h="16838"/>
          <w:pgMar w:top="1418" w:right="1418" w:bottom="1418" w:left="1418" w:header="851" w:footer="851" w:gutter="0"/>
          <w:cols w:space="720" w:num="1"/>
          <w:docGrid w:linePitch="312" w:charSpace="0"/>
        </w:sectPr>
      </w:pPr>
    </w:p>
    <w:p>
      <w:pPr>
        <w:spacing w:before="120" w:after="120"/>
        <w:jc w:val="center"/>
        <w:rPr>
          <w:rFonts w:hint="eastAsia" w:ascii="宋体" w:hAnsi="宋体" w:eastAsia="宋体" w:cs="宋体"/>
          <w:color w:val="auto"/>
          <w:sz w:val="24"/>
          <w:vertAlign w:val="superscript"/>
        </w:rPr>
      </w:pPr>
      <w:r>
        <w:rPr>
          <w:rFonts w:hint="eastAsia" w:ascii="宋体" w:hAnsi="宋体" w:eastAsia="宋体" w:cs="宋体"/>
          <w:b/>
          <w:bCs/>
          <w:color w:val="auto"/>
          <w:kern w:val="44"/>
          <w:sz w:val="30"/>
          <w:szCs w:val="30"/>
        </w:rPr>
        <w:t>附录4  资格审查条件(总监理工程师最低要求)</w:t>
      </w:r>
    </w:p>
    <w:tbl>
      <w:tblPr>
        <w:tblStyle w:val="8"/>
        <w:tblW w:w="904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688"/>
        <w:gridCol w:w="1276"/>
        <w:gridCol w:w="4111"/>
        <w:gridCol w:w="19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1688"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人  员</w:t>
            </w:r>
          </w:p>
        </w:tc>
        <w:tc>
          <w:tcPr>
            <w:tcW w:w="1276"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数  量</w:t>
            </w:r>
          </w:p>
        </w:tc>
        <w:tc>
          <w:tcPr>
            <w:tcW w:w="4111"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资 格 要 求</w:t>
            </w:r>
          </w:p>
        </w:tc>
        <w:tc>
          <w:tcPr>
            <w:tcW w:w="1968"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在岗要求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89" w:hRule="atLeast"/>
          <w:jc w:val="center"/>
        </w:trPr>
        <w:tc>
          <w:tcPr>
            <w:tcW w:w="1688"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总监理工程师</w:t>
            </w:r>
          </w:p>
        </w:tc>
        <w:tc>
          <w:tcPr>
            <w:tcW w:w="1276"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111" w:type="dxa"/>
            <w:noWrap w:val="0"/>
            <w:vAlign w:val="center"/>
          </w:tcPr>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（1）投标人自有人员； </w:t>
            </w:r>
          </w:p>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（2）具有公路工程相关专业中级工程师职称；</w:t>
            </w:r>
          </w:p>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bCs/>
                <w:color w:val="auto"/>
                <w:szCs w:val="21"/>
              </w:rPr>
              <w:t>具有</w:t>
            </w:r>
            <w:r>
              <w:rPr>
                <w:rFonts w:hint="eastAsia" w:ascii="宋体" w:hAnsi="宋体" w:eastAsia="宋体" w:cs="宋体"/>
                <w:color w:val="auto"/>
                <w:szCs w:val="21"/>
              </w:rPr>
              <w:t>交通运输部颁发的公路工程 《监理工程师资格证书》。</w:t>
            </w:r>
          </w:p>
        </w:tc>
        <w:tc>
          <w:tcPr>
            <w:tcW w:w="1968" w:type="dxa"/>
            <w:noWrap w:val="0"/>
            <w:vAlign w:val="center"/>
          </w:tcPr>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无在岗项目（指目前未在其他项目上任职，或虽在其他项目上任职但本项目中标后能够从该项目撤离）</w:t>
            </w:r>
          </w:p>
        </w:tc>
      </w:tr>
    </w:tbl>
    <w:p>
      <w:pPr>
        <w:pStyle w:val="2"/>
        <w:rPr>
          <w:rFonts w:hint="eastAsia" w:ascii="宋体" w:hAnsi="宋体" w:eastAsia="宋体" w:cs="宋体"/>
          <w:b/>
          <w:bCs/>
        </w:rPr>
      </w:pPr>
    </w:p>
    <w:p>
      <w:pPr>
        <w:numPr>
          <w:ilvl w:val="0"/>
          <w:numId w:val="1"/>
        </w:numPr>
        <w:adjustRightInd w:val="0"/>
        <w:snapToGrid w:val="0"/>
        <w:spacing w:beforeLines="30" w:afterLines="3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评标办法</w:t>
      </w:r>
    </w:p>
    <w:p>
      <w:pPr>
        <w:spacing w:line="360" w:lineRule="auto"/>
        <w:rPr>
          <w:rFonts w:hint="eastAsia" w:ascii="宋体" w:hAnsi="宋体" w:eastAsia="宋体" w:cs="宋体"/>
          <w:color w:val="auto"/>
          <w:sz w:val="24"/>
          <w:szCs w:val="24"/>
        </w:rPr>
      </w:pPr>
      <w:bookmarkStart w:id="2" w:name="_Toc234382663"/>
      <w:r>
        <w:rPr>
          <w:rFonts w:hint="eastAsia" w:ascii="宋体" w:hAnsi="宋体" w:eastAsia="宋体" w:cs="宋体"/>
          <w:color w:val="auto"/>
          <w:sz w:val="24"/>
          <w:szCs w:val="24"/>
        </w:rPr>
        <w:t>评标办法前附表</w:t>
      </w:r>
      <w:bookmarkEnd w:id="2"/>
      <w:r>
        <w:rPr>
          <w:rFonts w:hint="eastAsia" w:ascii="宋体" w:hAnsi="宋体" w:eastAsia="宋体" w:cs="宋体"/>
          <w:color w:val="auto"/>
          <w:sz w:val="24"/>
          <w:szCs w:val="24"/>
          <w:vertAlign w:val="superscript"/>
        </w:rPr>
        <w:footnoteReference w:id="0"/>
      </w:r>
    </w:p>
    <w:tbl>
      <w:tblPr>
        <w:tblStyle w:val="8"/>
        <w:tblW w:w="9011"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730"/>
        <w:gridCol w:w="1272"/>
        <w:gridCol w:w="7009"/>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85" w:hRule="exact"/>
          <w:tblHeader/>
          <w:jc w:val="center"/>
        </w:trPr>
        <w:tc>
          <w:tcPr>
            <w:tcW w:w="2002" w:type="dxa"/>
            <w:gridSpan w:val="2"/>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7009"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评审因素与评审标准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887" w:hRule="atLeast"/>
          <w:jc w:val="center"/>
        </w:trPr>
        <w:tc>
          <w:tcPr>
            <w:tcW w:w="730" w:type="dxa"/>
            <w:noWrap w:val="0"/>
            <w:vAlign w:val="center"/>
          </w:tcPr>
          <w:p>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72" w:type="dxa"/>
            <w:noWrap w:val="0"/>
            <w:vAlign w:val="center"/>
          </w:tcPr>
          <w:p>
            <w:pPr>
              <w:snapToGrid w:val="0"/>
              <w:spacing w:line="320" w:lineRule="exact"/>
              <w:ind w:left="113" w:right="113"/>
              <w:contextualSpacing/>
              <w:jc w:val="center"/>
              <w:rPr>
                <w:rFonts w:hint="eastAsia" w:ascii="宋体" w:hAnsi="宋体" w:eastAsia="宋体" w:cs="宋体"/>
                <w:color w:val="auto"/>
                <w:szCs w:val="21"/>
              </w:rPr>
            </w:pPr>
            <w:r>
              <w:rPr>
                <w:rFonts w:hint="eastAsia" w:ascii="宋体" w:hAnsi="宋体" w:eastAsia="宋体" w:cs="宋体"/>
                <w:color w:val="auto"/>
                <w:szCs w:val="21"/>
              </w:rPr>
              <w:t>评标方法</w:t>
            </w:r>
          </w:p>
        </w:tc>
        <w:tc>
          <w:tcPr>
            <w:tcW w:w="7009" w:type="dxa"/>
            <w:noWrap w:val="0"/>
            <w:vAlign w:val="center"/>
          </w:tcPr>
          <w:p>
            <w:pPr>
              <w:spacing w:line="320" w:lineRule="exact"/>
              <w:ind w:left="113" w:leftChars="54" w:right="113" w:firstLine="315" w:firstLineChars="150"/>
              <w:rPr>
                <w:rFonts w:hint="eastAsia" w:ascii="宋体" w:hAnsi="宋体" w:eastAsia="宋体" w:cs="宋体"/>
                <w:color w:val="auto"/>
                <w:szCs w:val="21"/>
              </w:rPr>
            </w:pPr>
            <w:r>
              <w:rPr>
                <w:rFonts w:hint="eastAsia" w:ascii="宋体" w:hAnsi="宋体" w:eastAsia="宋体" w:cs="宋体"/>
                <w:color w:val="auto"/>
                <w:szCs w:val="21"/>
              </w:rPr>
              <w:t>综合评分相等时，评标委员会依次按照以下优先顺序推荐中标候选人：</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（1）评标价低的投标人优先；</w:t>
            </w:r>
          </w:p>
          <w:p>
            <w:pPr>
              <w:spacing w:line="320" w:lineRule="exact"/>
              <w:ind w:left="113" w:right="113"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rPr>
              <w:t>（2）信用等级高的投标人优先</w:t>
            </w:r>
            <w:r>
              <w:rPr>
                <w:rFonts w:hint="eastAsia" w:ascii="宋体" w:hAnsi="宋体" w:eastAsia="宋体" w:cs="宋体"/>
                <w:color w:val="auto"/>
                <w:szCs w:val="21"/>
                <w:lang w:val="en-US" w:eastAsia="zh-CN"/>
              </w:rPr>
              <w:t>；</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（3）商务和技术得分较高的投标人优先；</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（4）技术建议书得分高的投标人优先；</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若以上均相等，则由评标委员会表决确定其排序先后。</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430" w:hRule="atLeast"/>
          <w:jc w:val="center"/>
        </w:trPr>
        <w:tc>
          <w:tcPr>
            <w:tcW w:w="730" w:type="dxa"/>
            <w:noWrap w:val="0"/>
            <w:vAlign w:val="center"/>
          </w:tcPr>
          <w:p>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2.1.1</w:t>
            </w:r>
          </w:p>
          <w:p>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2.1.3</w:t>
            </w:r>
          </w:p>
        </w:tc>
        <w:tc>
          <w:tcPr>
            <w:tcW w:w="1272" w:type="dxa"/>
            <w:noWrap w:val="0"/>
            <w:vAlign w:val="center"/>
          </w:tcPr>
          <w:p>
            <w:pPr>
              <w:snapToGrid w:val="0"/>
              <w:spacing w:line="320" w:lineRule="exact"/>
              <w:ind w:left="113" w:right="113"/>
              <w:contextualSpacing/>
              <w:jc w:val="center"/>
              <w:rPr>
                <w:rFonts w:hint="eastAsia" w:ascii="宋体" w:hAnsi="宋体" w:eastAsia="宋体" w:cs="宋体"/>
                <w:color w:val="auto"/>
                <w:szCs w:val="21"/>
              </w:rPr>
            </w:pPr>
            <w:r>
              <w:rPr>
                <w:rFonts w:hint="eastAsia" w:ascii="宋体" w:hAnsi="宋体" w:eastAsia="宋体" w:cs="宋体"/>
                <w:color w:val="auto"/>
                <w:szCs w:val="21"/>
              </w:rPr>
              <w:t>形式评审与响应性评审标准</w:t>
            </w:r>
          </w:p>
        </w:tc>
        <w:tc>
          <w:tcPr>
            <w:tcW w:w="7009" w:type="dxa"/>
            <w:noWrap w:val="0"/>
            <w:vAlign w:val="center"/>
          </w:tcPr>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第一个信封（商务及技术文件）评审标准：</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（1）投标文件按照招标文件规定的格式、内容填写，字迹清晰可辨；</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a.投标函按招标文件规定填报了项目名称、标段号、补遗书编号（如有）、监理服务期限、工程质量要求及安全目标；</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b.投标文件组成齐全完整，内容均按规定填写。</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（2）投标文件上法定代表人或其委托代理人的签字、投标人的单位章盖章齐全，符合招标文件规定。</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（3）投标人按照招标文件的规定提供了投标保证金：</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a.投标保证金金额符合招标文件规定的金额，且投标保证金有效期不少于投标有效期；</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b.若投标保证金采用现金或支票形式提交，投标人应在</w:t>
            </w:r>
            <w:r>
              <w:rPr>
                <w:rFonts w:hint="eastAsia" w:ascii="宋体" w:hAnsi="宋体" w:eastAsia="宋体" w:cs="宋体"/>
                <w:bCs/>
                <w:color w:val="auto"/>
                <w:szCs w:val="21"/>
                <w:lang w:val="zh-CN"/>
              </w:rPr>
              <w:t>递交投标保证金</w:t>
            </w:r>
            <w:r>
              <w:rPr>
                <w:rFonts w:hint="eastAsia" w:ascii="宋体" w:hAnsi="宋体" w:eastAsia="宋体" w:cs="宋体"/>
                <w:color w:val="auto"/>
                <w:szCs w:val="21"/>
              </w:rPr>
              <w:t>截止时间之前，将投标保证金由投标人的基本账户一次性转入并到达招标人指定账户；</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c.若投标保证金采用银行保函形式提交，银行保函的格式、开具保函的银行均满足招标文件要求，且在</w:t>
            </w:r>
            <w:r>
              <w:rPr>
                <w:rFonts w:hint="eastAsia" w:ascii="宋体" w:hAnsi="宋体" w:eastAsia="宋体" w:cs="宋体"/>
                <w:bCs/>
                <w:color w:val="auto"/>
                <w:szCs w:val="21"/>
                <w:lang w:val="zh-CN"/>
              </w:rPr>
              <w:t>递交投标文件</w:t>
            </w:r>
            <w:r>
              <w:rPr>
                <w:rFonts w:hint="eastAsia" w:ascii="宋体" w:hAnsi="宋体" w:eastAsia="宋体" w:cs="宋体"/>
                <w:color w:val="auto"/>
                <w:szCs w:val="21"/>
              </w:rPr>
              <w:t>截止时间之前向招标人提交了银行保函原件。</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（4）投标人法定代表人授权委托代理人签署投标文件的，须提交授权委托书，且授权人和被授权人均在授权委托书上签名，未使用印章、签名章或其他电子制版签名代替。</w:t>
            </w:r>
          </w:p>
          <w:p>
            <w:pPr>
              <w:spacing w:line="320" w:lineRule="exact"/>
              <w:ind w:right="113" w:firstLine="315" w:firstLineChars="150"/>
              <w:rPr>
                <w:rFonts w:hint="eastAsia" w:ascii="宋体" w:hAnsi="宋体" w:eastAsia="宋体" w:cs="宋体"/>
                <w:color w:val="auto"/>
                <w:szCs w:val="21"/>
              </w:rPr>
            </w:pPr>
            <w:r>
              <w:rPr>
                <w:rFonts w:hint="eastAsia" w:ascii="宋体" w:hAnsi="宋体" w:eastAsia="宋体" w:cs="宋体"/>
                <w:color w:val="auto"/>
                <w:szCs w:val="21"/>
              </w:rPr>
              <w:t>（5）投标人法定代表人亲自签署投标文件的，提供了法定代表人身份证明，且法定代表人在法定代表人身份证明上签名，未使用印章、签名章或其他电子制版签名代替。</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（6）投标人以联合体形式投标时，联合体满足招标文件的要求：</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投标人按照招标文件提供的格式签订了联合体协议书，明确各方承担连带责任，并明确了联合体牵头人。</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（7）同一投标人未提交两个以上不同的投标文件。</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（8）投标文件中未出现有关投标报价的内容。</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（9）投标文件载明的招标项目完成期限未超过招标文件规定的时限。</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（10）投标文件对招标文件的实质性要求和条件作出响应。</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（11）权利义务符合招标文件规定：</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a.投标人应接受招标文件规定的风险划分原则，未提出新的风险划分办法；</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b.投标人未增加委托人的责任范围，或减少投标人义务；</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c.投标人未提出不同的支付办法；</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d.投标人对合同纠纷、事故处理办法未提出异议；</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e.投标人在投标活动中无欺诈行为；</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f.投标人未对合同条款有重要保留。</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第二个信封（报价文件）评审标准：</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（1）投标文件按照招标文件规定的格式、内容填写，字迹清晰可辨，内容齐全完整：</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a.投标函按招标文件规定填报了项目名称、标段号、补遗书编号（如有）、投标报价（包括大写金额和小写金额）；</w:t>
            </w:r>
          </w:p>
          <w:p>
            <w:pPr>
              <w:spacing w:line="320" w:lineRule="exact"/>
              <w:ind w:right="113" w:firstLine="378" w:firstLineChars="180"/>
              <w:jc w:val="left"/>
              <w:rPr>
                <w:rFonts w:hint="eastAsia" w:ascii="宋体" w:hAnsi="宋体" w:eastAsia="宋体" w:cs="宋体"/>
                <w:color w:val="auto"/>
                <w:szCs w:val="21"/>
              </w:rPr>
            </w:pPr>
            <w:r>
              <w:rPr>
                <w:rFonts w:hint="eastAsia" w:ascii="宋体" w:hAnsi="宋体" w:eastAsia="宋体" w:cs="宋体"/>
                <w:color w:val="auto"/>
                <w:szCs w:val="21"/>
              </w:rPr>
              <w:t>b. 报价清单说明文字与招标文件规定一致，未进行实质性修改和删减；</w:t>
            </w:r>
          </w:p>
          <w:p>
            <w:pPr>
              <w:spacing w:line="320" w:lineRule="exact"/>
              <w:ind w:right="113" w:firstLine="378" w:firstLineChars="180"/>
              <w:jc w:val="left"/>
              <w:rPr>
                <w:rFonts w:hint="eastAsia" w:ascii="宋体" w:hAnsi="宋体" w:eastAsia="宋体" w:cs="宋体"/>
                <w:color w:val="auto"/>
                <w:szCs w:val="21"/>
              </w:rPr>
            </w:pPr>
            <w:r>
              <w:rPr>
                <w:rFonts w:hint="eastAsia" w:ascii="宋体" w:hAnsi="宋体" w:eastAsia="宋体" w:cs="宋体"/>
                <w:color w:val="auto"/>
                <w:szCs w:val="21"/>
              </w:rPr>
              <w:t>c.投标文件组成齐全完整，内容均按规定填写。</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（2）投标文件上法定代表人或其委托代理人的签字、投标人的单位章盖章齐全，符合招标文件规定。</w:t>
            </w:r>
          </w:p>
          <w:p>
            <w:pPr>
              <w:spacing w:line="320" w:lineRule="exact"/>
              <w:ind w:left="113" w:right="113"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（3）投标报价未超过招标文件设定的最高投标限价</w:t>
            </w:r>
            <w:r>
              <w:rPr>
                <w:rFonts w:hint="eastAsia" w:ascii="宋体" w:hAnsi="宋体" w:eastAsia="宋体" w:cs="宋体"/>
                <w:b/>
                <w:bCs/>
                <w:color w:val="auto"/>
                <w:szCs w:val="21"/>
                <w:lang w:eastAsia="zh-CN"/>
              </w:rPr>
              <w:t>。</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（4）投标报价的大写金额能够确定具体数值。</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（5）同一投标人未提交两个以上不同的投标报价。</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730" w:type="dxa"/>
            <w:noWrap w:val="0"/>
            <w:vAlign w:val="center"/>
          </w:tcPr>
          <w:p>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2.1.2</w:t>
            </w:r>
          </w:p>
        </w:tc>
        <w:tc>
          <w:tcPr>
            <w:tcW w:w="1272" w:type="dxa"/>
            <w:noWrap w:val="0"/>
            <w:vAlign w:val="center"/>
          </w:tcPr>
          <w:p>
            <w:pPr>
              <w:snapToGrid w:val="0"/>
              <w:spacing w:line="320" w:lineRule="exact"/>
              <w:ind w:left="113" w:right="113"/>
              <w:contextualSpacing/>
              <w:jc w:val="center"/>
              <w:rPr>
                <w:rFonts w:hint="eastAsia" w:ascii="宋体" w:hAnsi="宋体" w:eastAsia="宋体" w:cs="宋体"/>
                <w:color w:val="auto"/>
                <w:szCs w:val="21"/>
              </w:rPr>
            </w:pPr>
            <w:r>
              <w:rPr>
                <w:rFonts w:hint="eastAsia" w:ascii="宋体" w:hAnsi="宋体" w:eastAsia="宋体" w:cs="宋体"/>
                <w:color w:val="auto"/>
                <w:szCs w:val="21"/>
              </w:rPr>
              <w:t>资格评审标准</w:t>
            </w:r>
          </w:p>
        </w:tc>
        <w:tc>
          <w:tcPr>
            <w:tcW w:w="7009" w:type="dxa"/>
            <w:noWrap w:val="0"/>
            <w:vAlign w:val="center"/>
          </w:tcPr>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（1）投标人具备有效的营业执照、组织机构代码证、监理资质证书和基本账户开户许可证（或开户证明）。</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（2）投标人的资质等级符合招标文件规定。</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（3）投标人的类似项目业绩符合招标文件规定。</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（4）投标人的信誉符合招标文件规定。</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（5）投标人的总监理工程师资格、在岗情况符合招标文件规定。</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（6）投标人不存在第二章“投标人须知”第1.4.3项或第1.4.4项规定的任何一种情形。</w:t>
            </w:r>
          </w:p>
          <w:p>
            <w:pPr>
              <w:spacing w:line="32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（7）投标人符合第二章“投标人须知”第1.4.5项规定。</w:t>
            </w:r>
          </w:p>
          <w:p>
            <w:pPr>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（8）以联合体形式参与投标的，联合体各方均未再以自己名义单独或参加其他联合体在同一标段中投标；独立参与投标的，投标人未同时参加联合体在同一标段中投标。</w:t>
            </w:r>
          </w:p>
        </w:tc>
      </w:tr>
    </w:tbl>
    <w:p>
      <w:pPr>
        <w:spacing w:line="320" w:lineRule="exact"/>
        <w:jc w:val="right"/>
        <w:rPr>
          <w:rFonts w:hint="eastAsia" w:ascii="宋体" w:hAnsi="宋体" w:eastAsia="宋体" w:cs="宋体"/>
          <w:color w:val="auto"/>
          <w:szCs w:val="21"/>
        </w:rPr>
        <w:sectPr>
          <w:footerReference r:id="rId6" w:type="default"/>
          <w:footnotePr>
            <w:numFmt w:val="decimalEnclosedCircleChinese"/>
            <w:numRestart w:val="eachPage"/>
          </w:footnotePr>
          <w:pgSz w:w="11906" w:h="16838"/>
          <w:pgMar w:top="1418" w:right="1418" w:bottom="1418" w:left="1418" w:header="851" w:footer="851" w:gutter="0"/>
          <w:cols w:space="720" w:num="1"/>
          <w:docGrid w:linePitch="312" w:charSpace="0"/>
        </w:sectPr>
      </w:pPr>
    </w:p>
    <w:p>
      <w:pPr>
        <w:spacing w:line="320" w:lineRule="exact"/>
        <w:jc w:val="right"/>
        <w:rPr>
          <w:rFonts w:hint="eastAsia" w:ascii="宋体" w:hAnsi="宋体" w:eastAsia="宋体" w:cs="宋体"/>
          <w:color w:val="auto"/>
          <w:szCs w:val="21"/>
        </w:rPr>
      </w:pPr>
      <w:r>
        <w:rPr>
          <w:rFonts w:hint="eastAsia" w:ascii="宋体" w:hAnsi="宋体" w:eastAsia="宋体" w:cs="宋体"/>
          <w:color w:val="auto"/>
          <w:szCs w:val="21"/>
        </w:rPr>
        <w:t>续上表</w:t>
      </w:r>
    </w:p>
    <w:tbl>
      <w:tblPr>
        <w:tblStyle w:val="8"/>
        <w:tblW w:w="9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9"/>
        <w:gridCol w:w="2241"/>
        <w:gridCol w:w="59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869" w:type="dxa"/>
            <w:noWrap w:val="0"/>
            <w:vAlign w:val="center"/>
          </w:tcPr>
          <w:p>
            <w:pPr>
              <w:spacing w:line="320" w:lineRule="exact"/>
              <w:ind w:right="27"/>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2241" w:type="dxa"/>
            <w:noWrap w:val="0"/>
            <w:vAlign w:val="center"/>
          </w:tcPr>
          <w:p>
            <w:pPr>
              <w:spacing w:line="320" w:lineRule="exact"/>
              <w:ind w:right="113"/>
              <w:jc w:val="center"/>
              <w:rPr>
                <w:rFonts w:hint="eastAsia" w:ascii="宋体" w:hAnsi="宋体" w:eastAsia="宋体" w:cs="宋体"/>
                <w:b/>
                <w:color w:val="auto"/>
                <w:szCs w:val="21"/>
              </w:rPr>
            </w:pPr>
            <w:r>
              <w:rPr>
                <w:rFonts w:hint="eastAsia" w:ascii="宋体" w:hAnsi="宋体" w:eastAsia="宋体" w:cs="宋体"/>
                <w:b/>
                <w:color w:val="auto"/>
                <w:szCs w:val="21"/>
              </w:rPr>
              <w:t>条款内容</w:t>
            </w:r>
          </w:p>
        </w:tc>
        <w:tc>
          <w:tcPr>
            <w:tcW w:w="5942" w:type="dxa"/>
            <w:noWrap w:val="0"/>
            <w:vAlign w:val="center"/>
          </w:tcPr>
          <w:p>
            <w:pPr>
              <w:spacing w:line="320" w:lineRule="exact"/>
              <w:ind w:right="113"/>
              <w:jc w:val="center"/>
              <w:rPr>
                <w:rFonts w:hint="eastAsia" w:ascii="宋体" w:hAnsi="宋体" w:eastAsia="宋体" w:cs="宋体"/>
                <w:b/>
                <w:color w:val="auto"/>
                <w:szCs w:val="21"/>
              </w:rPr>
            </w:pPr>
            <w:r>
              <w:rPr>
                <w:rFonts w:hint="eastAsia" w:ascii="宋体" w:hAnsi="宋体" w:eastAsia="宋体" w:cs="宋体"/>
                <w:b/>
                <w:color w:val="auto"/>
                <w:szCs w:val="21"/>
              </w:rPr>
              <w:t>编列内容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4" w:hRule="atLeast"/>
          <w:jc w:val="center"/>
        </w:trPr>
        <w:tc>
          <w:tcPr>
            <w:tcW w:w="869" w:type="dxa"/>
            <w:noWrap w:val="0"/>
            <w:vAlign w:val="center"/>
          </w:tcPr>
          <w:p>
            <w:pPr>
              <w:spacing w:line="320" w:lineRule="exact"/>
              <w:ind w:right="27"/>
              <w:jc w:val="center"/>
              <w:rPr>
                <w:rFonts w:hint="eastAsia" w:ascii="宋体" w:hAnsi="宋体" w:eastAsia="宋体" w:cs="宋体"/>
                <w:color w:val="auto"/>
                <w:szCs w:val="21"/>
              </w:rPr>
            </w:pPr>
            <w:r>
              <w:rPr>
                <w:rFonts w:hint="eastAsia" w:ascii="宋体" w:hAnsi="宋体" w:eastAsia="宋体" w:cs="宋体"/>
                <w:color w:val="auto"/>
                <w:szCs w:val="21"/>
              </w:rPr>
              <w:t>2.2.1</w:t>
            </w:r>
          </w:p>
        </w:tc>
        <w:tc>
          <w:tcPr>
            <w:tcW w:w="2241" w:type="dxa"/>
            <w:noWrap w:val="0"/>
            <w:vAlign w:val="center"/>
          </w:tcPr>
          <w:p>
            <w:pPr>
              <w:spacing w:line="320" w:lineRule="exact"/>
              <w:ind w:right="113"/>
              <w:jc w:val="center"/>
              <w:rPr>
                <w:rFonts w:hint="eastAsia" w:ascii="宋体" w:hAnsi="宋体" w:eastAsia="宋体" w:cs="宋体"/>
                <w:color w:val="auto"/>
                <w:szCs w:val="21"/>
              </w:rPr>
            </w:pPr>
            <w:r>
              <w:rPr>
                <w:rFonts w:hint="eastAsia" w:ascii="宋体" w:hAnsi="宋体" w:eastAsia="宋体" w:cs="宋体"/>
                <w:color w:val="auto"/>
                <w:szCs w:val="21"/>
              </w:rPr>
              <w:t>分值构成</w:t>
            </w:r>
          </w:p>
          <w:p>
            <w:pPr>
              <w:spacing w:line="320" w:lineRule="exact"/>
              <w:ind w:right="113"/>
              <w:jc w:val="center"/>
              <w:rPr>
                <w:rFonts w:hint="eastAsia" w:ascii="宋体" w:hAnsi="宋体" w:eastAsia="宋体" w:cs="宋体"/>
                <w:color w:val="auto"/>
                <w:szCs w:val="21"/>
              </w:rPr>
            </w:pPr>
            <w:r>
              <w:rPr>
                <w:rFonts w:hint="eastAsia" w:ascii="宋体" w:hAnsi="宋体" w:eastAsia="宋体" w:cs="宋体"/>
                <w:color w:val="auto"/>
                <w:szCs w:val="21"/>
              </w:rPr>
              <w:t>（总分100分）</w:t>
            </w:r>
          </w:p>
        </w:tc>
        <w:tc>
          <w:tcPr>
            <w:tcW w:w="5942" w:type="dxa"/>
            <w:noWrap w:val="0"/>
            <w:vAlign w:val="center"/>
          </w:tcPr>
          <w:p>
            <w:pPr>
              <w:spacing w:line="320" w:lineRule="exact"/>
              <w:ind w:left="113" w:leftChars="54" w:right="113" w:firstLine="417" w:firstLineChars="199"/>
              <w:rPr>
                <w:rFonts w:hint="eastAsia" w:ascii="宋体" w:hAnsi="宋体" w:eastAsia="宋体" w:cs="宋体"/>
                <w:color w:val="auto"/>
                <w:szCs w:val="21"/>
              </w:rPr>
            </w:pPr>
            <w:r>
              <w:rPr>
                <w:rFonts w:hint="eastAsia" w:ascii="宋体" w:hAnsi="宋体" w:eastAsia="宋体" w:cs="宋体"/>
                <w:color w:val="auto"/>
                <w:szCs w:val="21"/>
              </w:rPr>
              <w:t>第一个信封（商务及技术文件）评分分值构成：</w:t>
            </w:r>
          </w:p>
          <w:p>
            <w:pPr>
              <w:spacing w:line="320" w:lineRule="exact"/>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技术建议书：35分</w:t>
            </w:r>
          </w:p>
          <w:p>
            <w:pPr>
              <w:spacing w:line="320" w:lineRule="exact"/>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主要人员：25分</w:t>
            </w:r>
          </w:p>
          <w:p>
            <w:pPr>
              <w:spacing w:line="320" w:lineRule="exact"/>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业绩： 20分</w:t>
            </w:r>
          </w:p>
          <w:p>
            <w:pPr>
              <w:spacing w:line="320" w:lineRule="exact"/>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履约信誉：10分</w:t>
            </w:r>
          </w:p>
          <w:p>
            <w:pPr>
              <w:spacing w:line="320" w:lineRule="exact"/>
              <w:ind w:left="113" w:leftChars="54" w:right="113" w:firstLine="417" w:firstLineChars="199"/>
              <w:rPr>
                <w:rFonts w:hint="eastAsia" w:ascii="宋体" w:hAnsi="宋体" w:eastAsia="宋体" w:cs="宋体"/>
                <w:color w:val="auto"/>
                <w:szCs w:val="21"/>
              </w:rPr>
            </w:pPr>
            <w:r>
              <w:rPr>
                <w:rFonts w:hint="eastAsia" w:ascii="宋体" w:hAnsi="宋体" w:eastAsia="宋体" w:cs="宋体"/>
                <w:color w:val="auto"/>
                <w:szCs w:val="21"/>
              </w:rPr>
              <w:t>第二个信封（报价文件）评分分值构成：</w:t>
            </w:r>
          </w:p>
          <w:p>
            <w:pPr>
              <w:spacing w:line="320" w:lineRule="exact"/>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评标价：10分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5" w:hRule="atLeast"/>
          <w:jc w:val="center"/>
        </w:trPr>
        <w:tc>
          <w:tcPr>
            <w:tcW w:w="869" w:type="dxa"/>
            <w:noWrap w:val="0"/>
            <w:vAlign w:val="center"/>
          </w:tcPr>
          <w:p>
            <w:pPr>
              <w:ind w:right="27"/>
              <w:jc w:val="center"/>
              <w:rPr>
                <w:rFonts w:hint="eastAsia" w:ascii="宋体" w:hAnsi="宋体" w:eastAsia="宋体" w:cs="宋体"/>
                <w:color w:val="auto"/>
                <w:szCs w:val="21"/>
              </w:rPr>
            </w:pPr>
            <w:r>
              <w:rPr>
                <w:rFonts w:hint="eastAsia" w:ascii="宋体" w:hAnsi="宋体" w:eastAsia="宋体" w:cs="宋体"/>
                <w:color w:val="auto"/>
                <w:szCs w:val="21"/>
              </w:rPr>
              <w:t>2.2.2</w:t>
            </w:r>
          </w:p>
        </w:tc>
        <w:tc>
          <w:tcPr>
            <w:tcW w:w="2241" w:type="dxa"/>
            <w:noWrap w:val="0"/>
            <w:vAlign w:val="center"/>
          </w:tcPr>
          <w:p>
            <w:pPr>
              <w:ind w:left="113" w:right="113"/>
              <w:jc w:val="center"/>
              <w:rPr>
                <w:rFonts w:hint="eastAsia" w:ascii="宋体" w:hAnsi="宋体" w:eastAsia="宋体" w:cs="宋体"/>
                <w:color w:val="auto"/>
                <w:szCs w:val="21"/>
              </w:rPr>
            </w:pPr>
            <w:r>
              <w:rPr>
                <w:rFonts w:hint="eastAsia" w:ascii="宋体" w:hAnsi="宋体" w:eastAsia="宋体" w:cs="宋体"/>
                <w:color w:val="auto"/>
                <w:szCs w:val="21"/>
              </w:rPr>
              <w:t>评标基准价</w:t>
            </w:r>
          </w:p>
          <w:p>
            <w:pPr>
              <w:ind w:left="113" w:right="113"/>
              <w:jc w:val="center"/>
              <w:rPr>
                <w:rFonts w:hint="eastAsia" w:ascii="宋体" w:hAnsi="宋体" w:eastAsia="宋体" w:cs="宋体"/>
                <w:color w:val="auto"/>
                <w:szCs w:val="21"/>
              </w:rPr>
            </w:pPr>
            <w:r>
              <w:rPr>
                <w:rFonts w:hint="eastAsia" w:ascii="宋体" w:hAnsi="宋体" w:eastAsia="宋体" w:cs="宋体"/>
                <w:color w:val="auto"/>
                <w:szCs w:val="21"/>
              </w:rPr>
              <w:t>计算方法</w:t>
            </w:r>
          </w:p>
        </w:tc>
        <w:tc>
          <w:tcPr>
            <w:tcW w:w="5942" w:type="dxa"/>
            <w:noWrap w:val="0"/>
            <w:vAlign w:val="center"/>
          </w:tcPr>
          <w:p>
            <w:pPr>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评标基准价的计算：</w:t>
            </w:r>
          </w:p>
          <w:p>
            <w:pPr>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在开标现场，招标人将当场计算并宣布评标基准价。</w:t>
            </w:r>
          </w:p>
          <w:p>
            <w:pPr>
              <w:ind w:left="113" w:leftChars="54" w:right="113" w:firstLine="315" w:firstLineChars="150"/>
              <w:rPr>
                <w:rFonts w:hint="eastAsia" w:ascii="宋体" w:hAnsi="宋体" w:eastAsia="宋体" w:cs="宋体"/>
                <w:color w:val="auto"/>
                <w:szCs w:val="21"/>
              </w:rPr>
            </w:pPr>
            <w:r>
              <w:rPr>
                <w:rFonts w:hint="eastAsia" w:ascii="宋体" w:hAnsi="宋体" w:eastAsia="宋体" w:cs="宋体"/>
                <w:color w:val="auto"/>
                <w:szCs w:val="21"/>
              </w:rPr>
              <w:t>（1）评标价的确定：</w:t>
            </w:r>
          </w:p>
          <w:p>
            <w:pPr>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评标价=投标函文字报价</w:t>
            </w:r>
          </w:p>
          <w:p>
            <w:pPr>
              <w:ind w:left="113" w:leftChars="54" w:right="113" w:firstLine="315" w:firstLineChars="150"/>
              <w:rPr>
                <w:rFonts w:hint="eastAsia" w:ascii="宋体" w:hAnsi="宋体" w:eastAsia="宋体" w:cs="宋体"/>
                <w:color w:val="auto"/>
                <w:szCs w:val="21"/>
              </w:rPr>
            </w:pPr>
            <w:r>
              <w:rPr>
                <w:rFonts w:hint="eastAsia" w:ascii="宋体" w:hAnsi="宋体" w:eastAsia="宋体" w:cs="宋体"/>
                <w:color w:val="auto"/>
                <w:szCs w:val="21"/>
              </w:rPr>
              <w:t>（2）评标价平均值的计算：</w:t>
            </w:r>
          </w:p>
          <w:p>
            <w:pPr>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除按第二章“投标人须知”第5.2.4项规定开标现场被宣布为不进入评标基准价计算的投标报价之外，所有投标人的评标价去掉一个最高值和一个最低值后的算术平均值即为评标价平均值</w:t>
            </w:r>
            <w:r>
              <w:rPr>
                <w:rFonts w:hint="eastAsia" w:ascii="宋体" w:hAnsi="宋体" w:eastAsia="宋体" w:cs="宋体"/>
                <w:bCs/>
                <w:color w:val="auto"/>
                <w:szCs w:val="21"/>
              </w:rPr>
              <w:t>（如果参与评标价平均值计算的有效投标人少于5家时，则计算评标价平均值时不去掉最高值和最低值），评标价平均值的计算保留2位小数，小数点后第3位“四舍五入”。</w:t>
            </w:r>
          </w:p>
          <w:p>
            <w:pPr>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（3）评标基准价的确定：</w:t>
            </w:r>
          </w:p>
          <w:p>
            <w:pPr>
              <w:ind w:left="113" w:leftChars="54"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将评标价平均值直接作为评标基准价。</w:t>
            </w:r>
          </w:p>
          <w:p>
            <w:pPr>
              <w:spacing w:line="320" w:lineRule="exact"/>
              <w:ind w:left="113" w:leftChars="54" w:right="113" w:firstLine="417" w:firstLineChars="199"/>
              <w:rPr>
                <w:rFonts w:hint="eastAsia" w:ascii="宋体" w:hAnsi="宋体" w:eastAsia="宋体" w:cs="宋体"/>
                <w:color w:val="auto"/>
                <w:szCs w:val="21"/>
              </w:rPr>
            </w:pPr>
            <w:r>
              <w:rPr>
                <w:rFonts w:hint="eastAsia" w:ascii="宋体" w:hAnsi="宋体" w:eastAsia="宋体" w:cs="宋体"/>
                <w:color w:val="auto"/>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jc w:val="center"/>
        </w:trPr>
        <w:tc>
          <w:tcPr>
            <w:tcW w:w="869" w:type="dxa"/>
            <w:noWrap w:val="0"/>
            <w:vAlign w:val="center"/>
          </w:tcPr>
          <w:p>
            <w:pPr>
              <w:ind w:right="27"/>
              <w:jc w:val="center"/>
              <w:rPr>
                <w:rFonts w:hint="eastAsia" w:ascii="宋体" w:hAnsi="宋体" w:eastAsia="宋体" w:cs="宋体"/>
                <w:color w:val="auto"/>
                <w:szCs w:val="21"/>
              </w:rPr>
            </w:pPr>
            <w:r>
              <w:rPr>
                <w:rFonts w:hint="eastAsia" w:ascii="宋体" w:hAnsi="宋体" w:eastAsia="宋体" w:cs="宋体"/>
                <w:color w:val="auto"/>
                <w:szCs w:val="21"/>
              </w:rPr>
              <w:t>2.2.3</w:t>
            </w:r>
          </w:p>
        </w:tc>
        <w:tc>
          <w:tcPr>
            <w:tcW w:w="2241" w:type="dxa"/>
            <w:noWrap w:val="0"/>
            <w:vAlign w:val="center"/>
          </w:tcPr>
          <w:p>
            <w:pPr>
              <w:ind w:left="113" w:right="113"/>
              <w:jc w:val="center"/>
              <w:rPr>
                <w:rFonts w:hint="eastAsia" w:ascii="宋体" w:hAnsi="宋体" w:eastAsia="宋体" w:cs="宋体"/>
                <w:color w:val="auto"/>
                <w:szCs w:val="21"/>
              </w:rPr>
            </w:pPr>
            <w:r>
              <w:rPr>
                <w:rFonts w:hint="eastAsia" w:ascii="宋体" w:hAnsi="宋体" w:eastAsia="宋体" w:cs="宋体"/>
                <w:color w:val="auto"/>
                <w:szCs w:val="21"/>
              </w:rPr>
              <w:t>评标价的偏差率</w:t>
            </w:r>
          </w:p>
          <w:p>
            <w:pPr>
              <w:ind w:left="113" w:right="113"/>
              <w:jc w:val="center"/>
              <w:rPr>
                <w:rFonts w:hint="eastAsia" w:ascii="宋体" w:hAnsi="宋体" w:eastAsia="宋体" w:cs="宋体"/>
                <w:color w:val="auto"/>
                <w:szCs w:val="21"/>
              </w:rPr>
            </w:pPr>
            <w:r>
              <w:rPr>
                <w:rFonts w:hint="eastAsia" w:ascii="宋体" w:hAnsi="宋体" w:eastAsia="宋体" w:cs="宋体"/>
                <w:color w:val="auto"/>
                <w:szCs w:val="21"/>
              </w:rPr>
              <w:t>计算公式</w:t>
            </w:r>
          </w:p>
        </w:tc>
        <w:tc>
          <w:tcPr>
            <w:tcW w:w="5942" w:type="dxa"/>
            <w:noWrap w:val="0"/>
            <w:vAlign w:val="center"/>
          </w:tcPr>
          <w:p>
            <w:pPr>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偏差率=100%×（投标人评标价-评标基准价）/评标基准价</w:t>
            </w:r>
          </w:p>
          <w:p>
            <w:pPr>
              <w:ind w:firstLine="420" w:firstLineChars="200"/>
              <w:jc w:val="left"/>
              <w:rPr>
                <w:rFonts w:hint="eastAsia" w:ascii="宋体" w:hAnsi="宋体" w:eastAsia="宋体" w:cs="宋体"/>
                <w:b/>
                <w:color w:val="auto"/>
                <w:szCs w:val="21"/>
              </w:rPr>
            </w:pPr>
            <w:r>
              <w:rPr>
                <w:rFonts w:hint="eastAsia" w:ascii="宋体" w:hAnsi="宋体" w:eastAsia="宋体" w:cs="宋体"/>
                <w:color w:val="auto"/>
                <w:szCs w:val="21"/>
              </w:rPr>
              <w:t>偏差率保留2位小数，例如**.**%</w:t>
            </w:r>
          </w:p>
        </w:tc>
      </w:tr>
    </w:tbl>
    <w:p>
      <w:pPr>
        <w:wordWrap w:val="0"/>
        <w:jc w:val="right"/>
        <w:rPr>
          <w:rFonts w:hint="eastAsia" w:ascii="宋体" w:hAnsi="宋体" w:eastAsia="宋体" w:cs="宋体"/>
          <w:color w:val="auto"/>
          <w:szCs w:val="21"/>
        </w:rPr>
      </w:pPr>
      <w:r>
        <w:rPr>
          <w:rFonts w:hint="eastAsia" w:ascii="宋体" w:hAnsi="宋体" w:eastAsia="宋体" w:cs="宋体"/>
          <w:color w:val="auto"/>
          <w:szCs w:val="21"/>
        </w:rPr>
        <w:br w:type="page"/>
      </w:r>
      <w:r>
        <w:rPr>
          <w:rFonts w:hint="eastAsia" w:ascii="宋体" w:hAnsi="宋体" w:eastAsia="宋体" w:cs="宋体"/>
          <w:color w:val="auto"/>
          <w:szCs w:val="21"/>
        </w:rPr>
        <w:t>续上表</w:t>
      </w:r>
    </w:p>
    <w:tbl>
      <w:tblPr>
        <w:tblStyle w:val="8"/>
        <w:tblW w:w="919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39"/>
        <w:gridCol w:w="645"/>
        <w:gridCol w:w="599"/>
        <w:gridCol w:w="1199"/>
        <w:gridCol w:w="2077"/>
        <w:gridCol w:w="46"/>
        <w:gridCol w:w="792"/>
        <w:gridCol w:w="28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426" w:type="pct"/>
            <w:gridSpan w:val="7"/>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评分因素与权重分值</w:t>
            </w:r>
            <w:r>
              <w:rPr>
                <w:rStyle w:val="11"/>
                <w:rFonts w:hint="eastAsia" w:ascii="宋体" w:hAnsi="宋体" w:eastAsia="宋体" w:cs="宋体"/>
                <w:color w:val="auto"/>
                <w:szCs w:val="21"/>
              </w:rPr>
              <w:footnoteReference w:id="1"/>
            </w:r>
          </w:p>
        </w:tc>
        <w:tc>
          <w:tcPr>
            <w:tcW w:w="1574" w:type="pct"/>
            <w:vMerge w:val="restart"/>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11" w:type="pct"/>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677" w:type="pct"/>
            <w:gridSpan w:val="2"/>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评分因素</w:t>
            </w:r>
          </w:p>
        </w:tc>
        <w:tc>
          <w:tcPr>
            <w:tcW w:w="652" w:type="pct"/>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评分因素</w:t>
            </w:r>
          </w:p>
          <w:p>
            <w:pPr>
              <w:jc w:val="center"/>
              <w:rPr>
                <w:rFonts w:hint="eastAsia" w:ascii="宋体" w:hAnsi="宋体" w:eastAsia="宋体" w:cs="宋体"/>
                <w:b/>
                <w:color w:val="auto"/>
                <w:szCs w:val="21"/>
              </w:rPr>
            </w:pPr>
            <w:r>
              <w:rPr>
                <w:rFonts w:hint="eastAsia" w:ascii="宋体" w:hAnsi="宋体" w:eastAsia="宋体" w:cs="宋体"/>
                <w:b/>
                <w:color w:val="auto"/>
                <w:szCs w:val="21"/>
              </w:rPr>
              <w:t>权重分值</w:t>
            </w:r>
          </w:p>
        </w:tc>
        <w:tc>
          <w:tcPr>
            <w:tcW w:w="1155" w:type="pct"/>
            <w:gridSpan w:val="2"/>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各评分因素细分项</w:t>
            </w:r>
          </w:p>
        </w:tc>
        <w:tc>
          <w:tcPr>
            <w:tcW w:w="431" w:type="pct"/>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分值</w:t>
            </w:r>
          </w:p>
        </w:tc>
        <w:tc>
          <w:tcPr>
            <w:tcW w:w="1574" w:type="pct"/>
            <w:vMerge w:val="continue"/>
            <w:noWrap w:val="0"/>
            <w:vAlign w:val="center"/>
          </w:tcPr>
          <w:p>
            <w:pPr>
              <w:jc w:val="center"/>
              <w:rPr>
                <w:rFonts w:hint="eastAsia"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0" w:hRule="exact"/>
          <w:jc w:val="center"/>
        </w:trPr>
        <w:tc>
          <w:tcPr>
            <w:tcW w:w="511"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2.2.4（1）</w:t>
            </w:r>
          </w:p>
        </w:tc>
        <w:tc>
          <w:tcPr>
            <w:tcW w:w="677" w:type="pct"/>
            <w:gridSpan w:val="2"/>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技术</w:t>
            </w:r>
          </w:p>
          <w:p>
            <w:pPr>
              <w:jc w:val="center"/>
              <w:rPr>
                <w:rFonts w:hint="eastAsia" w:ascii="宋体" w:hAnsi="宋体" w:eastAsia="宋体" w:cs="宋体"/>
                <w:color w:val="auto"/>
                <w:szCs w:val="21"/>
              </w:rPr>
            </w:pPr>
            <w:r>
              <w:rPr>
                <w:rFonts w:hint="eastAsia" w:ascii="宋体" w:hAnsi="宋体" w:eastAsia="宋体" w:cs="宋体"/>
                <w:color w:val="auto"/>
                <w:szCs w:val="21"/>
              </w:rPr>
              <w:t>建议书</w:t>
            </w:r>
          </w:p>
        </w:tc>
        <w:tc>
          <w:tcPr>
            <w:tcW w:w="652"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 xml:space="preserve"> 35 分</w:t>
            </w:r>
          </w:p>
        </w:tc>
        <w:tc>
          <w:tcPr>
            <w:tcW w:w="1155" w:type="pct"/>
            <w:gridSpan w:val="2"/>
            <w:noWrap w:val="0"/>
            <w:vAlign w:val="center"/>
          </w:tcPr>
          <w:p>
            <w:pPr>
              <w:ind w:right="113"/>
              <w:rPr>
                <w:rFonts w:hint="eastAsia" w:ascii="宋体" w:hAnsi="宋体" w:eastAsia="宋体" w:cs="宋体"/>
                <w:color w:val="auto"/>
                <w:szCs w:val="21"/>
              </w:rPr>
            </w:pPr>
            <w:r>
              <w:rPr>
                <w:rFonts w:hint="eastAsia" w:ascii="宋体" w:hAnsi="宋体" w:eastAsia="宋体" w:cs="宋体"/>
                <w:color w:val="auto"/>
                <w:szCs w:val="21"/>
              </w:rPr>
              <w:t>监理大纲（或监理方案）和措施</w:t>
            </w:r>
          </w:p>
        </w:tc>
        <w:tc>
          <w:tcPr>
            <w:tcW w:w="43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25分</w:t>
            </w:r>
          </w:p>
        </w:tc>
        <w:tc>
          <w:tcPr>
            <w:tcW w:w="1574" w:type="pct"/>
            <w:noWrap w:val="0"/>
            <w:vAlign w:val="center"/>
          </w:tcPr>
          <w:p>
            <w:pPr>
              <w:jc w:val="left"/>
              <w:rPr>
                <w:rFonts w:hint="eastAsia" w:ascii="宋体" w:hAnsi="宋体" w:eastAsia="宋体" w:cs="宋体"/>
                <w:color w:val="auto"/>
                <w:kern w:val="0"/>
                <w:szCs w:val="21"/>
              </w:rPr>
            </w:pPr>
            <w:r>
              <w:rPr>
                <w:rFonts w:hint="eastAsia" w:ascii="宋体" w:hAnsi="宋体" w:eastAsia="宋体" w:cs="宋体"/>
                <w:color w:val="auto"/>
                <w:kern w:val="0"/>
                <w:szCs w:val="21"/>
              </w:rPr>
              <w:t>好，20-25分；</w:t>
            </w:r>
          </w:p>
          <w:p>
            <w:pPr>
              <w:jc w:val="left"/>
              <w:rPr>
                <w:rFonts w:hint="eastAsia" w:ascii="宋体" w:hAnsi="宋体" w:eastAsia="宋体" w:cs="宋体"/>
                <w:color w:val="auto"/>
                <w:kern w:val="0"/>
                <w:szCs w:val="21"/>
              </w:rPr>
            </w:pPr>
            <w:r>
              <w:rPr>
                <w:rFonts w:hint="eastAsia" w:ascii="宋体" w:hAnsi="宋体" w:eastAsia="宋体" w:cs="宋体"/>
                <w:color w:val="auto"/>
                <w:kern w:val="0"/>
                <w:szCs w:val="21"/>
              </w:rPr>
              <w:t>较好，15-20分；</w:t>
            </w:r>
          </w:p>
          <w:p>
            <w:pPr>
              <w:jc w:val="left"/>
              <w:rPr>
                <w:rFonts w:hint="eastAsia" w:ascii="宋体" w:hAnsi="宋体" w:eastAsia="宋体" w:cs="宋体"/>
                <w:color w:val="auto"/>
                <w:szCs w:val="21"/>
              </w:rPr>
            </w:pPr>
            <w:r>
              <w:rPr>
                <w:rFonts w:hint="eastAsia" w:ascii="宋体" w:hAnsi="宋体" w:eastAsia="宋体" w:cs="宋体"/>
                <w:color w:val="auto"/>
                <w:kern w:val="0"/>
                <w:szCs w:val="21"/>
              </w:rPr>
              <w:t>一般，15分。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511" w:type="pct"/>
            <w:vMerge w:val="continue"/>
            <w:noWrap w:val="0"/>
            <w:vAlign w:val="center"/>
          </w:tcPr>
          <w:p>
            <w:pPr>
              <w:jc w:val="center"/>
              <w:rPr>
                <w:rFonts w:hint="eastAsia" w:ascii="宋体" w:hAnsi="宋体" w:eastAsia="宋体" w:cs="宋体"/>
                <w:color w:val="auto"/>
                <w:szCs w:val="21"/>
              </w:rPr>
            </w:pPr>
          </w:p>
        </w:tc>
        <w:tc>
          <w:tcPr>
            <w:tcW w:w="677" w:type="pct"/>
            <w:gridSpan w:val="2"/>
            <w:vMerge w:val="continue"/>
            <w:noWrap w:val="0"/>
            <w:vAlign w:val="center"/>
          </w:tcPr>
          <w:p>
            <w:pPr>
              <w:jc w:val="center"/>
              <w:rPr>
                <w:rFonts w:hint="eastAsia" w:ascii="宋体" w:hAnsi="宋体" w:eastAsia="宋体" w:cs="宋体"/>
                <w:color w:val="auto"/>
                <w:szCs w:val="21"/>
              </w:rPr>
            </w:pPr>
          </w:p>
        </w:tc>
        <w:tc>
          <w:tcPr>
            <w:tcW w:w="652" w:type="pct"/>
            <w:vMerge w:val="continue"/>
            <w:noWrap w:val="0"/>
            <w:vAlign w:val="center"/>
          </w:tcPr>
          <w:p>
            <w:pPr>
              <w:jc w:val="center"/>
              <w:rPr>
                <w:rFonts w:hint="eastAsia" w:ascii="宋体" w:hAnsi="宋体" w:eastAsia="宋体" w:cs="宋体"/>
                <w:color w:val="auto"/>
                <w:szCs w:val="21"/>
              </w:rPr>
            </w:pPr>
          </w:p>
        </w:tc>
        <w:tc>
          <w:tcPr>
            <w:tcW w:w="1155" w:type="pct"/>
            <w:gridSpan w:val="2"/>
            <w:noWrap w:val="0"/>
            <w:vAlign w:val="center"/>
          </w:tcPr>
          <w:p>
            <w:pPr>
              <w:ind w:right="-46"/>
              <w:rPr>
                <w:rFonts w:hint="eastAsia" w:ascii="宋体" w:hAnsi="宋体" w:eastAsia="宋体" w:cs="宋体"/>
                <w:color w:val="auto"/>
                <w:szCs w:val="21"/>
              </w:rPr>
            </w:pPr>
            <w:r>
              <w:rPr>
                <w:rFonts w:hint="eastAsia" w:ascii="宋体" w:hAnsi="宋体" w:eastAsia="宋体" w:cs="宋体"/>
                <w:color w:val="auto"/>
                <w:szCs w:val="21"/>
              </w:rPr>
              <w:t>本工程监理工作的重点与难点分析</w:t>
            </w:r>
          </w:p>
        </w:tc>
        <w:tc>
          <w:tcPr>
            <w:tcW w:w="43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 xml:space="preserve"> 5分</w:t>
            </w:r>
          </w:p>
        </w:tc>
        <w:tc>
          <w:tcPr>
            <w:tcW w:w="1574" w:type="pct"/>
            <w:noWrap w:val="0"/>
            <w:vAlign w:val="center"/>
          </w:tcPr>
          <w:p>
            <w:pPr>
              <w:jc w:val="left"/>
              <w:rPr>
                <w:rFonts w:hint="eastAsia" w:ascii="宋体" w:hAnsi="宋体" w:eastAsia="宋体" w:cs="宋体"/>
                <w:color w:val="auto"/>
                <w:kern w:val="0"/>
                <w:szCs w:val="21"/>
              </w:rPr>
            </w:pPr>
            <w:r>
              <w:rPr>
                <w:rFonts w:hint="eastAsia" w:ascii="宋体" w:hAnsi="宋体" w:eastAsia="宋体" w:cs="宋体"/>
                <w:color w:val="auto"/>
                <w:kern w:val="0"/>
                <w:szCs w:val="21"/>
              </w:rPr>
              <w:t>好，4-5分；</w:t>
            </w:r>
          </w:p>
          <w:p>
            <w:pPr>
              <w:jc w:val="left"/>
              <w:rPr>
                <w:rFonts w:hint="eastAsia" w:ascii="宋体" w:hAnsi="宋体" w:eastAsia="宋体" w:cs="宋体"/>
                <w:color w:val="auto"/>
                <w:kern w:val="0"/>
                <w:szCs w:val="21"/>
              </w:rPr>
            </w:pPr>
            <w:r>
              <w:rPr>
                <w:rFonts w:hint="eastAsia" w:ascii="宋体" w:hAnsi="宋体" w:eastAsia="宋体" w:cs="宋体"/>
                <w:color w:val="auto"/>
                <w:kern w:val="0"/>
                <w:szCs w:val="21"/>
              </w:rPr>
              <w:t>较好，3-4分；</w:t>
            </w:r>
          </w:p>
          <w:p>
            <w:pPr>
              <w:jc w:val="left"/>
              <w:rPr>
                <w:rFonts w:hint="eastAsia" w:ascii="宋体" w:hAnsi="宋体" w:eastAsia="宋体" w:cs="宋体"/>
                <w:color w:val="auto"/>
                <w:szCs w:val="21"/>
              </w:rPr>
            </w:pPr>
            <w:r>
              <w:rPr>
                <w:rFonts w:hint="eastAsia" w:ascii="宋体" w:hAnsi="宋体" w:eastAsia="宋体" w:cs="宋体"/>
                <w:color w:val="auto"/>
                <w:kern w:val="0"/>
                <w:szCs w:val="21"/>
              </w:rPr>
              <w:t>一般，3分。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81" w:hRule="exact"/>
          <w:jc w:val="center"/>
        </w:trPr>
        <w:tc>
          <w:tcPr>
            <w:tcW w:w="511" w:type="pct"/>
            <w:vMerge w:val="continue"/>
            <w:noWrap w:val="0"/>
            <w:vAlign w:val="center"/>
          </w:tcPr>
          <w:p>
            <w:pPr>
              <w:jc w:val="center"/>
              <w:rPr>
                <w:rFonts w:hint="eastAsia" w:ascii="宋体" w:hAnsi="宋体" w:eastAsia="宋体" w:cs="宋体"/>
                <w:color w:val="auto"/>
                <w:szCs w:val="21"/>
              </w:rPr>
            </w:pPr>
          </w:p>
        </w:tc>
        <w:tc>
          <w:tcPr>
            <w:tcW w:w="677" w:type="pct"/>
            <w:gridSpan w:val="2"/>
            <w:vMerge w:val="continue"/>
            <w:noWrap w:val="0"/>
            <w:vAlign w:val="center"/>
          </w:tcPr>
          <w:p>
            <w:pPr>
              <w:jc w:val="center"/>
              <w:rPr>
                <w:rFonts w:hint="eastAsia" w:ascii="宋体" w:hAnsi="宋体" w:eastAsia="宋体" w:cs="宋体"/>
                <w:color w:val="auto"/>
                <w:szCs w:val="21"/>
              </w:rPr>
            </w:pPr>
          </w:p>
        </w:tc>
        <w:tc>
          <w:tcPr>
            <w:tcW w:w="652" w:type="pct"/>
            <w:vMerge w:val="continue"/>
            <w:noWrap w:val="0"/>
            <w:vAlign w:val="center"/>
          </w:tcPr>
          <w:p>
            <w:pPr>
              <w:jc w:val="center"/>
              <w:rPr>
                <w:rFonts w:hint="eastAsia" w:ascii="宋体" w:hAnsi="宋体" w:eastAsia="宋体" w:cs="宋体"/>
                <w:color w:val="auto"/>
                <w:szCs w:val="21"/>
              </w:rPr>
            </w:pPr>
          </w:p>
        </w:tc>
        <w:tc>
          <w:tcPr>
            <w:tcW w:w="1155" w:type="pct"/>
            <w:gridSpan w:val="2"/>
            <w:noWrap w:val="0"/>
            <w:vAlign w:val="center"/>
          </w:tcPr>
          <w:p>
            <w:pPr>
              <w:ind w:right="113"/>
              <w:rPr>
                <w:rFonts w:hint="eastAsia" w:ascii="宋体" w:hAnsi="宋体" w:eastAsia="宋体" w:cs="宋体"/>
                <w:color w:val="auto"/>
                <w:szCs w:val="21"/>
              </w:rPr>
            </w:pPr>
            <w:r>
              <w:rPr>
                <w:rFonts w:hint="eastAsia" w:ascii="宋体" w:hAnsi="宋体" w:eastAsia="宋体" w:cs="宋体"/>
                <w:color w:val="auto"/>
                <w:szCs w:val="21"/>
              </w:rPr>
              <w:t>对本工程的建议</w:t>
            </w:r>
          </w:p>
        </w:tc>
        <w:tc>
          <w:tcPr>
            <w:tcW w:w="43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 xml:space="preserve"> 5分</w:t>
            </w:r>
          </w:p>
        </w:tc>
        <w:tc>
          <w:tcPr>
            <w:tcW w:w="1574" w:type="pct"/>
            <w:noWrap w:val="0"/>
            <w:vAlign w:val="center"/>
          </w:tcPr>
          <w:p>
            <w:pPr>
              <w:jc w:val="left"/>
              <w:rPr>
                <w:rFonts w:hint="eastAsia" w:ascii="宋体" w:hAnsi="宋体" w:eastAsia="宋体" w:cs="宋体"/>
                <w:color w:val="auto"/>
                <w:kern w:val="0"/>
                <w:szCs w:val="21"/>
              </w:rPr>
            </w:pPr>
            <w:r>
              <w:rPr>
                <w:rFonts w:hint="eastAsia" w:ascii="宋体" w:hAnsi="宋体" w:eastAsia="宋体" w:cs="宋体"/>
                <w:color w:val="auto"/>
                <w:kern w:val="0"/>
                <w:szCs w:val="21"/>
              </w:rPr>
              <w:t>好，4-5分；</w:t>
            </w:r>
          </w:p>
          <w:p>
            <w:pPr>
              <w:jc w:val="left"/>
              <w:rPr>
                <w:rFonts w:hint="eastAsia" w:ascii="宋体" w:hAnsi="宋体" w:eastAsia="宋体" w:cs="宋体"/>
                <w:color w:val="auto"/>
                <w:kern w:val="0"/>
                <w:szCs w:val="21"/>
              </w:rPr>
            </w:pPr>
            <w:r>
              <w:rPr>
                <w:rFonts w:hint="eastAsia" w:ascii="宋体" w:hAnsi="宋体" w:eastAsia="宋体" w:cs="宋体"/>
                <w:color w:val="auto"/>
                <w:kern w:val="0"/>
                <w:szCs w:val="21"/>
              </w:rPr>
              <w:t>较好，3-4分；</w:t>
            </w:r>
          </w:p>
          <w:p>
            <w:pPr>
              <w:jc w:val="left"/>
              <w:rPr>
                <w:rFonts w:hint="eastAsia" w:ascii="宋体" w:hAnsi="宋体" w:eastAsia="宋体" w:cs="宋体"/>
                <w:color w:val="auto"/>
                <w:szCs w:val="21"/>
              </w:rPr>
            </w:pPr>
            <w:r>
              <w:rPr>
                <w:rFonts w:hint="eastAsia" w:ascii="宋体" w:hAnsi="宋体" w:eastAsia="宋体" w:cs="宋体"/>
                <w:color w:val="auto"/>
                <w:kern w:val="0"/>
                <w:szCs w:val="21"/>
              </w:rPr>
              <w:t>一般，3分。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56" w:hRule="exact"/>
          <w:jc w:val="center"/>
        </w:trPr>
        <w:tc>
          <w:tcPr>
            <w:tcW w:w="51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2.2.4（2）</w:t>
            </w:r>
          </w:p>
        </w:tc>
        <w:tc>
          <w:tcPr>
            <w:tcW w:w="677" w:type="pct"/>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主要人员</w:t>
            </w:r>
          </w:p>
        </w:tc>
        <w:tc>
          <w:tcPr>
            <w:tcW w:w="652"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 xml:space="preserve"> 25 分</w:t>
            </w:r>
          </w:p>
        </w:tc>
        <w:tc>
          <w:tcPr>
            <w:tcW w:w="1155" w:type="pct"/>
            <w:gridSpan w:val="2"/>
            <w:noWrap w:val="0"/>
            <w:vAlign w:val="center"/>
          </w:tcPr>
          <w:p>
            <w:pPr>
              <w:ind w:right="113"/>
              <w:rPr>
                <w:rFonts w:hint="eastAsia" w:ascii="宋体" w:hAnsi="宋体" w:eastAsia="宋体" w:cs="宋体"/>
                <w:color w:val="auto"/>
                <w:szCs w:val="21"/>
              </w:rPr>
            </w:pPr>
            <w:r>
              <w:rPr>
                <w:rFonts w:hint="eastAsia" w:ascii="宋体" w:hAnsi="宋体" w:eastAsia="宋体" w:cs="宋体"/>
                <w:color w:val="auto"/>
                <w:szCs w:val="21"/>
              </w:rPr>
              <w:t>总监理工程师任职资格与业绩</w:t>
            </w:r>
          </w:p>
        </w:tc>
        <w:tc>
          <w:tcPr>
            <w:tcW w:w="43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25分</w:t>
            </w:r>
          </w:p>
        </w:tc>
        <w:tc>
          <w:tcPr>
            <w:tcW w:w="1574" w:type="pct"/>
            <w:noWrap w:val="0"/>
            <w:vAlign w:val="center"/>
          </w:tcPr>
          <w:p>
            <w:pPr>
              <w:ind w:left="-2" w:leftChars="-1" w:right="-29" w:rightChars="-14" w:firstLine="6" w:firstLineChars="3"/>
              <w:jc w:val="left"/>
              <w:rPr>
                <w:rFonts w:hint="eastAsia" w:ascii="宋体" w:hAnsi="宋体" w:eastAsia="宋体" w:cs="宋体"/>
                <w:color w:val="auto"/>
                <w:szCs w:val="21"/>
              </w:rPr>
            </w:pPr>
            <w:r>
              <w:rPr>
                <w:rFonts w:hint="eastAsia" w:ascii="宋体" w:hAnsi="宋体" w:eastAsia="宋体" w:cs="宋体"/>
                <w:color w:val="auto"/>
                <w:szCs w:val="21"/>
              </w:rPr>
              <w:t>（1）符合最低资格要求得15分；</w:t>
            </w:r>
          </w:p>
          <w:p>
            <w:pPr>
              <w:spacing w:before="20" w:line="229" w:lineRule="auto"/>
              <w:ind w:left="158" w:right="98" w:hanging="36"/>
              <w:rPr>
                <w:rFonts w:hint="eastAsia" w:ascii="宋体" w:hAnsi="宋体" w:eastAsia="宋体" w:cs="宋体"/>
                <w:color w:val="auto"/>
                <w:spacing w:val="-14"/>
                <w:szCs w:val="21"/>
              </w:rPr>
            </w:pPr>
            <w:r>
              <w:rPr>
                <w:rFonts w:hint="eastAsia" w:ascii="宋体" w:hAnsi="宋体" w:eastAsia="宋体" w:cs="宋体"/>
                <w:color w:val="auto"/>
                <w:spacing w:val="-2"/>
                <w:szCs w:val="21"/>
              </w:rPr>
              <w:t>(2</w:t>
            </w:r>
            <w:r>
              <w:rPr>
                <w:rFonts w:hint="eastAsia" w:ascii="宋体" w:hAnsi="宋体" w:eastAsia="宋体" w:cs="宋体"/>
                <w:color w:val="auto"/>
                <w:spacing w:val="-1"/>
                <w:szCs w:val="21"/>
              </w:rPr>
              <w:t>) 每担任过</w:t>
            </w:r>
            <w:r>
              <w:rPr>
                <w:rFonts w:hint="eastAsia" w:ascii="宋体" w:hAnsi="宋体" w:eastAsia="宋体" w:cs="宋体"/>
                <w:color w:val="auto"/>
                <w:szCs w:val="21"/>
              </w:rPr>
              <w:t>项一级或一级以上公路</w:t>
            </w:r>
            <w:r>
              <w:rPr>
                <w:rFonts w:hint="eastAsia" w:ascii="宋体" w:hAnsi="宋体" w:eastAsia="宋体" w:cs="宋体"/>
                <w:color w:val="auto"/>
                <w:spacing w:val="-1"/>
                <w:szCs w:val="21"/>
              </w:rPr>
              <w:t>路基工程或</w:t>
            </w:r>
            <w:r>
              <w:rPr>
                <w:rFonts w:hint="eastAsia" w:ascii="宋体" w:hAnsi="宋体" w:eastAsia="宋体" w:cs="宋体"/>
                <w:color w:val="auto"/>
                <w:szCs w:val="21"/>
              </w:rPr>
              <w:t>沥青凝土路面工程的总监理工程师或驻地</w:t>
            </w:r>
            <w:r>
              <w:rPr>
                <w:rFonts w:hint="eastAsia" w:ascii="宋体" w:hAnsi="宋体" w:eastAsia="宋体" w:cs="宋体"/>
                <w:color w:val="auto"/>
                <w:spacing w:val="-23"/>
                <w:szCs w:val="21"/>
              </w:rPr>
              <w:t>监</w:t>
            </w:r>
            <w:r>
              <w:rPr>
                <w:rFonts w:hint="eastAsia" w:ascii="宋体" w:hAnsi="宋体" w:eastAsia="宋体" w:cs="宋体"/>
                <w:color w:val="auto"/>
                <w:spacing w:val="-14"/>
                <w:szCs w:val="21"/>
              </w:rPr>
              <w:t>理工程师业绩加10分， 最多加 10分。</w:t>
            </w:r>
          </w:p>
          <w:p>
            <w:pPr>
              <w:spacing w:before="21" w:line="239" w:lineRule="auto"/>
              <w:ind w:right="143" w:firstLine="159" w:firstLineChars="84"/>
              <w:rPr>
                <w:rFonts w:hint="eastAsia" w:ascii="宋体" w:hAnsi="宋体" w:eastAsia="宋体" w:cs="宋体"/>
                <w:color w:val="auto"/>
                <w:szCs w:val="21"/>
              </w:rPr>
            </w:pPr>
            <w:r>
              <w:rPr>
                <w:rFonts w:hint="eastAsia" w:ascii="宋体" w:hAnsi="宋体" w:eastAsia="宋体" w:cs="宋体"/>
                <w:color w:val="auto"/>
                <w:spacing w:val="-10"/>
                <w:szCs w:val="21"/>
              </w:rPr>
              <w:t>备</w:t>
            </w:r>
            <w:r>
              <w:rPr>
                <w:rFonts w:hint="eastAsia" w:ascii="宋体" w:hAnsi="宋体" w:eastAsia="宋体" w:cs="宋体"/>
                <w:color w:val="auto"/>
                <w:spacing w:val="-6"/>
                <w:szCs w:val="21"/>
              </w:rPr>
              <w:t>注</w:t>
            </w:r>
            <w:r>
              <w:rPr>
                <w:rFonts w:hint="eastAsia" w:ascii="宋体" w:hAnsi="宋体" w:eastAsia="宋体" w:cs="宋体"/>
                <w:color w:val="auto"/>
                <w:spacing w:val="-5"/>
                <w:szCs w:val="21"/>
              </w:rPr>
              <w:t>： ①总监理工程师个人业绩均应为国内新</w:t>
            </w:r>
            <w:r>
              <w:rPr>
                <w:rFonts w:hint="eastAsia" w:ascii="宋体" w:hAnsi="宋体" w:eastAsia="宋体" w:cs="宋体"/>
                <w:color w:val="auto"/>
                <w:szCs w:val="21"/>
              </w:rPr>
              <w:t xml:space="preserve"> </w:t>
            </w:r>
            <w:r>
              <w:rPr>
                <w:rFonts w:hint="eastAsia" w:ascii="宋体" w:hAnsi="宋体" w:eastAsia="宋体" w:cs="宋体"/>
                <w:color w:val="auto"/>
                <w:spacing w:val="-2"/>
                <w:szCs w:val="21"/>
              </w:rPr>
              <w:t>建或改扩建或养护工程的</w:t>
            </w:r>
            <w:r>
              <w:rPr>
                <w:rFonts w:hint="eastAsia" w:ascii="宋体" w:hAnsi="宋体" w:eastAsia="宋体" w:cs="宋体"/>
                <w:color w:val="auto"/>
                <w:spacing w:val="-1"/>
                <w:szCs w:val="21"/>
              </w:rPr>
              <w:t>公路施工监理业绩；</w:t>
            </w:r>
          </w:p>
          <w:p>
            <w:pPr>
              <w:spacing w:line="218" w:lineRule="auto"/>
              <w:ind w:firstLine="174" w:firstLineChars="84"/>
              <w:rPr>
                <w:rFonts w:hint="eastAsia" w:ascii="宋体" w:hAnsi="宋体" w:eastAsia="宋体" w:cs="宋体"/>
                <w:color w:val="auto"/>
                <w:szCs w:val="21"/>
              </w:rPr>
            </w:pPr>
            <w:r>
              <w:rPr>
                <w:rFonts w:hint="eastAsia" w:ascii="宋体" w:hAnsi="宋体" w:eastAsia="宋体" w:cs="宋体"/>
                <w:color w:val="auto"/>
                <w:spacing w:val="-1"/>
                <w:szCs w:val="21"/>
              </w:rPr>
              <w:t>②个</w:t>
            </w:r>
            <w:r>
              <w:rPr>
                <w:rFonts w:hint="eastAsia" w:ascii="宋体" w:hAnsi="宋体" w:eastAsia="宋体" w:cs="宋体"/>
                <w:color w:val="auto"/>
                <w:szCs w:val="21"/>
              </w:rPr>
              <w:t>人业绩均应是已列入交通运输主管部门</w:t>
            </w:r>
            <w:r>
              <w:rPr>
                <w:rFonts w:hint="eastAsia" w:ascii="宋体" w:hAnsi="宋体" w:eastAsia="宋体" w:cs="宋体"/>
                <w:color w:val="auto"/>
                <w:spacing w:val="1"/>
                <w:szCs w:val="21"/>
              </w:rPr>
              <w:t>“公路建设市场信用信</w:t>
            </w:r>
            <w:r>
              <w:rPr>
                <w:rFonts w:hint="eastAsia" w:ascii="宋体" w:hAnsi="宋体" w:eastAsia="宋体" w:cs="宋体"/>
                <w:color w:val="auto"/>
                <w:szCs w:val="21"/>
              </w:rPr>
              <w:t xml:space="preserve">息管理系统” 总监理 </w:t>
            </w:r>
            <w:r>
              <w:rPr>
                <w:rFonts w:hint="eastAsia" w:ascii="宋体" w:hAnsi="宋体" w:eastAsia="宋体" w:cs="宋体"/>
                <w:color w:val="auto"/>
                <w:spacing w:val="-1"/>
                <w:szCs w:val="21"/>
              </w:rPr>
              <w:t>工程师或驻地</w:t>
            </w:r>
            <w:r>
              <w:rPr>
                <w:rFonts w:hint="eastAsia" w:ascii="宋体" w:hAnsi="宋体" w:eastAsia="宋体" w:cs="宋体"/>
                <w:color w:val="auto"/>
                <w:szCs w:val="21"/>
              </w:rPr>
              <w:t>监理工程师的业绩。</w:t>
            </w:r>
          </w:p>
          <w:p>
            <w:pPr>
              <w:ind w:firstLine="174" w:firstLineChars="84"/>
              <w:rPr>
                <w:rFonts w:hint="eastAsia" w:ascii="宋体" w:hAnsi="宋体" w:eastAsia="宋体" w:cs="宋体"/>
                <w:color w:val="auto"/>
                <w:szCs w:val="21"/>
              </w:rPr>
            </w:pPr>
            <w:r>
              <w:rPr>
                <w:rFonts w:hint="eastAsia" w:ascii="宋体" w:hAnsi="宋体" w:eastAsia="宋体" w:cs="宋体"/>
                <w:color w:val="auto"/>
                <w:spacing w:val="-1"/>
                <w:szCs w:val="21"/>
              </w:rPr>
              <w:t>③同</w:t>
            </w:r>
            <w:r>
              <w:rPr>
                <w:rFonts w:hint="eastAsia" w:ascii="宋体" w:hAnsi="宋体" w:eastAsia="宋体" w:cs="宋体"/>
                <w:color w:val="auto"/>
                <w:szCs w:val="21"/>
              </w:rPr>
              <w:t xml:space="preserve">一业绩内有路基、沥青混凝土路面施工监 </w:t>
            </w:r>
            <w:r>
              <w:rPr>
                <w:rFonts w:hint="eastAsia" w:ascii="宋体" w:hAnsi="宋体" w:eastAsia="宋体" w:cs="宋体"/>
                <w:color w:val="auto"/>
                <w:spacing w:val="-10"/>
                <w:szCs w:val="21"/>
              </w:rPr>
              <w:t>理业</w:t>
            </w:r>
            <w:r>
              <w:rPr>
                <w:rFonts w:hint="eastAsia" w:ascii="宋体" w:hAnsi="宋体" w:eastAsia="宋体" w:cs="宋体"/>
                <w:color w:val="auto"/>
                <w:spacing w:val="-6"/>
                <w:szCs w:val="21"/>
              </w:rPr>
              <w:t>绩</w:t>
            </w:r>
            <w:r>
              <w:rPr>
                <w:rFonts w:hint="eastAsia" w:ascii="宋体" w:hAnsi="宋体" w:eastAsia="宋体" w:cs="宋体"/>
                <w:color w:val="auto"/>
                <w:spacing w:val="-5"/>
                <w:szCs w:val="21"/>
              </w:rPr>
              <w:t>时，按相应类别业绩分别计算得分。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60" w:hRule="exact"/>
          <w:jc w:val="center"/>
        </w:trPr>
        <w:tc>
          <w:tcPr>
            <w:tcW w:w="51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2.2.4（3）</w:t>
            </w:r>
          </w:p>
        </w:tc>
        <w:tc>
          <w:tcPr>
            <w:tcW w:w="677" w:type="pct"/>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评标价</w:t>
            </w:r>
          </w:p>
        </w:tc>
        <w:tc>
          <w:tcPr>
            <w:tcW w:w="652"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 xml:space="preserve"> 10分</w:t>
            </w:r>
          </w:p>
        </w:tc>
        <w:tc>
          <w:tcPr>
            <w:tcW w:w="3160" w:type="pct"/>
            <w:gridSpan w:val="4"/>
            <w:noWrap w:val="0"/>
            <w:vAlign w:val="center"/>
          </w:tcPr>
          <w:p>
            <w:pPr>
              <w:ind w:right="113"/>
              <w:rPr>
                <w:rFonts w:hint="eastAsia" w:ascii="宋体" w:hAnsi="宋体" w:eastAsia="宋体" w:cs="宋体"/>
                <w:color w:val="auto"/>
                <w:szCs w:val="21"/>
              </w:rPr>
            </w:pPr>
            <w:r>
              <w:rPr>
                <w:rFonts w:hint="eastAsia" w:ascii="宋体" w:hAnsi="宋体" w:eastAsia="宋体" w:cs="宋体"/>
                <w:color w:val="auto"/>
                <w:szCs w:val="21"/>
              </w:rPr>
              <w:t>评标价得分计算：</w:t>
            </w:r>
          </w:p>
          <w:p>
            <w:pPr>
              <w:spacing w:line="320" w:lineRule="exact"/>
              <w:ind w:left="-11" w:leftChars="-37" w:right="113" w:hanging="67" w:hangingChars="32"/>
              <w:rPr>
                <w:rFonts w:hint="eastAsia" w:ascii="宋体" w:hAnsi="宋体" w:eastAsia="宋体" w:cs="宋体"/>
                <w:color w:val="auto"/>
                <w:szCs w:val="21"/>
              </w:rPr>
            </w:pPr>
            <w:r>
              <w:rPr>
                <w:rFonts w:hint="eastAsia" w:ascii="宋体" w:hAnsi="宋体" w:eastAsia="宋体" w:cs="宋体"/>
                <w:color w:val="auto"/>
                <w:szCs w:val="21"/>
              </w:rPr>
              <w:t>（1）如果投标人的评标价＞评标基准价，则评标价得分=10-偏差率×100×0.2；</w:t>
            </w:r>
          </w:p>
          <w:p>
            <w:pPr>
              <w:spacing w:line="320" w:lineRule="exact"/>
              <w:ind w:left="-11" w:leftChars="-37" w:right="113" w:hanging="67" w:hangingChars="32"/>
              <w:rPr>
                <w:rFonts w:hint="eastAsia" w:ascii="宋体" w:hAnsi="宋体" w:eastAsia="宋体" w:cs="宋体"/>
                <w:color w:val="auto"/>
                <w:szCs w:val="21"/>
              </w:rPr>
            </w:pPr>
            <w:r>
              <w:rPr>
                <w:rFonts w:hint="eastAsia" w:ascii="宋体" w:hAnsi="宋体" w:eastAsia="宋体" w:cs="宋体"/>
                <w:color w:val="auto"/>
                <w:szCs w:val="21"/>
              </w:rPr>
              <w:t>（2）如果投标人的评标价≤评标基准价，则评标价得分=10+偏差率×100×0.1。</w:t>
            </w:r>
          </w:p>
          <w:p>
            <w:pPr>
              <w:jc w:val="left"/>
              <w:rPr>
                <w:rFonts w:hint="eastAsia" w:ascii="宋体" w:hAnsi="宋体" w:eastAsia="宋体" w:cs="宋体"/>
                <w:color w:val="auto"/>
                <w:szCs w:val="21"/>
              </w:rPr>
            </w:pPr>
            <w:r>
              <w:rPr>
                <w:rFonts w:hint="eastAsia" w:ascii="宋体" w:hAnsi="宋体" w:eastAsia="宋体" w:cs="宋体"/>
                <w:color w:val="auto"/>
                <w:szCs w:val="21"/>
              </w:rPr>
              <w:t>评标价得分最低扣至0分。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511"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2.2.4（4）</w:t>
            </w:r>
          </w:p>
        </w:tc>
        <w:tc>
          <w:tcPr>
            <w:tcW w:w="351"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其他因素</w:t>
            </w:r>
          </w:p>
        </w:tc>
        <w:tc>
          <w:tcPr>
            <w:tcW w:w="326"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业绩</w:t>
            </w:r>
          </w:p>
        </w:tc>
        <w:tc>
          <w:tcPr>
            <w:tcW w:w="652"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 xml:space="preserve"> 20 分</w:t>
            </w:r>
          </w:p>
        </w:tc>
        <w:tc>
          <w:tcPr>
            <w:tcW w:w="1130" w:type="pct"/>
            <w:noWrap w:val="0"/>
            <w:vAlign w:val="center"/>
          </w:tcPr>
          <w:p>
            <w:pPr>
              <w:ind w:left="113" w:right="113"/>
              <w:jc w:val="center"/>
              <w:rPr>
                <w:rFonts w:hint="eastAsia" w:ascii="宋体" w:hAnsi="宋体" w:eastAsia="宋体" w:cs="宋体"/>
                <w:color w:val="auto"/>
                <w:szCs w:val="21"/>
              </w:rPr>
            </w:pPr>
            <w:r>
              <w:rPr>
                <w:rFonts w:hint="eastAsia" w:ascii="宋体" w:hAnsi="宋体" w:eastAsia="宋体" w:cs="宋体"/>
                <w:color w:val="auto"/>
                <w:szCs w:val="21"/>
              </w:rPr>
              <w:t>一级或</w:t>
            </w:r>
            <w:r>
              <w:rPr>
                <w:rFonts w:hint="eastAsia" w:ascii="宋体" w:hAnsi="宋体" w:eastAsia="宋体" w:cs="宋体"/>
                <w:color w:val="auto"/>
                <w:szCs w:val="21"/>
                <w:lang w:eastAsia="zh-CN"/>
              </w:rPr>
              <w:t>一</w:t>
            </w:r>
            <w:r>
              <w:rPr>
                <w:rFonts w:hint="eastAsia" w:ascii="宋体" w:hAnsi="宋体" w:eastAsia="宋体" w:cs="宋体"/>
                <w:color w:val="auto"/>
                <w:szCs w:val="21"/>
              </w:rPr>
              <w:t>级以上公路施工监理业绩</w:t>
            </w:r>
          </w:p>
        </w:tc>
        <w:tc>
          <w:tcPr>
            <w:tcW w:w="456" w:type="pct"/>
            <w:gridSpan w:val="2"/>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 xml:space="preserve"> 20分</w:t>
            </w:r>
          </w:p>
        </w:tc>
        <w:tc>
          <w:tcPr>
            <w:tcW w:w="1574" w:type="pct"/>
            <w:noWrap w:val="0"/>
            <w:vAlign w:val="center"/>
          </w:tcPr>
          <w:p>
            <w:pPr>
              <w:jc w:val="left"/>
              <w:rPr>
                <w:rFonts w:hint="eastAsia" w:ascii="宋体" w:hAnsi="宋体" w:eastAsia="宋体" w:cs="宋体"/>
                <w:color w:val="auto"/>
                <w:spacing w:val="9"/>
                <w:kern w:val="0"/>
                <w:szCs w:val="21"/>
              </w:rPr>
            </w:pPr>
            <w:r>
              <w:rPr>
                <w:rFonts w:hint="eastAsia" w:ascii="宋体" w:hAnsi="宋体" w:eastAsia="宋体" w:cs="宋体"/>
                <w:color w:val="auto"/>
                <w:spacing w:val="9"/>
                <w:kern w:val="0"/>
                <w:szCs w:val="21"/>
              </w:rPr>
              <w:t>满足最低资格条件得12分；</w:t>
            </w:r>
          </w:p>
          <w:p>
            <w:pPr>
              <w:jc w:val="left"/>
              <w:rPr>
                <w:rFonts w:hint="eastAsia" w:ascii="宋体" w:hAnsi="宋体" w:eastAsia="宋体" w:cs="宋体"/>
                <w:color w:val="auto"/>
                <w:szCs w:val="21"/>
              </w:rPr>
            </w:pPr>
            <w:r>
              <w:rPr>
                <w:rFonts w:hint="eastAsia" w:ascii="宋体" w:hAnsi="宋体" w:eastAsia="宋体" w:cs="宋体"/>
                <w:color w:val="auto"/>
                <w:szCs w:val="21"/>
              </w:rPr>
              <w:t>每增加1项有效的一级或一级以上公路路基或沥青混凝土路面施工监理业绩加4分，最多加8分。</w:t>
            </w:r>
          </w:p>
          <w:p>
            <w:pPr>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1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①</w:t>
            </w:r>
            <w:r>
              <w:rPr>
                <w:rFonts w:hint="eastAsia" w:ascii="宋体" w:hAnsi="宋体" w:eastAsia="宋体" w:cs="宋体"/>
                <w:color w:val="auto"/>
                <w:szCs w:val="21"/>
              </w:rPr>
              <w:fldChar w:fldCharType="end"/>
            </w:r>
            <w:r>
              <w:rPr>
                <w:rFonts w:hint="eastAsia" w:ascii="宋体" w:hAnsi="宋体" w:eastAsia="宋体" w:cs="宋体"/>
                <w:color w:val="auto"/>
                <w:szCs w:val="21"/>
              </w:rPr>
              <w:t>有效的是指2017年1月1日后（以交工日期为准）国内新建或改扩建一级或一级以上公路的施工监理业绩，并且已列入交通运输主管部门“公路建设市场信用信息管理系统”。</w:t>
            </w:r>
          </w:p>
          <w:p>
            <w:pPr>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2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②</w:t>
            </w:r>
            <w:r>
              <w:rPr>
                <w:rFonts w:hint="eastAsia" w:ascii="宋体" w:hAnsi="宋体" w:eastAsia="宋体" w:cs="宋体"/>
                <w:color w:val="auto"/>
                <w:szCs w:val="21"/>
              </w:rPr>
              <w:fldChar w:fldCharType="end"/>
            </w:r>
            <w:r>
              <w:rPr>
                <w:rFonts w:hint="eastAsia" w:ascii="宋体" w:hAnsi="宋体" w:eastAsia="宋体" w:cs="宋体"/>
                <w:color w:val="auto"/>
                <w:szCs w:val="21"/>
              </w:rPr>
              <w:t>同一业绩内有路基和沥青混凝土路面施工监理业绩，按两项业绩计算。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11" w:type="pct"/>
            <w:vMerge w:val="continue"/>
            <w:noWrap w:val="0"/>
            <w:vAlign w:val="center"/>
          </w:tcPr>
          <w:p>
            <w:pPr>
              <w:jc w:val="center"/>
              <w:rPr>
                <w:rFonts w:hint="eastAsia" w:ascii="宋体" w:hAnsi="宋体" w:eastAsia="宋体" w:cs="宋体"/>
                <w:color w:val="auto"/>
                <w:szCs w:val="21"/>
              </w:rPr>
            </w:pPr>
          </w:p>
        </w:tc>
        <w:tc>
          <w:tcPr>
            <w:tcW w:w="351" w:type="pct"/>
            <w:vMerge w:val="continue"/>
            <w:noWrap w:val="0"/>
            <w:vAlign w:val="center"/>
          </w:tcPr>
          <w:p>
            <w:pPr>
              <w:jc w:val="center"/>
              <w:rPr>
                <w:rFonts w:hint="eastAsia" w:ascii="宋体" w:hAnsi="宋体" w:eastAsia="宋体" w:cs="宋体"/>
                <w:color w:val="auto"/>
                <w:szCs w:val="21"/>
              </w:rPr>
            </w:pPr>
          </w:p>
        </w:tc>
        <w:tc>
          <w:tcPr>
            <w:tcW w:w="326"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履约信誉</w:t>
            </w:r>
          </w:p>
        </w:tc>
        <w:tc>
          <w:tcPr>
            <w:tcW w:w="652"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 xml:space="preserve"> 10 分</w:t>
            </w:r>
          </w:p>
        </w:tc>
        <w:tc>
          <w:tcPr>
            <w:tcW w:w="1130" w:type="pct"/>
            <w:noWrap w:val="0"/>
            <w:vAlign w:val="center"/>
          </w:tcPr>
          <w:p>
            <w:pPr>
              <w:spacing w:line="320" w:lineRule="exact"/>
              <w:ind w:right="113"/>
              <w:jc w:val="center"/>
              <w:rPr>
                <w:rFonts w:hint="eastAsia" w:ascii="宋体" w:hAnsi="宋体" w:eastAsia="宋体" w:cs="宋体"/>
                <w:color w:val="auto"/>
                <w:szCs w:val="21"/>
              </w:rPr>
            </w:pPr>
            <w:r>
              <w:rPr>
                <w:rFonts w:hint="eastAsia" w:ascii="宋体" w:hAnsi="宋体" w:eastAsia="宋体" w:cs="宋体"/>
                <w:color w:val="auto"/>
                <w:szCs w:val="21"/>
              </w:rPr>
              <w:t>企业信用</w:t>
            </w:r>
          </w:p>
        </w:tc>
        <w:tc>
          <w:tcPr>
            <w:tcW w:w="456" w:type="pct"/>
            <w:gridSpan w:val="2"/>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 xml:space="preserve"> 10分</w:t>
            </w:r>
          </w:p>
        </w:tc>
        <w:tc>
          <w:tcPr>
            <w:tcW w:w="1574" w:type="pct"/>
            <w:noWrap w:val="0"/>
            <w:vAlign w:val="center"/>
          </w:tcPr>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本次评标按照以下投标人的企业信用作为评分标准：</w:t>
            </w: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一、列入“交通运输部公布关于2022年公路水运工程建设领域守信典型企业目录的公示”中的投标人。</w:t>
            </w:r>
          </w:p>
          <w:p>
            <w:pPr>
              <w:autoSpaceDE w:val="0"/>
              <w:autoSpaceDN w:val="0"/>
              <w:rPr>
                <w:rFonts w:hint="eastAsia" w:ascii="宋体" w:hAnsi="宋体" w:eastAsia="宋体" w:cs="宋体"/>
                <w:color w:val="auto"/>
                <w:szCs w:val="21"/>
              </w:rPr>
            </w:pP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二、企业在以下规定中获得的信用评价：</w:t>
            </w: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（1）吉林省交通运输厅发布的《关于发布2021年度公路建设市场吉林省省级综合评价结果的通告》中的施工企业省级信用评价等级；</w:t>
            </w: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（2）交通运输部“全国公路建设市场信用信息管理系统”“全国公路从业单位信用评价结果”中投标人的全国综合评价2021年度企业信用等级；</w:t>
            </w: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（3）无全国综合评价且未列入交通运输部“全国公路建设市场信用信息管理系统”“不良信用记录”的，按A级对待，否则按D级对待。</w:t>
            </w:r>
          </w:p>
          <w:p>
            <w:pPr>
              <w:autoSpaceDE w:val="0"/>
              <w:autoSpaceDN w:val="0"/>
              <w:rPr>
                <w:rFonts w:hint="eastAsia" w:ascii="宋体" w:hAnsi="宋体" w:eastAsia="宋体" w:cs="宋体"/>
                <w:color w:val="auto"/>
                <w:szCs w:val="21"/>
              </w:rPr>
            </w:pP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列入2022年公路工程建设领域守信典型企业目录得10分</w:t>
            </w: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信用等级AA得8分</w:t>
            </w: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信用等级A得7分</w:t>
            </w: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信用等级B得6分</w:t>
            </w:r>
          </w:p>
          <w:p>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信用等级C、D得0分。</w:t>
            </w:r>
          </w:p>
        </w:tc>
      </w:tr>
    </w:tbl>
    <w:p>
      <w:pPr>
        <w:pStyle w:val="3"/>
        <w:rPr>
          <w:rFonts w:hint="eastAsia" w:ascii="宋体" w:hAnsi="宋体" w:eastAsia="宋体" w:cs="宋体"/>
        </w:rPr>
      </w:pPr>
    </w:p>
    <w:p>
      <w:pPr>
        <w:numPr>
          <w:ilvl w:val="0"/>
          <w:numId w:val="1"/>
        </w:numPr>
        <w:adjustRightInd w:val="0"/>
        <w:snapToGrid w:val="0"/>
        <w:spacing w:beforeLines="30" w:afterLines="3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公开时间</w:t>
      </w:r>
    </w:p>
    <w:p>
      <w:pPr>
        <w:pStyle w:val="7"/>
        <w:numPr>
          <w:ilvl w:val="0"/>
          <w:numId w:val="0"/>
        </w:numPr>
        <w:ind w:firstLine="420" w:firstLineChars="200"/>
        <w:rPr>
          <w:rFonts w:hint="eastAsia" w:ascii="宋体" w:hAnsi="宋体" w:eastAsia="宋体" w:cs="宋体"/>
          <w:color w:val="000000"/>
          <w:lang w:val="en-US" w:eastAsia="zh-CN"/>
        </w:rPr>
      </w:pPr>
      <w:r>
        <w:rPr>
          <w:rFonts w:hint="eastAsia" w:ascii="宋体" w:hAnsi="宋体" w:eastAsia="宋体" w:cs="宋体"/>
          <w:color w:val="000000"/>
        </w:rPr>
        <w:t>本次招标</w:t>
      </w:r>
      <w:r>
        <w:rPr>
          <w:rFonts w:hint="eastAsia" w:ascii="宋体" w:hAnsi="宋体" w:eastAsia="宋体" w:cs="宋体"/>
          <w:color w:val="000000"/>
          <w:lang w:val="en-US" w:eastAsia="zh-CN"/>
        </w:rPr>
        <w:t>文件关键内容信息公开时间至2022年</w:t>
      </w:r>
      <w:r>
        <w:rPr>
          <w:rFonts w:hint="eastAsia" w:ascii="宋体" w:hAnsi="宋体" w:cs="宋体"/>
          <w:color w:val="000000"/>
          <w:lang w:val="en-US" w:eastAsia="zh-CN"/>
        </w:rPr>
        <w:t>12</w:t>
      </w:r>
      <w:r>
        <w:rPr>
          <w:rFonts w:hint="eastAsia" w:ascii="宋体" w:hAnsi="宋体" w:eastAsia="宋体" w:cs="宋体"/>
          <w:color w:val="000000"/>
          <w:lang w:val="en-US" w:eastAsia="zh-CN"/>
        </w:rPr>
        <w:t>月</w:t>
      </w:r>
      <w:r>
        <w:rPr>
          <w:rFonts w:hint="eastAsia" w:ascii="宋体" w:hAnsi="宋体" w:cs="宋体"/>
          <w:color w:val="000000"/>
          <w:lang w:val="en-US" w:eastAsia="zh-CN"/>
        </w:rPr>
        <w:t>31</w:t>
      </w:r>
      <w:r>
        <w:rPr>
          <w:rFonts w:hint="eastAsia" w:ascii="宋体" w:hAnsi="宋体" w:eastAsia="宋体" w:cs="宋体"/>
          <w:color w:val="000000"/>
          <w:lang w:val="en-US" w:eastAsia="zh-CN"/>
        </w:rPr>
        <w:t>日24时00分结束。</w:t>
      </w:r>
    </w:p>
    <w:p>
      <w:pPr>
        <w:numPr>
          <w:ilvl w:val="0"/>
          <w:numId w:val="1"/>
        </w:numPr>
        <w:adjustRightInd w:val="0"/>
        <w:snapToGrid w:val="0"/>
        <w:spacing w:beforeLines="30" w:afterLines="3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联系方式</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招标人：延吉市公路工程建设管理中心</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址：延吉客运站3楼</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邮政编码：133000</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联系人：</w:t>
      </w:r>
      <w:r>
        <w:rPr>
          <w:rFonts w:hint="eastAsia" w:ascii="宋体" w:hAnsi="宋体" w:eastAsia="宋体" w:cs="宋体"/>
          <w:color w:val="auto"/>
        </w:rPr>
        <w:t>金成昊</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rPr>
        <w:t>0433-8339009</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招标代理机构：吉林建宇工程咨询有限公司</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rPr>
        <w:t>延吉市人民路2239号3001</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邮政编码：133000</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联系人：焦艳</w:t>
      </w:r>
    </w:p>
    <w:p>
      <w:pPr>
        <w:adjustRightInd w:val="0"/>
        <w:snapToGrid w:val="0"/>
        <w:spacing w:before="72" w:beforeLines="30" w:after="72" w:afterLines="30"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  话：0433-8316525</w:t>
      </w:r>
    </w:p>
    <w:p>
      <w:pPr>
        <w:adjustRightInd w:val="0"/>
        <w:snapToGrid w:val="0"/>
        <w:spacing w:before="72" w:beforeLines="30" w:after="72" w:afterLines="30" w:line="360" w:lineRule="exact"/>
        <w:ind w:firstLine="420" w:firstLineChars="200"/>
        <w:rPr>
          <w:rFonts w:hint="eastAsia" w:ascii="宋体" w:hAnsi="宋体" w:eastAsia="宋体" w:cs="宋体"/>
          <w:color w:val="000000"/>
          <w:szCs w:val="21"/>
        </w:rPr>
      </w:pPr>
      <w:r>
        <w:rPr>
          <w:rFonts w:hint="eastAsia" w:ascii="宋体" w:hAnsi="宋体" w:eastAsia="宋体" w:cs="宋体"/>
          <w:color w:val="auto"/>
          <w:szCs w:val="21"/>
        </w:rPr>
        <w:t>电子邮箱：yjsjy8543@163.com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jc w:val="both"/>
      <w:rPr>
        <w:rFonts w:hint="eastAsia"/>
      </w:rPr>
    </w:pPr>
    <w:r>
      <w:fldChar w:fldCharType="begin"/>
    </w:r>
    <w:r>
      <w:rPr>
        <w:rStyle w:val="10"/>
      </w:rPr>
      <w:instrText xml:space="preserve"> PAGE </w:instrText>
    </w:r>
    <w:r>
      <w:fldChar w:fldCharType="separate"/>
    </w:r>
    <w:r>
      <w:rPr>
        <w:rStyle w:val="10"/>
      </w:rPr>
      <w:t>62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hint="eastAsia" w:ascii="仿宋_GB2312" w:eastAsia="仿宋_GB2312"/>
      </w:rPr>
    </w:pPr>
    <w:r>
      <w:rPr>
        <w:rFonts w:hint="eastAsia" w:ascii="仿宋_GB2312" w:eastAsia="仿宋_GB2312"/>
      </w:rPr>
      <w:fldChar w:fldCharType="begin"/>
    </w:r>
    <w:r>
      <w:rPr>
        <w:rStyle w:val="10"/>
        <w:rFonts w:hint="eastAsia" w:ascii="仿宋_GB2312" w:eastAsia="仿宋_GB2312"/>
        <w:highlight w:val="white"/>
      </w:rPr>
      <w:instrText xml:space="preserve">PAGE  </w:instrText>
    </w:r>
    <w:r>
      <w:rPr>
        <w:rFonts w:hint="eastAsia" w:ascii="仿宋_GB2312" w:eastAsia="仿宋_GB2312"/>
      </w:rPr>
      <w:fldChar w:fldCharType="separate"/>
    </w:r>
    <w:r>
      <w:rPr>
        <w:rStyle w:val="10"/>
        <w:rFonts w:ascii="仿宋_GB2312" w:eastAsia="仿宋_GB2312"/>
        <w:highlight w:val="white"/>
      </w:rPr>
      <w:t>48</w:t>
    </w:r>
    <w:r>
      <w:rPr>
        <w:rFonts w:hint="eastAsia" w:ascii="仿宋_GB2312" w:eastAsia="仿宋_GB2312"/>
      </w:rPr>
      <w:fldChar w:fldCharType="end"/>
    </w:r>
  </w:p>
  <w:p>
    <w:pPr>
      <w:pStyle w:val="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hint="eastAsia"/>
          <w:lang w:eastAsia="zh-CN"/>
        </w:rPr>
      </w:pPr>
      <w:r>
        <w:rPr>
          <w:rStyle w:val="11"/>
        </w:rPr>
        <w:footnoteRef/>
      </w:r>
      <w:r>
        <w:t xml:space="preserve"> </w:t>
      </w:r>
      <w:r>
        <w:rPr>
          <w:rFonts w:hint="eastAsia"/>
          <w:lang w:eastAsia="zh-CN"/>
        </w:rPr>
        <w:t>“评标办法前附表”用于明确评标的方法、因素、标准和程序。</w:t>
      </w:r>
    </w:p>
  </w:footnote>
  <w:footnote w:id="1">
    <w:p>
      <w:pPr>
        <w:pStyle w:val="6"/>
        <w:jc w:val="both"/>
        <w:rPr>
          <w:rFonts w:hint="eastAsia"/>
        </w:rPr>
      </w:pPr>
      <w:r>
        <w:rPr>
          <w:rStyle w:val="11"/>
        </w:rPr>
        <w:footnoteRef/>
      </w:r>
      <w:r>
        <w:rPr>
          <w:rFonts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8D6AE"/>
    <w:multiLevelType w:val="singleLevel"/>
    <w:tmpl w:val="9678D6A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GQ1ZGRkYjA0MGU4NzZhNjU4NzFkODgyYmVhOWEifQ=="/>
  </w:docVars>
  <w:rsids>
    <w:rsidRoot w:val="773D64EA"/>
    <w:rsid w:val="0409708E"/>
    <w:rsid w:val="1E7F010E"/>
    <w:rsid w:val="507E4583"/>
    <w:rsid w:val="56B327B7"/>
    <w:rsid w:val="582E743F"/>
    <w:rsid w:val="773D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styleId="3">
    <w:name w:val="Date"/>
    <w:basedOn w:val="1"/>
    <w:next w:val="1"/>
    <w:qFormat/>
    <w:uiPriority w:val="0"/>
    <w:rPr>
      <w:rFonts w:ascii="宋体"/>
      <w:sz w:val="24"/>
      <w:szCs w:val="20"/>
    </w:rPr>
  </w:style>
  <w:style w:type="paragraph" w:styleId="4">
    <w:name w:val="Body Text Indent"/>
    <w:basedOn w:val="1"/>
    <w:qFormat/>
    <w:uiPriority w:val="99"/>
    <w:pPr>
      <w:ind w:firstLine="1120" w:firstLineChars="400"/>
    </w:pPr>
    <w:rPr>
      <w:rFonts w:ascii="Times New Roman" w:hAnsi="Times New Roman" w:cs="Times New Roman"/>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sz w:val="18"/>
      <w:szCs w:val="18"/>
    </w:rPr>
  </w:style>
  <w:style w:type="paragraph" w:styleId="7">
    <w:name w:val="Body Text First Indent 2"/>
    <w:basedOn w:val="4"/>
    <w:next w:val="1"/>
    <w:qFormat/>
    <w:uiPriority w:val="99"/>
    <w:pPr>
      <w:adjustRightInd w:val="0"/>
      <w:spacing w:after="120" w:line="312" w:lineRule="atLeast"/>
      <w:ind w:firstLine="420" w:firstLineChars="0"/>
      <w:textAlignment w:val="baseline"/>
    </w:pPr>
    <w:rPr>
      <w:kern w:val="0"/>
      <w:sz w:val="21"/>
      <w:szCs w:val="21"/>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样式 正文11 + 首行缩进:  2 字符"/>
    <w:basedOn w:val="1"/>
    <w:qFormat/>
    <w:uiPriority w:val="99"/>
    <w:pPr>
      <w:spacing w:line="500" w:lineRule="exact"/>
      <w:ind w:firstLine="560" w:firstLineChars="200"/>
    </w:pPr>
    <w:rPr>
      <w:rFonts w:ascii="宋体" w:hAnsi="宋体" w:cs="宋体"/>
      <w:color w:val="FF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5080</Words>
  <Characters>5489</Characters>
  <Lines>0</Lines>
  <Paragraphs>0</Paragraphs>
  <TotalTime>5</TotalTime>
  <ScaleCrop>false</ScaleCrop>
  <LinksUpToDate>false</LinksUpToDate>
  <CharactersWithSpaces>5549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2022-12-15T04:14:00Z</dcterms:created>
  <dc:creator>如愿(초염)</dc:creator>
  <cp:lastModifiedBy>如愿(초염)</cp:lastModifiedBy>
  <dcterms:modified xsi:type="dcterms:W3CDTF">2022-12-16T02:48:38Z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929EB338B1C542C289EBD80F83F3A399</vt:lpwstr>
  </property>
</Properties>
</file>