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93BB">
      <w:pPr>
        <w:jc w:val="center"/>
        <w:rPr>
          <w:rFonts w:hint="eastAsia"/>
          <w:bCs/>
          <w:sz w:val="28"/>
          <w:szCs w:val="28"/>
        </w:rPr>
      </w:pPr>
      <w:r>
        <w:rPr>
          <w:rFonts w:hint="eastAsia"/>
          <w:bCs/>
          <w:sz w:val="28"/>
          <w:szCs w:val="28"/>
          <w:lang w:eastAsia="zh-CN"/>
        </w:rPr>
        <w:t>国道扎公线（G608）偏脸子至乾安段改建工程</w:t>
      </w:r>
      <w:r>
        <w:rPr>
          <w:rFonts w:hint="eastAsia"/>
          <w:bCs/>
          <w:sz w:val="28"/>
          <w:szCs w:val="28"/>
        </w:rPr>
        <w:t>勘察设计招标</w:t>
      </w:r>
      <w:r>
        <w:rPr>
          <w:bCs/>
          <w:sz w:val="28"/>
          <w:szCs w:val="28"/>
        </w:rPr>
        <w:t>文件关键内容公示</w:t>
      </w:r>
    </w:p>
    <w:p w14:paraId="7D624BAA">
      <w:pPr>
        <w:spacing w:line="360" w:lineRule="auto"/>
        <w:rPr>
          <w:rFonts w:ascii="黑体" w:hAnsi="黑体" w:eastAsia="黑体"/>
          <w:sz w:val="28"/>
          <w:szCs w:val="28"/>
        </w:rPr>
      </w:pPr>
      <w:bookmarkStart w:id="0" w:name="_Toc12730496"/>
      <w:bookmarkStart w:id="1" w:name="_Toc36656138"/>
      <w:bookmarkStart w:id="2" w:name="_Toc197967128"/>
      <w:bookmarkStart w:id="3" w:name="_Toc197951592"/>
      <w:bookmarkStart w:id="4" w:name="_Toc197950686"/>
      <w:bookmarkStart w:id="5" w:name="_Toc197965612"/>
      <w:bookmarkStart w:id="6" w:name="_Toc197960549"/>
      <w:bookmarkStart w:id="7" w:name="_Toc197950807"/>
      <w:bookmarkStart w:id="8" w:name="_Toc197960497"/>
      <w:bookmarkStart w:id="9" w:name="_Toc197967274"/>
      <w:bookmarkStart w:id="10" w:name="_Toc243665797"/>
      <w:r>
        <w:rPr>
          <w:rFonts w:hint="eastAsia" w:ascii="黑体" w:hAnsi="黑体" w:eastAsia="黑体"/>
          <w:sz w:val="28"/>
          <w:szCs w:val="28"/>
        </w:rPr>
        <w:t>1、招标条件</w:t>
      </w:r>
    </w:p>
    <w:p w14:paraId="6049B396">
      <w:pPr>
        <w:spacing w:line="360" w:lineRule="auto"/>
        <w:ind w:firstLine="420" w:firstLineChars="200"/>
        <w:rPr>
          <w:szCs w:val="21"/>
        </w:rPr>
      </w:pPr>
      <w:bookmarkStart w:id="11" w:name="_Toc355376932"/>
      <w:r>
        <w:rPr>
          <w:rFonts w:hint="eastAsia" w:ascii="宋体" w:hAnsi="宋体" w:cs="宋体"/>
        </w:rPr>
        <w:t>本招标项目</w:t>
      </w:r>
      <w:r>
        <w:rPr>
          <w:rFonts w:hint="eastAsia" w:ascii="宋体" w:hAnsi="宋体" w:cs="宋体"/>
          <w:lang w:eastAsia="zh-CN"/>
        </w:rPr>
        <w:t>国道扎公线（G608）偏脸子至乾安段改建工程</w:t>
      </w:r>
      <w:r>
        <w:rPr>
          <w:rFonts w:hint="eastAsia"/>
        </w:rPr>
        <w:t>已由</w:t>
      </w:r>
      <w:r>
        <w:rPr>
          <w:rFonts w:hint="eastAsia"/>
          <w:lang w:val="en-US" w:eastAsia="zh-CN"/>
        </w:rPr>
        <w:t>吉林省发展和改革委员会</w:t>
      </w:r>
      <w:r>
        <w:rPr>
          <w:rFonts w:hint="eastAsia"/>
        </w:rPr>
        <w:t>以《关于</w:t>
      </w:r>
      <w:r>
        <w:rPr>
          <w:rFonts w:hint="eastAsia" w:ascii="宋体" w:hAnsi="宋体" w:cs="宋体"/>
          <w:lang w:eastAsia="zh-CN"/>
        </w:rPr>
        <w:t>国道扎公线（G608）偏脸子至乾安段改建工程</w:t>
      </w:r>
      <w:r>
        <w:rPr>
          <w:rFonts w:hint="eastAsia" w:ascii="宋体" w:hAnsi="宋体" w:cs="宋体"/>
        </w:rPr>
        <w:t>可行性研究报告的批复</w:t>
      </w:r>
      <w:r>
        <w:rPr>
          <w:rFonts w:hint="eastAsia"/>
        </w:rPr>
        <w:t>》（</w:t>
      </w:r>
      <w:r>
        <w:rPr>
          <w:rFonts w:hint="eastAsia"/>
          <w:lang w:val="en-US" w:eastAsia="zh-CN"/>
        </w:rPr>
        <w:t>吉</w:t>
      </w:r>
      <w:r>
        <w:rPr>
          <w:rFonts w:hint="eastAsia"/>
        </w:rPr>
        <w:t>发改审批</w:t>
      </w:r>
      <w:r>
        <w:rPr>
          <w:rFonts w:hint="eastAsia" w:ascii="宋体" w:hAnsi="宋体"/>
        </w:rPr>
        <w:t>〔</w:t>
      </w:r>
      <w:r>
        <w:t>20</w:t>
      </w:r>
      <w:r>
        <w:rPr>
          <w:rFonts w:hint="eastAsia"/>
        </w:rPr>
        <w:t>2</w:t>
      </w:r>
      <w:r>
        <w:rPr>
          <w:rFonts w:hint="eastAsia"/>
          <w:lang w:val="en-US" w:eastAsia="zh-CN"/>
        </w:rPr>
        <w:t>5</w:t>
      </w:r>
      <w:r>
        <w:rPr>
          <w:rFonts w:hint="eastAsia" w:ascii="宋体" w:hAnsi="宋体"/>
        </w:rPr>
        <w:t>〕</w:t>
      </w:r>
      <w:r>
        <w:rPr>
          <w:rFonts w:hint="eastAsia"/>
          <w:lang w:val="en-US" w:eastAsia="zh-CN"/>
        </w:rPr>
        <w:t>14</w:t>
      </w:r>
      <w:r>
        <w:rPr>
          <w:rFonts w:hint="eastAsia"/>
        </w:rPr>
        <w:t>号）批准建设</w:t>
      </w:r>
      <w:r>
        <w:rPr>
          <w:rFonts w:hint="eastAsia" w:ascii="宋体" w:hAnsi="宋体" w:cs="宋体"/>
        </w:rPr>
        <w:t>。项目业主为</w:t>
      </w:r>
      <w:r>
        <w:rPr>
          <w:rFonts w:hint="eastAsia" w:ascii="宋体" w:hAnsi="宋体" w:cs="宋体"/>
          <w:lang w:eastAsia="zh-CN"/>
        </w:rPr>
        <w:t>乾安县国省干线公路建设办公室</w:t>
      </w:r>
      <w:r>
        <w:rPr>
          <w:rFonts w:hint="eastAsia" w:ascii="宋体" w:hAnsi="宋体" w:cs="宋体"/>
        </w:rPr>
        <w:t>，建设资金来自</w:t>
      </w:r>
      <w:r>
        <w:rPr>
          <w:rFonts w:hint="eastAsia" w:ascii="宋体" w:hAnsi="宋体" w:cs="宋体"/>
          <w:lang w:val="en-US" w:eastAsia="zh-CN"/>
        </w:rPr>
        <w:t>国家交通运输领域重点项目资金及乾安县人民政府财政性资金</w:t>
      </w:r>
      <w:r>
        <w:rPr>
          <w:rFonts w:hint="eastAsia" w:ascii="宋体" w:hAnsi="宋体" w:cs="宋体"/>
        </w:rPr>
        <w:t>，</w:t>
      </w:r>
      <w:r>
        <w:rPr>
          <w:rFonts w:hint="eastAsia" w:ascii="宋体" w:hAnsi="宋体" w:cs="宋体"/>
          <w:lang w:eastAsia="zh-CN"/>
        </w:rPr>
        <w:t>资金已落实</w:t>
      </w:r>
      <w:r>
        <w:rPr>
          <w:rFonts w:hint="eastAsia" w:ascii="宋体" w:hAnsi="宋体" w:cs="宋体"/>
        </w:rPr>
        <w:t>，</w:t>
      </w:r>
      <w:r>
        <w:rPr>
          <w:rFonts w:hint="eastAsia" w:ascii="宋体" w:hAnsi="宋体" w:cs="宋体"/>
          <w:bCs/>
        </w:rPr>
        <w:t>招标人为</w:t>
      </w:r>
      <w:r>
        <w:rPr>
          <w:rFonts w:hint="eastAsia" w:ascii="宋体" w:hAnsi="宋体" w:cs="宋体"/>
          <w:lang w:eastAsia="zh-CN"/>
        </w:rPr>
        <w:t>乾安县国省干线公路建设办公室</w:t>
      </w:r>
      <w:r>
        <w:rPr>
          <w:rFonts w:hint="eastAsia" w:ascii="宋体" w:hAnsi="宋体" w:cs="宋体"/>
          <w:bCs/>
        </w:rPr>
        <w:t>。</w:t>
      </w:r>
      <w:r>
        <w:rPr>
          <w:rFonts w:hint="eastAsia" w:ascii="宋体" w:hAnsi="宋体" w:cs="宋体"/>
        </w:rPr>
        <w:t>项目已具备招标条件，现对该项目的勘察设计进行公开招标。</w:t>
      </w:r>
    </w:p>
    <w:p w14:paraId="11897165">
      <w:pPr>
        <w:numPr>
          <w:ilvl w:val="0"/>
          <w:numId w:val="1"/>
        </w:numPr>
        <w:spacing w:line="360" w:lineRule="auto"/>
        <w:rPr>
          <w:rFonts w:ascii="黑体" w:hAnsi="黑体" w:eastAsia="黑体"/>
          <w:sz w:val="28"/>
          <w:szCs w:val="28"/>
        </w:rPr>
      </w:pPr>
      <w:r>
        <w:rPr>
          <w:rFonts w:hint="eastAsia" w:ascii="黑体" w:hAnsi="黑体" w:eastAsia="黑体"/>
          <w:sz w:val="28"/>
          <w:szCs w:val="28"/>
        </w:rPr>
        <w:t>项目概况与招标范围</w:t>
      </w:r>
      <w:bookmarkEnd w:id="11"/>
    </w:p>
    <w:p w14:paraId="7C0EA0DD">
      <w:pPr>
        <w:numPr>
          <w:ilvl w:val="1"/>
          <w:numId w:val="2"/>
        </w:numPr>
        <w:tabs>
          <w:tab w:val="left" w:pos="851"/>
        </w:tabs>
        <w:spacing w:line="360" w:lineRule="auto"/>
        <w:ind w:left="0" w:firstLine="426"/>
        <w:rPr>
          <w:rFonts w:ascii="宋体" w:hAnsi="宋体" w:cs="宋体"/>
        </w:rPr>
      </w:pPr>
      <w:bookmarkStart w:id="12" w:name="_Toc355376933"/>
      <w:r>
        <w:rPr>
          <w:rFonts w:hint="eastAsia" w:ascii="宋体" w:hAnsi="宋体" w:cs="宋体"/>
        </w:rPr>
        <w:t>建设地点：</w:t>
      </w:r>
      <w:r>
        <w:rPr>
          <w:rFonts w:hint="eastAsia" w:ascii="宋体" w:hAnsi="宋体" w:cs="宋体"/>
          <w:lang w:eastAsia="zh-CN"/>
        </w:rPr>
        <w:t>吉林省松原市乾安县境内，</w:t>
      </w:r>
      <w:r>
        <w:rPr>
          <w:rFonts w:hint="eastAsia" w:ascii="宋体" w:hAnsi="宋体" w:cs="宋体"/>
          <w:lang w:val="en-US" w:eastAsia="zh-CN"/>
        </w:rPr>
        <w:t>路线起点位于大安市与乾安县交界处，向南沿既有国道布线，途经阳字村、丽字村、龙字村、西北村，终点位于乾安县公路与市政路交界处。</w:t>
      </w:r>
    </w:p>
    <w:p w14:paraId="1DF6041D">
      <w:pPr>
        <w:numPr>
          <w:ilvl w:val="1"/>
          <w:numId w:val="2"/>
        </w:numPr>
        <w:tabs>
          <w:tab w:val="left" w:pos="851"/>
        </w:tabs>
        <w:spacing w:line="360" w:lineRule="auto"/>
        <w:ind w:left="0" w:firstLine="426"/>
        <w:rPr>
          <w:rFonts w:ascii="宋体" w:hAnsi="宋体" w:cs="宋体"/>
        </w:rPr>
      </w:pPr>
      <w:r>
        <w:rPr>
          <w:rFonts w:hint="eastAsia" w:ascii="宋体" w:hAnsi="宋体" w:cs="宋体"/>
        </w:rPr>
        <w:t>建设规模及主要建设内容：</w:t>
      </w:r>
      <w:r>
        <w:rPr>
          <w:rFonts w:hint="eastAsia" w:ascii="宋体" w:hAnsi="宋体" w:cs="宋体"/>
          <w:lang w:val="en-US" w:eastAsia="zh-CN"/>
        </w:rPr>
        <w:t>路线全长约19.97公里，采用二级公路标准建设，双向两车道，设计时速60公里/小时，路基宽度10米，沥青混凝土路面。</w:t>
      </w:r>
    </w:p>
    <w:p w14:paraId="7375D109">
      <w:pPr>
        <w:numPr>
          <w:ilvl w:val="1"/>
          <w:numId w:val="2"/>
        </w:numPr>
        <w:tabs>
          <w:tab w:val="left" w:pos="851"/>
        </w:tabs>
        <w:spacing w:line="360" w:lineRule="auto"/>
        <w:ind w:left="0" w:firstLine="426"/>
        <w:rPr>
          <w:rFonts w:ascii="宋体" w:hAnsi="宋体" w:cs="宋体"/>
        </w:rPr>
      </w:pPr>
      <w:r>
        <w:rPr>
          <w:rFonts w:hint="eastAsia" w:ascii="宋体" w:hAnsi="宋体" w:cs="宋体"/>
        </w:rPr>
        <w:t>勘察设计服务期限：</w:t>
      </w:r>
      <w:r>
        <w:rPr>
          <w:rFonts w:hint="eastAsia" w:ascii="宋体" w:hAnsi="宋体" w:cs="宋体"/>
          <w:lang w:eastAsia="zh-CN"/>
        </w:rPr>
        <w:t>签订书面合同协议书</w:t>
      </w:r>
      <w:r>
        <w:rPr>
          <w:rFonts w:hint="eastAsia" w:ascii="宋体" w:hAnsi="宋体" w:cs="宋体"/>
          <w:highlight w:val="none"/>
          <w:lang w:eastAsia="zh-CN"/>
        </w:rPr>
        <w:t>后45日历天内</w:t>
      </w:r>
      <w:r>
        <w:rPr>
          <w:rFonts w:hint="eastAsia" w:ascii="宋体" w:hAnsi="宋体" w:cs="宋体"/>
          <w:highlight w:val="none"/>
        </w:rPr>
        <w:t>完成施工图设</w:t>
      </w:r>
      <w:r>
        <w:rPr>
          <w:rFonts w:hint="eastAsia" w:ascii="宋体" w:hAnsi="宋体" w:cs="宋体"/>
        </w:rPr>
        <w:t>计阶段勘察设计及预算成果。</w:t>
      </w:r>
    </w:p>
    <w:p w14:paraId="15F725F8">
      <w:pPr>
        <w:numPr>
          <w:ilvl w:val="1"/>
          <w:numId w:val="2"/>
        </w:numPr>
        <w:tabs>
          <w:tab w:val="left" w:pos="851"/>
        </w:tabs>
        <w:spacing w:line="360" w:lineRule="auto"/>
        <w:ind w:left="0" w:firstLine="426"/>
        <w:rPr>
          <w:rFonts w:ascii="宋体" w:hAnsi="宋体" w:cs="宋体"/>
        </w:rPr>
      </w:pPr>
      <w:r>
        <w:rPr>
          <w:rFonts w:hint="eastAsia" w:ascii="宋体" w:hAnsi="宋体" w:cs="宋体"/>
        </w:rPr>
        <w:t>招标范围及标段划分：一阶段施工图勘察设计，包括详勘、定测、施工图设计、后续服务等。共划分为1个标段，即SJ01标段。</w:t>
      </w:r>
    </w:p>
    <w:p w14:paraId="605CD042">
      <w:pPr>
        <w:numPr>
          <w:ilvl w:val="0"/>
          <w:numId w:val="1"/>
        </w:numPr>
        <w:spacing w:line="360" w:lineRule="auto"/>
        <w:rPr>
          <w:rFonts w:ascii="黑体" w:hAnsi="黑体" w:eastAsia="黑体"/>
          <w:sz w:val="28"/>
          <w:szCs w:val="28"/>
        </w:rPr>
      </w:pPr>
      <w:r>
        <w:rPr>
          <w:rFonts w:hint="eastAsia" w:ascii="黑体" w:hAnsi="黑体" w:eastAsia="黑体"/>
          <w:sz w:val="28"/>
          <w:szCs w:val="28"/>
        </w:rPr>
        <w:t>投标人资格要求</w:t>
      </w:r>
      <w:bookmarkEnd w:id="12"/>
    </w:p>
    <w:p w14:paraId="017D5340">
      <w:pPr>
        <w:numPr>
          <w:ilvl w:val="1"/>
          <w:numId w:val="3"/>
        </w:numPr>
        <w:tabs>
          <w:tab w:val="left" w:pos="851"/>
        </w:tabs>
        <w:spacing w:line="360" w:lineRule="auto"/>
        <w:ind w:left="0" w:firstLine="425"/>
        <w:rPr>
          <w:rFonts w:ascii="宋体" w:hAnsi="宋体" w:cs="宋体"/>
        </w:rPr>
      </w:pPr>
      <w:r>
        <w:rPr>
          <w:rFonts w:ascii="宋体" w:hAnsi="宋体" w:cs="宋体"/>
        </w:rPr>
        <w:t>本次招标要求投标人</w:t>
      </w:r>
      <w:r>
        <w:rPr>
          <w:rFonts w:hint="eastAsia" w:ascii="宋体" w:hAnsi="宋体" w:cs="宋体"/>
          <w:highlight w:val="none"/>
        </w:rPr>
        <w:t>须同时具备建设主管部门颁发的工程勘察专业类（岩土工程（勘察））</w:t>
      </w:r>
      <w:r>
        <w:rPr>
          <w:rFonts w:hint="eastAsia" w:ascii="宋体" w:hAnsi="宋体" w:cs="宋体"/>
          <w:highlight w:val="none"/>
          <w:lang w:val="en-US" w:eastAsia="zh-CN"/>
        </w:rPr>
        <w:t>乙</w:t>
      </w:r>
      <w:r>
        <w:rPr>
          <w:rFonts w:hint="eastAsia" w:ascii="宋体" w:hAnsi="宋体" w:cs="宋体"/>
          <w:highlight w:val="none"/>
        </w:rPr>
        <w:t>级（含）以上资质和工程勘察专业</w:t>
      </w:r>
      <w:r>
        <w:rPr>
          <w:rFonts w:hint="eastAsia" w:ascii="宋体" w:hAnsi="宋体" w:cs="宋体"/>
          <w:highlight w:val="none"/>
          <w:lang w:val="en-US" w:eastAsia="zh-CN"/>
        </w:rPr>
        <w:t>类</w:t>
      </w:r>
      <w:r>
        <w:rPr>
          <w:rFonts w:hint="eastAsia" w:ascii="宋体" w:hAnsi="宋体" w:cs="宋体"/>
          <w:highlight w:val="none"/>
        </w:rPr>
        <w:t>（工程测量）</w:t>
      </w:r>
      <w:r>
        <w:rPr>
          <w:rFonts w:hint="eastAsia" w:ascii="宋体" w:hAnsi="宋体" w:cs="宋体"/>
          <w:highlight w:val="none"/>
          <w:lang w:val="en-US" w:eastAsia="zh-CN"/>
        </w:rPr>
        <w:t>乙</w:t>
      </w:r>
      <w:r>
        <w:rPr>
          <w:rFonts w:hint="eastAsia" w:ascii="宋体" w:hAnsi="宋体" w:cs="宋体"/>
          <w:highlight w:val="none"/>
        </w:rPr>
        <w:t>级（含）以上</w:t>
      </w:r>
      <w:r>
        <w:rPr>
          <w:rFonts w:hint="eastAsia" w:ascii="宋体" w:hAnsi="宋体" w:cs="宋体"/>
        </w:rPr>
        <w:t>资质和公路行业（公路）专业</w:t>
      </w:r>
      <w:r>
        <w:rPr>
          <w:rFonts w:hint="eastAsia" w:ascii="宋体" w:hAnsi="宋体" w:cs="宋体"/>
          <w:lang w:val="en-US" w:eastAsia="zh-CN"/>
        </w:rPr>
        <w:t>乙</w:t>
      </w:r>
      <w:r>
        <w:rPr>
          <w:rFonts w:hint="eastAsia" w:ascii="宋体" w:hAnsi="宋体" w:cs="宋体"/>
        </w:rPr>
        <w:t>级（含）以上设计资质，并在人员等方面具有相应的勘察设计能力。</w:t>
      </w:r>
      <w:bookmarkStart w:id="13" w:name="_Toc355376934"/>
    </w:p>
    <w:p w14:paraId="6F83C62F">
      <w:pPr>
        <w:tabs>
          <w:tab w:val="left" w:pos="851"/>
        </w:tabs>
        <w:spacing w:line="360" w:lineRule="auto"/>
        <w:ind w:firstLine="424" w:firstLineChars="202"/>
        <w:rPr>
          <w:rFonts w:ascii="宋体" w:hAnsi="宋体" w:cs="宋体"/>
          <w:color w:val="FF0000"/>
        </w:rPr>
      </w:pPr>
      <w:r>
        <w:rPr>
          <w:rFonts w:hint="eastAsia"/>
          <w:szCs w:val="21"/>
        </w:rPr>
        <w:t>具有公路工程设计乙级（含）以上资质企业的投标人应进入交通运输部“全国公路建设市场信用信息管理系统（http://glxy.mot.gov.cn）”中的公路工程设计资质企业名录，且投标人名称和资质与该名录中的相应企业名称和资质完全一致。</w:t>
      </w:r>
    </w:p>
    <w:p w14:paraId="194B936F">
      <w:pPr>
        <w:numPr>
          <w:ilvl w:val="1"/>
          <w:numId w:val="3"/>
        </w:numPr>
        <w:tabs>
          <w:tab w:val="left" w:pos="851"/>
        </w:tabs>
        <w:spacing w:line="360" w:lineRule="auto"/>
        <w:ind w:left="0" w:firstLine="425"/>
        <w:rPr>
          <w:rFonts w:ascii="宋体" w:hAnsi="宋体" w:cs="宋体"/>
        </w:rPr>
      </w:pPr>
      <w:r>
        <w:rPr>
          <w:rFonts w:hint="eastAsia" w:ascii="宋体" w:hAnsi="宋体" w:cs="宋体"/>
          <w:bCs/>
        </w:rPr>
        <w:t>本次招标</w:t>
      </w:r>
      <w:r>
        <w:rPr>
          <w:rFonts w:hint="eastAsia" w:ascii="宋体" w:hAnsi="宋体" w:cs="宋体"/>
          <w:bCs/>
          <w:lang w:val="en-US" w:eastAsia="zh-CN"/>
        </w:rPr>
        <w:t>不</w:t>
      </w:r>
      <w:r>
        <w:rPr>
          <w:rFonts w:hint="eastAsia" w:ascii="宋体" w:hAnsi="宋体" w:cs="宋体"/>
          <w:bCs/>
          <w:kern w:val="0"/>
        </w:rPr>
        <w:t>接受联合体投标</w:t>
      </w:r>
      <w:r>
        <w:rPr>
          <w:rFonts w:hint="eastAsia"/>
        </w:rPr>
        <w:t>。</w:t>
      </w:r>
      <w:bookmarkEnd w:id="13"/>
    </w:p>
    <w:p w14:paraId="279A55A7">
      <w:pPr>
        <w:numPr>
          <w:ilvl w:val="1"/>
          <w:numId w:val="3"/>
        </w:numPr>
        <w:tabs>
          <w:tab w:val="left" w:pos="851"/>
        </w:tabs>
        <w:spacing w:line="360" w:lineRule="auto"/>
        <w:ind w:left="0" w:firstLine="425"/>
        <w:rPr>
          <w:rFonts w:ascii="宋体" w:hAnsi="宋体" w:cs="宋体"/>
        </w:rPr>
      </w:pPr>
      <w:r>
        <w:rPr>
          <w:rFonts w:hint="eastAsia"/>
          <w:bCs/>
          <w:lang w:val="zh-CN"/>
        </w:rPr>
        <w:t>与招标人存在利害关系可能影响招标公正性的单位不得参加投标；单位负责人为同一人或者存在控股、管理关系的不同单位，不得参加同一标段投标，否则相关投标均无效。</w:t>
      </w:r>
    </w:p>
    <w:p w14:paraId="06869E37">
      <w:pPr>
        <w:numPr>
          <w:ilvl w:val="1"/>
          <w:numId w:val="3"/>
        </w:numPr>
        <w:tabs>
          <w:tab w:val="left" w:pos="851"/>
        </w:tabs>
        <w:spacing w:line="360" w:lineRule="auto"/>
        <w:ind w:left="0" w:firstLine="425"/>
        <w:rPr>
          <w:rFonts w:ascii="宋体" w:hAnsi="宋体" w:cs="宋体"/>
        </w:rPr>
      </w:pPr>
      <w:r>
        <w:rPr>
          <w:rFonts w:hint="eastAsia"/>
          <w:bCs/>
          <w:lang w:val="zh-CN"/>
        </w:rPr>
        <w:t>在</w:t>
      </w:r>
      <w:r>
        <w:rPr>
          <w:rFonts w:hint="eastAsia" w:ascii="宋体" w:hAnsi="宋体" w:cs="宋体"/>
          <w:szCs w:val="21"/>
        </w:rPr>
        <w:t>“信用中国”网站（</w:t>
      </w:r>
      <w:r>
        <w:rPr>
          <w:rFonts w:hint="eastAsia" w:ascii="宋体" w:hAnsi="宋体" w:cs="宋体"/>
          <w:szCs w:val="21"/>
          <w:lang w:bidi="en-US"/>
        </w:rPr>
        <w:t>http://www.creditchina.gov.cn/</w:t>
      </w:r>
      <w:r>
        <w:rPr>
          <w:rFonts w:hint="eastAsia" w:ascii="宋体" w:hAnsi="宋体" w:cs="宋体"/>
          <w:szCs w:val="21"/>
        </w:rPr>
        <w:t>）中被列入失信被执行人名单的投标人，不得参加投标。</w:t>
      </w:r>
    </w:p>
    <w:p w14:paraId="142EDE59">
      <w:pPr>
        <w:rPr>
          <w:rFonts w:ascii="Times New Roman" w:hAnsi="Times New Roman"/>
        </w:rPr>
      </w:pPr>
    </w:p>
    <w:p w14:paraId="40946724">
      <w:pPr>
        <w:adjustRightInd w:val="0"/>
        <w:snapToGrid w:val="0"/>
        <w:spacing w:line="360" w:lineRule="auto"/>
        <w:rPr>
          <w:rFonts w:ascii="Times New Roman" w:hAnsi="Times New Roman" w:eastAsia="宋体" w:cs="Times New Roman"/>
          <w:szCs w:val="21"/>
        </w:rPr>
      </w:pPr>
    </w:p>
    <w:bookmarkEnd w:id="0"/>
    <w:bookmarkEnd w:id="1"/>
    <w:bookmarkEnd w:id="2"/>
    <w:bookmarkEnd w:id="3"/>
    <w:bookmarkEnd w:id="4"/>
    <w:bookmarkEnd w:id="5"/>
    <w:bookmarkEnd w:id="6"/>
    <w:bookmarkEnd w:id="7"/>
    <w:bookmarkEnd w:id="8"/>
    <w:bookmarkEnd w:id="9"/>
    <w:bookmarkEnd w:id="10"/>
    <w:p w14:paraId="671DCE30">
      <w:pPr>
        <w:widowControl/>
        <w:jc w:val="left"/>
        <w:rPr>
          <w:rFonts w:ascii="Times New Roman" w:hAnsi="Times New Roman" w:eastAsia="黑体" w:cs="Times New Roman"/>
          <w:bCs/>
          <w:kern w:val="0"/>
          <w:sz w:val="28"/>
          <w:szCs w:val="28"/>
        </w:rPr>
      </w:pPr>
      <w:bookmarkStart w:id="14" w:name="_Toc94457050"/>
      <w:bookmarkStart w:id="15" w:name="_Toc243665796"/>
      <w:bookmarkStart w:id="16" w:name="_Toc16070959"/>
      <w:r>
        <w:rPr>
          <w:rFonts w:ascii="Times New Roman" w:hAnsi="Times New Roman" w:eastAsia="黑体" w:cs="Times New Roman"/>
          <w:bCs/>
          <w:kern w:val="0"/>
          <w:sz w:val="28"/>
          <w:szCs w:val="28"/>
        </w:rPr>
        <w:br w:type="page"/>
      </w:r>
    </w:p>
    <w:bookmarkEnd w:id="14"/>
    <w:p w14:paraId="017DB32C">
      <w:pPr>
        <w:spacing w:before="100" w:beforeAutospacing="1"/>
        <w:jc w:val="center"/>
        <w:outlineLvl w:val="2"/>
        <w:rPr>
          <w:rFonts w:ascii="黑体" w:hAnsi="黑体" w:eastAsia="黑体"/>
          <w:sz w:val="28"/>
          <w:szCs w:val="28"/>
        </w:rPr>
      </w:pPr>
      <w:bookmarkStart w:id="17" w:name="_Toc8194670"/>
      <w:r>
        <w:rPr>
          <w:rFonts w:hint="eastAsia" w:ascii="黑体" w:hAnsi="黑体" w:eastAsia="黑体"/>
          <w:sz w:val="28"/>
          <w:szCs w:val="28"/>
        </w:rPr>
        <w:t>附录1 资格审查条件（资质最低要求）</w:t>
      </w:r>
      <w:bookmarkEnd w:id="17"/>
    </w:p>
    <w:tbl>
      <w:tblPr>
        <w:tblStyle w:val="9"/>
        <w:tblW w:w="95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16"/>
      </w:tblGrid>
      <w:tr w14:paraId="7CA04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atLeast"/>
          <w:jc w:val="center"/>
        </w:trPr>
        <w:tc>
          <w:tcPr>
            <w:tcW w:w="9516" w:type="dxa"/>
            <w:vAlign w:val="center"/>
          </w:tcPr>
          <w:p w14:paraId="1CCFCB6F">
            <w:pPr>
              <w:jc w:val="center"/>
              <w:rPr>
                <w:rFonts w:ascii="宋体" w:hAnsi="宋体"/>
                <w:szCs w:val="21"/>
              </w:rPr>
            </w:pPr>
            <w:r>
              <w:rPr>
                <w:rFonts w:hint="eastAsia" w:ascii="宋体" w:hAnsi="宋体"/>
                <w:szCs w:val="21"/>
              </w:rPr>
              <w:t>勘察设计企业资质等级要求</w:t>
            </w:r>
          </w:p>
        </w:tc>
      </w:tr>
      <w:tr w14:paraId="58919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9516" w:type="dxa"/>
            <w:vAlign w:val="center"/>
          </w:tcPr>
          <w:p w14:paraId="7FFE5ADC">
            <w:pPr>
              <w:ind w:firstLine="420" w:firstLineChars="200"/>
              <w:jc w:val="left"/>
            </w:pPr>
            <w:r>
              <w:rPr>
                <w:rFonts w:hint="eastAsia" w:ascii="宋体" w:hAnsi="宋体" w:cs="宋体"/>
              </w:rPr>
              <w:t>同时具备建设主管部门颁发的</w:t>
            </w:r>
            <w:r>
              <w:rPr>
                <w:rFonts w:hint="eastAsia" w:ascii="宋体" w:hAnsi="宋体" w:cs="宋体"/>
                <w:highlight w:val="none"/>
              </w:rPr>
              <w:t>工程勘察专业类（岩土工程（勘察））</w:t>
            </w:r>
            <w:r>
              <w:rPr>
                <w:rFonts w:hint="eastAsia" w:ascii="宋体" w:hAnsi="宋体" w:cs="宋体"/>
                <w:highlight w:val="none"/>
                <w:lang w:val="en-US" w:eastAsia="zh-CN"/>
              </w:rPr>
              <w:t>乙</w:t>
            </w:r>
            <w:r>
              <w:rPr>
                <w:rFonts w:hint="eastAsia" w:ascii="宋体" w:hAnsi="宋体" w:cs="宋体"/>
                <w:highlight w:val="none"/>
              </w:rPr>
              <w:t>级（含）以上资质和工程勘察专业</w:t>
            </w:r>
            <w:r>
              <w:rPr>
                <w:rFonts w:hint="eastAsia" w:ascii="宋体" w:hAnsi="宋体" w:cs="宋体"/>
                <w:highlight w:val="none"/>
                <w:lang w:val="en-US" w:eastAsia="zh-CN"/>
              </w:rPr>
              <w:t>类</w:t>
            </w:r>
            <w:r>
              <w:rPr>
                <w:rFonts w:hint="eastAsia" w:ascii="宋体" w:hAnsi="宋体" w:cs="宋体"/>
                <w:highlight w:val="none"/>
              </w:rPr>
              <w:t>（工程测量）</w:t>
            </w:r>
            <w:r>
              <w:rPr>
                <w:rFonts w:hint="eastAsia" w:ascii="宋体" w:hAnsi="宋体" w:cs="宋体"/>
                <w:highlight w:val="none"/>
                <w:lang w:val="en-US" w:eastAsia="zh-CN"/>
              </w:rPr>
              <w:t>乙</w:t>
            </w:r>
            <w:r>
              <w:rPr>
                <w:rFonts w:hint="eastAsia" w:ascii="宋体" w:hAnsi="宋体" w:cs="宋体"/>
                <w:highlight w:val="none"/>
              </w:rPr>
              <w:t>级（含）以上</w:t>
            </w:r>
            <w:r>
              <w:rPr>
                <w:rFonts w:hint="eastAsia" w:ascii="宋体" w:hAnsi="宋体" w:cs="宋体"/>
              </w:rPr>
              <w:t>资质和公路行业（公路）专业</w:t>
            </w:r>
            <w:r>
              <w:rPr>
                <w:rFonts w:hint="eastAsia" w:ascii="宋体" w:hAnsi="宋体" w:cs="宋体"/>
                <w:lang w:val="en-US" w:eastAsia="zh-CN"/>
              </w:rPr>
              <w:t>乙</w:t>
            </w:r>
            <w:r>
              <w:rPr>
                <w:rFonts w:hint="eastAsia" w:ascii="宋体" w:hAnsi="宋体" w:cs="宋体"/>
              </w:rPr>
              <w:t>级（含）以上设计资质</w:t>
            </w:r>
            <w:r>
              <w:rPr>
                <w:rFonts w:hint="eastAsia"/>
              </w:rPr>
              <w:t>。</w:t>
            </w:r>
          </w:p>
        </w:tc>
      </w:tr>
    </w:tbl>
    <w:p w14:paraId="38BEFC17">
      <w:pPr>
        <w:spacing w:before="100" w:beforeAutospacing="1"/>
        <w:jc w:val="center"/>
        <w:outlineLvl w:val="2"/>
        <w:rPr>
          <w:rFonts w:ascii="黑体" w:hAnsi="黑体" w:eastAsia="黑体"/>
          <w:sz w:val="28"/>
          <w:szCs w:val="28"/>
        </w:rPr>
      </w:pPr>
      <w:bookmarkStart w:id="18" w:name="_Toc8194671"/>
      <w:r>
        <w:rPr>
          <w:rFonts w:hint="eastAsia" w:ascii="黑体" w:hAnsi="黑体" w:eastAsia="黑体"/>
          <w:sz w:val="28"/>
          <w:szCs w:val="28"/>
        </w:rPr>
        <w:t>附录2资格审查条件（业绩最低要求）</w:t>
      </w:r>
      <w:bookmarkEnd w:id="18"/>
    </w:p>
    <w:tbl>
      <w:tblPr>
        <w:tblStyle w:val="9"/>
        <w:tblW w:w="952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21"/>
      </w:tblGrid>
      <w:tr w14:paraId="0CC71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9521" w:type="dxa"/>
            <w:vAlign w:val="center"/>
          </w:tcPr>
          <w:p w14:paraId="291D30A0">
            <w:pPr>
              <w:spacing w:line="360" w:lineRule="auto"/>
              <w:jc w:val="center"/>
              <w:rPr>
                <w:sz w:val="28"/>
                <w:szCs w:val="28"/>
              </w:rPr>
            </w:pPr>
            <w:r>
              <w:rPr>
                <w:rFonts w:hint="eastAsia"/>
                <w:szCs w:val="21"/>
              </w:rPr>
              <w:t>业绩要求</w:t>
            </w:r>
          </w:p>
        </w:tc>
      </w:tr>
      <w:tr w14:paraId="022E47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4" w:hRule="atLeast"/>
          <w:jc w:val="center"/>
        </w:trPr>
        <w:tc>
          <w:tcPr>
            <w:tcW w:w="9521" w:type="dxa"/>
            <w:vAlign w:val="center"/>
          </w:tcPr>
          <w:p w14:paraId="3E925BDA">
            <w:pPr>
              <w:spacing w:line="420" w:lineRule="exact"/>
              <w:ind w:firstLine="420" w:firstLineChars="200"/>
              <w:rPr>
                <w:rFonts w:hint="eastAsia" w:ascii="宋体" w:eastAsiaTheme="minorEastAsia"/>
                <w:w w:val="90"/>
                <w:u w:val="single" w:color="FFFFFF"/>
                <w:lang w:eastAsia="zh-CN"/>
              </w:rPr>
            </w:pPr>
            <w:r>
              <w:rPr>
                <w:rFonts w:hint="eastAsia" w:ascii="宋体" w:hAnsi="宋体" w:cs="宋体"/>
                <w:kern w:val="0"/>
                <w:lang w:val="en-US" w:eastAsia="zh-CN"/>
              </w:rPr>
              <w:t>无</w:t>
            </w:r>
          </w:p>
        </w:tc>
      </w:tr>
    </w:tbl>
    <w:p w14:paraId="32C686B4">
      <w:pPr>
        <w:spacing w:before="100" w:beforeAutospacing="1"/>
        <w:jc w:val="center"/>
        <w:outlineLvl w:val="2"/>
        <w:rPr>
          <w:rFonts w:ascii="黑体" w:hAnsi="黑体" w:eastAsia="黑体"/>
          <w:sz w:val="28"/>
          <w:szCs w:val="28"/>
        </w:rPr>
      </w:pPr>
      <w:bookmarkStart w:id="19" w:name="_Toc8194672"/>
      <w:r>
        <w:rPr>
          <w:rFonts w:hint="eastAsia" w:ascii="黑体" w:hAnsi="黑体" w:eastAsia="黑体"/>
          <w:sz w:val="28"/>
          <w:szCs w:val="28"/>
        </w:rPr>
        <w:t>附录3 资格审查条件（信誉最低要求）</w:t>
      </w:r>
      <w:bookmarkEnd w:id="19"/>
    </w:p>
    <w:tbl>
      <w:tblPr>
        <w:tblStyle w:val="9"/>
        <w:tblW w:w="95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40"/>
      </w:tblGrid>
      <w:tr w14:paraId="596203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5" w:hRule="atLeast"/>
          <w:jc w:val="center"/>
        </w:trPr>
        <w:tc>
          <w:tcPr>
            <w:tcW w:w="9540" w:type="dxa"/>
            <w:vAlign w:val="center"/>
          </w:tcPr>
          <w:p w14:paraId="5E0529FA">
            <w:pPr>
              <w:jc w:val="center"/>
              <w:rPr>
                <w:szCs w:val="21"/>
              </w:rPr>
            </w:pPr>
            <w:r>
              <w:rPr>
                <w:rFonts w:hint="eastAsia"/>
                <w:szCs w:val="21"/>
              </w:rPr>
              <w:t>信誉要求</w:t>
            </w:r>
          </w:p>
        </w:tc>
      </w:tr>
      <w:tr w14:paraId="5B44F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5" w:hRule="atLeast"/>
          <w:jc w:val="center"/>
        </w:trPr>
        <w:tc>
          <w:tcPr>
            <w:tcW w:w="9540" w:type="dxa"/>
            <w:vAlign w:val="center"/>
          </w:tcPr>
          <w:p w14:paraId="7A41C03A">
            <w:pPr>
              <w:tabs>
                <w:tab w:val="left" w:pos="993"/>
              </w:tabs>
              <w:spacing w:line="360" w:lineRule="auto"/>
              <w:ind w:left="420"/>
            </w:pPr>
            <w:r>
              <w:rPr>
                <w:rFonts w:hint="eastAsia" w:asciiTheme="minorEastAsia" w:hAnsiTheme="minorEastAsia" w:eastAsiaTheme="minorEastAsia"/>
              </w:rPr>
              <w:t>投标人不存在投标人须知1.4.4款所列的不良状况和不良信用记录。</w:t>
            </w:r>
          </w:p>
        </w:tc>
      </w:tr>
    </w:tbl>
    <w:p w14:paraId="56D1E8C1">
      <w:pPr>
        <w:spacing w:before="100" w:beforeAutospacing="1"/>
        <w:jc w:val="center"/>
        <w:outlineLvl w:val="2"/>
        <w:rPr>
          <w:rFonts w:ascii="黑体" w:hAnsi="黑体" w:eastAsia="黑体"/>
          <w:sz w:val="28"/>
          <w:szCs w:val="28"/>
        </w:rPr>
      </w:pPr>
      <w:bookmarkStart w:id="20" w:name="_Toc8194673"/>
      <w:bookmarkStart w:id="21" w:name="_Toc411418983"/>
      <w:r>
        <w:rPr>
          <w:rFonts w:hint="eastAsia" w:ascii="黑体" w:hAnsi="黑体" w:eastAsia="黑体"/>
          <w:sz w:val="28"/>
          <w:szCs w:val="28"/>
        </w:rPr>
        <w:t>附录4 资格审查条件（项目负责人最低要求）</w:t>
      </w:r>
      <w:bookmarkEnd w:id="20"/>
      <w:bookmarkEnd w:id="21"/>
    </w:p>
    <w:tbl>
      <w:tblPr>
        <w:tblStyle w:val="9"/>
        <w:tblW w:w="95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33"/>
        <w:gridCol w:w="992"/>
        <w:gridCol w:w="7009"/>
      </w:tblGrid>
      <w:tr w14:paraId="19A5F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1533" w:type="dxa"/>
            <w:vAlign w:val="center"/>
          </w:tcPr>
          <w:p w14:paraId="145FCD80">
            <w:pPr>
              <w:jc w:val="center"/>
              <w:rPr>
                <w:rFonts w:ascii="宋体" w:hAnsi="宋体"/>
                <w:szCs w:val="21"/>
              </w:rPr>
            </w:pPr>
            <w:r>
              <w:rPr>
                <w:rFonts w:hint="eastAsia" w:ascii="宋体" w:hAnsi="宋体"/>
                <w:szCs w:val="21"/>
              </w:rPr>
              <w:t>人员</w:t>
            </w:r>
          </w:p>
        </w:tc>
        <w:tc>
          <w:tcPr>
            <w:tcW w:w="992" w:type="dxa"/>
            <w:vAlign w:val="center"/>
          </w:tcPr>
          <w:p w14:paraId="30A0700F">
            <w:pPr>
              <w:jc w:val="center"/>
              <w:rPr>
                <w:rFonts w:hAnsi="宋体"/>
                <w:szCs w:val="21"/>
              </w:rPr>
            </w:pPr>
            <w:r>
              <w:rPr>
                <w:rFonts w:hint="eastAsia" w:hAnsi="宋体"/>
                <w:szCs w:val="21"/>
              </w:rPr>
              <w:t>数量（人）</w:t>
            </w:r>
          </w:p>
        </w:tc>
        <w:tc>
          <w:tcPr>
            <w:tcW w:w="7009" w:type="dxa"/>
            <w:vAlign w:val="center"/>
          </w:tcPr>
          <w:p w14:paraId="37E88FE4">
            <w:pPr>
              <w:widowControl/>
              <w:jc w:val="center"/>
              <w:rPr>
                <w:rFonts w:ascii="宋体" w:hAnsi="宋体"/>
                <w:szCs w:val="21"/>
              </w:rPr>
            </w:pPr>
            <w:r>
              <w:rPr>
                <w:rFonts w:hint="eastAsia" w:ascii="宋体" w:hAnsi="宋体"/>
                <w:szCs w:val="21"/>
              </w:rPr>
              <w:t>资格要求</w:t>
            </w:r>
          </w:p>
        </w:tc>
      </w:tr>
      <w:tr w14:paraId="7A8852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5" w:hRule="atLeast"/>
          <w:jc w:val="center"/>
        </w:trPr>
        <w:tc>
          <w:tcPr>
            <w:tcW w:w="1533" w:type="dxa"/>
            <w:vAlign w:val="center"/>
          </w:tcPr>
          <w:p w14:paraId="1B9B7E96">
            <w:pPr>
              <w:jc w:val="center"/>
              <w:rPr>
                <w:szCs w:val="21"/>
              </w:rPr>
            </w:pPr>
            <w:r>
              <w:rPr>
                <w:szCs w:val="21"/>
              </w:rPr>
              <w:t>项目负责人</w:t>
            </w:r>
          </w:p>
        </w:tc>
        <w:tc>
          <w:tcPr>
            <w:tcW w:w="992" w:type="dxa"/>
            <w:vAlign w:val="center"/>
          </w:tcPr>
          <w:p w14:paraId="2EFC9DDB">
            <w:pPr>
              <w:jc w:val="center"/>
              <w:rPr>
                <w:rFonts w:hAnsi="宋体"/>
                <w:szCs w:val="21"/>
              </w:rPr>
            </w:pPr>
            <w:r>
              <w:rPr>
                <w:rFonts w:hint="eastAsia" w:hAnsi="宋体"/>
                <w:szCs w:val="21"/>
              </w:rPr>
              <w:t>1</w:t>
            </w:r>
          </w:p>
        </w:tc>
        <w:tc>
          <w:tcPr>
            <w:tcW w:w="7009" w:type="dxa"/>
            <w:vAlign w:val="center"/>
          </w:tcPr>
          <w:p w14:paraId="0F280C19">
            <w:pPr>
              <w:widowControl/>
              <w:jc w:val="left"/>
              <w:rPr>
                <w:bCs/>
                <w:szCs w:val="21"/>
              </w:rPr>
            </w:pPr>
            <w:r>
              <w:rPr>
                <w:rFonts w:ascii="Times New Roman" w:hAnsi="Times New Roman"/>
                <w:bCs/>
                <w:szCs w:val="18"/>
                <w:lang w:val="zh-CN"/>
              </w:rPr>
              <w:t>投标人自有人员</w:t>
            </w:r>
            <w:r>
              <w:rPr>
                <w:rStyle w:val="12"/>
                <w:rFonts w:ascii="Times New Roman" w:hAnsi="Times New Roman"/>
                <w:bCs/>
                <w:szCs w:val="18"/>
                <w:lang w:val="zh-CN"/>
              </w:rPr>
              <w:footnoteReference w:id="0"/>
            </w:r>
            <w:r>
              <w:rPr>
                <w:rFonts w:hint="eastAsia"/>
                <w:bCs/>
                <w:szCs w:val="18"/>
                <w:lang w:val="zh-CN"/>
              </w:rPr>
              <w:t>，</w:t>
            </w:r>
            <w:r>
              <w:rPr>
                <w:rFonts w:hint="eastAsia" w:cs="宋体"/>
                <w:lang w:val="en-US" w:eastAsia="zh-CN"/>
              </w:rPr>
              <w:t>公路工程</w:t>
            </w:r>
            <w:r>
              <w:rPr>
                <w:rFonts w:hint="eastAsia" w:cs="宋体"/>
              </w:rPr>
              <w:t>相关专业</w:t>
            </w:r>
            <w:r>
              <w:rPr>
                <w:rFonts w:cs="宋体"/>
                <w:highlight w:val="none"/>
                <w:vertAlign w:val="superscript"/>
              </w:rPr>
              <w:footnoteReference w:id="1"/>
            </w:r>
            <w:r>
              <w:rPr>
                <w:rFonts w:hint="eastAsia" w:cs="宋体"/>
                <w:highlight w:val="none"/>
              </w:rPr>
              <w:t>高级工程师，</w:t>
            </w:r>
            <w:r>
              <w:rPr>
                <w:rFonts w:hint="eastAsia" w:cs="宋体"/>
                <w:highlight w:val="none"/>
                <w:lang w:val="zh-CN"/>
              </w:rPr>
              <w:t>担任过</w:t>
            </w:r>
            <w:r>
              <w:rPr>
                <w:rFonts w:hint="eastAsia" w:cs="宋体"/>
                <w:highlight w:val="none"/>
                <w:lang w:val="en-US" w:eastAsia="zh-CN"/>
              </w:rPr>
              <w:t>二级及以上公路建设项目</w:t>
            </w:r>
            <w:r>
              <w:rPr>
                <w:rFonts w:hint="eastAsia" w:cs="宋体"/>
                <w:highlight w:val="none"/>
              </w:rPr>
              <w:t>勘察</w:t>
            </w:r>
            <w:r>
              <w:rPr>
                <w:rFonts w:hint="eastAsia" w:cs="宋体"/>
                <w:highlight w:val="none"/>
                <w:lang w:val="en-US" w:eastAsia="zh-CN"/>
              </w:rPr>
              <w:t>和</w:t>
            </w:r>
            <w:r>
              <w:rPr>
                <w:rFonts w:hint="eastAsia" w:cs="宋体"/>
                <w:highlight w:val="none"/>
              </w:rPr>
              <w:t>设计项目负责人</w:t>
            </w:r>
            <w:r>
              <w:rPr>
                <w:rFonts w:hint="eastAsia"/>
                <w:highlight w:val="none"/>
              </w:rPr>
              <w:t>。</w:t>
            </w:r>
          </w:p>
        </w:tc>
      </w:tr>
    </w:tbl>
    <w:p w14:paraId="6E95C154">
      <w:pPr>
        <w:rPr>
          <w:rFonts w:ascii="黑体" w:hAnsi="宋体" w:eastAsia="黑体"/>
          <w:sz w:val="18"/>
          <w:szCs w:val="18"/>
        </w:rPr>
      </w:pPr>
    </w:p>
    <w:p w14:paraId="43DD1568">
      <w:pPr>
        <w:rPr>
          <w:rFonts w:ascii="Times New Roman" w:hAnsi="Times New Roman" w:eastAsia="黑体" w:cs="Times New Roman"/>
        </w:rPr>
      </w:pPr>
      <w:r>
        <w:rPr>
          <w:rFonts w:ascii="Times New Roman" w:hAnsi="Times New Roman" w:eastAsia="黑体" w:cs="Times New Roman"/>
        </w:rPr>
        <w:br w:type="page"/>
      </w:r>
    </w:p>
    <w:p w14:paraId="5B8AAB82">
      <w:pPr>
        <w:pStyle w:val="2"/>
        <w:keepNext w:val="0"/>
        <w:keepLines w:val="0"/>
        <w:spacing w:before="0" w:after="0" w:line="360" w:lineRule="auto"/>
        <w:jc w:val="center"/>
        <w:rPr>
          <w:rFonts w:ascii="Times New Roman" w:hAnsi="Times New Roman" w:eastAsia="黑体"/>
          <w:b w:val="0"/>
        </w:rPr>
      </w:pPr>
      <w:r>
        <w:rPr>
          <w:rFonts w:ascii="Times New Roman" w:hAnsi="Times New Roman" w:eastAsia="黑体" w:cs="Times New Roman"/>
        </w:rPr>
        <w:t>评标办法</w:t>
      </w:r>
      <w:bookmarkEnd w:id="15"/>
      <w:bookmarkEnd w:id="16"/>
    </w:p>
    <w:p w14:paraId="54789ECF">
      <w:pPr>
        <w:rPr>
          <w:rFonts w:ascii="黑体" w:hAnsi="黑体" w:eastAsia="黑体" w:cs="宋体"/>
          <w:w w:val="105"/>
          <w:sz w:val="28"/>
          <w:szCs w:val="28"/>
        </w:rPr>
      </w:pPr>
      <w:r>
        <w:rPr>
          <w:rFonts w:ascii="黑体" w:hAnsi="黑体" w:eastAsia="黑体" w:cs="宋体"/>
          <w:w w:val="105"/>
          <w:sz w:val="28"/>
          <w:szCs w:val="28"/>
        </w:rPr>
        <w:t>评标办法前附表</w:t>
      </w:r>
    </w:p>
    <w:tbl>
      <w:tblPr>
        <w:tblStyle w:val="9"/>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540"/>
        <w:gridCol w:w="7045"/>
      </w:tblGrid>
      <w:tr w14:paraId="558C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blHeader/>
          <w:jc w:val="center"/>
        </w:trPr>
        <w:tc>
          <w:tcPr>
            <w:tcW w:w="2517" w:type="dxa"/>
            <w:gridSpan w:val="2"/>
            <w:shd w:val="clear" w:color="auto" w:fill="auto"/>
            <w:vAlign w:val="center"/>
          </w:tcPr>
          <w:p w14:paraId="2333422A">
            <w:pPr>
              <w:spacing w:line="360" w:lineRule="auto"/>
              <w:jc w:val="center"/>
              <w:rPr>
                <w:rFonts w:ascii="宋体" w:hAnsi="宋体"/>
                <w:szCs w:val="21"/>
              </w:rPr>
            </w:pPr>
            <w:r>
              <w:rPr>
                <w:rFonts w:hint="eastAsia" w:ascii="宋体" w:hAnsi="宋体"/>
                <w:szCs w:val="21"/>
              </w:rPr>
              <w:t>条款号</w:t>
            </w:r>
          </w:p>
        </w:tc>
        <w:tc>
          <w:tcPr>
            <w:tcW w:w="7045" w:type="dxa"/>
            <w:shd w:val="clear" w:color="auto" w:fill="auto"/>
            <w:vAlign w:val="center"/>
          </w:tcPr>
          <w:p w14:paraId="6373FEB4">
            <w:pPr>
              <w:tabs>
                <w:tab w:val="left" w:pos="735"/>
              </w:tabs>
              <w:spacing w:line="360" w:lineRule="auto"/>
              <w:jc w:val="center"/>
              <w:rPr>
                <w:rFonts w:ascii="宋体" w:hAnsi="宋体"/>
                <w:szCs w:val="21"/>
              </w:rPr>
            </w:pPr>
            <w:r>
              <w:rPr>
                <w:rFonts w:ascii="宋体" w:hAnsi="宋体"/>
                <w:bCs/>
                <w:szCs w:val="21"/>
              </w:rPr>
              <w:t>评审因素与评审标准</w:t>
            </w:r>
          </w:p>
        </w:tc>
      </w:tr>
      <w:tr w14:paraId="2E7E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14:paraId="1CB1728E">
            <w:pPr>
              <w:spacing w:line="360" w:lineRule="auto"/>
              <w:jc w:val="center"/>
              <w:rPr>
                <w:rFonts w:ascii="宋体" w:hAnsi="宋体"/>
                <w:szCs w:val="21"/>
              </w:rPr>
            </w:pPr>
            <w:r>
              <w:rPr>
                <w:rFonts w:hint="eastAsia" w:ascii="宋体" w:hAnsi="宋体"/>
                <w:szCs w:val="21"/>
              </w:rPr>
              <w:t>1</w:t>
            </w:r>
          </w:p>
        </w:tc>
        <w:tc>
          <w:tcPr>
            <w:tcW w:w="1540" w:type="dxa"/>
            <w:shd w:val="clear" w:color="auto" w:fill="auto"/>
            <w:vAlign w:val="center"/>
          </w:tcPr>
          <w:p w14:paraId="6E7E41A1">
            <w:pPr>
              <w:tabs>
                <w:tab w:val="left" w:pos="735"/>
              </w:tabs>
              <w:spacing w:line="360" w:lineRule="auto"/>
              <w:jc w:val="center"/>
              <w:rPr>
                <w:rFonts w:ascii="宋体" w:hAnsi="宋体"/>
                <w:szCs w:val="21"/>
              </w:rPr>
            </w:pPr>
            <w:r>
              <w:rPr>
                <w:rFonts w:ascii="宋体" w:hAnsi="宋体"/>
                <w:szCs w:val="21"/>
              </w:rPr>
              <w:t>评标方法</w:t>
            </w:r>
          </w:p>
        </w:tc>
        <w:tc>
          <w:tcPr>
            <w:tcW w:w="7045" w:type="dxa"/>
            <w:shd w:val="clear" w:color="auto" w:fill="auto"/>
          </w:tcPr>
          <w:p w14:paraId="35FE2C3A">
            <w:pPr>
              <w:pStyle w:val="18"/>
              <w:shd w:val="clear" w:color="auto" w:fill="auto"/>
              <w:tabs>
                <w:tab w:val="left" w:pos="735"/>
              </w:tabs>
              <w:spacing w:before="0" w:line="240" w:lineRule="auto"/>
              <w:ind w:firstLine="420" w:firstLineChars="200"/>
              <w:jc w:val="left"/>
              <w:rPr>
                <w:sz w:val="21"/>
                <w:szCs w:val="21"/>
              </w:rPr>
            </w:pPr>
            <w:r>
              <w:rPr>
                <w:sz w:val="21"/>
                <w:szCs w:val="21"/>
              </w:rPr>
              <w:t>综合评分相等时，评标委员会依次按照以下优先顺序推荐中标候选人或确定中标人：</w:t>
            </w:r>
          </w:p>
          <w:p w14:paraId="5AEB1763">
            <w:pPr>
              <w:pStyle w:val="18"/>
              <w:shd w:val="clear" w:color="auto" w:fill="auto"/>
              <w:tabs>
                <w:tab w:val="left" w:pos="735"/>
                <w:tab w:val="left" w:pos="1070"/>
              </w:tabs>
              <w:spacing w:before="0" w:line="360" w:lineRule="auto"/>
              <w:ind w:firstLine="420" w:firstLineChars="200"/>
              <w:jc w:val="both"/>
              <w:rPr>
                <w:sz w:val="21"/>
                <w:szCs w:val="21"/>
              </w:rPr>
            </w:pPr>
            <w:r>
              <w:rPr>
                <w:rFonts w:hint="eastAsia"/>
                <w:sz w:val="21"/>
                <w:szCs w:val="21"/>
              </w:rPr>
              <w:t>（1）</w:t>
            </w:r>
            <w:r>
              <w:rPr>
                <w:sz w:val="21"/>
                <w:szCs w:val="21"/>
              </w:rPr>
              <w:t>评标价低的投标人优先；</w:t>
            </w:r>
          </w:p>
          <w:p w14:paraId="2F709996">
            <w:pPr>
              <w:pStyle w:val="18"/>
              <w:shd w:val="clear" w:color="auto" w:fill="auto"/>
              <w:tabs>
                <w:tab w:val="left" w:pos="735"/>
                <w:tab w:val="left" w:pos="1078"/>
              </w:tabs>
              <w:spacing w:before="0" w:line="360" w:lineRule="auto"/>
              <w:ind w:firstLine="420" w:firstLineChars="200"/>
              <w:jc w:val="both"/>
              <w:rPr>
                <w:sz w:val="21"/>
                <w:szCs w:val="21"/>
              </w:rPr>
            </w:pPr>
            <w:r>
              <w:rPr>
                <w:rFonts w:hint="eastAsia"/>
                <w:sz w:val="21"/>
                <w:szCs w:val="21"/>
              </w:rPr>
              <w:t>（2）</w:t>
            </w:r>
            <w:r>
              <w:rPr>
                <w:rFonts w:hint="eastAsia"/>
                <w:bCs/>
                <w:szCs w:val="21"/>
              </w:rPr>
              <w:t>信誉</w:t>
            </w:r>
            <w:r>
              <w:rPr>
                <w:sz w:val="21"/>
                <w:szCs w:val="21"/>
              </w:rPr>
              <w:t>得分较高的投标人优先；</w:t>
            </w:r>
          </w:p>
          <w:p w14:paraId="11C8CA59">
            <w:pPr>
              <w:tabs>
                <w:tab w:val="left" w:pos="735"/>
              </w:tabs>
              <w:spacing w:line="360" w:lineRule="auto"/>
              <w:ind w:firstLine="420" w:firstLineChars="200"/>
              <w:rPr>
                <w:rFonts w:ascii="宋体" w:hAnsi="宋体"/>
                <w:bCs/>
                <w:szCs w:val="21"/>
              </w:rPr>
            </w:pPr>
            <w:r>
              <w:rPr>
                <w:rFonts w:hint="eastAsia" w:ascii="宋体" w:hAnsi="宋体"/>
                <w:bCs/>
                <w:szCs w:val="21"/>
              </w:rPr>
              <w:t>（3）</w:t>
            </w:r>
            <w:r>
              <w:rPr>
                <w:szCs w:val="21"/>
              </w:rPr>
              <w:t>商务和技术得分较高的投标人优先；</w:t>
            </w:r>
          </w:p>
          <w:p w14:paraId="30C7A02E">
            <w:pPr>
              <w:tabs>
                <w:tab w:val="left" w:pos="735"/>
              </w:tabs>
              <w:spacing w:line="360" w:lineRule="auto"/>
              <w:ind w:firstLine="420" w:firstLineChars="200"/>
              <w:rPr>
                <w:rFonts w:ascii="宋体" w:hAnsi="宋体"/>
                <w:bCs/>
                <w:szCs w:val="21"/>
              </w:rPr>
            </w:pPr>
            <w:r>
              <w:rPr>
                <w:rFonts w:hint="eastAsia" w:ascii="宋体" w:hAnsi="宋体"/>
                <w:bCs/>
                <w:szCs w:val="21"/>
              </w:rPr>
              <w:t>（4）</w:t>
            </w:r>
            <w:r>
              <w:rPr>
                <w:rFonts w:ascii="宋体" w:hAnsi="宋体"/>
                <w:bCs/>
                <w:szCs w:val="21"/>
              </w:rPr>
              <w:t>主要人员</w:t>
            </w:r>
            <w:r>
              <w:rPr>
                <w:rFonts w:hint="eastAsia" w:ascii="宋体" w:hAnsi="宋体"/>
                <w:bCs/>
                <w:szCs w:val="21"/>
              </w:rPr>
              <w:t>得分较高的投标人优先；</w:t>
            </w:r>
          </w:p>
          <w:p w14:paraId="2AB5EDD7">
            <w:pPr>
              <w:tabs>
                <w:tab w:val="left" w:pos="735"/>
              </w:tabs>
              <w:spacing w:line="360" w:lineRule="auto"/>
              <w:ind w:firstLine="420" w:firstLineChars="200"/>
              <w:rPr>
                <w:rFonts w:ascii="宋体" w:hAnsi="宋体"/>
                <w:bCs/>
                <w:szCs w:val="21"/>
              </w:rPr>
            </w:pPr>
            <w:r>
              <w:rPr>
                <w:rFonts w:hint="eastAsia" w:ascii="宋体" w:hAnsi="宋体"/>
                <w:bCs/>
                <w:szCs w:val="21"/>
              </w:rPr>
              <w:t>（5）评标委员会投票决定。</w:t>
            </w:r>
          </w:p>
        </w:tc>
      </w:tr>
      <w:tr w14:paraId="5BEF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14:paraId="2318850F">
            <w:pPr>
              <w:spacing w:line="360" w:lineRule="auto"/>
              <w:jc w:val="center"/>
              <w:rPr>
                <w:rFonts w:ascii="宋体" w:hAnsi="宋体"/>
                <w:szCs w:val="21"/>
              </w:rPr>
            </w:pPr>
            <w:r>
              <w:rPr>
                <w:rFonts w:hint="eastAsia" w:ascii="宋体" w:hAnsi="宋体"/>
                <w:szCs w:val="21"/>
              </w:rPr>
              <w:t>2.1.1</w:t>
            </w:r>
          </w:p>
          <w:p w14:paraId="1E7BC58F">
            <w:pPr>
              <w:spacing w:line="360" w:lineRule="auto"/>
              <w:jc w:val="center"/>
              <w:rPr>
                <w:rFonts w:ascii="宋体" w:hAnsi="宋体"/>
                <w:szCs w:val="21"/>
              </w:rPr>
            </w:pPr>
            <w:r>
              <w:rPr>
                <w:rFonts w:hint="eastAsia" w:ascii="宋体" w:hAnsi="宋体"/>
                <w:szCs w:val="21"/>
              </w:rPr>
              <w:t>2.1.3</w:t>
            </w:r>
          </w:p>
        </w:tc>
        <w:tc>
          <w:tcPr>
            <w:tcW w:w="1540" w:type="dxa"/>
            <w:shd w:val="clear" w:color="auto" w:fill="auto"/>
            <w:vAlign w:val="center"/>
          </w:tcPr>
          <w:p w14:paraId="1B065C1B">
            <w:pPr>
              <w:tabs>
                <w:tab w:val="left" w:pos="735"/>
              </w:tabs>
              <w:spacing w:line="360" w:lineRule="auto"/>
              <w:jc w:val="center"/>
              <w:rPr>
                <w:rFonts w:ascii="宋体" w:hAnsi="宋体"/>
                <w:szCs w:val="21"/>
              </w:rPr>
            </w:pPr>
            <w:r>
              <w:rPr>
                <w:rFonts w:ascii="宋体" w:hAnsi="宋体"/>
                <w:szCs w:val="21"/>
              </w:rPr>
              <w:t>形式评审与 响应性</w:t>
            </w:r>
          </w:p>
          <w:p w14:paraId="5BEBC261">
            <w:pPr>
              <w:tabs>
                <w:tab w:val="left" w:pos="735"/>
              </w:tabs>
              <w:spacing w:line="360" w:lineRule="auto"/>
              <w:jc w:val="center"/>
              <w:rPr>
                <w:rFonts w:ascii="宋体" w:hAnsi="宋体"/>
                <w:szCs w:val="21"/>
              </w:rPr>
            </w:pPr>
            <w:r>
              <w:rPr>
                <w:rFonts w:ascii="宋体" w:hAnsi="宋体"/>
                <w:szCs w:val="21"/>
              </w:rPr>
              <w:t>评审标准</w:t>
            </w:r>
          </w:p>
        </w:tc>
        <w:tc>
          <w:tcPr>
            <w:tcW w:w="7045" w:type="dxa"/>
            <w:shd w:val="clear" w:color="auto" w:fill="auto"/>
          </w:tcPr>
          <w:p w14:paraId="42AD71A0">
            <w:pPr>
              <w:pStyle w:val="18"/>
              <w:shd w:val="clear" w:color="auto" w:fill="auto"/>
              <w:tabs>
                <w:tab w:val="left" w:pos="735"/>
              </w:tabs>
              <w:spacing w:before="0" w:line="360" w:lineRule="auto"/>
              <w:jc w:val="both"/>
              <w:rPr>
                <w:sz w:val="21"/>
                <w:szCs w:val="21"/>
              </w:rPr>
            </w:pPr>
            <w:r>
              <w:rPr>
                <w:bCs/>
                <w:sz w:val="21"/>
                <w:szCs w:val="21"/>
              </w:rPr>
              <w:t>第一个信封（商务及技术文件）评审标准：</w:t>
            </w:r>
          </w:p>
          <w:p w14:paraId="592575FB">
            <w:pPr>
              <w:pStyle w:val="18"/>
              <w:shd w:val="clear" w:color="auto" w:fill="auto"/>
              <w:tabs>
                <w:tab w:val="left" w:pos="735"/>
                <w:tab w:val="left" w:pos="946"/>
              </w:tabs>
              <w:spacing w:before="0" w:line="360" w:lineRule="auto"/>
              <w:ind w:firstLine="420" w:firstLineChars="200"/>
              <w:jc w:val="both"/>
              <w:rPr>
                <w:sz w:val="21"/>
                <w:szCs w:val="21"/>
              </w:rPr>
            </w:pPr>
            <w:r>
              <w:rPr>
                <w:rFonts w:hint="eastAsia"/>
                <w:sz w:val="21"/>
                <w:szCs w:val="21"/>
              </w:rPr>
              <w:t>（1）</w:t>
            </w:r>
            <w:r>
              <w:rPr>
                <w:sz w:val="21"/>
                <w:szCs w:val="21"/>
              </w:rPr>
              <w:t>投标文件按照招标文件规定的格式</w:t>
            </w:r>
            <w:r>
              <w:rPr>
                <w:rFonts w:hint="eastAsia"/>
                <w:sz w:val="21"/>
                <w:szCs w:val="21"/>
              </w:rPr>
              <w:t>、</w:t>
            </w:r>
            <w:r>
              <w:rPr>
                <w:sz w:val="21"/>
                <w:szCs w:val="21"/>
              </w:rPr>
              <w:t>内容填写，字迹清晰</w:t>
            </w:r>
            <w:r>
              <w:rPr>
                <w:rFonts w:hint="eastAsia"/>
                <w:sz w:val="21"/>
                <w:szCs w:val="21"/>
              </w:rPr>
              <w:t>可</w:t>
            </w:r>
            <w:r>
              <w:rPr>
                <w:sz w:val="21"/>
                <w:szCs w:val="21"/>
              </w:rPr>
              <w:t>辨：</w:t>
            </w:r>
          </w:p>
          <w:p w14:paraId="716D6697">
            <w:pPr>
              <w:pStyle w:val="18"/>
              <w:shd w:val="clear" w:color="auto" w:fill="auto"/>
              <w:tabs>
                <w:tab w:val="left" w:pos="566"/>
                <w:tab w:val="left" w:pos="735"/>
              </w:tabs>
              <w:spacing w:before="0" w:line="360" w:lineRule="auto"/>
              <w:ind w:firstLine="420" w:firstLineChars="200"/>
              <w:jc w:val="left"/>
              <w:rPr>
                <w:sz w:val="21"/>
                <w:szCs w:val="21"/>
              </w:rPr>
            </w:pPr>
            <w:r>
              <w:rPr>
                <w:rFonts w:hint="eastAsia"/>
                <w:sz w:val="21"/>
                <w:szCs w:val="21"/>
              </w:rPr>
              <w:t>a.</w:t>
            </w:r>
            <w:r>
              <w:rPr>
                <w:sz w:val="21"/>
                <w:szCs w:val="21"/>
              </w:rPr>
              <w:t>投标函按招标文件规定填报了项目名称、标段号、补遗书编号（如有）、勘察设计服务期限、工程质量要求及安全目标；</w:t>
            </w:r>
          </w:p>
          <w:p w14:paraId="6D303663">
            <w:pPr>
              <w:pStyle w:val="18"/>
              <w:shd w:val="clear" w:color="auto" w:fill="auto"/>
              <w:tabs>
                <w:tab w:val="left" w:pos="168"/>
                <w:tab w:val="left" w:pos="735"/>
              </w:tabs>
              <w:spacing w:before="0" w:line="360" w:lineRule="auto"/>
              <w:ind w:firstLine="420" w:firstLineChars="200"/>
              <w:jc w:val="both"/>
              <w:rPr>
                <w:sz w:val="21"/>
                <w:szCs w:val="21"/>
              </w:rPr>
            </w:pPr>
            <w:r>
              <w:rPr>
                <w:rFonts w:hint="eastAsia"/>
                <w:sz w:val="21"/>
                <w:szCs w:val="21"/>
              </w:rPr>
              <w:t>b.</w:t>
            </w:r>
            <w:r>
              <w:rPr>
                <w:sz w:val="21"/>
                <w:szCs w:val="21"/>
              </w:rPr>
              <w:t>投标文件组成齐全完整，内容均按规定填写。</w:t>
            </w:r>
          </w:p>
          <w:p w14:paraId="225F9F9A">
            <w:pPr>
              <w:pStyle w:val="18"/>
              <w:shd w:val="clear" w:color="auto" w:fill="auto"/>
              <w:tabs>
                <w:tab w:val="left" w:pos="735"/>
                <w:tab w:val="left" w:pos="948"/>
              </w:tabs>
              <w:spacing w:before="0" w:line="360" w:lineRule="auto"/>
              <w:ind w:firstLine="420" w:firstLineChars="200"/>
              <w:jc w:val="both"/>
              <w:rPr>
                <w:sz w:val="21"/>
                <w:szCs w:val="21"/>
              </w:rPr>
            </w:pPr>
            <w:r>
              <w:rPr>
                <w:rFonts w:hint="eastAsia"/>
                <w:sz w:val="21"/>
                <w:szCs w:val="21"/>
              </w:rPr>
              <w:t>（2）</w:t>
            </w:r>
            <w:r>
              <w:rPr>
                <w:sz w:val="21"/>
                <w:szCs w:val="21"/>
              </w:rPr>
              <w:t>投标文件上法定代表人或其委托代理人的签字、投标人的单位章盖章齐全，符合招标文件规定。</w:t>
            </w:r>
          </w:p>
          <w:p w14:paraId="385F9BF9">
            <w:pPr>
              <w:pStyle w:val="18"/>
              <w:shd w:val="clear" w:color="auto" w:fill="auto"/>
              <w:tabs>
                <w:tab w:val="left" w:pos="735"/>
                <w:tab w:val="left" w:pos="948"/>
              </w:tabs>
              <w:spacing w:before="0" w:line="360" w:lineRule="auto"/>
              <w:ind w:firstLine="420" w:firstLineChars="200"/>
              <w:jc w:val="both"/>
              <w:rPr>
                <w:sz w:val="21"/>
                <w:szCs w:val="21"/>
              </w:rPr>
            </w:pPr>
            <w:r>
              <w:rPr>
                <w:rFonts w:hint="eastAsia"/>
                <w:sz w:val="21"/>
                <w:szCs w:val="21"/>
              </w:rPr>
              <w:t>（3）</w:t>
            </w:r>
            <w:r>
              <w:rPr>
                <w:sz w:val="21"/>
                <w:szCs w:val="21"/>
              </w:rPr>
              <w:t>投标人按照招标文件的规定提供了投标保证金：</w:t>
            </w:r>
          </w:p>
          <w:p w14:paraId="165DA003">
            <w:pPr>
              <w:tabs>
                <w:tab w:val="left" w:pos="735"/>
              </w:tabs>
              <w:spacing w:line="360" w:lineRule="auto"/>
              <w:ind w:firstLine="420" w:firstLineChars="200"/>
              <w:rPr>
                <w:rFonts w:ascii="宋体" w:hAnsi="宋体"/>
                <w:szCs w:val="21"/>
              </w:rPr>
            </w:pPr>
            <w:r>
              <w:rPr>
                <w:rFonts w:ascii="宋体" w:hAnsi="宋体"/>
                <w:szCs w:val="21"/>
              </w:rPr>
              <w:t>a</w:t>
            </w:r>
            <w:r>
              <w:rPr>
                <w:rFonts w:ascii="宋体" w:hAnsi="宋体"/>
                <w:bCs/>
                <w:szCs w:val="21"/>
              </w:rPr>
              <w:t>.</w:t>
            </w:r>
            <w:r>
              <w:rPr>
                <w:rFonts w:ascii="宋体" w:hAnsi="宋体"/>
                <w:szCs w:val="21"/>
              </w:rPr>
              <w:t>投标保证金金额符合招标文件规定的金额，且投标保证金有效期不少于投标有效期；</w:t>
            </w:r>
          </w:p>
          <w:p w14:paraId="0D26E7A2">
            <w:pPr>
              <w:pStyle w:val="18"/>
              <w:shd w:val="clear" w:color="auto" w:fill="auto"/>
              <w:spacing w:before="0" w:line="360" w:lineRule="auto"/>
              <w:ind w:firstLine="420" w:firstLineChars="200"/>
              <w:jc w:val="both"/>
              <w:rPr>
                <w:rFonts w:cs="宋体"/>
                <w:sz w:val="21"/>
                <w:szCs w:val="21"/>
              </w:rPr>
            </w:pPr>
            <w:r>
              <w:rPr>
                <w:rStyle w:val="19"/>
                <w:rFonts w:hint="eastAsia" w:ascii="宋体" w:hAnsi="宋体" w:eastAsia="宋体"/>
                <w:color w:val="auto"/>
                <w:sz w:val="21"/>
                <w:szCs w:val="21"/>
                <w:shd w:val="clear" w:color="auto" w:fill="auto"/>
                <w:lang w:eastAsia="zh-CN"/>
              </w:rPr>
              <w:t>b.</w:t>
            </w:r>
            <w:r>
              <w:rPr>
                <w:rStyle w:val="20"/>
                <w:rFonts w:ascii="宋体" w:hAnsi="宋体" w:eastAsia="宋体"/>
                <w:color w:val="auto"/>
                <w:sz w:val="21"/>
                <w:szCs w:val="21"/>
                <w:shd w:val="clear" w:color="auto" w:fill="auto"/>
              </w:rPr>
              <w:t>若投标保证金采用现金或支票形式提交，投标人应在招标文件规定的递交截止时间之前，将投标保证金由投标人的基本账户转入招标人指定账户；</w:t>
            </w:r>
          </w:p>
          <w:p w14:paraId="117A8566">
            <w:pPr>
              <w:pStyle w:val="18"/>
              <w:shd w:val="clear" w:color="auto" w:fill="auto"/>
              <w:spacing w:before="0" w:line="360" w:lineRule="auto"/>
              <w:ind w:firstLine="420" w:firstLineChars="200"/>
              <w:jc w:val="both"/>
              <w:rPr>
                <w:rFonts w:cs="宋体"/>
                <w:sz w:val="21"/>
                <w:szCs w:val="21"/>
              </w:rPr>
            </w:pPr>
            <w:r>
              <w:rPr>
                <w:rStyle w:val="19"/>
                <w:rFonts w:hint="eastAsia" w:ascii="宋体" w:hAnsi="宋体" w:eastAsia="宋体"/>
                <w:color w:val="auto"/>
                <w:sz w:val="21"/>
                <w:szCs w:val="21"/>
                <w:shd w:val="clear" w:color="auto" w:fill="auto"/>
                <w:lang w:eastAsia="zh-CN"/>
              </w:rPr>
              <w:t>c</w:t>
            </w:r>
            <w:r>
              <w:rPr>
                <w:rStyle w:val="20"/>
                <w:rFonts w:ascii="宋体" w:hAnsi="宋体" w:eastAsia="宋体"/>
                <w:color w:val="auto"/>
                <w:sz w:val="21"/>
                <w:szCs w:val="21"/>
                <w:shd w:val="clear" w:color="auto" w:fill="auto"/>
                <w:lang w:bidi="en-US"/>
              </w:rPr>
              <w:t>.</w:t>
            </w:r>
            <w:r>
              <w:rPr>
                <w:rStyle w:val="20"/>
                <w:rFonts w:ascii="宋体" w:hAnsi="宋体" w:eastAsia="宋体"/>
                <w:color w:val="auto"/>
                <w:sz w:val="21"/>
                <w:szCs w:val="21"/>
                <w:shd w:val="clear" w:color="auto" w:fill="auto"/>
              </w:rPr>
              <w:t>若投标保证金采用银行保函形式提交，银行保函的格式、开具保函的银行均满足招标文件要求，且在</w:t>
            </w:r>
            <w:r>
              <w:rPr>
                <w:rStyle w:val="20"/>
                <w:rFonts w:hint="eastAsia" w:ascii="宋体" w:hAnsi="宋体" w:eastAsia="宋体"/>
                <w:color w:val="auto"/>
                <w:sz w:val="21"/>
                <w:szCs w:val="21"/>
                <w:shd w:val="clear" w:color="auto" w:fill="auto"/>
                <w:lang w:eastAsia="zh-CN"/>
              </w:rPr>
              <w:t>招标文件</w:t>
            </w:r>
            <w:r>
              <w:rPr>
                <w:rStyle w:val="20"/>
                <w:rFonts w:ascii="宋体" w:hAnsi="宋体" w:eastAsia="宋体"/>
                <w:color w:val="auto"/>
                <w:sz w:val="21"/>
                <w:szCs w:val="21"/>
                <w:shd w:val="clear" w:color="auto" w:fill="auto"/>
              </w:rPr>
              <w:t>规定的递交截止时间之前向招标人提交了银行保函原件。</w:t>
            </w:r>
          </w:p>
          <w:p w14:paraId="03F46DC5">
            <w:pPr>
              <w:pStyle w:val="18"/>
              <w:shd w:val="clear" w:color="auto" w:fill="auto"/>
              <w:tabs>
                <w:tab w:val="left" w:pos="950"/>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w:t>
            </w:r>
            <w:r>
              <w:rPr>
                <w:rStyle w:val="20"/>
                <w:rFonts w:hint="eastAsia" w:ascii="宋体" w:hAnsi="宋体" w:eastAsia="宋体"/>
                <w:color w:val="auto"/>
                <w:sz w:val="21"/>
                <w:szCs w:val="21"/>
                <w:shd w:val="clear" w:color="auto" w:fill="auto"/>
                <w:lang w:eastAsia="zh-CN"/>
              </w:rPr>
              <w:t>4</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投标人法定代表人授权委托代理人签署投标文件的，须提交授权委托书，且授权人和被授权人均在授权委托书上签名，未使用印章、签名章或其他电子制版签名代替。</w:t>
            </w:r>
          </w:p>
          <w:p w14:paraId="2347D1ED">
            <w:pPr>
              <w:pStyle w:val="18"/>
              <w:shd w:val="clear" w:color="auto" w:fill="auto"/>
              <w:tabs>
                <w:tab w:val="left" w:pos="948"/>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w:t>
            </w:r>
            <w:r>
              <w:rPr>
                <w:rStyle w:val="20"/>
                <w:rFonts w:hint="eastAsia" w:ascii="宋体" w:hAnsi="宋体" w:eastAsia="宋体"/>
                <w:color w:val="auto"/>
                <w:sz w:val="21"/>
                <w:szCs w:val="21"/>
                <w:shd w:val="clear" w:color="auto" w:fill="auto"/>
                <w:lang w:eastAsia="zh-CN"/>
              </w:rPr>
              <w:t>5</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投标人法定代表人亲自签署投标文件的，提供了法定代表人身份证明，且法定代表人在法定代表人身份证明上签名，未使用印章、签名章或其他电子制版签名代替。</w:t>
            </w:r>
          </w:p>
          <w:p w14:paraId="6BE834F2">
            <w:pPr>
              <w:pStyle w:val="18"/>
              <w:shd w:val="clear" w:color="auto" w:fill="auto"/>
              <w:tabs>
                <w:tab w:val="left" w:pos="1078"/>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w:t>
            </w:r>
            <w:r>
              <w:rPr>
                <w:rStyle w:val="20"/>
                <w:rFonts w:hint="eastAsia" w:ascii="宋体" w:hAnsi="宋体" w:eastAsia="宋体"/>
                <w:color w:val="auto"/>
                <w:sz w:val="21"/>
                <w:szCs w:val="21"/>
                <w:shd w:val="clear" w:color="auto" w:fill="auto"/>
                <w:lang w:eastAsia="zh-CN"/>
              </w:rPr>
              <w:t>6</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投标人以联合体形式投标时，投标人按照招标文件提供的格式签订了联合体协议书，明确各方承担连带责任，并明确了联合体牵头人；</w:t>
            </w:r>
          </w:p>
          <w:p w14:paraId="48C103DF">
            <w:pPr>
              <w:pStyle w:val="18"/>
              <w:shd w:val="clear" w:color="auto" w:fill="auto"/>
              <w:tabs>
                <w:tab w:val="left" w:pos="948"/>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w:t>
            </w:r>
            <w:r>
              <w:rPr>
                <w:rStyle w:val="20"/>
                <w:rFonts w:hint="eastAsia" w:ascii="宋体" w:hAnsi="宋体" w:eastAsia="宋体"/>
                <w:color w:val="auto"/>
                <w:sz w:val="21"/>
                <w:szCs w:val="21"/>
                <w:shd w:val="clear" w:color="auto" w:fill="auto"/>
                <w:lang w:eastAsia="zh-CN"/>
              </w:rPr>
              <w:t>7</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投标人未提出分包计划。</w:t>
            </w:r>
          </w:p>
          <w:p w14:paraId="6F3A5120">
            <w:pPr>
              <w:pStyle w:val="18"/>
              <w:shd w:val="clear" w:color="auto" w:fill="auto"/>
              <w:tabs>
                <w:tab w:val="left" w:pos="962"/>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w:t>
            </w:r>
            <w:r>
              <w:rPr>
                <w:rStyle w:val="20"/>
                <w:rFonts w:hint="eastAsia" w:ascii="宋体" w:hAnsi="宋体" w:eastAsia="宋体"/>
                <w:color w:val="auto"/>
                <w:sz w:val="21"/>
                <w:szCs w:val="21"/>
                <w:shd w:val="clear" w:color="auto" w:fill="auto"/>
                <w:lang w:eastAsia="zh-CN"/>
              </w:rPr>
              <w:t>8</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同一投标人未提交两个以上不同的投标文件，但招标文件要求提交备选投标的除外。</w:t>
            </w:r>
          </w:p>
          <w:p w14:paraId="57EE4A53">
            <w:pPr>
              <w:pStyle w:val="18"/>
              <w:shd w:val="clear" w:color="auto" w:fill="auto"/>
              <w:tabs>
                <w:tab w:val="left" w:pos="1181"/>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w:t>
            </w:r>
            <w:r>
              <w:rPr>
                <w:rStyle w:val="20"/>
                <w:rFonts w:hint="eastAsia" w:ascii="宋体" w:hAnsi="宋体" w:eastAsia="宋体"/>
                <w:color w:val="auto"/>
                <w:sz w:val="21"/>
                <w:szCs w:val="21"/>
                <w:shd w:val="clear" w:color="auto" w:fill="auto"/>
                <w:lang w:eastAsia="zh-CN"/>
              </w:rPr>
              <w:t>9</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投标文件中未出现有关投标报价的内容。</w:t>
            </w:r>
          </w:p>
          <w:p w14:paraId="3C3D0721">
            <w:pPr>
              <w:pStyle w:val="18"/>
              <w:shd w:val="clear" w:color="auto" w:fill="auto"/>
              <w:tabs>
                <w:tab w:val="left" w:pos="936"/>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（1</w:t>
            </w:r>
            <w:r>
              <w:rPr>
                <w:rStyle w:val="20"/>
                <w:rFonts w:hint="eastAsia" w:ascii="宋体" w:hAnsi="宋体" w:eastAsia="宋体"/>
                <w:color w:val="auto"/>
                <w:sz w:val="21"/>
                <w:szCs w:val="21"/>
                <w:shd w:val="clear" w:color="auto" w:fill="auto"/>
                <w:lang w:eastAsia="zh-CN"/>
              </w:rPr>
              <w:t>0</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投标文件载明的招标项目完成期限未超过招标文件规定的时限。</w:t>
            </w:r>
          </w:p>
          <w:p w14:paraId="612E9EA9">
            <w:pPr>
              <w:pStyle w:val="18"/>
              <w:shd w:val="clear" w:color="auto" w:fill="auto"/>
              <w:tabs>
                <w:tab w:val="left" w:pos="1181"/>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（1</w:t>
            </w:r>
            <w:r>
              <w:rPr>
                <w:rStyle w:val="20"/>
                <w:rFonts w:hint="eastAsia" w:ascii="宋体" w:hAnsi="宋体" w:eastAsia="宋体"/>
                <w:color w:val="auto"/>
                <w:sz w:val="21"/>
                <w:szCs w:val="21"/>
                <w:shd w:val="clear" w:color="auto" w:fill="auto"/>
                <w:lang w:eastAsia="zh-CN"/>
              </w:rPr>
              <w:t>1</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投标文件对招标文件的实质性要求和条件作出响应。</w:t>
            </w:r>
          </w:p>
          <w:p w14:paraId="6A4186D1">
            <w:pPr>
              <w:pStyle w:val="18"/>
              <w:shd w:val="clear" w:color="auto" w:fill="auto"/>
              <w:tabs>
                <w:tab w:val="left" w:pos="1176"/>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（1</w:t>
            </w:r>
            <w:r>
              <w:rPr>
                <w:rStyle w:val="20"/>
                <w:rFonts w:hint="eastAsia" w:ascii="宋体" w:hAnsi="宋体" w:eastAsia="宋体"/>
                <w:color w:val="auto"/>
                <w:sz w:val="21"/>
                <w:szCs w:val="21"/>
                <w:shd w:val="clear" w:color="auto" w:fill="auto"/>
                <w:lang w:eastAsia="zh-CN"/>
              </w:rPr>
              <w:t>2</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权利义务符合招标文件规定</w:t>
            </w:r>
            <w:r>
              <w:rPr>
                <w:rStyle w:val="21"/>
                <w:rFonts w:ascii="宋体" w:hAnsi="宋体" w:eastAsia="宋体"/>
                <w:b w:val="0"/>
                <w:color w:val="auto"/>
                <w:sz w:val="21"/>
                <w:szCs w:val="21"/>
              </w:rPr>
              <w:t>：</w:t>
            </w:r>
          </w:p>
          <w:p w14:paraId="5A918B92">
            <w:pPr>
              <w:pStyle w:val="18"/>
              <w:shd w:val="clear" w:color="auto" w:fill="auto"/>
              <w:tabs>
                <w:tab w:val="left" w:pos="569"/>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a.</w:t>
            </w:r>
            <w:r>
              <w:rPr>
                <w:rStyle w:val="20"/>
                <w:rFonts w:ascii="宋体" w:hAnsi="宋体" w:eastAsia="宋体"/>
                <w:color w:val="auto"/>
                <w:sz w:val="21"/>
                <w:szCs w:val="21"/>
                <w:shd w:val="clear" w:color="auto" w:fill="auto"/>
              </w:rPr>
              <w:t>投标人应接受招标文件规定的风险划分原则，未提出新的风险划分办法；</w:t>
            </w:r>
          </w:p>
          <w:p w14:paraId="1B8B6CA0">
            <w:pPr>
              <w:pStyle w:val="18"/>
              <w:shd w:val="clear" w:color="auto" w:fill="auto"/>
              <w:tabs>
                <w:tab w:val="left" w:pos="710"/>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b.</w:t>
            </w:r>
            <w:r>
              <w:rPr>
                <w:rStyle w:val="20"/>
                <w:rFonts w:ascii="宋体" w:hAnsi="宋体" w:eastAsia="宋体"/>
                <w:color w:val="auto"/>
                <w:sz w:val="21"/>
                <w:szCs w:val="21"/>
                <w:shd w:val="clear" w:color="auto" w:fill="auto"/>
              </w:rPr>
              <w:t>投标人未增加发包人的责任范围，或减少投标人义务；</w:t>
            </w:r>
          </w:p>
          <w:p w14:paraId="587FF5C1">
            <w:pPr>
              <w:pStyle w:val="18"/>
              <w:shd w:val="clear" w:color="auto" w:fill="auto"/>
              <w:spacing w:before="0" w:line="360" w:lineRule="auto"/>
              <w:ind w:firstLine="420" w:firstLineChars="200"/>
              <w:jc w:val="both"/>
              <w:rPr>
                <w:rFonts w:cs="宋体"/>
                <w:sz w:val="21"/>
                <w:szCs w:val="21"/>
              </w:rPr>
            </w:pPr>
            <w:r>
              <w:rPr>
                <w:rStyle w:val="19"/>
                <w:rFonts w:hint="eastAsia" w:ascii="宋体" w:hAnsi="宋体" w:eastAsia="宋体"/>
                <w:color w:val="auto"/>
                <w:sz w:val="21"/>
                <w:szCs w:val="21"/>
                <w:shd w:val="clear" w:color="auto" w:fill="auto"/>
                <w:lang w:eastAsia="zh-CN"/>
              </w:rPr>
              <w:t>c.</w:t>
            </w:r>
            <w:r>
              <w:rPr>
                <w:rStyle w:val="20"/>
                <w:rFonts w:ascii="宋体" w:hAnsi="宋体" w:eastAsia="宋体"/>
                <w:color w:val="auto"/>
                <w:sz w:val="21"/>
                <w:szCs w:val="21"/>
                <w:shd w:val="clear" w:color="auto" w:fill="auto"/>
              </w:rPr>
              <w:t>投标人未提出不同的支付办法；</w:t>
            </w:r>
          </w:p>
          <w:p w14:paraId="67282A22">
            <w:pPr>
              <w:pStyle w:val="18"/>
              <w:shd w:val="clear" w:color="auto" w:fill="auto"/>
              <w:tabs>
                <w:tab w:val="left" w:pos="703"/>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d.</w:t>
            </w:r>
            <w:r>
              <w:rPr>
                <w:rStyle w:val="20"/>
                <w:rFonts w:ascii="宋体" w:hAnsi="宋体" w:eastAsia="宋体"/>
                <w:color w:val="auto"/>
                <w:sz w:val="21"/>
                <w:szCs w:val="21"/>
                <w:shd w:val="clear" w:color="auto" w:fill="auto"/>
              </w:rPr>
              <w:t>投标人对合同纠纷、事故处理办法未提出异议；</w:t>
            </w:r>
          </w:p>
          <w:p w14:paraId="357D827A">
            <w:pPr>
              <w:pStyle w:val="18"/>
              <w:shd w:val="clear" w:color="auto" w:fill="auto"/>
              <w:tabs>
                <w:tab w:val="left" w:pos="689"/>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e.</w:t>
            </w:r>
            <w:r>
              <w:rPr>
                <w:rStyle w:val="20"/>
                <w:rFonts w:ascii="宋体" w:hAnsi="宋体" w:eastAsia="宋体"/>
                <w:color w:val="auto"/>
                <w:sz w:val="21"/>
                <w:szCs w:val="21"/>
                <w:shd w:val="clear" w:color="auto" w:fill="auto"/>
              </w:rPr>
              <w:t>投标人在投标活动中无欺诈行为；</w:t>
            </w:r>
          </w:p>
          <w:p w14:paraId="19825579">
            <w:pPr>
              <w:pStyle w:val="18"/>
              <w:shd w:val="clear" w:color="auto" w:fill="auto"/>
              <w:tabs>
                <w:tab w:val="left" w:pos="679"/>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lang w:eastAsia="zh-CN"/>
              </w:rPr>
              <w:t>f</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投标人未对合同条款有重要保留。</w:t>
            </w:r>
          </w:p>
          <w:p w14:paraId="17E7A09F">
            <w:pPr>
              <w:tabs>
                <w:tab w:val="left" w:pos="735"/>
              </w:tabs>
              <w:spacing w:line="360" w:lineRule="auto"/>
              <w:ind w:firstLine="420" w:firstLineChars="200"/>
              <w:rPr>
                <w:rFonts w:ascii="宋体" w:hAnsi="宋体"/>
                <w:szCs w:val="21"/>
              </w:rPr>
            </w:pPr>
            <w:r>
              <w:rPr>
                <w:rStyle w:val="20"/>
                <w:rFonts w:hint="eastAsia" w:ascii="宋体" w:hAnsi="宋体" w:eastAsia="宋体"/>
                <w:color w:val="auto"/>
                <w:sz w:val="21"/>
                <w:szCs w:val="21"/>
                <w:shd w:val="clear" w:color="auto" w:fill="auto"/>
              </w:rPr>
              <w:t>（1</w:t>
            </w:r>
            <w:r>
              <w:rPr>
                <w:rStyle w:val="20"/>
                <w:rFonts w:hint="eastAsia" w:ascii="宋体" w:hAnsi="宋体" w:eastAsia="宋体"/>
                <w:color w:val="auto"/>
                <w:sz w:val="21"/>
                <w:szCs w:val="21"/>
                <w:shd w:val="clear" w:color="auto" w:fill="auto"/>
                <w:lang w:eastAsia="zh-CN"/>
              </w:rPr>
              <w:t>3</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投标文件正、副本份数符合招标文件第二章“投标人须知”第</w:t>
            </w:r>
            <w:r>
              <w:rPr>
                <w:rStyle w:val="20"/>
                <w:rFonts w:ascii="宋体" w:hAnsi="宋体" w:eastAsia="宋体"/>
                <w:color w:val="auto"/>
                <w:sz w:val="21"/>
                <w:szCs w:val="21"/>
                <w:shd w:val="clear" w:color="auto" w:fill="auto"/>
                <w:lang w:bidi="en-US"/>
              </w:rPr>
              <w:t>3.7.4</w:t>
            </w:r>
            <w:r>
              <w:rPr>
                <w:rStyle w:val="20"/>
                <w:rFonts w:ascii="宋体" w:hAnsi="宋体" w:eastAsia="宋体"/>
                <w:color w:val="auto"/>
                <w:sz w:val="21"/>
                <w:szCs w:val="21"/>
                <w:shd w:val="clear" w:color="auto" w:fill="auto"/>
              </w:rPr>
              <w:t>项规定。</w:t>
            </w:r>
          </w:p>
          <w:p w14:paraId="16072F2B">
            <w:pPr>
              <w:pStyle w:val="18"/>
              <w:shd w:val="clear" w:color="auto" w:fill="auto"/>
              <w:spacing w:before="0" w:line="360" w:lineRule="auto"/>
              <w:ind w:firstLine="420" w:firstLineChars="200"/>
              <w:jc w:val="left"/>
              <w:rPr>
                <w:rFonts w:cs="宋体"/>
                <w:sz w:val="21"/>
                <w:szCs w:val="21"/>
              </w:rPr>
            </w:pPr>
            <w:r>
              <w:rPr>
                <w:rStyle w:val="21"/>
                <w:rFonts w:ascii="宋体" w:hAnsi="宋体" w:eastAsia="宋体"/>
                <w:b w:val="0"/>
                <w:color w:val="auto"/>
                <w:sz w:val="21"/>
                <w:szCs w:val="21"/>
              </w:rPr>
              <w:t>第二个信封（报价文件）评审标准：</w:t>
            </w:r>
          </w:p>
          <w:p w14:paraId="2658918E">
            <w:pPr>
              <w:tabs>
                <w:tab w:val="left" w:pos="735"/>
              </w:tabs>
              <w:spacing w:line="360" w:lineRule="auto"/>
              <w:ind w:firstLine="420" w:firstLineChars="200"/>
              <w:rPr>
                <w:rStyle w:val="20"/>
                <w:rFonts w:ascii="宋体" w:hAnsi="宋体" w:eastAsia="宋体"/>
                <w:color w:val="auto"/>
                <w:sz w:val="21"/>
                <w:szCs w:val="21"/>
                <w:shd w:val="clear" w:color="auto" w:fill="auto"/>
                <w:lang w:eastAsia="zh-CN"/>
              </w:rPr>
            </w:pPr>
            <w:r>
              <w:rPr>
                <w:rStyle w:val="20"/>
                <w:rFonts w:hint="eastAsia" w:ascii="宋体" w:hAnsi="宋体" w:eastAsia="宋体"/>
                <w:color w:val="auto"/>
                <w:sz w:val="21"/>
                <w:szCs w:val="21"/>
                <w:shd w:val="clear" w:color="auto" w:fill="auto"/>
              </w:rPr>
              <w:t>（1）</w:t>
            </w:r>
            <w:r>
              <w:rPr>
                <w:rStyle w:val="20"/>
                <w:rFonts w:ascii="宋体" w:hAnsi="宋体" w:eastAsia="宋体"/>
                <w:color w:val="auto"/>
                <w:sz w:val="21"/>
                <w:szCs w:val="21"/>
                <w:shd w:val="clear" w:color="auto" w:fill="auto"/>
              </w:rPr>
              <w:t>投标文件按照招标文件规定的格式、内容填写，字迹清晰可辨，内容齐全完整：</w:t>
            </w:r>
          </w:p>
          <w:p w14:paraId="29528593">
            <w:pPr>
              <w:pStyle w:val="18"/>
              <w:shd w:val="clear" w:color="auto" w:fill="auto"/>
              <w:tabs>
                <w:tab w:val="left" w:pos="569"/>
              </w:tabs>
              <w:spacing w:before="0" w:line="360" w:lineRule="auto"/>
              <w:ind w:firstLine="420" w:firstLineChars="200"/>
              <w:jc w:val="left"/>
              <w:rPr>
                <w:rFonts w:cs="宋体"/>
                <w:sz w:val="21"/>
                <w:szCs w:val="21"/>
              </w:rPr>
            </w:pPr>
            <w:r>
              <w:rPr>
                <w:rStyle w:val="20"/>
                <w:rFonts w:hint="eastAsia" w:ascii="宋体" w:hAnsi="宋体" w:eastAsia="宋体"/>
                <w:color w:val="auto"/>
                <w:sz w:val="21"/>
                <w:szCs w:val="21"/>
                <w:shd w:val="clear" w:color="auto" w:fill="auto"/>
              </w:rPr>
              <w:t>a.</w:t>
            </w:r>
            <w:r>
              <w:rPr>
                <w:rStyle w:val="20"/>
                <w:rFonts w:ascii="宋体" w:hAnsi="宋体" w:eastAsia="宋体"/>
                <w:color w:val="auto"/>
                <w:sz w:val="21"/>
                <w:szCs w:val="21"/>
                <w:shd w:val="clear" w:color="auto" w:fill="auto"/>
              </w:rPr>
              <w:t>投标函按招标文件规定填报了项目名称、标段号、补遗书编号（如有）、投标价（包括大写金额和小写金额</w:t>
            </w:r>
            <w:r>
              <w:rPr>
                <w:rStyle w:val="20"/>
                <w:rFonts w:ascii="宋体" w:hAnsi="宋体" w:eastAsia="宋体"/>
                <w:color w:val="auto"/>
                <w:sz w:val="21"/>
                <w:szCs w:val="21"/>
                <w:shd w:val="clear" w:color="auto" w:fill="auto"/>
                <w:lang w:bidi="en-US"/>
              </w:rPr>
              <w:t>）；</w:t>
            </w:r>
          </w:p>
          <w:p w14:paraId="5D94B1BF">
            <w:pPr>
              <w:pStyle w:val="18"/>
              <w:shd w:val="clear" w:color="auto" w:fill="auto"/>
              <w:tabs>
                <w:tab w:val="left" w:pos="593"/>
              </w:tabs>
              <w:spacing w:before="0" w:line="360" w:lineRule="auto"/>
              <w:ind w:firstLine="420" w:firstLineChars="200"/>
              <w:jc w:val="left"/>
              <w:rPr>
                <w:rFonts w:cs="宋体"/>
                <w:sz w:val="21"/>
                <w:szCs w:val="21"/>
              </w:rPr>
            </w:pPr>
            <w:r>
              <w:rPr>
                <w:rStyle w:val="20"/>
                <w:rFonts w:hint="eastAsia" w:ascii="宋体" w:hAnsi="宋体" w:eastAsia="宋体"/>
                <w:color w:val="auto"/>
                <w:sz w:val="21"/>
                <w:szCs w:val="21"/>
                <w:shd w:val="clear" w:color="auto" w:fill="auto"/>
              </w:rPr>
              <w:t>b.</w:t>
            </w:r>
            <w:r>
              <w:rPr>
                <w:rStyle w:val="20"/>
                <w:rFonts w:ascii="宋体" w:hAnsi="宋体" w:eastAsia="宋体"/>
                <w:color w:val="auto"/>
                <w:sz w:val="21"/>
                <w:szCs w:val="21"/>
                <w:shd w:val="clear" w:color="auto" w:fill="auto"/>
              </w:rPr>
              <w:t>已标价报价清单说明文字与招标文件规定一致，未进行实质性修改和删减；</w:t>
            </w:r>
          </w:p>
          <w:p w14:paraId="1070A83D">
            <w:pPr>
              <w:pStyle w:val="18"/>
              <w:shd w:val="clear" w:color="auto" w:fill="auto"/>
              <w:spacing w:before="0" w:line="360" w:lineRule="auto"/>
              <w:ind w:firstLine="420" w:firstLineChars="200"/>
              <w:jc w:val="left"/>
              <w:rPr>
                <w:rFonts w:cs="宋体"/>
                <w:sz w:val="21"/>
                <w:szCs w:val="21"/>
              </w:rPr>
            </w:pPr>
            <w:r>
              <w:rPr>
                <w:rStyle w:val="19"/>
                <w:rFonts w:hint="eastAsia" w:ascii="宋体" w:hAnsi="宋体" w:eastAsia="宋体"/>
                <w:color w:val="auto"/>
                <w:sz w:val="21"/>
                <w:szCs w:val="21"/>
                <w:shd w:val="clear" w:color="auto" w:fill="auto"/>
                <w:lang w:eastAsia="zh-CN"/>
              </w:rPr>
              <w:t>c.</w:t>
            </w:r>
            <w:r>
              <w:rPr>
                <w:rStyle w:val="20"/>
                <w:rFonts w:ascii="宋体" w:hAnsi="宋体" w:eastAsia="宋体"/>
                <w:color w:val="auto"/>
                <w:sz w:val="21"/>
                <w:szCs w:val="21"/>
                <w:shd w:val="clear" w:color="auto" w:fill="auto"/>
              </w:rPr>
              <w:t>投标文件组成齐全完整，内容均按规定填写。</w:t>
            </w:r>
          </w:p>
          <w:p w14:paraId="5727E9D7">
            <w:pPr>
              <w:pStyle w:val="18"/>
              <w:shd w:val="clear" w:color="auto" w:fill="auto"/>
              <w:tabs>
                <w:tab w:val="left" w:pos="948"/>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（2）</w:t>
            </w:r>
            <w:r>
              <w:rPr>
                <w:rStyle w:val="20"/>
                <w:rFonts w:ascii="宋体" w:hAnsi="宋体" w:eastAsia="宋体"/>
                <w:color w:val="auto"/>
                <w:sz w:val="21"/>
                <w:szCs w:val="21"/>
                <w:shd w:val="clear" w:color="auto" w:fill="auto"/>
              </w:rPr>
              <w:t>投标文件上法定代表人或其委托代理人的签字、投标人的单位章盖章齐全，符合招标文件规定。</w:t>
            </w:r>
          </w:p>
          <w:p w14:paraId="0BF2679B">
            <w:pPr>
              <w:pStyle w:val="18"/>
              <w:shd w:val="clear" w:color="auto" w:fill="auto"/>
              <w:tabs>
                <w:tab w:val="left" w:pos="1075"/>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（3）</w:t>
            </w:r>
            <w:r>
              <w:rPr>
                <w:rStyle w:val="20"/>
                <w:rFonts w:ascii="宋体" w:hAnsi="宋体" w:eastAsia="宋体"/>
                <w:color w:val="auto"/>
                <w:sz w:val="21"/>
                <w:szCs w:val="21"/>
                <w:shd w:val="clear" w:color="auto" w:fill="auto"/>
              </w:rPr>
              <w:t>投标报价未超过招标文件设定的最高投标限价。</w:t>
            </w:r>
          </w:p>
          <w:p w14:paraId="7C139A31">
            <w:pPr>
              <w:pStyle w:val="18"/>
              <w:shd w:val="clear" w:color="auto" w:fill="auto"/>
              <w:tabs>
                <w:tab w:val="left" w:pos="1075"/>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（4）</w:t>
            </w:r>
            <w:r>
              <w:rPr>
                <w:rStyle w:val="20"/>
                <w:rFonts w:ascii="宋体" w:hAnsi="宋体" w:eastAsia="宋体"/>
                <w:color w:val="auto"/>
                <w:sz w:val="21"/>
                <w:szCs w:val="21"/>
                <w:shd w:val="clear" w:color="auto" w:fill="auto"/>
              </w:rPr>
              <w:t>投标报价的大写金额能够确定具体数值。</w:t>
            </w:r>
          </w:p>
          <w:p w14:paraId="11AC5940">
            <w:pPr>
              <w:pStyle w:val="18"/>
              <w:shd w:val="clear" w:color="auto" w:fill="auto"/>
              <w:tabs>
                <w:tab w:val="left" w:pos="965"/>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（5）</w:t>
            </w:r>
            <w:r>
              <w:rPr>
                <w:rStyle w:val="20"/>
                <w:rFonts w:ascii="宋体" w:hAnsi="宋体" w:eastAsia="宋体"/>
                <w:color w:val="auto"/>
                <w:sz w:val="21"/>
                <w:szCs w:val="21"/>
                <w:shd w:val="clear" w:color="auto" w:fill="auto"/>
              </w:rPr>
              <w:t>同一投标人未提交两个以上不同的投标报价，但招标文件要求提交备选投标的除外。</w:t>
            </w:r>
          </w:p>
          <w:p w14:paraId="267D98F5">
            <w:pPr>
              <w:spacing w:line="360" w:lineRule="auto"/>
              <w:ind w:firstLine="420" w:firstLineChars="200"/>
              <w:rPr>
                <w:rFonts w:ascii="宋体" w:hAnsi="宋体"/>
                <w:szCs w:val="21"/>
              </w:rPr>
            </w:pPr>
            <w:r>
              <w:rPr>
                <w:rStyle w:val="20"/>
                <w:rFonts w:hint="eastAsia" w:ascii="宋体" w:hAnsi="宋体" w:eastAsia="宋体"/>
                <w:color w:val="auto"/>
                <w:sz w:val="21"/>
                <w:szCs w:val="21"/>
                <w:shd w:val="clear" w:color="auto" w:fill="auto"/>
              </w:rPr>
              <w:t>（6）</w:t>
            </w:r>
            <w:r>
              <w:rPr>
                <w:rStyle w:val="20"/>
                <w:rFonts w:ascii="宋体" w:hAnsi="宋体" w:eastAsia="宋体"/>
                <w:color w:val="auto"/>
                <w:sz w:val="21"/>
                <w:szCs w:val="21"/>
                <w:shd w:val="clear" w:color="auto" w:fill="auto"/>
              </w:rPr>
              <w:t>投标文件正、副本份数符合招标文件第二章“投标人须知”第</w:t>
            </w:r>
            <w:r>
              <w:rPr>
                <w:rStyle w:val="20"/>
                <w:rFonts w:ascii="宋体" w:hAnsi="宋体" w:eastAsia="宋体"/>
                <w:color w:val="auto"/>
                <w:sz w:val="21"/>
                <w:szCs w:val="21"/>
                <w:shd w:val="clear" w:color="auto" w:fill="auto"/>
                <w:lang w:bidi="en-US"/>
              </w:rPr>
              <w:t>3.7.4</w:t>
            </w:r>
            <w:r>
              <w:rPr>
                <w:rStyle w:val="20"/>
                <w:rFonts w:ascii="宋体" w:hAnsi="宋体" w:eastAsia="宋体"/>
                <w:color w:val="auto"/>
                <w:sz w:val="21"/>
                <w:szCs w:val="21"/>
                <w:shd w:val="clear" w:color="auto" w:fill="auto"/>
              </w:rPr>
              <w:t>项规定。</w:t>
            </w:r>
          </w:p>
        </w:tc>
      </w:tr>
      <w:tr w14:paraId="5EAC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14:paraId="5B50989E">
            <w:pPr>
              <w:spacing w:line="360" w:lineRule="auto"/>
              <w:jc w:val="center"/>
              <w:rPr>
                <w:rFonts w:ascii="宋体" w:hAnsi="宋体"/>
                <w:kern w:val="20"/>
                <w:szCs w:val="21"/>
              </w:rPr>
            </w:pPr>
            <w:r>
              <w:rPr>
                <w:rFonts w:hint="eastAsia" w:ascii="宋体" w:hAnsi="宋体"/>
                <w:kern w:val="20"/>
                <w:szCs w:val="21"/>
              </w:rPr>
              <w:t>2.1.2</w:t>
            </w:r>
          </w:p>
        </w:tc>
        <w:tc>
          <w:tcPr>
            <w:tcW w:w="1540" w:type="dxa"/>
            <w:shd w:val="clear" w:color="auto" w:fill="auto"/>
            <w:vAlign w:val="center"/>
          </w:tcPr>
          <w:p w14:paraId="3455D5E4">
            <w:pPr>
              <w:spacing w:line="360" w:lineRule="auto"/>
              <w:jc w:val="center"/>
              <w:rPr>
                <w:rFonts w:ascii="宋体" w:hAnsi="宋体"/>
                <w:kern w:val="20"/>
                <w:szCs w:val="21"/>
              </w:rPr>
            </w:pPr>
            <w:r>
              <w:rPr>
                <w:rFonts w:hint="eastAsia" w:ascii="宋体" w:hAnsi="宋体"/>
                <w:kern w:val="20"/>
                <w:szCs w:val="21"/>
              </w:rPr>
              <w:t>资格</w:t>
            </w:r>
          </w:p>
          <w:p w14:paraId="5A2690DB">
            <w:pPr>
              <w:spacing w:line="360" w:lineRule="auto"/>
              <w:jc w:val="center"/>
              <w:rPr>
                <w:rFonts w:ascii="宋体" w:hAnsi="宋体"/>
                <w:kern w:val="20"/>
                <w:szCs w:val="21"/>
              </w:rPr>
            </w:pPr>
            <w:r>
              <w:rPr>
                <w:rFonts w:hint="eastAsia" w:ascii="宋体" w:hAnsi="宋体"/>
                <w:kern w:val="20"/>
                <w:szCs w:val="21"/>
              </w:rPr>
              <w:t>评审标准</w:t>
            </w:r>
          </w:p>
        </w:tc>
        <w:tc>
          <w:tcPr>
            <w:tcW w:w="7045" w:type="dxa"/>
            <w:shd w:val="clear" w:color="auto" w:fill="auto"/>
          </w:tcPr>
          <w:p w14:paraId="1E5708DF">
            <w:pPr>
              <w:pStyle w:val="18"/>
              <w:shd w:val="clear" w:color="auto" w:fill="auto"/>
              <w:tabs>
                <w:tab w:val="left" w:pos="946"/>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（1）</w:t>
            </w:r>
            <w:r>
              <w:rPr>
                <w:rStyle w:val="20"/>
                <w:rFonts w:ascii="宋体" w:hAnsi="宋体" w:eastAsia="宋体"/>
                <w:color w:val="auto"/>
                <w:sz w:val="21"/>
                <w:szCs w:val="21"/>
                <w:shd w:val="clear" w:color="auto" w:fill="auto"/>
              </w:rPr>
              <w:t>投标人具备有效的营业执照、勘察资质证书、设计资质证书和基本账户开户许可证。</w:t>
            </w:r>
          </w:p>
          <w:p w14:paraId="709F53A9">
            <w:pPr>
              <w:pStyle w:val="18"/>
              <w:shd w:val="clear" w:color="auto" w:fill="auto"/>
              <w:tabs>
                <w:tab w:val="left" w:pos="1073"/>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（2）</w:t>
            </w:r>
            <w:r>
              <w:rPr>
                <w:rStyle w:val="20"/>
                <w:rFonts w:ascii="宋体" w:hAnsi="宋体" w:eastAsia="宋体"/>
                <w:color w:val="auto"/>
                <w:sz w:val="21"/>
                <w:szCs w:val="21"/>
                <w:shd w:val="clear" w:color="auto" w:fill="auto"/>
              </w:rPr>
              <w:t>投标人的资质等级符合招标文件规定。</w:t>
            </w:r>
          </w:p>
          <w:p w14:paraId="49BE7FD2">
            <w:pPr>
              <w:pStyle w:val="18"/>
              <w:shd w:val="clear" w:color="auto" w:fill="auto"/>
              <w:tabs>
                <w:tab w:val="left" w:pos="1078"/>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（3）</w:t>
            </w:r>
            <w:r>
              <w:rPr>
                <w:rStyle w:val="20"/>
                <w:rFonts w:ascii="宋体" w:hAnsi="宋体" w:eastAsia="宋体"/>
                <w:color w:val="auto"/>
                <w:sz w:val="21"/>
                <w:szCs w:val="21"/>
                <w:shd w:val="clear" w:color="auto" w:fill="auto"/>
              </w:rPr>
              <w:t>投标人的类似项目业绩符合招标文件规定。</w:t>
            </w:r>
          </w:p>
          <w:p w14:paraId="403838EA">
            <w:pPr>
              <w:pStyle w:val="18"/>
              <w:shd w:val="clear" w:color="auto" w:fill="auto"/>
              <w:tabs>
                <w:tab w:val="left" w:pos="1075"/>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（4）</w:t>
            </w:r>
            <w:r>
              <w:rPr>
                <w:rStyle w:val="20"/>
                <w:rFonts w:ascii="宋体" w:hAnsi="宋体" w:eastAsia="宋体"/>
                <w:color w:val="auto"/>
                <w:sz w:val="21"/>
                <w:szCs w:val="21"/>
                <w:shd w:val="clear" w:color="auto" w:fill="auto"/>
              </w:rPr>
              <w:t>投标人的信誉符合招标文件规定。</w:t>
            </w:r>
          </w:p>
          <w:p w14:paraId="193A3FBA">
            <w:pPr>
              <w:pStyle w:val="18"/>
              <w:shd w:val="clear" w:color="auto" w:fill="auto"/>
              <w:tabs>
                <w:tab w:val="left" w:pos="1078"/>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（5）</w:t>
            </w:r>
            <w:r>
              <w:rPr>
                <w:rStyle w:val="20"/>
                <w:rFonts w:ascii="宋体" w:hAnsi="宋体" w:eastAsia="宋体"/>
                <w:color w:val="auto"/>
                <w:sz w:val="21"/>
                <w:szCs w:val="21"/>
                <w:shd w:val="clear" w:color="auto" w:fill="auto"/>
              </w:rPr>
              <w:t>投标人的项目负责人资格符合招标文件规定。</w:t>
            </w:r>
          </w:p>
          <w:p w14:paraId="12D26B1B">
            <w:pPr>
              <w:pStyle w:val="18"/>
              <w:shd w:val="clear" w:color="auto" w:fill="auto"/>
              <w:tabs>
                <w:tab w:val="left" w:pos="1073"/>
              </w:tabs>
              <w:spacing w:before="0" w:line="360" w:lineRule="auto"/>
              <w:ind w:firstLine="420" w:firstLineChars="200"/>
              <w:jc w:val="both"/>
              <w:rPr>
                <w:rFonts w:cs="宋体"/>
                <w:sz w:val="21"/>
                <w:szCs w:val="21"/>
                <w:lang w:eastAsia="zh-TW"/>
              </w:rPr>
            </w:pPr>
            <w:r>
              <w:rPr>
                <w:rStyle w:val="20"/>
                <w:rFonts w:hint="eastAsia" w:ascii="宋体" w:hAnsi="宋体" w:eastAsia="宋体"/>
                <w:color w:val="auto"/>
                <w:sz w:val="21"/>
                <w:szCs w:val="21"/>
                <w:shd w:val="clear" w:color="auto" w:fill="auto"/>
              </w:rPr>
              <w:t>（6）</w:t>
            </w:r>
            <w:r>
              <w:rPr>
                <w:rStyle w:val="20"/>
                <w:rFonts w:ascii="宋体" w:hAnsi="宋体" w:eastAsia="宋体"/>
                <w:color w:val="auto"/>
                <w:sz w:val="21"/>
                <w:szCs w:val="21"/>
                <w:shd w:val="clear" w:color="auto" w:fill="auto"/>
              </w:rPr>
              <w:t>投标人不存在第二章“投标人须知”第</w:t>
            </w:r>
            <w:r>
              <w:rPr>
                <w:rStyle w:val="20"/>
                <w:rFonts w:ascii="宋体" w:hAnsi="宋体" w:eastAsia="宋体"/>
                <w:color w:val="auto"/>
                <w:sz w:val="21"/>
                <w:szCs w:val="21"/>
                <w:shd w:val="clear" w:color="auto" w:fill="auto"/>
                <w:lang w:bidi="en-US"/>
              </w:rPr>
              <w:t>1.4.3</w:t>
            </w:r>
            <w:r>
              <w:rPr>
                <w:rStyle w:val="20"/>
                <w:rFonts w:ascii="宋体" w:hAnsi="宋体" w:eastAsia="宋体"/>
                <w:color w:val="auto"/>
                <w:sz w:val="21"/>
                <w:szCs w:val="21"/>
                <w:shd w:val="clear" w:color="auto" w:fill="auto"/>
              </w:rPr>
              <w:t>项或第</w:t>
            </w:r>
            <w:r>
              <w:rPr>
                <w:rStyle w:val="20"/>
                <w:rFonts w:ascii="宋体" w:hAnsi="宋体" w:eastAsia="宋体"/>
                <w:color w:val="auto"/>
                <w:sz w:val="21"/>
                <w:szCs w:val="21"/>
                <w:shd w:val="clear" w:color="auto" w:fill="auto"/>
                <w:lang w:bidi="en-US"/>
              </w:rPr>
              <w:t>1.4.4</w:t>
            </w:r>
            <w:r>
              <w:rPr>
                <w:rStyle w:val="20"/>
                <w:rFonts w:ascii="宋体" w:hAnsi="宋体" w:eastAsia="宋体"/>
                <w:color w:val="auto"/>
                <w:sz w:val="21"/>
                <w:szCs w:val="21"/>
                <w:shd w:val="clear" w:color="auto" w:fill="auto"/>
              </w:rPr>
              <w:t>项规定的任何一种情形。</w:t>
            </w:r>
          </w:p>
          <w:p w14:paraId="3E876165">
            <w:pPr>
              <w:pStyle w:val="18"/>
              <w:shd w:val="clear" w:color="auto" w:fill="auto"/>
              <w:tabs>
                <w:tab w:val="left" w:pos="1073"/>
              </w:tabs>
              <w:spacing w:before="0" w:line="360" w:lineRule="auto"/>
              <w:ind w:firstLine="420" w:firstLineChars="200"/>
              <w:jc w:val="both"/>
              <w:rPr>
                <w:rFonts w:cs="宋体"/>
                <w:sz w:val="21"/>
                <w:szCs w:val="21"/>
              </w:rPr>
            </w:pPr>
            <w:r>
              <w:rPr>
                <w:rStyle w:val="20"/>
                <w:rFonts w:hint="eastAsia" w:ascii="宋体" w:hAnsi="宋体" w:eastAsia="宋体"/>
                <w:color w:val="auto"/>
                <w:sz w:val="21"/>
                <w:szCs w:val="21"/>
                <w:shd w:val="clear" w:color="auto" w:fill="auto"/>
              </w:rPr>
              <w:t>（</w:t>
            </w:r>
            <w:r>
              <w:rPr>
                <w:rStyle w:val="20"/>
                <w:rFonts w:hint="eastAsia" w:ascii="宋体" w:hAnsi="宋体" w:eastAsia="宋体"/>
                <w:color w:val="auto"/>
                <w:sz w:val="21"/>
                <w:szCs w:val="21"/>
                <w:shd w:val="clear" w:color="auto" w:fill="auto"/>
                <w:lang w:eastAsia="zh-CN"/>
              </w:rPr>
              <w:t>7</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投标人符合第二章“投标人须知”第</w:t>
            </w:r>
            <w:r>
              <w:rPr>
                <w:rStyle w:val="20"/>
                <w:rFonts w:ascii="宋体" w:hAnsi="宋体" w:eastAsia="宋体"/>
                <w:color w:val="auto"/>
                <w:sz w:val="21"/>
                <w:szCs w:val="21"/>
                <w:shd w:val="clear" w:color="auto" w:fill="auto"/>
                <w:lang w:bidi="en-US"/>
              </w:rPr>
              <w:t>1.4.5</w:t>
            </w:r>
            <w:r>
              <w:rPr>
                <w:rStyle w:val="20"/>
                <w:rFonts w:ascii="宋体" w:hAnsi="宋体" w:eastAsia="宋体"/>
                <w:color w:val="auto"/>
                <w:sz w:val="21"/>
                <w:szCs w:val="21"/>
                <w:shd w:val="clear" w:color="auto" w:fill="auto"/>
              </w:rPr>
              <w:t>项规定。</w:t>
            </w:r>
          </w:p>
          <w:p w14:paraId="2B579E78">
            <w:pPr>
              <w:spacing w:line="360" w:lineRule="auto"/>
              <w:ind w:firstLine="420" w:firstLineChars="200"/>
              <w:rPr>
                <w:rFonts w:ascii="宋体" w:hAnsi="宋体" w:cs="MingLiU"/>
                <w:szCs w:val="21"/>
                <w:lang w:val="zh-TW" w:eastAsia="zh-TW" w:bidi="zh-TW"/>
              </w:rPr>
            </w:pPr>
            <w:r>
              <w:rPr>
                <w:rStyle w:val="20"/>
                <w:rFonts w:hint="eastAsia" w:ascii="宋体" w:hAnsi="宋体" w:eastAsia="宋体"/>
                <w:color w:val="auto"/>
                <w:sz w:val="21"/>
                <w:szCs w:val="21"/>
                <w:shd w:val="clear" w:color="auto" w:fill="auto"/>
              </w:rPr>
              <w:t>（</w:t>
            </w:r>
            <w:r>
              <w:rPr>
                <w:rStyle w:val="20"/>
                <w:rFonts w:hint="eastAsia" w:ascii="宋体" w:hAnsi="宋体" w:eastAsia="宋体"/>
                <w:color w:val="auto"/>
                <w:sz w:val="21"/>
                <w:szCs w:val="21"/>
                <w:shd w:val="clear" w:color="auto" w:fill="auto"/>
                <w:lang w:eastAsia="zh-CN"/>
              </w:rPr>
              <w:t>8</w:t>
            </w:r>
            <w:r>
              <w:rPr>
                <w:rStyle w:val="20"/>
                <w:rFonts w:hint="eastAsia" w:ascii="宋体" w:hAnsi="宋体" w:eastAsia="宋体"/>
                <w:color w:val="auto"/>
                <w:sz w:val="21"/>
                <w:szCs w:val="21"/>
                <w:shd w:val="clear" w:color="auto" w:fill="auto"/>
              </w:rPr>
              <w:t>）</w:t>
            </w:r>
            <w:r>
              <w:rPr>
                <w:rStyle w:val="20"/>
                <w:rFonts w:ascii="宋体" w:hAnsi="宋体" w:eastAsia="宋体"/>
                <w:color w:val="auto"/>
                <w:sz w:val="21"/>
                <w:szCs w:val="21"/>
                <w:shd w:val="clear" w:color="auto" w:fill="auto"/>
              </w:rPr>
              <w:t>以联合体形式参与投标的，联合体各方均未再以自己名义单独或参加其他联合体在同一标段中投标；独立参与投标的，投标人未同时参加联合体在同一标段中投标。</w:t>
            </w:r>
          </w:p>
        </w:tc>
      </w:tr>
      <w:tr w14:paraId="0E10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77" w:type="dxa"/>
            <w:shd w:val="clear" w:color="auto" w:fill="auto"/>
            <w:vAlign w:val="center"/>
          </w:tcPr>
          <w:p w14:paraId="6F4B9E24">
            <w:pPr>
              <w:jc w:val="center"/>
            </w:pPr>
            <w:r>
              <w:rPr>
                <w:rFonts w:hint="eastAsia"/>
              </w:rPr>
              <w:t>条款号</w:t>
            </w:r>
          </w:p>
        </w:tc>
        <w:tc>
          <w:tcPr>
            <w:tcW w:w="1540" w:type="dxa"/>
            <w:shd w:val="clear" w:color="auto" w:fill="auto"/>
            <w:vAlign w:val="center"/>
          </w:tcPr>
          <w:p w14:paraId="311652C7">
            <w:pPr>
              <w:jc w:val="center"/>
            </w:pPr>
            <w:r>
              <w:rPr>
                <w:rFonts w:hint="eastAsia"/>
              </w:rPr>
              <w:t>条款内容</w:t>
            </w:r>
          </w:p>
        </w:tc>
        <w:tc>
          <w:tcPr>
            <w:tcW w:w="7045" w:type="dxa"/>
            <w:shd w:val="clear" w:color="auto" w:fill="auto"/>
            <w:vAlign w:val="center"/>
          </w:tcPr>
          <w:p w14:paraId="0A622143">
            <w:pPr>
              <w:jc w:val="center"/>
            </w:pPr>
            <w:r>
              <w:rPr>
                <w:rFonts w:hint="eastAsia"/>
              </w:rPr>
              <w:t>编列内容</w:t>
            </w:r>
          </w:p>
        </w:tc>
      </w:tr>
      <w:tr w14:paraId="584B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14:paraId="34F6D4E0">
            <w:pPr>
              <w:spacing w:line="360" w:lineRule="auto"/>
              <w:jc w:val="center"/>
              <w:rPr>
                <w:rFonts w:ascii="宋体" w:hAnsi="宋体"/>
                <w:kern w:val="20"/>
                <w:szCs w:val="21"/>
              </w:rPr>
            </w:pPr>
            <w:r>
              <w:rPr>
                <w:rFonts w:hint="eastAsia" w:ascii="宋体" w:hAnsi="宋体"/>
                <w:kern w:val="20"/>
                <w:szCs w:val="21"/>
              </w:rPr>
              <w:t>2.2.1</w:t>
            </w:r>
          </w:p>
        </w:tc>
        <w:tc>
          <w:tcPr>
            <w:tcW w:w="1540" w:type="dxa"/>
            <w:shd w:val="clear" w:color="auto" w:fill="auto"/>
            <w:vAlign w:val="center"/>
          </w:tcPr>
          <w:p w14:paraId="344E5740">
            <w:pPr>
              <w:spacing w:line="360" w:lineRule="auto"/>
              <w:jc w:val="center"/>
              <w:rPr>
                <w:rFonts w:ascii="宋体" w:hAnsi="宋体"/>
                <w:kern w:val="20"/>
                <w:szCs w:val="21"/>
              </w:rPr>
            </w:pPr>
            <w:r>
              <w:rPr>
                <w:rStyle w:val="21"/>
                <w:rFonts w:ascii="宋体" w:hAnsi="宋体" w:eastAsia="宋体"/>
                <w:b w:val="0"/>
                <w:color w:val="auto"/>
                <w:sz w:val="21"/>
                <w:szCs w:val="21"/>
              </w:rPr>
              <w:t>分值构成 （总分100分）</w:t>
            </w:r>
          </w:p>
        </w:tc>
        <w:tc>
          <w:tcPr>
            <w:tcW w:w="7045" w:type="dxa"/>
            <w:shd w:val="clear" w:color="auto" w:fill="auto"/>
          </w:tcPr>
          <w:p w14:paraId="1657F433">
            <w:pPr>
              <w:pStyle w:val="18"/>
              <w:shd w:val="clear" w:color="auto" w:fill="auto"/>
              <w:spacing w:before="0" w:line="360" w:lineRule="auto"/>
              <w:ind w:firstLine="420" w:firstLineChars="200"/>
              <w:jc w:val="left"/>
              <w:rPr>
                <w:rStyle w:val="21"/>
                <w:rFonts w:ascii="宋体" w:hAnsi="宋体" w:eastAsia="宋体"/>
                <w:b w:val="0"/>
                <w:color w:val="auto"/>
                <w:sz w:val="21"/>
                <w:szCs w:val="21"/>
              </w:rPr>
            </w:pPr>
            <w:r>
              <w:rPr>
                <w:rStyle w:val="21"/>
                <w:rFonts w:ascii="宋体" w:hAnsi="宋体" w:eastAsia="宋体"/>
                <w:b w:val="0"/>
                <w:color w:val="auto"/>
                <w:sz w:val="21"/>
                <w:szCs w:val="21"/>
              </w:rPr>
              <w:t>第一个信封（商务及技术文件）评分分值构成：</w:t>
            </w:r>
          </w:p>
          <w:p w14:paraId="5B62081E">
            <w:pPr>
              <w:pStyle w:val="18"/>
              <w:shd w:val="clear" w:color="auto" w:fill="auto"/>
              <w:spacing w:before="0" w:line="360" w:lineRule="auto"/>
              <w:ind w:firstLine="420" w:firstLineChars="200"/>
              <w:jc w:val="left"/>
              <w:rPr>
                <w:rStyle w:val="21"/>
                <w:rFonts w:ascii="宋体" w:hAnsi="宋体" w:eastAsia="宋体"/>
                <w:b w:val="0"/>
                <w:color w:val="auto"/>
                <w:sz w:val="21"/>
                <w:szCs w:val="21"/>
              </w:rPr>
            </w:pPr>
            <w:r>
              <w:rPr>
                <w:rStyle w:val="21"/>
                <w:rFonts w:hint="eastAsia" w:ascii="宋体" w:hAnsi="宋体" w:eastAsia="宋体"/>
                <w:b w:val="0"/>
                <w:color w:val="auto"/>
                <w:sz w:val="21"/>
                <w:szCs w:val="21"/>
              </w:rPr>
              <w:t>技术建议书：</w:t>
            </w:r>
            <w:r>
              <w:rPr>
                <w:rStyle w:val="21"/>
                <w:rFonts w:hint="eastAsia" w:ascii="宋体" w:hAnsi="宋体" w:eastAsia="宋体"/>
                <w:b w:val="0"/>
                <w:color w:val="auto"/>
                <w:sz w:val="21"/>
                <w:szCs w:val="21"/>
                <w:u w:val="single"/>
                <w:lang w:eastAsia="zh-CN"/>
              </w:rPr>
              <w:t>30</w:t>
            </w:r>
            <w:r>
              <w:rPr>
                <w:rStyle w:val="21"/>
                <w:rFonts w:hint="eastAsia" w:ascii="宋体" w:hAnsi="宋体" w:eastAsia="宋体"/>
                <w:b w:val="0"/>
                <w:color w:val="auto"/>
                <w:sz w:val="21"/>
                <w:szCs w:val="21"/>
              </w:rPr>
              <w:t>分</w:t>
            </w:r>
          </w:p>
          <w:p w14:paraId="7A07711C">
            <w:pPr>
              <w:pStyle w:val="18"/>
              <w:shd w:val="clear" w:color="auto" w:fill="auto"/>
              <w:spacing w:before="0" w:line="360" w:lineRule="auto"/>
              <w:ind w:firstLine="420" w:firstLineChars="200"/>
              <w:jc w:val="left"/>
              <w:rPr>
                <w:rStyle w:val="21"/>
                <w:rFonts w:ascii="宋体" w:hAnsi="宋体" w:eastAsia="宋体"/>
                <w:b w:val="0"/>
                <w:color w:val="auto"/>
                <w:sz w:val="21"/>
                <w:szCs w:val="21"/>
              </w:rPr>
            </w:pPr>
            <w:r>
              <w:rPr>
                <w:rStyle w:val="21"/>
                <w:rFonts w:hint="eastAsia" w:ascii="宋体" w:hAnsi="宋体" w:eastAsia="宋体"/>
                <w:b w:val="0"/>
                <w:color w:val="auto"/>
                <w:sz w:val="21"/>
                <w:szCs w:val="21"/>
              </w:rPr>
              <w:t>主要人员：</w:t>
            </w:r>
            <w:r>
              <w:rPr>
                <w:rStyle w:val="21"/>
                <w:rFonts w:hint="eastAsia" w:ascii="宋体" w:hAnsi="宋体" w:eastAsia="宋体"/>
                <w:b w:val="0"/>
                <w:color w:val="auto"/>
                <w:sz w:val="21"/>
                <w:szCs w:val="21"/>
                <w:u w:val="single"/>
                <w:lang w:eastAsia="zh-CN"/>
              </w:rPr>
              <w:t>25</w:t>
            </w:r>
            <w:r>
              <w:rPr>
                <w:rStyle w:val="21"/>
                <w:rFonts w:hint="eastAsia" w:ascii="宋体" w:hAnsi="宋体" w:eastAsia="宋体"/>
                <w:b w:val="0"/>
                <w:color w:val="auto"/>
                <w:sz w:val="21"/>
                <w:szCs w:val="21"/>
              </w:rPr>
              <w:t>分</w:t>
            </w:r>
          </w:p>
          <w:p w14:paraId="15107FB9">
            <w:pPr>
              <w:pStyle w:val="18"/>
              <w:shd w:val="clear" w:color="auto" w:fill="auto"/>
              <w:spacing w:before="0" w:line="360" w:lineRule="auto"/>
              <w:ind w:firstLine="420" w:firstLineChars="200"/>
              <w:jc w:val="left"/>
              <w:rPr>
                <w:rStyle w:val="21"/>
                <w:rFonts w:ascii="宋体" w:hAnsi="宋体" w:eastAsia="宋体"/>
                <w:b w:val="0"/>
                <w:color w:val="auto"/>
                <w:sz w:val="21"/>
                <w:szCs w:val="21"/>
              </w:rPr>
            </w:pPr>
            <w:r>
              <w:rPr>
                <w:rStyle w:val="21"/>
                <w:rFonts w:hint="eastAsia"/>
                <w:b w:val="0"/>
                <w:color w:val="auto"/>
                <w:sz w:val="21"/>
                <w:szCs w:val="21"/>
                <w:lang w:val="en-US" w:eastAsia="zh-CN"/>
              </w:rPr>
              <w:t>企业</w:t>
            </w:r>
            <w:r>
              <w:rPr>
                <w:rStyle w:val="21"/>
                <w:rFonts w:hint="eastAsia" w:ascii="宋体" w:hAnsi="宋体" w:eastAsia="宋体"/>
                <w:b w:val="0"/>
                <w:color w:val="auto"/>
                <w:sz w:val="21"/>
                <w:szCs w:val="21"/>
              </w:rPr>
              <w:t>业绩：</w:t>
            </w:r>
            <w:r>
              <w:rPr>
                <w:rStyle w:val="21"/>
                <w:rFonts w:hint="eastAsia" w:ascii="宋体" w:hAnsi="宋体" w:eastAsia="宋体"/>
                <w:b w:val="0"/>
                <w:color w:val="auto"/>
                <w:sz w:val="21"/>
                <w:szCs w:val="21"/>
                <w:u w:val="single"/>
                <w:lang w:eastAsia="zh-CN"/>
              </w:rPr>
              <w:t>25</w:t>
            </w:r>
            <w:r>
              <w:rPr>
                <w:rStyle w:val="21"/>
                <w:rFonts w:hint="eastAsia" w:ascii="宋体" w:hAnsi="宋体" w:eastAsia="宋体"/>
                <w:b w:val="0"/>
                <w:color w:val="auto"/>
                <w:sz w:val="21"/>
                <w:szCs w:val="21"/>
              </w:rPr>
              <w:t>分</w:t>
            </w:r>
          </w:p>
          <w:p w14:paraId="320519D3">
            <w:pPr>
              <w:pStyle w:val="18"/>
              <w:shd w:val="clear" w:color="auto" w:fill="auto"/>
              <w:spacing w:before="0" w:line="360" w:lineRule="auto"/>
              <w:ind w:firstLine="420" w:firstLineChars="200"/>
              <w:jc w:val="left"/>
              <w:rPr>
                <w:rStyle w:val="21"/>
                <w:rFonts w:ascii="宋体" w:hAnsi="宋体" w:eastAsia="宋体"/>
                <w:b w:val="0"/>
                <w:color w:val="auto"/>
                <w:sz w:val="21"/>
                <w:szCs w:val="21"/>
                <w:lang w:eastAsia="zh-CN"/>
              </w:rPr>
            </w:pPr>
            <w:r>
              <w:rPr>
                <w:rStyle w:val="21"/>
                <w:rFonts w:hint="eastAsia" w:ascii="宋体" w:hAnsi="宋体" w:eastAsia="宋体"/>
                <w:b w:val="0"/>
                <w:color w:val="auto"/>
                <w:sz w:val="21"/>
                <w:szCs w:val="21"/>
              </w:rPr>
              <w:t>履约信誉：</w:t>
            </w:r>
            <w:r>
              <w:rPr>
                <w:rStyle w:val="21"/>
                <w:rFonts w:hint="eastAsia" w:ascii="宋体" w:hAnsi="宋体" w:eastAsia="宋体"/>
                <w:b w:val="0"/>
                <w:color w:val="auto"/>
                <w:sz w:val="21"/>
                <w:szCs w:val="21"/>
                <w:u w:val="single"/>
                <w:lang w:eastAsia="zh-CN"/>
              </w:rPr>
              <w:t>10</w:t>
            </w:r>
            <w:r>
              <w:rPr>
                <w:rStyle w:val="21"/>
                <w:rFonts w:hint="eastAsia" w:ascii="宋体" w:hAnsi="宋体" w:eastAsia="宋体"/>
                <w:b w:val="0"/>
                <w:color w:val="auto"/>
                <w:sz w:val="21"/>
                <w:szCs w:val="21"/>
              </w:rPr>
              <w:t>分</w:t>
            </w:r>
          </w:p>
          <w:p w14:paraId="6A2C99FF">
            <w:pPr>
              <w:pStyle w:val="18"/>
              <w:shd w:val="clear" w:color="auto" w:fill="auto"/>
              <w:spacing w:before="0" w:line="360" w:lineRule="auto"/>
              <w:ind w:firstLine="420" w:firstLineChars="200"/>
              <w:jc w:val="left"/>
              <w:rPr>
                <w:rFonts w:cs="宋体"/>
                <w:bCs/>
                <w:sz w:val="21"/>
                <w:szCs w:val="21"/>
                <w:lang w:val="zh-TW" w:bidi="zh-TW"/>
              </w:rPr>
            </w:pPr>
            <w:r>
              <w:rPr>
                <w:rStyle w:val="21"/>
                <w:rFonts w:ascii="宋体" w:hAnsi="宋体" w:eastAsia="宋体"/>
                <w:b w:val="0"/>
                <w:color w:val="auto"/>
                <w:sz w:val="21"/>
                <w:szCs w:val="21"/>
              </w:rPr>
              <w:t>第二个信封（报价文件）评分分值构成：</w:t>
            </w:r>
          </w:p>
          <w:p w14:paraId="5EC6CCA0">
            <w:pPr>
              <w:spacing w:line="360" w:lineRule="auto"/>
              <w:ind w:firstLine="420" w:firstLineChars="200"/>
              <w:rPr>
                <w:rFonts w:ascii="宋体" w:hAnsi="宋体"/>
                <w:kern w:val="20"/>
                <w:szCs w:val="21"/>
              </w:rPr>
            </w:pPr>
            <w:r>
              <w:rPr>
                <w:rStyle w:val="21"/>
                <w:rFonts w:ascii="宋体" w:hAnsi="宋体" w:eastAsia="宋体"/>
                <w:b w:val="0"/>
                <w:color w:val="auto"/>
                <w:sz w:val="21"/>
                <w:szCs w:val="21"/>
              </w:rPr>
              <w:t>评标价</w:t>
            </w:r>
            <w:r>
              <w:rPr>
                <w:rStyle w:val="21"/>
                <w:rFonts w:hint="eastAsia" w:ascii="宋体" w:hAnsi="宋体" w:eastAsia="宋体"/>
                <w:b w:val="0"/>
                <w:color w:val="auto"/>
                <w:sz w:val="21"/>
                <w:szCs w:val="21"/>
              </w:rPr>
              <w:t>：</w:t>
            </w:r>
            <w:r>
              <w:rPr>
                <w:rStyle w:val="21"/>
                <w:rFonts w:hint="eastAsia" w:ascii="宋体" w:hAnsi="宋体" w:eastAsia="宋体"/>
                <w:b w:val="0"/>
                <w:color w:val="auto"/>
                <w:sz w:val="21"/>
                <w:szCs w:val="21"/>
                <w:u w:val="single"/>
                <w:lang w:eastAsia="zh-CN"/>
              </w:rPr>
              <w:t>10</w:t>
            </w:r>
            <w:r>
              <w:rPr>
                <w:rStyle w:val="21"/>
                <w:rFonts w:ascii="宋体" w:hAnsi="宋体" w:eastAsia="宋体"/>
                <w:b w:val="0"/>
                <w:color w:val="auto"/>
                <w:sz w:val="21"/>
                <w:szCs w:val="21"/>
              </w:rPr>
              <w:t>分</w:t>
            </w:r>
          </w:p>
        </w:tc>
      </w:tr>
      <w:tr w14:paraId="353F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14:paraId="0BEE95E7">
            <w:pPr>
              <w:spacing w:line="360" w:lineRule="auto"/>
              <w:jc w:val="center"/>
              <w:rPr>
                <w:rFonts w:ascii="宋体" w:hAnsi="宋体"/>
                <w:kern w:val="20"/>
                <w:szCs w:val="21"/>
              </w:rPr>
            </w:pPr>
            <w:r>
              <w:rPr>
                <w:rFonts w:hint="eastAsia" w:ascii="宋体" w:hAnsi="宋体"/>
                <w:kern w:val="20"/>
                <w:szCs w:val="21"/>
              </w:rPr>
              <w:t>2.2.2</w:t>
            </w:r>
          </w:p>
        </w:tc>
        <w:tc>
          <w:tcPr>
            <w:tcW w:w="1540" w:type="dxa"/>
            <w:shd w:val="clear" w:color="auto" w:fill="auto"/>
            <w:vAlign w:val="center"/>
          </w:tcPr>
          <w:p w14:paraId="251A22EF">
            <w:pPr>
              <w:spacing w:line="360" w:lineRule="auto"/>
              <w:jc w:val="center"/>
              <w:rPr>
                <w:rFonts w:ascii="宋体" w:hAnsi="宋体"/>
                <w:kern w:val="20"/>
                <w:szCs w:val="21"/>
              </w:rPr>
            </w:pPr>
            <w:r>
              <w:rPr>
                <w:rStyle w:val="21"/>
                <w:rFonts w:ascii="宋体" w:hAnsi="宋体" w:eastAsia="宋体"/>
                <w:b w:val="0"/>
                <w:color w:val="auto"/>
                <w:sz w:val="21"/>
                <w:szCs w:val="21"/>
              </w:rPr>
              <w:t>评标基准价计算方法</w:t>
            </w:r>
          </w:p>
        </w:tc>
        <w:tc>
          <w:tcPr>
            <w:tcW w:w="7045" w:type="dxa"/>
            <w:shd w:val="clear" w:color="auto" w:fill="auto"/>
          </w:tcPr>
          <w:p w14:paraId="041A6DD4">
            <w:pPr>
              <w:pStyle w:val="18"/>
              <w:shd w:val="clear" w:color="auto" w:fill="auto"/>
              <w:spacing w:before="0" w:line="360" w:lineRule="auto"/>
              <w:ind w:firstLine="420" w:firstLineChars="200"/>
              <w:jc w:val="left"/>
              <w:rPr>
                <w:rFonts w:cs="宋体"/>
                <w:sz w:val="21"/>
                <w:szCs w:val="21"/>
              </w:rPr>
            </w:pPr>
            <w:r>
              <w:rPr>
                <w:rStyle w:val="21"/>
                <w:rFonts w:ascii="宋体" w:hAnsi="宋体" w:eastAsia="宋体"/>
                <w:b w:val="0"/>
                <w:color w:val="auto"/>
                <w:sz w:val="21"/>
                <w:szCs w:val="21"/>
              </w:rPr>
              <w:t>评标基准价的计算：</w:t>
            </w:r>
          </w:p>
          <w:p w14:paraId="15E38961">
            <w:pPr>
              <w:pStyle w:val="18"/>
              <w:shd w:val="clear" w:color="auto" w:fill="auto"/>
              <w:spacing w:before="0" w:line="360" w:lineRule="auto"/>
              <w:ind w:firstLine="420" w:firstLineChars="200"/>
              <w:jc w:val="left"/>
              <w:rPr>
                <w:rFonts w:cs="宋体"/>
                <w:sz w:val="21"/>
                <w:szCs w:val="21"/>
              </w:rPr>
            </w:pPr>
            <w:r>
              <w:rPr>
                <w:rStyle w:val="21"/>
                <w:rFonts w:ascii="宋体" w:hAnsi="宋体" w:eastAsia="宋体"/>
                <w:b w:val="0"/>
                <w:color w:val="auto"/>
                <w:sz w:val="21"/>
                <w:szCs w:val="21"/>
              </w:rPr>
              <w:t>在开标现场，招标人将当场计算并宣布评标基准价。</w:t>
            </w:r>
          </w:p>
          <w:p w14:paraId="1C3F45FA">
            <w:pPr>
              <w:pStyle w:val="18"/>
              <w:shd w:val="clear" w:color="auto" w:fill="auto"/>
              <w:tabs>
                <w:tab w:val="left" w:pos="413"/>
              </w:tabs>
              <w:spacing w:before="0" w:line="360" w:lineRule="auto"/>
              <w:ind w:firstLine="420" w:firstLineChars="200"/>
              <w:jc w:val="both"/>
              <w:rPr>
                <w:rFonts w:cs="宋体"/>
                <w:sz w:val="21"/>
                <w:szCs w:val="21"/>
              </w:rPr>
            </w:pPr>
            <w:r>
              <w:rPr>
                <w:rStyle w:val="21"/>
                <w:rFonts w:hint="eastAsia" w:ascii="宋体" w:hAnsi="宋体" w:eastAsia="宋体"/>
                <w:b w:val="0"/>
                <w:color w:val="auto"/>
                <w:sz w:val="21"/>
                <w:szCs w:val="21"/>
              </w:rPr>
              <w:t>（1）</w:t>
            </w:r>
            <w:r>
              <w:rPr>
                <w:rStyle w:val="21"/>
                <w:rFonts w:ascii="宋体" w:hAnsi="宋体" w:eastAsia="宋体"/>
                <w:b w:val="0"/>
                <w:color w:val="auto"/>
                <w:sz w:val="21"/>
                <w:szCs w:val="21"/>
              </w:rPr>
              <w:t>评标价的确定：</w:t>
            </w:r>
          </w:p>
          <w:p w14:paraId="1DC48A96">
            <w:pPr>
              <w:pStyle w:val="18"/>
              <w:shd w:val="clear" w:color="auto" w:fill="auto"/>
              <w:spacing w:before="0" w:line="360" w:lineRule="auto"/>
              <w:ind w:firstLine="420" w:firstLineChars="200"/>
              <w:jc w:val="left"/>
              <w:rPr>
                <w:rFonts w:cs="宋体"/>
                <w:sz w:val="21"/>
                <w:szCs w:val="21"/>
              </w:rPr>
            </w:pPr>
            <w:r>
              <w:rPr>
                <w:rStyle w:val="21"/>
                <w:rFonts w:ascii="宋体" w:hAnsi="宋体" w:eastAsia="宋体"/>
                <w:b w:val="0"/>
                <w:color w:val="auto"/>
                <w:sz w:val="21"/>
                <w:szCs w:val="21"/>
              </w:rPr>
              <w:t>评标价=投标函文字报价</w:t>
            </w:r>
          </w:p>
          <w:p w14:paraId="2B51D14A">
            <w:pPr>
              <w:pStyle w:val="18"/>
              <w:shd w:val="clear" w:color="auto" w:fill="auto"/>
              <w:tabs>
                <w:tab w:val="left" w:pos="413"/>
              </w:tabs>
              <w:spacing w:before="0" w:line="360" w:lineRule="auto"/>
              <w:ind w:firstLine="420" w:firstLineChars="200"/>
              <w:jc w:val="both"/>
              <w:rPr>
                <w:rFonts w:cs="宋体"/>
                <w:sz w:val="21"/>
                <w:szCs w:val="21"/>
              </w:rPr>
            </w:pPr>
            <w:r>
              <w:rPr>
                <w:rStyle w:val="21"/>
                <w:rFonts w:hint="eastAsia" w:ascii="宋体" w:hAnsi="宋体" w:eastAsia="宋体"/>
                <w:b w:val="0"/>
                <w:color w:val="auto"/>
                <w:sz w:val="21"/>
                <w:szCs w:val="21"/>
              </w:rPr>
              <w:t>（2）</w:t>
            </w:r>
            <w:r>
              <w:rPr>
                <w:rStyle w:val="21"/>
                <w:rFonts w:ascii="宋体" w:hAnsi="宋体" w:eastAsia="宋体"/>
                <w:b w:val="0"/>
                <w:color w:val="auto"/>
                <w:sz w:val="21"/>
                <w:szCs w:val="21"/>
              </w:rPr>
              <w:t>评标价平均值的计算</w:t>
            </w:r>
            <w:r>
              <w:rPr>
                <w:rStyle w:val="21"/>
                <w:rFonts w:hint="eastAsia" w:ascii="宋体" w:hAnsi="宋体" w:eastAsia="宋体"/>
                <w:b w:val="0"/>
                <w:color w:val="auto"/>
                <w:sz w:val="21"/>
                <w:szCs w:val="21"/>
              </w:rPr>
              <w:t>：</w:t>
            </w:r>
          </w:p>
          <w:p w14:paraId="721FF0A2">
            <w:pPr>
              <w:pStyle w:val="18"/>
              <w:shd w:val="clear" w:color="auto" w:fill="auto"/>
              <w:spacing w:before="0" w:line="360" w:lineRule="auto"/>
              <w:ind w:firstLine="420" w:firstLineChars="200"/>
              <w:jc w:val="left"/>
              <w:rPr>
                <w:rFonts w:cs="宋体"/>
                <w:sz w:val="21"/>
                <w:szCs w:val="21"/>
              </w:rPr>
            </w:pPr>
            <w:r>
              <w:rPr>
                <w:rFonts w:cs="MingLiU"/>
                <w:bCs/>
                <w:sz w:val="21"/>
                <w:szCs w:val="21"/>
                <w:lang w:eastAsia="zh-TW" w:bidi="zh-TW"/>
              </w:rPr>
              <w:t>除按第二</w:t>
            </w:r>
            <w:r>
              <w:rPr>
                <w:rFonts w:hint="eastAsia" w:cs="MingLiU"/>
                <w:bCs/>
                <w:sz w:val="21"/>
                <w:szCs w:val="21"/>
                <w:lang w:eastAsia="zh-TW" w:bidi="zh-TW"/>
              </w:rPr>
              <w:t>章“投标人须知”</w:t>
            </w:r>
            <w:r>
              <w:rPr>
                <w:rFonts w:cs="MingLiU"/>
                <w:bCs/>
                <w:sz w:val="21"/>
                <w:szCs w:val="21"/>
                <w:lang w:eastAsia="zh-TW" w:bidi="zh-TW"/>
              </w:rPr>
              <w:t>第5.2.</w:t>
            </w:r>
            <w:r>
              <w:rPr>
                <w:rFonts w:hint="eastAsia" w:cs="MingLiU"/>
                <w:bCs/>
                <w:sz w:val="21"/>
                <w:szCs w:val="21"/>
                <w:lang w:eastAsia="zh-TW" w:bidi="zh-TW"/>
              </w:rPr>
              <w:t>4</w:t>
            </w:r>
            <w:r>
              <w:rPr>
                <w:rFonts w:cs="MingLiU"/>
                <w:bCs/>
                <w:sz w:val="21"/>
                <w:szCs w:val="21"/>
                <w:lang w:eastAsia="zh-TW" w:bidi="zh-TW"/>
              </w:rPr>
              <w:t>项规定开标现场被宣布为</w:t>
            </w:r>
            <w:r>
              <w:rPr>
                <w:rFonts w:hint="eastAsia" w:cs="MingLiU"/>
                <w:bCs/>
                <w:sz w:val="21"/>
                <w:szCs w:val="21"/>
                <w:lang w:eastAsia="zh-TW" w:bidi="zh-TW"/>
              </w:rPr>
              <w:t>不进入评标基准价计算</w:t>
            </w:r>
            <w:r>
              <w:rPr>
                <w:rFonts w:cs="MingLiU"/>
                <w:bCs/>
                <w:sz w:val="21"/>
                <w:szCs w:val="21"/>
                <w:lang w:eastAsia="zh-TW" w:bidi="zh-TW"/>
              </w:rPr>
              <w:t>的投标报价之外，</w:t>
            </w:r>
            <w:r>
              <w:rPr>
                <w:rFonts w:hint="eastAsia" w:cs="MingLiU"/>
                <w:bCs/>
                <w:sz w:val="21"/>
                <w:szCs w:val="21"/>
                <w:lang w:bidi="zh-TW"/>
              </w:rPr>
              <w:t>所有</w:t>
            </w:r>
            <w:r>
              <w:rPr>
                <w:rFonts w:cs="MingLiU"/>
                <w:bCs/>
                <w:sz w:val="21"/>
                <w:szCs w:val="21"/>
                <w:lang w:eastAsia="zh-TW" w:bidi="zh-TW"/>
              </w:rPr>
              <w:t>投标人的评标价去掉一个最高值和一个最低值后的算术平均值即为评标价平均值</w:t>
            </w:r>
            <w:r>
              <w:rPr>
                <w:rFonts w:hint="eastAsia" w:cs="MingLiU"/>
                <w:bCs/>
                <w:sz w:val="21"/>
                <w:szCs w:val="21"/>
                <w:lang w:eastAsia="zh-TW" w:bidi="zh-TW"/>
              </w:rPr>
              <w:t>（</w:t>
            </w:r>
            <w:r>
              <w:rPr>
                <w:rFonts w:cs="MingLiU"/>
                <w:bCs/>
                <w:sz w:val="21"/>
                <w:szCs w:val="21"/>
                <w:lang w:eastAsia="zh-TW" w:bidi="zh-TW"/>
              </w:rPr>
              <w:t>如参与</w:t>
            </w:r>
            <w:r>
              <w:rPr>
                <w:rFonts w:hint="eastAsia" w:cs="MingLiU"/>
                <w:bCs/>
                <w:sz w:val="21"/>
                <w:szCs w:val="21"/>
                <w:lang w:eastAsia="zh-TW" w:bidi="zh-TW"/>
              </w:rPr>
              <w:t>评标价</w:t>
            </w:r>
            <w:r>
              <w:rPr>
                <w:rFonts w:cs="MingLiU"/>
                <w:bCs/>
                <w:sz w:val="21"/>
                <w:szCs w:val="21"/>
                <w:lang w:eastAsia="zh-TW" w:bidi="zh-TW"/>
              </w:rPr>
              <w:t>平均值计算的有效投标人少于5家时，则计算</w:t>
            </w:r>
            <w:r>
              <w:rPr>
                <w:rFonts w:hint="eastAsia" w:cs="MingLiU"/>
                <w:bCs/>
                <w:sz w:val="21"/>
                <w:szCs w:val="21"/>
                <w:lang w:eastAsia="zh-TW" w:bidi="zh-TW"/>
              </w:rPr>
              <w:t>评标</w:t>
            </w:r>
            <w:r>
              <w:rPr>
                <w:rFonts w:cs="MingLiU"/>
                <w:bCs/>
                <w:sz w:val="21"/>
                <w:szCs w:val="21"/>
                <w:lang w:eastAsia="zh-TW" w:bidi="zh-TW"/>
              </w:rPr>
              <w:t>价平均值时不去掉最高值和最低值</w:t>
            </w:r>
            <w:r>
              <w:rPr>
                <w:rFonts w:hint="eastAsia" w:cs="MingLiU"/>
                <w:bCs/>
                <w:sz w:val="21"/>
                <w:szCs w:val="21"/>
                <w:lang w:eastAsia="zh-TW" w:bidi="zh-TW"/>
              </w:rPr>
              <w:t>）计算保留个位，小数点后第一位“四舍五入”。</w:t>
            </w:r>
          </w:p>
          <w:p w14:paraId="26252DAE">
            <w:pPr>
              <w:pStyle w:val="18"/>
              <w:shd w:val="clear" w:color="auto" w:fill="auto"/>
              <w:tabs>
                <w:tab w:val="left" w:pos="413"/>
              </w:tabs>
              <w:spacing w:before="0" w:line="360" w:lineRule="auto"/>
              <w:ind w:firstLine="420" w:firstLineChars="200"/>
              <w:jc w:val="both"/>
              <w:rPr>
                <w:rFonts w:cs="宋体"/>
                <w:sz w:val="21"/>
                <w:szCs w:val="21"/>
              </w:rPr>
            </w:pPr>
            <w:r>
              <w:rPr>
                <w:rStyle w:val="21"/>
                <w:rFonts w:hint="eastAsia" w:ascii="宋体" w:hAnsi="宋体" w:eastAsia="宋体"/>
                <w:b w:val="0"/>
                <w:color w:val="auto"/>
                <w:sz w:val="21"/>
                <w:szCs w:val="21"/>
              </w:rPr>
              <w:t>（3）</w:t>
            </w:r>
            <w:r>
              <w:rPr>
                <w:rStyle w:val="21"/>
                <w:rFonts w:ascii="宋体" w:hAnsi="宋体" w:eastAsia="宋体"/>
                <w:b w:val="0"/>
                <w:color w:val="auto"/>
                <w:sz w:val="21"/>
                <w:szCs w:val="21"/>
              </w:rPr>
              <w:t>评标基准价的确定</w:t>
            </w:r>
            <w:r>
              <w:rPr>
                <w:rStyle w:val="21"/>
                <w:rFonts w:hint="eastAsia" w:ascii="宋体" w:hAnsi="宋体" w:eastAsia="宋体"/>
                <w:b w:val="0"/>
                <w:color w:val="auto"/>
                <w:sz w:val="21"/>
                <w:szCs w:val="21"/>
              </w:rPr>
              <w:t>：</w:t>
            </w:r>
          </w:p>
          <w:p w14:paraId="34EBE622">
            <w:pPr>
              <w:pStyle w:val="18"/>
              <w:shd w:val="clear" w:color="auto" w:fill="auto"/>
              <w:spacing w:before="0" w:line="360" w:lineRule="auto"/>
              <w:ind w:firstLine="420" w:firstLineChars="200"/>
              <w:jc w:val="left"/>
              <w:rPr>
                <w:rFonts w:cs="宋体"/>
                <w:sz w:val="21"/>
                <w:szCs w:val="21"/>
              </w:rPr>
            </w:pPr>
            <w:r>
              <w:rPr>
                <w:rStyle w:val="21"/>
                <w:rFonts w:ascii="宋体" w:hAnsi="宋体" w:eastAsia="宋体"/>
                <w:b w:val="0"/>
                <w:color w:val="auto"/>
                <w:sz w:val="21"/>
                <w:szCs w:val="21"/>
              </w:rPr>
              <w:t>将评标价平均值直接作为评标基准价。</w:t>
            </w:r>
          </w:p>
          <w:p w14:paraId="2237FE80">
            <w:pPr>
              <w:spacing w:line="360" w:lineRule="auto"/>
              <w:ind w:firstLine="420" w:firstLineChars="200"/>
              <w:rPr>
                <w:rFonts w:ascii="宋体" w:hAnsi="宋体"/>
                <w:kern w:val="20"/>
                <w:szCs w:val="21"/>
              </w:rPr>
            </w:pPr>
            <w:r>
              <w:rPr>
                <w:rStyle w:val="20"/>
                <w:rFonts w:ascii="宋体" w:hAnsi="宋体" w:eastAsia="宋体"/>
                <w:color w:val="auto"/>
                <w:sz w:val="21"/>
                <w:szCs w:val="21"/>
                <w:shd w:val="clear" w:color="auto" w:fill="auto"/>
              </w:rPr>
              <w:t>在评标过程中，评标委员会应对招标人计算的评标基准价进行复核，存在计算错误的应予以修正并在评标报告中作出说明。除此之外，评标基准价在整个评标期间保持不变，不随任何因素发生变化</w:t>
            </w:r>
            <w:r>
              <w:rPr>
                <w:rStyle w:val="20"/>
                <w:rFonts w:hint="eastAsia" w:ascii="宋体" w:hAnsi="宋体" w:eastAsia="宋体"/>
                <w:color w:val="auto"/>
                <w:sz w:val="21"/>
                <w:szCs w:val="21"/>
                <w:shd w:val="clear" w:color="auto" w:fill="auto"/>
              </w:rPr>
              <w:t>。</w:t>
            </w:r>
          </w:p>
        </w:tc>
      </w:tr>
      <w:tr w14:paraId="57071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shd w:val="clear" w:color="auto" w:fill="auto"/>
            <w:vAlign w:val="center"/>
          </w:tcPr>
          <w:p w14:paraId="659353A6">
            <w:pPr>
              <w:spacing w:line="360" w:lineRule="auto"/>
              <w:jc w:val="center"/>
              <w:rPr>
                <w:rFonts w:ascii="宋体" w:hAnsi="宋体"/>
                <w:kern w:val="20"/>
                <w:szCs w:val="21"/>
              </w:rPr>
            </w:pPr>
            <w:r>
              <w:rPr>
                <w:rFonts w:hint="eastAsia" w:ascii="宋体" w:hAnsi="宋体"/>
                <w:kern w:val="20"/>
                <w:szCs w:val="21"/>
              </w:rPr>
              <w:t>2.2.3</w:t>
            </w:r>
          </w:p>
        </w:tc>
        <w:tc>
          <w:tcPr>
            <w:tcW w:w="1540" w:type="dxa"/>
            <w:shd w:val="clear" w:color="auto" w:fill="auto"/>
            <w:vAlign w:val="center"/>
          </w:tcPr>
          <w:p w14:paraId="272EC159">
            <w:pPr>
              <w:jc w:val="center"/>
              <w:rPr>
                <w:rStyle w:val="21"/>
                <w:rFonts w:ascii="宋体" w:hAnsi="宋体" w:eastAsia="宋体"/>
                <w:b w:val="0"/>
                <w:color w:val="auto"/>
                <w:sz w:val="21"/>
                <w:szCs w:val="21"/>
              </w:rPr>
            </w:pPr>
            <w:r>
              <w:rPr>
                <w:rStyle w:val="20"/>
                <w:rFonts w:ascii="宋体" w:hAnsi="宋体" w:eastAsia="宋体"/>
                <w:color w:val="auto"/>
                <w:sz w:val="21"/>
                <w:szCs w:val="21"/>
                <w:shd w:val="clear" w:color="auto" w:fill="auto"/>
              </w:rPr>
              <w:t>评标价的偏差率计算公式</w:t>
            </w:r>
          </w:p>
        </w:tc>
        <w:tc>
          <w:tcPr>
            <w:tcW w:w="7045" w:type="dxa"/>
            <w:shd w:val="clear" w:color="auto" w:fill="auto"/>
          </w:tcPr>
          <w:p w14:paraId="0FF6977E">
            <w:pPr>
              <w:ind w:firstLine="420" w:firstLineChars="200"/>
              <w:rPr>
                <w:rStyle w:val="20"/>
                <w:rFonts w:ascii="宋体" w:hAnsi="宋体" w:eastAsia="宋体"/>
                <w:color w:val="auto"/>
                <w:sz w:val="21"/>
                <w:szCs w:val="21"/>
                <w:shd w:val="clear" w:color="auto" w:fill="auto"/>
              </w:rPr>
            </w:pPr>
            <w:r>
              <w:rPr>
                <w:rStyle w:val="20"/>
                <w:rFonts w:ascii="宋体" w:hAnsi="宋体" w:eastAsia="宋体"/>
                <w:color w:val="auto"/>
                <w:sz w:val="21"/>
                <w:szCs w:val="21"/>
                <w:shd w:val="clear" w:color="auto" w:fill="auto"/>
              </w:rPr>
              <w:t xml:space="preserve">偏差率=100% </w:t>
            </w:r>
            <w:r>
              <w:rPr>
                <w:rStyle w:val="19"/>
                <w:rFonts w:hint="eastAsia" w:ascii="宋体" w:hAnsi="宋体" w:eastAsia="宋体"/>
                <w:color w:val="auto"/>
                <w:sz w:val="21"/>
                <w:szCs w:val="21"/>
                <w:shd w:val="clear" w:color="auto" w:fill="auto"/>
                <w:lang w:eastAsia="zh-CN"/>
              </w:rPr>
              <w:t>×</w:t>
            </w:r>
            <w:r>
              <w:rPr>
                <w:rStyle w:val="20"/>
                <w:rFonts w:ascii="宋体" w:hAnsi="宋体" w:eastAsia="宋体"/>
                <w:color w:val="auto"/>
                <w:sz w:val="21"/>
                <w:szCs w:val="21"/>
                <w:shd w:val="clear" w:color="auto" w:fill="auto"/>
                <w:lang w:bidi="en-US"/>
              </w:rPr>
              <w:t>（</w:t>
            </w:r>
            <w:r>
              <w:rPr>
                <w:rStyle w:val="20"/>
                <w:rFonts w:ascii="宋体" w:hAnsi="宋体" w:eastAsia="宋体"/>
                <w:color w:val="auto"/>
                <w:sz w:val="21"/>
                <w:szCs w:val="21"/>
                <w:shd w:val="clear" w:color="auto" w:fill="auto"/>
              </w:rPr>
              <w:t>投标人评标价-评标基准价</w:t>
            </w:r>
            <w:r>
              <w:rPr>
                <w:rStyle w:val="20"/>
                <w:rFonts w:ascii="宋体" w:hAnsi="宋体" w:eastAsia="宋体"/>
                <w:color w:val="auto"/>
                <w:sz w:val="21"/>
                <w:szCs w:val="21"/>
                <w:shd w:val="clear" w:color="auto" w:fill="auto"/>
                <w:lang w:bidi="en-US"/>
              </w:rPr>
              <w:t>）/</w:t>
            </w:r>
            <w:r>
              <w:rPr>
                <w:rStyle w:val="20"/>
                <w:rFonts w:ascii="宋体" w:hAnsi="宋体" w:eastAsia="宋体"/>
                <w:color w:val="auto"/>
                <w:sz w:val="21"/>
                <w:szCs w:val="21"/>
                <w:shd w:val="clear" w:color="auto" w:fill="auto"/>
              </w:rPr>
              <w:t>评标基准价</w:t>
            </w:r>
          </w:p>
          <w:p w14:paraId="0B2A5876">
            <w:pPr>
              <w:pStyle w:val="18"/>
              <w:shd w:val="clear" w:color="auto" w:fill="auto"/>
              <w:spacing w:before="0" w:line="240" w:lineRule="auto"/>
              <w:ind w:firstLine="420" w:firstLineChars="200"/>
              <w:jc w:val="both"/>
              <w:rPr>
                <w:rStyle w:val="21"/>
                <w:rFonts w:ascii="宋体" w:hAnsi="宋体" w:eastAsia="宋体"/>
                <w:b w:val="0"/>
                <w:color w:val="auto"/>
                <w:sz w:val="21"/>
                <w:szCs w:val="21"/>
                <w:lang w:eastAsia="zh-CN"/>
              </w:rPr>
            </w:pPr>
            <w:r>
              <w:rPr>
                <w:rStyle w:val="20"/>
                <w:rFonts w:ascii="宋体" w:hAnsi="宋体" w:eastAsia="宋体"/>
                <w:color w:val="auto"/>
                <w:sz w:val="21"/>
                <w:szCs w:val="21"/>
                <w:shd w:val="clear" w:color="auto" w:fill="auto"/>
              </w:rPr>
              <w:t>偏差率保留</w:t>
            </w:r>
            <w:r>
              <w:rPr>
                <w:rStyle w:val="20"/>
                <w:rFonts w:hint="eastAsia" w:ascii="宋体" w:hAnsi="宋体" w:eastAsia="宋体"/>
                <w:color w:val="auto"/>
                <w:sz w:val="21"/>
                <w:szCs w:val="21"/>
                <w:shd w:val="clear" w:color="auto" w:fill="auto"/>
                <w:lang w:eastAsia="zh-CN"/>
              </w:rPr>
              <w:t>2</w:t>
            </w:r>
            <w:r>
              <w:rPr>
                <w:rStyle w:val="20"/>
                <w:rFonts w:ascii="宋体" w:hAnsi="宋体" w:eastAsia="宋体"/>
                <w:color w:val="auto"/>
                <w:sz w:val="21"/>
                <w:szCs w:val="21"/>
                <w:shd w:val="clear" w:color="auto" w:fill="auto"/>
              </w:rPr>
              <w:t>位小数</w:t>
            </w:r>
          </w:p>
        </w:tc>
      </w:tr>
    </w:tbl>
    <w:p w14:paraId="17AF7FE3">
      <w:pPr>
        <w:ind w:right="420"/>
        <w:jc w:val="right"/>
        <w:rPr>
          <w:rFonts w:ascii="宋体" w:hAnsi="宋体"/>
          <w:kern w:val="20"/>
          <w:szCs w:val="21"/>
        </w:rPr>
      </w:pPr>
      <w:r>
        <w:rPr>
          <w:rFonts w:ascii="宋体" w:hAnsi="宋体"/>
          <w:kern w:val="20"/>
          <w:szCs w:val="21"/>
        </w:rPr>
        <w:br w:type="page"/>
      </w:r>
    </w:p>
    <w:tbl>
      <w:tblPr>
        <w:tblStyle w:val="9"/>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26"/>
        <w:gridCol w:w="867"/>
        <w:gridCol w:w="993"/>
        <w:gridCol w:w="1896"/>
        <w:gridCol w:w="851"/>
        <w:gridCol w:w="3492"/>
      </w:tblGrid>
      <w:tr w14:paraId="5831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89" w:type="dxa"/>
            <w:gridSpan w:val="6"/>
            <w:shd w:val="clear" w:color="auto" w:fill="auto"/>
          </w:tcPr>
          <w:p w14:paraId="397A1547">
            <w:pPr>
              <w:jc w:val="center"/>
              <w:rPr>
                <w:rFonts w:ascii="宋体" w:hAnsi="宋体"/>
                <w:kern w:val="20"/>
                <w:szCs w:val="21"/>
              </w:rPr>
            </w:pPr>
            <w:r>
              <w:rPr>
                <w:rFonts w:hint="eastAsia" w:ascii="宋体" w:hAnsi="宋体"/>
                <w:kern w:val="20"/>
                <w:szCs w:val="21"/>
              </w:rPr>
              <w:t>评分因素与权重分值</w:t>
            </w:r>
            <w:r>
              <w:rPr>
                <w:rStyle w:val="12"/>
                <w:rFonts w:ascii="宋体" w:hAnsi="宋体"/>
                <w:kern w:val="20"/>
                <w:szCs w:val="21"/>
              </w:rPr>
              <w:footnoteReference w:id="2"/>
            </w:r>
          </w:p>
        </w:tc>
        <w:tc>
          <w:tcPr>
            <w:tcW w:w="3492" w:type="dxa"/>
            <w:vMerge w:val="restart"/>
            <w:shd w:val="clear" w:color="auto" w:fill="auto"/>
            <w:vAlign w:val="center"/>
          </w:tcPr>
          <w:p w14:paraId="7929596F">
            <w:pPr>
              <w:jc w:val="center"/>
              <w:rPr>
                <w:rFonts w:ascii="宋体" w:hAnsi="宋体"/>
                <w:kern w:val="20"/>
                <w:szCs w:val="21"/>
              </w:rPr>
            </w:pPr>
            <w:r>
              <w:rPr>
                <w:rFonts w:hint="eastAsia" w:ascii="宋体" w:hAnsi="宋体"/>
                <w:kern w:val="20"/>
                <w:szCs w:val="21"/>
              </w:rPr>
              <w:t>评分标准</w:t>
            </w:r>
          </w:p>
        </w:tc>
      </w:tr>
      <w:tr w14:paraId="01FA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56" w:type="dxa"/>
            <w:shd w:val="clear" w:color="auto" w:fill="auto"/>
            <w:vAlign w:val="center"/>
          </w:tcPr>
          <w:p w14:paraId="7C7D26F4">
            <w:pPr>
              <w:jc w:val="center"/>
              <w:rPr>
                <w:rFonts w:ascii="宋体" w:hAnsi="宋体"/>
                <w:kern w:val="20"/>
                <w:szCs w:val="21"/>
              </w:rPr>
            </w:pPr>
            <w:r>
              <w:rPr>
                <w:rFonts w:hint="eastAsia" w:ascii="宋体" w:hAnsi="宋体"/>
                <w:kern w:val="20"/>
                <w:szCs w:val="21"/>
              </w:rPr>
              <w:t>条款号</w:t>
            </w:r>
          </w:p>
        </w:tc>
        <w:tc>
          <w:tcPr>
            <w:tcW w:w="1293" w:type="dxa"/>
            <w:gridSpan w:val="2"/>
            <w:shd w:val="clear" w:color="auto" w:fill="auto"/>
            <w:vAlign w:val="center"/>
          </w:tcPr>
          <w:p w14:paraId="4A02EF55">
            <w:pPr>
              <w:jc w:val="center"/>
              <w:rPr>
                <w:rFonts w:ascii="宋体" w:hAnsi="宋体"/>
                <w:kern w:val="20"/>
                <w:szCs w:val="21"/>
              </w:rPr>
            </w:pPr>
            <w:r>
              <w:rPr>
                <w:rFonts w:hint="eastAsia" w:ascii="宋体" w:hAnsi="宋体"/>
                <w:kern w:val="20"/>
                <w:szCs w:val="21"/>
              </w:rPr>
              <w:t>评分因素</w:t>
            </w:r>
          </w:p>
        </w:tc>
        <w:tc>
          <w:tcPr>
            <w:tcW w:w="993" w:type="dxa"/>
            <w:shd w:val="clear" w:color="auto" w:fill="auto"/>
            <w:vAlign w:val="center"/>
          </w:tcPr>
          <w:p w14:paraId="2E007DCA">
            <w:pPr>
              <w:jc w:val="center"/>
              <w:rPr>
                <w:rFonts w:ascii="宋体" w:hAnsi="宋体"/>
                <w:kern w:val="20"/>
                <w:szCs w:val="21"/>
              </w:rPr>
            </w:pPr>
            <w:r>
              <w:rPr>
                <w:rFonts w:hint="eastAsia" w:ascii="宋体" w:hAnsi="宋体"/>
                <w:kern w:val="20"/>
                <w:szCs w:val="21"/>
              </w:rPr>
              <w:t>评分因素权重分值</w:t>
            </w:r>
          </w:p>
        </w:tc>
        <w:tc>
          <w:tcPr>
            <w:tcW w:w="1896" w:type="dxa"/>
            <w:shd w:val="clear" w:color="auto" w:fill="auto"/>
            <w:vAlign w:val="center"/>
          </w:tcPr>
          <w:p w14:paraId="488B3A63">
            <w:pPr>
              <w:jc w:val="center"/>
              <w:rPr>
                <w:rFonts w:ascii="宋体" w:hAnsi="宋体"/>
                <w:kern w:val="20"/>
                <w:szCs w:val="21"/>
              </w:rPr>
            </w:pPr>
            <w:r>
              <w:rPr>
                <w:rFonts w:hint="eastAsia" w:ascii="宋体" w:hAnsi="宋体"/>
                <w:kern w:val="20"/>
                <w:szCs w:val="21"/>
              </w:rPr>
              <w:t>各评分因素细分项</w:t>
            </w:r>
          </w:p>
        </w:tc>
        <w:tc>
          <w:tcPr>
            <w:tcW w:w="851" w:type="dxa"/>
            <w:shd w:val="clear" w:color="auto" w:fill="auto"/>
            <w:vAlign w:val="center"/>
          </w:tcPr>
          <w:p w14:paraId="5D21839A">
            <w:pPr>
              <w:jc w:val="center"/>
              <w:rPr>
                <w:rFonts w:ascii="宋体" w:hAnsi="宋体"/>
                <w:kern w:val="20"/>
                <w:szCs w:val="21"/>
              </w:rPr>
            </w:pPr>
            <w:r>
              <w:rPr>
                <w:rFonts w:hint="eastAsia" w:ascii="宋体" w:hAnsi="宋体"/>
                <w:kern w:val="20"/>
                <w:szCs w:val="21"/>
              </w:rPr>
              <w:t>分值</w:t>
            </w:r>
          </w:p>
        </w:tc>
        <w:tc>
          <w:tcPr>
            <w:tcW w:w="3492" w:type="dxa"/>
            <w:vMerge w:val="continue"/>
            <w:shd w:val="clear" w:color="auto" w:fill="auto"/>
          </w:tcPr>
          <w:p w14:paraId="4F9947BF">
            <w:pPr>
              <w:rPr>
                <w:rFonts w:ascii="宋体" w:hAnsi="宋体"/>
                <w:kern w:val="20"/>
                <w:szCs w:val="21"/>
              </w:rPr>
            </w:pPr>
          </w:p>
        </w:tc>
      </w:tr>
      <w:tr w14:paraId="67A0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shd w:val="clear" w:color="auto" w:fill="auto"/>
            <w:vAlign w:val="center"/>
          </w:tcPr>
          <w:p w14:paraId="061891AE">
            <w:pPr>
              <w:jc w:val="center"/>
              <w:rPr>
                <w:rFonts w:ascii="宋体" w:hAnsi="宋体"/>
                <w:kern w:val="20"/>
                <w:szCs w:val="21"/>
              </w:rPr>
            </w:pPr>
            <w:r>
              <w:rPr>
                <w:rStyle w:val="20"/>
                <w:rFonts w:ascii="宋体" w:hAnsi="宋体" w:eastAsia="宋体"/>
                <w:color w:val="auto"/>
                <w:sz w:val="21"/>
                <w:szCs w:val="21"/>
                <w:shd w:val="clear" w:color="auto" w:fill="auto"/>
              </w:rPr>
              <w:t>2.2.4（1）</w:t>
            </w:r>
          </w:p>
        </w:tc>
        <w:tc>
          <w:tcPr>
            <w:tcW w:w="1293" w:type="dxa"/>
            <w:gridSpan w:val="2"/>
            <w:vMerge w:val="restart"/>
            <w:shd w:val="clear" w:color="auto" w:fill="auto"/>
            <w:vAlign w:val="center"/>
          </w:tcPr>
          <w:p w14:paraId="1766F3C1">
            <w:pPr>
              <w:jc w:val="center"/>
              <w:rPr>
                <w:rFonts w:ascii="宋体" w:hAnsi="宋体"/>
                <w:kern w:val="20"/>
                <w:szCs w:val="21"/>
              </w:rPr>
            </w:pPr>
            <w:r>
              <w:rPr>
                <w:rStyle w:val="20"/>
                <w:rFonts w:ascii="宋体" w:hAnsi="宋体" w:eastAsia="宋体"/>
                <w:color w:val="auto"/>
                <w:sz w:val="21"/>
                <w:szCs w:val="21"/>
                <w:shd w:val="clear" w:color="auto" w:fill="auto"/>
              </w:rPr>
              <w:t>技术建议书</w:t>
            </w:r>
          </w:p>
        </w:tc>
        <w:tc>
          <w:tcPr>
            <w:tcW w:w="993" w:type="dxa"/>
            <w:vMerge w:val="restart"/>
            <w:shd w:val="clear" w:color="auto" w:fill="auto"/>
            <w:vAlign w:val="center"/>
          </w:tcPr>
          <w:p w14:paraId="50248C1F">
            <w:pPr>
              <w:jc w:val="center"/>
              <w:rPr>
                <w:rFonts w:ascii="宋体" w:hAnsi="宋体"/>
                <w:kern w:val="20"/>
                <w:szCs w:val="21"/>
              </w:rPr>
            </w:pPr>
            <w:r>
              <w:rPr>
                <w:rFonts w:hint="eastAsia" w:ascii="宋体" w:hAnsi="宋体"/>
                <w:kern w:val="20"/>
                <w:szCs w:val="21"/>
                <w:u w:val="single"/>
              </w:rPr>
              <w:t xml:space="preserve"> 30 </w:t>
            </w:r>
            <w:r>
              <w:rPr>
                <w:rFonts w:hint="eastAsia" w:ascii="宋体" w:hAnsi="宋体"/>
                <w:kern w:val="20"/>
                <w:szCs w:val="21"/>
              </w:rPr>
              <w:t>分</w:t>
            </w:r>
          </w:p>
        </w:tc>
        <w:tc>
          <w:tcPr>
            <w:tcW w:w="1896" w:type="dxa"/>
            <w:shd w:val="clear" w:color="auto" w:fill="auto"/>
            <w:vAlign w:val="center"/>
          </w:tcPr>
          <w:p w14:paraId="7A5BF315">
            <w:pPr>
              <w:jc w:val="center"/>
              <w:rPr>
                <w:rFonts w:ascii="宋体" w:hAnsi="宋体"/>
                <w:kern w:val="20"/>
                <w:szCs w:val="21"/>
              </w:rPr>
            </w:pPr>
            <w:r>
              <w:rPr>
                <w:rStyle w:val="20"/>
                <w:rFonts w:ascii="宋体" w:hAnsi="宋体" w:eastAsia="宋体"/>
                <w:color w:val="auto"/>
                <w:sz w:val="21"/>
                <w:szCs w:val="21"/>
                <w:shd w:val="clear" w:color="auto" w:fill="auto"/>
              </w:rPr>
              <w:t>对招标项目的理解和总体设计思路</w:t>
            </w:r>
          </w:p>
        </w:tc>
        <w:tc>
          <w:tcPr>
            <w:tcW w:w="851" w:type="dxa"/>
            <w:shd w:val="clear" w:color="auto" w:fill="auto"/>
            <w:vAlign w:val="center"/>
          </w:tcPr>
          <w:p w14:paraId="7ABA0583">
            <w:pPr>
              <w:jc w:val="center"/>
              <w:rPr>
                <w:rFonts w:ascii="宋体" w:hAnsi="宋体"/>
                <w:kern w:val="20"/>
                <w:szCs w:val="21"/>
              </w:rPr>
            </w:pPr>
            <w:r>
              <w:rPr>
                <w:rFonts w:hint="eastAsia" w:ascii="宋体" w:hAnsi="宋体"/>
                <w:kern w:val="20"/>
                <w:szCs w:val="21"/>
                <w:u w:val="single"/>
              </w:rPr>
              <w:t xml:space="preserve"> 5 </w:t>
            </w:r>
            <w:r>
              <w:rPr>
                <w:rFonts w:hint="eastAsia" w:ascii="宋体" w:hAnsi="宋体"/>
                <w:kern w:val="20"/>
                <w:szCs w:val="21"/>
              </w:rPr>
              <w:t>分</w:t>
            </w:r>
          </w:p>
        </w:tc>
        <w:tc>
          <w:tcPr>
            <w:tcW w:w="3492" w:type="dxa"/>
            <w:shd w:val="clear" w:color="auto" w:fill="auto"/>
            <w:vAlign w:val="center"/>
          </w:tcPr>
          <w:p w14:paraId="47C78F9A">
            <w:pPr>
              <w:adjustRightInd w:val="0"/>
              <w:textAlignment w:val="baseline"/>
              <w:rPr>
                <w:rFonts w:ascii="宋体"/>
              </w:rPr>
            </w:pPr>
            <w:r>
              <w:rPr>
                <w:rFonts w:hint="eastAsia" w:ascii="宋体" w:hAnsi="宋体" w:cs="宋体"/>
              </w:rPr>
              <w:t>对招标项目的理解和总体设计思路正确、符合实际情况得</w:t>
            </w:r>
            <w:r>
              <w:rPr>
                <w:rFonts w:ascii="宋体" w:hAnsi="宋体" w:cs="宋体"/>
              </w:rPr>
              <w:t>3.0</w:t>
            </w:r>
            <w:r>
              <w:rPr>
                <w:rFonts w:hint="eastAsia" w:ascii="宋体" w:hAnsi="宋体" w:cs="宋体"/>
              </w:rPr>
              <w:t>分，理解深刻、思路清晰、认识全面且有独到见解的加分，最高加</w:t>
            </w:r>
            <w:r>
              <w:rPr>
                <w:rFonts w:ascii="宋体" w:hAnsi="宋体" w:cs="宋体"/>
              </w:rPr>
              <w:t>2.0</w:t>
            </w:r>
            <w:r>
              <w:rPr>
                <w:rFonts w:hint="eastAsia" w:ascii="宋体" w:hAnsi="宋体" w:cs="宋体"/>
              </w:rPr>
              <w:t>分。</w:t>
            </w:r>
          </w:p>
        </w:tc>
      </w:tr>
      <w:tr w14:paraId="5D36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shd w:val="clear" w:color="auto" w:fill="auto"/>
            <w:vAlign w:val="center"/>
          </w:tcPr>
          <w:p w14:paraId="64441C86">
            <w:pPr>
              <w:jc w:val="center"/>
              <w:rPr>
                <w:rStyle w:val="20"/>
                <w:rFonts w:ascii="宋体" w:hAnsi="宋体" w:eastAsia="宋体"/>
                <w:color w:val="auto"/>
                <w:sz w:val="21"/>
                <w:szCs w:val="21"/>
                <w:shd w:val="clear" w:color="auto" w:fill="auto"/>
              </w:rPr>
            </w:pPr>
          </w:p>
        </w:tc>
        <w:tc>
          <w:tcPr>
            <w:tcW w:w="1293" w:type="dxa"/>
            <w:gridSpan w:val="2"/>
            <w:vMerge w:val="continue"/>
            <w:shd w:val="clear" w:color="auto" w:fill="auto"/>
            <w:vAlign w:val="center"/>
          </w:tcPr>
          <w:p w14:paraId="616F7A30">
            <w:pPr>
              <w:jc w:val="center"/>
              <w:rPr>
                <w:rStyle w:val="20"/>
                <w:rFonts w:ascii="宋体" w:hAnsi="宋体" w:eastAsia="宋体"/>
                <w:color w:val="auto"/>
                <w:sz w:val="21"/>
                <w:szCs w:val="21"/>
                <w:shd w:val="clear" w:color="auto" w:fill="auto"/>
              </w:rPr>
            </w:pPr>
          </w:p>
        </w:tc>
        <w:tc>
          <w:tcPr>
            <w:tcW w:w="993" w:type="dxa"/>
            <w:vMerge w:val="continue"/>
            <w:shd w:val="clear" w:color="auto" w:fill="auto"/>
            <w:vAlign w:val="center"/>
          </w:tcPr>
          <w:p w14:paraId="442475B3">
            <w:pPr>
              <w:jc w:val="center"/>
              <w:rPr>
                <w:rFonts w:ascii="宋体" w:hAnsi="宋体"/>
                <w:kern w:val="20"/>
                <w:szCs w:val="21"/>
                <w:u w:val="single"/>
              </w:rPr>
            </w:pPr>
          </w:p>
        </w:tc>
        <w:tc>
          <w:tcPr>
            <w:tcW w:w="1896" w:type="dxa"/>
            <w:shd w:val="clear" w:color="auto" w:fill="auto"/>
          </w:tcPr>
          <w:p w14:paraId="5898AC82">
            <w:pPr>
              <w:rPr>
                <w:rFonts w:ascii="宋体"/>
              </w:rPr>
            </w:pPr>
            <w:r>
              <w:rPr>
                <w:rFonts w:hint="eastAsia" w:ascii="宋体" w:hAnsi="宋体" w:cs="宋体"/>
              </w:rPr>
              <w:t>对招标项目勘察设计的特点、关键技术问题的认识</w:t>
            </w:r>
          </w:p>
        </w:tc>
        <w:tc>
          <w:tcPr>
            <w:tcW w:w="851" w:type="dxa"/>
            <w:shd w:val="clear" w:color="auto" w:fill="auto"/>
            <w:vAlign w:val="center"/>
          </w:tcPr>
          <w:p w14:paraId="3D64A639">
            <w:pPr>
              <w:jc w:val="center"/>
              <w:rPr>
                <w:rFonts w:ascii="宋体" w:hAnsi="宋体"/>
                <w:kern w:val="20"/>
                <w:szCs w:val="21"/>
                <w:u w:val="single"/>
              </w:rPr>
            </w:pPr>
            <w:r>
              <w:rPr>
                <w:rFonts w:hint="eastAsia" w:ascii="宋体" w:hAnsi="宋体"/>
                <w:kern w:val="20"/>
                <w:szCs w:val="21"/>
                <w:u w:val="single"/>
              </w:rPr>
              <w:t xml:space="preserve"> 5 </w:t>
            </w:r>
            <w:r>
              <w:rPr>
                <w:rFonts w:hint="eastAsia" w:ascii="宋体" w:hAnsi="宋体"/>
                <w:kern w:val="20"/>
                <w:szCs w:val="21"/>
              </w:rPr>
              <w:t>分</w:t>
            </w:r>
          </w:p>
        </w:tc>
        <w:tc>
          <w:tcPr>
            <w:tcW w:w="3492" w:type="dxa"/>
            <w:shd w:val="clear" w:color="auto" w:fill="auto"/>
            <w:vAlign w:val="center"/>
          </w:tcPr>
          <w:p w14:paraId="1C31B8DD">
            <w:pPr>
              <w:adjustRightInd w:val="0"/>
              <w:textAlignment w:val="baseline"/>
              <w:rPr>
                <w:rFonts w:ascii="宋体"/>
              </w:rPr>
            </w:pPr>
            <w:r>
              <w:rPr>
                <w:rFonts w:hint="eastAsia" w:ascii="宋体" w:hAnsi="宋体" w:cs="宋体"/>
              </w:rPr>
              <w:t>对招标项目勘察设计的特点、关键技术问题的认识准确得3</w:t>
            </w:r>
            <w:r>
              <w:rPr>
                <w:rFonts w:ascii="宋体" w:hAnsi="宋体" w:cs="宋体"/>
              </w:rPr>
              <w:t>.0</w:t>
            </w:r>
            <w:r>
              <w:rPr>
                <w:rFonts w:hint="eastAsia" w:ascii="宋体" w:hAnsi="宋体" w:cs="宋体"/>
              </w:rPr>
              <w:t>分，非常准确且认识全面的加分，最高加2</w:t>
            </w:r>
            <w:r>
              <w:rPr>
                <w:rFonts w:ascii="宋体" w:hAnsi="宋体" w:cs="宋体"/>
              </w:rPr>
              <w:t>.0</w:t>
            </w:r>
            <w:r>
              <w:rPr>
                <w:rFonts w:hint="eastAsia" w:ascii="宋体" w:hAnsi="宋体" w:cs="宋体"/>
              </w:rPr>
              <w:t>分。</w:t>
            </w:r>
          </w:p>
        </w:tc>
      </w:tr>
      <w:tr w14:paraId="57D8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shd w:val="clear" w:color="auto" w:fill="auto"/>
            <w:vAlign w:val="center"/>
          </w:tcPr>
          <w:p w14:paraId="7689352E">
            <w:pPr>
              <w:jc w:val="center"/>
              <w:rPr>
                <w:rStyle w:val="20"/>
                <w:rFonts w:ascii="宋体" w:hAnsi="宋体" w:eastAsia="宋体"/>
                <w:color w:val="auto"/>
                <w:sz w:val="21"/>
                <w:szCs w:val="21"/>
                <w:shd w:val="clear" w:color="auto" w:fill="auto"/>
              </w:rPr>
            </w:pPr>
          </w:p>
        </w:tc>
        <w:tc>
          <w:tcPr>
            <w:tcW w:w="1293" w:type="dxa"/>
            <w:gridSpan w:val="2"/>
            <w:vMerge w:val="continue"/>
            <w:shd w:val="clear" w:color="auto" w:fill="auto"/>
            <w:vAlign w:val="center"/>
          </w:tcPr>
          <w:p w14:paraId="56443476">
            <w:pPr>
              <w:jc w:val="center"/>
              <w:rPr>
                <w:rStyle w:val="20"/>
                <w:rFonts w:ascii="宋体" w:hAnsi="宋体" w:eastAsia="宋体"/>
                <w:color w:val="auto"/>
                <w:sz w:val="21"/>
                <w:szCs w:val="21"/>
                <w:shd w:val="clear" w:color="auto" w:fill="auto"/>
              </w:rPr>
            </w:pPr>
          </w:p>
        </w:tc>
        <w:tc>
          <w:tcPr>
            <w:tcW w:w="993" w:type="dxa"/>
            <w:vMerge w:val="continue"/>
            <w:shd w:val="clear" w:color="auto" w:fill="auto"/>
            <w:vAlign w:val="center"/>
          </w:tcPr>
          <w:p w14:paraId="70610013">
            <w:pPr>
              <w:jc w:val="center"/>
              <w:rPr>
                <w:rFonts w:ascii="宋体" w:hAnsi="宋体"/>
                <w:kern w:val="20"/>
                <w:szCs w:val="21"/>
                <w:u w:val="single"/>
              </w:rPr>
            </w:pPr>
          </w:p>
        </w:tc>
        <w:tc>
          <w:tcPr>
            <w:tcW w:w="1896" w:type="dxa"/>
            <w:shd w:val="clear" w:color="auto" w:fill="auto"/>
          </w:tcPr>
          <w:p w14:paraId="6635346C">
            <w:pPr>
              <w:rPr>
                <w:rFonts w:ascii="宋体"/>
              </w:rPr>
            </w:pPr>
            <w:r>
              <w:rPr>
                <w:rFonts w:hint="eastAsia" w:ascii="宋体" w:hAnsi="宋体" w:cs="宋体"/>
              </w:rPr>
              <w:t>对招标项目勘察设计的特点及关键技术问题采取的对策措施</w:t>
            </w:r>
          </w:p>
        </w:tc>
        <w:tc>
          <w:tcPr>
            <w:tcW w:w="851" w:type="dxa"/>
            <w:shd w:val="clear" w:color="auto" w:fill="auto"/>
            <w:vAlign w:val="center"/>
          </w:tcPr>
          <w:p w14:paraId="6A8579F2">
            <w:pPr>
              <w:jc w:val="center"/>
              <w:rPr>
                <w:rFonts w:ascii="宋体" w:hAnsi="宋体"/>
                <w:kern w:val="20"/>
                <w:szCs w:val="21"/>
                <w:u w:val="single"/>
              </w:rPr>
            </w:pPr>
            <w:r>
              <w:rPr>
                <w:rFonts w:hint="eastAsia" w:ascii="宋体" w:hAnsi="宋体"/>
                <w:kern w:val="20"/>
                <w:szCs w:val="21"/>
                <w:u w:val="single"/>
              </w:rPr>
              <w:t xml:space="preserve"> 5 </w:t>
            </w:r>
            <w:r>
              <w:rPr>
                <w:rFonts w:hint="eastAsia" w:ascii="宋体" w:hAnsi="宋体"/>
                <w:kern w:val="20"/>
                <w:szCs w:val="21"/>
              </w:rPr>
              <w:t>分</w:t>
            </w:r>
          </w:p>
        </w:tc>
        <w:tc>
          <w:tcPr>
            <w:tcW w:w="3492" w:type="dxa"/>
            <w:shd w:val="clear" w:color="auto" w:fill="auto"/>
            <w:vAlign w:val="center"/>
          </w:tcPr>
          <w:p w14:paraId="08A22670">
            <w:pPr>
              <w:adjustRightInd w:val="0"/>
              <w:textAlignment w:val="baseline"/>
              <w:rPr>
                <w:rFonts w:ascii="宋体"/>
              </w:rPr>
            </w:pPr>
            <w:r>
              <w:rPr>
                <w:rFonts w:hint="eastAsia" w:ascii="宋体" w:hAnsi="宋体" w:cs="宋体"/>
              </w:rPr>
              <w:t>对招标项目勘察设计的特点及关键技术问题采取的对策措施准确得3</w:t>
            </w:r>
            <w:r>
              <w:rPr>
                <w:rFonts w:ascii="宋体" w:hAnsi="宋体" w:cs="宋体"/>
              </w:rPr>
              <w:t>.0</w:t>
            </w:r>
            <w:r>
              <w:rPr>
                <w:rFonts w:hint="eastAsia" w:ascii="宋体" w:hAnsi="宋体" w:cs="宋体"/>
              </w:rPr>
              <w:t>分，非常准确且措施先进、可行的加分，最高加2</w:t>
            </w:r>
            <w:r>
              <w:rPr>
                <w:rFonts w:ascii="宋体" w:hAnsi="宋体" w:cs="宋体"/>
              </w:rPr>
              <w:t>.0</w:t>
            </w:r>
            <w:r>
              <w:rPr>
                <w:rFonts w:hint="eastAsia" w:ascii="宋体" w:hAnsi="宋体" w:cs="宋体"/>
              </w:rPr>
              <w:t>分。</w:t>
            </w:r>
          </w:p>
        </w:tc>
      </w:tr>
      <w:tr w14:paraId="70DE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shd w:val="clear" w:color="auto" w:fill="auto"/>
            <w:vAlign w:val="center"/>
          </w:tcPr>
          <w:p w14:paraId="719ABAAA">
            <w:pPr>
              <w:jc w:val="center"/>
              <w:rPr>
                <w:rFonts w:ascii="宋体" w:hAnsi="宋体"/>
                <w:kern w:val="20"/>
                <w:szCs w:val="21"/>
              </w:rPr>
            </w:pPr>
          </w:p>
        </w:tc>
        <w:tc>
          <w:tcPr>
            <w:tcW w:w="1293" w:type="dxa"/>
            <w:gridSpan w:val="2"/>
            <w:vMerge w:val="continue"/>
            <w:shd w:val="clear" w:color="auto" w:fill="auto"/>
            <w:vAlign w:val="center"/>
          </w:tcPr>
          <w:p w14:paraId="5CA08824">
            <w:pPr>
              <w:jc w:val="center"/>
              <w:rPr>
                <w:rFonts w:ascii="宋体" w:hAnsi="宋体"/>
                <w:kern w:val="20"/>
                <w:szCs w:val="21"/>
              </w:rPr>
            </w:pPr>
          </w:p>
        </w:tc>
        <w:tc>
          <w:tcPr>
            <w:tcW w:w="993" w:type="dxa"/>
            <w:vMerge w:val="continue"/>
            <w:shd w:val="clear" w:color="auto" w:fill="auto"/>
            <w:vAlign w:val="center"/>
          </w:tcPr>
          <w:p w14:paraId="1AE02201">
            <w:pPr>
              <w:jc w:val="center"/>
              <w:rPr>
                <w:rFonts w:ascii="宋体" w:hAnsi="宋体"/>
                <w:kern w:val="20"/>
                <w:szCs w:val="21"/>
              </w:rPr>
            </w:pPr>
          </w:p>
        </w:tc>
        <w:tc>
          <w:tcPr>
            <w:tcW w:w="1896" w:type="dxa"/>
            <w:shd w:val="clear" w:color="auto" w:fill="auto"/>
            <w:vAlign w:val="center"/>
          </w:tcPr>
          <w:p w14:paraId="77701C18">
            <w:pPr>
              <w:rPr>
                <w:rStyle w:val="20"/>
                <w:rFonts w:ascii="宋体" w:hAnsi="宋体" w:eastAsia="宋体"/>
                <w:color w:val="auto"/>
                <w:sz w:val="21"/>
                <w:szCs w:val="21"/>
                <w:shd w:val="clear" w:color="auto" w:fill="auto"/>
              </w:rPr>
            </w:pPr>
            <w:r>
              <w:rPr>
                <w:rStyle w:val="20"/>
                <w:rFonts w:ascii="宋体" w:hAnsi="宋体" w:eastAsia="宋体"/>
                <w:color w:val="auto"/>
                <w:sz w:val="21"/>
                <w:szCs w:val="21"/>
                <w:shd w:val="clear" w:color="auto" w:fill="auto"/>
              </w:rPr>
              <w:t>勘察设计工作量及计划安排</w:t>
            </w:r>
          </w:p>
        </w:tc>
        <w:tc>
          <w:tcPr>
            <w:tcW w:w="851" w:type="dxa"/>
            <w:shd w:val="clear" w:color="auto" w:fill="auto"/>
            <w:vAlign w:val="center"/>
          </w:tcPr>
          <w:p w14:paraId="31FE57BB">
            <w:pPr>
              <w:jc w:val="center"/>
              <w:rPr>
                <w:rFonts w:ascii="宋体" w:hAnsi="宋体"/>
                <w:kern w:val="20"/>
                <w:szCs w:val="21"/>
              </w:rPr>
            </w:pPr>
            <w:r>
              <w:rPr>
                <w:rFonts w:hint="eastAsia" w:ascii="宋体" w:hAnsi="宋体"/>
                <w:kern w:val="20"/>
                <w:szCs w:val="21"/>
                <w:u w:val="single"/>
              </w:rPr>
              <w:t xml:space="preserve"> 5 </w:t>
            </w:r>
            <w:r>
              <w:rPr>
                <w:rFonts w:hint="eastAsia" w:ascii="宋体" w:hAnsi="宋体"/>
                <w:kern w:val="20"/>
                <w:szCs w:val="21"/>
              </w:rPr>
              <w:t>分</w:t>
            </w:r>
          </w:p>
        </w:tc>
        <w:tc>
          <w:tcPr>
            <w:tcW w:w="3492" w:type="dxa"/>
            <w:shd w:val="clear" w:color="auto" w:fill="auto"/>
            <w:vAlign w:val="center"/>
          </w:tcPr>
          <w:p w14:paraId="44EA436D">
            <w:pPr>
              <w:adjustRightInd w:val="0"/>
              <w:textAlignment w:val="baseline"/>
              <w:rPr>
                <w:rFonts w:ascii="宋体"/>
              </w:rPr>
            </w:pPr>
            <w:r>
              <w:rPr>
                <w:rFonts w:hint="eastAsia" w:ascii="宋体" w:hAnsi="宋体" w:cs="宋体"/>
              </w:rPr>
              <w:t>勘察设计工作量估算准确、计划安排可行得</w:t>
            </w:r>
            <w:r>
              <w:rPr>
                <w:rFonts w:ascii="宋体" w:hAnsi="宋体" w:cs="宋体"/>
              </w:rPr>
              <w:t>3.0</w:t>
            </w:r>
            <w:r>
              <w:rPr>
                <w:rFonts w:hint="eastAsia" w:ascii="宋体" w:hAnsi="宋体" w:cs="宋体"/>
              </w:rPr>
              <w:t>分，勘察设计工作量估算准确、计划安排合理加分，最高加</w:t>
            </w:r>
            <w:r>
              <w:rPr>
                <w:rFonts w:ascii="宋体" w:hAnsi="宋体" w:cs="宋体"/>
              </w:rPr>
              <w:t>2.0</w:t>
            </w:r>
            <w:r>
              <w:rPr>
                <w:rFonts w:hint="eastAsia" w:ascii="宋体" w:hAnsi="宋体" w:cs="宋体"/>
              </w:rPr>
              <w:t>分。</w:t>
            </w:r>
          </w:p>
        </w:tc>
      </w:tr>
      <w:tr w14:paraId="4615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shd w:val="clear" w:color="auto" w:fill="auto"/>
            <w:vAlign w:val="center"/>
          </w:tcPr>
          <w:p w14:paraId="1AFBA72C">
            <w:pPr>
              <w:jc w:val="center"/>
              <w:rPr>
                <w:rFonts w:ascii="宋体" w:hAnsi="宋体"/>
                <w:kern w:val="20"/>
                <w:szCs w:val="21"/>
              </w:rPr>
            </w:pPr>
          </w:p>
        </w:tc>
        <w:tc>
          <w:tcPr>
            <w:tcW w:w="1293" w:type="dxa"/>
            <w:gridSpan w:val="2"/>
            <w:vMerge w:val="continue"/>
            <w:shd w:val="clear" w:color="auto" w:fill="auto"/>
            <w:vAlign w:val="center"/>
          </w:tcPr>
          <w:p w14:paraId="128413E5">
            <w:pPr>
              <w:jc w:val="center"/>
              <w:rPr>
                <w:rFonts w:ascii="宋体" w:hAnsi="宋体"/>
                <w:kern w:val="20"/>
                <w:szCs w:val="21"/>
              </w:rPr>
            </w:pPr>
          </w:p>
        </w:tc>
        <w:tc>
          <w:tcPr>
            <w:tcW w:w="993" w:type="dxa"/>
            <w:vMerge w:val="continue"/>
            <w:shd w:val="clear" w:color="auto" w:fill="auto"/>
            <w:vAlign w:val="center"/>
          </w:tcPr>
          <w:p w14:paraId="4B93417B">
            <w:pPr>
              <w:jc w:val="center"/>
              <w:rPr>
                <w:rFonts w:ascii="宋体" w:hAnsi="宋体"/>
                <w:kern w:val="20"/>
                <w:szCs w:val="21"/>
              </w:rPr>
            </w:pPr>
          </w:p>
        </w:tc>
        <w:tc>
          <w:tcPr>
            <w:tcW w:w="1896" w:type="dxa"/>
            <w:shd w:val="clear" w:color="auto" w:fill="auto"/>
          </w:tcPr>
          <w:p w14:paraId="184F6799">
            <w:pPr>
              <w:rPr>
                <w:rFonts w:ascii="宋体" w:hAnsi="宋体"/>
                <w:kern w:val="20"/>
                <w:szCs w:val="21"/>
              </w:rPr>
            </w:pPr>
            <w:r>
              <w:rPr>
                <w:rStyle w:val="20"/>
                <w:rFonts w:ascii="宋体" w:hAnsi="宋体" w:eastAsia="宋体"/>
                <w:color w:val="auto"/>
                <w:sz w:val="21"/>
                <w:szCs w:val="21"/>
                <w:shd w:val="clear" w:color="auto" w:fill="auto"/>
              </w:rPr>
              <w:t>勘察设计的质量保证措施、进度保证措施、安全保证措施</w:t>
            </w:r>
          </w:p>
        </w:tc>
        <w:tc>
          <w:tcPr>
            <w:tcW w:w="851" w:type="dxa"/>
            <w:shd w:val="clear" w:color="auto" w:fill="auto"/>
            <w:vAlign w:val="center"/>
          </w:tcPr>
          <w:p w14:paraId="2FB945EF">
            <w:pPr>
              <w:jc w:val="center"/>
              <w:rPr>
                <w:rFonts w:ascii="宋体" w:hAnsi="宋体"/>
                <w:kern w:val="20"/>
                <w:szCs w:val="21"/>
              </w:rPr>
            </w:pPr>
            <w:r>
              <w:rPr>
                <w:rFonts w:hint="eastAsia" w:ascii="宋体" w:hAnsi="宋体"/>
                <w:kern w:val="20"/>
                <w:szCs w:val="21"/>
                <w:u w:val="single"/>
              </w:rPr>
              <w:t xml:space="preserve"> 5 </w:t>
            </w:r>
            <w:r>
              <w:rPr>
                <w:rFonts w:hint="eastAsia" w:ascii="宋体" w:hAnsi="宋体"/>
                <w:kern w:val="20"/>
                <w:szCs w:val="21"/>
              </w:rPr>
              <w:t>分</w:t>
            </w:r>
          </w:p>
        </w:tc>
        <w:tc>
          <w:tcPr>
            <w:tcW w:w="3492" w:type="dxa"/>
            <w:shd w:val="clear" w:color="auto" w:fill="auto"/>
            <w:vAlign w:val="center"/>
          </w:tcPr>
          <w:p w14:paraId="6D050382">
            <w:pPr>
              <w:adjustRightInd w:val="0"/>
              <w:textAlignment w:val="baseline"/>
              <w:rPr>
                <w:rFonts w:ascii="宋体"/>
              </w:rPr>
            </w:pPr>
            <w:r>
              <w:rPr>
                <w:rFonts w:hint="eastAsia" w:ascii="宋体" w:hAnsi="宋体" w:cs="宋体"/>
              </w:rPr>
              <w:t>勘察设计的质量、进度、安全保证措施可行得</w:t>
            </w:r>
            <w:r>
              <w:rPr>
                <w:rFonts w:ascii="宋体" w:hAnsi="宋体" w:cs="宋体"/>
              </w:rPr>
              <w:t>3.0</w:t>
            </w:r>
            <w:r>
              <w:rPr>
                <w:rFonts w:hint="eastAsia" w:ascii="宋体" w:hAnsi="宋体" w:cs="宋体"/>
              </w:rPr>
              <w:t>分，措施可行并能保证勘察设计质量、进度及安全的加分，最高加</w:t>
            </w:r>
            <w:r>
              <w:rPr>
                <w:rFonts w:ascii="宋体" w:hAnsi="宋体" w:cs="宋体"/>
              </w:rPr>
              <w:t>2.0</w:t>
            </w:r>
            <w:r>
              <w:rPr>
                <w:rFonts w:hint="eastAsia" w:ascii="宋体" w:hAnsi="宋体" w:cs="宋体"/>
              </w:rPr>
              <w:t>分。</w:t>
            </w:r>
          </w:p>
        </w:tc>
      </w:tr>
      <w:tr w14:paraId="56B0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shd w:val="clear" w:color="auto" w:fill="auto"/>
            <w:vAlign w:val="center"/>
          </w:tcPr>
          <w:p w14:paraId="2B27B318">
            <w:pPr>
              <w:jc w:val="center"/>
              <w:rPr>
                <w:rFonts w:ascii="宋体" w:hAnsi="宋体"/>
                <w:kern w:val="20"/>
                <w:szCs w:val="21"/>
              </w:rPr>
            </w:pPr>
          </w:p>
        </w:tc>
        <w:tc>
          <w:tcPr>
            <w:tcW w:w="1293" w:type="dxa"/>
            <w:gridSpan w:val="2"/>
            <w:vMerge w:val="continue"/>
            <w:shd w:val="clear" w:color="auto" w:fill="auto"/>
            <w:vAlign w:val="center"/>
          </w:tcPr>
          <w:p w14:paraId="700275DD">
            <w:pPr>
              <w:jc w:val="center"/>
              <w:rPr>
                <w:rFonts w:ascii="宋体" w:hAnsi="宋体"/>
                <w:kern w:val="20"/>
                <w:szCs w:val="21"/>
              </w:rPr>
            </w:pPr>
          </w:p>
        </w:tc>
        <w:tc>
          <w:tcPr>
            <w:tcW w:w="993" w:type="dxa"/>
            <w:vMerge w:val="continue"/>
            <w:shd w:val="clear" w:color="auto" w:fill="auto"/>
            <w:vAlign w:val="center"/>
          </w:tcPr>
          <w:p w14:paraId="21F66376">
            <w:pPr>
              <w:jc w:val="center"/>
              <w:rPr>
                <w:rFonts w:ascii="宋体" w:hAnsi="宋体"/>
                <w:kern w:val="20"/>
                <w:szCs w:val="21"/>
              </w:rPr>
            </w:pPr>
          </w:p>
        </w:tc>
        <w:tc>
          <w:tcPr>
            <w:tcW w:w="1896" w:type="dxa"/>
            <w:shd w:val="clear" w:color="auto" w:fill="auto"/>
            <w:vAlign w:val="center"/>
          </w:tcPr>
          <w:p w14:paraId="17512BE3">
            <w:pPr>
              <w:jc w:val="left"/>
              <w:rPr>
                <w:rFonts w:ascii="宋体" w:hAnsi="宋体"/>
                <w:kern w:val="20"/>
                <w:szCs w:val="21"/>
              </w:rPr>
            </w:pPr>
            <w:r>
              <w:rPr>
                <w:rStyle w:val="20"/>
                <w:rFonts w:ascii="宋体" w:hAnsi="宋体" w:eastAsia="宋体"/>
                <w:color w:val="auto"/>
                <w:sz w:val="21"/>
                <w:szCs w:val="21"/>
                <w:shd w:val="clear" w:color="auto" w:fill="auto"/>
              </w:rPr>
              <w:t>后续服务的安排及保证措施</w:t>
            </w:r>
          </w:p>
        </w:tc>
        <w:tc>
          <w:tcPr>
            <w:tcW w:w="851" w:type="dxa"/>
            <w:shd w:val="clear" w:color="auto" w:fill="auto"/>
            <w:vAlign w:val="center"/>
          </w:tcPr>
          <w:p w14:paraId="10ED7AE5">
            <w:pPr>
              <w:jc w:val="center"/>
              <w:rPr>
                <w:rFonts w:ascii="宋体" w:hAnsi="宋体"/>
                <w:kern w:val="20"/>
                <w:szCs w:val="21"/>
              </w:rPr>
            </w:pPr>
            <w:r>
              <w:rPr>
                <w:rFonts w:hint="eastAsia" w:ascii="宋体" w:hAnsi="宋体"/>
                <w:kern w:val="20"/>
                <w:szCs w:val="21"/>
                <w:u w:val="single"/>
              </w:rPr>
              <w:t xml:space="preserve"> 5 </w:t>
            </w:r>
            <w:r>
              <w:rPr>
                <w:rFonts w:hint="eastAsia" w:ascii="宋体" w:hAnsi="宋体"/>
                <w:kern w:val="20"/>
                <w:szCs w:val="21"/>
              </w:rPr>
              <w:t>分</w:t>
            </w:r>
          </w:p>
        </w:tc>
        <w:tc>
          <w:tcPr>
            <w:tcW w:w="3492" w:type="dxa"/>
            <w:shd w:val="clear" w:color="auto" w:fill="auto"/>
            <w:vAlign w:val="center"/>
          </w:tcPr>
          <w:p w14:paraId="1BCCABA5">
            <w:pPr>
              <w:jc w:val="left"/>
              <w:rPr>
                <w:rFonts w:ascii="宋体" w:hAnsi="宋体"/>
                <w:kern w:val="20"/>
                <w:szCs w:val="21"/>
              </w:rPr>
            </w:pPr>
            <w:r>
              <w:rPr>
                <w:rFonts w:hint="eastAsia" w:ascii="宋体" w:hAnsi="宋体" w:cs="宋体"/>
              </w:rPr>
              <w:t>后续服务的安排及保证措施可行得</w:t>
            </w:r>
            <w:r>
              <w:rPr>
                <w:rFonts w:ascii="宋体" w:hAnsi="宋体" w:cs="宋体"/>
              </w:rPr>
              <w:t>3.0</w:t>
            </w:r>
            <w:r>
              <w:rPr>
                <w:rFonts w:hint="eastAsia" w:ascii="宋体" w:hAnsi="宋体" w:cs="宋体"/>
              </w:rPr>
              <w:t>分，可行且提出了具体的人员、设备安排，保证措施有力的加分，最高加</w:t>
            </w:r>
            <w:r>
              <w:rPr>
                <w:rFonts w:ascii="宋体" w:hAnsi="宋体" w:cs="宋体"/>
              </w:rPr>
              <w:t>2.0</w:t>
            </w:r>
            <w:r>
              <w:rPr>
                <w:rFonts w:hint="eastAsia" w:ascii="宋体" w:hAnsi="宋体" w:cs="宋体"/>
              </w:rPr>
              <w:t>分。</w:t>
            </w:r>
          </w:p>
        </w:tc>
      </w:tr>
      <w:tr w14:paraId="36FED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shd w:val="clear" w:color="auto" w:fill="auto"/>
            <w:vAlign w:val="center"/>
          </w:tcPr>
          <w:p w14:paraId="37902FFD">
            <w:pPr>
              <w:jc w:val="center"/>
              <w:rPr>
                <w:rFonts w:ascii="宋体" w:hAnsi="宋体"/>
                <w:kern w:val="20"/>
                <w:szCs w:val="21"/>
              </w:rPr>
            </w:pPr>
            <w:r>
              <w:rPr>
                <w:rStyle w:val="20"/>
                <w:rFonts w:ascii="宋体" w:hAnsi="宋体" w:eastAsia="宋体"/>
                <w:color w:val="auto"/>
                <w:sz w:val="21"/>
                <w:szCs w:val="21"/>
                <w:shd w:val="clear" w:color="auto" w:fill="auto"/>
              </w:rPr>
              <w:t>2.2.4 （2）</w:t>
            </w:r>
          </w:p>
        </w:tc>
        <w:tc>
          <w:tcPr>
            <w:tcW w:w="1293" w:type="dxa"/>
            <w:gridSpan w:val="2"/>
            <w:shd w:val="clear" w:color="auto" w:fill="auto"/>
            <w:vAlign w:val="center"/>
          </w:tcPr>
          <w:p w14:paraId="010A024D">
            <w:pPr>
              <w:jc w:val="center"/>
              <w:rPr>
                <w:rFonts w:ascii="宋体" w:hAnsi="宋体"/>
                <w:kern w:val="20"/>
                <w:szCs w:val="21"/>
              </w:rPr>
            </w:pPr>
            <w:r>
              <w:rPr>
                <w:rStyle w:val="20"/>
                <w:rFonts w:ascii="宋体" w:hAnsi="宋体" w:eastAsia="宋体"/>
                <w:color w:val="auto"/>
                <w:sz w:val="21"/>
                <w:szCs w:val="21"/>
                <w:shd w:val="clear" w:color="auto" w:fill="auto"/>
              </w:rPr>
              <w:t>主要人员</w:t>
            </w:r>
          </w:p>
        </w:tc>
        <w:tc>
          <w:tcPr>
            <w:tcW w:w="993" w:type="dxa"/>
            <w:shd w:val="clear" w:color="auto" w:fill="auto"/>
            <w:vAlign w:val="center"/>
          </w:tcPr>
          <w:p w14:paraId="626460D6">
            <w:pPr>
              <w:jc w:val="center"/>
              <w:rPr>
                <w:rFonts w:ascii="宋体" w:hAnsi="宋体"/>
                <w:kern w:val="20"/>
                <w:szCs w:val="21"/>
              </w:rPr>
            </w:pPr>
            <w:r>
              <w:rPr>
                <w:rFonts w:hint="eastAsia" w:ascii="宋体" w:hAnsi="宋体"/>
                <w:kern w:val="20"/>
                <w:szCs w:val="21"/>
                <w:u w:val="single"/>
              </w:rPr>
              <w:t xml:space="preserve"> 25 </w:t>
            </w:r>
            <w:r>
              <w:rPr>
                <w:rFonts w:hint="eastAsia" w:ascii="宋体" w:hAnsi="宋体"/>
                <w:kern w:val="20"/>
                <w:szCs w:val="21"/>
              </w:rPr>
              <w:t>分</w:t>
            </w:r>
          </w:p>
        </w:tc>
        <w:tc>
          <w:tcPr>
            <w:tcW w:w="1896" w:type="dxa"/>
            <w:shd w:val="clear" w:color="auto" w:fill="auto"/>
            <w:vAlign w:val="center"/>
          </w:tcPr>
          <w:p w14:paraId="7A52EBD9">
            <w:pPr>
              <w:rPr>
                <w:rFonts w:ascii="宋体" w:hAnsi="宋体"/>
                <w:kern w:val="20"/>
                <w:szCs w:val="21"/>
              </w:rPr>
            </w:pPr>
            <w:r>
              <w:rPr>
                <w:rStyle w:val="20"/>
                <w:rFonts w:ascii="宋体" w:hAnsi="宋体" w:eastAsia="宋体"/>
                <w:color w:val="auto"/>
                <w:sz w:val="21"/>
                <w:szCs w:val="21"/>
                <w:shd w:val="clear" w:color="auto" w:fill="auto"/>
              </w:rPr>
              <w:t>项目负责人任职资格与业绩</w:t>
            </w:r>
          </w:p>
        </w:tc>
        <w:tc>
          <w:tcPr>
            <w:tcW w:w="851" w:type="dxa"/>
            <w:shd w:val="clear" w:color="auto" w:fill="auto"/>
            <w:vAlign w:val="center"/>
          </w:tcPr>
          <w:p w14:paraId="49F1BCB2">
            <w:pPr>
              <w:jc w:val="center"/>
              <w:rPr>
                <w:rFonts w:ascii="宋体" w:hAnsi="宋体"/>
                <w:kern w:val="20"/>
                <w:szCs w:val="21"/>
              </w:rPr>
            </w:pPr>
            <w:r>
              <w:rPr>
                <w:rFonts w:hint="eastAsia" w:ascii="宋体" w:hAnsi="宋体"/>
                <w:kern w:val="20"/>
                <w:szCs w:val="21"/>
                <w:u w:val="single"/>
              </w:rPr>
              <w:t xml:space="preserve"> 25 </w:t>
            </w:r>
            <w:r>
              <w:rPr>
                <w:rFonts w:hint="eastAsia" w:ascii="宋体" w:hAnsi="宋体"/>
                <w:kern w:val="20"/>
                <w:szCs w:val="21"/>
              </w:rPr>
              <w:t>分</w:t>
            </w:r>
          </w:p>
        </w:tc>
        <w:tc>
          <w:tcPr>
            <w:tcW w:w="3492" w:type="dxa"/>
            <w:shd w:val="clear" w:color="auto" w:fill="auto"/>
            <w:vAlign w:val="center"/>
          </w:tcPr>
          <w:p w14:paraId="0178B36A">
            <w:pPr>
              <w:jc w:val="left"/>
              <w:rPr>
                <w:rFonts w:ascii="宋体" w:hAnsi="宋体"/>
                <w:kern w:val="20"/>
                <w:szCs w:val="21"/>
              </w:rPr>
            </w:pPr>
            <w:r>
              <w:rPr>
                <w:rFonts w:hint="eastAsia" w:ascii="宋体" w:hAnsi="宋体" w:cs="宋体"/>
              </w:rPr>
              <w:t>满足最低资格条件</w:t>
            </w:r>
            <w:r>
              <w:rPr>
                <w:rFonts w:hint="eastAsia" w:ascii="宋体" w:hAnsi="宋体" w:cs="宋体"/>
                <w:lang w:val="en-US" w:eastAsia="zh-CN"/>
              </w:rPr>
              <w:t>具有1项</w:t>
            </w:r>
            <w:r>
              <w:rPr>
                <w:rFonts w:hint="eastAsia"/>
              </w:rPr>
              <w:t>以</w:t>
            </w:r>
            <w:r>
              <w:t>项目负责人身份完成的</w:t>
            </w:r>
            <w:r>
              <w:rPr>
                <w:rFonts w:hint="eastAsia" w:ascii="宋体" w:hAnsi="宋体" w:cs="宋体"/>
                <w:lang w:val="en-US" w:eastAsia="zh-CN"/>
              </w:rPr>
              <w:t>二级及以上</w:t>
            </w:r>
            <w:r>
              <w:t>公路</w:t>
            </w:r>
            <w:r>
              <w:rPr>
                <w:rFonts w:hint="eastAsia"/>
              </w:rPr>
              <w:t>工程勘察</w:t>
            </w:r>
            <w:r>
              <w:rPr>
                <w:rFonts w:hint="eastAsia"/>
                <w:lang w:val="en-US" w:eastAsia="zh-CN"/>
              </w:rPr>
              <w:t>和</w:t>
            </w:r>
            <w:r>
              <w:rPr>
                <w:rFonts w:hint="eastAsia"/>
              </w:rPr>
              <w:t>设计业绩</w:t>
            </w:r>
            <w:r>
              <w:rPr>
                <w:rFonts w:hint="eastAsia" w:ascii="宋体" w:hAnsi="宋体" w:cs="宋体"/>
              </w:rPr>
              <w:t>得15</w:t>
            </w:r>
            <w:r>
              <w:rPr>
                <w:rFonts w:ascii="宋体" w:hAnsi="宋体" w:cs="宋体"/>
              </w:rPr>
              <w:t>.0</w:t>
            </w:r>
            <w:r>
              <w:rPr>
                <w:rFonts w:hint="eastAsia" w:ascii="宋体" w:hAnsi="宋体" w:cs="宋体"/>
              </w:rPr>
              <w:t>分</w:t>
            </w:r>
            <w:r>
              <w:rPr>
                <w:rFonts w:ascii="宋体" w:hAnsi="宋体" w:cs="宋体"/>
              </w:rPr>
              <w:t>,</w:t>
            </w:r>
            <w:r>
              <w:rPr>
                <w:rFonts w:hint="eastAsia" w:ascii="宋体" w:hAnsi="宋体" w:cs="宋体"/>
                <w:lang w:val="en-US" w:eastAsia="zh-CN"/>
              </w:rPr>
              <w:t>具有2项</w:t>
            </w:r>
            <w:r>
              <w:rPr>
                <w:rFonts w:hint="eastAsia"/>
              </w:rPr>
              <w:t>以</w:t>
            </w:r>
            <w:r>
              <w:t>项目负责人身份完成的</w:t>
            </w:r>
            <w:r>
              <w:rPr>
                <w:rFonts w:hint="eastAsia" w:ascii="宋体" w:hAnsi="宋体" w:cs="宋体"/>
                <w:lang w:val="en-US" w:eastAsia="zh-CN"/>
              </w:rPr>
              <w:t>二级及以上</w:t>
            </w:r>
            <w:r>
              <w:t>公路</w:t>
            </w:r>
            <w:r>
              <w:rPr>
                <w:rFonts w:hint="eastAsia"/>
              </w:rPr>
              <w:t>工程勘察</w:t>
            </w:r>
            <w:r>
              <w:rPr>
                <w:rFonts w:hint="eastAsia"/>
                <w:lang w:val="en-US" w:eastAsia="zh-CN"/>
              </w:rPr>
              <w:t>和</w:t>
            </w:r>
            <w:r>
              <w:rPr>
                <w:rFonts w:hint="eastAsia"/>
              </w:rPr>
              <w:t>设计业绩</w:t>
            </w:r>
            <w:r>
              <w:rPr>
                <w:rFonts w:hint="eastAsia" w:ascii="宋体" w:hAnsi="宋体" w:cs="宋体"/>
              </w:rPr>
              <w:t>得</w:t>
            </w:r>
            <w:r>
              <w:rPr>
                <w:rFonts w:hint="eastAsia" w:ascii="宋体" w:hAnsi="宋体" w:cs="宋体"/>
                <w:lang w:val="en-US" w:eastAsia="zh-CN"/>
              </w:rPr>
              <w:t>2</w:t>
            </w:r>
            <w:r>
              <w:rPr>
                <w:rFonts w:hint="eastAsia" w:ascii="宋体" w:hAnsi="宋体" w:cs="宋体"/>
              </w:rPr>
              <w:t>5</w:t>
            </w:r>
            <w:r>
              <w:rPr>
                <w:rFonts w:ascii="宋体" w:hAnsi="宋体" w:cs="宋体"/>
              </w:rPr>
              <w:t>.0</w:t>
            </w:r>
            <w:r>
              <w:rPr>
                <w:rFonts w:hint="eastAsia" w:ascii="宋体" w:hAnsi="宋体" w:cs="宋体"/>
              </w:rPr>
              <w:t>分。</w:t>
            </w:r>
          </w:p>
        </w:tc>
      </w:tr>
      <w:tr w14:paraId="3942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shd w:val="clear" w:color="auto" w:fill="auto"/>
            <w:vAlign w:val="center"/>
          </w:tcPr>
          <w:p w14:paraId="18979478">
            <w:pPr>
              <w:jc w:val="center"/>
              <w:rPr>
                <w:rStyle w:val="20"/>
                <w:rFonts w:ascii="宋体" w:hAnsi="宋体" w:eastAsia="宋体"/>
                <w:color w:val="auto"/>
                <w:sz w:val="21"/>
                <w:szCs w:val="21"/>
                <w:shd w:val="clear" w:color="auto" w:fill="auto"/>
              </w:rPr>
            </w:pPr>
            <w:r>
              <w:rPr>
                <w:rStyle w:val="20"/>
                <w:rFonts w:ascii="宋体" w:hAnsi="宋体" w:eastAsia="宋体"/>
                <w:color w:val="auto"/>
                <w:sz w:val="21"/>
                <w:szCs w:val="21"/>
                <w:shd w:val="clear" w:color="auto" w:fill="auto"/>
              </w:rPr>
              <w:t>2.2.4 （3）</w:t>
            </w:r>
          </w:p>
        </w:tc>
        <w:tc>
          <w:tcPr>
            <w:tcW w:w="1293" w:type="dxa"/>
            <w:gridSpan w:val="2"/>
            <w:shd w:val="clear" w:color="auto" w:fill="auto"/>
            <w:vAlign w:val="center"/>
          </w:tcPr>
          <w:p w14:paraId="33B2DEF0">
            <w:pPr>
              <w:jc w:val="center"/>
              <w:rPr>
                <w:rStyle w:val="20"/>
                <w:rFonts w:ascii="宋体" w:hAnsi="宋体" w:eastAsia="宋体"/>
                <w:color w:val="auto"/>
                <w:sz w:val="21"/>
                <w:szCs w:val="21"/>
                <w:shd w:val="clear" w:color="auto" w:fill="auto"/>
              </w:rPr>
            </w:pPr>
            <w:r>
              <w:rPr>
                <w:rStyle w:val="20"/>
                <w:rFonts w:ascii="宋体" w:hAnsi="宋体" w:eastAsia="宋体"/>
                <w:color w:val="auto"/>
                <w:sz w:val="21"/>
                <w:szCs w:val="21"/>
                <w:shd w:val="clear" w:color="auto" w:fill="auto"/>
              </w:rPr>
              <w:t>评标价</w:t>
            </w:r>
          </w:p>
        </w:tc>
        <w:tc>
          <w:tcPr>
            <w:tcW w:w="993" w:type="dxa"/>
            <w:shd w:val="clear" w:color="auto" w:fill="auto"/>
            <w:vAlign w:val="center"/>
          </w:tcPr>
          <w:p w14:paraId="63928D66">
            <w:pPr>
              <w:jc w:val="center"/>
              <w:rPr>
                <w:rFonts w:hint="eastAsia" w:ascii="宋体" w:hAnsi="宋体"/>
                <w:kern w:val="20"/>
                <w:szCs w:val="21"/>
                <w:u w:val="single"/>
              </w:rPr>
            </w:pPr>
            <w:r>
              <w:rPr>
                <w:rFonts w:hint="eastAsia" w:ascii="宋体" w:hAnsi="宋体"/>
                <w:kern w:val="20"/>
                <w:szCs w:val="21"/>
                <w:u w:val="single"/>
              </w:rPr>
              <w:t xml:space="preserve"> 10 </w:t>
            </w:r>
            <w:r>
              <w:rPr>
                <w:rFonts w:hint="eastAsia" w:ascii="宋体" w:hAnsi="宋体"/>
                <w:kern w:val="20"/>
                <w:szCs w:val="21"/>
              </w:rPr>
              <w:t>分</w:t>
            </w:r>
          </w:p>
        </w:tc>
        <w:tc>
          <w:tcPr>
            <w:tcW w:w="6239" w:type="dxa"/>
            <w:gridSpan w:val="3"/>
            <w:shd w:val="clear" w:color="auto" w:fill="auto"/>
            <w:vAlign w:val="top"/>
          </w:tcPr>
          <w:p w14:paraId="48D53761">
            <w:pPr>
              <w:adjustRightInd w:val="0"/>
              <w:spacing w:line="360" w:lineRule="auto"/>
              <w:ind w:firstLine="420" w:firstLineChars="200"/>
              <w:textAlignment w:val="baseline"/>
              <w:rPr>
                <w:rFonts w:ascii="宋体"/>
              </w:rPr>
            </w:pPr>
            <w:r>
              <w:rPr>
                <w:rFonts w:hint="eastAsia" w:ascii="宋体" w:hAnsi="宋体" w:cs="宋体"/>
              </w:rPr>
              <w:t>投标价得分计算公式示例：</w:t>
            </w:r>
          </w:p>
          <w:p w14:paraId="37FEBE23">
            <w:pPr>
              <w:adjustRightInd w:val="0"/>
              <w:spacing w:line="360" w:lineRule="auto"/>
              <w:ind w:firstLine="420" w:firstLineChars="200"/>
              <w:textAlignment w:val="baseline"/>
              <w:rPr>
                <w:rFonts w:ascii="宋体"/>
              </w:rPr>
            </w:pPr>
            <w:r>
              <w:rPr>
                <w:rFonts w:hint="eastAsia" w:ascii="宋体" w:hAnsi="宋体" w:cs="宋体"/>
              </w:rPr>
              <w:t>（</w:t>
            </w:r>
            <w:r>
              <w:rPr>
                <w:rFonts w:ascii="宋体" w:hAnsi="宋体" w:cs="宋体"/>
              </w:rPr>
              <w:t>1</w:t>
            </w:r>
            <w:r>
              <w:rPr>
                <w:rFonts w:hint="eastAsia" w:ascii="宋体" w:hAnsi="宋体" w:cs="宋体"/>
              </w:rPr>
              <w:t>）如果投标人的</w:t>
            </w:r>
            <w:r>
              <w:rPr>
                <w:rStyle w:val="20"/>
                <w:rFonts w:ascii="宋体" w:hAnsi="宋体" w:eastAsia="宋体"/>
                <w:color w:val="auto"/>
                <w:sz w:val="21"/>
                <w:szCs w:val="21"/>
                <w:shd w:val="clear" w:color="auto" w:fill="auto"/>
              </w:rPr>
              <w:t>评标价</w:t>
            </w:r>
            <w:r>
              <w:rPr>
                <w:rFonts w:hint="eastAsia" w:ascii="宋体" w:hAnsi="宋体" w:cs="宋体"/>
              </w:rPr>
              <w:t>＞评标基准价，则</w:t>
            </w:r>
            <w:r>
              <w:rPr>
                <w:rStyle w:val="20"/>
                <w:rFonts w:ascii="宋体" w:hAnsi="宋体" w:eastAsia="宋体"/>
                <w:color w:val="auto"/>
                <w:sz w:val="21"/>
                <w:szCs w:val="21"/>
                <w:shd w:val="clear" w:color="auto" w:fill="auto"/>
              </w:rPr>
              <w:t>评标价</w:t>
            </w:r>
            <w:r>
              <w:rPr>
                <w:rFonts w:hint="eastAsia" w:ascii="宋体" w:hAnsi="宋体" w:cs="宋体"/>
              </w:rPr>
              <w:t>得分</w:t>
            </w:r>
            <w:r>
              <w:rPr>
                <w:rFonts w:ascii="宋体" w:hAnsi="宋体" w:cs="宋体"/>
              </w:rPr>
              <w:t>=</w:t>
            </w:r>
            <w:r>
              <w:rPr>
                <w:rFonts w:ascii="宋体" w:hAnsi="宋体" w:cs="宋体"/>
                <w:i/>
                <w:iCs/>
              </w:rPr>
              <w:t>F</w:t>
            </w:r>
            <w:r>
              <w:rPr>
                <w:rFonts w:ascii="宋体" w:cs="宋体"/>
              </w:rPr>
              <w:t>-偏差率</w:t>
            </w:r>
            <w:r>
              <w:rPr>
                <w:rFonts w:hint="eastAsia" w:ascii="宋体" w:hAnsi="宋体" w:cs="宋体"/>
              </w:rPr>
              <w:t>×</w:t>
            </w:r>
            <w:r>
              <w:rPr>
                <w:rFonts w:ascii="宋体" w:hAnsi="宋体" w:cs="宋体"/>
              </w:rPr>
              <w:t>100</w:t>
            </w:r>
            <w:r>
              <w:rPr>
                <w:rFonts w:hint="eastAsia" w:ascii="宋体" w:hAnsi="宋体" w:cs="宋体"/>
              </w:rPr>
              <w:t>×</w:t>
            </w:r>
            <w:r>
              <w:rPr>
                <w:rFonts w:ascii="宋体" w:hAnsi="宋体" w:cs="宋体"/>
                <w:i/>
                <w:iCs/>
              </w:rPr>
              <w:t>E</w:t>
            </w:r>
            <w:r>
              <w:rPr>
                <w:rFonts w:ascii="宋体" w:hAnsi="宋体" w:cs="宋体"/>
                <w:vertAlign w:val="subscript"/>
              </w:rPr>
              <w:t>1</w:t>
            </w:r>
            <w:r>
              <w:rPr>
                <w:rFonts w:hint="eastAsia" w:ascii="宋体" w:hAnsi="宋体" w:cs="宋体"/>
              </w:rPr>
              <w:t>；</w:t>
            </w:r>
          </w:p>
          <w:p w14:paraId="5993A2D7">
            <w:pPr>
              <w:adjustRightInd w:val="0"/>
              <w:spacing w:line="360" w:lineRule="auto"/>
              <w:ind w:firstLine="420" w:firstLineChars="200"/>
              <w:textAlignment w:val="baseline"/>
              <w:rPr>
                <w:rFonts w:ascii="宋体"/>
              </w:rPr>
            </w:pPr>
            <w:r>
              <w:rPr>
                <w:rFonts w:hint="eastAsia" w:ascii="宋体" w:hAnsi="宋体" w:cs="宋体"/>
              </w:rPr>
              <w:t>（</w:t>
            </w:r>
            <w:r>
              <w:rPr>
                <w:rFonts w:ascii="宋体" w:hAnsi="宋体" w:cs="宋体"/>
              </w:rPr>
              <w:t>2</w:t>
            </w:r>
            <w:r>
              <w:rPr>
                <w:rFonts w:hint="eastAsia" w:ascii="宋体" w:hAnsi="宋体" w:cs="宋体"/>
              </w:rPr>
              <w:t>）如果投标人的</w:t>
            </w:r>
            <w:r>
              <w:rPr>
                <w:rStyle w:val="20"/>
                <w:rFonts w:ascii="宋体" w:hAnsi="宋体" w:eastAsia="宋体"/>
                <w:color w:val="auto"/>
                <w:sz w:val="21"/>
                <w:szCs w:val="21"/>
                <w:shd w:val="clear" w:color="auto" w:fill="auto"/>
              </w:rPr>
              <w:t>评标价</w:t>
            </w:r>
            <w:r>
              <w:rPr>
                <w:rFonts w:hint="eastAsia" w:ascii="宋体" w:hAnsi="宋体" w:cs="宋体"/>
              </w:rPr>
              <w:t>≤评标基准价，则</w:t>
            </w:r>
            <w:r>
              <w:rPr>
                <w:rStyle w:val="20"/>
                <w:rFonts w:ascii="宋体" w:hAnsi="宋体" w:eastAsia="宋体"/>
                <w:color w:val="auto"/>
                <w:sz w:val="21"/>
                <w:szCs w:val="21"/>
                <w:shd w:val="clear" w:color="auto" w:fill="auto"/>
              </w:rPr>
              <w:t>评标价</w:t>
            </w:r>
            <w:r>
              <w:rPr>
                <w:rFonts w:hint="eastAsia" w:ascii="宋体" w:hAnsi="宋体" w:cs="宋体"/>
              </w:rPr>
              <w:t>得分</w:t>
            </w:r>
            <w:r>
              <w:rPr>
                <w:rFonts w:ascii="宋体" w:hAnsi="宋体" w:cs="宋体"/>
              </w:rPr>
              <w:t>=</w:t>
            </w:r>
            <w:r>
              <w:rPr>
                <w:rFonts w:ascii="宋体" w:hAnsi="宋体" w:cs="宋体"/>
                <w:i/>
                <w:iCs/>
              </w:rPr>
              <w:t>F</w:t>
            </w:r>
            <w:r>
              <w:rPr>
                <w:rFonts w:ascii="宋体" w:hAnsi="宋体" w:cs="宋体"/>
              </w:rPr>
              <w:t>+</w:t>
            </w:r>
            <w:r>
              <w:rPr>
                <w:rFonts w:ascii="宋体" w:cs="宋体"/>
              </w:rPr>
              <w:t>偏差率</w:t>
            </w:r>
            <w:r>
              <w:rPr>
                <w:rFonts w:hint="eastAsia" w:ascii="宋体" w:hAnsi="宋体" w:cs="宋体"/>
              </w:rPr>
              <w:t>×</w:t>
            </w:r>
            <w:r>
              <w:rPr>
                <w:rFonts w:ascii="宋体" w:hAnsi="宋体" w:cs="宋体"/>
              </w:rPr>
              <w:t>100</w:t>
            </w:r>
            <w:r>
              <w:rPr>
                <w:rFonts w:hint="eastAsia" w:ascii="宋体" w:hAnsi="宋体" w:cs="宋体"/>
              </w:rPr>
              <w:t>×</w:t>
            </w:r>
            <w:r>
              <w:rPr>
                <w:rFonts w:ascii="宋体" w:hAnsi="宋体" w:cs="宋体"/>
                <w:i/>
                <w:iCs/>
              </w:rPr>
              <w:t>E</w:t>
            </w:r>
            <w:r>
              <w:rPr>
                <w:rFonts w:ascii="宋体" w:hAnsi="宋体" w:cs="宋体"/>
                <w:vertAlign w:val="subscript"/>
              </w:rPr>
              <w:t>2</w:t>
            </w:r>
            <w:r>
              <w:rPr>
                <w:rFonts w:hint="eastAsia" w:ascii="宋体" w:hAnsi="宋体" w:cs="宋体"/>
              </w:rPr>
              <w:t>；</w:t>
            </w:r>
          </w:p>
          <w:p w14:paraId="56CDE187">
            <w:pPr>
              <w:adjustRightInd w:val="0"/>
              <w:spacing w:line="360" w:lineRule="auto"/>
              <w:ind w:firstLine="420" w:firstLineChars="200"/>
              <w:textAlignment w:val="baseline"/>
              <w:rPr>
                <w:rFonts w:ascii="宋体"/>
              </w:rPr>
            </w:pPr>
            <w:r>
              <w:rPr>
                <w:rFonts w:hint="eastAsia" w:ascii="宋体" w:hAnsi="宋体" w:cs="宋体"/>
              </w:rPr>
              <w:t>其中，</w:t>
            </w:r>
            <w:r>
              <w:rPr>
                <w:rFonts w:ascii="宋体" w:hAnsi="宋体" w:cs="宋体"/>
                <w:i/>
                <w:iCs/>
              </w:rPr>
              <w:t>F</w:t>
            </w:r>
            <w:r>
              <w:rPr>
                <w:rFonts w:hint="eastAsia" w:ascii="宋体" w:hAnsi="宋体" w:cs="宋体"/>
                <w:i/>
                <w:iCs/>
              </w:rPr>
              <w:t>：</w:t>
            </w:r>
            <w:r>
              <w:rPr>
                <w:rFonts w:hint="eastAsia" w:ascii="宋体" w:hAnsi="宋体" w:cs="宋体"/>
              </w:rPr>
              <w:t>投标价所占的评分</w:t>
            </w:r>
            <w:r>
              <w:rPr>
                <w:rFonts w:hint="eastAsia" w:ascii="宋体" w:hAnsi="宋体" w:cs="宋体"/>
                <w:b/>
                <w:bCs/>
                <w:u w:val="single"/>
              </w:rPr>
              <w:t>满分值</w:t>
            </w:r>
            <w:r>
              <w:rPr>
                <w:rFonts w:ascii="宋体" w:hAnsi="宋体" w:cs="宋体"/>
                <w:b/>
                <w:bCs/>
                <w:u w:val="single"/>
              </w:rPr>
              <w:t>10</w:t>
            </w:r>
            <w:r>
              <w:rPr>
                <w:rFonts w:hint="eastAsia" w:ascii="宋体" w:hAnsi="宋体" w:cs="宋体"/>
                <w:b/>
                <w:bCs/>
                <w:u w:val="single"/>
              </w:rPr>
              <w:t>分</w:t>
            </w:r>
            <w:r>
              <w:rPr>
                <w:rFonts w:hint="eastAsia" w:ascii="宋体" w:hAnsi="宋体" w:cs="宋体"/>
              </w:rPr>
              <w:t>；</w:t>
            </w:r>
          </w:p>
          <w:p w14:paraId="4DF0FF5A">
            <w:pPr>
              <w:adjustRightInd w:val="0"/>
              <w:spacing w:line="360" w:lineRule="auto"/>
              <w:ind w:left="420" w:leftChars="200"/>
              <w:textAlignment w:val="baseline"/>
              <w:rPr>
                <w:rFonts w:ascii="宋体"/>
              </w:rPr>
            </w:pPr>
            <w:r>
              <w:rPr>
                <w:rFonts w:ascii="宋体" w:hAnsi="宋体" w:cs="宋体"/>
                <w:i/>
                <w:iCs/>
              </w:rPr>
              <w:t>E</w:t>
            </w:r>
            <w:r>
              <w:rPr>
                <w:rFonts w:ascii="宋体" w:hAnsi="宋体" w:cs="宋体"/>
                <w:vertAlign w:val="subscript"/>
              </w:rPr>
              <w:t>1</w:t>
            </w:r>
            <w:r>
              <w:rPr>
                <w:rFonts w:hint="eastAsia" w:ascii="宋体" w:hAnsi="宋体" w:cs="宋体"/>
              </w:rPr>
              <w:t>：投标价每高于评标基准价一个百分点的扣分值0.2分；</w:t>
            </w:r>
            <w:r>
              <w:rPr>
                <w:rFonts w:ascii="宋体" w:hAnsi="宋体" w:cs="宋体"/>
                <w:i/>
                <w:iCs/>
              </w:rPr>
              <w:t>E</w:t>
            </w:r>
            <w:r>
              <w:rPr>
                <w:rFonts w:ascii="宋体" w:hAnsi="宋体" w:cs="宋体"/>
                <w:vertAlign w:val="subscript"/>
              </w:rPr>
              <w:t>2</w:t>
            </w:r>
            <w:r>
              <w:rPr>
                <w:rFonts w:hint="eastAsia" w:ascii="宋体" w:hAnsi="宋体" w:cs="宋体"/>
              </w:rPr>
              <w:t>：投标价每低于评标基准价一个百分点的扣分值</w:t>
            </w:r>
            <w:r>
              <w:rPr>
                <w:rFonts w:ascii="宋体" w:hAnsi="宋体" w:cs="宋体"/>
              </w:rPr>
              <w:t>0.</w:t>
            </w:r>
            <w:r>
              <w:rPr>
                <w:rFonts w:hint="eastAsia" w:ascii="宋体" w:hAnsi="宋体" w:cs="宋体"/>
              </w:rPr>
              <w:t>1分。</w:t>
            </w:r>
          </w:p>
          <w:p w14:paraId="78026148">
            <w:pPr>
              <w:jc w:val="center"/>
              <w:rPr>
                <w:rFonts w:hint="eastAsia" w:ascii="宋体" w:hAnsi="宋体" w:cs="宋体"/>
              </w:rPr>
            </w:pPr>
            <w:r>
              <w:rPr>
                <w:rFonts w:hint="eastAsia" w:ascii="宋体" w:hAnsi="宋体" w:cs="宋体"/>
              </w:rPr>
              <w:t>投标价得分最低得分为</w:t>
            </w:r>
            <w:r>
              <w:rPr>
                <w:rFonts w:hint="eastAsia" w:ascii="宋体" w:cs="宋体"/>
              </w:rPr>
              <w:t>0</w:t>
            </w:r>
            <w:r>
              <w:rPr>
                <w:rFonts w:hint="eastAsia" w:ascii="宋体" w:hAnsi="宋体" w:cs="宋体"/>
              </w:rPr>
              <w:t>分。</w:t>
            </w:r>
          </w:p>
        </w:tc>
      </w:tr>
      <w:tr w14:paraId="78ACB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restart"/>
            <w:shd w:val="clear" w:color="auto" w:fill="auto"/>
            <w:vAlign w:val="center"/>
          </w:tcPr>
          <w:p w14:paraId="2916D098">
            <w:pPr>
              <w:jc w:val="center"/>
              <w:rPr>
                <w:rStyle w:val="20"/>
                <w:rFonts w:ascii="宋体" w:hAnsi="宋体" w:eastAsia="宋体"/>
                <w:color w:val="auto"/>
                <w:sz w:val="21"/>
                <w:szCs w:val="21"/>
                <w:shd w:val="clear" w:color="auto" w:fill="auto"/>
              </w:rPr>
            </w:pPr>
            <w:r>
              <w:rPr>
                <w:rFonts w:hint="eastAsia" w:ascii="宋体" w:hAnsi="宋体"/>
                <w:kern w:val="20"/>
                <w:szCs w:val="21"/>
              </w:rPr>
              <w:t>2.2.4（4）</w:t>
            </w:r>
          </w:p>
        </w:tc>
        <w:tc>
          <w:tcPr>
            <w:tcW w:w="426" w:type="dxa"/>
            <w:vMerge w:val="restart"/>
            <w:shd w:val="clear" w:color="auto" w:fill="auto"/>
            <w:vAlign w:val="center"/>
          </w:tcPr>
          <w:p w14:paraId="54656553">
            <w:pPr>
              <w:jc w:val="center"/>
              <w:rPr>
                <w:rStyle w:val="20"/>
                <w:rFonts w:ascii="宋体" w:hAnsi="宋体" w:eastAsia="宋体"/>
                <w:color w:val="auto"/>
                <w:sz w:val="21"/>
                <w:szCs w:val="21"/>
                <w:shd w:val="clear" w:color="auto" w:fill="auto"/>
              </w:rPr>
            </w:pPr>
            <w:r>
              <w:rPr>
                <w:rStyle w:val="20"/>
                <w:rFonts w:ascii="宋体" w:hAnsi="宋体" w:eastAsia="宋体"/>
                <w:color w:val="auto"/>
                <w:sz w:val="21"/>
                <w:szCs w:val="21"/>
                <w:shd w:val="clear" w:color="auto" w:fill="auto"/>
              </w:rPr>
              <w:t>其他因素</w:t>
            </w:r>
          </w:p>
        </w:tc>
        <w:tc>
          <w:tcPr>
            <w:tcW w:w="867" w:type="dxa"/>
            <w:shd w:val="clear" w:color="auto" w:fill="auto"/>
            <w:vAlign w:val="center"/>
          </w:tcPr>
          <w:p w14:paraId="4599DF93">
            <w:pPr>
              <w:jc w:val="center"/>
              <w:rPr>
                <w:rFonts w:ascii="宋体" w:hAnsi="宋体"/>
                <w:kern w:val="20"/>
                <w:szCs w:val="21"/>
              </w:rPr>
            </w:pPr>
            <w:r>
              <w:rPr>
                <w:rFonts w:hint="eastAsia" w:ascii="宋体" w:hAnsi="宋体"/>
                <w:kern w:val="20"/>
                <w:szCs w:val="21"/>
                <w:lang w:val="en-US" w:eastAsia="zh-CN"/>
              </w:rPr>
              <w:t>企业</w:t>
            </w:r>
            <w:r>
              <w:rPr>
                <w:rFonts w:hint="eastAsia" w:ascii="宋体" w:hAnsi="宋体"/>
                <w:kern w:val="20"/>
                <w:szCs w:val="21"/>
              </w:rPr>
              <w:t>业绩</w:t>
            </w:r>
          </w:p>
        </w:tc>
        <w:tc>
          <w:tcPr>
            <w:tcW w:w="993" w:type="dxa"/>
            <w:shd w:val="clear" w:color="auto" w:fill="auto"/>
            <w:vAlign w:val="center"/>
          </w:tcPr>
          <w:p w14:paraId="5CC3E236">
            <w:pPr>
              <w:jc w:val="center"/>
              <w:rPr>
                <w:rFonts w:ascii="宋体" w:hAnsi="宋体"/>
                <w:kern w:val="20"/>
                <w:szCs w:val="21"/>
              </w:rPr>
            </w:pPr>
            <w:r>
              <w:rPr>
                <w:rFonts w:hint="eastAsia" w:ascii="宋体" w:hAnsi="宋体"/>
                <w:kern w:val="20"/>
                <w:szCs w:val="21"/>
                <w:u w:val="single"/>
              </w:rPr>
              <w:t xml:space="preserve"> 25 </w:t>
            </w:r>
            <w:r>
              <w:rPr>
                <w:rFonts w:hint="eastAsia" w:ascii="宋体" w:hAnsi="宋体"/>
                <w:kern w:val="20"/>
                <w:szCs w:val="21"/>
              </w:rPr>
              <w:t>分</w:t>
            </w:r>
          </w:p>
        </w:tc>
        <w:tc>
          <w:tcPr>
            <w:tcW w:w="1896" w:type="dxa"/>
            <w:shd w:val="clear" w:color="auto" w:fill="auto"/>
            <w:vAlign w:val="center"/>
          </w:tcPr>
          <w:p w14:paraId="5ACA41CC">
            <w:pPr>
              <w:jc w:val="center"/>
              <w:rPr>
                <w:rFonts w:ascii="宋体" w:hAnsi="宋体"/>
                <w:kern w:val="20"/>
                <w:szCs w:val="21"/>
              </w:rPr>
            </w:pPr>
            <w:r>
              <w:rPr>
                <w:rFonts w:hint="eastAsia" w:ascii="宋体" w:hAnsi="宋体" w:cs="宋体"/>
              </w:rPr>
              <w:t>公路工程勘察设计</w:t>
            </w:r>
          </w:p>
        </w:tc>
        <w:tc>
          <w:tcPr>
            <w:tcW w:w="851" w:type="dxa"/>
            <w:shd w:val="clear" w:color="auto" w:fill="auto"/>
            <w:vAlign w:val="center"/>
          </w:tcPr>
          <w:p w14:paraId="31041260">
            <w:pPr>
              <w:jc w:val="center"/>
              <w:rPr>
                <w:rFonts w:ascii="宋体" w:hAnsi="宋体"/>
                <w:kern w:val="20"/>
                <w:szCs w:val="21"/>
                <w:highlight w:val="none"/>
              </w:rPr>
            </w:pPr>
            <w:r>
              <w:rPr>
                <w:rFonts w:hint="eastAsia" w:ascii="宋体" w:hAnsi="宋体"/>
                <w:kern w:val="20"/>
                <w:szCs w:val="21"/>
                <w:highlight w:val="none"/>
                <w:u w:val="single"/>
              </w:rPr>
              <w:t xml:space="preserve"> 25 </w:t>
            </w:r>
            <w:r>
              <w:rPr>
                <w:rFonts w:hint="eastAsia" w:ascii="宋体" w:hAnsi="宋体"/>
                <w:kern w:val="20"/>
                <w:szCs w:val="21"/>
                <w:highlight w:val="none"/>
              </w:rPr>
              <w:t>分</w:t>
            </w:r>
          </w:p>
        </w:tc>
        <w:tc>
          <w:tcPr>
            <w:tcW w:w="3492" w:type="dxa"/>
            <w:shd w:val="clear" w:color="auto" w:fill="auto"/>
            <w:vAlign w:val="center"/>
          </w:tcPr>
          <w:p w14:paraId="09F90C55">
            <w:pPr>
              <w:jc w:val="left"/>
              <w:rPr>
                <w:rFonts w:ascii="宋体" w:hAnsi="宋体"/>
                <w:kern w:val="20"/>
                <w:szCs w:val="21"/>
                <w:highlight w:val="none"/>
              </w:rPr>
            </w:pPr>
            <w:r>
              <w:rPr>
                <w:rFonts w:hint="eastAsia" w:ascii="宋体" w:hAnsi="宋体" w:cs="宋体"/>
                <w:highlight w:val="none"/>
              </w:rPr>
              <w:t>满足最低资格条件</w:t>
            </w:r>
            <w:r>
              <w:rPr>
                <w:rFonts w:hint="eastAsia" w:ascii="宋体" w:hAnsi="宋体" w:cs="宋体"/>
                <w:highlight w:val="none"/>
                <w:lang w:val="en-US" w:eastAsia="zh-CN"/>
              </w:rPr>
              <w:t>的</w:t>
            </w:r>
            <w:r>
              <w:rPr>
                <w:rFonts w:hint="eastAsia" w:ascii="宋体" w:hAnsi="宋体" w:cs="宋体"/>
                <w:highlight w:val="none"/>
              </w:rPr>
              <w:t>得15</w:t>
            </w:r>
            <w:r>
              <w:rPr>
                <w:rFonts w:ascii="宋体" w:hAnsi="宋体" w:cs="宋体"/>
                <w:highlight w:val="none"/>
              </w:rPr>
              <w:t>.0</w:t>
            </w:r>
            <w:r>
              <w:rPr>
                <w:rFonts w:hint="eastAsia" w:ascii="宋体" w:hAnsi="宋体" w:cs="宋体"/>
                <w:highlight w:val="none"/>
              </w:rPr>
              <w:t>分</w:t>
            </w:r>
            <w:r>
              <w:rPr>
                <w:rFonts w:hint="eastAsia" w:ascii="宋体" w:hAnsi="宋体" w:cs="宋体"/>
                <w:highlight w:val="none"/>
                <w:lang w:eastAsia="zh-CN"/>
              </w:rPr>
              <w:t>（</w:t>
            </w:r>
            <w:r>
              <w:rPr>
                <w:rFonts w:hint="eastAsia" w:ascii="宋体" w:hAnsi="宋体" w:cs="宋体"/>
                <w:highlight w:val="none"/>
                <w:lang w:val="en-US" w:eastAsia="zh-CN"/>
              </w:rPr>
              <w:t>含无业绩</w:t>
            </w:r>
            <w:r>
              <w:rPr>
                <w:rFonts w:hint="eastAsia" w:ascii="宋体" w:hAnsi="宋体" w:cs="宋体"/>
                <w:highlight w:val="none"/>
                <w:lang w:eastAsia="zh-CN"/>
              </w:rPr>
              <w:t>）</w:t>
            </w:r>
            <w:r>
              <w:rPr>
                <w:rFonts w:hint="eastAsia" w:ascii="宋体" w:hAnsi="宋体" w:cs="宋体"/>
                <w:highlight w:val="none"/>
              </w:rPr>
              <w:t>，</w:t>
            </w:r>
            <w:r>
              <w:rPr>
                <w:rFonts w:hint="eastAsia" w:ascii="宋体" w:hAnsi="宋体" w:cs="宋体"/>
                <w:highlight w:val="none"/>
                <w:lang w:val="en-US" w:eastAsia="zh-CN"/>
              </w:rPr>
              <w:t>近三年累计完成20</w:t>
            </w:r>
            <w:r>
              <w:rPr>
                <w:rFonts w:ascii="宋体" w:hAnsi="宋体" w:cs="宋体"/>
                <w:highlight w:val="none"/>
              </w:rPr>
              <w:t>km</w:t>
            </w:r>
            <w:r>
              <w:rPr>
                <w:rFonts w:hint="eastAsia" w:ascii="宋体" w:hAnsi="宋体" w:cs="宋体"/>
                <w:highlight w:val="none"/>
              </w:rPr>
              <w:t>的</w:t>
            </w:r>
            <w:r>
              <w:rPr>
                <w:rFonts w:hint="eastAsia" w:ascii="宋体" w:hAnsi="宋体" w:cs="宋体"/>
                <w:highlight w:val="none"/>
                <w:lang w:val="en-US" w:eastAsia="zh-CN"/>
              </w:rPr>
              <w:t>二级及以上</w:t>
            </w:r>
            <w:r>
              <w:rPr>
                <w:rFonts w:hint="eastAsia" w:ascii="宋体" w:hAnsi="宋体" w:cs="宋体"/>
                <w:highlight w:val="none"/>
              </w:rPr>
              <w:t>公路工程勘察设计业绩得</w:t>
            </w:r>
            <w:r>
              <w:rPr>
                <w:rFonts w:hint="eastAsia" w:ascii="宋体" w:hAnsi="宋体" w:cs="宋体"/>
                <w:highlight w:val="none"/>
                <w:lang w:val="en-US" w:eastAsia="zh-CN"/>
              </w:rPr>
              <w:t>20分</w:t>
            </w:r>
            <w:r>
              <w:rPr>
                <w:rFonts w:hint="eastAsia"/>
                <w:highlight w:val="none"/>
              </w:rPr>
              <w:t>，</w:t>
            </w:r>
            <w:r>
              <w:rPr>
                <w:rFonts w:hint="eastAsia" w:ascii="宋体" w:hAnsi="宋体" w:cs="宋体"/>
                <w:highlight w:val="none"/>
                <w:lang w:val="en-US" w:eastAsia="zh-CN"/>
              </w:rPr>
              <w:t>近三年累计完成40</w:t>
            </w:r>
            <w:r>
              <w:rPr>
                <w:rFonts w:ascii="宋体" w:hAnsi="宋体" w:cs="宋体"/>
                <w:highlight w:val="none"/>
              </w:rPr>
              <w:t>km</w:t>
            </w:r>
            <w:r>
              <w:rPr>
                <w:rFonts w:hint="eastAsia" w:ascii="宋体" w:hAnsi="宋体" w:cs="宋体"/>
                <w:highlight w:val="none"/>
              </w:rPr>
              <w:t>的</w:t>
            </w:r>
            <w:r>
              <w:rPr>
                <w:rFonts w:hint="eastAsia" w:ascii="宋体" w:hAnsi="宋体" w:cs="宋体"/>
                <w:highlight w:val="none"/>
                <w:lang w:val="en-US" w:eastAsia="zh-CN"/>
              </w:rPr>
              <w:t>二级及以上</w:t>
            </w:r>
            <w:r>
              <w:rPr>
                <w:rFonts w:hint="eastAsia" w:ascii="宋体" w:hAnsi="宋体" w:cs="宋体"/>
                <w:highlight w:val="none"/>
              </w:rPr>
              <w:t>公路工程勘察设计业绩得</w:t>
            </w:r>
            <w:r>
              <w:rPr>
                <w:rFonts w:hint="eastAsia" w:ascii="宋体" w:hAnsi="宋体" w:cs="宋体"/>
                <w:highlight w:val="none"/>
                <w:lang w:val="en-US" w:eastAsia="zh-CN"/>
              </w:rPr>
              <w:t>25分</w:t>
            </w:r>
            <w:r>
              <w:rPr>
                <w:rFonts w:hint="eastAsia" w:ascii="宋体" w:hAnsi="宋体" w:cs="宋体"/>
                <w:highlight w:val="none"/>
              </w:rPr>
              <w:t>。（</w:t>
            </w:r>
            <w:r>
              <w:rPr>
                <w:rFonts w:hint="eastAsia" w:ascii="宋体" w:hAnsi="宋体" w:cs="宋体"/>
                <w:highlight w:val="none"/>
                <w:lang w:eastAsia="zh-CN"/>
              </w:rPr>
              <w:t>高速公路和一级公路工程全幅按2倍长度计算，半幅按1倍长度计算</w:t>
            </w:r>
            <w:r>
              <w:rPr>
                <w:rFonts w:hint="eastAsia" w:ascii="宋体" w:hAnsi="宋体" w:cs="宋体"/>
                <w:highlight w:val="none"/>
              </w:rPr>
              <w:t>）</w:t>
            </w:r>
          </w:p>
        </w:tc>
      </w:tr>
      <w:tr w14:paraId="4EBA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Merge w:val="continue"/>
            <w:shd w:val="clear" w:color="auto" w:fill="auto"/>
            <w:vAlign w:val="center"/>
          </w:tcPr>
          <w:p w14:paraId="3587ADED">
            <w:pPr>
              <w:jc w:val="center"/>
              <w:rPr>
                <w:rFonts w:ascii="宋体" w:hAnsi="宋体"/>
                <w:kern w:val="20"/>
                <w:szCs w:val="21"/>
              </w:rPr>
            </w:pPr>
          </w:p>
        </w:tc>
        <w:tc>
          <w:tcPr>
            <w:tcW w:w="426" w:type="dxa"/>
            <w:vMerge w:val="continue"/>
            <w:shd w:val="clear" w:color="auto" w:fill="auto"/>
            <w:vAlign w:val="center"/>
          </w:tcPr>
          <w:p w14:paraId="08A244A1">
            <w:pPr>
              <w:jc w:val="center"/>
              <w:rPr>
                <w:rStyle w:val="20"/>
                <w:rFonts w:ascii="宋体" w:hAnsi="宋体" w:eastAsia="宋体"/>
                <w:color w:val="auto"/>
                <w:sz w:val="21"/>
                <w:szCs w:val="21"/>
                <w:shd w:val="clear" w:color="auto" w:fill="auto"/>
              </w:rPr>
            </w:pPr>
          </w:p>
        </w:tc>
        <w:tc>
          <w:tcPr>
            <w:tcW w:w="867" w:type="dxa"/>
            <w:shd w:val="clear" w:color="auto" w:fill="auto"/>
            <w:vAlign w:val="center"/>
          </w:tcPr>
          <w:p w14:paraId="177AB91B">
            <w:pPr>
              <w:jc w:val="center"/>
              <w:rPr>
                <w:rFonts w:ascii="宋体" w:hAnsi="宋体"/>
                <w:kern w:val="20"/>
                <w:szCs w:val="21"/>
              </w:rPr>
            </w:pPr>
            <w:r>
              <w:rPr>
                <w:rFonts w:hint="eastAsia" w:ascii="宋体" w:hAnsi="宋体"/>
                <w:kern w:val="20"/>
                <w:szCs w:val="21"/>
              </w:rPr>
              <w:t>履约信誉</w:t>
            </w:r>
          </w:p>
        </w:tc>
        <w:tc>
          <w:tcPr>
            <w:tcW w:w="993" w:type="dxa"/>
            <w:shd w:val="clear" w:color="auto" w:fill="auto"/>
            <w:vAlign w:val="center"/>
          </w:tcPr>
          <w:p w14:paraId="66D58E92">
            <w:pPr>
              <w:jc w:val="center"/>
              <w:rPr>
                <w:rFonts w:ascii="宋体" w:hAnsi="宋体"/>
                <w:kern w:val="20"/>
                <w:szCs w:val="21"/>
              </w:rPr>
            </w:pPr>
            <w:r>
              <w:rPr>
                <w:rFonts w:hint="eastAsia" w:ascii="宋体" w:hAnsi="宋体"/>
                <w:kern w:val="20"/>
                <w:szCs w:val="21"/>
                <w:u w:val="single"/>
              </w:rPr>
              <w:t xml:space="preserve"> 10 </w:t>
            </w:r>
            <w:r>
              <w:rPr>
                <w:rFonts w:hint="eastAsia" w:ascii="宋体" w:hAnsi="宋体"/>
                <w:kern w:val="20"/>
                <w:szCs w:val="21"/>
              </w:rPr>
              <w:t>分</w:t>
            </w:r>
          </w:p>
        </w:tc>
        <w:tc>
          <w:tcPr>
            <w:tcW w:w="1896" w:type="dxa"/>
            <w:shd w:val="clear" w:color="auto" w:fill="auto"/>
            <w:vAlign w:val="center"/>
          </w:tcPr>
          <w:p w14:paraId="118A5FBF">
            <w:pPr>
              <w:jc w:val="center"/>
              <w:rPr>
                <w:rFonts w:ascii="宋体" w:hAnsi="宋体"/>
                <w:kern w:val="20"/>
                <w:szCs w:val="21"/>
              </w:rPr>
            </w:pPr>
            <w:r>
              <w:rPr>
                <w:rFonts w:hint="eastAsia" w:ascii="宋体" w:hAnsi="宋体"/>
                <w:kern w:val="20"/>
                <w:szCs w:val="21"/>
              </w:rPr>
              <w:t>信誉情况</w:t>
            </w:r>
          </w:p>
        </w:tc>
        <w:tc>
          <w:tcPr>
            <w:tcW w:w="851" w:type="dxa"/>
            <w:shd w:val="clear" w:color="auto" w:fill="auto"/>
            <w:vAlign w:val="center"/>
          </w:tcPr>
          <w:p w14:paraId="22F7808D">
            <w:pPr>
              <w:jc w:val="center"/>
              <w:rPr>
                <w:rFonts w:ascii="宋体" w:hAnsi="宋体"/>
                <w:kern w:val="20"/>
                <w:szCs w:val="21"/>
              </w:rPr>
            </w:pPr>
            <w:r>
              <w:rPr>
                <w:rFonts w:hint="eastAsia" w:ascii="宋体" w:hAnsi="宋体"/>
                <w:kern w:val="20"/>
                <w:szCs w:val="21"/>
                <w:u w:val="single"/>
              </w:rPr>
              <w:t xml:space="preserve"> 10 </w:t>
            </w:r>
            <w:r>
              <w:rPr>
                <w:rFonts w:hint="eastAsia" w:ascii="宋体" w:hAnsi="宋体"/>
                <w:kern w:val="20"/>
                <w:szCs w:val="21"/>
              </w:rPr>
              <w:t>分</w:t>
            </w:r>
          </w:p>
        </w:tc>
        <w:tc>
          <w:tcPr>
            <w:tcW w:w="3492" w:type="dxa"/>
            <w:shd w:val="clear" w:color="auto" w:fill="auto"/>
            <w:vAlign w:val="center"/>
          </w:tcPr>
          <w:p w14:paraId="4CA09291">
            <w:pPr>
              <w:jc w:val="left"/>
              <w:rPr>
                <w:rFonts w:ascii="宋体" w:hAnsi="宋体"/>
                <w:kern w:val="20"/>
                <w:szCs w:val="21"/>
                <w:highlight w:val="none"/>
              </w:rPr>
            </w:pPr>
            <w:r>
              <w:rPr>
                <w:rFonts w:hint="eastAsia" w:ascii="宋体" w:hAnsi="宋体"/>
                <w:kern w:val="20"/>
                <w:szCs w:val="21"/>
                <w:highlight w:val="none"/>
              </w:rPr>
              <w:t>①投标人的信用等级以吉林省交通运输厅发布的《</w:t>
            </w:r>
            <w:r>
              <w:rPr>
                <w:rFonts w:hint="eastAsia" w:ascii="宋体" w:hAnsi="宋体"/>
                <w:kern w:val="20"/>
                <w:szCs w:val="21"/>
                <w:highlight w:val="none"/>
              </w:rPr>
              <w:fldChar w:fldCharType="begin"/>
            </w:r>
            <w:r>
              <w:rPr>
                <w:rFonts w:hint="eastAsia" w:ascii="宋体" w:hAnsi="宋体"/>
                <w:kern w:val="20"/>
                <w:szCs w:val="21"/>
                <w:highlight w:val="none"/>
              </w:rPr>
              <w:instrText xml:space="preserve"> HYPERLINK "http://jtyst.jl.gov.cn/zw_133208/tzgg/202305/t20230512_8708438.html" \o "&lt;font color=#FF0000&gt;关于发布2022年度公路建设市场吉林省省级综合评价结果的通告&lt;/font&gt;" \t "http://was.jl.gov.cn/was5/web/_blank" </w:instrText>
            </w:r>
            <w:r>
              <w:rPr>
                <w:rFonts w:hint="eastAsia" w:ascii="宋体" w:hAnsi="宋体"/>
                <w:kern w:val="20"/>
                <w:szCs w:val="21"/>
                <w:highlight w:val="none"/>
              </w:rPr>
              <w:fldChar w:fldCharType="separate"/>
            </w:r>
            <w:r>
              <w:rPr>
                <w:rFonts w:hint="eastAsia" w:ascii="宋体" w:hAnsi="宋体"/>
                <w:kern w:val="20"/>
                <w:szCs w:val="21"/>
                <w:highlight w:val="none"/>
              </w:rPr>
              <w:t>关于发布202</w:t>
            </w:r>
            <w:r>
              <w:rPr>
                <w:rFonts w:hint="eastAsia" w:ascii="宋体" w:hAnsi="宋体"/>
                <w:kern w:val="20"/>
                <w:szCs w:val="21"/>
                <w:highlight w:val="none"/>
                <w:lang w:val="en-US" w:eastAsia="zh-CN"/>
              </w:rPr>
              <w:t>3</w:t>
            </w:r>
            <w:r>
              <w:rPr>
                <w:rFonts w:hint="eastAsia" w:ascii="宋体" w:hAnsi="宋体"/>
                <w:kern w:val="20"/>
                <w:szCs w:val="21"/>
                <w:highlight w:val="none"/>
              </w:rPr>
              <w:t>年度公路建设市场吉林省省级综合评价结果的通告</w:t>
            </w:r>
            <w:r>
              <w:rPr>
                <w:rFonts w:hint="eastAsia" w:ascii="宋体" w:hAnsi="宋体"/>
                <w:kern w:val="20"/>
                <w:szCs w:val="21"/>
                <w:highlight w:val="none"/>
              </w:rPr>
              <w:fldChar w:fldCharType="end"/>
            </w:r>
            <w:r>
              <w:rPr>
                <w:rFonts w:hint="eastAsia" w:ascii="宋体" w:hAnsi="宋体"/>
                <w:kern w:val="20"/>
                <w:szCs w:val="21"/>
                <w:highlight w:val="none"/>
              </w:rPr>
              <w:t>》</w:t>
            </w:r>
            <w:r>
              <w:rPr>
                <w:rFonts w:hint="eastAsia" w:ascii="宋体" w:hAnsi="宋体"/>
                <w:kern w:val="20"/>
                <w:szCs w:val="21"/>
                <w:highlight w:val="none"/>
                <w:lang w:eastAsia="zh-CN"/>
              </w:rPr>
              <w:t>或</w:t>
            </w:r>
            <w:r>
              <w:rPr>
                <w:rFonts w:ascii="宋体" w:hAnsi="宋体"/>
                <w:kern w:val="20"/>
                <w:szCs w:val="21"/>
                <w:highlight w:val="none"/>
              </w:rPr>
              <w:t>交通运输部</w:t>
            </w:r>
            <w:r>
              <w:rPr>
                <w:rFonts w:hint="eastAsia" w:ascii="宋体" w:hAnsi="宋体"/>
                <w:kern w:val="20"/>
                <w:szCs w:val="21"/>
                <w:highlight w:val="none"/>
              </w:rPr>
              <w:t>《202</w:t>
            </w:r>
            <w:r>
              <w:rPr>
                <w:rFonts w:hint="eastAsia" w:ascii="宋体" w:hAnsi="宋体"/>
                <w:kern w:val="20"/>
                <w:szCs w:val="21"/>
                <w:highlight w:val="none"/>
                <w:lang w:val="en-US" w:eastAsia="zh-CN"/>
              </w:rPr>
              <w:t>3</w:t>
            </w:r>
            <w:r>
              <w:rPr>
                <w:rFonts w:hint="eastAsia" w:ascii="宋体" w:hAnsi="宋体"/>
                <w:kern w:val="20"/>
                <w:szCs w:val="21"/>
                <w:highlight w:val="none"/>
              </w:rPr>
              <w:t>年度公路工程设计企业信用评价结果汇总表》评价结果为准；</w:t>
            </w:r>
          </w:p>
          <w:p w14:paraId="4BD08B5A">
            <w:pPr>
              <w:jc w:val="left"/>
              <w:rPr>
                <w:rFonts w:ascii="宋体" w:hAnsi="宋体"/>
                <w:kern w:val="20"/>
                <w:szCs w:val="21"/>
                <w:highlight w:val="none"/>
              </w:rPr>
            </w:pPr>
            <w:r>
              <w:rPr>
                <w:rFonts w:hint="eastAsia" w:ascii="宋体" w:hAnsi="宋体"/>
                <w:kern w:val="20"/>
                <w:szCs w:val="21"/>
                <w:highlight w:val="none"/>
              </w:rPr>
              <w:t>②如投标人未列入第①条信用评价结果，投标人的信用等级按</w:t>
            </w:r>
            <w:r>
              <w:rPr>
                <w:rFonts w:hint="eastAsia" w:ascii="宋体" w:hAnsi="宋体"/>
                <w:kern w:val="20"/>
                <w:szCs w:val="21"/>
                <w:highlight w:val="none"/>
                <w:lang w:val="en-US" w:eastAsia="zh-CN"/>
              </w:rPr>
              <w:t>A</w:t>
            </w:r>
            <w:r>
              <w:rPr>
                <w:rFonts w:hint="eastAsia" w:ascii="宋体" w:hAnsi="宋体"/>
                <w:kern w:val="20"/>
                <w:szCs w:val="21"/>
                <w:highlight w:val="none"/>
              </w:rPr>
              <w:t>级对待。</w:t>
            </w:r>
          </w:p>
          <w:p w14:paraId="0D0F2EF7">
            <w:pPr>
              <w:jc w:val="left"/>
              <w:rPr>
                <w:rFonts w:ascii="宋体" w:hAnsi="宋体"/>
                <w:kern w:val="20"/>
                <w:szCs w:val="21"/>
                <w:highlight w:val="none"/>
              </w:rPr>
            </w:pPr>
            <w:r>
              <w:rPr>
                <w:rFonts w:hint="eastAsia" w:ascii="宋体" w:hAnsi="宋体"/>
                <w:kern w:val="20"/>
                <w:szCs w:val="21"/>
                <w:highlight w:val="none"/>
              </w:rPr>
              <w:t>企业当年既有省级综合评价结果也有全国综合评价结果的，应采用等级较低的评价结果。</w:t>
            </w:r>
          </w:p>
          <w:p w14:paraId="0D1690FB">
            <w:pPr>
              <w:jc w:val="left"/>
              <w:rPr>
                <w:rFonts w:ascii="宋体" w:hAnsi="宋体"/>
                <w:kern w:val="20"/>
                <w:szCs w:val="21"/>
                <w:highlight w:val="none"/>
              </w:rPr>
            </w:pPr>
            <w:r>
              <w:rPr>
                <w:rFonts w:hint="eastAsia" w:ascii="宋体" w:hAnsi="宋体"/>
                <w:kern w:val="20"/>
                <w:szCs w:val="21"/>
                <w:highlight w:val="none"/>
              </w:rPr>
              <w:t>③信用等级AA得10.0分，信用等级A得8.0分，信用等级B</w:t>
            </w:r>
            <w:r>
              <w:rPr>
                <w:rFonts w:hint="eastAsia" w:ascii="宋体" w:hAnsi="宋体"/>
                <w:kern w:val="20"/>
                <w:szCs w:val="21"/>
                <w:highlight w:val="none"/>
                <w:lang w:eastAsia="zh-CN"/>
              </w:rPr>
              <w:t>、</w:t>
            </w:r>
            <w:r>
              <w:rPr>
                <w:rFonts w:hint="eastAsia" w:ascii="宋体" w:hAnsi="宋体"/>
                <w:kern w:val="20"/>
                <w:szCs w:val="21"/>
                <w:highlight w:val="none"/>
                <w:lang w:val="en-US" w:eastAsia="zh-CN"/>
              </w:rPr>
              <w:t>C及无信用评价</w:t>
            </w:r>
            <w:r>
              <w:rPr>
                <w:rFonts w:hint="eastAsia" w:ascii="宋体" w:hAnsi="宋体"/>
                <w:kern w:val="20"/>
                <w:szCs w:val="21"/>
                <w:highlight w:val="none"/>
              </w:rPr>
              <w:t>得6.0分</w:t>
            </w:r>
            <w:r>
              <w:rPr>
                <w:rFonts w:hint="eastAsia" w:ascii="宋体" w:hAnsi="宋体"/>
                <w:kern w:val="20"/>
                <w:szCs w:val="21"/>
                <w:highlight w:val="none"/>
                <w:lang w:eastAsia="zh-CN"/>
              </w:rPr>
              <w:t>。</w:t>
            </w:r>
          </w:p>
        </w:tc>
      </w:tr>
      <w:tr w14:paraId="31FF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1" w:type="dxa"/>
            <w:gridSpan w:val="7"/>
            <w:shd w:val="clear" w:color="auto" w:fill="auto"/>
          </w:tcPr>
          <w:p w14:paraId="6DC85A0C">
            <w:pPr>
              <w:rPr>
                <w:rFonts w:ascii="宋体" w:hAnsi="宋体"/>
                <w:kern w:val="20"/>
                <w:szCs w:val="21"/>
              </w:rPr>
            </w:pPr>
            <w:r>
              <w:rPr>
                <w:rFonts w:hint="eastAsia" w:ascii="宋体" w:hAnsi="宋体"/>
                <w:kern w:val="20"/>
                <w:szCs w:val="21"/>
              </w:rPr>
              <w:t>需要补充的其他内容：无</w:t>
            </w:r>
          </w:p>
        </w:tc>
      </w:tr>
    </w:tbl>
    <w:p w14:paraId="7BEB0467"/>
    <w:p w14:paraId="2CC03CEC">
      <w:pPr>
        <w:ind w:right="420"/>
        <w:jc w:val="right"/>
        <w:rPr>
          <w:rFonts w:ascii="宋体" w:hAnsi="宋体"/>
          <w:kern w:val="20"/>
          <w:szCs w:val="21"/>
        </w:rPr>
      </w:pPr>
      <w:r>
        <w:rPr>
          <w:rFonts w:ascii="宋体" w:hAnsi="宋体"/>
          <w:kern w:val="20"/>
          <w:szCs w:val="21"/>
        </w:rPr>
        <w:br w:type="page"/>
      </w:r>
    </w:p>
    <w:p w14:paraId="3B8536CB">
      <w:pPr>
        <w:spacing w:line="360" w:lineRule="auto"/>
        <w:rPr>
          <w:rFonts w:ascii="黑体" w:hAnsi="黑体" w:eastAsia="黑体" w:cs="MingLiU"/>
          <w:spacing w:val="20"/>
          <w:sz w:val="28"/>
          <w:szCs w:val="28"/>
          <w:lang w:val="zh-TW" w:bidi="zh-TW"/>
        </w:rPr>
      </w:pPr>
      <w:r>
        <w:rPr>
          <w:rStyle w:val="22"/>
          <w:rFonts w:hint="eastAsia" w:ascii="黑体" w:hAnsi="黑体" w:eastAsia="黑体"/>
          <w:color w:val="auto"/>
          <w:shd w:val="clear" w:color="auto" w:fill="auto"/>
        </w:rPr>
        <w:t>1.</w:t>
      </w:r>
      <w:r>
        <w:rPr>
          <w:rStyle w:val="22"/>
          <w:rFonts w:ascii="黑体" w:hAnsi="黑体" w:eastAsia="黑体"/>
          <w:color w:val="auto"/>
          <w:shd w:val="clear" w:color="auto" w:fill="auto"/>
        </w:rPr>
        <w:t>评标方法</w:t>
      </w:r>
    </w:p>
    <w:p w14:paraId="7ED51F98">
      <w:pPr>
        <w:pStyle w:val="18"/>
        <w:shd w:val="clear" w:color="auto" w:fill="auto"/>
        <w:spacing w:before="0" w:line="360" w:lineRule="auto"/>
        <w:ind w:firstLine="499"/>
        <w:jc w:val="both"/>
        <w:rPr>
          <w:snapToGrid w:val="0"/>
          <w:sz w:val="21"/>
          <w:szCs w:val="21"/>
        </w:rPr>
      </w:pPr>
      <w:r>
        <w:rPr>
          <w:snapToGrid w:val="0"/>
          <w:sz w:val="21"/>
          <w:szCs w:val="21"/>
        </w:rPr>
        <w:t>本次评标采用综合评估法。评标委员会对满足招标文件实质性要求的投标文件，按照本章第</w:t>
      </w:r>
      <w:r>
        <w:rPr>
          <w:snapToGrid w:val="0"/>
          <w:sz w:val="21"/>
          <w:szCs w:val="21"/>
          <w:lang w:bidi="en-US"/>
        </w:rPr>
        <w:t>2.2</w:t>
      </w:r>
      <w:r>
        <w:rPr>
          <w:snapToGrid w:val="0"/>
          <w:sz w:val="21"/>
          <w:szCs w:val="21"/>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05F4E126">
      <w:pPr>
        <w:spacing w:line="360" w:lineRule="auto"/>
        <w:rPr>
          <w:rStyle w:val="22"/>
          <w:rFonts w:ascii="黑体" w:hAnsi="黑体" w:eastAsia="黑体"/>
          <w:color w:val="auto"/>
          <w:shd w:val="clear" w:color="auto" w:fill="auto"/>
        </w:rPr>
      </w:pPr>
      <w:bookmarkStart w:id="22" w:name="bookmark92"/>
      <w:r>
        <w:rPr>
          <w:rStyle w:val="22"/>
          <w:rFonts w:hint="eastAsia" w:ascii="黑体" w:hAnsi="黑体" w:eastAsia="黑体"/>
          <w:color w:val="auto"/>
          <w:shd w:val="clear" w:color="auto" w:fill="auto"/>
        </w:rPr>
        <w:t>2.</w:t>
      </w:r>
      <w:r>
        <w:rPr>
          <w:rStyle w:val="22"/>
          <w:rFonts w:ascii="黑体" w:hAnsi="黑体" w:eastAsia="黑体"/>
          <w:color w:val="auto"/>
          <w:shd w:val="clear" w:color="auto" w:fill="auto"/>
        </w:rPr>
        <w:t>评审标准</w:t>
      </w:r>
      <w:bookmarkEnd w:id="22"/>
    </w:p>
    <w:p w14:paraId="0466C8D1">
      <w:pPr>
        <w:pStyle w:val="23"/>
        <w:shd w:val="clear" w:color="auto" w:fill="auto"/>
        <w:spacing w:line="360" w:lineRule="auto"/>
        <w:jc w:val="both"/>
        <w:rPr>
          <w:rFonts w:ascii="宋体" w:hAnsi="宋体" w:eastAsia="宋体"/>
          <w:b/>
          <w:spacing w:val="0"/>
          <w:sz w:val="21"/>
          <w:szCs w:val="21"/>
          <w:lang w:val="zh-TW" w:bidi="zh-TW"/>
        </w:rPr>
      </w:pPr>
      <w:r>
        <w:rPr>
          <w:rStyle w:val="24"/>
          <w:rFonts w:ascii="宋体" w:hAnsi="宋体" w:eastAsia="宋体"/>
          <w:color w:val="auto"/>
          <w:sz w:val="21"/>
          <w:szCs w:val="21"/>
          <w:shd w:val="clear" w:color="auto" w:fill="auto"/>
          <w:lang w:bidi="en-US"/>
        </w:rPr>
        <w:t>2.1</w:t>
      </w:r>
      <w:r>
        <w:rPr>
          <w:rStyle w:val="24"/>
          <w:rFonts w:ascii="宋体" w:hAnsi="宋体" w:eastAsia="宋体"/>
          <w:color w:val="auto"/>
          <w:sz w:val="21"/>
          <w:szCs w:val="21"/>
          <w:shd w:val="clear" w:color="auto" w:fill="auto"/>
        </w:rPr>
        <w:t>初步评审标准</w:t>
      </w:r>
    </w:p>
    <w:p w14:paraId="4B84F0EB">
      <w:pPr>
        <w:pStyle w:val="18"/>
        <w:shd w:val="clear" w:color="auto" w:fill="auto"/>
        <w:spacing w:before="0" w:line="360" w:lineRule="auto"/>
        <w:ind w:firstLine="500"/>
        <w:jc w:val="both"/>
        <w:rPr>
          <w:sz w:val="21"/>
          <w:szCs w:val="21"/>
        </w:rPr>
      </w:pPr>
      <w:r>
        <w:rPr>
          <w:rStyle w:val="25"/>
          <w:rFonts w:ascii="宋体" w:hAnsi="宋体" w:eastAsia="宋体"/>
          <w:b w:val="0"/>
          <w:color w:val="auto"/>
          <w:sz w:val="21"/>
          <w:szCs w:val="21"/>
          <w:shd w:val="clear" w:color="auto" w:fill="auto"/>
          <w:lang w:eastAsia="zh-CN"/>
        </w:rPr>
        <w:t>2</w:t>
      </w:r>
      <w:r>
        <w:rPr>
          <w:rStyle w:val="26"/>
          <w:rFonts w:ascii="宋体" w:hAnsi="宋体" w:eastAsia="宋体"/>
          <w:b/>
          <w:color w:val="auto"/>
          <w:sz w:val="21"/>
          <w:szCs w:val="21"/>
          <w:shd w:val="clear" w:color="auto" w:fill="auto"/>
          <w:lang w:eastAsia="zh-CN"/>
        </w:rPr>
        <w:t>.</w:t>
      </w:r>
      <w:r>
        <w:rPr>
          <w:rStyle w:val="25"/>
          <w:rFonts w:ascii="宋体" w:hAnsi="宋体" w:eastAsia="宋体"/>
          <w:b w:val="0"/>
          <w:color w:val="auto"/>
          <w:sz w:val="21"/>
          <w:szCs w:val="21"/>
          <w:shd w:val="clear" w:color="auto" w:fill="auto"/>
          <w:lang w:eastAsia="zh-CN"/>
        </w:rPr>
        <w:t>1.1</w:t>
      </w:r>
      <w:r>
        <w:rPr>
          <w:sz w:val="21"/>
          <w:szCs w:val="21"/>
        </w:rPr>
        <w:t>形式评审标准：见评标办法前附表。</w:t>
      </w:r>
    </w:p>
    <w:p w14:paraId="282A7D6D">
      <w:pPr>
        <w:pStyle w:val="18"/>
        <w:shd w:val="clear" w:color="auto" w:fill="auto"/>
        <w:spacing w:before="0" w:line="360" w:lineRule="auto"/>
        <w:ind w:firstLine="500"/>
        <w:jc w:val="both"/>
        <w:rPr>
          <w:sz w:val="21"/>
          <w:szCs w:val="21"/>
        </w:rPr>
      </w:pPr>
      <w:r>
        <w:rPr>
          <w:rStyle w:val="25"/>
          <w:rFonts w:ascii="宋体" w:hAnsi="宋体" w:eastAsia="宋体"/>
          <w:b w:val="0"/>
          <w:color w:val="auto"/>
          <w:sz w:val="21"/>
          <w:szCs w:val="21"/>
          <w:shd w:val="clear" w:color="auto" w:fill="auto"/>
          <w:lang w:eastAsia="zh-CN"/>
        </w:rPr>
        <w:t>2</w:t>
      </w:r>
      <w:r>
        <w:rPr>
          <w:rStyle w:val="26"/>
          <w:rFonts w:ascii="宋体" w:hAnsi="宋体" w:eastAsia="宋体"/>
          <w:b/>
          <w:color w:val="auto"/>
          <w:sz w:val="21"/>
          <w:szCs w:val="21"/>
          <w:shd w:val="clear" w:color="auto" w:fill="auto"/>
          <w:lang w:eastAsia="zh-CN"/>
        </w:rPr>
        <w:t>.</w:t>
      </w:r>
      <w:r>
        <w:rPr>
          <w:rStyle w:val="25"/>
          <w:rFonts w:ascii="宋体" w:hAnsi="宋体" w:eastAsia="宋体"/>
          <w:b w:val="0"/>
          <w:color w:val="auto"/>
          <w:sz w:val="21"/>
          <w:szCs w:val="21"/>
          <w:shd w:val="clear" w:color="auto" w:fill="auto"/>
          <w:lang w:eastAsia="zh-CN"/>
        </w:rPr>
        <w:t>1.2</w:t>
      </w:r>
      <w:r>
        <w:rPr>
          <w:sz w:val="21"/>
          <w:szCs w:val="21"/>
        </w:rPr>
        <w:t>资格评审标准：见评标办法前附表（适用于未进行资格预审的）。</w:t>
      </w:r>
    </w:p>
    <w:p w14:paraId="07035EF6">
      <w:pPr>
        <w:pStyle w:val="18"/>
        <w:shd w:val="clear" w:color="auto" w:fill="auto"/>
        <w:spacing w:before="0" w:line="360" w:lineRule="auto"/>
        <w:ind w:firstLine="500"/>
        <w:jc w:val="both"/>
        <w:rPr>
          <w:sz w:val="21"/>
          <w:szCs w:val="21"/>
        </w:rPr>
      </w:pPr>
      <w:r>
        <w:rPr>
          <w:rStyle w:val="25"/>
          <w:rFonts w:ascii="宋体" w:hAnsi="宋体" w:eastAsia="宋体"/>
          <w:b w:val="0"/>
          <w:color w:val="auto"/>
          <w:sz w:val="21"/>
          <w:szCs w:val="21"/>
          <w:shd w:val="clear" w:color="auto" w:fill="auto"/>
          <w:lang w:eastAsia="zh-CN"/>
        </w:rPr>
        <w:t>2</w:t>
      </w:r>
      <w:r>
        <w:rPr>
          <w:rStyle w:val="26"/>
          <w:rFonts w:ascii="宋体" w:hAnsi="宋体" w:eastAsia="宋体"/>
          <w:b/>
          <w:color w:val="auto"/>
          <w:sz w:val="21"/>
          <w:szCs w:val="21"/>
          <w:shd w:val="clear" w:color="auto" w:fill="auto"/>
          <w:lang w:eastAsia="zh-CN"/>
        </w:rPr>
        <w:t>.</w:t>
      </w:r>
      <w:r>
        <w:rPr>
          <w:rStyle w:val="25"/>
          <w:rFonts w:ascii="宋体" w:hAnsi="宋体" w:eastAsia="宋体"/>
          <w:b w:val="0"/>
          <w:color w:val="auto"/>
          <w:sz w:val="21"/>
          <w:szCs w:val="21"/>
          <w:shd w:val="clear" w:color="auto" w:fill="auto"/>
          <w:lang w:eastAsia="zh-CN"/>
        </w:rPr>
        <w:t>1.2</w:t>
      </w:r>
      <w:r>
        <w:rPr>
          <w:sz w:val="21"/>
          <w:szCs w:val="21"/>
        </w:rPr>
        <w:t>资格评审标准：见资格预审文件第三章“资格审查办法”详细审查标准（适用于己进行资格预审的）。</w:t>
      </w:r>
    </w:p>
    <w:p w14:paraId="70FC48FD">
      <w:pPr>
        <w:pStyle w:val="18"/>
        <w:shd w:val="clear" w:color="auto" w:fill="auto"/>
        <w:spacing w:before="0" w:line="360" w:lineRule="auto"/>
        <w:ind w:firstLine="500"/>
        <w:jc w:val="both"/>
        <w:rPr>
          <w:sz w:val="21"/>
          <w:szCs w:val="21"/>
        </w:rPr>
      </w:pPr>
      <w:r>
        <w:rPr>
          <w:sz w:val="21"/>
          <w:szCs w:val="21"/>
          <w:lang w:bidi="en-US"/>
        </w:rPr>
        <w:t>2.1.3</w:t>
      </w:r>
      <w:r>
        <w:rPr>
          <w:sz w:val="21"/>
          <w:szCs w:val="21"/>
        </w:rPr>
        <w:t>响应性评审标准：见评标办法前附表。</w:t>
      </w:r>
    </w:p>
    <w:p w14:paraId="4CF13EF1">
      <w:pPr>
        <w:pStyle w:val="23"/>
        <w:shd w:val="clear" w:color="auto" w:fill="auto"/>
        <w:tabs>
          <w:tab w:val="left" w:pos="354"/>
        </w:tabs>
        <w:spacing w:line="360" w:lineRule="auto"/>
        <w:jc w:val="both"/>
        <w:rPr>
          <w:rFonts w:ascii="宋体" w:hAnsi="宋体" w:eastAsia="宋体"/>
          <w:b/>
          <w:sz w:val="21"/>
          <w:szCs w:val="21"/>
        </w:rPr>
      </w:pPr>
      <w:r>
        <w:rPr>
          <w:rStyle w:val="24"/>
          <w:rFonts w:hint="eastAsia" w:ascii="宋体" w:hAnsi="宋体" w:eastAsia="宋体"/>
          <w:color w:val="auto"/>
          <w:sz w:val="21"/>
          <w:szCs w:val="21"/>
          <w:shd w:val="clear" w:color="auto" w:fill="auto"/>
        </w:rPr>
        <w:t>2.</w:t>
      </w:r>
      <w:r>
        <w:rPr>
          <w:rStyle w:val="24"/>
          <w:rFonts w:ascii="宋体" w:hAnsi="宋体" w:eastAsia="宋体"/>
          <w:color w:val="auto"/>
          <w:sz w:val="21"/>
          <w:szCs w:val="21"/>
          <w:shd w:val="clear" w:color="auto" w:fill="auto"/>
        </w:rPr>
        <w:t>2分值构成与评分标准</w:t>
      </w:r>
    </w:p>
    <w:p w14:paraId="3FD38370">
      <w:pPr>
        <w:pStyle w:val="23"/>
        <w:shd w:val="clear" w:color="auto" w:fill="auto"/>
        <w:spacing w:line="360" w:lineRule="auto"/>
        <w:ind w:firstLine="500"/>
        <w:jc w:val="both"/>
        <w:rPr>
          <w:rFonts w:ascii="宋体" w:hAnsi="宋体" w:eastAsia="宋体"/>
          <w:b/>
          <w:sz w:val="21"/>
          <w:szCs w:val="21"/>
        </w:rPr>
      </w:pPr>
      <w:r>
        <w:rPr>
          <w:rStyle w:val="25"/>
          <w:rFonts w:ascii="宋体" w:hAnsi="宋体" w:eastAsia="宋体"/>
          <w:b w:val="0"/>
          <w:color w:val="auto"/>
          <w:sz w:val="21"/>
          <w:szCs w:val="21"/>
          <w:shd w:val="clear" w:color="auto" w:fill="auto"/>
          <w:lang w:eastAsia="zh-CN"/>
        </w:rPr>
        <w:t>2</w:t>
      </w:r>
      <w:r>
        <w:rPr>
          <w:rStyle w:val="26"/>
          <w:rFonts w:ascii="宋体" w:hAnsi="宋体" w:eastAsia="宋体"/>
          <w:b/>
          <w:color w:val="auto"/>
          <w:sz w:val="21"/>
          <w:szCs w:val="21"/>
          <w:shd w:val="clear" w:color="auto" w:fill="auto"/>
          <w:lang w:eastAsia="zh-CN"/>
        </w:rPr>
        <w:t>.</w:t>
      </w:r>
      <w:r>
        <w:rPr>
          <w:rStyle w:val="25"/>
          <w:rFonts w:ascii="宋体" w:hAnsi="宋体" w:eastAsia="宋体"/>
          <w:b w:val="0"/>
          <w:color w:val="auto"/>
          <w:sz w:val="21"/>
          <w:szCs w:val="21"/>
          <w:shd w:val="clear" w:color="auto" w:fill="auto"/>
          <w:lang w:eastAsia="zh-CN"/>
        </w:rPr>
        <w:t>2.1</w:t>
      </w:r>
      <w:r>
        <w:rPr>
          <w:rStyle w:val="24"/>
          <w:rFonts w:ascii="宋体" w:hAnsi="宋体" w:eastAsia="宋体"/>
          <w:color w:val="auto"/>
          <w:sz w:val="21"/>
          <w:szCs w:val="21"/>
          <w:shd w:val="clear" w:color="auto" w:fill="auto"/>
        </w:rPr>
        <w:t>分值构成</w:t>
      </w:r>
    </w:p>
    <w:p w14:paraId="302DD896">
      <w:pPr>
        <w:pStyle w:val="18"/>
        <w:numPr>
          <w:ilvl w:val="0"/>
          <w:numId w:val="4"/>
        </w:numPr>
        <w:shd w:val="clear" w:color="auto" w:fill="auto"/>
        <w:tabs>
          <w:tab w:val="left" w:pos="1166"/>
        </w:tabs>
        <w:spacing w:before="0" w:line="360" w:lineRule="auto"/>
        <w:ind w:left="640"/>
        <w:jc w:val="both"/>
        <w:rPr>
          <w:sz w:val="21"/>
          <w:szCs w:val="21"/>
        </w:rPr>
      </w:pPr>
      <w:r>
        <w:rPr>
          <w:sz w:val="21"/>
          <w:szCs w:val="21"/>
        </w:rPr>
        <w:t>技术建议书：见评标办法前附表；</w:t>
      </w:r>
    </w:p>
    <w:p w14:paraId="519F3646">
      <w:pPr>
        <w:pStyle w:val="18"/>
        <w:numPr>
          <w:ilvl w:val="0"/>
          <w:numId w:val="4"/>
        </w:numPr>
        <w:shd w:val="clear" w:color="auto" w:fill="auto"/>
        <w:tabs>
          <w:tab w:val="left" w:pos="1169"/>
        </w:tabs>
        <w:spacing w:before="0" w:line="360" w:lineRule="auto"/>
        <w:ind w:left="640"/>
        <w:jc w:val="both"/>
        <w:rPr>
          <w:sz w:val="21"/>
          <w:szCs w:val="21"/>
        </w:rPr>
      </w:pPr>
      <w:r>
        <w:rPr>
          <w:sz w:val="21"/>
          <w:szCs w:val="21"/>
        </w:rPr>
        <w:t>主要人员：见评标办法前附表；</w:t>
      </w:r>
    </w:p>
    <w:p w14:paraId="6BDE326B">
      <w:pPr>
        <w:pStyle w:val="18"/>
        <w:numPr>
          <w:ilvl w:val="0"/>
          <w:numId w:val="4"/>
        </w:numPr>
        <w:shd w:val="clear" w:color="auto" w:fill="auto"/>
        <w:tabs>
          <w:tab w:val="left" w:pos="1169"/>
        </w:tabs>
        <w:spacing w:before="0" w:line="360" w:lineRule="auto"/>
        <w:ind w:left="640"/>
        <w:jc w:val="both"/>
        <w:rPr>
          <w:sz w:val="21"/>
          <w:szCs w:val="21"/>
        </w:rPr>
      </w:pPr>
      <w:r>
        <w:rPr>
          <w:sz w:val="21"/>
          <w:szCs w:val="21"/>
        </w:rPr>
        <w:t>评标价：见评标办法前附表；</w:t>
      </w:r>
    </w:p>
    <w:p w14:paraId="6954F984">
      <w:pPr>
        <w:pStyle w:val="18"/>
        <w:numPr>
          <w:ilvl w:val="0"/>
          <w:numId w:val="4"/>
        </w:numPr>
        <w:shd w:val="clear" w:color="auto" w:fill="auto"/>
        <w:tabs>
          <w:tab w:val="left" w:pos="1169"/>
        </w:tabs>
        <w:spacing w:before="0" w:line="360" w:lineRule="auto"/>
        <w:ind w:left="640"/>
        <w:jc w:val="both"/>
        <w:rPr>
          <w:sz w:val="21"/>
          <w:szCs w:val="21"/>
        </w:rPr>
      </w:pPr>
      <w:r>
        <w:rPr>
          <w:sz w:val="21"/>
          <w:szCs w:val="21"/>
        </w:rPr>
        <w:t>其他评分因素：见评标办法前附表。</w:t>
      </w:r>
    </w:p>
    <w:p w14:paraId="745F869B">
      <w:pPr>
        <w:pStyle w:val="23"/>
        <w:shd w:val="clear" w:color="auto" w:fill="auto"/>
        <w:spacing w:line="360" w:lineRule="auto"/>
        <w:ind w:firstLine="500"/>
        <w:jc w:val="both"/>
        <w:rPr>
          <w:rFonts w:ascii="宋体" w:hAnsi="宋体" w:eastAsia="宋体"/>
          <w:b/>
          <w:sz w:val="21"/>
          <w:szCs w:val="21"/>
        </w:rPr>
      </w:pPr>
      <w:r>
        <w:rPr>
          <w:rStyle w:val="25"/>
          <w:rFonts w:ascii="宋体" w:hAnsi="宋体" w:eastAsia="宋体"/>
          <w:b w:val="0"/>
          <w:color w:val="auto"/>
          <w:sz w:val="21"/>
          <w:szCs w:val="21"/>
          <w:shd w:val="clear" w:color="auto" w:fill="auto"/>
          <w:lang w:eastAsia="zh-CN"/>
        </w:rPr>
        <w:t>2</w:t>
      </w:r>
      <w:r>
        <w:rPr>
          <w:rStyle w:val="26"/>
          <w:rFonts w:ascii="宋体" w:hAnsi="宋体" w:eastAsia="宋体"/>
          <w:b/>
          <w:color w:val="auto"/>
          <w:sz w:val="21"/>
          <w:szCs w:val="21"/>
          <w:shd w:val="clear" w:color="auto" w:fill="auto"/>
          <w:lang w:eastAsia="zh-CN"/>
        </w:rPr>
        <w:t>.</w:t>
      </w:r>
      <w:r>
        <w:rPr>
          <w:rStyle w:val="25"/>
          <w:rFonts w:ascii="宋体" w:hAnsi="宋体" w:eastAsia="宋体"/>
          <w:b w:val="0"/>
          <w:color w:val="auto"/>
          <w:sz w:val="21"/>
          <w:szCs w:val="21"/>
          <w:shd w:val="clear" w:color="auto" w:fill="auto"/>
          <w:lang w:eastAsia="zh-CN"/>
        </w:rPr>
        <w:t>2.2</w:t>
      </w:r>
      <w:r>
        <w:rPr>
          <w:rStyle w:val="24"/>
          <w:rFonts w:ascii="宋体" w:hAnsi="宋体" w:eastAsia="宋体"/>
          <w:color w:val="auto"/>
          <w:sz w:val="21"/>
          <w:szCs w:val="21"/>
          <w:shd w:val="clear" w:color="auto" w:fill="auto"/>
        </w:rPr>
        <w:t>评标基准价计算</w:t>
      </w:r>
    </w:p>
    <w:p w14:paraId="60BCAC01">
      <w:pPr>
        <w:pStyle w:val="18"/>
        <w:shd w:val="clear" w:color="auto" w:fill="auto"/>
        <w:spacing w:before="0" w:line="360" w:lineRule="auto"/>
        <w:ind w:firstLine="500"/>
        <w:jc w:val="both"/>
        <w:rPr>
          <w:sz w:val="21"/>
          <w:szCs w:val="21"/>
        </w:rPr>
      </w:pPr>
      <w:r>
        <w:rPr>
          <w:sz w:val="21"/>
          <w:szCs w:val="21"/>
        </w:rPr>
        <w:t>评标基准价计算方法：见评标办法前附表。</w:t>
      </w:r>
    </w:p>
    <w:p w14:paraId="5DD94153">
      <w:pPr>
        <w:pStyle w:val="23"/>
        <w:shd w:val="clear" w:color="auto" w:fill="auto"/>
        <w:spacing w:line="360" w:lineRule="auto"/>
        <w:ind w:firstLine="500"/>
        <w:jc w:val="both"/>
        <w:rPr>
          <w:rFonts w:ascii="宋体" w:hAnsi="宋体" w:eastAsia="宋体"/>
          <w:b/>
          <w:sz w:val="21"/>
          <w:szCs w:val="21"/>
        </w:rPr>
      </w:pPr>
      <w:r>
        <w:rPr>
          <w:rStyle w:val="25"/>
          <w:rFonts w:ascii="宋体" w:hAnsi="宋体" w:eastAsia="宋体"/>
          <w:b w:val="0"/>
          <w:color w:val="auto"/>
          <w:sz w:val="21"/>
          <w:szCs w:val="21"/>
          <w:shd w:val="clear" w:color="auto" w:fill="auto"/>
          <w:lang w:eastAsia="zh-CN"/>
        </w:rPr>
        <w:t>2.2.3</w:t>
      </w:r>
      <w:r>
        <w:rPr>
          <w:rStyle w:val="24"/>
          <w:rFonts w:ascii="宋体" w:hAnsi="宋体" w:eastAsia="宋体"/>
          <w:color w:val="auto"/>
          <w:sz w:val="21"/>
          <w:szCs w:val="21"/>
          <w:shd w:val="clear" w:color="auto" w:fill="auto"/>
        </w:rPr>
        <w:t>评标价的偏差率计算</w:t>
      </w:r>
    </w:p>
    <w:p w14:paraId="420C53B4">
      <w:pPr>
        <w:pStyle w:val="18"/>
        <w:shd w:val="clear" w:color="auto" w:fill="auto"/>
        <w:spacing w:before="0" w:line="360" w:lineRule="auto"/>
        <w:ind w:firstLine="500"/>
        <w:jc w:val="both"/>
        <w:rPr>
          <w:sz w:val="21"/>
          <w:szCs w:val="21"/>
        </w:rPr>
      </w:pPr>
      <w:r>
        <w:rPr>
          <w:sz w:val="21"/>
          <w:szCs w:val="21"/>
        </w:rPr>
        <w:t>评标价的偏差率计算公式：见评标办法前附表。</w:t>
      </w:r>
    </w:p>
    <w:p w14:paraId="11D1DA18">
      <w:pPr>
        <w:pStyle w:val="23"/>
        <w:shd w:val="clear" w:color="auto" w:fill="auto"/>
        <w:spacing w:line="360" w:lineRule="auto"/>
        <w:ind w:firstLine="500"/>
        <w:jc w:val="both"/>
        <w:rPr>
          <w:rFonts w:ascii="宋体" w:hAnsi="宋体" w:eastAsia="宋体"/>
          <w:b/>
          <w:sz w:val="21"/>
          <w:szCs w:val="21"/>
        </w:rPr>
      </w:pPr>
      <w:r>
        <w:rPr>
          <w:rStyle w:val="25"/>
          <w:rFonts w:ascii="宋体" w:hAnsi="宋体" w:eastAsia="宋体"/>
          <w:b w:val="0"/>
          <w:color w:val="auto"/>
          <w:sz w:val="21"/>
          <w:szCs w:val="21"/>
          <w:shd w:val="clear" w:color="auto" w:fill="auto"/>
        </w:rPr>
        <w:t>2.2.4</w:t>
      </w:r>
      <w:r>
        <w:rPr>
          <w:rStyle w:val="24"/>
          <w:rFonts w:ascii="宋体" w:hAnsi="宋体" w:eastAsia="宋体"/>
          <w:color w:val="auto"/>
          <w:sz w:val="21"/>
          <w:szCs w:val="21"/>
          <w:shd w:val="clear" w:color="auto" w:fill="auto"/>
        </w:rPr>
        <w:t>评分标准</w:t>
      </w:r>
    </w:p>
    <w:p w14:paraId="1C5C7BC5">
      <w:pPr>
        <w:pStyle w:val="18"/>
        <w:numPr>
          <w:ilvl w:val="0"/>
          <w:numId w:val="5"/>
        </w:numPr>
        <w:shd w:val="clear" w:color="auto" w:fill="auto"/>
        <w:tabs>
          <w:tab w:val="left" w:pos="1166"/>
        </w:tabs>
        <w:spacing w:before="0" w:line="360" w:lineRule="auto"/>
        <w:ind w:left="709"/>
        <w:jc w:val="both"/>
        <w:rPr>
          <w:sz w:val="21"/>
          <w:szCs w:val="21"/>
        </w:rPr>
      </w:pPr>
      <w:r>
        <w:rPr>
          <w:sz w:val="21"/>
          <w:szCs w:val="21"/>
        </w:rPr>
        <w:t>技术建议书评分标准：见评标办法前附表;</w:t>
      </w:r>
    </w:p>
    <w:p w14:paraId="70C3F0CE">
      <w:pPr>
        <w:pStyle w:val="18"/>
        <w:numPr>
          <w:ilvl w:val="0"/>
          <w:numId w:val="5"/>
        </w:numPr>
        <w:shd w:val="clear" w:color="auto" w:fill="auto"/>
        <w:tabs>
          <w:tab w:val="left" w:pos="1169"/>
        </w:tabs>
        <w:spacing w:before="0" w:line="360" w:lineRule="auto"/>
        <w:ind w:left="709"/>
        <w:jc w:val="both"/>
        <w:rPr>
          <w:sz w:val="21"/>
          <w:szCs w:val="21"/>
        </w:rPr>
      </w:pPr>
      <w:r>
        <w:rPr>
          <w:sz w:val="21"/>
          <w:szCs w:val="21"/>
        </w:rPr>
        <w:t>主要人员评分标准：见评标办法前附表；</w:t>
      </w:r>
    </w:p>
    <w:p w14:paraId="2F3AA7C8">
      <w:pPr>
        <w:pStyle w:val="18"/>
        <w:numPr>
          <w:ilvl w:val="0"/>
          <w:numId w:val="5"/>
        </w:numPr>
        <w:shd w:val="clear" w:color="auto" w:fill="auto"/>
        <w:tabs>
          <w:tab w:val="left" w:pos="1169"/>
        </w:tabs>
        <w:spacing w:before="0" w:line="360" w:lineRule="auto"/>
        <w:ind w:left="709"/>
        <w:jc w:val="both"/>
        <w:rPr>
          <w:sz w:val="21"/>
          <w:szCs w:val="21"/>
        </w:rPr>
      </w:pPr>
      <w:r>
        <w:rPr>
          <w:sz w:val="21"/>
          <w:szCs w:val="21"/>
        </w:rPr>
        <w:t>评标价评分标准：见评标办法前附表；</w:t>
      </w:r>
    </w:p>
    <w:p w14:paraId="0BE6C94C">
      <w:pPr>
        <w:pStyle w:val="18"/>
        <w:numPr>
          <w:ilvl w:val="0"/>
          <w:numId w:val="5"/>
        </w:numPr>
        <w:shd w:val="clear" w:color="auto" w:fill="auto"/>
        <w:tabs>
          <w:tab w:val="left" w:pos="1169"/>
        </w:tabs>
        <w:spacing w:before="0" w:line="360" w:lineRule="auto"/>
        <w:ind w:left="708" w:leftChars="337"/>
        <w:jc w:val="both"/>
        <w:rPr>
          <w:rStyle w:val="22"/>
          <w:rFonts w:ascii="宋体" w:hAnsi="宋体" w:eastAsia="宋体"/>
          <w:color w:val="auto"/>
          <w:sz w:val="21"/>
          <w:szCs w:val="21"/>
          <w:shd w:val="clear" w:color="auto" w:fill="auto"/>
          <w:lang w:eastAsia="zh-CN" w:bidi="ar-SA"/>
        </w:rPr>
      </w:pPr>
      <w:r>
        <w:rPr>
          <w:sz w:val="21"/>
          <w:szCs w:val="21"/>
        </w:rPr>
        <w:t>其他因素评分标准：见评标办法前附表。</w:t>
      </w:r>
      <w:bookmarkStart w:id="23" w:name="bookmark93"/>
    </w:p>
    <w:p w14:paraId="14A5C31B">
      <w:pPr>
        <w:spacing w:line="360" w:lineRule="auto"/>
        <w:rPr>
          <w:rFonts w:ascii="黑体" w:hAnsi="黑体" w:eastAsia="黑体" w:cs="MingLiU"/>
          <w:spacing w:val="20"/>
          <w:sz w:val="28"/>
          <w:szCs w:val="28"/>
          <w:lang w:val="zh-TW" w:bidi="zh-TW"/>
        </w:rPr>
      </w:pPr>
      <w:r>
        <w:rPr>
          <w:rStyle w:val="22"/>
          <w:rFonts w:hint="eastAsia" w:ascii="黑体" w:hAnsi="黑体" w:eastAsia="黑体"/>
          <w:color w:val="auto"/>
          <w:shd w:val="clear" w:color="auto" w:fill="auto"/>
          <w:lang w:eastAsia="zh-CN"/>
        </w:rPr>
        <w:t>3.</w:t>
      </w:r>
      <w:r>
        <w:rPr>
          <w:rStyle w:val="22"/>
          <w:rFonts w:ascii="黑体" w:hAnsi="黑体" w:eastAsia="黑体"/>
          <w:color w:val="auto"/>
          <w:shd w:val="clear" w:color="auto" w:fill="auto"/>
        </w:rPr>
        <w:t>评标程序</w:t>
      </w:r>
      <w:bookmarkEnd w:id="23"/>
    </w:p>
    <w:p w14:paraId="748463B5">
      <w:pPr>
        <w:spacing w:line="360" w:lineRule="auto"/>
        <w:rPr>
          <w:rFonts w:ascii="宋体" w:hAnsi="宋体" w:cs="MingLiU"/>
          <w:b/>
          <w:sz w:val="24"/>
          <w:szCs w:val="24"/>
          <w:lang w:val="zh-TW" w:bidi="zh-TW"/>
        </w:rPr>
      </w:pPr>
      <w:bookmarkStart w:id="24" w:name="bookmark94"/>
      <w:r>
        <w:rPr>
          <w:rStyle w:val="27"/>
          <w:rFonts w:hint="eastAsia" w:ascii="宋体" w:hAnsi="宋体" w:eastAsia="宋体"/>
          <w:b/>
          <w:color w:val="auto"/>
          <w:sz w:val="24"/>
          <w:szCs w:val="24"/>
          <w:shd w:val="clear" w:color="auto" w:fill="auto"/>
        </w:rPr>
        <w:t>3.1</w:t>
      </w:r>
      <w:r>
        <w:rPr>
          <w:rStyle w:val="27"/>
          <w:rFonts w:ascii="宋体" w:hAnsi="宋体" w:eastAsia="宋体"/>
          <w:b/>
          <w:color w:val="auto"/>
          <w:sz w:val="24"/>
          <w:szCs w:val="24"/>
          <w:shd w:val="clear" w:color="auto" w:fill="auto"/>
        </w:rPr>
        <w:t>第一个信封初步评审</w:t>
      </w:r>
      <w:bookmarkEnd w:id="24"/>
    </w:p>
    <w:p w14:paraId="266E5A1F">
      <w:pPr>
        <w:pStyle w:val="18"/>
        <w:shd w:val="clear" w:color="auto" w:fill="auto"/>
        <w:spacing w:before="0" w:line="360" w:lineRule="auto"/>
        <w:ind w:firstLine="520"/>
        <w:jc w:val="both"/>
        <w:rPr>
          <w:sz w:val="21"/>
          <w:szCs w:val="21"/>
        </w:rPr>
      </w:pPr>
      <w:r>
        <w:rPr>
          <w:sz w:val="21"/>
          <w:szCs w:val="21"/>
          <w:lang w:bidi="en-US"/>
        </w:rPr>
        <w:t>3.1.1</w:t>
      </w:r>
      <w:r>
        <w:rPr>
          <w:sz w:val="21"/>
          <w:szCs w:val="21"/>
        </w:rPr>
        <w:t>评标委员会可以要求投标人提交第二章“投标人须知”第</w:t>
      </w:r>
      <w:r>
        <w:rPr>
          <w:rFonts w:hint="eastAsia"/>
          <w:sz w:val="21"/>
          <w:szCs w:val="21"/>
          <w:lang w:bidi="en-US"/>
        </w:rPr>
        <w:t>3.</w:t>
      </w:r>
      <w:r>
        <w:rPr>
          <w:sz w:val="21"/>
          <w:szCs w:val="21"/>
          <w:lang w:bidi="en-US"/>
        </w:rPr>
        <w:t>5.1</w:t>
      </w:r>
      <w:r>
        <w:rPr>
          <w:sz w:val="21"/>
          <w:szCs w:val="21"/>
        </w:rPr>
        <w:t>项至第</w:t>
      </w:r>
      <w:r>
        <w:rPr>
          <w:sz w:val="21"/>
          <w:szCs w:val="21"/>
          <w:lang w:bidi="en-US"/>
        </w:rPr>
        <w:t xml:space="preserve">3.5.5 </w:t>
      </w:r>
      <w:r>
        <w:rPr>
          <w:sz w:val="21"/>
          <w:szCs w:val="21"/>
        </w:rPr>
        <w:t>项规定的有关证明和证件的原件，以便核验。评标委员会依据本章第</w:t>
      </w:r>
      <w:r>
        <w:rPr>
          <w:sz w:val="21"/>
          <w:szCs w:val="21"/>
          <w:lang w:bidi="en-US"/>
        </w:rPr>
        <w:t>2.1</w:t>
      </w:r>
      <w:r>
        <w:rPr>
          <w:sz w:val="21"/>
          <w:szCs w:val="21"/>
        </w:rPr>
        <w:t>款规定的标准对投标文件第一个信封（商务及技术文件）进行初步评审。有一项不符合评审标准的，评标委员会应否决其投标。（适用于未进行资格预审的）</w:t>
      </w:r>
    </w:p>
    <w:p w14:paraId="12633391">
      <w:pPr>
        <w:pStyle w:val="18"/>
        <w:shd w:val="clear" w:color="auto" w:fill="auto"/>
        <w:spacing w:before="0" w:line="360" w:lineRule="auto"/>
        <w:ind w:firstLine="520"/>
        <w:jc w:val="both"/>
        <w:rPr>
          <w:sz w:val="21"/>
          <w:szCs w:val="21"/>
        </w:rPr>
      </w:pPr>
      <w:r>
        <w:rPr>
          <w:sz w:val="21"/>
          <w:szCs w:val="21"/>
          <w:lang w:bidi="en-US"/>
        </w:rPr>
        <w:t>3.1.</w:t>
      </w:r>
      <w:r>
        <w:rPr>
          <w:rFonts w:hint="eastAsia"/>
          <w:sz w:val="21"/>
          <w:szCs w:val="21"/>
          <w:lang w:bidi="en-US"/>
        </w:rPr>
        <w:t>2</w:t>
      </w:r>
      <w:r>
        <w:rPr>
          <w:sz w:val="21"/>
          <w:szCs w:val="21"/>
        </w:rPr>
        <w:t>评标委员会依据本章第</w:t>
      </w:r>
      <w:r>
        <w:rPr>
          <w:sz w:val="21"/>
          <w:szCs w:val="21"/>
          <w:lang w:bidi="en-US"/>
        </w:rPr>
        <w:t>2.1.1</w:t>
      </w:r>
      <w:r>
        <w:rPr>
          <w:sz w:val="21"/>
          <w:szCs w:val="21"/>
        </w:rPr>
        <w:t>项、第</w:t>
      </w:r>
      <w:r>
        <w:rPr>
          <w:sz w:val="21"/>
          <w:szCs w:val="21"/>
          <w:lang w:bidi="en-US"/>
        </w:rPr>
        <w:t>2.1.3</w:t>
      </w:r>
      <w:r>
        <w:rPr>
          <w:sz w:val="21"/>
          <w:szCs w:val="21"/>
        </w:rPr>
        <w:t>项规定的评审标准对投标文件第一个信封（商务及技术文件）进行初步评审。有一项不符合评审标准的，评标委员会应否决其投标。当投标人资格预审申请文件的内容发生重大变化时，评标委员会依据本章第</w:t>
      </w:r>
      <w:r>
        <w:rPr>
          <w:sz w:val="21"/>
          <w:szCs w:val="21"/>
          <w:lang w:bidi="en-US"/>
        </w:rPr>
        <w:t>2.1.2</w:t>
      </w:r>
      <w:r>
        <w:rPr>
          <w:sz w:val="21"/>
          <w:szCs w:val="21"/>
        </w:rPr>
        <w:t>项规定的标准对其更新资料进行评审。（适用于己进行资格预审的）</w:t>
      </w:r>
    </w:p>
    <w:p w14:paraId="0E273CD6">
      <w:pPr>
        <w:spacing w:line="360" w:lineRule="auto"/>
        <w:rPr>
          <w:rFonts w:ascii="宋体" w:hAnsi="宋体"/>
          <w:b/>
          <w:szCs w:val="21"/>
        </w:rPr>
      </w:pPr>
      <w:bookmarkStart w:id="25" w:name="bookmark95"/>
      <w:r>
        <w:rPr>
          <w:rStyle w:val="27"/>
          <w:rFonts w:hint="eastAsia" w:ascii="宋体" w:hAnsi="宋体" w:eastAsia="宋体"/>
          <w:b/>
          <w:color w:val="auto"/>
          <w:sz w:val="24"/>
          <w:szCs w:val="24"/>
          <w:shd w:val="clear" w:color="auto" w:fill="auto"/>
        </w:rPr>
        <w:t>3.2</w:t>
      </w:r>
      <w:r>
        <w:rPr>
          <w:rStyle w:val="27"/>
          <w:rFonts w:ascii="宋体" w:hAnsi="宋体" w:eastAsia="宋体"/>
          <w:b/>
          <w:color w:val="auto"/>
          <w:sz w:val="24"/>
          <w:szCs w:val="24"/>
          <w:shd w:val="clear" w:color="auto" w:fill="auto"/>
        </w:rPr>
        <w:t>第一个信封详细评审</w:t>
      </w:r>
      <w:bookmarkEnd w:id="25"/>
    </w:p>
    <w:p w14:paraId="3398E29F">
      <w:pPr>
        <w:pStyle w:val="18"/>
        <w:shd w:val="clear" w:color="auto" w:fill="auto"/>
        <w:spacing w:before="0" w:line="360" w:lineRule="auto"/>
        <w:ind w:firstLine="520"/>
        <w:jc w:val="both"/>
        <w:rPr>
          <w:sz w:val="21"/>
          <w:szCs w:val="21"/>
        </w:rPr>
      </w:pPr>
      <w:r>
        <w:rPr>
          <w:sz w:val="21"/>
          <w:szCs w:val="21"/>
          <w:lang w:bidi="en-US"/>
        </w:rPr>
        <w:t>3.2.1</w:t>
      </w:r>
      <w:r>
        <w:rPr>
          <w:sz w:val="21"/>
          <w:szCs w:val="21"/>
        </w:rPr>
        <w:t>评标委员会按本章第</w:t>
      </w:r>
      <w:r>
        <w:rPr>
          <w:sz w:val="21"/>
          <w:szCs w:val="21"/>
          <w:lang w:bidi="en-US"/>
        </w:rPr>
        <w:t>2.2</w:t>
      </w:r>
      <w:r>
        <w:rPr>
          <w:sz w:val="21"/>
          <w:szCs w:val="21"/>
        </w:rPr>
        <w:t>款规定的量化因素和分值进行打分，并计算出各投标人的商务和技术得分。</w:t>
      </w:r>
    </w:p>
    <w:p w14:paraId="045BB0C0">
      <w:pPr>
        <w:pStyle w:val="18"/>
        <w:numPr>
          <w:ilvl w:val="0"/>
          <w:numId w:val="6"/>
        </w:numPr>
        <w:shd w:val="clear" w:color="auto" w:fill="auto"/>
        <w:tabs>
          <w:tab w:val="left" w:pos="1136"/>
        </w:tabs>
        <w:spacing w:before="0" w:line="360" w:lineRule="auto"/>
        <w:ind w:firstLine="640"/>
        <w:jc w:val="left"/>
        <w:rPr>
          <w:sz w:val="21"/>
          <w:szCs w:val="21"/>
        </w:rPr>
      </w:pPr>
      <w:r>
        <w:rPr>
          <w:sz w:val="21"/>
          <w:szCs w:val="21"/>
        </w:rPr>
        <w:t>按本章第</w:t>
      </w:r>
      <w:r>
        <w:rPr>
          <w:sz w:val="21"/>
          <w:szCs w:val="21"/>
          <w:lang w:bidi="en-US"/>
        </w:rPr>
        <w:t>2.2.4</w:t>
      </w:r>
      <w:r>
        <w:rPr>
          <w:sz w:val="21"/>
          <w:szCs w:val="21"/>
        </w:rPr>
        <w:t>项</w:t>
      </w:r>
      <w:r>
        <w:rPr>
          <w:sz w:val="21"/>
          <w:szCs w:val="21"/>
          <w:lang w:bidi="en-US"/>
        </w:rPr>
        <w:t>（1）</w:t>
      </w:r>
      <w:r>
        <w:rPr>
          <w:sz w:val="21"/>
          <w:szCs w:val="21"/>
        </w:rPr>
        <w:t>目规定的评审因素和分值对技术建议书部分计算出得分</w:t>
      </w:r>
      <w:r>
        <w:rPr>
          <w:rStyle w:val="25"/>
          <w:color w:val="auto"/>
          <w:sz w:val="21"/>
          <w:szCs w:val="21"/>
          <w:shd w:val="clear" w:color="auto" w:fill="auto"/>
          <w:lang w:eastAsia="zh-CN"/>
        </w:rPr>
        <w:t>A</w:t>
      </w:r>
      <w:r>
        <w:rPr>
          <w:rFonts w:hint="eastAsia"/>
          <w:sz w:val="21"/>
          <w:szCs w:val="21"/>
          <w:lang w:bidi="en-US"/>
        </w:rPr>
        <w:t>；</w:t>
      </w:r>
    </w:p>
    <w:p w14:paraId="3EDD8CD3">
      <w:pPr>
        <w:pStyle w:val="18"/>
        <w:numPr>
          <w:ilvl w:val="0"/>
          <w:numId w:val="6"/>
        </w:numPr>
        <w:shd w:val="clear" w:color="auto" w:fill="auto"/>
        <w:tabs>
          <w:tab w:val="left" w:pos="1169"/>
        </w:tabs>
        <w:spacing w:before="0" w:line="360" w:lineRule="auto"/>
        <w:ind w:left="640"/>
        <w:jc w:val="both"/>
        <w:rPr>
          <w:sz w:val="21"/>
          <w:szCs w:val="21"/>
        </w:rPr>
      </w:pPr>
      <w:r>
        <w:rPr>
          <w:sz w:val="21"/>
          <w:szCs w:val="21"/>
        </w:rPr>
        <w:t>按本章第</w:t>
      </w:r>
      <w:r>
        <w:rPr>
          <w:sz w:val="21"/>
          <w:szCs w:val="21"/>
          <w:lang w:bidi="en-US"/>
        </w:rPr>
        <w:t>2.2.4</w:t>
      </w:r>
      <w:r>
        <w:rPr>
          <w:sz w:val="21"/>
          <w:szCs w:val="21"/>
        </w:rPr>
        <w:t>项</w:t>
      </w:r>
      <w:r>
        <w:rPr>
          <w:sz w:val="21"/>
          <w:szCs w:val="21"/>
          <w:lang w:bidi="en-US"/>
        </w:rPr>
        <w:t>（2）</w:t>
      </w:r>
      <w:r>
        <w:rPr>
          <w:sz w:val="21"/>
          <w:szCs w:val="21"/>
        </w:rPr>
        <w:t>目规定的评审因素和分值对主要人员部分计算出得分</w:t>
      </w:r>
      <w:r>
        <w:rPr>
          <w:rStyle w:val="25"/>
          <w:color w:val="auto"/>
          <w:sz w:val="21"/>
          <w:szCs w:val="21"/>
          <w:shd w:val="clear" w:color="auto" w:fill="auto"/>
          <w:lang w:eastAsia="zh-CN"/>
        </w:rPr>
        <w:t>B</w:t>
      </w:r>
      <w:r>
        <w:rPr>
          <w:rFonts w:hint="eastAsia"/>
          <w:sz w:val="21"/>
          <w:szCs w:val="21"/>
          <w:lang w:bidi="en-US"/>
        </w:rPr>
        <w:t>；</w:t>
      </w:r>
    </w:p>
    <w:p w14:paraId="0F66FBEE">
      <w:pPr>
        <w:pStyle w:val="18"/>
        <w:numPr>
          <w:ilvl w:val="0"/>
          <w:numId w:val="6"/>
        </w:numPr>
        <w:shd w:val="clear" w:color="auto" w:fill="auto"/>
        <w:tabs>
          <w:tab w:val="left" w:pos="1176"/>
        </w:tabs>
        <w:spacing w:before="0" w:line="360" w:lineRule="auto"/>
        <w:ind w:left="520" w:firstLine="120"/>
        <w:jc w:val="left"/>
        <w:rPr>
          <w:sz w:val="21"/>
          <w:szCs w:val="21"/>
        </w:rPr>
      </w:pPr>
      <w:r>
        <w:rPr>
          <w:sz w:val="21"/>
          <w:szCs w:val="21"/>
        </w:rPr>
        <w:t>按本章第</w:t>
      </w:r>
      <w:r>
        <w:rPr>
          <w:sz w:val="21"/>
          <w:szCs w:val="21"/>
          <w:lang w:bidi="en-US"/>
        </w:rPr>
        <w:t>2.2.4</w:t>
      </w:r>
      <w:r>
        <w:rPr>
          <w:sz w:val="21"/>
          <w:szCs w:val="21"/>
        </w:rPr>
        <w:t>项</w:t>
      </w:r>
      <w:r>
        <w:rPr>
          <w:sz w:val="21"/>
          <w:szCs w:val="21"/>
          <w:lang w:bidi="en-US"/>
        </w:rPr>
        <w:t>（4）</w:t>
      </w:r>
      <w:r>
        <w:rPr>
          <w:sz w:val="21"/>
          <w:szCs w:val="21"/>
        </w:rPr>
        <w:t>目规定的评审因素和分值对其他部分计算出得分</w:t>
      </w:r>
      <w:r>
        <w:rPr>
          <w:rStyle w:val="25"/>
          <w:color w:val="auto"/>
          <w:sz w:val="21"/>
          <w:szCs w:val="21"/>
          <w:shd w:val="clear" w:color="auto" w:fill="auto"/>
          <w:lang w:eastAsia="zh-CN"/>
        </w:rPr>
        <w:t>D</w:t>
      </w:r>
      <w:r>
        <w:rPr>
          <w:sz w:val="21"/>
          <w:szCs w:val="21"/>
          <w:lang w:bidi="en-US"/>
        </w:rPr>
        <w:t xml:space="preserve">。 </w:t>
      </w:r>
    </w:p>
    <w:p w14:paraId="0CEA6466">
      <w:pPr>
        <w:pStyle w:val="18"/>
        <w:shd w:val="clear" w:color="auto" w:fill="auto"/>
        <w:spacing w:before="0" w:line="360" w:lineRule="auto"/>
        <w:ind w:firstLine="520"/>
        <w:jc w:val="both"/>
        <w:rPr>
          <w:sz w:val="21"/>
          <w:szCs w:val="21"/>
          <w:lang w:bidi="en-US"/>
        </w:rPr>
      </w:pPr>
      <w:r>
        <w:rPr>
          <w:sz w:val="21"/>
          <w:szCs w:val="21"/>
          <w:lang w:bidi="en-US"/>
        </w:rPr>
        <w:t>3.2.2投标人的商务和技术得分分值计算保留小数点后两位，小数点后第三位“四舍五入”。</w:t>
      </w:r>
    </w:p>
    <w:p w14:paraId="70C6803F">
      <w:pPr>
        <w:pStyle w:val="18"/>
        <w:shd w:val="clear" w:color="auto" w:fill="auto"/>
        <w:spacing w:before="0" w:line="360" w:lineRule="auto"/>
        <w:ind w:firstLine="520"/>
        <w:jc w:val="both"/>
        <w:rPr>
          <w:sz w:val="21"/>
          <w:szCs w:val="21"/>
        </w:rPr>
      </w:pPr>
      <w:r>
        <w:rPr>
          <w:sz w:val="21"/>
          <w:szCs w:val="21"/>
          <w:lang w:bidi="en-US"/>
        </w:rPr>
        <w:t>3.2.3</w:t>
      </w:r>
      <w:r>
        <w:rPr>
          <w:sz w:val="21"/>
          <w:szCs w:val="21"/>
        </w:rPr>
        <w:t>投标人的商务和技术得分</w:t>
      </w:r>
      <w:r>
        <w:rPr>
          <w:sz w:val="21"/>
          <w:szCs w:val="21"/>
          <w:lang w:bidi="en-US"/>
        </w:rPr>
        <w:t>=</w:t>
      </w:r>
      <w:r>
        <w:rPr>
          <w:rStyle w:val="25"/>
          <w:color w:val="auto"/>
          <w:sz w:val="21"/>
          <w:szCs w:val="21"/>
          <w:shd w:val="clear" w:color="auto" w:fill="auto"/>
          <w:lang w:eastAsia="zh-CN"/>
        </w:rPr>
        <w:t>A</w:t>
      </w:r>
      <w:r>
        <w:rPr>
          <w:sz w:val="21"/>
          <w:szCs w:val="21"/>
          <w:lang w:bidi="en-US"/>
        </w:rPr>
        <w:t>+</w:t>
      </w:r>
      <w:r>
        <w:rPr>
          <w:rStyle w:val="25"/>
          <w:color w:val="auto"/>
          <w:sz w:val="21"/>
          <w:szCs w:val="21"/>
          <w:shd w:val="clear" w:color="auto" w:fill="auto"/>
          <w:lang w:eastAsia="zh-CN"/>
        </w:rPr>
        <w:t>B</w:t>
      </w:r>
      <w:r>
        <w:rPr>
          <w:sz w:val="21"/>
          <w:szCs w:val="21"/>
          <w:lang w:bidi="en-US"/>
        </w:rPr>
        <w:t>+</w:t>
      </w:r>
      <w:r>
        <w:rPr>
          <w:rStyle w:val="25"/>
          <w:color w:val="auto"/>
          <w:sz w:val="21"/>
          <w:szCs w:val="21"/>
          <w:shd w:val="clear" w:color="auto" w:fill="auto"/>
          <w:lang w:eastAsia="zh-CN"/>
        </w:rPr>
        <w:t>D</w:t>
      </w:r>
      <w:r>
        <w:rPr>
          <w:sz w:val="21"/>
          <w:szCs w:val="21"/>
          <w:lang w:bidi="en-US"/>
        </w:rPr>
        <w:t>。</w:t>
      </w:r>
    </w:p>
    <w:p w14:paraId="361E9F06">
      <w:pPr>
        <w:spacing w:line="360" w:lineRule="auto"/>
        <w:rPr>
          <w:rFonts w:ascii="宋体" w:hAnsi="宋体"/>
          <w:b/>
          <w:szCs w:val="21"/>
        </w:rPr>
      </w:pPr>
      <w:bookmarkStart w:id="26" w:name="bookmark96"/>
      <w:r>
        <w:rPr>
          <w:rStyle w:val="27"/>
          <w:rFonts w:hint="eastAsia" w:ascii="宋体" w:hAnsi="宋体" w:eastAsia="宋体"/>
          <w:b/>
          <w:color w:val="auto"/>
          <w:sz w:val="24"/>
          <w:szCs w:val="24"/>
          <w:shd w:val="clear" w:color="auto" w:fill="auto"/>
        </w:rPr>
        <w:t>3.3</w:t>
      </w:r>
      <w:r>
        <w:rPr>
          <w:rStyle w:val="27"/>
          <w:rFonts w:ascii="宋体" w:hAnsi="宋体" w:eastAsia="宋体"/>
          <w:b/>
          <w:color w:val="auto"/>
          <w:sz w:val="24"/>
          <w:szCs w:val="24"/>
          <w:shd w:val="clear" w:color="auto" w:fill="auto"/>
        </w:rPr>
        <w:t>第二个信封开标</w:t>
      </w:r>
      <w:bookmarkEnd w:id="26"/>
    </w:p>
    <w:p w14:paraId="242AE532">
      <w:pPr>
        <w:pStyle w:val="18"/>
        <w:shd w:val="clear" w:color="auto" w:fill="auto"/>
        <w:spacing w:before="0" w:line="360" w:lineRule="auto"/>
        <w:ind w:firstLine="520"/>
        <w:jc w:val="both"/>
        <w:rPr>
          <w:sz w:val="21"/>
          <w:szCs w:val="21"/>
        </w:rPr>
      </w:pPr>
      <w:r>
        <w:rPr>
          <w:sz w:val="21"/>
          <w:szCs w:val="21"/>
        </w:rPr>
        <w:t>第一个信封（商务及技术文件）评审结束后，招标人将按照第二章“投标人须知”第</w:t>
      </w:r>
      <w:r>
        <w:rPr>
          <w:sz w:val="21"/>
          <w:szCs w:val="21"/>
          <w:lang w:bidi="en-US"/>
        </w:rPr>
        <w:t>5.1</w:t>
      </w:r>
      <w:r>
        <w:rPr>
          <w:sz w:val="21"/>
          <w:szCs w:val="21"/>
        </w:rPr>
        <w:t>款规定的时间和地点对通过投标文件第一个信封（商务及技术文件）评审的投标文件第二个信封（报价文件）进行开标。</w:t>
      </w:r>
    </w:p>
    <w:p w14:paraId="6D4DBC3E">
      <w:pPr>
        <w:spacing w:line="360" w:lineRule="auto"/>
        <w:rPr>
          <w:rFonts w:ascii="宋体" w:hAnsi="宋体"/>
          <w:b/>
          <w:szCs w:val="21"/>
        </w:rPr>
      </w:pPr>
      <w:bookmarkStart w:id="27" w:name="bookmark97"/>
      <w:r>
        <w:rPr>
          <w:rStyle w:val="27"/>
          <w:rFonts w:hint="eastAsia" w:ascii="宋体" w:hAnsi="宋体" w:eastAsia="宋体"/>
          <w:b/>
          <w:color w:val="auto"/>
          <w:sz w:val="24"/>
          <w:szCs w:val="24"/>
          <w:shd w:val="clear" w:color="auto" w:fill="auto"/>
        </w:rPr>
        <w:t>3.4</w:t>
      </w:r>
      <w:r>
        <w:rPr>
          <w:rStyle w:val="27"/>
          <w:rFonts w:ascii="宋体" w:hAnsi="宋体" w:eastAsia="宋体"/>
          <w:b/>
          <w:color w:val="auto"/>
          <w:sz w:val="24"/>
          <w:szCs w:val="24"/>
          <w:shd w:val="clear" w:color="auto" w:fill="auto"/>
        </w:rPr>
        <w:t>第二个信封初步评审</w:t>
      </w:r>
      <w:bookmarkEnd w:id="27"/>
    </w:p>
    <w:p w14:paraId="0C635F21">
      <w:pPr>
        <w:pStyle w:val="18"/>
        <w:shd w:val="clear" w:color="auto" w:fill="auto"/>
        <w:spacing w:before="0" w:line="360" w:lineRule="auto"/>
        <w:ind w:firstLine="520"/>
        <w:jc w:val="both"/>
        <w:rPr>
          <w:sz w:val="21"/>
          <w:szCs w:val="21"/>
        </w:rPr>
      </w:pPr>
      <w:r>
        <w:rPr>
          <w:sz w:val="21"/>
          <w:szCs w:val="21"/>
          <w:lang w:bidi="en-US"/>
        </w:rPr>
        <w:t>3.4.1</w:t>
      </w:r>
      <w:r>
        <w:rPr>
          <w:sz w:val="21"/>
          <w:szCs w:val="21"/>
        </w:rPr>
        <w:t>评标委员会依据本章第</w:t>
      </w:r>
      <w:r>
        <w:rPr>
          <w:sz w:val="21"/>
          <w:szCs w:val="21"/>
          <w:lang w:bidi="en-US"/>
        </w:rPr>
        <w:t>2.1.1</w:t>
      </w:r>
      <w:r>
        <w:rPr>
          <w:sz w:val="21"/>
          <w:szCs w:val="21"/>
        </w:rPr>
        <w:t>项、第</w:t>
      </w:r>
      <w:r>
        <w:rPr>
          <w:sz w:val="21"/>
          <w:szCs w:val="21"/>
          <w:lang w:bidi="en-US"/>
        </w:rPr>
        <w:t>2.1.3</w:t>
      </w:r>
      <w:r>
        <w:rPr>
          <w:sz w:val="21"/>
          <w:szCs w:val="21"/>
        </w:rPr>
        <w:t>项规定的评审标准对投标文件第二个信封（报价文件）进行初步评审。有一项不符合评审标准的，评标委员会应否决其投标。</w:t>
      </w:r>
    </w:p>
    <w:p w14:paraId="6E45652B">
      <w:pPr>
        <w:pStyle w:val="18"/>
        <w:shd w:val="clear" w:color="auto" w:fill="auto"/>
        <w:spacing w:before="0" w:line="360" w:lineRule="auto"/>
        <w:ind w:firstLine="520"/>
        <w:jc w:val="both"/>
        <w:rPr>
          <w:sz w:val="21"/>
          <w:szCs w:val="21"/>
        </w:rPr>
      </w:pPr>
      <w:r>
        <w:rPr>
          <w:sz w:val="21"/>
          <w:szCs w:val="21"/>
          <w:lang w:bidi="en-US"/>
        </w:rPr>
        <w:t>3.4.2</w:t>
      </w:r>
      <w:r>
        <w:rPr>
          <w:sz w:val="21"/>
          <w:szCs w:val="21"/>
        </w:rPr>
        <w:t>投标报价有算术错误的，评标委员会按以下原则对投标报价进行修正，修正的价格经投标人书面确认后具有约束力。投标人不接受修正价格的，评标委员会应否决其投标。</w:t>
      </w:r>
    </w:p>
    <w:p w14:paraId="2C2E7205">
      <w:pPr>
        <w:pStyle w:val="18"/>
        <w:numPr>
          <w:ilvl w:val="0"/>
          <w:numId w:val="7"/>
        </w:numPr>
        <w:shd w:val="clear" w:color="auto" w:fill="auto"/>
        <w:tabs>
          <w:tab w:val="left" w:pos="1162"/>
        </w:tabs>
        <w:spacing w:before="0" w:line="360" w:lineRule="auto"/>
        <w:ind w:left="640"/>
        <w:jc w:val="both"/>
        <w:rPr>
          <w:sz w:val="21"/>
          <w:szCs w:val="21"/>
        </w:rPr>
      </w:pPr>
      <w:r>
        <w:rPr>
          <w:sz w:val="21"/>
          <w:szCs w:val="21"/>
        </w:rPr>
        <w:t>投标文件中的大写金额与小写金额不一致的，以大写金额为准；</w:t>
      </w:r>
    </w:p>
    <w:p w14:paraId="2E13D57E">
      <w:pPr>
        <w:pStyle w:val="18"/>
        <w:numPr>
          <w:ilvl w:val="0"/>
          <w:numId w:val="7"/>
        </w:numPr>
        <w:shd w:val="clear" w:color="auto" w:fill="auto"/>
        <w:tabs>
          <w:tab w:val="left" w:pos="1132"/>
        </w:tabs>
        <w:spacing w:before="0" w:line="360" w:lineRule="auto"/>
        <w:ind w:firstLine="640"/>
        <w:jc w:val="left"/>
        <w:rPr>
          <w:sz w:val="21"/>
          <w:szCs w:val="21"/>
        </w:rPr>
      </w:pPr>
      <w:r>
        <w:rPr>
          <w:sz w:val="21"/>
          <w:szCs w:val="21"/>
        </w:rPr>
        <w:t>总价金额与依据单价计算出的结果不一致的，以单价金额为准修正总价，但单价金额小数点有明显错误的除外；</w:t>
      </w:r>
    </w:p>
    <w:p w14:paraId="4EAB137E">
      <w:pPr>
        <w:pStyle w:val="18"/>
        <w:numPr>
          <w:ilvl w:val="0"/>
          <w:numId w:val="7"/>
        </w:numPr>
        <w:shd w:val="clear" w:color="auto" w:fill="auto"/>
        <w:tabs>
          <w:tab w:val="left" w:pos="1127"/>
        </w:tabs>
        <w:spacing w:before="0" w:line="360" w:lineRule="auto"/>
        <w:ind w:firstLine="640"/>
        <w:jc w:val="left"/>
        <w:rPr>
          <w:sz w:val="21"/>
          <w:szCs w:val="21"/>
        </w:rPr>
      </w:pPr>
      <w:r>
        <w:rPr>
          <w:sz w:val="21"/>
          <w:szCs w:val="21"/>
        </w:rPr>
        <w:t>当单价与数量相乘不等于合价时，以单价计算为准，如果单价有明显的小数点位置差错，应以标出的合价为准，同时对单价予以修正；</w:t>
      </w:r>
    </w:p>
    <w:p w14:paraId="0519C28C">
      <w:pPr>
        <w:pStyle w:val="18"/>
        <w:numPr>
          <w:ilvl w:val="0"/>
          <w:numId w:val="7"/>
        </w:numPr>
        <w:shd w:val="clear" w:color="auto" w:fill="auto"/>
        <w:tabs>
          <w:tab w:val="left" w:pos="1127"/>
        </w:tabs>
        <w:spacing w:before="0" w:line="360" w:lineRule="auto"/>
        <w:ind w:firstLine="640"/>
        <w:jc w:val="left"/>
        <w:rPr>
          <w:sz w:val="21"/>
          <w:szCs w:val="21"/>
        </w:rPr>
      </w:pPr>
      <w:r>
        <w:rPr>
          <w:sz w:val="21"/>
          <w:szCs w:val="21"/>
        </w:rPr>
        <w:t>当各子目的合价累计不等于总价时，应以各子目合价累计数为准，修正总价。</w:t>
      </w:r>
    </w:p>
    <w:p w14:paraId="2306A2AF">
      <w:pPr>
        <w:pStyle w:val="18"/>
        <w:shd w:val="clear" w:color="auto" w:fill="auto"/>
        <w:spacing w:before="0" w:line="360" w:lineRule="auto"/>
        <w:ind w:firstLine="520"/>
        <w:jc w:val="both"/>
        <w:rPr>
          <w:sz w:val="21"/>
          <w:szCs w:val="21"/>
        </w:rPr>
      </w:pPr>
      <w:r>
        <w:rPr>
          <w:sz w:val="21"/>
          <w:szCs w:val="21"/>
          <w:lang w:bidi="en-US"/>
        </w:rPr>
        <w:t>3.4.3</w:t>
      </w:r>
      <w:r>
        <w:rPr>
          <w:sz w:val="21"/>
          <w:szCs w:val="21"/>
        </w:rPr>
        <w:t>修正后的最终投标报价若超过最高投标限价（如有），评标委员会应否决其投标。</w:t>
      </w:r>
    </w:p>
    <w:p w14:paraId="3F744CD3">
      <w:pPr>
        <w:pStyle w:val="18"/>
        <w:shd w:val="clear" w:color="auto" w:fill="auto"/>
        <w:spacing w:before="0" w:line="360" w:lineRule="auto"/>
        <w:ind w:firstLine="520"/>
        <w:jc w:val="both"/>
        <w:rPr>
          <w:sz w:val="21"/>
          <w:szCs w:val="21"/>
        </w:rPr>
      </w:pPr>
      <w:r>
        <w:rPr>
          <w:sz w:val="21"/>
          <w:szCs w:val="21"/>
          <w:lang w:bidi="en-US"/>
        </w:rPr>
        <w:t>3.4.4</w:t>
      </w:r>
      <w:r>
        <w:rPr>
          <w:sz w:val="21"/>
          <w:szCs w:val="21"/>
        </w:rPr>
        <w:t>修正后的最终投标报价仅作为签订合同的一个依据，不参与评标价得分的计算。</w:t>
      </w:r>
    </w:p>
    <w:p w14:paraId="7E3E4E6E">
      <w:pPr>
        <w:spacing w:line="360" w:lineRule="auto"/>
        <w:rPr>
          <w:szCs w:val="21"/>
          <w:lang w:bidi="en-US"/>
        </w:rPr>
      </w:pPr>
      <w:bookmarkStart w:id="28" w:name="bookmark98"/>
      <w:r>
        <w:rPr>
          <w:rStyle w:val="27"/>
          <w:rFonts w:hint="eastAsia" w:ascii="宋体" w:hAnsi="宋体" w:eastAsia="宋体"/>
          <w:b/>
          <w:color w:val="auto"/>
          <w:sz w:val="24"/>
          <w:szCs w:val="24"/>
          <w:shd w:val="clear" w:color="auto" w:fill="auto"/>
        </w:rPr>
        <w:t>3.5</w:t>
      </w:r>
      <w:r>
        <w:rPr>
          <w:rStyle w:val="27"/>
          <w:rFonts w:ascii="宋体" w:hAnsi="宋体" w:eastAsia="宋体"/>
          <w:b/>
          <w:color w:val="auto"/>
          <w:sz w:val="24"/>
          <w:szCs w:val="24"/>
          <w:shd w:val="clear" w:color="auto" w:fill="auto"/>
        </w:rPr>
        <w:t>第二个信封详细评审</w:t>
      </w:r>
      <w:bookmarkEnd w:id="28"/>
    </w:p>
    <w:p w14:paraId="1C7C4EC5">
      <w:pPr>
        <w:pStyle w:val="18"/>
        <w:shd w:val="clear" w:color="auto" w:fill="auto"/>
        <w:spacing w:before="0" w:line="360" w:lineRule="auto"/>
        <w:ind w:firstLine="520"/>
        <w:jc w:val="left"/>
        <w:rPr>
          <w:sz w:val="21"/>
          <w:szCs w:val="21"/>
        </w:rPr>
      </w:pPr>
      <w:r>
        <w:rPr>
          <w:sz w:val="21"/>
          <w:szCs w:val="21"/>
          <w:lang w:bidi="en-US"/>
        </w:rPr>
        <w:t>3.5.1</w:t>
      </w:r>
      <w:r>
        <w:rPr>
          <w:sz w:val="21"/>
          <w:szCs w:val="21"/>
        </w:rPr>
        <w:t>评标委员会按本章第</w:t>
      </w:r>
      <w:r>
        <w:rPr>
          <w:sz w:val="21"/>
          <w:szCs w:val="21"/>
          <w:lang w:bidi="en-US"/>
        </w:rPr>
        <w:t>2.2.4</w:t>
      </w:r>
      <w:r>
        <w:rPr>
          <w:sz w:val="21"/>
          <w:szCs w:val="21"/>
        </w:rPr>
        <w:t>项</w:t>
      </w:r>
      <w:r>
        <w:rPr>
          <w:sz w:val="21"/>
          <w:szCs w:val="21"/>
          <w:lang w:bidi="en-US"/>
        </w:rPr>
        <w:t>（3）</w:t>
      </w:r>
      <w:r>
        <w:rPr>
          <w:sz w:val="21"/>
          <w:szCs w:val="21"/>
        </w:rPr>
        <w:t>目规定的评审因素和分值对评标价计算 出得分</w:t>
      </w:r>
      <w:r>
        <w:rPr>
          <w:rStyle w:val="25"/>
          <w:color w:val="auto"/>
          <w:sz w:val="21"/>
          <w:szCs w:val="21"/>
          <w:shd w:val="clear" w:color="auto" w:fill="auto"/>
          <w:lang w:eastAsia="zh-CN"/>
        </w:rPr>
        <w:t>C</w:t>
      </w:r>
      <w:r>
        <w:rPr>
          <w:sz w:val="21"/>
          <w:szCs w:val="21"/>
          <w:lang w:bidi="en-US"/>
        </w:rPr>
        <w:t>。</w:t>
      </w:r>
      <w:r>
        <w:rPr>
          <w:sz w:val="21"/>
          <w:szCs w:val="21"/>
        </w:rPr>
        <w:t xml:space="preserve">评标价得分分值计算保留小数点后两位，小数点后第三位“四舍五入”。 </w:t>
      </w:r>
    </w:p>
    <w:p w14:paraId="2662B0BB">
      <w:pPr>
        <w:pStyle w:val="18"/>
        <w:shd w:val="clear" w:color="auto" w:fill="auto"/>
        <w:spacing w:before="0" w:line="360" w:lineRule="auto"/>
        <w:ind w:firstLine="520"/>
        <w:jc w:val="left"/>
        <w:rPr>
          <w:sz w:val="21"/>
          <w:szCs w:val="21"/>
        </w:rPr>
      </w:pPr>
      <w:r>
        <w:rPr>
          <w:sz w:val="21"/>
          <w:szCs w:val="21"/>
          <w:lang w:bidi="en-US"/>
        </w:rPr>
        <w:t>3.5.2</w:t>
      </w:r>
      <w:r>
        <w:rPr>
          <w:sz w:val="21"/>
          <w:szCs w:val="21"/>
        </w:rPr>
        <w:t>投标人综合得分=投标人的商务和技术得分</w:t>
      </w:r>
      <w:r>
        <w:rPr>
          <w:sz w:val="21"/>
          <w:szCs w:val="21"/>
          <w:lang w:bidi="en-US"/>
        </w:rPr>
        <w:t>+</w:t>
      </w:r>
      <w:r>
        <w:rPr>
          <w:rStyle w:val="25"/>
          <w:color w:val="auto"/>
          <w:sz w:val="21"/>
          <w:szCs w:val="21"/>
          <w:shd w:val="clear" w:color="auto" w:fill="auto"/>
          <w:lang w:eastAsia="zh-CN"/>
        </w:rPr>
        <w:t>C</w:t>
      </w:r>
      <w:r>
        <w:rPr>
          <w:sz w:val="21"/>
          <w:szCs w:val="21"/>
          <w:lang w:bidi="en-US"/>
        </w:rPr>
        <w:t>。</w:t>
      </w:r>
    </w:p>
    <w:p w14:paraId="6198693B">
      <w:pPr>
        <w:pStyle w:val="18"/>
        <w:shd w:val="clear" w:color="auto" w:fill="auto"/>
        <w:spacing w:before="0" w:line="360" w:lineRule="auto"/>
        <w:ind w:firstLine="520"/>
        <w:jc w:val="both"/>
        <w:rPr>
          <w:sz w:val="21"/>
          <w:szCs w:val="21"/>
        </w:rPr>
      </w:pPr>
      <w:r>
        <w:rPr>
          <w:sz w:val="21"/>
          <w:szCs w:val="21"/>
          <w:lang w:bidi="en-US"/>
        </w:rPr>
        <w:t>3.5.3</w:t>
      </w:r>
      <w:r>
        <w:rPr>
          <w:sz w:val="21"/>
          <w:szCs w:val="21"/>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24A085E5">
      <w:pPr>
        <w:spacing w:line="360" w:lineRule="auto"/>
        <w:rPr>
          <w:rFonts w:ascii="宋体" w:hAnsi="宋体"/>
          <w:b/>
          <w:szCs w:val="21"/>
        </w:rPr>
      </w:pPr>
      <w:bookmarkStart w:id="29" w:name="bookmark99"/>
      <w:r>
        <w:rPr>
          <w:rStyle w:val="27"/>
          <w:rFonts w:hint="eastAsia" w:ascii="宋体" w:hAnsi="宋体" w:eastAsia="宋体"/>
          <w:b/>
          <w:color w:val="auto"/>
          <w:sz w:val="24"/>
          <w:szCs w:val="24"/>
          <w:shd w:val="clear" w:color="auto" w:fill="auto"/>
        </w:rPr>
        <w:t>3.6</w:t>
      </w:r>
      <w:r>
        <w:rPr>
          <w:rStyle w:val="27"/>
          <w:rFonts w:ascii="宋体" w:hAnsi="宋体" w:eastAsia="宋体"/>
          <w:b/>
          <w:color w:val="auto"/>
          <w:sz w:val="24"/>
          <w:szCs w:val="24"/>
          <w:shd w:val="clear" w:color="auto" w:fill="auto"/>
        </w:rPr>
        <w:t>投标文件相关信息的核查</w:t>
      </w:r>
      <w:bookmarkEnd w:id="29"/>
    </w:p>
    <w:p w14:paraId="1156B3E7">
      <w:pPr>
        <w:pStyle w:val="18"/>
        <w:shd w:val="clear" w:color="auto" w:fill="auto"/>
        <w:spacing w:before="0" w:line="360" w:lineRule="auto"/>
        <w:ind w:firstLine="520"/>
        <w:jc w:val="left"/>
        <w:rPr>
          <w:sz w:val="21"/>
          <w:szCs w:val="21"/>
        </w:rPr>
      </w:pPr>
      <w:r>
        <w:rPr>
          <w:sz w:val="21"/>
          <w:szCs w:val="21"/>
          <w:lang w:bidi="en-US"/>
        </w:rPr>
        <w:t>3.6.1</w:t>
      </w:r>
      <w:r>
        <w:rPr>
          <w:sz w:val="21"/>
          <w:szCs w:val="21"/>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14:paraId="010C05AB">
      <w:pPr>
        <w:pStyle w:val="18"/>
        <w:shd w:val="clear" w:color="auto" w:fill="auto"/>
        <w:spacing w:before="0" w:line="360" w:lineRule="auto"/>
        <w:ind w:firstLine="520"/>
        <w:jc w:val="left"/>
        <w:rPr>
          <w:sz w:val="21"/>
          <w:szCs w:val="21"/>
        </w:rPr>
      </w:pPr>
      <w:r>
        <w:rPr>
          <w:sz w:val="21"/>
          <w:szCs w:val="21"/>
          <w:lang w:bidi="en-US"/>
        </w:rPr>
        <w:t>3.6.2</w:t>
      </w:r>
      <w:r>
        <w:rPr>
          <w:sz w:val="21"/>
          <w:szCs w:val="21"/>
        </w:rPr>
        <w:t>评标委员会应对在评标过程中发现的投标人与投标人之间、投标人与招标人之间存在的串通投标的情形进行评审和认定。投标人存在串通投标、弄虚作假、行贿等违法行为的，评标委员会应否决其投标。</w:t>
      </w:r>
    </w:p>
    <w:p w14:paraId="3742C78D">
      <w:pPr>
        <w:pStyle w:val="18"/>
        <w:shd w:val="clear" w:color="auto" w:fill="auto"/>
        <w:spacing w:before="0" w:line="360" w:lineRule="auto"/>
        <w:ind w:left="640"/>
        <w:jc w:val="both"/>
        <w:rPr>
          <w:sz w:val="21"/>
          <w:szCs w:val="21"/>
        </w:rPr>
      </w:pPr>
      <w:r>
        <w:rPr>
          <w:sz w:val="21"/>
          <w:szCs w:val="21"/>
          <w:lang w:bidi="en-US"/>
        </w:rPr>
        <w:t>（1）</w:t>
      </w:r>
      <w:r>
        <w:rPr>
          <w:sz w:val="21"/>
          <w:szCs w:val="21"/>
        </w:rPr>
        <w:t>有下列情形之一的，属于投标人相互串通投标：</w:t>
      </w:r>
    </w:p>
    <w:p w14:paraId="0129151E">
      <w:pPr>
        <w:pStyle w:val="18"/>
        <w:numPr>
          <w:ilvl w:val="0"/>
          <w:numId w:val="8"/>
        </w:numPr>
        <w:shd w:val="clear" w:color="auto" w:fill="auto"/>
        <w:spacing w:before="0" w:line="360" w:lineRule="auto"/>
        <w:ind w:firstLine="520"/>
        <w:jc w:val="both"/>
        <w:rPr>
          <w:sz w:val="21"/>
          <w:szCs w:val="21"/>
        </w:rPr>
      </w:pPr>
      <w:r>
        <w:rPr>
          <w:sz w:val="21"/>
          <w:szCs w:val="21"/>
        </w:rPr>
        <w:t>投标人之间协商投标报价等投标文件的实质性内容；</w:t>
      </w:r>
    </w:p>
    <w:p w14:paraId="635C7802">
      <w:pPr>
        <w:pStyle w:val="18"/>
        <w:numPr>
          <w:ilvl w:val="0"/>
          <w:numId w:val="8"/>
        </w:numPr>
        <w:shd w:val="clear" w:color="auto" w:fill="auto"/>
        <w:tabs>
          <w:tab w:val="left" w:pos="863"/>
        </w:tabs>
        <w:spacing w:before="0" w:line="360" w:lineRule="auto"/>
        <w:ind w:firstLine="500"/>
        <w:jc w:val="both"/>
        <w:rPr>
          <w:sz w:val="21"/>
          <w:szCs w:val="21"/>
        </w:rPr>
      </w:pPr>
      <w:r>
        <w:rPr>
          <w:sz w:val="21"/>
          <w:szCs w:val="21"/>
        </w:rPr>
        <w:t>投标人之间约定中标人；</w:t>
      </w:r>
    </w:p>
    <w:p w14:paraId="0B61136C">
      <w:pPr>
        <w:pStyle w:val="18"/>
        <w:numPr>
          <w:ilvl w:val="0"/>
          <w:numId w:val="8"/>
        </w:numPr>
        <w:shd w:val="clear" w:color="auto" w:fill="auto"/>
        <w:tabs>
          <w:tab w:val="left" w:pos="863"/>
        </w:tabs>
        <w:spacing w:before="0" w:line="360" w:lineRule="auto"/>
        <w:ind w:firstLine="500"/>
        <w:jc w:val="both"/>
        <w:rPr>
          <w:sz w:val="21"/>
          <w:szCs w:val="21"/>
        </w:rPr>
      </w:pPr>
      <w:r>
        <w:rPr>
          <w:sz w:val="21"/>
          <w:szCs w:val="21"/>
        </w:rPr>
        <w:t>投标人之间约定部分投标人放弃投标或中标；</w:t>
      </w:r>
    </w:p>
    <w:p w14:paraId="76CD4313">
      <w:pPr>
        <w:pStyle w:val="18"/>
        <w:numPr>
          <w:ilvl w:val="0"/>
          <w:numId w:val="8"/>
        </w:numPr>
        <w:shd w:val="clear" w:color="auto" w:fill="auto"/>
        <w:tabs>
          <w:tab w:val="left" w:pos="863"/>
        </w:tabs>
        <w:spacing w:before="0" w:line="360" w:lineRule="auto"/>
        <w:ind w:firstLine="500"/>
        <w:jc w:val="both"/>
        <w:rPr>
          <w:sz w:val="21"/>
          <w:szCs w:val="21"/>
        </w:rPr>
      </w:pPr>
      <w:r>
        <w:rPr>
          <w:sz w:val="21"/>
          <w:szCs w:val="21"/>
        </w:rPr>
        <w:t>属于同一集团、协会、商会等组织成员的投标人按照该组织要求协同投标</w:t>
      </w:r>
      <w:r>
        <w:rPr>
          <w:rFonts w:hint="eastAsia"/>
          <w:sz w:val="21"/>
          <w:szCs w:val="21"/>
        </w:rPr>
        <w:t>；</w:t>
      </w:r>
    </w:p>
    <w:p w14:paraId="39FEF4D4">
      <w:pPr>
        <w:pStyle w:val="18"/>
        <w:numPr>
          <w:ilvl w:val="0"/>
          <w:numId w:val="8"/>
        </w:numPr>
        <w:shd w:val="clear" w:color="auto" w:fill="auto"/>
        <w:tabs>
          <w:tab w:val="left" w:pos="863"/>
        </w:tabs>
        <w:spacing w:before="0" w:line="360" w:lineRule="auto"/>
        <w:ind w:firstLine="500"/>
        <w:jc w:val="both"/>
        <w:rPr>
          <w:sz w:val="21"/>
          <w:szCs w:val="21"/>
        </w:rPr>
      </w:pPr>
      <w:r>
        <w:rPr>
          <w:sz w:val="21"/>
          <w:szCs w:val="21"/>
        </w:rPr>
        <w:t>投标人之间为谋取中标或排斥特定投标人而采取的其他联合行动。</w:t>
      </w:r>
    </w:p>
    <w:p w14:paraId="29D31446">
      <w:pPr>
        <w:pStyle w:val="18"/>
        <w:numPr>
          <w:ilvl w:val="0"/>
          <w:numId w:val="9"/>
        </w:numPr>
        <w:shd w:val="clear" w:color="auto" w:fill="auto"/>
        <w:tabs>
          <w:tab w:val="left" w:pos="1169"/>
        </w:tabs>
        <w:spacing w:before="0" w:line="360" w:lineRule="auto"/>
        <w:ind w:left="640"/>
        <w:jc w:val="both"/>
        <w:rPr>
          <w:sz w:val="21"/>
          <w:szCs w:val="21"/>
        </w:rPr>
      </w:pPr>
      <w:r>
        <w:rPr>
          <w:sz w:val="21"/>
          <w:szCs w:val="21"/>
        </w:rPr>
        <w:t>有下列情形之一的，视为投标人相互串通投标：</w:t>
      </w:r>
    </w:p>
    <w:p w14:paraId="7FEF2E37">
      <w:pPr>
        <w:pStyle w:val="18"/>
        <w:numPr>
          <w:ilvl w:val="0"/>
          <w:numId w:val="10"/>
        </w:numPr>
        <w:shd w:val="clear" w:color="auto" w:fill="auto"/>
        <w:tabs>
          <w:tab w:val="left" w:pos="839"/>
        </w:tabs>
        <w:spacing w:before="0" w:line="360" w:lineRule="auto"/>
        <w:ind w:firstLine="500"/>
        <w:jc w:val="both"/>
        <w:rPr>
          <w:sz w:val="21"/>
          <w:szCs w:val="21"/>
        </w:rPr>
      </w:pPr>
      <w:r>
        <w:rPr>
          <w:sz w:val="21"/>
          <w:szCs w:val="21"/>
        </w:rPr>
        <w:t>不同投标人的投标文件由同一单位或个人编制；</w:t>
      </w:r>
    </w:p>
    <w:p w14:paraId="5BC1F735">
      <w:pPr>
        <w:pStyle w:val="18"/>
        <w:numPr>
          <w:ilvl w:val="0"/>
          <w:numId w:val="10"/>
        </w:numPr>
        <w:shd w:val="clear" w:color="auto" w:fill="auto"/>
        <w:tabs>
          <w:tab w:val="left" w:pos="863"/>
        </w:tabs>
        <w:spacing w:before="0" w:line="360" w:lineRule="auto"/>
        <w:ind w:firstLine="500"/>
        <w:jc w:val="both"/>
        <w:rPr>
          <w:sz w:val="21"/>
          <w:szCs w:val="21"/>
        </w:rPr>
      </w:pPr>
      <w:r>
        <w:rPr>
          <w:sz w:val="21"/>
          <w:szCs w:val="21"/>
        </w:rPr>
        <w:t>不同投标人委托同一单位或个人办理投标事宜；</w:t>
      </w:r>
    </w:p>
    <w:p w14:paraId="53DAAF12">
      <w:pPr>
        <w:pStyle w:val="18"/>
        <w:numPr>
          <w:ilvl w:val="0"/>
          <w:numId w:val="10"/>
        </w:numPr>
        <w:shd w:val="clear" w:color="auto" w:fill="auto"/>
        <w:tabs>
          <w:tab w:val="left" w:pos="863"/>
        </w:tabs>
        <w:spacing w:before="0" w:line="360" w:lineRule="auto"/>
        <w:ind w:firstLine="500"/>
        <w:jc w:val="both"/>
        <w:rPr>
          <w:sz w:val="21"/>
          <w:szCs w:val="21"/>
        </w:rPr>
      </w:pPr>
      <w:r>
        <w:rPr>
          <w:sz w:val="21"/>
          <w:szCs w:val="21"/>
        </w:rPr>
        <w:t>不同投标人的投标文件载明的项目管理成员为同一人；</w:t>
      </w:r>
    </w:p>
    <w:p w14:paraId="2B1FEF8E">
      <w:pPr>
        <w:pStyle w:val="18"/>
        <w:numPr>
          <w:ilvl w:val="0"/>
          <w:numId w:val="10"/>
        </w:numPr>
        <w:shd w:val="clear" w:color="auto" w:fill="auto"/>
        <w:tabs>
          <w:tab w:val="left" w:pos="863"/>
        </w:tabs>
        <w:spacing w:before="0" w:line="360" w:lineRule="auto"/>
        <w:ind w:firstLine="500"/>
        <w:jc w:val="both"/>
        <w:rPr>
          <w:sz w:val="21"/>
          <w:szCs w:val="21"/>
        </w:rPr>
      </w:pPr>
      <w:r>
        <w:rPr>
          <w:sz w:val="21"/>
          <w:szCs w:val="21"/>
        </w:rPr>
        <w:t>不同投标人的投标文件异常一致或投标报价呈规律性差异；</w:t>
      </w:r>
    </w:p>
    <w:p w14:paraId="09BC106E">
      <w:pPr>
        <w:pStyle w:val="18"/>
        <w:numPr>
          <w:ilvl w:val="0"/>
          <w:numId w:val="10"/>
        </w:numPr>
        <w:shd w:val="clear" w:color="auto" w:fill="auto"/>
        <w:tabs>
          <w:tab w:val="left" w:pos="863"/>
        </w:tabs>
        <w:spacing w:before="0" w:line="360" w:lineRule="auto"/>
        <w:ind w:firstLine="500"/>
        <w:jc w:val="both"/>
        <w:rPr>
          <w:sz w:val="21"/>
          <w:szCs w:val="21"/>
        </w:rPr>
      </w:pPr>
      <w:r>
        <w:rPr>
          <w:sz w:val="21"/>
          <w:szCs w:val="21"/>
        </w:rPr>
        <w:t>不同投标人的投标文件相互混装；</w:t>
      </w:r>
    </w:p>
    <w:p w14:paraId="2936B308">
      <w:pPr>
        <w:pStyle w:val="18"/>
        <w:numPr>
          <w:ilvl w:val="0"/>
          <w:numId w:val="10"/>
        </w:numPr>
        <w:shd w:val="clear" w:color="auto" w:fill="auto"/>
        <w:tabs>
          <w:tab w:val="left" w:pos="863"/>
        </w:tabs>
        <w:spacing w:before="0" w:line="360" w:lineRule="auto"/>
        <w:ind w:firstLine="500"/>
        <w:jc w:val="both"/>
        <w:rPr>
          <w:sz w:val="21"/>
          <w:szCs w:val="21"/>
        </w:rPr>
      </w:pPr>
      <w:r>
        <w:rPr>
          <w:sz w:val="21"/>
          <w:szCs w:val="21"/>
        </w:rPr>
        <w:t>不同投标人的投标保证金从同一单位或个人的账户转出。</w:t>
      </w:r>
    </w:p>
    <w:p w14:paraId="36351D0E">
      <w:pPr>
        <w:pStyle w:val="18"/>
        <w:numPr>
          <w:ilvl w:val="0"/>
          <w:numId w:val="9"/>
        </w:numPr>
        <w:shd w:val="clear" w:color="auto" w:fill="auto"/>
        <w:tabs>
          <w:tab w:val="left" w:pos="1169"/>
        </w:tabs>
        <w:spacing w:before="0" w:line="360" w:lineRule="auto"/>
        <w:ind w:left="640"/>
        <w:jc w:val="both"/>
        <w:rPr>
          <w:sz w:val="21"/>
          <w:szCs w:val="21"/>
        </w:rPr>
      </w:pPr>
      <w:r>
        <w:rPr>
          <w:sz w:val="21"/>
          <w:szCs w:val="21"/>
        </w:rPr>
        <w:t>有下列情形之一的，属于招标人与投标人串通投标：</w:t>
      </w:r>
    </w:p>
    <w:p w14:paraId="7EDD99F5">
      <w:pPr>
        <w:pStyle w:val="18"/>
        <w:numPr>
          <w:ilvl w:val="0"/>
          <w:numId w:val="11"/>
        </w:numPr>
        <w:shd w:val="clear" w:color="auto" w:fill="auto"/>
        <w:tabs>
          <w:tab w:val="left" w:pos="842"/>
        </w:tabs>
        <w:spacing w:before="0" w:line="360" w:lineRule="auto"/>
        <w:ind w:firstLine="500"/>
        <w:jc w:val="both"/>
        <w:rPr>
          <w:sz w:val="21"/>
          <w:szCs w:val="21"/>
        </w:rPr>
      </w:pPr>
      <w:r>
        <w:rPr>
          <w:sz w:val="21"/>
          <w:szCs w:val="21"/>
        </w:rPr>
        <w:t>招标人在开标前开启投标文件并将有关信息泄露给其他投标人；</w:t>
      </w:r>
    </w:p>
    <w:p w14:paraId="4868330F">
      <w:pPr>
        <w:pStyle w:val="18"/>
        <w:numPr>
          <w:ilvl w:val="0"/>
          <w:numId w:val="11"/>
        </w:numPr>
        <w:shd w:val="clear" w:color="auto" w:fill="auto"/>
        <w:tabs>
          <w:tab w:val="left" w:pos="863"/>
        </w:tabs>
        <w:spacing w:before="0" w:line="360" w:lineRule="auto"/>
        <w:ind w:firstLine="500"/>
        <w:jc w:val="both"/>
        <w:rPr>
          <w:sz w:val="21"/>
          <w:szCs w:val="21"/>
        </w:rPr>
      </w:pPr>
      <w:r>
        <w:rPr>
          <w:sz w:val="21"/>
          <w:szCs w:val="21"/>
        </w:rPr>
        <w:t>招标人直接或间接向投标人泄露标底、评标委员会成员等信息；</w:t>
      </w:r>
    </w:p>
    <w:p w14:paraId="1E8F6823">
      <w:pPr>
        <w:pStyle w:val="18"/>
        <w:numPr>
          <w:ilvl w:val="0"/>
          <w:numId w:val="11"/>
        </w:numPr>
        <w:shd w:val="clear" w:color="auto" w:fill="auto"/>
        <w:tabs>
          <w:tab w:val="left" w:pos="863"/>
        </w:tabs>
        <w:spacing w:before="0" w:line="360" w:lineRule="auto"/>
        <w:ind w:firstLine="500"/>
        <w:jc w:val="both"/>
        <w:rPr>
          <w:sz w:val="21"/>
          <w:szCs w:val="21"/>
        </w:rPr>
      </w:pPr>
      <w:r>
        <w:rPr>
          <w:sz w:val="21"/>
          <w:szCs w:val="21"/>
        </w:rPr>
        <w:t>招标人明示或暗示投标人压低或抬高投标报价；</w:t>
      </w:r>
    </w:p>
    <w:p w14:paraId="2DAFF44C">
      <w:pPr>
        <w:pStyle w:val="18"/>
        <w:numPr>
          <w:ilvl w:val="0"/>
          <w:numId w:val="11"/>
        </w:numPr>
        <w:shd w:val="clear" w:color="auto" w:fill="auto"/>
        <w:tabs>
          <w:tab w:val="left" w:pos="863"/>
        </w:tabs>
        <w:spacing w:before="0" w:line="360" w:lineRule="auto"/>
        <w:ind w:firstLine="500"/>
        <w:jc w:val="both"/>
        <w:rPr>
          <w:sz w:val="21"/>
          <w:szCs w:val="21"/>
        </w:rPr>
      </w:pPr>
      <w:r>
        <w:rPr>
          <w:sz w:val="21"/>
          <w:szCs w:val="21"/>
        </w:rPr>
        <w:t>招标人授意投标人撤换、修改投标文件；</w:t>
      </w:r>
    </w:p>
    <w:p w14:paraId="2F83C5F4">
      <w:pPr>
        <w:pStyle w:val="18"/>
        <w:numPr>
          <w:ilvl w:val="0"/>
          <w:numId w:val="11"/>
        </w:numPr>
        <w:shd w:val="clear" w:color="auto" w:fill="auto"/>
        <w:tabs>
          <w:tab w:val="left" w:pos="863"/>
        </w:tabs>
        <w:spacing w:before="0" w:line="360" w:lineRule="auto"/>
        <w:ind w:firstLine="500"/>
        <w:jc w:val="both"/>
        <w:rPr>
          <w:sz w:val="21"/>
          <w:szCs w:val="21"/>
        </w:rPr>
      </w:pPr>
      <w:r>
        <w:rPr>
          <w:sz w:val="21"/>
          <w:szCs w:val="21"/>
        </w:rPr>
        <w:t>招标人明示或暗示投标人为特定投标人中标提供方便；</w:t>
      </w:r>
    </w:p>
    <w:p w14:paraId="421A3C79">
      <w:pPr>
        <w:pStyle w:val="18"/>
        <w:numPr>
          <w:ilvl w:val="0"/>
          <w:numId w:val="11"/>
        </w:numPr>
        <w:shd w:val="clear" w:color="auto" w:fill="auto"/>
        <w:tabs>
          <w:tab w:val="left" w:pos="863"/>
        </w:tabs>
        <w:spacing w:before="0" w:line="360" w:lineRule="auto"/>
        <w:ind w:firstLine="500"/>
        <w:jc w:val="both"/>
        <w:rPr>
          <w:sz w:val="21"/>
          <w:szCs w:val="21"/>
        </w:rPr>
      </w:pPr>
      <w:r>
        <w:rPr>
          <w:sz w:val="21"/>
          <w:szCs w:val="21"/>
        </w:rPr>
        <w:t>招标人与投标人为谋求特定投标人中标而采取的其他串通行为。</w:t>
      </w:r>
    </w:p>
    <w:p w14:paraId="719DBEB0">
      <w:pPr>
        <w:pStyle w:val="18"/>
        <w:numPr>
          <w:ilvl w:val="0"/>
          <w:numId w:val="9"/>
        </w:numPr>
        <w:shd w:val="clear" w:color="auto" w:fill="auto"/>
        <w:tabs>
          <w:tab w:val="left" w:pos="1169"/>
        </w:tabs>
        <w:spacing w:before="0" w:line="360" w:lineRule="auto"/>
        <w:ind w:left="640"/>
        <w:jc w:val="both"/>
        <w:rPr>
          <w:sz w:val="21"/>
          <w:szCs w:val="21"/>
        </w:rPr>
      </w:pPr>
      <w:r>
        <w:rPr>
          <w:sz w:val="21"/>
          <w:szCs w:val="21"/>
        </w:rPr>
        <w:t>投标人有下列情形之一的，属于弄虚作假的行为：</w:t>
      </w:r>
    </w:p>
    <w:p w14:paraId="53787F4D">
      <w:pPr>
        <w:pStyle w:val="18"/>
        <w:numPr>
          <w:ilvl w:val="0"/>
          <w:numId w:val="12"/>
        </w:numPr>
        <w:shd w:val="clear" w:color="auto" w:fill="auto"/>
        <w:tabs>
          <w:tab w:val="left" w:pos="842"/>
        </w:tabs>
        <w:spacing w:before="0" w:line="360" w:lineRule="auto"/>
        <w:ind w:firstLine="500"/>
        <w:jc w:val="both"/>
        <w:rPr>
          <w:sz w:val="21"/>
          <w:szCs w:val="21"/>
        </w:rPr>
      </w:pPr>
      <w:r>
        <w:rPr>
          <w:sz w:val="21"/>
          <w:szCs w:val="21"/>
        </w:rPr>
        <w:t>使用通过受让或租借等方式获取的资格、资质证书投标；</w:t>
      </w:r>
    </w:p>
    <w:p w14:paraId="0B7EF69E">
      <w:pPr>
        <w:pStyle w:val="18"/>
        <w:numPr>
          <w:ilvl w:val="0"/>
          <w:numId w:val="12"/>
        </w:numPr>
        <w:shd w:val="clear" w:color="auto" w:fill="auto"/>
        <w:tabs>
          <w:tab w:val="left" w:pos="863"/>
        </w:tabs>
        <w:spacing w:before="0" w:line="360" w:lineRule="auto"/>
        <w:ind w:firstLine="500"/>
        <w:jc w:val="both"/>
        <w:rPr>
          <w:sz w:val="21"/>
          <w:szCs w:val="21"/>
        </w:rPr>
      </w:pPr>
      <w:r>
        <w:rPr>
          <w:sz w:val="21"/>
          <w:szCs w:val="21"/>
        </w:rPr>
        <w:t>使用伪造、变造的许可证件；</w:t>
      </w:r>
    </w:p>
    <w:p w14:paraId="50E6125C">
      <w:pPr>
        <w:pStyle w:val="18"/>
        <w:numPr>
          <w:ilvl w:val="0"/>
          <w:numId w:val="12"/>
        </w:numPr>
        <w:shd w:val="clear" w:color="auto" w:fill="auto"/>
        <w:tabs>
          <w:tab w:val="left" w:pos="863"/>
        </w:tabs>
        <w:spacing w:before="0" w:line="360" w:lineRule="auto"/>
        <w:ind w:firstLine="500"/>
        <w:jc w:val="both"/>
        <w:rPr>
          <w:sz w:val="21"/>
          <w:szCs w:val="21"/>
        </w:rPr>
      </w:pPr>
      <w:r>
        <w:rPr>
          <w:sz w:val="21"/>
          <w:szCs w:val="21"/>
        </w:rPr>
        <w:t>提供虚假的业绩；</w:t>
      </w:r>
    </w:p>
    <w:p w14:paraId="49C6F35E">
      <w:pPr>
        <w:pStyle w:val="18"/>
        <w:numPr>
          <w:ilvl w:val="0"/>
          <w:numId w:val="12"/>
        </w:numPr>
        <w:shd w:val="clear" w:color="auto" w:fill="auto"/>
        <w:tabs>
          <w:tab w:val="left" w:pos="863"/>
        </w:tabs>
        <w:spacing w:before="0" w:line="360" w:lineRule="auto"/>
        <w:ind w:firstLine="500"/>
        <w:jc w:val="both"/>
        <w:rPr>
          <w:sz w:val="21"/>
          <w:szCs w:val="21"/>
        </w:rPr>
      </w:pPr>
      <w:r>
        <w:rPr>
          <w:sz w:val="21"/>
          <w:szCs w:val="21"/>
        </w:rPr>
        <w:t>提供虚假的项目负责人或主要技术人员简历、劳动关系证明；</w:t>
      </w:r>
    </w:p>
    <w:p w14:paraId="2E9E9B24">
      <w:pPr>
        <w:pStyle w:val="18"/>
        <w:numPr>
          <w:ilvl w:val="0"/>
          <w:numId w:val="12"/>
        </w:numPr>
        <w:shd w:val="clear" w:color="auto" w:fill="auto"/>
        <w:tabs>
          <w:tab w:val="left" w:pos="863"/>
        </w:tabs>
        <w:spacing w:before="0" w:line="360" w:lineRule="auto"/>
        <w:ind w:firstLine="500"/>
        <w:jc w:val="both"/>
        <w:rPr>
          <w:sz w:val="21"/>
          <w:szCs w:val="21"/>
        </w:rPr>
      </w:pPr>
      <w:r>
        <w:rPr>
          <w:sz w:val="21"/>
          <w:szCs w:val="21"/>
        </w:rPr>
        <w:t>提供虚假的信用状况；</w:t>
      </w:r>
    </w:p>
    <w:p w14:paraId="01894871">
      <w:pPr>
        <w:pStyle w:val="18"/>
        <w:numPr>
          <w:ilvl w:val="0"/>
          <w:numId w:val="12"/>
        </w:numPr>
        <w:shd w:val="clear" w:color="auto" w:fill="auto"/>
        <w:tabs>
          <w:tab w:val="left" w:pos="863"/>
        </w:tabs>
        <w:spacing w:before="0" w:line="360" w:lineRule="auto"/>
        <w:ind w:firstLine="500"/>
        <w:jc w:val="both"/>
        <w:rPr>
          <w:rStyle w:val="25"/>
          <w:rFonts w:ascii="宋体" w:hAnsi="宋体"/>
          <w:b w:val="0"/>
          <w:color w:val="auto"/>
          <w:szCs w:val="21"/>
          <w:shd w:val="clear" w:color="auto" w:fill="auto"/>
          <w:lang w:val="zh-TW" w:bidi="zh-TW"/>
        </w:rPr>
      </w:pPr>
      <w:r>
        <w:rPr>
          <w:sz w:val="21"/>
          <w:szCs w:val="21"/>
        </w:rPr>
        <w:t>其他弄虚作假的行为。</w:t>
      </w:r>
      <w:bookmarkStart w:id="30" w:name="bookmark100"/>
    </w:p>
    <w:p w14:paraId="49FC5896">
      <w:pPr>
        <w:spacing w:line="360" w:lineRule="auto"/>
        <w:rPr>
          <w:rFonts w:ascii="宋体" w:hAnsi="宋体"/>
          <w:b/>
          <w:szCs w:val="21"/>
        </w:rPr>
      </w:pPr>
      <w:r>
        <w:rPr>
          <w:rStyle w:val="25"/>
          <w:rFonts w:hint="eastAsia" w:ascii="宋体" w:hAnsi="宋体" w:eastAsia="宋体"/>
          <w:b w:val="0"/>
          <w:color w:val="auto"/>
          <w:sz w:val="24"/>
          <w:szCs w:val="24"/>
          <w:shd w:val="clear" w:color="auto" w:fill="auto"/>
          <w:lang w:val="zh-TW" w:eastAsia="zh-CN" w:bidi="zh-TW"/>
        </w:rPr>
        <w:t>3.</w:t>
      </w:r>
      <w:r>
        <w:rPr>
          <w:rStyle w:val="25"/>
          <w:rFonts w:ascii="宋体" w:hAnsi="宋体" w:eastAsia="宋体"/>
          <w:b w:val="0"/>
          <w:color w:val="auto"/>
          <w:sz w:val="24"/>
          <w:szCs w:val="24"/>
          <w:shd w:val="clear" w:color="auto" w:fill="auto"/>
          <w:lang w:val="zh-TW" w:eastAsia="zh-TW" w:bidi="zh-TW"/>
        </w:rPr>
        <w:t>7</w:t>
      </w:r>
      <w:r>
        <w:rPr>
          <w:rStyle w:val="27"/>
          <w:rFonts w:ascii="宋体" w:hAnsi="宋体" w:eastAsia="宋体"/>
          <w:b/>
          <w:color w:val="auto"/>
          <w:sz w:val="24"/>
          <w:szCs w:val="24"/>
          <w:shd w:val="clear" w:color="auto" w:fill="auto"/>
        </w:rPr>
        <w:t>投标文件的澄清和说明</w:t>
      </w:r>
      <w:bookmarkEnd w:id="30"/>
    </w:p>
    <w:p w14:paraId="36392338">
      <w:pPr>
        <w:pStyle w:val="18"/>
        <w:shd w:val="clear" w:color="auto" w:fill="auto"/>
        <w:spacing w:before="0" w:line="360" w:lineRule="auto"/>
        <w:ind w:firstLine="500"/>
        <w:jc w:val="both"/>
        <w:rPr>
          <w:sz w:val="21"/>
          <w:szCs w:val="21"/>
        </w:rPr>
      </w:pPr>
      <w:r>
        <w:rPr>
          <w:sz w:val="21"/>
          <w:szCs w:val="21"/>
          <w:lang w:bidi="en-US"/>
        </w:rPr>
        <w:t>3.7.1</w:t>
      </w:r>
      <w:r>
        <w:rPr>
          <w:sz w:val="21"/>
          <w:szCs w:val="21"/>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437CBB3F">
      <w:pPr>
        <w:pStyle w:val="18"/>
        <w:shd w:val="clear" w:color="auto" w:fill="auto"/>
        <w:spacing w:before="0" w:line="360" w:lineRule="auto"/>
        <w:ind w:firstLine="500"/>
        <w:jc w:val="both"/>
        <w:rPr>
          <w:sz w:val="21"/>
          <w:szCs w:val="21"/>
        </w:rPr>
      </w:pPr>
      <w:r>
        <w:rPr>
          <w:sz w:val="21"/>
          <w:szCs w:val="21"/>
          <w:lang w:bidi="en-US"/>
        </w:rPr>
        <w:t>3.7.2</w:t>
      </w:r>
      <w:r>
        <w:rPr>
          <w:sz w:val="21"/>
          <w:szCs w:val="21"/>
        </w:rPr>
        <w:t>澄清和说明不得超出投标文件的范围或改变投标文件的实质性内容（算术性错误的修正除外）。投标人的书面澄清、说明属于投标文件的组成部分。</w:t>
      </w:r>
    </w:p>
    <w:p w14:paraId="32020371">
      <w:pPr>
        <w:pStyle w:val="18"/>
        <w:shd w:val="clear" w:color="auto" w:fill="auto"/>
        <w:spacing w:before="0" w:line="360" w:lineRule="auto"/>
        <w:ind w:firstLine="500"/>
        <w:jc w:val="both"/>
        <w:rPr>
          <w:sz w:val="21"/>
          <w:szCs w:val="21"/>
        </w:rPr>
      </w:pPr>
      <w:r>
        <w:rPr>
          <w:sz w:val="21"/>
          <w:szCs w:val="21"/>
          <w:lang w:bidi="en-US"/>
        </w:rPr>
        <w:t>3.7.3</w:t>
      </w:r>
      <w:r>
        <w:rPr>
          <w:sz w:val="21"/>
          <w:szCs w:val="21"/>
        </w:rPr>
        <w:t>评标委员会不得暗示或诱导投标人作出澄清、说明，对投标人提交的澄清、说明有疑问的，可以要求投标人进一步澄清或说明，直至满足评标委员会的要求。</w:t>
      </w:r>
    </w:p>
    <w:p w14:paraId="626BD8BF">
      <w:pPr>
        <w:pStyle w:val="18"/>
        <w:shd w:val="clear" w:color="auto" w:fill="auto"/>
        <w:spacing w:before="0" w:line="360" w:lineRule="auto"/>
        <w:ind w:firstLine="520"/>
        <w:jc w:val="left"/>
        <w:rPr>
          <w:sz w:val="21"/>
          <w:szCs w:val="21"/>
        </w:rPr>
      </w:pPr>
      <w:r>
        <w:rPr>
          <w:sz w:val="21"/>
          <w:szCs w:val="21"/>
          <w:lang w:bidi="en-US"/>
        </w:rPr>
        <w:t>3.7.4</w:t>
      </w:r>
      <w:r>
        <w:rPr>
          <w:sz w:val="21"/>
          <w:szCs w:val="21"/>
        </w:rPr>
        <w:t>凡超出招标文件规定的或给发包人带来未曾要求的利益的变化、偏差或其他因素在评标时不予考虑。</w:t>
      </w:r>
    </w:p>
    <w:p w14:paraId="4EA72583">
      <w:pPr>
        <w:pStyle w:val="23"/>
        <w:shd w:val="clear" w:color="auto" w:fill="auto"/>
        <w:tabs>
          <w:tab w:val="left" w:pos="351"/>
        </w:tabs>
        <w:spacing w:line="360" w:lineRule="auto"/>
        <w:jc w:val="both"/>
        <w:rPr>
          <w:rFonts w:ascii="宋体" w:hAnsi="宋体" w:eastAsia="宋体"/>
          <w:b/>
          <w:sz w:val="21"/>
          <w:szCs w:val="21"/>
        </w:rPr>
      </w:pPr>
      <w:r>
        <w:rPr>
          <w:rStyle w:val="24"/>
          <w:rFonts w:hint="eastAsia" w:ascii="宋体" w:hAnsi="宋体" w:eastAsia="宋体"/>
          <w:color w:val="auto"/>
          <w:sz w:val="24"/>
          <w:szCs w:val="24"/>
          <w:shd w:val="clear" w:color="auto" w:fill="auto"/>
        </w:rPr>
        <w:t>3.8</w:t>
      </w:r>
      <w:r>
        <w:rPr>
          <w:rStyle w:val="24"/>
          <w:rFonts w:ascii="宋体" w:hAnsi="宋体" w:eastAsia="宋体"/>
          <w:color w:val="auto"/>
          <w:sz w:val="24"/>
          <w:szCs w:val="24"/>
          <w:shd w:val="clear" w:color="auto" w:fill="auto"/>
        </w:rPr>
        <w:t>不得否决投标的情形</w:t>
      </w:r>
    </w:p>
    <w:p w14:paraId="686DCC65">
      <w:pPr>
        <w:pStyle w:val="18"/>
        <w:shd w:val="clear" w:color="auto" w:fill="auto"/>
        <w:spacing w:before="0" w:line="360" w:lineRule="auto"/>
        <w:ind w:firstLine="420" w:firstLineChars="200"/>
        <w:jc w:val="left"/>
        <w:rPr>
          <w:rStyle w:val="24"/>
          <w:rFonts w:ascii="宋体" w:hAnsi="宋体" w:eastAsia="宋体"/>
          <w:b/>
          <w:color w:val="auto"/>
          <w:sz w:val="21"/>
          <w:szCs w:val="21"/>
          <w:shd w:val="clear" w:color="auto" w:fill="auto"/>
        </w:rPr>
      </w:pPr>
      <w:r>
        <w:rPr>
          <w:sz w:val="21"/>
          <w:szCs w:val="21"/>
        </w:rPr>
        <w:t>投标文件存在第二章“投标人须知”第</w:t>
      </w:r>
      <w:r>
        <w:rPr>
          <w:sz w:val="21"/>
          <w:szCs w:val="21"/>
          <w:lang w:bidi="en-US"/>
        </w:rPr>
        <w:t>1.12.3</w:t>
      </w:r>
      <w:r>
        <w:rPr>
          <w:sz w:val="21"/>
          <w:szCs w:val="21"/>
        </w:rPr>
        <w:t>项所列情形的，均视为细微偏差，评标委员会不得否决投标人的投标，应按照第二章“投标人须知”第</w:t>
      </w:r>
      <w:r>
        <w:rPr>
          <w:sz w:val="21"/>
          <w:szCs w:val="21"/>
          <w:lang w:bidi="en-US"/>
        </w:rPr>
        <w:t>1.12.4</w:t>
      </w:r>
      <w:r>
        <w:rPr>
          <w:sz w:val="21"/>
          <w:szCs w:val="21"/>
        </w:rPr>
        <w:t>项规定的原则处理。</w:t>
      </w:r>
    </w:p>
    <w:p w14:paraId="53F501D5">
      <w:pPr>
        <w:pStyle w:val="23"/>
        <w:shd w:val="clear" w:color="auto" w:fill="auto"/>
        <w:tabs>
          <w:tab w:val="left" w:pos="351"/>
        </w:tabs>
        <w:spacing w:line="360" w:lineRule="auto"/>
        <w:jc w:val="both"/>
        <w:rPr>
          <w:rFonts w:ascii="宋体" w:hAnsi="宋体" w:eastAsia="宋体"/>
          <w:b/>
          <w:sz w:val="21"/>
          <w:szCs w:val="21"/>
        </w:rPr>
      </w:pPr>
      <w:r>
        <w:rPr>
          <w:rStyle w:val="24"/>
          <w:rFonts w:hint="eastAsia" w:ascii="宋体" w:hAnsi="宋体" w:eastAsia="宋体"/>
          <w:color w:val="auto"/>
          <w:sz w:val="24"/>
          <w:szCs w:val="24"/>
          <w:shd w:val="clear" w:color="auto" w:fill="auto"/>
        </w:rPr>
        <w:t>3.9</w:t>
      </w:r>
      <w:r>
        <w:rPr>
          <w:rStyle w:val="24"/>
          <w:rFonts w:ascii="宋体" w:hAnsi="宋体" w:eastAsia="宋体"/>
          <w:color w:val="auto"/>
          <w:sz w:val="24"/>
          <w:szCs w:val="24"/>
          <w:shd w:val="clear" w:color="auto" w:fill="auto"/>
        </w:rPr>
        <w:t>评标结果</w:t>
      </w:r>
    </w:p>
    <w:p w14:paraId="7FB64D51">
      <w:pPr>
        <w:pStyle w:val="18"/>
        <w:shd w:val="clear" w:color="auto" w:fill="auto"/>
        <w:spacing w:before="0" w:line="360" w:lineRule="auto"/>
        <w:ind w:firstLine="420" w:firstLineChars="200"/>
        <w:jc w:val="left"/>
        <w:rPr>
          <w:sz w:val="21"/>
          <w:szCs w:val="21"/>
        </w:rPr>
      </w:pPr>
      <w:r>
        <w:rPr>
          <w:sz w:val="21"/>
          <w:szCs w:val="21"/>
          <w:lang w:bidi="en-US"/>
        </w:rPr>
        <w:t>3.9.1</w:t>
      </w:r>
      <w:r>
        <w:rPr>
          <w:sz w:val="21"/>
          <w:szCs w:val="21"/>
        </w:rPr>
        <w:t>除第二章“投标人须知”前附表授权直接确定中标人外，评标委员会按照得分由高到低的顺序推荐中标候选人，并标明排序。</w:t>
      </w:r>
    </w:p>
    <w:p w14:paraId="78C9FF96">
      <w:pPr>
        <w:autoSpaceDE w:val="0"/>
        <w:autoSpaceDN w:val="0"/>
        <w:adjustRightInd w:val="0"/>
        <w:spacing w:line="360" w:lineRule="auto"/>
        <w:ind w:firstLine="420" w:firstLineChars="200"/>
        <w:rPr>
          <w:sz w:val="21"/>
          <w:szCs w:val="21"/>
        </w:rPr>
      </w:pPr>
      <w:r>
        <w:rPr>
          <w:sz w:val="21"/>
          <w:szCs w:val="21"/>
        </w:rPr>
        <w:t>3.9.2评标委员会完成评标后，应向招标人提交书面评标报告。</w:t>
      </w:r>
    </w:p>
    <w:p w14:paraId="7349ABB8">
      <w:pPr>
        <w:adjustRightInd w:val="0"/>
        <w:snapToGrid w:val="0"/>
        <w:spacing w:line="336" w:lineRule="auto"/>
        <w:ind w:left="450"/>
        <w:rPr>
          <w:rFonts w:hint="eastAsia" w:ascii="宋体" w:hAnsi="宋体" w:cs="宋体"/>
          <w:szCs w:val="21"/>
        </w:rPr>
      </w:pPr>
      <w:bookmarkStart w:id="31" w:name="_Toc266433714"/>
      <w:bookmarkStart w:id="32" w:name="_Toc287583046"/>
    </w:p>
    <w:p w14:paraId="4FBA752F">
      <w:pPr>
        <w:adjustRightInd w:val="0"/>
        <w:snapToGrid w:val="0"/>
        <w:spacing w:line="336" w:lineRule="auto"/>
        <w:ind w:left="450"/>
        <w:rPr>
          <w:rFonts w:hint="eastAsia" w:ascii="宋体" w:hAnsi="宋体" w:cs="宋体"/>
          <w:szCs w:val="21"/>
        </w:rPr>
      </w:pPr>
    </w:p>
    <w:bookmarkEnd w:id="31"/>
    <w:bookmarkEnd w:id="32"/>
    <w:p w14:paraId="1EE86B5A">
      <w:pPr>
        <w:adjustRightInd w:val="0"/>
        <w:snapToGrid w:val="0"/>
        <w:spacing w:line="336" w:lineRule="auto"/>
        <w:ind w:left="450"/>
        <w:rPr>
          <w:rFonts w:hint="eastAsia" w:eastAsia="宋体"/>
          <w:szCs w:val="21"/>
          <w:highlight w:val="none"/>
          <w:lang w:eastAsia="zh-CN"/>
        </w:rPr>
      </w:pPr>
      <w:r>
        <w:rPr>
          <w:szCs w:val="21"/>
          <w:highlight w:val="none"/>
        </w:rPr>
        <w:t>招标人</w:t>
      </w:r>
      <w:r>
        <w:rPr>
          <w:rFonts w:hint="eastAsia"/>
          <w:szCs w:val="21"/>
          <w:highlight w:val="none"/>
        </w:rPr>
        <w:t>：</w:t>
      </w:r>
      <w:r>
        <w:rPr>
          <w:rFonts w:hint="eastAsia"/>
          <w:szCs w:val="21"/>
          <w:highlight w:val="none"/>
          <w:lang w:eastAsia="zh-CN"/>
        </w:rPr>
        <w:t>乾安县国省干线公路建设办公室</w:t>
      </w:r>
    </w:p>
    <w:p w14:paraId="2E886EFE">
      <w:pPr>
        <w:adjustRightInd w:val="0"/>
        <w:snapToGrid w:val="0"/>
        <w:spacing w:line="336" w:lineRule="auto"/>
        <w:ind w:left="450"/>
        <w:rPr>
          <w:rFonts w:hint="default" w:eastAsia="宋体"/>
          <w:szCs w:val="21"/>
          <w:highlight w:val="none"/>
          <w:lang w:val="en-US" w:eastAsia="zh-CN"/>
        </w:rPr>
      </w:pPr>
      <w:r>
        <w:rPr>
          <w:rFonts w:hint="eastAsia"/>
          <w:szCs w:val="21"/>
          <w:highlight w:val="none"/>
        </w:rPr>
        <w:t>地  址：</w:t>
      </w:r>
      <w:r>
        <w:rPr>
          <w:rFonts w:hint="eastAsia"/>
          <w:szCs w:val="21"/>
          <w:highlight w:val="none"/>
          <w:lang w:val="en-US" w:eastAsia="zh-CN"/>
        </w:rPr>
        <w:t>松原市乾安县诚美路南安定大路北</w:t>
      </w:r>
    </w:p>
    <w:p w14:paraId="4E2E0592">
      <w:pPr>
        <w:adjustRightInd w:val="0"/>
        <w:snapToGrid w:val="0"/>
        <w:spacing w:line="336" w:lineRule="auto"/>
        <w:ind w:left="450"/>
        <w:rPr>
          <w:szCs w:val="21"/>
          <w:highlight w:val="none"/>
          <w:lang w:val="zh-CN"/>
        </w:rPr>
      </w:pPr>
      <w:r>
        <w:rPr>
          <w:szCs w:val="21"/>
          <w:highlight w:val="none"/>
          <w:lang w:val="zh-CN"/>
        </w:rPr>
        <w:t>联系人：</w:t>
      </w:r>
      <w:r>
        <w:rPr>
          <w:rFonts w:hint="eastAsia"/>
          <w:szCs w:val="21"/>
          <w:highlight w:val="none"/>
          <w:lang w:val="zh-CN"/>
        </w:rPr>
        <w:t>刘青辉</w:t>
      </w:r>
    </w:p>
    <w:p w14:paraId="685DA6DD">
      <w:pPr>
        <w:adjustRightInd w:val="0"/>
        <w:snapToGrid w:val="0"/>
        <w:spacing w:line="336" w:lineRule="auto"/>
        <w:ind w:left="450"/>
        <w:rPr>
          <w:rFonts w:hint="default" w:eastAsia="宋体"/>
          <w:szCs w:val="21"/>
          <w:highlight w:val="none"/>
          <w:lang w:val="en-US" w:eastAsia="zh-CN"/>
        </w:rPr>
      </w:pPr>
      <w:r>
        <w:rPr>
          <w:szCs w:val="21"/>
          <w:highlight w:val="none"/>
          <w:lang w:val="zh-CN"/>
        </w:rPr>
        <w:t>电  话：</w:t>
      </w:r>
      <w:r>
        <w:rPr>
          <w:rFonts w:hint="eastAsia"/>
          <w:szCs w:val="21"/>
          <w:highlight w:val="none"/>
          <w:lang w:val="zh-CN"/>
        </w:rPr>
        <w:t>0438-8222548</w:t>
      </w:r>
    </w:p>
    <w:p w14:paraId="56841208">
      <w:pPr>
        <w:adjustRightInd w:val="0"/>
        <w:snapToGrid w:val="0"/>
        <w:spacing w:line="336" w:lineRule="auto"/>
        <w:ind w:left="450"/>
        <w:rPr>
          <w:rFonts w:hint="eastAsia" w:eastAsia="宋体"/>
          <w:szCs w:val="21"/>
          <w:highlight w:val="none"/>
          <w:lang w:val="zh-CN" w:eastAsia="zh-CN"/>
        </w:rPr>
      </w:pPr>
      <w:r>
        <w:rPr>
          <w:szCs w:val="21"/>
          <w:highlight w:val="none"/>
          <w:lang w:val="zh-CN"/>
        </w:rPr>
        <w:t>招标代理机构：</w:t>
      </w:r>
      <w:r>
        <w:rPr>
          <w:rFonts w:hint="eastAsia"/>
          <w:highlight w:val="none"/>
          <w:lang w:eastAsia="zh-CN"/>
        </w:rPr>
        <w:t>吉林省天和工程咨询有限公司</w:t>
      </w:r>
    </w:p>
    <w:p w14:paraId="445DFA6C">
      <w:pPr>
        <w:tabs>
          <w:tab w:val="left" w:pos="426"/>
        </w:tabs>
        <w:autoSpaceDE w:val="0"/>
        <w:autoSpaceDN w:val="0"/>
        <w:adjustRightInd w:val="0"/>
        <w:snapToGrid w:val="0"/>
        <w:spacing w:line="360" w:lineRule="auto"/>
        <w:ind w:left="450"/>
        <w:rPr>
          <w:rFonts w:hint="eastAsia" w:eastAsia="宋体"/>
          <w:szCs w:val="21"/>
          <w:highlight w:val="none"/>
          <w:lang w:eastAsia="zh-CN"/>
        </w:rPr>
      </w:pPr>
      <w:r>
        <w:rPr>
          <w:szCs w:val="21"/>
          <w:highlight w:val="none"/>
          <w:lang w:val="zh-CN"/>
        </w:rPr>
        <w:t>地  址：</w:t>
      </w:r>
      <w:r>
        <w:rPr>
          <w:rFonts w:hint="eastAsia"/>
          <w:szCs w:val="21"/>
          <w:highlight w:val="none"/>
          <w:lang w:eastAsia="zh-CN"/>
        </w:rPr>
        <w:t>长春市生态大街伟峰资讯中心2803室</w:t>
      </w:r>
    </w:p>
    <w:p w14:paraId="6C0EA3E2">
      <w:pPr>
        <w:tabs>
          <w:tab w:val="left" w:pos="426"/>
        </w:tabs>
        <w:autoSpaceDE w:val="0"/>
        <w:autoSpaceDN w:val="0"/>
        <w:adjustRightInd w:val="0"/>
        <w:snapToGrid w:val="0"/>
        <w:spacing w:line="360" w:lineRule="auto"/>
        <w:ind w:left="450"/>
        <w:rPr>
          <w:rFonts w:hint="eastAsia" w:eastAsia="宋体"/>
          <w:szCs w:val="21"/>
          <w:highlight w:val="none"/>
          <w:lang w:val="zh-CN" w:eastAsia="zh-CN"/>
        </w:rPr>
      </w:pPr>
      <w:r>
        <w:rPr>
          <w:szCs w:val="21"/>
          <w:highlight w:val="none"/>
          <w:lang w:val="zh-CN"/>
        </w:rPr>
        <w:t>联系人：</w:t>
      </w:r>
      <w:r>
        <w:rPr>
          <w:rFonts w:hint="eastAsia"/>
          <w:szCs w:val="21"/>
          <w:highlight w:val="none"/>
          <w:lang w:val="en-US" w:eastAsia="zh-CN"/>
        </w:rPr>
        <w:t>井冬冰</w:t>
      </w:r>
    </w:p>
    <w:p w14:paraId="31695C07">
      <w:pPr>
        <w:autoSpaceDE w:val="0"/>
        <w:autoSpaceDN w:val="0"/>
        <w:adjustRightInd w:val="0"/>
        <w:snapToGrid w:val="0"/>
        <w:spacing w:line="360" w:lineRule="auto"/>
        <w:ind w:left="450"/>
        <w:jc w:val="left"/>
        <w:rPr>
          <w:szCs w:val="21"/>
          <w:highlight w:val="none"/>
          <w:lang w:val="zh-CN"/>
        </w:rPr>
      </w:pPr>
      <w:r>
        <w:rPr>
          <w:szCs w:val="21"/>
          <w:highlight w:val="none"/>
          <w:lang w:val="zh-CN"/>
        </w:rPr>
        <w:t>电  话：</w:t>
      </w:r>
      <w:r>
        <w:rPr>
          <w:rFonts w:hint="eastAsia"/>
          <w:szCs w:val="21"/>
          <w:highlight w:val="none"/>
          <w:lang w:val="zh-CN"/>
        </w:rPr>
        <w:t>0431-80565016</w:t>
      </w:r>
    </w:p>
    <w:p w14:paraId="636AB991">
      <w:pPr>
        <w:autoSpaceDE w:val="0"/>
        <w:autoSpaceDN w:val="0"/>
        <w:adjustRightInd w:val="0"/>
        <w:snapToGrid w:val="0"/>
        <w:spacing w:line="360" w:lineRule="auto"/>
        <w:ind w:firstLine="424" w:firstLineChars="202"/>
        <w:jc w:val="left"/>
        <w:rPr>
          <w:rFonts w:hint="eastAsia" w:ascii="Times New Roman" w:hAnsi="Calibri" w:eastAsia="宋体" w:cs="Times New Roman"/>
          <w:szCs w:val="21"/>
          <w:highlight w:val="none"/>
        </w:rPr>
      </w:pPr>
    </w:p>
    <w:p w14:paraId="0305F6FA">
      <w:pPr>
        <w:autoSpaceDE w:val="0"/>
        <w:autoSpaceDN w:val="0"/>
        <w:adjustRightInd w:val="0"/>
        <w:snapToGrid w:val="0"/>
        <w:spacing w:line="360" w:lineRule="auto"/>
        <w:ind w:firstLine="424" w:firstLineChars="202"/>
        <w:jc w:val="left"/>
        <w:rPr>
          <w:rFonts w:ascii="Times New Roman" w:hAnsi="Times New Roman" w:eastAsia="宋体" w:cs="Times New Roman"/>
          <w:szCs w:val="21"/>
          <w:highlight w:val="none"/>
          <w:lang w:val="zh-CN"/>
        </w:rPr>
      </w:pPr>
    </w:p>
    <w:p w14:paraId="3288E249">
      <w:pPr>
        <w:autoSpaceDE w:val="0"/>
        <w:autoSpaceDN w:val="0"/>
        <w:adjustRightInd w:val="0"/>
        <w:snapToGrid w:val="0"/>
        <w:spacing w:line="360" w:lineRule="auto"/>
        <w:ind w:firstLine="424" w:firstLineChars="202"/>
        <w:jc w:val="left"/>
        <w:rPr>
          <w:rFonts w:ascii="Times New Roman" w:hAnsi="Times New Roman" w:eastAsia="宋体" w:cs="Times New Roman"/>
          <w:szCs w:val="21"/>
          <w:highlight w:val="none"/>
          <w:lang w:val="zh-CN"/>
        </w:rPr>
      </w:pPr>
      <w:r>
        <w:rPr>
          <w:rFonts w:hint="eastAsia" w:ascii="Times New Roman" w:hAnsi="Times New Roman" w:eastAsia="宋体" w:cs="Times New Roman"/>
          <w:szCs w:val="21"/>
          <w:highlight w:val="none"/>
          <w:lang w:val="zh-CN"/>
        </w:rPr>
        <w:t>公示时间：20</w:t>
      </w:r>
      <w:r>
        <w:rPr>
          <w:rFonts w:hint="eastAsia" w:ascii="Times New Roman" w:hAnsi="Times New Roman" w:eastAsia="宋体" w:cs="Times New Roman"/>
          <w:szCs w:val="21"/>
          <w:highlight w:val="none"/>
          <w:lang w:val="en-US" w:eastAsia="zh-CN"/>
        </w:rPr>
        <w:t>25</w:t>
      </w:r>
      <w:r>
        <w:rPr>
          <w:rFonts w:hint="eastAsia" w:ascii="Times New Roman" w:hAnsi="Times New Roman" w:eastAsia="宋体" w:cs="Times New Roman"/>
          <w:szCs w:val="21"/>
          <w:highlight w:val="none"/>
          <w:lang w:val="zh-CN"/>
        </w:rPr>
        <w:t>年</w:t>
      </w:r>
      <w:r>
        <w:rPr>
          <w:rFonts w:hint="eastAsia" w:ascii="Times New Roman" w:hAnsi="Times New Roman" w:eastAsia="宋体" w:cs="Times New Roman"/>
          <w:szCs w:val="21"/>
          <w:highlight w:val="none"/>
          <w:lang w:val="en-US" w:eastAsia="zh-CN"/>
        </w:rPr>
        <w:t>3</w:t>
      </w:r>
      <w:r>
        <w:rPr>
          <w:rFonts w:hint="eastAsia" w:ascii="Times New Roman" w:hAnsi="Times New Roman" w:eastAsia="宋体" w:cs="Times New Roman"/>
          <w:szCs w:val="21"/>
          <w:highlight w:val="none"/>
          <w:lang w:val="zh-CN"/>
        </w:rPr>
        <w:t>月</w:t>
      </w:r>
      <w:r>
        <w:rPr>
          <w:rFonts w:hint="eastAsia" w:ascii="Times New Roman" w:hAnsi="Times New Roman" w:eastAsia="宋体" w:cs="Times New Roman"/>
          <w:szCs w:val="21"/>
          <w:highlight w:val="none"/>
          <w:lang w:val="en-US" w:eastAsia="zh-CN"/>
        </w:rPr>
        <w:t>27</w:t>
      </w:r>
      <w:bookmarkStart w:id="33" w:name="_GoBack"/>
      <w:bookmarkEnd w:id="33"/>
      <w:r>
        <w:rPr>
          <w:rFonts w:hint="eastAsia" w:ascii="Times New Roman" w:hAnsi="Times New Roman" w:eastAsia="宋体" w:cs="Times New Roman"/>
          <w:szCs w:val="21"/>
          <w:highlight w:val="none"/>
          <w:lang w:val="zh-CN"/>
        </w:rPr>
        <w:t>日-202</w:t>
      </w:r>
      <w:r>
        <w:rPr>
          <w:rFonts w:hint="eastAsia" w:ascii="Times New Roman" w:hAnsi="Times New Roman" w:eastAsia="宋体" w:cs="Times New Roman"/>
          <w:szCs w:val="21"/>
          <w:highlight w:val="none"/>
          <w:lang w:val="en-US" w:eastAsia="zh-CN"/>
        </w:rPr>
        <w:t>5</w:t>
      </w:r>
      <w:r>
        <w:rPr>
          <w:rFonts w:hint="eastAsia" w:ascii="Times New Roman" w:hAnsi="Times New Roman" w:eastAsia="宋体" w:cs="Times New Roman"/>
          <w:szCs w:val="21"/>
          <w:highlight w:val="none"/>
          <w:lang w:val="zh-CN"/>
        </w:rPr>
        <w:t>年</w:t>
      </w:r>
      <w:r>
        <w:rPr>
          <w:rFonts w:hint="eastAsia"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lang w:val="zh-CN"/>
        </w:rPr>
        <w:t>月</w:t>
      </w:r>
      <w:r>
        <w:rPr>
          <w:rFonts w:hint="eastAsia" w:ascii="Times New Roman" w:hAnsi="Times New Roman" w:eastAsia="宋体" w:cs="Times New Roman"/>
          <w:szCs w:val="21"/>
          <w:highlight w:val="none"/>
          <w:lang w:val="en-US" w:eastAsia="zh-CN"/>
        </w:rPr>
        <w:t>6</w:t>
      </w:r>
      <w:r>
        <w:rPr>
          <w:rFonts w:hint="eastAsia" w:ascii="Times New Roman" w:hAnsi="Times New Roman" w:eastAsia="宋体" w:cs="Times New Roman"/>
          <w:szCs w:val="21"/>
          <w:highlight w:val="none"/>
          <w:lang w:val="zh-CN"/>
        </w:rPr>
        <w:t>日</w:t>
      </w:r>
    </w:p>
    <w:p w14:paraId="554E7E08">
      <w:pPr>
        <w:autoSpaceDE w:val="0"/>
        <w:autoSpaceDN w:val="0"/>
        <w:adjustRightInd w:val="0"/>
        <w:spacing w:line="360" w:lineRule="auto"/>
        <w:ind w:firstLine="420" w:firstLineChars="200"/>
        <w:rPr>
          <w:rFonts w:ascii="Times New Roman" w:hAnsi="Times New Roman" w:eastAsia="宋体" w:cs="Times New Roman"/>
          <w:bCs/>
          <w:szCs w:val="21"/>
          <w:lang w:val="zh-CN"/>
        </w:rPr>
      </w:pPr>
    </w:p>
    <w:sectPr>
      <w:footnotePr>
        <w:numRestart w:val="eachPage"/>
      </w:footnote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Lucida Sans Unicode">
    <w:panose1 w:val="020B0602030504020204"/>
    <w:charset w:val="00"/>
    <w:family w:val="swiss"/>
    <w:pitch w:val="default"/>
    <w:sig w:usb0="80001AFF" w:usb1="0000396B" w:usb2="00000000" w:usb3="00000000" w:csb0="200000BF" w:csb1="D7F70000"/>
  </w:font>
  <w:font w:name="CordiaUPC">
    <w:altName w:val="Leelawadee UI"/>
    <w:panose1 w:val="00000000000000000000"/>
    <w:charset w:val="00"/>
    <w:family w:val="swiss"/>
    <w:pitch w:val="default"/>
    <w:sig w:usb0="00000000" w:usb1="00000000" w:usb2="00000000" w:usb3="00000000" w:csb0="00010001" w:csb1="00000000"/>
  </w:font>
  <w:font w:name="Leelawadee UI">
    <w:panose1 w:val="020B0502040204020203"/>
    <w:charset w:val="00"/>
    <w:family w:val="auto"/>
    <w:pitch w:val="default"/>
    <w:sig w:usb0="83000003" w:usb1="00000000" w:usb2="00010000" w:usb3="00000001" w:csb0="00010101" w:csb1="00000000"/>
  </w:font>
  <w:font w:name="David">
    <w:altName w:val="Segoe UI"/>
    <w:panose1 w:val="00000000000000000000"/>
    <w:charset w:val="B1"/>
    <w:family w:val="swiss"/>
    <w:pitch w:val="default"/>
    <w:sig w:usb0="00000000" w:usb1="00000000" w:usb2="00000000" w:usb3="00000000" w:csb0="0000002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77240DD5">
      <w:pPr>
        <w:pStyle w:val="7"/>
      </w:pPr>
      <w:r>
        <w:rPr>
          <w:rStyle w:val="12"/>
        </w:rPr>
        <w:footnoteRef/>
      </w:r>
      <w:r>
        <w:rPr>
          <w:rFonts w:hint="eastAsia" w:ascii="黑体" w:hAnsi="Times New Roman" w:cs="宋体"/>
        </w:rPr>
        <w:t>投标人自有人员指在投标人处缴纳社保的人员，如果投标人属事业法人单位，则由投标人的上级行政主管部门出具拟委任的项目经理和项目总工是投标人单位职工的有效书面证明材料。</w:t>
      </w:r>
      <w:r>
        <w:rPr>
          <w:rFonts w:hint="eastAsia" w:ascii="黑体" w:hAnsi="黑体" w:eastAsia="黑体"/>
        </w:rPr>
        <w:t>。</w:t>
      </w:r>
    </w:p>
  </w:footnote>
  <w:footnote w:id="1">
    <w:p w14:paraId="10E424EA">
      <w:pPr>
        <w:pStyle w:val="7"/>
      </w:pPr>
      <w:r>
        <w:rPr>
          <w:rStyle w:val="12"/>
          <w:rFonts w:ascii="黑体"/>
        </w:rPr>
        <w:footnoteRef/>
      </w:r>
      <w:r>
        <w:rPr>
          <w:rFonts w:hint="eastAsia" w:ascii="黑体" w:cs="宋体"/>
          <w:lang w:val="en-US" w:eastAsia="zh-CN"/>
        </w:rPr>
        <w:t>公路工程</w:t>
      </w:r>
      <w:r>
        <w:rPr>
          <w:rFonts w:hint="eastAsia" w:ascii="黑体" w:cs="宋体"/>
        </w:rPr>
        <w:t>相关专业指其职称证上的专业为公路工程、桥梁工程、公路与桥梁工程、交通土建、隧道（地下结构）工程、交通工程等专业，如职称证中无专业，则以其毕业证上的专业为准。</w:t>
      </w:r>
    </w:p>
  </w:footnote>
  <w:footnote w:id="2">
    <w:p w14:paraId="7D690659">
      <w:pPr>
        <w:pStyle w:val="7"/>
      </w:pPr>
      <w:r>
        <w:rPr>
          <w:rStyle w:val="12"/>
        </w:rPr>
        <w:footnoteRef/>
      </w:r>
      <w:r>
        <w:t>各评分因素</w:t>
      </w:r>
      <w:r>
        <w:rPr>
          <w:lang w:bidi="en-US"/>
        </w:rPr>
        <w:t>（</w:t>
      </w:r>
      <w:r>
        <w:t>评标价和履约信誉评分项除外）得分一般不得低于其权重分值的60%，且各评分因素得分应以评标委员会各成员的打分平均值确定</w:t>
      </w:r>
      <w:r>
        <w:rPr>
          <w:rFonts w:hint="eastAsia"/>
        </w:rPr>
        <w:t>，该平均值以去掉两个最高分和两个最低分后计算。评标委员会成员对某一项评分因素的评分低于权重分值60%的，应在评标报告中作出说明。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C77D0"/>
    <w:multiLevelType w:val="multilevel"/>
    <w:tmpl w:val="179C77D0"/>
    <w:lvl w:ilvl="0" w:tentative="0">
      <w:start w:val="2"/>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BC766A8"/>
    <w:multiLevelType w:val="multilevel"/>
    <w:tmpl w:val="1BC766A8"/>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2427E2F"/>
    <w:multiLevelType w:val="multilevel"/>
    <w:tmpl w:val="22427E2F"/>
    <w:lvl w:ilvl="0" w:tentative="0">
      <w:start w:val="1"/>
      <w:numFmt w:val="lowerLetter"/>
      <w:lvlText w:val="%1."/>
      <w:lvlJc w:val="left"/>
      <w:rPr>
        <w:rFonts w:ascii="David" w:hAnsi="David" w:eastAsia="David" w:cs="David"/>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747057B"/>
    <w:multiLevelType w:val="multilevel"/>
    <w:tmpl w:val="274705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3"/>
        <w:szCs w:val="23"/>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B05356A"/>
    <w:multiLevelType w:val="multilevel"/>
    <w:tmpl w:val="4B05356A"/>
    <w:lvl w:ilvl="0" w:tentative="0">
      <w:start w:val="1"/>
      <w:numFmt w:val="decimal"/>
      <w:lvlText w:val="(%1)"/>
      <w:lvlJc w:val="left"/>
      <w:rPr>
        <w:rFonts w:ascii="MingLiU" w:hAnsi="MingLiU" w:eastAsia="MingLiU" w:cs="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875F22"/>
    <w:multiLevelType w:val="multilevel"/>
    <w:tmpl w:val="4E875F22"/>
    <w:lvl w:ilvl="0" w:tentative="0">
      <w:start w:val="3"/>
      <w:numFmt w:val="decimal"/>
      <w:lvlText w:val="%1"/>
      <w:lvlJc w:val="left"/>
      <w:pPr>
        <w:ind w:left="425" w:hanging="425"/>
      </w:pPr>
      <w:rPr>
        <w:rFonts w:hint="eastAsia"/>
        <w:lang w:val="en-US"/>
      </w:rPr>
    </w:lvl>
    <w:lvl w:ilvl="1" w:tentative="0">
      <w:start w:val="1"/>
      <w:numFmt w:val="decimal"/>
      <w:lvlText w:val="%1.%2"/>
      <w:lvlJc w:val="left"/>
      <w:pPr>
        <w:ind w:left="992" w:hanging="567"/>
      </w:pPr>
      <w:rPr>
        <w:rFonts w:hint="default" w:ascii="Times New Roman" w:hAnsi="Times New Roman" w:cs="Times New Roman"/>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4F2D2D05"/>
    <w:multiLevelType w:val="multilevel"/>
    <w:tmpl w:val="4F2D2D05"/>
    <w:lvl w:ilvl="0" w:tentative="0">
      <w:start w:val="2"/>
      <w:numFmt w:val="decimal"/>
      <w:lvlText w:val="%1"/>
      <w:lvlJc w:val="left"/>
      <w:pPr>
        <w:ind w:left="425" w:hanging="425"/>
      </w:pPr>
      <w:rPr>
        <w:rFonts w:hint="eastAsia"/>
      </w:rPr>
    </w:lvl>
    <w:lvl w:ilvl="1" w:tentative="0">
      <w:start w:val="1"/>
      <w:numFmt w:val="decimal"/>
      <w:lvlText w:val="%1.%2"/>
      <w:lvlJc w:val="left"/>
      <w:pPr>
        <w:ind w:left="992" w:hanging="567"/>
      </w:pPr>
      <w:rPr>
        <w:rFonts w:hint="default" w:ascii="Times New Roman" w:hAnsi="Times New Roman" w:cs="Times New Roman"/>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576E551F"/>
    <w:multiLevelType w:val="multilevel"/>
    <w:tmpl w:val="576E551F"/>
    <w:lvl w:ilvl="0" w:tentative="0">
      <w:start w:val="2"/>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E94D7C"/>
    <w:multiLevelType w:val="multilevel"/>
    <w:tmpl w:val="57E94D7C"/>
    <w:lvl w:ilvl="0" w:tentative="0">
      <w:start w:val="1"/>
      <w:numFmt w:val="lowerLetter"/>
      <w:lvlText w:val="%1."/>
      <w:lvlJc w:val="left"/>
      <w:rPr>
        <w:rFonts w:ascii="David" w:hAnsi="David" w:eastAsia="David" w:cs="David"/>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BEB0397"/>
    <w:multiLevelType w:val="multilevel"/>
    <w:tmpl w:val="5BEB039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3"/>
        <w:szCs w:val="23"/>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16366E0"/>
    <w:multiLevelType w:val="multilevel"/>
    <w:tmpl w:val="616366E0"/>
    <w:lvl w:ilvl="0" w:tentative="0">
      <w:start w:val="1"/>
      <w:numFmt w:val="lowerLetter"/>
      <w:lvlText w:val="%1."/>
      <w:lvlJc w:val="left"/>
      <w:rPr>
        <w:rFonts w:ascii="David" w:hAnsi="David" w:eastAsia="David" w:cs="David"/>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63A61BCE"/>
    <w:multiLevelType w:val="multilevel"/>
    <w:tmpl w:val="63A61BCE"/>
    <w:lvl w:ilvl="0" w:tentative="0">
      <w:start w:val="1"/>
      <w:numFmt w:val="lowerLetter"/>
      <w:lvlText w:val="%1."/>
      <w:lvlJc w:val="left"/>
      <w:rPr>
        <w:rFonts w:ascii="David" w:hAnsi="David" w:eastAsia="David" w:cs="David"/>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7"/>
  </w:num>
  <w:num w:numId="2">
    <w:abstractNumId w:val="6"/>
  </w:num>
  <w:num w:numId="3">
    <w:abstractNumId w:val="5"/>
  </w:num>
  <w:num w:numId="4">
    <w:abstractNumId w:val="3"/>
  </w:num>
  <w:num w:numId="5">
    <w:abstractNumId w:val="9"/>
  </w:num>
  <w:num w:numId="6">
    <w:abstractNumId w:val="1"/>
  </w:num>
  <w:num w:numId="7">
    <w:abstractNumId w:val="4"/>
  </w:num>
  <w:num w:numId="8">
    <w:abstractNumId w:val="11"/>
  </w:num>
  <w:num w:numId="9">
    <w:abstractNumId w:val="0"/>
  </w:num>
  <w:num w:numId="10">
    <w:abstractNumId w:val="2"/>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ZTM0NWZkNmZlN2I0MjI1NDViNDBhYzQ1OGIzMmYifQ=="/>
    <w:docVar w:name="KSO_WPS_MARK_KEY" w:val="be5b53ba-2cb5-4205-8c31-4e75e4fd7801"/>
  </w:docVars>
  <w:rsids>
    <w:rsidRoot w:val="00A62F41"/>
    <w:rsid w:val="0006357D"/>
    <w:rsid w:val="00175CA5"/>
    <w:rsid w:val="001B3D20"/>
    <w:rsid w:val="001F24E0"/>
    <w:rsid w:val="00207AEB"/>
    <w:rsid w:val="00211638"/>
    <w:rsid w:val="00253550"/>
    <w:rsid w:val="002879F9"/>
    <w:rsid w:val="00333359"/>
    <w:rsid w:val="00345B67"/>
    <w:rsid w:val="003B3EB1"/>
    <w:rsid w:val="003D0759"/>
    <w:rsid w:val="003F484D"/>
    <w:rsid w:val="004B0BEA"/>
    <w:rsid w:val="005179DB"/>
    <w:rsid w:val="005B41E6"/>
    <w:rsid w:val="005F7983"/>
    <w:rsid w:val="00730A55"/>
    <w:rsid w:val="00735669"/>
    <w:rsid w:val="007526C3"/>
    <w:rsid w:val="007D2B31"/>
    <w:rsid w:val="007E5E18"/>
    <w:rsid w:val="00804D07"/>
    <w:rsid w:val="00911050"/>
    <w:rsid w:val="009278E4"/>
    <w:rsid w:val="00950099"/>
    <w:rsid w:val="00A317DF"/>
    <w:rsid w:val="00A3461E"/>
    <w:rsid w:val="00A62F41"/>
    <w:rsid w:val="00AE4036"/>
    <w:rsid w:val="00AE5AFB"/>
    <w:rsid w:val="00B04F7F"/>
    <w:rsid w:val="00B1682A"/>
    <w:rsid w:val="00BA4292"/>
    <w:rsid w:val="00BB3B5B"/>
    <w:rsid w:val="00C33922"/>
    <w:rsid w:val="00CC6FE2"/>
    <w:rsid w:val="00D47C9D"/>
    <w:rsid w:val="00E23B7D"/>
    <w:rsid w:val="00E47215"/>
    <w:rsid w:val="00EB3A2C"/>
    <w:rsid w:val="00F5638D"/>
    <w:rsid w:val="00FE5FDC"/>
    <w:rsid w:val="01663586"/>
    <w:rsid w:val="050B41B2"/>
    <w:rsid w:val="07B54C0F"/>
    <w:rsid w:val="07C96424"/>
    <w:rsid w:val="08E458C1"/>
    <w:rsid w:val="0ADC0970"/>
    <w:rsid w:val="14472D4D"/>
    <w:rsid w:val="14FC0436"/>
    <w:rsid w:val="1E58286D"/>
    <w:rsid w:val="1FCB78BB"/>
    <w:rsid w:val="20780E47"/>
    <w:rsid w:val="20F9158E"/>
    <w:rsid w:val="2F1D3E67"/>
    <w:rsid w:val="362611CE"/>
    <w:rsid w:val="392D2FBF"/>
    <w:rsid w:val="3A33696A"/>
    <w:rsid w:val="4855204B"/>
    <w:rsid w:val="4F8112F3"/>
    <w:rsid w:val="55AF1062"/>
    <w:rsid w:val="5A6F20DD"/>
    <w:rsid w:val="5CBD4BA2"/>
    <w:rsid w:val="672349A2"/>
    <w:rsid w:val="6B80414A"/>
    <w:rsid w:val="725C6278"/>
    <w:rsid w:val="74FC0678"/>
    <w:rsid w:val="7E4F2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qFormat/>
    <w:uiPriority w:val="9"/>
    <w:pPr>
      <w:keepNext/>
      <w:keepLines/>
      <w:spacing w:before="260" w:after="260" w:line="416" w:lineRule="auto"/>
      <w:outlineLvl w:val="2"/>
    </w:pPr>
    <w:rPr>
      <w:b/>
      <w:bCs/>
      <w:kern w:val="0"/>
      <w:sz w:val="32"/>
      <w:szCs w:val="32"/>
    </w:rPr>
  </w:style>
  <w:style w:type="character" w:default="1" w:styleId="10">
    <w:name w:val="Default Paragraph Font"/>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qFormat/>
    <w:uiPriority w:val="99"/>
    <w:rPr>
      <w:rFonts w:ascii="宋体" w:hAnsi="Courier New" w:cs="Courier New"/>
      <w:szCs w:val="21"/>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link w:val="15"/>
    <w:unhideWhenUsed/>
    <w:qFormat/>
    <w:uiPriority w:val="99"/>
    <w:pPr>
      <w:snapToGrid w:val="0"/>
      <w:jc w:val="left"/>
    </w:pPr>
    <w:rPr>
      <w:sz w:val="18"/>
      <w:szCs w:val="18"/>
    </w:rPr>
  </w:style>
  <w:style w:type="paragraph" w:styleId="8">
    <w:name w:val="Body Text 2"/>
    <w:basedOn w:val="1"/>
    <w:qFormat/>
    <w:uiPriority w:val="0"/>
    <w:pPr>
      <w:spacing w:after="120" w:line="480" w:lineRule="auto"/>
    </w:pPr>
    <w:rPr>
      <w:rFonts w:ascii="Times New Roman" w:hAnsi="Times New Roman"/>
      <w:szCs w:val="24"/>
    </w:rPr>
  </w:style>
  <w:style w:type="character" w:styleId="11">
    <w:name w:val="Hyperlink"/>
    <w:unhideWhenUsed/>
    <w:qFormat/>
    <w:uiPriority w:val="99"/>
    <w:rPr>
      <w:color w:val="0000FF"/>
      <w:u w:val="single"/>
    </w:rPr>
  </w:style>
  <w:style w:type="character" w:styleId="12">
    <w:name w:val="footnote reference"/>
    <w:basedOn w:val="10"/>
    <w:qFormat/>
    <w:uiPriority w:val="0"/>
    <w:rPr>
      <w:vertAlign w:val="superscript"/>
    </w:rPr>
  </w:style>
  <w:style w:type="paragraph" w:styleId="13">
    <w:name w:val="List Paragraph"/>
    <w:basedOn w:val="1"/>
    <w:qFormat/>
    <w:uiPriority w:val="34"/>
    <w:pPr>
      <w:ind w:firstLine="420" w:firstLineChars="200"/>
    </w:p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character" w:customStyle="1" w:styleId="15">
    <w:name w:val="脚注文本 Char"/>
    <w:link w:val="7"/>
    <w:qFormat/>
    <w:uiPriority w:val="99"/>
    <w:rPr>
      <w:rFonts w:asciiTheme="minorHAnsi" w:hAnsiTheme="minorHAnsi" w:eastAsiaTheme="minorEastAsia" w:cstheme="minorBidi"/>
      <w:kern w:val="2"/>
      <w:sz w:val="18"/>
      <w:szCs w:val="18"/>
    </w:rPr>
  </w:style>
  <w:style w:type="character" w:customStyle="1" w:styleId="16">
    <w:name w:val="纯文本 Char"/>
    <w:basedOn w:val="10"/>
    <w:link w:val="4"/>
    <w:qFormat/>
    <w:uiPriority w:val="99"/>
    <w:rPr>
      <w:rFonts w:ascii="宋体" w:hAnsi="Courier New" w:cs="Courier New" w:eastAsiaTheme="minorEastAsia"/>
      <w:kern w:val="2"/>
      <w:sz w:val="21"/>
      <w:szCs w:val="21"/>
    </w:rPr>
  </w:style>
  <w:style w:type="character" w:customStyle="1" w:styleId="17">
    <w:name w:val="页眉 Char"/>
    <w:basedOn w:val="10"/>
    <w:link w:val="6"/>
    <w:qFormat/>
    <w:uiPriority w:val="99"/>
    <w:rPr>
      <w:rFonts w:asciiTheme="minorHAnsi" w:hAnsiTheme="minorHAnsi" w:eastAsiaTheme="minorEastAsia" w:cstheme="minorBidi"/>
      <w:sz w:val="18"/>
      <w:szCs w:val="18"/>
    </w:rPr>
  </w:style>
  <w:style w:type="paragraph" w:customStyle="1" w:styleId="18">
    <w:name w:val="正文文本 (2)"/>
    <w:basedOn w:val="1"/>
    <w:qFormat/>
    <w:uiPriority w:val="0"/>
    <w:pPr>
      <w:shd w:val="clear" w:color="auto" w:fill="FFFFFF"/>
      <w:spacing w:before="300" w:line="439" w:lineRule="exact"/>
      <w:jc w:val="distribute"/>
    </w:pPr>
    <w:rPr>
      <w:rFonts w:ascii="宋体" w:hAnsi="宋体"/>
      <w:kern w:val="0"/>
      <w:sz w:val="22"/>
    </w:rPr>
  </w:style>
  <w:style w:type="character" w:customStyle="1" w:styleId="19">
    <w:name w:val="正文文本 (2) + 9 pt"/>
    <w:qFormat/>
    <w:uiPriority w:val="0"/>
    <w:rPr>
      <w:rFonts w:ascii="MingLiU" w:hAnsi="MingLiU" w:eastAsia="MingLiU" w:cs="MingLiU"/>
      <w:color w:val="000000"/>
      <w:spacing w:val="0"/>
      <w:w w:val="100"/>
      <w:position w:val="0"/>
      <w:sz w:val="18"/>
      <w:szCs w:val="18"/>
      <w:u w:val="none"/>
      <w:shd w:val="clear" w:color="auto" w:fill="FFFFFF"/>
      <w:lang w:val="en-US" w:eastAsia="en-US" w:bidi="en-US"/>
    </w:rPr>
  </w:style>
  <w:style w:type="character" w:customStyle="1" w:styleId="20">
    <w:name w:val="正文文本 (2) + 9.5 pt"/>
    <w:qFormat/>
    <w:uiPriority w:val="0"/>
    <w:rPr>
      <w:rFonts w:ascii="MingLiU" w:hAnsi="MingLiU" w:eastAsia="MingLiU" w:cs="MingLiU"/>
      <w:color w:val="000000"/>
      <w:spacing w:val="0"/>
      <w:w w:val="100"/>
      <w:position w:val="0"/>
      <w:sz w:val="19"/>
      <w:szCs w:val="19"/>
      <w:shd w:val="clear" w:color="auto" w:fill="FFFFFF"/>
      <w:lang w:val="zh-TW" w:eastAsia="zh-TW" w:bidi="zh-TW"/>
    </w:rPr>
  </w:style>
  <w:style w:type="character" w:customStyle="1" w:styleId="21">
    <w:name w:val="正文文本 (2) + 10 pt"/>
    <w:qFormat/>
    <w:uiPriority w:val="0"/>
    <w:rPr>
      <w:rFonts w:ascii="MingLiU" w:hAnsi="MingLiU" w:eastAsia="MingLiU" w:cs="MingLiU"/>
      <w:b/>
      <w:bCs/>
      <w:color w:val="000000"/>
      <w:spacing w:val="0"/>
      <w:w w:val="100"/>
      <w:position w:val="0"/>
      <w:sz w:val="20"/>
      <w:szCs w:val="20"/>
      <w:u w:val="none"/>
      <w:lang w:val="zh-TW" w:eastAsia="zh-TW" w:bidi="zh-TW"/>
    </w:rPr>
  </w:style>
  <w:style w:type="character" w:customStyle="1" w:styleId="22">
    <w:name w:val="标题 #7 + 间距 1 pt"/>
    <w:qFormat/>
    <w:uiPriority w:val="0"/>
    <w:rPr>
      <w:rFonts w:ascii="MingLiU" w:hAnsi="MingLiU" w:eastAsia="MingLiU" w:cs="MingLiU"/>
      <w:color w:val="000000"/>
      <w:spacing w:val="20"/>
      <w:w w:val="100"/>
      <w:position w:val="0"/>
      <w:sz w:val="28"/>
      <w:szCs w:val="28"/>
      <w:shd w:val="clear" w:color="auto" w:fill="FFFFFF"/>
      <w:lang w:val="zh-TW" w:eastAsia="zh-TW" w:bidi="zh-TW"/>
    </w:rPr>
  </w:style>
  <w:style w:type="paragraph" w:customStyle="1" w:styleId="23">
    <w:name w:val="正文文本 (18)"/>
    <w:basedOn w:val="1"/>
    <w:qFormat/>
    <w:uiPriority w:val="0"/>
    <w:pPr>
      <w:shd w:val="clear" w:color="auto" w:fill="FFFFFF"/>
      <w:spacing w:line="559" w:lineRule="exact"/>
      <w:jc w:val="left"/>
    </w:pPr>
    <w:rPr>
      <w:rFonts w:ascii="MingLiU" w:hAnsi="MingLiU" w:eastAsia="MingLiU"/>
      <w:spacing w:val="20"/>
      <w:kern w:val="0"/>
      <w:sz w:val="23"/>
      <w:szCs w:val="23"/>
    </w:rPr>
  </w:style>
  <w:style w:type="character" w:customStyle="1" w:styleId="24">
    <w:name w:val="正文文本 (1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 w:type="character" w:customStyle="1" w:styleId="25">
    <w:name w:val="正文文本 (2) + Lucida Sans Unicode"/>
    <w:qFormat/>
    <w:uiPriority w:val="0"/>
    <w:rPr>
      <w:rFonts w:ascii="Lucida Sans Unicode" w:hAnsi="Lucida Sans Unicode" w:eastAsia="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26">
    <w:name w:val="正文文本 (2) + CordiaUPC"/>
    <w:qFormat/>
    <w:uiPriority w:val="0"/>
    <w:rPr>
      <w:rFonts w:ascii="CordiaUPC" w:hAnsi="CordiaUPC" w:eastAsia="CordiaUPC" w:cs="CordiaUPC"/>
      <w:color w:val="000000"/>
      <w:spacing w:val="0"/>
      <w:w w:val="100"/>
      <w:position w:val="0"/>
      <w:sz w:val="26"/>
      <w:szCs w:val="26"/>
      <w:u w:val="none"/>
      <w:shd w:val="clear" w:color="auto" w:fill="FFFFFF"/>
      <w:lang w:val="en-US" w:eastAsia="en-US" w:bidi="en-US"/>
    </w:rPr>
  </w:style>
  <w:style w:type="character" w:customStyle="1" w:styleId="27">
    <w:name w:val="标题 #8 + 间距 0 pt"/>
    <w:qFormat/>
    <w:uiPriority w:val="0"/>
    <w:rPr>
      <w:rFonts w:ascii="MingLiU" w:hAnsi="MingLiU" w:eastAsia="MingLiU" w:cs="MingLiU"/>
      <w:color w:val="000000"/>
      <w:spacing w:val="0"/>
      <w:w w:val="100"/>
      <w:position w:val="0"/>
      <w:sz w:val="23"/>
      <w:szCs w:val="23"/>
      <w:shd w:val="clear" w:color="auto" w:fill="FFFFFF"/>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7432</Words>
  <Characters>7921</Characters>
  <Lines>59</Lines>
  <Paragraphs>16</Paragraphs>
  <TotalTime>0</TotalTime>
  <ScaleCrop>false</ScaleCrop>
  <LinksUpToDate>false</LinksUpToDate>
  <CharactersWithSpaces>7969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2025-03-26T08:21:51Z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4165226FF853410B8FA2328F024FDFD8</vt:lpwstr>
  </property>
  <property fmtid="{D5CDD505-2E9C-101B-9397-08002B2CF9AE}" pid="4" name="KSOTemplateDocerSaveRecord">
    <vt:lpwstr>eyJoZGlkIjoiYmNjZjJjMGE2ZTRjZWRhMzAwZGRmYWJlY2ZlMzQ2ZmEiLCJ1c2VySWQiOiIxMTA1MDY1MTI4In0=</vt:lpwstr>
  </property>
</Properties>
</file>