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D77D45">
      <w:pPr>
        <w:jc w:val="center"/>
        <w:rPr>
          <w:rFonts w:hint="eastAsia" w:ascii="宋体" w:hAnsi="宋体"/>
          <w:b/>
          <w:sz w:val="28"/>
          <w:szCs w:val="28"/>
        </w:rPr>
      </w:pPr>
      <w:r>
        <w:rPr>
          <w:rFonts w:hint="eastAsia" w:ascii="宋体" w:hAnsi="宋体"/>
          <w:b/>
          <w:sz w:val="28"/>
          <w:szCs w:val="28"/>
        </w:rPr>
        <w:t>白城市2024年国道珲阿公路高平至平台镇段路面改造工程中心试验室招标</w:t>
      </w:r>
    </w:p>
    <w:p w14:paraId="02FF4997">
      <w:pPr>
        <w:jc w:val="center"/>
        <w:rPr>
          <w:rFonts w:hint="eastAsia" w:ascii="宋体" w:hAnsi="宋体"/>
          <w:b/>
          <w:kern w:val="0"/>
          <w:sz w:val="28"/>
          <w:szCs w:val="24"/>
        </w:rPr>
      </w:pPr>
      <w:r>
        <w:rPr>
          <w:rFonts w:hint="eastAsia" w:ascii="宋体" w:hAnsi="宋体"/>
          <w:b/>
          <w:kern w:val="0"/>
          <w:sz w:val="28"/>
          <w:szCs w:val="24"/>
        </w:rPr>
        <w:t>关键内容信息公开</w:t>
      </w:r>
    </w:p>
    <w:p w14:paraId="79272463">
      <w:pPr>
        <w:pStyle w:val="15"/>
        <w:tabs>
          <w:tab w:val="left" w:pos="426"/>
        </w:tabs>
        <w:spacing w:line="360" w:lineRule="auto"/>
        <w:jc w:val="left"/>
        <w:outlineLvl w:val="2"/>
        <w:rPr>
          <w:rFonts w:hint="eastAsia" w:ascii="宋体" w:hAnsi="宋体" w:cs="Times New Roman"/>
          <w:b w:val="0"/>
        </w:rPr>
      </w:pPr>
      <w:bookmarkStart w:id="0" w:name="_Toc6465"/>
      <w:bookmarkStart w:id="1" w:name="_Toc361838105"/>
      <w:bookmarkStart w:id="2" w:name="_Toc356741791"/>
      <w:bookmarkStart w:id="3" w:name="_Toc257655330"/>
      <w:bookmarkStart w:id="4" w:name="_Toc22563"/>
      <w:bookmarkStart w:id="5" w:name="_Toc29184"/>
      <w:r>
        <w:rPr>
          <w:rFonts w:hint="eastAsia" w:ascii="宋体" w:hAnsi="宋体" w:cs="Times New Roman"/>
          <w:b w:val="0"/>
        </w:rPr>
        <w:t>1.招标条件</w:t>
      </w:r>
      <w:bookmarkEnd w:id="0"/>
    </w:p>
    <w:p w14:paraId="12147C67">
      <w:pPr>
        <w:spacing w:line="360" w:lineRule="auto"/>
        <w:ind w:firstLine="420" w:firstLineChars="200"/>
        <w:rPr>
          <w:rFonts w:hint="eastAsia" w:ascii="宋体" w:hAnsi="宋体" w:eastAsia="宋体" w:cs="Times New Roman"/>
        </w:rPr>
      </w:pPr>
      <w:bookmarkStart w:id="6" w:name="_Toc355376932"/>
      <w:r>
        <w:rPr>
          <w:rFonts w:hint="eastAsia" w:ascii="宋体" w:hAnsi="宋体"/>
        </w:rPr>
        <w:t>本招标项</w:t>
      </w:r>
      <w:r>
        <w:rPr>
          <w:rFonts w:hint="eastAsia" w:ascii="宋体" w:hAnsi="宋体" w:eastAsia="宋体" w:cs="Times New Roman"/>
        </w:rPr>
        <w:t>目白城市2024年国道珲阿公路高平至平台镇段路面改造工程施工图设计已由吉林省公路管理局以吉公路技【2024】101号文件批准，</w:t>
      </w:r>
      <w:r>
        <w:rPr>
          <w:rFonts w:hint="eastAsia" w:ascii="宋体" w:hAnsi="宋体"/>
          <w:szCs w:val="21"/>
          <w:lang w:val="en-US" w:eastAsia="zh-CN"/>
        </w:rPr>
        <w:t>项目法人为吉林省公路管理局，建设资金来自财政资金，出资比例为100%，项目实施管理法人及招标人为白城市公路管理处。</w:t>
      </w:r>
      <w:r>
        <w:rPr>
          <w:rFonts w:hint="eastAsia" w:ascii="宋体" w:hAnsi="宋体" w:eastAsia="宋体" w:cs="Times New Roman"/>
        </w:rPr>
        <w:t>项目已具备招标条件，现对该项目的中心试验室进行公开招标。</w:t>
      </w:r>
    </w:p>
    <w:p w14:paraId="5695A30D">
      <w:pPr>
        <w:pStyle w:val="15"/>
        <w:tabs>
          <w:tab w:val="left" w:pos="426"/>
        </w:tabs>
        <w:spacing w:line="360" w:lineRule="auto"/>
        <w:jc w:val="left"/>
        <w:outlineLvl w:val="2"/>
        <w:rPr>
          <w:rFonts w:hint="eastAsia" w:ascii="宋体" w:hAnsi="宋体" w:cs="Times New Roman"/>
          <w:b w:val="0"/>
        </w:rPr>
      </w:pPr>
      <w:bookmarkStart w:id="7" w:name="_Toc18165"/>
      <w:r>
        <w:rPr>
          <w:rFonts w:hint="eastAsia" w:ascii="宋体" w:hAnsi="宋体" w:cs="Times New Roman"/>
          <w:b w:val="0"/>
        </w:rPr>
        <w:t>2.项目概况与招标范围</w:t>
      </w:r>
      <w:bookmarkEnd w:id="6"/>
      <w:bookmarkEnd w:id="7"/>
    </w:p>
    <w:p w14:paraId="751C035B">
      <w:pPr>
        <w:tabs>
          <w:tab w:val="left" w:pos="540"/>
        </w:tabs>
        <w:spacing w:line="360" w:lineRule="auto"/>
        <w:ind w:left="425"/>
        <w:outlineLvl w:val="2"/>
        <w:rPr>
          <w:rFonts w:hint="eastAsia" w:ascii="宋体" w:hAnsi="宋体" w:eastAsia="宋体"/>
        </w:rPr>
      </w:pPr>
      <w:bookmarkStart w:id="8" w:name="_Toc1714"/>
      <w:bookmarkStart w:id="9" w:name="_Toc323"/>
      <w:bookmarkStart w:id="10" w:name="_Toc355376933"/>
      <w:r>
        <w:rPr>
          <w:rFonts w:hint="eastAsia" w:ascii="宋体" w:hAnsi="宋体"/>
        </w:rPr>
        <w:t>2</w:t>
      </w:r>
      <w:r>
        <w:rPr>
          <w:rFonts w:ascii="宋体" w:hAnsi="宋体"/>
        </w:rPr>
        <w:t>.1</w:t>
      </w:r>
      <w:r>
        <w:rPr>
          <w:rFonts w:hint="eastAsia" w:ascii="宋体" w:hAnsi="宋体"/>
        </w:rPr>
        <w:t>建设地点：吉林省白城市</w:t>
      </w:r>
      <w:bookmarkEnd w:id="8"/>
      <w:bookmarkEnd w:id="9"/>
    </w:p>
    <w:p w14:paraId="698A528F">
      <w:pPr>
        <w:tabs>
          <w:tab w:val="left" w:pos="709"/>
        </w:tabs>
        <w:spacing w:line="360" w:lineRule="auto"/>
        <w:ind w:firstLine="420" w:firstLineChars="200"/>
        <w:rPr>
          <w:rFonts w:hint="eastAsia" w:ascii="宋体" w:hAnsi="宋体" w:cs="宋体"/>
        </w:rPr>
      </w:pPr>
      <w:r>
        <w:rPr>
          <w:rFonts w:hint="eastAsia" w:ascii="宋体" w:hAnsi="宋体" w:cs="宋体"/>
        </w:rPr>
        <w:t>2</w:t>
      </w:r>
      <w:r>
        <w:rPr>
          <w:rFonts w:ascii="宋体" w:hAnsi="宋体" w:cs="宋体"/>
        </w:rPr>
        <w:t>.</w:t>
      </w:r>
      <w:r>
        <w:rPr>
          <w:rFonts w:hint="eastAsia" w:ascii="宋体" w:hAnsi="宋体" w:cs="宋体"/>
        </w:rPr>
        <w:t>2建设规模：白城市2024年国道珲阿公路（G302）高平（二级与一级分界点）至平台镇（新旧路面变化）段路面改造工程位于白城市洮北区境内，起点位于高平镇淮海街加油站附近，桩号为K992+717，经杨家屯、于家村、侯家村，终点位于平台镇，桩号为K1026+624，路线全长33.848公</w:t>
      </w:r>
      <w:r>
        <w:rPr>
          <w:rFonts w:hint="eastAsia" w:ascii="宋体" w:hAnsi="宋体" w:eastAsia="宋体" w:cs="宋体"/>
          <w:lang w:eastAsia="zh-CN"/>
        </w:rPr>
        <w:t>里</w:t>
      </w:r>
      <w:r>
        <w:rPr>
          <w:rFonts w:hint="eastAsia" w:ascii="宋体" w:hAnsi="宋体" w:cs="宋体"/>
        </w:rPr>
        <w:t>（含短链59米），其中K999+341～K1001+951段为国道珲阿公路与平齐铁路及国道嫩双公路交叉改造工程（利用段），路线长2.610公里，本次路面改造工程路线长31.238公</w:t>
      </w:r>
      <w:r>
        <w:rPr>
          <w:rFonts w:hint="eastAsia" w:ascii="宋体" w:hAnsi="宋体" w:eastAsia="宋体" w:cs="宋体"/>
          <w:lang w:eastAsia="zh-CN"/>
        </w:rPr>
        <w:t>里</w:t>
      </w:r>
      <w:r>
        <w:rPr>
          <w:rFonts w:hint="eastAsia" w:ascii="宋体" w:hAnsi="宋体" w:cs="宋体"/>
        </w:rPr>
        <w:t>（含短链59米）。本项目K992+717～K995+841、K1023+932～K1025+012段，路线长4.204公里，采用设计速度80公里/小时的双向四车道一级公路标准；K995+841～K999+341、K1001+951～K1023+932、K1025+012～K1026+624段（含短链59米），路线长27.034公里，采用设计速度80公里/小时的双向两车道二级公路标准。共有大桥1座，涵洞2道，分离式立交桥2座，与等级公路平面交叉20处。维修利用桥涵设计荷载等级维持原标准。</w:t>
      </w:r>
    </w:p>
    <w:p w14:paraId="13C77F04">
      <w:pPr>
        <w:tabs>
          <w:tab w:val="left" w:pos="709"/>
        </w:tabs>
        <w:spacing w:line="360" w:lineRule="auto"/>
        <w:ind w:firstLine="420" w:firstLineChars="200"/>
        <w:outlineLvl w:val="2"/>
        <w:rPr>
          <w:rFonts w:hint="eastAsia" w:ascii="宋体" w:hAnsi="宋体" w:eastAsia="宋体" w:cs="宋体"/>
        </w:rPr>
      </w:pPr>
      <w:bookmarkStart w:id="11" w:name="_Toc16339"/>
      <w:bookmarkStart w:id="12" w:name="_Toc13644"/>
      <w:r>
        <w:rPr>
          <w:rFonts w:hint="eastAsia" w:ascii="宋体" w:hAnsi="宋体" w:eastAsia="宋体" w:cs="宋体"/>
          <w:bCs/>
        </w:rPr>
        <w:t>2.3标段划分：</w:t>
      </w:r>
      <w:r>
        <w:rPr>
          <w:rFonts w:hint="eastAsia" w:ascii="宋体" w:hAnsi="宋体" w:eastAsia="宋体" w:cs="宋体"/>
        </w:rPr>
        <w:t>本项目共划分1个标段，即BCSY01标段</w:t>
      </w:r>
      <w:bookmarkEnd w:id="11"/>
      <w:bookmarkEnd w:id="12"/>
      <w:r>
        <w:rPr>
          <w:rFonts w:hint="eastAsia" w:ascii="宋体" w:hAnsi="宋体" w:eastAsia="宋体" w:cs="宋体"/>
        </w:rPr>
        <w:t>，为中心试验室。</w:t>
      </w:r>
    </w:p>
    <w:p w14:paraId="4F9BA30D">
      <w:pPr>
        <w:tabs>
          <w:tab w:val="left" w:pos="709"/>
        </w:tabs>
        <w:spacing w:line="360" w:lineRule="auto"/>
        <w:ind w:firstLine="420" w:firstLineChars="200"/>
        <w:rPr>
          <w:rFonts w:hint="eastAsia" w:ascii="宋体" w:hAnsi="宋体" w:eastAsia="宋体" w:cs="宋体"/>
        </w:rPr>
      </w:pPr>
      <w:r>
        <w:rPr>
          <w:rFonts w:hint="eastAsia" w:ascii="宋体" w:hAnsi="宋体" w:eastAsia="宋体" w:cs="宋体"/>
        </w:rPr>
        <w:t>2.4招标范围：白城市2024年国道珲阿公路高平至平台镇段路面改造工程的中心试验室工作。</w:t>
      </w:r>
    </w:p>
    <w:p w14:paraId="17204869">
      <w:pPr>
        <w:tabs>
          <w:tab w:val="left" w:pos="540"/>
        </w:tabs>
        <w:spacing w:line="360" w:lineRule="auto"/>
        <w:ind w:left="425"/>
        <w:outlineLvl w:val="2"/>
        <w:rPr>
          <w:rFonts w:ascii="宋体" w:hAnsi="宋体"/>
        </w:rPr>
      </w:pPr>
      <w:bookmarkStart w:id="13" w:name="_Toc10438"/>
      <w:bookmarkStart w:id="14" w:name="_Toc24952"/>
      <w:r>
        <w:rPr>
          <w:rFonts w:hint="eastAsia" w:ascii="宋体" w:hAnsi="宋体" w:cs="宋体"/>
        </w:rPr>
        <w:t>2.5服务期限：自合同签订之日起至竣（交）工验收结束。</w:t>
      </w:r>
      <w:bookmarkEnd w:id="13"/>
      <w:bookmarkEnd w:id="14"/>
    </w:p>
    <w:p w14:paraId="08D433EC">
      <w:pPr>
        <w:pStyle w:val="15"/>
        <w:tabs>
          <w:tab w:val="left" w:pos="426"/>
        </w:tabs>
        <w:spacing w:line="360" w:lineRule="auto"/>
        <w:jc w:val="left"/>
        <w:outlineLvl w:val="2"/>
        <w:rPr>
          <w:rFonts w:hint="eastAsia" w:ascii="宋体" w:hAnsi="宋体" w:cs="Times New Roman"/>
          <w:b w:val="0"/>
        </w:rPr>
      </w:pPr>
      <w:bookmarkStart w:id="15" w:name="_Toc13894"/>
      <w:r>
        <w:rPr>
          <w:rFonts w:hint="eastAsia" w:ascii="宋体" w:hAnsi="宋体" w:cs="Times New Roman"/>
          <w:b w:val="0"/>
        </w:rPr>
        <w:t>3.投标人资格要求</w:t>
      </w:r>
      <w:bookmarkEnd w:id="10"/>
      <w:bookmarkEnd w:id="15"/>
    </w:p>
    <w:p w14:paraId="0064BCA5">
      <w:pPr>
        <w:spacing w:line="360" w:lineRule="auto"/>
        <w:ind w:firstLine="420" w:firstLineChars="200"/>
        <w:rPr>
          <w:rFonts w:hint="eastAsia" w:ascii="宋体" w:hAnsi="宋体" w:cs="宋体"/>
        </w:rPr>
      </w:pPr>
      <w:r>
        <w:rPr>
          <w:rFonts w:hint="eastAsia" w:ascii="宋体" w:hAnsi="宋体" w:cs="宋体"/>
          <w:bCs/>
        </w:rPr>
        <w:t>3.1</w:t>
      </w:r>
      <w:r>
        <w:rPr>
          <w:rFonts w:hint="eastAsia" w:ascii="宋体" w:hAnsi="宋体" w:cs="Courier New"/>
          <w:lang w:val="zh-CN"/>
        </w:rPr>
        <w:t>本次招标要求投标人（</w:t>
      </w:r>
      <w:r>
        <w:rPr>
          <w:rFonts w:hint="eastAsia" w:ascii="宋体" w:hAnsi="宋体" w:eastAsia="宋体" w:cs="Courier New"/>
        </w:rPr>
        <w:t>或其下属非独立法人检测机构</w:t>
      </w:r>
      <w:r>
        <w:rPr>
          <w:rFonts w:hint="eastAsia" w:ascii="宋体" w:hAnsi="宋体" w:eastAsia="宋体"/>
        </w:rPr>
        <w:t>）具备交通运输主管部门核发的公路工程甲级或乙级《公路水运工程质量检测机构资质证书》，并同时具有市场监督</w:t>
      </w:r>
      <w:r>
        <w:rPr>
          <w:rFonts w:hint="eastAsia" w:ascii="宋体" w:hAnsi="宋体"/>
        </w:rPr>
        <w:t>管理部门颁发的在有效期内的检验检测机构资质认定证书（有CMA资质认定标志），</w:t>
      </w:r>
      <w:r>
        <w:rPr>
          <w:rFonts w:hint="eastAsia" w:ascii="宋体" w:hAnsi="宋体" w:cs="宋体"/>
        </w:rPr>
        <w:t>在人员等方面具有相应的试验检测能力。</w:t>
      </w:r>
    </w:p>
    <w:p w14:paraId="24F572BD">
      <w:pPr>
        <w:wordWrap w:val="0"/>
        <w:spacing w:line="360" w:lineRule="auto"/>
        <w:ind w:firstLine="420" w:firstLineChars="200"/>
        <w:outlineLvl w:val="2"/>
        <w:rPr>
          <w:rFonts w:ascii="宋体" w:hAnsi="宋体"/>
        </w:rPr>
      </w:pPr>
      <w:bookmarkStart w:id="16" w:name="_Toc20973"/>
      <w:bookmarkStart w:id="17" w:name="_Toc20830"/>
      <w:bookmarkStart w:id="18" w:name="_Toc355376934"/>
      <w:r>
        <w:rPr>
          <w:rFonts w:hint="eastAsia" w:ascii="宋体" w:hAnsi="宋体" w:cs="宋体"/>
          <w:bCs/>
        </w:rPr>
        <w:t>3.2本次招标不</w:t>
      </w:r>
      <w:r>
        <w:rPr>
          <w:rFonts w:hint="eastAsia" w:ascii="宋体" w:hAnsi="宋体"/>
        </w:rPr>
        <w:t>接受联合体投标。</w:t>
      </w:r>
      <w:bookmarkEnd w:id="16"/>
      <w:bookmarkEnd w:id="17"/>
    </w:p>
    <w:p w14:paraId="35E65041">
      <w:pPr>
        <w:tabs>
          <w:tab w:val="left" w:pos="0"/>
        </w:tabs>
        <w:wordWrap w:val="0"/>
        <w:spacing w:line="360" w:lineRule="auto"/>
        <w:ind w:firstLine="420" w:firstLineChars="200"/>
        <w:rPr>
          <w:rFonts w:ascii="宋体" w:hAnsi="宋体"/>
          <w:bCs/>
          <w:lang w:val="zh-CN"/>
        </w:rPr>
      </w:pPr>
      <w:r>
        <w:rPr>
          <w:rFonts w:hint="eastAsia" w:ascii="宋体" w:hAnsi="宋体" w:cs="宋体"/>
          <w:bCs/>
        </w:rPr>
        <w:t>3.3</w:t>
      </w:r>
      <w:bookmarkEnd w:id="18"/>
      <w:r>
        <w:rPr>
          <w:rFonts w:hint="eastAsia" w:ascii="宋体" w:hAnsi="宋体"/>
          <w:bCs/>
          <w:lang w:val="zh-CN"/>
        </w:rPr>
        <w:t>与招标人存在利害关系可能影响招标公正性的单位不得参加投标；单位负责人为同一人或者存在控股、管理关系的不同单位，不得参加同一标段投标，否则相关投标均无效。</w:t>
      </w:r>
    </w:p>
    <w:p w14:paraId="145FE51C">
      <w:pPr>
        <w:tabs>
          <w:tab w:val="left" w:pos="540"/>
        </w:tabs>
        <w:wordWrap w:val="0"/>
        <w:spacing w:line="360" w:lineRule="auto"/>
        <w:ind w:firstLine="420" w:firstLineChars="200"/>
        <w:rPr>
          <w:rFonts w:hint="eastAsia" w:ascii="宋体" w:hAnsi="宋体" w:cs="宋体"/>
        </w:rPr>
      </w:pPr>
      <w:r>
        <w:rPr>
          <w:rFonts w:hint="eastAsia" w:ascii="宋体" w:hAnsi="宋体"/>
          <w:bCs/>
          <w:lang w:val="zh-CN"/>
        </w:rPr>
        <w:t>3.</w:t>
      </w:r>
      <w:r>
        <w:rPr>
          <w:rFonts w:ascii="宋体" w:hAnsi="宋体"/>
          <w:bCs/>
          <w:lang w:val="zh-CN"/>
        </w:rPr>
        <w:t>4</w:t>
      </w:r>
      <w:r>
        <w:rPr>
          <w:rFonts w:hint="eastAsia" w:ascii="宋体" w:hAnsi="宋体" w:cs="宋体"/>
        </w:rPr>
        <w:t>在“信用中国”网站（</w:t>
      </w:r>
      <w:r>
        <w:rPr>
          <w:rFonts w:hint="eastAsia" w:ascii="宋体" w:hAnsi="宋体" w:cs="宋体"/>
          <w:lang w:bidi="en-US"/>
        </w:rPr>
        <w:t>https://www.creditchina.gov.cn/</w:t>
      </w:r>
      <w:r>
        <w:rPr>
          <w:rFonts w:hint="eastAsia" w:ascii="宋体" w:hAnsi="宋体" w:cs="宋体"/>
        </w:rPr>
        <w:t>）中被列入失信被执行人名单的投标人，不得参加投标。</w:t>
      </w:r>
    </w:p>
    <w:p w14:paraId="1D8608FD">
      <w:pPr>
        <w:pStyle w:val="15"/>
        <w:tabs>
          <w:tab w:val="left" w:pos="426"/>
        </w:tabs>
        <w:spacing w:line="360" w:lineRule="auto"/>
        <w:ind w:firstLine="420" w:firstLineChars="200"/>
        <w:jc w:val="left"/>
        <w:outlineLvl w:val="2"/>
        <w:rPr>
          <w:rFonts w:hint="eastAsia" w:ascii="宋体" w:hAnsi="宋体" w:eastAsia="宋体" w:cs="Times New Roman"/>
          <w:b w:val="0"/>
          <w:bCs/>
          <w:kern w:val="2"/>
          <w:sz w:val="21"/>
          <w:szCs w:val="22"/>
          <w:lang w:val="zh-CN" w:eastAsia="zh-CN" w:bidi="ar-SA"/>
        </w:rPr>
      </w:pPr>
      <w:r>
        <w:rPr>
          <w:rFonts w:hint="eastAsia" w:ascii="宋体" w:hAnsi="宋体" w:eastAsia="宋体" w:cs="Times New Roman"/>
          <w:b w:val="0"/>
          <w:bCs/>
          <w:kern w:val="2"/>
          <w:sz w:val="21"/>
          <w:szCs w:val="22"/>
          <w:lang w:val="zh-CN" w:eastAsia="zh-CN" w:bidi="ar-SA"/>
        </w:rPr>
        <w:t>3.5在白城市2024年国道珲阿公路高平至平台镇段路面改造工程项目中各标段被确定为中标人或推荐为中标候选人的施工单位、施工监理单位（包含与施工单位、施工监理单位的单位负责人为同一人或者存在控股、管理关系的单位）不能被推荐为本标段中标候选人。</w:t>
      </w:r>
    </w:p>
    <w:p w14:paraId="07A72F11">
      <w:pPr>
        <w:pStyle w:val="15"/>
        <w:tabs>
          <w:tab w:val="left" w:pos="426"/>
        </w:tabs>
        <w:spacing w:line="360" w:lineRule="auto"/>
        <w:jc w:val="left"/>
        <w:outlineLvl w:val="2"/>
        <w:rPr>
          <w:rFonts w:ascii="宋体" w:hAnsi="宋体"/>
          <w:b w:val="0"/>
        </w:rPr>
      </w:pPr>
      <w:r>
        <w:rPr>
          <w:rFonts w:hint="eastAsia" w:ascii="宋体" w:hAnsi="宋体"/>
          <w:b w:val="0"/>
        </w:rPr>
        <w:t>4.评标办法</w:t>
      </w:r>
    </w:p>
    <w:p w14:paraId="253A224B">
      <w:pPr>
        <w:pStyle w:val="15"/>
        <w:tabs>
          <w:tab w:val="left" w:pos="426"/>
        </w:tabs>
        <w:spacing w:line="360" w:lineRule="auto"/>
        <w:ind w:firstLine="420" w:firstLineChars="200"/>
        <w:jc w:val="left"/>
        <w:outlineLvl w:val="2"/>
        <w:rPr>
          <w:rFonts w:ascii="宋体" w:hAnsi="宋体"/>
          <w:b w:val="0"/>
          <w:sz w:val="21"/>
          <w:szCs w:val="21"/>
        </w:rPr>
      </w:pPr>
      <w:r>
        <w:rPr>
          <w:rFonts w:hint="eastAsia" w:ascii="宋体" w:hAnsi="宋体"/>
          <w:b w:val="0"/>
          <w:sz w:val="21"/>
          <w:szCs w:val="21"/>
        </w:rPr>
        <w:t>评标办法采用综合评估法。</w:t>
      </w:r>
    </w:p>
    <w:bookmarkEnd w:id="1"/>
    <w:bookmarkEnd w:id="2"/>
    <w:bookmarkEnd w:id="3"/>
    <w:bookmarkEnd w:id="4"/>
    <w:bookmarkEnd w:id="5"/>
    <w:p w14:paraId="6BE59ED6">
      <w:pPr>
        <w:pStyle w:val="15"/>
        <w:tabs>
          <w:tab w:val="left" w:pos="426"/>
        </w:tabs>
        <w:spacing w:line="360" w:lineRule="auto"/>
        <w:jc w:val="left"/>
        <w:outlineLvl w:val="2"/>
        <w:rPr>
          <w:rFonts w:ascii="宋体" w:hAnsi="宋体"/>
          <w:b w:val="0"/>
        </w:rPr>
      </w:pPr>
      <w:bookmarkStart w:id="19" w:name="_Toc27122"/>
      <w:bookmarkStart w:id="20" w:name="_Toc474499953"/>
      <w:bookmarkStart w:id="21" w:name="_Toc257655333"/>
      <w:bookmarkStart w:id="22" w:name="_Toc510098975"/>
      <w:bookmarkStart w:id="23" w:name="_Toc6967"/>
      <w:bookmarkStart w:id="24" w:name="_Toc458772805"/>
      <w:bookmarkStart w:id="25" w:name="_Toc356741794"/>
      <w:bookmarkStart w:id="26" w:name="_Toc10092"/>
      <w:bookmarkStart w:id="27" w:name="_Toc444517394"/>
      <w:bookmarkStart w:id="28" w:name="_Toc361838108"/>
      <w:r>
        <w:rPr>
          <w:rFonts w:hint="eastAsia" w:ascii="宋体" w:hAnsi="宋体"/>
          <w:b w:val="0"/>
        </w:rPr>
        <w:t>5.最低要求</w:t>
      </w:r>
    </w:p>
    <w:bookmarkEnd w:id="19"/>
    <w:p w14:paraId="50CAD88F">
      <w:pPr>
        <w:spacing w:before="100" w:beforeAutospacing="1"/>
        <w:jc w:val="center"/>
        <w:rPr>
          <w:rFonts w:ascii="宋体" w:hAnsi="宋体"/>
          <w:b/>
          <w:sz w:val="28"/>
          <w:szCs w:val="28"/>
        </w:rPr>
      </w:pPr>
      <w:r>
        <w:rPr>
          <w:rFonts w:hint="eastAsia" w:ascii="宋体" w:hAnsi="宋体"/>
          <w:b/>
          <w:sz w:val="24"/>
          <w:szCs w:val="28"/>
        </w:rPr>
        <w:t>附录1资格审查条件（资质最低要求）</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16"/>
      </w:tblGrid>
      <w:tr w14:paraId="7F80A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516" w:type="dxa"/>
            <w:tcBorders>
              <w:top w:val="single" w:color="auto" w:sz="12" w:space="0"/>
              <w:left w:val="single" w:color="auto" w:sz="12" w:space="0"/>
              <w:right w:val="single" w:color="auto" w:sz="12" w:space="0"/>
            </w:tcBorders>
            <w:noWrap w:val="0"/>
            <w:vAlign w:val="center"/>
          </w:tcPr>
          <w:p w14:paraId="7CA469B9">
            <w:pPr>
              <w:jc w:val="center"/>
              <w:rPr>
                <w:rFonts w:ascii="宋体" w:hAnsi="宋体"/>
              </w:rPr>
            </w:pPr>
            <w:r>
              <w:rPr>
                <w:rFonts w:hint="eastAsia" w:ascii="宋体" w:hAnsi="宋体"/>
              </w:rPr>
              <w:t>资质要求</w:t>
            </w:r>
          </w:p>
        </w:tc>
      </w:tr>
      <w:tr w14:paraId="10612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9516" w:type="dxa"/>
            <w:tcBorders>
              <w:left w:val="single" w:color="auto" w:sz="12" w:space="0"/>
              <w:bottom w:val="single" w:color="auto" w:sz="12" w:space="0"/>
              <w:right w:val="single" w:color="auto" w:sz="12" w:space="0"/>
            </w:tcBorders>
            <w:noWrap w:val="0"/>
            <w:vAlign w:val="center"/>
          </w:tcPr>
          <w:p w14:paraId="083F8A33">
            <w:pPr>
              <w:pStyle w:val="21"/>
              <w:adjustRightInd w:val="0"/>
              <w:snapToGrid w:val="0"/>
              <w:spacing w:line="276" w:lineRule="auto"/>
              <w:jc w:val="left"/>
              <w:rPr>
                <w:rFonts w:ascii="宋体" w:hAnsi="宋体"/>
                <w:color w:val="000000"/>
                <w:szCs w:val="21"/>
              </w:rPr>
            </w:pPr>
            <w:r>
              <w:rPr>
                <w:rFonts w:hint="eastAsia" w:ascii="宋体" w:hAnsi="宋体" w:cs="Courier New"/>
                <w:szCs w:val="21"/>
                <w:lang w:val="zh-CN"/>
              </w:rPr>
              <w:t>投标人（</w:t>
            </w:r>
            <w:r>
              <w:rPr>
                <w:rFonts w:hint="eastAsia" w:ascii="宋体" w:hAnsi="宋体" w:cs="Courier New"/>
                <w:szCs w:val="21"/>
              </w:rPr>
              <w:t>或其下属非独立法人检测机构</w:t>
            </w:r>
            <w:r>
              <w:rPr>
                <w:rFonts w:hint="eastAsia" w:ascii="宋体" w:hAnsi="宋体"/>
                <w:szCs w:val="21"/>
              </w:rPr>
              <w:t>）具备交通运输主管部门核发的公路工程甲级或乙级《公路水运工程质量检测机构资</w:t>
            </w:r>
            <w:r>
              <w:rPr>
                <w:rFonts w:hint="eastAsia" w:ascii="宋体" w:hAnsi="宋体" w:cs="Arial"/>
                <w:szCs w:val="21"/>
              </w:rPr>
              <w:t>质证书》，并同时具有市场监督</w:t>
            </w:r>
            <w:r>
              <w:rPr>
                <w:rFonts w:hint="eastAsia" w:ascii="宋体" w:hAnsi="宋体"/>
                <w:szCs w:val="21"/>
              </w:rPr>
              <w:t>管理部门颁发的在有效期内的检验检测机构资质认定证书（有CMA资质认定标志）</w:t>
            </w:r>
          </w:p>
        </w:tc>
      </w:tr>
    </w:tbl>
    <w:p w14:paraId="62805166">
      <w:pPr>
        <w:spacing w:before="100" w:beforeAutospacing="1"/>
        <w:jc w:val="center"/>
        <w:rPr>
          <w:rFonts w:hint="eastAsia" w:ascii="宋体" w:hAnsi="宋体"/>
          <w:b/>
          <w:sz w:val="24"/>
          <w:szCs w:val="28"/>
        </w:rPr>
      </w:pPr>
    </w:p>
    <w:p w14:paraId="4676AC4E">
      <w:pPr>
        <w:spacing w:before="100" w:beforeAutospacing="1"/>
        <w:jc w:val="center"/>
        <w:rPr>
          <w:rFonts w:ascii="宋体" w:hAnsi="宋体"/>
          <w:b/>
          <w:sz w:val="24"/>
          <w:szCs w:val="28"/>
        </w:rPr>
      </w:pPr>
      <w:r>
        <w:rPr>
          <w:rFonts w:hint="eastAsia" w:ascii="宋体" w:hAnsi="宋体"/>
          <w:b/>
          <w:sz w:val="24"/>
          <w:szCs w:val="28"/>
        </w:rPr>
        <w:t>附录2资格审查条件（业绩最低要求）</w:t>
      </w:r>
    </w:p>
    <w:tbl>
      <w:tblPr>
        <w:tblStyle w:val="11"/>
        <w:tblW w:w="0" w:type="auto"/>
        <w:jc w:val="center"/>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fixed"/>
        <w:tblCellMar>
          <w:top w:w="0" w:type="dxa"/>
          <w:left w:w="108" w:type="dxa"/>
          <w:bottom w:w="0" w:type="dxa"/>
          <w:right w:w="108" w:type="dxa"/>
        </w:tblCellMar>
      </w:tblPr>
      <w:tblGrid>
        <w:gridCol w:w="9521"/>
      </w:tblGrid>
      <w:tr w14:paraId="3027322E">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503" w:hRule="atLeast"/>
          <w:jc w:val="center"/>
        </w:trPr>
        <w:tc>
          <w:tcPr>
            <w:tcW w:w="9521" w:type="dxa"/>
            <w:noWrap w:val="0"/>
            <w:vAlign w:val="center"/>
          </w:tcPr>
          <w:p w14:paraId="2926B2EC">
            <w:pPr>
              <w:jc w:val="center"/>
              <w:rPr>
                <w:rFonts w:ascii="宋体" w:hAnsi="宋体"/>
                <w:sz w:val="28"/>
                <w:szCs w:val="28"/>
              </w:rPr>
            </w:pPr>
            <w:r>
              <w:rPr>
                <w:rFonts w:hint="eastAsia" w:ascii="宋体" w:hAnsi="宋体"/>
              </w:rPr>
              <w:t>业绩要求</w:t>
            </w:r>
          </w:p>
        </w:tc>
      </w:tr>
      <w:tr w14:paraId="36686DA6">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615" w:hRule="atLeast"/>
          <w:jc w:val="center"/>
        </w:trPr>
        <w:tc>
          <w:tcPr>
            <w:tcW w:w="9521" w:type="dxa"/>
            <w:noWrap w:val="0"/>
            <w:vAlign w:val="center"/>
          </w:tcPr>
          <w:p w14:paraId="1631F577">
            <w:pPr>
              <w:pStyle w:val="2"/>
              <w:rPr>
                <w:rFonts w:hAnsi="宋体" w:cs="Courier New"/>
              </w:rPr>
            </w:pPr>
            <w:r>
              <w:rPr>
                <w:rFonts w:hint="eastAsia" w:hAnsi="宋体" w:cs="Courier New"/>
                <w:lang w:val="zh-CN"/>
              </w:rPr>
              <w:t>无</w:t>
            </w:r>
          </w:p>
        </w:tc>
      </w:tr>
    </w:tbl>
    <w:p w14:paraId="495FAC95">
      <w:pPr>
        <w:spacing w:before="100" w:beforeAutospacing="1"/>
        <w:jc w:val="center"/>
        <w:rPr>
          <w:rFonts w:hint="eastAsia" w:ascii="宋体" w:hAnsi="宋体"/>
          <w:b/>
          <w:sz w:val="24"/>
          <w:szCs w:val="28"/>
        </w:rPr>
      </w:pPr>
    </w:p>
    <w:p w14:paraId="52EB7FF3">
      <w:pPr>
        <w:spacing w:before="100" w:beforeAutospacing="1"/>
        <w:jc w:val="center"/>
        <w:rPr>
          <w:rFonts w:ascii="宋体" w:hAnsi="宋体"/>
          <w:b/>
          <w:sz w:val="24"/>
          <w:szCs w:val="28"/>
        </w:rPr>
      </w:pPr>
      <w:r>
        <w:rPr>
          <w:rFonts w:hint="eastAsia" w:ascii="宋体" w:hAnsi="宋体"/>
          <w:b/>
          <w:sz w:val="24"/>
          <w:szCs w:val="28"/>
        </w:rPr>
        <w:t>附录3资格审查条件（信誉最低要求）</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0"/>
      </w:tblGrid>
      <w:tr w14:paraId="433B2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9540" w:type="dxa"/>
            <w:tcBorders>
              <w:top w:val="single" w:color="auto" w:sz="12" w:space="0"/>
              <w:left w:val="single" w:color="auto" w:sz="12" w:space="0"/>
              <w:right w:val="single" w:color="auto" w:sz="12" w:space="0"/>
            </w:tcBorders>
            <w:noWrap w:val="0"/>
            <w:vAlign w:val="center"/>
          </w:tcPr>
          <w:p w14:paraId="53979009">
            <w:pPr>
              <w:jc w:val="center"/>
              <w:rPr>
                <w:rFonts w:ascii="宋体" w:hAnsi="宋体"/>
              </w:rPr>
            </w:pPr>
            <w:r>
              <w:rPr>
                <w:rFonts w:hint="eastAsia" w:ascii="宋体" w:hAnsi="宋体"/>
              </w:rPr>
              <w:t>信誉要求</w:t>
            </w:r>
          </w:p>
        </w:tc>
      </w:tr>
      <w:tr w14:paraId="7D316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jc w:val="center"/>
        </w:trPr>
        <w:tc>
          <w:tcPr>
            <w:tcW w:w="9540" w:type="dxa"/>
            <w:tcBorders>
              <w:left w:val="single" w:color="auto" w:sz="12" w:space="0"/>
              <w:bottom w:val="single" w:color="auto" w:sz="12" w:space="0"/>
              <w:right w:val="single" w:color="auto" w:sz="12" w:space="0"/>
            </w:tcBorders>
            <w:noWrap w:val="0"/>
            <w:vAlign w:val="center"/>
          </w:tcPr>
          <w:p w14:paraId="3EA1AA5E">
            <w:pPr>
              <w:rPr>
                <w:rFonts w:hint="eastAsia" w:ascii="宋体" w:hAnsi="宋体"/>
              </w:rPr>
            </w:pPr>
            <w:r>
              <w:rPr>
                <w:rFonts w:hint="eastAsia" w:ascii="宋体" w:hAnsi="宋体"/>
              </w:rPr>
              <w:t>不存在投标人须知正文1.4.4项所列任何一种情形。</w:t>
            </w:r>
          </w:p>
        </w:tc>
      </w:tr>
    </w:tbl>
    <w:p w14:paraId="14DB72F3">
      <w:pPr>
        <w:spacing w:before="100" w:beforeAutospacing="1"/>
        <w:jc w:val="center"/>
        <w:rPr>
          <w:rFonts w:hint="eastAsia" w:ascii="宋体" w:hAnsi="宋体"/>
          <w:b/>
          <w:sz w:val="24"/>
          <w:szCs w:val="28"/>
        </w:rPr>
      </w:pPr>
    </w:p>
    <w:p w14:paraId="7FC90D1A">
      <w:pPr>
        <w:pStyle w:val="2"/>
        <w:rPr>
          <w:rFonts w:hint="eastAsia" w:ascii="宋体" w:hAnsi="宋体"/>
          <w:b/>
          <w:sz w:val="24"/>
          <w:szCs w:val="28"/>
        </w:rPr>
      </w:pPr>
    </w:p>
    <w:p w14:paraId="593C204E">
      <w:pPr>
        <w:pStyle w:val="2"/>
        <w:rPr>
          <w:rFonts w:hint="eastAsia" w:ascii="宋体" w:hAnsi="宋体"/>
          <w:b/>
          <w:sz w:val="24"/>
          <w:szCs w:val="28"/>
        </w:rPr>
      </w:pPr>
    </w:p>
    <w:p w14:paraId="51FEA427">
      <w:pPr>
        <w:pStyle w:val="2"/>
        <w:rPr>
          <w:rFonts w:hint="eastAsia" w:ascii="宋体" w:hAnsi="宋体"/>
          <w:b/>
          <w:sz w:val="24"/>
          <w:szCs w:val="28"/>
        </w:rPr>
      </w:pPr>
    </w:p>
    <w:p w14:paraId="7D49B39C">
      <w:pPr>
        <w:pStyle w:val="2"/>
        <w:rPr>
          <w:rFonts w:hint="eastAsia" w:ascii="宋体" w:hAnsi="宋体"/>
          <w:b/>
          <w:sz w:val="24"/>
          <w:szCs w:val="28"/>
        </w:rPr>
      </w:pPr>
    </w:p>
    <w:p w14:paraId="170E4333">
      <w:pPr>
        <w:pStyle w:val="2"/>
        <w:rPr>
          <w:rFonts w:hint="eastAsia" w:ascii="宋体" w:hAnsi="宋体"/>
          <w:b/>
          <w:sz w:val="24"/>
          <w:szCs w:val="28"/>
        </w:rPr>
      </w:pPr>
    </w:p>
    <w:p w14:paraId="3D90D2FF">
      <w:pPr>
        <w:pStyle w:val="2"/>
        <w:rPr>
          <w:rFonts w:hint="eastAsia" w:ascii="宋体" w:hAnsi="宋体"/>
          <w:b/>
          <w:sz w:val="24"/>
          <w:szCs w:val="28"/>
        </w:rPr>
      </w:pPr>
    </w:p>
    <w:p w14:paraId="473E3CD5">
      <w:pPr>
        <w:pStyle w:val="2"/>
        <w:rPr>
          <w:rFonts w:hint="eastAsia" w:ascii="宋体" w:hAnsi="宋体"/>
          <w:b/>
          <w:sz w:val="24"/>
          <w:szCs w:val="28"/>
        </w:rPr>
      </w:pPr>
    </w:p>
    <w:p w14:paraId="35B85B5B">
      <w:pPr>
        <w:pStyle w:val="2"/>
        <w:rPr>
          <w:rFonts w:hint="eastAsia" w:ascii="宋体" w:hAnsi="宋体"/>
          <w:b/>
          <w:sz w:val="24"/>
          <w:szCs w:val="28"/>
        </w:rPr>
      </w:pPr>
    </w:p>
    <w:p w14:paraId="3F11D699">
      <w:pPr>
        <w:pStyle w:val="2"/>
        <w:rPr>
          <w:rFonts w:hint="eastAsia" w:ascii="宋体" w:hAnsi="宋体"/>
          <w:b/>
          <w:sz w:val="24"/>
          <w:szCs w:val="28"/>
        </w:rPr>
      </w:pPr>
    </w:p>
    <w:p w14:paraId="5D66117A">
      <w:pPr>
        <w:spacing w:before="100" w:beforeAutospacing="1"/>
        <w:jc w:val="center"/>
        <w:rPr>
          <w:rFonts w:ascii="宋体" w:hAnsi="宋体"/>
          <w:b/>
          <w:sz w:val="24"/>
          <w:szCs w:val="28"/>
        </w:rPr>
      </w:pPr>
      <w:r>
        <w:rPr>
          <w:rFonts w:hint="eastAsia" w:ascii="宋体" w:hAnsi="宋体"/>
          <w:b/>
          <w:sz w:val="24"/>
          <w:szCs w:val="28"/>
        </w:rPr>
        <w:t>附录</w:t>
      </w:r>
      <w:r>
        <w:rPr>
          <w:rFonts w:ascii="宋体" w:hAnsi="宋体"/>
          <w:b/>
          <w:sz w:val="24"/>
          <w:szCs w:val="28"/>
        </w:rPr>
        <w:t>4</w:t>
      </w:r>
      <w:r>
        <w:rPr>
          <w:rFonts w:hint="eastAsia" w:ascii="宋体" w:hAnsi="宋体"/>
          <w:b/>
          <w:sz w:val="24"/>
          <w:szCs w:val="28"/>
        </w:rPr>
        <w:t>资格审查条件（项目主要人员最低要求）</w:t>
      </w:r>
    </w:p>
    <w:tbl>
      <w:tblPr>
        <w:tblStyle w:val="11"/>
        <w:tblW w:w="956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78"/>
        <w:gridCol w:w="1275"/>
        <w:gridCol w:w="5808"/>
        <w:gridCol w:w="1499"/>
      </w:tblGrid>
      <w:tr w14:paraId="44B572A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978" w:type="dxa"/>
            <w:noWrap w:val="0"/>
            <w:vAlign w:val="center"/>
          </w:tcPr>
          <w:p w14:paraId="2E0274FD">
            <w:pPr>
              <w:spacing w:line="276" w:lineRule="auto"/>
              <w:jc w:val="center"/>
              <w:rPr>
                <w:rFonts w:ascii="宋体" w:hAnsi="宋体"/>
              </w:rPr>
            </w:pPr>
            <w:r>
              <w:rPr>
                <w:rFonts w:hint="eastAsia" w:ascii="宋体" w:hAnsi="宋体"/>
              </w:rPr>
              <w:t>人员</w:t>
            </w:r>
          </w:p>
        </w:tc>
        <w:tc>
          <w:tcPr>
            <w:tcW w:w="1275" w:type="dxa"/>
            <w:noWrap w:val="0"/>
            <w:vAlign w:val="center"/>
          </w:tcPr>
          <w:p w14:paraId="537F4079">
            <w:pPr>
              <w:spacing w:line="276" w:lineRule="auto"/>
              <w:jc w:val="center"/>
              <w:rPr>
                <w:rFonts w:ascii="宋体" w:hAnsi="宋体"/>
              </w:rPr>
            </w:pPr>
            <w:r>
              <w:rPr>
                <w:rFonts w:hint="eastAsia" w:ascii="宋体" w:hAnsi="宋体"/>
              </w:rPr>
              <w:t>数量（人）</w:t>
            </w:r>
          </w:p>
        </w:tc>
        <w:tc>
          <w:tcPr>
            <w:tcW w:w="5808" w:type="dxa"/>
            <w:noWrap w:val="0"/>
            <w:vAlign w:val="center"/>
          </w:tcPr>
          <w:p w14:paraId="66A524D9">
            <w:pPr>
              <w:spacing w:line="276" w:lineRule="auto"/>
              <w:jc w:val="center"/>
              <w:rPr>
                <w:rFonts w:ascii="宋体" w:hAnsi="宋体"/>
              </w:rPr>
            </w:pPr>
            <w:r>
              <w:rPr>
                <w:rFonts w:hint="eastAsia" w:ascii="宋体" w:hAnsi="宋体"/>
              </w:rPr>
              <w:t>资格要求</w:t>
            </w:r>
          </w:p>
        </w:tc>
        <w:tc>
          <w:tcPr>
            <w:tcW w:w="1499" w:type="dxa"/>
            <w:noWrap w:val="0"/>
            <w:vAlign w:val="center"/>
          </w:tcPr>
          <w:p w14:paraId="1272A1C1">
            <w:pPr>
              <w:spacing w:line="276" w:lineRule="auto"/>
              <w:jc w:val="center"/>
              <w:rPr>
                <w:rFonts w:ascii="宋体" w:hAnsi="宋体"/>
              </w:rPr>
            </w:pPr>
            <w:r>
              <w:rPr>
                <w:rFonts w:ascii="宋体" w:hAnsi="宋体"/>
              </w:rPr>
              <w:t>在岗要求</w:t>
            </w:r>
          </w:p>
        </w:tc>
      </w:tr>
      <w:tr w14:paraId="27E4734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30" w:hRule="atLeast"/>
          <w:jc w:val="center"/>
        </w:trPr>
        <w:tc>
          <w:tcPr>
            <w:tcW w:w="978" w:type="dxa"/>
            <w:noWrap w:val="0"/>
            <w:vAlign w:val="center"/>
          </w:tcPr>
          <w:p w14:paraId="3618B087">
            <w:pPr>
              <w:spacing w:line="276" w:lineRule="auto"/>
              <w:jc w:val="center"/>
              <w:rPr>
                <w:rFonts w:ascii="宋体" w:hAnsi="宋体"/>
              </w:rPr>
            </w:pPr>
            <w:r>
              <w:rPr>
                <w:rFonts w:hint="eastAsia" w:ascii="宋体" w:hAnsi="宋体" w:eastAsia="宋体" w:cs="宋体"/>
              </w:rPr>
              <w:t>中心试验室</w:t>
            </w:r>
            <w:r>
              <w:rPr>
                <w:rFonts w:hint="eastAsia" w:ascii="宋体" w:hAnsi="宋体" w:cs="宋体"/>
              </w:rPr>
              <w:t>主任</w:t>
            </w:r>
          </w:p>
        </w:tc>
        <w:tc>
          <w:tcPr>
            <w:tcW w:w="1275" w:type="dxa"/>
            <w:noWrap w:val="0"/>
            <w:vAlign w:val="center"/>
          </w:tcPr>
          <w:p w14:paraId="0A68F3EB">
            <w:pPr>
              <w:spacing w:line="276" w:lineRule="auto"/>
              <w:jc w:val="center"/>
              <w:rPr>
                <w:rFonts w:ascii="宋体" w:hAnsi="宋体"/>
              </w:rPr>
            </w:pPr>
            <w:r>
              <w:rPr>
                <w:rFonts w:hint="eastAsia" w:ascii="宋体" w:hAnsi="宋体"/>
              </w:rPr>
              <w:t>1</w:t>
            </w:r>
          </w:p>
        </w:tc>
        <w:tc>
          <w:tcPr>
            <w:tcW w:w="5808" w:type="dxa"/>
            <w:noWrap w:val="0"/>
            <w:vAlign w:val="center"/>
          </w:tcPr>
          <w:p w14:paraId="77BF358C">
            <w:pPr>
              <w:tabs>
                <w:tab w:val="left" w:pos="221"/>
              </w:tabs>
              <w:rPr>
                <w:rFonts w:hint="eastAsia" w:ascii="宋体" w:hAnsi="宋体" w:cs="宋体"/>
              </w:rPr>
            </w:pPr>
            <w:r>
              <w:rPr>
                <w:rFonts w:hint="eastAsia" w:ascii="宋体" w:hAnsi="宋体" w:eastAsia="宋体" w:cs="宋体"/>
              </w:rPr>
              <w:t>（1）</w:t>
            </w:r>
            <w:r>
              <w:rPr>
                <w:rFonts w:hint="eastAsia" w:ascii="宋体" w:hAnsi="宋体" w:cs="宋体"/>
              </w:rPr>
              <w:t>投标人自有人员</w:t>
            </w:r>
            <w:r>
              <w:rPr>
                <w:rStyle w:val="14"/>
                <w:rFonts w:ascii="宋体" w:hAnsi="宋体"/>
              </w:rPr>
              <w:footnoteReference w:id="0"/>
            </w:r>
            <w:r>
              <w:rPr>
                <w:rFonts w:hint="eastAsia" w:ascii="宋体" w:hAnsi="宋体" w:cs="宋体"/>
              </w:rPr>
              <w:t>；</w:t>
            </w:r>
          </w:p>
          <w:p w14:paraId="3EE3F267">
            <w:pPr>
              <w:tabs>
                <w:tab w:val="left" w:pos="221"/>
              </w:tabs>
              <w:rPr>
                <w:rFonts w:hint="eastAsia" w:ascii="宋体" w:hAnsi="宋体" w:cs="宋体"/>
              </w:rPr>
            </w:pPr>
            <w:r>
              <w:rPr>
                <w:rFonts w:hint="eastAsia" w:ascii="宋体" w:hAnsi="宋体" w:cs="宋体"/>
              </w:rPr>
              <w:t>（2）公路工程相关专业</w:t>
            </w:r>
            <w:r>
              <w:rPr>
                <w:rStyle w:val="14"/>
                <w:rFonts w:ascii="宋体" w:hAnsi="宋体"/>
              </w:rPr>
              <w:footnoteReference w:id="1"/>
            </w:r>
            <w:r>
              <w:rPr>
                <w:rFonts w:hint="eastAsia" w:ascii="宋体" w:hAnsi="宋体" w:cs="宋体"/>
              </w:rPr>
              <w:t>高级工程师职称；</w:t>
            </w:r>
          </w:p>
          <w:p w14:paraId="4CDF8997">
            <w:pPr>
              <w:tabs>
                <w:tab w:val="left" w:pos="624"/>
                <w:tab w:val="left" w:pos="909"/>
              </w:tabs>
              <w:spacing w:line="276" w:lineRule="auto"/>
              <w:rPr>
                <w:rFonts w:ascii="宋体" w:hAnsi="宋体"/>
                <w:bCs/>
              </w:rPr>
            </w:pPr>
            <w:r>
              <w:rPr>
                <w:rFonts w:hint="eastAsia" w:ascii="宋体" w:hAnsi="宋体" w:cs="宋体"/>
              </w:rPr>
              <w:t>（3）</w:t>
            </w:r>
            <w:r>
              <w:rPr>
                <w:rFonts w:hint="eastAsia" w:ascii="宋体" w:hAnsi="宋体" w:eastAsia="宋体" w:cs="宋体"/>
              </w:rPr>
              <w:t>具有《公路工程试验检测工程师证书》或《试验检测工程师过渡考试合格证》或《公路水运工程试验检测师证书》，证书专业至少包含公路、材料、交通安全设施或道路工程、交通工程。</w:t>
            </w:r>
          </w:p>
        </w:tc>
        <w:tc>
          <w:tcPr>
            <w:tcW w:w="1499" w:type="dxa"/>
            <w:noWrap w:val="0"/>
            <w:vAlign w:val="center"/>
          </w:tcPr>
          <w:p w14:paraId="2FBF2D2A">
            <w:pPr>
              <w:spacing w:line="276" w:lineRule="auto"/>
              <w:rPr>
                <w:rFonts w:ascii="宋体" w:hAnsi="宋体"/>
                <w:bCs/>
              </w:rPr>
            </w:pPr>
            <w:r>
              <w:rPr>
                <w:rFonts w:ascii="宋体" w:hAnsi="宋体"/>
                <w:bCs/>
              </w:rPr>
              <w:t>无在岗项目</w:t>
            </w:r>
            <w:r>
              <w:rPr>
                <w:rFonts w:hint="eastAsia" w:ascii="宋体" w:hAnsi="宋体"/>
                <w:bCs/>
              </w:rPr>
              <w:t>（指目前未在其他项目上任职，或虽在其他项目上任职但本项目中标后能够从该项目撤离）</w:t>
            </w:r>
          </w:p>
        </w:tc>
      </w:tr>
    </w:tbl>
    <w:p w14:paraId="6638E74E">
      <w:pPr>
        <w:rPr>
          <w:rFonts w:ascii="黑体" w:hAnsi="黑体" w:eastAsia="黑体"/>
        </w:rPr>
      </w:pPr>
      <w:r>
        <w:rPr>
          <w:rFonts w:ascii="黑体" w:hAnsi="黑体" w:eastAsia="黑体"/>
        </w:rPr>
        <w:br w:type="page"/>
      </w:r>
    </w:p>
    <w:p w14:paraId="1E0B8646">
      <w:pPr>
        <w:pStyle w:val="15"/>
        <w:tabs>
          <w:tab w:val="left" w:pos="426"/>
        </w:tabs>
        <w:spacing w:line="360" w:lineRule="auto"/>
        <w:jc w:val="left"/>
        <w:outlineLvl w:val="2"/>
        <w:rPr>
          <w:rFonts w:hint="eastAsia" w:ascii="宋体" w:hAnsi="宋体"/>
          <w:b w:val="0"/>
        </w:rPr>
      </w:pPr>
      <w:bookmarkStart w:id="29" w:name="_Toc12629"/>
      <w:bookmarkStart w:id="30" w:name="_Toc441605621"/>
      <w:r>
        <w:rPr>
          <w:rFonts w:hint="eastAsia" w:ascii="宋体" w:hAnsi="宋体"/>
          <w:b w:val="0"/>
        </w:rPr>
        <w:t>6.评标办法</w:t>
      </w:r>
    </w:p>
    <w:bookmarkEnd w:id="29"/>
    <w:bookmarkEnd w:id="30"/>
    <w:p w14:paraId="7D9BDF72">
      <w:pPr>
        <w:spacing w:line="360" w:lineRule="auto"/>
        <w:ind w:left="113" w:leftChars="54" w:right="113" w:firstLine="360" w:firstLineChars="150"/>
        <w:rPr>
          <w:rFonts w:hint="eastAsia" w:ascii="宋体" w:hAnsi="宋体" w:cs="Times New Roman"/>
          <w:sz w:val="24"/>
          <w:szCs w:val="28"/>
        </w:rPr>
      </w:pPr>
      <w:r>
        <w:rPr>
          <w:rFonts w:hint="eastAsia" w:ascii="宋体" w:hAnsi="宋体" w:cs="Times New Roman"/>
          <w:sz w:val="24"/>
          <w:szCs w:val="28"/>
        </w:rPr>
        <w:t>评标办法前附表</w:t>
      </w:r>
    </w:p>
    <w:tbl>
      <w:tblPr>
        <w:tblStyle w:val="11"/>
        <w:tblW w:w="8793"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717"/>
        <w:gridCol w:w="1251"/>
        <w:gridCol w:w="6825"/>
      </w:tblGrid>
      <w:tr w14:paraId="6D0F46F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21" w:hRule="exact"/>
          <w:tblHeader/>
          <w:jc w:val="center"/>
        </w:trPr>
        <w:tc>
          <w:tcPr>
            <w:tcW w:w="1968" w:type="dxa"/>
            <w:gridSpan w:val="2"/>
            <w:noWrap w:val="0"/>
            <w:vAlign w:val="center"/>
          </w:tcPr>
          <w:p w14:paraId="0E98A92D">
            <w:pPr>
              <w:spacing w:line="360" w:lineRule="auto"/>
              <w:jc w:val="center"/>
              <w:rPr>
                <w:rFonts w:ascii="宋体" w:hAnsi="宋体"/>
                <w:b/>
              </w:rPr>
            </w:pPr>
            <w:r>
              <w:rPr>
                <w:rFonts w:ascii="宋体" w:hAnsi="宋体"/>
                <w:b/>
              </w:rPr>
              <w:t>条款号</w:t>
            </w:r>
          </w:p>
        </w:tc>
        <w:tc>
          <w:tcPr>
            <w:tcW w:w="6825" w:type="dxa"/>
            <w:noWrap w:val="0"/>
            <w:vAlign w:val="center"/>
          </w:tcPr>
          <w:p w14:paraId="64621B70">
            <w:pPr>
              <w:spacing w:line="360" w:lineRule="auto"/>
              <w:jc w:val="center"/>
              <w:rPr>
                <w:rFonts w:ascii="宋体" w:hAnsi="宋体"/>
                <w:b/>
              </w:rPr>
            </w:pPr>
            <w:r>
              <w:rPr>
                <w:rFonts w:ascii="宋体" w:hAnsi="宋体"/>
                <w:b/>
              </w:rPr>
              <w:t>评审因素</w:t>
            </w:r>
            <w:r>
              <w:rPr>
                <w:rFonts w:hint="eastAsia" w:ascii="宋体" w:hAnsi="宋体"/>
                <w:b/>
              </w:rPr>
              <w:t>与评审标准</w:t>
            </w:r>
          </w:p>
        </w:tc>
      </w:tr>
      <w:tr w14:paraId="1712DB7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2222" w:hRule="atLeast"/>
          <w:jc w:val="center"/>
        </w:trPr>
        <w:tc>
          <w:tcPr>
            <w:tcW w:w="717" w:type="dxa"/>
            <w:noWrap w:val="0"/>
            <w:vAlign w:val="center"/>
          </w:tcPr>
          <w:p w14:paraId="17FFCEDB">
            <w:pPr>
              <w:spacing w:line="360" w:lineRule="auto"/>
              <w:jc w:val="center"/>
              <w:rPr>
                <w:rFonts w:ascii="宋体" w:hAnsi="宋体"/>
              </w:rPr>
            </w:pPr>
            <w:r>
              <w:rPr>
                <w:rFonts w:hint="eastAsia" w:ascii="宋体" w:hAnsi="宋体"/>
              </w:rPr>
              <w:t>1</w:t>
            </w:r>
          </w:p>
        </w:tc>
        <w:tc>
          <w:tcPr>
            <w:tcW w:w="1251" w:type="dxa"/>
            <w:noWrap w:val="0"/>
            <w:vAlign w:val="center"/>
          </w:tcPr>
          <w:p w14:paraId="0A03E194">
            <w:pPr>
              <w:spacing w:line="360" w:lineRule="auto"/>
              <w:ind w:left="113" w:right="113"/>
              <w:contextualSpacing/>
              <w:jc w:val="center"/>
              <w:rPr>
                <w:rFonts w:ascii="宋体" w:hAnsi="宋体"/>
              </w:rPr>
            </w:pPr>
            <w:r>
              <w:rPr>
                <w:rFonts w:hint="eastAsia" w:ascii="宋体" w:hAnsi="宋体"/>
              </w:rPr>
              <w:t>评标方法</w:t>
            </w:r>
          </w:p>
        </w:tc>
        <w:tc>
          <w:tcPr>
            <w:tcW w:w="6825" w:type="dxa"/>
            <w:noWrap w:val="0"/>
            <w:vAlign w:val="center"/>
          </w:tcPr>
          <w:p w14:paraId="45A583BD">
            <w:pPr>
              <w:spacing w:line="360" w:lineRule="auto"/>
              <w:ind w:left="113" w:leftChars="54" w:right="113" w:firstLine="315" w:firstLineChars="150"/>
              <w:rPr>
                <w:rFonts w:ascii="宋体" w:hAnsi="宋体"/>
              </w:rPr>
            </w:pPr>
            <w:r>
              <w:rPr>
                <w:rFonts w:hint="eastAsia" w:ascii="宋体" w:hAnsi="宋体"/>
              </w:rPr>
              <w:t>本次评标采用综合评估法。评标委员会对满足招标文件实质性要求的投标文件，按照本章第2.2 款规定的评分标准进行打分，按照综合得分由高至低排序，推荐得分最高者为中标候选人，但投标报价低于其成本的除外。综合评分相等时，评标委员会依次按照以下优先顺序推荐中标候选人：</w:t>
            </w:r>
          </w:p>
          <w:p w14:paraId="33D5AE2F">
            <w:pPr>
              <w:spacing w:line="360" w:lineRule="auto"/>
              <w:ind w:left="113" w:right="113" w:firstLine="210" w:firstLineChars="100"/>
              <w:rPr>
                <w:rFonts w:ascii="宋体" w:hAnsi="宋体"/>
              </w:rPr>
            </w:pPr>
            <w:r>
              <w:rPr>
                <w:rFonts w:hint="eastAsia" w:ascii="宋体" w:hAnsi="宋体"/>
              </w:rPr>
              <w:t>（1）评标价低的优先；</w:t>
            </w:r>
          </w:p>
          <w:p w14:paraId="6B64A101">
            <w:pPr>
              <w:spacing w:line="360" w:lineRule="auto"/>
              <w:ind w:left="113" w:right="113" w:firstLine="210" w:firstLineChars="100"/>
              <w:rPr>
                <w:rFonts w:hint="eastAsia" w:ascii="宋体" w:hAnsi="宋体"/>
              </w:rPr>
            </w:pPr>
            <w:r>
              <w:rPr>
                <w:rFonts w:hint="eastAsia" w:ascii="宋体" w:hAnsi="宋体"/>
              </w:rPr>
              <w:t xml:space="preserve">（2）履约信誉得分较高的优先； </w:t>
            </w:r>
          </w:p>
          <w:p w14:paraId="7FE482AA">
            <w:pPr>
              <w:spacing w:line="360" w:lineRule="auto"/>
              <w:ind w:left="113" w:right="113" w:firstLine="210" w:firstLineChars="100"/>
              <w:rPr>
                <w:rFonts w:hint="eastAsia" w:ascii="宋体" w:hAnsi="宋体"/>
              </w:rPr>
            </w:pPr>
            <w:r>
              <w:rPr>
                <w:rFonts w:hint="eastAsia" w:ascii="宋体" w:hAnsi="宋体"/>
              </w:rPr>
              <w:t>（3）技术建议书得分较高的优先；</w:t>
            </w:r>
          </w:p>
          <w:p w14:paraId="48867B3D">
            <w:pPr>
              <w:spacing w:line="360" w:lineRule="auto"/>
              <w:ind w:left="113" w:right="113" w:firstLine="210" w:firstLineChars="100"/>
              <w:rPr>
                <w:rFonts w:hint="eastAsia" w:ascii="宋体" w:hAnsi="宋体"/>
              </w:rPr>
            </w:pPr>
            <w:r>
              <w:rPr>
                <w:rFonts w:hint="eastAsia" w:ascii="宋体" w:hAnsi="宋体"/>
              </w:rPr>
              <w:t>（4）评委会投票表决，推荐票数多的投标人优先。</w:t>
            </w:r>
          </w:p>
          <w:p w14:paraId="66EAF126">
            <w:pPr>
              <w:wordWrap w:val="0"/>
              <w:spacing w:line="360" w:lineRule="auto"/>
              <w:ind w:firstLine="420" w:firstLineChars="200"/>
              <w:rPr>
                <w:rFonts w:hint="eastAsia" w:ascii="宋体" w:hAnsi="宋体"/>
              </w:rPr>
            </w:pPr>
            <w:r>
              <w:rPr>
                <w:rFonts w:hint="eastAsia" w:ascii="宋体" w:hAnsi="宋体" w:cs="宋体"/>
                <w:bCs/>
              </w:rPr>
              <w:t>在</w:t>
            </w:r>
            <w:r>
              <w:rPr>
                <w:rFonts w:hint="eastAsia" w:ascii="宋体" w:hAnsi="宋体" w:eastAsia="宋体" w:cs="宋体"/>
                <w:bCs/>
              </w:rPr>
              <w:t>白城市</w:t>
            </w:r>
            <w:r>
              <w:rPr>
                <w:rFonts w:hint="eastAsia" w:ascii="宋体" w:hAnsi="宋体" w:cs="宋体"/>
                <w:bCs/>
              </w:rPr>
              <w:t>2024</w:t>
            </w:r>
            <w:r>
              <w:rPr>
                <w:rFonts w:hint="eastAsia" w:ascii="宋体" w:hAnsi="宋体" w:eastAsia="宋体" w:cs="宋体"/>
                <w:bCs/>
              </w:rPr>
              <w:t>年国道珲阿公路高平至平台镇段路面改造工程项目中</w:t>
            </w:r>
            <w:r>
              <w:rPr>
                <w:rFonts w:hint="eastAsia" w:ascii="宋体" w:hAnsi="宋体" w:cs="宋体"/>
                <w:bCs/>
              </w:rPr>
              <w:t>各标段被确定为中标人或推荐为中标候选人的施工单位、施工监理单位（包含与施工单位、施工监理单位的单位负责人为同一人或者存在控股、管理关系的单位）不能被推荐为本标段中标候选人。</w:t>
            </w:r>
          </w:p>
        </w:tc>
      </w:tr>
      <w:tr w14:paraId="432D170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90" w:hRule="atLeast"/>
          <w:jc w:val="center"/>
        </w:trPr>
        <w:tc>
          <w:tcPr>
            <w:tcW w:w="717" w:type="dxa"/>
            <w:noWrap w:val="0"/>
            <w:vAlign w:val="center"/>
          </w:tcPr>
          <w:p w14:paraId="13637773">
            <w:pPr>
              <w:spacing w:line="360" w:lineRule="auto"/>
              <w:jc w:val="center"/>
              <w:rPr>
                <w:rFonts w:ascii="宋体" w:hAnsi="宋体"/>
              </w:rPr>
            </w:pPr>
            <w:r>
              <w:rPr>
                <w:rFonts w:ascii="宋体" w:hAnsi="宋体"/>
              </w:rPr>
              <w:t>2.1.1</w:t>
            </w:r>
          </w:p>
          <w:p w14:paraId="140838E2">
            <w:pPr>
              <w:spacing w:line="360" w:lineRule="auto"/>
              <w:jc w:val="center"/>
              <w:rPr>
                <w:rFonts w:ascii="宋体" w:hAnsi="宋体"/>
              </w:rPr>
            </w:pPr>
            <w:r>
              <w:rPr>
                <w:rFonts w:hint="eastAsia" w:ascii="宋体" w:hAnsi="宋体"/>
              </w:rPr>
              <w:t>2.1.3</w:t>
            </w:r>
          </w:p>
        </w:tc>
        <w:tc>
          <w:tcPr>
            <w:tcW w:w="1251" w:type="dxa"/>
            <w:noWrap w:val="0"/>
            <w:vAlign w:val="center"/>
          </w:tcPr>
          <w:p w14:paraId="7AD31C95">
            <w:pPr>
              <w:spacing w:line="360" w:lineRule="auto"/>
              <w:ind w:left="113" w:right="113"/>
              <w:contextualSpacing/>
              <w:jc w:val="center"/>
              <w:rPr>
                <w:rFonts w:ascii="宋体" w:hAnsi="宋体"/>
              </w:rPr>
            </w:pPr>
            <w:r>
              <w:rPr>
                <w:rFonts w:hint="eastAsia" w:ascii="宋体" w:hAnsi="宋体"/>
              </w:rPr>
              <w:t>形式评审与响应性评审标准</w:t>
            </w:r>
          </w:p>
        </w:tc>
        <w:tc>
          <w:tcPr>
            <w:tcW w:w="6825" w:type="dxa"/>
            <w:noWrap w:val="0"/>
            <w:vAlign w:val="top"/>
          </w:tcPr>
          <w:p w14:paraId="130D613A">
            <w:pPr>
              <w:spacing w:line="360" w:lineRule="auto"/>
              <w:ind w:left="113" w:right="113" w:firstLine="211" w:firstLineChars="100"/>
              <w:rPr>
                <w:rFonts w:ascii="宋体" w:hAnsi="宋体"/>
                <w:b/>
              </w:rPr>
            </w:pPr>
            <w:r>
              <w:rPr>
                <w:rFonts w:hint="eastAsia" w:ascii="宋体" w:hAnsi="宋体"/>
                <w:b/>
              </w:rPr>
              <w:t>第一个信封（商务及技术文件）评审标准：</w:t>
            </w:r>
          </w:p>
          <w:p w14:paraId="0C45017B">
            <w:pPr>
              <w:spacing w:line="360" w:lineRule="auto"/>
              <w:ind w:left="113" w:right="113" w:firstLine="210" w:firstLineChars="100"/>
              <w:rPr>
                <w:rFonts w:ascii="宋体" w:hAnsi="宋体"/>
              </w:rPr>
            </w:pPr>
            <w:r>
              <w:rPr>
                <w:rFonts w:hint="eastAsia" w:ascii="宋体" w:hAnsi="宋体"/>
              </w:rPr>
              <w:t>（1）投标文件按照招标文件规定的格式、内容填写；</w:t>
            </w:r>
          </w:p>
          <w:p w14:paraId="60A860AE">
            <w:pPr>
              <w:spacing w:line="360" w:lineRule="auto"/>
              <w:ind w:left="113" w:leftChars="54" w:right="113" w:firstLine="315" w:firstLineChars="150"/>
              <w:rPr>
                <w:rFonts w:ascii="宋体" w:hAnsi="宋体"/>
              </w:rPr>
            </w:pPr>
            <w:r>
              <w:rPr>
                <w:rFonts w:hint="eastAsia" w:ascii="宋体" w:hAnsi="宋体"/>
              </w:rPr>
              <w:t>a.投标函按招标文件规定填报了项目名称、标段号、补遗书编号（如有）、试验检测服务期限、</w:t>
            </w:r>
            <w:r>
              <w:rPr>
                <w:rFonts w:hint="eastAsia" w:ascii="宋体" w:hAnsi="宋体" w:eastAsia="宋体"/>
              </w:rPr>
              <w:t>服务标准</w:t>
            </w:r>
            <w:r>
              <w:rPr>
                <w:rFonts w:hint="eastAsia" w:ascii="宋体" w:hAnsi="宋体"/>
              </w:rPr>
              <w:t>要求及安全目标；</w:t>
            </w:r>
          </w:p>
          <w:p w14:paraId="4E5C4697">
            <w:pPr>
              <w:spacing w:line="360" w:lineRule="auto"/>
              <w:ind w:left="113" w:leftChars="54" w:right="113" w:firstLine="315" w:firstLineChars="150"/>
              <w:rPr>
                <w:rFonts w:ascii="宋体" w:hAnsi="宋体"/>
              </w:rPr>
            </w:pPr>
            <w:r>
              <w:rPr>
                <w:rFonts w:hint="eastAsia" w:ascii="宋体" w:hAnsi="宋体"/>
              </w:rPr>
              <w:t>b.投标文件组成齐全完整，内容均按规定填写。</w:t>
            </w:r>
          </w:p>
          <w:p w14:paraId="5035231F">
            <w:pPr>
              <w:spacing w:line="360" w:lineRule="auto"/>
              <w:ind w:left="113" w:right="113" w:firstLine="210" w:firstLineChars="100"/>
              <w:rPr>
                <w:rFonts w:ascii="宋体" w:hAnsi="宋体"/>
              </w:rPr>
            </w:pPr>
            <w:r>
              <w:rPr>
                <w:rFonts w:hint="eastAsia" w:ascii="宋体" w:hAnsi="宋体"/>
              </w:rPr>
              <w:t>（2）投标文件上法定代表人或其委托代理人的签字、投标人的单位章盖章齐全，符合招标文件规定。</w:t>
            </w:r>
          </w:p>
          <w:p w14:paraId="3E035760">
            <w:pPr>
              <w:spacing w:line="360" w:lineRule="auto"/>
              <w:ind w:left="113" w:right="113" w:firstLine="210" w:firstLineChars="100"/>
              <w:rPr>
                <w:rFonts w:ascii="宋体" w:hAnsi="宋体"/>
              </w:rPr>
            </w:pPr>
            <w:r>
              <w:rPr>
                <w:rFonts w:hint="eastAsia" w:ascii="宋体" w:hAnsi="宋体"/>
              </w:rPr>
              <w:t>（3）投标人按照招标文件的规定提供了投标保证金：</w:t>
            </w:r>
          </w:p>
          <w:p w14:paraId="61119C32">
            <w:pPr>
              <w:spacing w:line="360" w:lineRule="auto"/>
              <w:ind w:left="113" w:leftChars="54" w:right="113" w:firstLine="315" w:firstLineChars="150"/>
              <w:rPr>
                <w:rFonts w:ascii="宋体" w:hAnsi="宋体"/>
              </w:rPr>
            </w:pPr>
            <w:r>
              <w:rPr>
                <w:rFonts w:hint="eastAsia" w:ascii="宋体" w:hAnsi="宋体"/>
              </w:rPr>
              <w:t>a.投标保证金金额符合招标文件规定的金额，且投标保证金有效期不少于投标有效期；</w:t>
            </w:r>
          </w:p>
          <w:p w14:paraId="7C0622A6">
            <w:pPr>
              <w:spacing w:line="360" w:lineRule="auto"/>
              <w:ind w:left="113" w:leftChars="54" w:right="113" w:firstLine="315" w:firstLineChars="150"/>
              <w:rPr>
                <w:rFonts w:hint="eastAsia" w:ascii="宋体" w:hAnsi="宋体" w:eastAsia="宋体" w:cs="宋体"/>
              </w:rPr>
            </w:pPr>
            <w:r>
              <w:rPr>
                <w:rFonts w:hint="eastAsia" w:ascii="宋体" w:hAnsi="宋体"/>
              </w:rPr>
              <w:t>b.若投标保证金采用现金或支票形式提交，投标人应在</w:t>
            </w:r>
            <w:r>
              <w:rPr>
                <w:rFonts w:hint="eastAsia" w:ascii="宋体" w:hAnsi="宋体" w:cs="宋体"/>
                <w:bCs/>
                <w:lang w:val="zh-CN"/>
              </w:rPr>
              <w:t>递交投标保证金截止时间之前</w:t>
            </w:r>
            <w:r>
              <w:rPr>
                <w:rFonts w:hint="eastAsia" w:ascii="宋体" w:hAnsi="宋体"/>
              </w:rPr>
              <w:t>，将投标保证金由投标人的基本账户一次性转入招标人指定账户；</w:t>
            </w:r>
          </w:p>
          <w:p w14:paraId="0C62AF2A">
            <w:pPr>
              <w:spacing w:line="360" w:lineRule="auto"/>
              <w:ind w:left="113" w:right="113" w:firstLine="210" w:firstLineChars="100"/>
              <w:rPr>
                <w:rFonts w:hint="eastAsia" w:ascii="宋体" w:hAnsi="宋体" w:eastAsia="宋体" w:cs="宋体"/>
              </w:rPr>
            </w:pPr>
            <w:r>
              <w:rPr>
                <w:rFonts w:hint="eastAsia" w:ascii="宋体" w:hAnsi="宋体" w:eastAsia="宋体" w:cs="宋体"/>
              </w:rPr>
              <w:t>c. 若投标保证金采用保函或保单形式提交，符合招标文件规定。</w:t>
            </w:r>
          </w:p>
          <w:p w14:paraId="0CBFBB4D">
            <w:pPr>
              <w:spacing w:line="360" w:lineRule="auto"/>
              <w:ind w:left="113" w:right="113" w:firstLine="210" w:firstLineChars="100"/>
              <w:rPr>
                <w:rFonts w:hint="eastAsia" w:ascii="宋体" w:hAnsi="宋体" w:eastAsia="宋体" w:cs="宋体"/>
                <w:color w:val="auto"/>
              </w:rPr>
            </w:pPr>
            <w:r>
              <w:rPr>
                <w:rFonts w:hint="eastAsia" w:ascii="宋体" w:hAnsi="宋体" w:eastAsia="宋体" w:cs="宋体"/>
              </w:rPr>
              <w:t>(4) 投标人法定代表人授权委托代理人签署投标文件的，须提交授权委托书，授权委托书符合招标文件规定（可使用</w:t>
            </w:r>
            <w:r>
              <w:rPr>
                <w:rFonts w:hint="eastAsia" w:ascii="宋体" w:hAnsi="宋体" w:eastAsia="宋体" w:cs="宋体"/>
                <w:color w:val="auto"/>
              </w:rPr>
              <w:t>公共资源交易一体化平台系统备案的电子签名及签章）。</w:t>
            </w:r>
          </w:p>
          <w:p w14:paraId="03B8B9ED">
            <w:pPr>
              <w:spacing w:line="360" w:lineRule="auto"/>
              <w:ind w:left="113" w:right="113" w:firstLine="210" w:firstLineChars="100"/>
              <w:rPr>
                <w:rFonts w:hint="eastAsia" w:ascii="宋体" w:hAnsi="宋体" w:eastAsia="宋体" w:cs="宋体"/>
                <w:color w:val="auto"/>
              </w:rPr>
            </w:pPr>
            <w:r>
              <w:rPr>
                <w:rFonts w:hint="eastAsia" w:ascii="宋体" w:hAnsi="宋体" w:eastAsia="宋体" w:cs="宋体"/>
                <w:color w:val="auto"/>
              </w:rPr>
              <w:t>(5) 投标人法定代表人亲自签署投标文件的，提供了法定代表人身份证明，法定代表人身份证明符合招标文件规定（可使用公共资源交易一体化平台系统备案的电子签名及签章）。</w:t>
            </w:r>
          </w:p>
          <w:p w14:paraId="5A2D1477">
            <w:pPr>
              <w:spacing w:line="360" w:lineRule="auto"/>
              <w:ind w:left="113" w:right="113" w:firstLine="210" w:firstLineChars="100"/>
              <w:rPr>
                <w:rFonts w:hint="eastAsia" w:ascii="宋体" w:hAnsi="宋体"/>
              </w:rPr>
            </w:pPr>
            <w:r>
              <w:rPr>
                <w:rFonts w:hint="eastAsia" w:ascii="宋体" w:hAnsi="宋体"/>
              </w:rPr>
              <w:t>(6)</w:t>
            </w:r>
            <w:r>
              <w:rPr>
                <w:rFonts w:hint="eastAsia" w:ascii="宋体" w:hAnsi="宋体" w:eastAsia="宋体"/>
              </w:rPr>
              <w:t xml:space="preserve"> </w:t>
            </w:r>
            <w:r>
              <w:rPr>
                <w:rFonts w:ascii="宋体" w:hAnsi="宋体"/>
              </w:rPr>
              <w:t>投标人</w:t>
            </w:r>
            <w:r>
              <w:rPr>
                <w:rFonts w:hint="eastAsia" w:ascii="宋体" w:hAnsi="宋体"/>
              </w:rPr>
              <w:t>未</w:t>
            </w:r>
            <w:r>
              <w:rPr>
                <w:rFonts w:ascii="宋体" w:hAnsi="宋体"/>
              </w:rPr>
              <w:t>以联合体形式投标</w:t>
            </w:r>
            <w:r>
              <w:rPr>
                <w:rFonts w:hint="eastAsia" w:ascii="宋体" w:hAnsi="宋体"/>
              </w:rPr>
              <w:t>。</w:t>
            </w:r>
          </w:p>
          <w:p w14:paraId="4262D490">
            <w:pPr>
              <w:spacing w:line="360" w:lineRule="auto"/>
              <w:ind w:left="113" w:right="113" w:firstLine="210" w:firstLineChars="100"/>
              <w:rPr>
                <w:rFonts w:hint="eastAsia" w:ascii="宋体" w:hAnsi="宋体"/>
              </w:rPr>
            </w:pPr>
            <w:r>
              <w:rPr>
                <w:rFonts w:hint="eastAsia" w:ascii="宋体" w:hAnsi="宋体"/>
              </w:rPr>
              <w:t>(7) 同一投标人未提交两个以上不同的投标文件。</w:t>
            </w:r>
          </w:p>
          <w:p w14:paraId="0534134E">
            <w:pPr>
              <w:spacing w:line="360" w:lineRule="auto"/>
              <w:ind w:left="113" w:right="113" w:firstLine="210" w:firstLineChars="100"/>
              <w:rPr>
                <w:rFonts w:hint="eastAsia" w:ascii="宋体" w:hAnsi="宋体"/>
              </w:rPr>
            </w:pPr>
            <w:r>
              <w:rPr>
                <w:rFonts w:hint="eastAsia" w:ascii="宋体" w:hAnsi="宋体"/>
              </w:rPr>
              <w:t>(8) 投标文件中未出现有关投标报价的内容。</w:t>
            </w:r>
          </w:p>
          <w:p w14:paraId="5C892045">
            <w:pPr>
              <w:spacing w:line="360" w:lineRule="auto"/>
              <w:ind w:left="113" w:right="113" w:firstLine="210" w:firstLineChars="100"/>
              <w:rPr>
                <w:rFonts w:hint="eastAsia" w:ascii="宋体" w:hAnsi="宋体"/>
              </w:rPr>
            </w:pPr>
            <w:r>
              <w:rPr>
                <w:rFonts w:hint="eastAsia" w:ascii="宋体" w:hAnsi="宋体"/>
              </w:rPr>
              <w:t>(9) 投标文件载明的招标项目完成期限符合招标文件规定。</w:t>
            </w:r>
          </w:p>
          <w:p w14:paraId="20586278">
            <w:pPr>
              <w:spacing w:line="360" w:lineRule="auto"/>
              <w:ind w:left="113" w:right="113" w:firstLine="210" w:firstLineChars="100"/>
              <w:rPr>
                <w:rFonts w:hint="eastAsia" w:ascii="宋体" w:hAnsi="宋体"/>
              </w:rPr>
            </w:pPr>
            <w:r>
              <w:rPr>
                <w:rFonts w:hint="eastAsia" w:ascii="宋体" w:hAnsi="宋体"/>
              </w:rPr>
              <w:t>(10) 投标文件对招标文件的实质性要求和条件作出响应。</w:t>
            </w:r>
          </w:p>
          <w:p w14:paraId="0B74E190">
            <w:pPr>
              <w:spacing w:line="360" w:lineRule="auto"/>
              <w:ind w:left="113" w:right="113" w:firstLine="210" w:firstLineChars="100"/>
              <w:rPr>
                <w:rFonts w:hint="eastAsia" w:ascii="宋体" w:hAnsi="宋体"/>
              </w:rPr>
            </w:pPr>
            <w:r>
              <w:rPr>
                <w:rFonts w:hint="eastAsia" w:ascii="宋体" w:hAnsi="宋体"/>
              </w:rPr>
              <w:t>(11) 权利义务符合招标文件规定：</w:t>
            </w:r>
          </w:p>
          <w:p w14:paraId="4C38BAC1">
            <w:pPr>
              <w:spacing w:line="360" w:lineRule="auto"/>
              <w:ind w:left="113" w:right="113" w:firstLine="210" w:firstLineChars="100"/>
              <w:rPr>
                <w:rFonts w:hint="eastAsia" w:ascii="宋体" w:hAnsi="宋体"/>
              </w:rPr>
            </w:pPr>
            <w:r>
              <w:rPr>
                <w:rFonts w:hint="eastAsia" w:ascii="宋体" w:hAnsi="宋体"/>
              </w:rPr>
              <w:t>a.投标人应接受招标文件规定的风险划分原则，未提出新的风险划分办法；</w:t>
            </w:r>
          </w:p>
          <w:p w14:paraId="34CE6514">
            <w:pPr>
              <w:spacing w:line="360" w:lineRule="auto"/>
              <w:ind w:left="113" w:right="113" w:firstLine="210" w:firstLineChars="100"/>
              <w:rPr>
                <w:rFonts w:hint="eastAsia" w:ascii="宋体" w:hAnsi="宋体"/>
              </w:rPr>
            </w:pPr>
            <w:r>
              <w:rPr>
                <w:rFonts w:hint="eastAsia" w:ascii="宋体" w:hAnsi="宋体"/>
              </w:rPr>
              <w:t>b.投标人未增加委托人的责任范围，或减少投标人义务；</w:t>
            </w:r>
          </w:p>
          <w:p w14:paraId="5015822F">
            <w:pPr>
              <w:spacing w:line="360" w:lineRule="auto"/>
              <w:ind w:left="113" w:right="113" w:firstLine="210" w:firstLineChars="100"/>
              <w:rPr>
                <w:rFonts w:hint="eastAsia" w:ascii="宋体" w:hAnsi="宋体"/>
              </w:rPr>
            </w:pPr>
            <w:r>
              <w:rPr>
                <w:rFonts w:hint="eastAsia" w:ascii="宋体" w:hAnsi="宋体"/>
              </w:rPr>
              <w:t>c.投标人未提出不同的支付办法；</w:t>
            </w:r>
          </w:p>
          <w:p w14:paraId="442C1FE4">
            <w:pPr>
              <w:spacing w:line="360" w:lineRule="auto"/>
              <w:ind w:left="113" w:right="113" w:firstLine="210" w:firstLineChars="100"/>
              <w:rPr>
                <w:rFonts w:hint="eastAsia" w:ascii="宋体" w:hAnsi="宋体"/>
              </w:rPr>
            </w:pPr>
            <w:r>
              <w:rPr>
                <w:rFonts w:hint="eastAsia" w:ascii="宋体" w:hAnsi="宋体"/>
              </w:rPr>
              <w:t>d.投标人对合同纠纷、事故处理办法未提出异议；</w:t>
            </w:r>
          </w:p>
          <w:p w14:paraId="47DB106B">
            <w:pPr>
              <w:spacing w:line="360" w:lineRule="auto"/>
              <w:ind w:left="113" w:right="113" w:firstLine="210" w:firstLineChars="100"/>
              <w:rPr>
                <w:rFonts w:hint="eastAsia" w:ascii="宋体" w:hAnsi="宋体"/>
              </w:rPr>
            </w:pPr>
            <w:r>
              <w:rPr>
                <w:rFonts w:hint="eastAsia" w:ascii="宋体" w:hAnsi="宋体"/>
              </w:rPr>
              <w:t>e.投标人在投标活动中无欺诈行为；</w:t>
            </w:r>
          </w:p>
          <w:p w14:paraId="21E983B9">
            <w:pPr>
              <w:spacing w:line="360" w:lineRule="auto"/>
              <w:ind w:left="113" w:right="113" w:firstLine="210" w:firstLineChars="100"/>
              <w:rPr>
                <w:rFonts w:hint="eastAsia" w:ascii="宋体" w:hAnsi="宋体"/>
                <w:b/>
              </w:rPr>
            </w:pPr>
            <w:r>
              <w:rPr>
                <w:rFonts w:hint="eastAsia" w:ascii="宋体" w:hAnsi="宋体"/>
              </w:rPr>
              <w:t>f.投标人未对合同条款有重要保留。</w:t>
            </w:r>
          </w:p>
          <w:p w14:paraId="4E5A68BE">
            <w:pPr>
              <w:spacing w:line="360" w:lineRule="auto"/>
              <w:ind w:left="113" w:right="113" w:firstLine="211" w:firstLineChars="100"/>
              <w:rPr>
                <w:rFonts w:ascii="宋体" w:hAnsi="宋体"/>
                <w:b/>
              </w:rPr>
            </w:pPr>
            <w:r>
              <w:rPr>
                <w:rFonts w:hint="eastAsia" w:ascii="宋体" w:hAnsi="宋体"/>
                <w:b/>
              </w:rPr>
              <w:t>第二个信封（报价文件）评审标准：</w:t>
            </w:r>
          </w:p>
          <w:p w14:paraId="72CE9A4F">
            <w:pPr>
              <w:spacing w:line="360" w:lineRule="auto"/>
              <w:ind w:left="113" w:right="113" w:firstLine="210" w:firstLineChars="100"/>
              <w:rPr>
                <w:rFonts w:ascii="宋体" w:hAnsi="宋体"/>
              </w:rPr>
            </w:pPr>
            <w:r>
              <w:rPr>
                <w:rFonts w:ascii="宋体" w:hAnsi="宋体"/>
              </w:rPr>
              <w:t>(1) 投标文件按照招标文件规定的格式、内容填写，内容齐全完整：</w:t>
            </w:r>
          </w:p>
          <w:p w14:paraId="21157224">
            <w:pPr>
              <w:spacing w:line="360" w:lineRule="auto"/>
              <w:ind w:left="113" w:right="113" w:firstLine="210" w:firstLineChars="100"/>
              <w:rPr>
                <w:rFonts w:hint="eastAsia" w:ascii="宋体" w:hAnsi="宋体" w:eastAsia="宋体" w:cs="宋体"/>
                <w:color w:val="auto"/>
              </w:rPr>
            </w:pPr>
            <w:r>
              <w:rPr>
                <w:rFonts w:ascii="宋体" w:hAnsi="宋体"/>
              </w:rPr>
              <w:t>a.投标函按招标文件规定填报了项目名称、标段号、补遗书编号 (如有)、投标价</w:t>
            </w:r>
            <w:r>
              <w:rPr>
                <w:rFonts w:hint="eastAsia" w:ascii="宋体" w:hAnsi="宋体" w:eastAsia="宋体" w:cs="宋体"/>
                <w:color w:val="auto"/>
              </w:rPr>
              <w:t xml:space="preserve"> (包括大写金额和小写金额)；</w:t>
            </w:r>
          </w:p>
          <w:p w14:paraId="66F68F01">
            <w:pPr>
              <w:spacing w:line="360" w:lineRule="auto"/>
              <w:ind w:left="113" w:right="113" w:firstLine="210" w:firstLineChars="100"/>
              <w:rPr>
                <w:rFonts w:hint="eastAsia" w:ascii="宋体" w:hAnsi="宋体" w:eastAsia="宋体" w:cs="宋体"/>
                <w:color w:val="auto"/>
              </w:rPr>
            </w:pPr>
            <w:r>
              <w:rPr>
                <w:rFonts w:hint="eastAsia" w:ascii="宋体" w:hAnsi="宋体" w:eastAsia="宋体" w:cs="宋体"/>
                <w:color w:val="auto"/>
              </w:rPr>
              <w:t>b.已标价报价清单说明文字与招标文件规定一致，未进行实质性修改和删减；</w:t>
            </w:r>
          </w:p>
          <w:p w14:paraId="0D7F2661">
            <w:pPr>
              <w:spacing w:line="360" w:lineRule="auto"/>
              <w:ind w:left="113" w:right="113" w:firstLine="210" w:firstLineChars="100"/>
              <w:rPr>
                <w:rFonts w:hint="eastAsia" w:ascii="宋体" w:hAnsi="宋体" w:eastAsia="宋体" w:cs="宋体"/>
                <w:color w:val="auto"/>
              </w:rPr>
            </w:pPr>
            <w:r>
              <w:rPr>
                <w:rFonts w:hint="eastAsia" w:ascii="宋体" w:hAnsi="宋体" w:eastAsia="宋体" w:cs="宋体"/>
                <w:color w:val="auto"/>
              </w:rPr>
              <w:t>c.投标文件组成齐全完整，内容均按规定填写。</w:t>
            </w:r>
          </w:p>
          <w:p w14:paraId="7FE4BF14">
            <w:pPr>
              <w:spacing w:line="360" w:lineRule="auto"/>
              <w:ind w:left="113" w:right="113" w:firstLine="210" w:firstLineChars="100"/>
              <w:rPr>
                <w:rFonts w:hint="eastAsia" w:ascii="宋体" w:hAnsi="宋体" w:eastAsia="宋体" w:cs="宋体"/>
                <w:color w:val="auto"/>
              </w:rPr>
            </w:pPr>
            <w:r>
              <w:rPr>
                <w:rFonts w:hint="eastAsia" w:ascii="宋体" w:hAnsi="宋体" w:eastAsia="宋体" w:cs="宋体"/>
                <w:color w:val="auto"/>
              </w:rPr>
              <w:t>(2) 投标文件上法定代表人或其委托代理人的签字、投标人的单位章盖章齐全，符合招标文件规定（可使用公共资源交易一体化平台系统备案的电子签名及签章）。</w:t>
            </w:r>
          </w:p>
          <w:p w14:paraId="569E7CD0">
            <w:pPr>
              <w:spacing w:line="360" w:lineRule="auto"/>
              <w:ind w:left="113" w:right="113" w:firstLine="210" w:firstLineChars="100"/>
              <w:rPr>
                <w:rFonts w:ascii="宋体" w:hAnsi="宋体"/>
              </w:rPr>
            </w:pPr>
            <w:r>
              <w:rPr>
                <w:rFonts w:ascii="宋体" w:hAnsi="宋体"/>
              </w:rPr>
              <w:t>(3) 投标报价未超过招标文件设定的最高投标限价。</w:t>
            </w:r>
          </w:p>
          <w:p w14:paraId="042BF657">
            <w:pPr>
              <w:spacing w:line="360" w:lineRule="auto"/>
              <w:ind w:left="113" w:right="113" w:firstLine="210" w:firstLineChars="100"/>
              <w:rPr>
                <w:rFonts w:ascii="宋体" w:hAnsi="宋体"/>
              </w:rPr>
            </w:pPr>
            <w:r>
              <w:rPr>
                <w:rFonts w:ascii="宋体" w:hAnsi="宋体"/>
              </w:rPr>
              <w:t>(4) 投标报价的大写金额能够确定具体数值。</w:t>
            </w:r>
          </w:p>
          <w:p w14:paraId="07902111">
            <w:pPr>
              <w:spacing w:line="360" w:lineRule="auto"/>
              <w:ind w:left="113" w:right="113" w:firstLine="210" w:firstLineChars="100"/>
              <w:rPr>
                <w:rFonts w:ascii="宋体" w:hAnsi="宋体"/>
              </w:rPr>
            </w:pPr>
            <w:r>
              <w:rPr>
                <w:rFonts w:ascii="宋体" w:hAnsi="宋体"/>
              </w:rPr>
              <w:t>(5) 同一投标人未提交两个以上不同的投标报价。</w:t>
            </w:r>
          </w:p>
        </w:tc>
      </w:tr>
      <w:tr w14:paraId="0932159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724" w:hRule="atLeast"/>
          <w:jc w:val="center"/>
        </w:trPr>
        <w:tc>
          <w:tcPr>
            <w:tcW w:w="717" w:type="dxa"/>
            <w:noWrap w:val="0"/>
            <w:vAlign w:val="center"/>
          </w:tcPr>
          <w:p w14:paraId="22E9921A">
            <w:pPr>
              <w:spacing w:line="360" w:lineRule="auto"/>
              <w:jc w:val="center"/>
              <w:rPr>
                <w:rFonts w:ascii="宋体" w:hAnsi="宋体"/>
              </w:rPr>
            </w:pPr>
            <w:r>
              <w:rPr>
                <w:rFonts w:hint="eastAsia" w:ascii="宋体" w:hAnsi="宋体"/>
              </w:rPr>
              <w:t>2.1.2</w:t>
            </w:r>
          </w:p>
        </w:tc>
        <w:tc>
          <w:tcPr>
            <w:tcW w:w="1251" w:type="dxa"/>
            <w:noWrap w:val="0"/>
            <w:vAlign w:val="center"/>
          </w:tcPr>
          <w:p w14:paraId="2D014F72">
            <w:pPr>
              <w:spacing w:line="360" w:lineRule="auto"/>
              <w:ind w:left="113" w:right="113"/>
              <w:contextualSpacing/>
              <w:jc w:val="center"/>
              <w:rPr>
                <w:rFonts w:ascii="宋体" w:hAnsi="宋体"/>
              </w:rPr>
            </w:pPr>
            <w:r>
              <w:rPr>
                <w:rFonts w:hint="eastAsia" w:ascii="宋体" w:hAnsi="宋体"/>
              </w:rPr>
              <w:t>资格评审标准</w:t>
            </w:r>
          </w:p>
        </w:tc>
        <w:tc>
          <w:tcPr>
            <w:tcW w:w="6825" w:type="dxa"/>
            <w:noWrap w:val="0"/>
            <w:vAlign w:val="top"/>
          </w:tcPr>
          <w:p w14:paraId="65BC5889">
            <w:pPr>
              <w:spacing w:line="360" w:lineRule="auto"/>
              <w:ind w:left="113" w:right="113" w:firstLine="210" w:firstLineChars="100"/>
              <w:rPr>
                <w:rFonts w:ascii="宋体" w:hAnsi="宋体"/>
              </w:rPr>
            </w:pPr>
            <w:r>
              <w:rPr>
                <w:rFonts w:ascii="宋体" w:hAnsi="宋体"/>
              </w:rPr>
              <w:t>(1)</w:t>
            </w:r>
            <w:r>
              <w:rPr>
                <w:rFonts w:hint="eastAsia"/>
              </w:rPr>
              <w:t xml:space="preserve"> </w:t>
            </w:r>
            <w:r>
              <w:rPr>
                <w:rFonts w:hint="eastAsia" w:ascii="宋体" w:hAnsi="宋体"/>
              </w:rPr>
              <w:t>投标人具备有效的营业执照、组织机构代码证、</w:t>
            </w:r>
            <w:r>
              <w:rPr>
                <w:rFonts w:hint="eastAsia" w:ascii="宋体" w:hAnsi="宋体" w:eastAsia="宋体" w:cs="宋体"/>
              </w:rPr>
              <w:t>质量检测</w:t>
            </w:r>
            <w:r>
              <w:rPr>
                <w:rFonts w:hint="eastAsia" w:ascii="宋体" w:hAnsi="宋体"/>
              </w:rPr>
              <w:t>机构等级证书、计量认证证书（CMA）、基本账户开户许可证或开户证明</w:t>
            </w:r>
            <w:r>
              <w:rPr>
                <w:rFonts w:hint="eastAsia" w:ascii="宋体" w:hAnsi="宋体" w:eastAsia="宋体"/>
              </w:rPr>
              <w:t>及</w:t>
            </w:r>
            <w:r>
              <w:rPr>
                <w:rFonts w:hint="eastAsia" w:ascii="宋体" w:hAnsi="宋体"/>
              </w:rPr>
              <w:t>投标人在国家企业信用信息公示系统中基础信息（体现股东及出资详细信息）的网页截图。</w:t>
            </w:r>
          </w:p>
          <w:p w14:paraId="14A6DBBF">
            <w:pPr>
              <w:spacing w:line="360" w:lineRule="auto"/>
              <w:ind w:left="113" w:right="113" w:firstLine="210" w:firstLineChars="100"/>
              <w:rPr>
                <w:rFonts w:ascii="宋体" w:hAnsi="宋体"/>
              </w:rPr>
            </w:pPr>
            <w:r>
              <w:rPr>
                <w:rFonts w:ascii="宋体" w:hAnsi="宋体"/>
              </w:rPr>
              <w:t>(2)投标人的资质等级符合招标文件规定。</w:t>
            </w:r>
          </w:p>
          <w:p w14:paraId="44E85FB7">
            <w:pPr>
              <w:spacing w:line="360" w:lineRule="auto"/>
              <w:ind w:left="113" w:right="113" w:firstLine="210" w:firstLineChars="100"/>
              <w:rPr>
                <w:rFonts w:ascii="宋体" w:hAnsi="宋体"/>
              </w:rPr>
            </w:pPr>
            <w:r>
              <w:rPr>
                <w:rFonts w:ascii="宋体" w:hAnsi="宋体"/>
              </w:rPr>
              <w:t>(3)投标人的信誉符合招标文件规定。</w:t>
            </w:r>
          </w:p>
          <w:p w14:paraId="40E3554A">
            <w:pPr>
              <w:spacing w:line="360" w:lineRule="auto"/>
              <w:ind w:left="113" w:right="113" w:firstLine="210" w:firstLineChars="100"/>
              <w:rPr>
                <w:rFonts w:ascii="宋体" w:hAnsi="宋体"/>
              </w:rPr>
            </w:pPr>
            <w:r>
              <w:rPr>
                <w:rFonts w:ascii="宋体" w:hAnsi="宋体"/>
              </w:rPr>
              <w:t>(</w:t>
            </w:r>
            <w:r>
              <w:rPr>
                <w:rFonts w:hint="eastAsia" w:ascii="宋体" w:hAnsi="宋体" w:eastAsia="宋体"/>
              </w:rPr>
              <w:t>4</w:t>
            </w:r>
            <w:r>
              <w:rPr>
                <w:rFonts w:ascii="宋体" w:hAnsi="宋体"/>
              </w:rPr>
              <w:t>)投标人的</w:t>
            </w:r>
            <w:r>
              <w:rPr>
                <w:rFonts w:hint="eastAsia" w:ascii="宋体" w:hAnsi="宋体" w:eastAsia="宋体"/>
              </w:rPr>
              <w:t>中心试验室</w:t>
            </w:r>
            <w:r>
              <w:rPr>
                <w:rFonts w:hint="eastAsia" w:ascii="宋体" w:hAnsi="宋体"/>
              </w:rPr>
              <w:t>主任</w:t>
            </w:r>
            <w:r>
              <w:rPr>
                <w:rFonts w:ascii="宋体" w:hAnsi="宋体"/>
              </w:rPr>
              <w:t>资格、在岗情况符合招标文件规定。</w:t>
            </w:r>
          </w:p>
          <w:p w14:paraId="1310D2D3">
            <w:pPr>
              <w:spacing w:line="360" w:lineRule="auto"/>
              <w:ind w:left="113" w:right="113" w:firstLine="210" w:firstLineChars="100"/>
              <w:rPr>
                <w:rFonts w:ascii="宋体" w:hAnsi="宋体"/>
              </w:rPr>
            </w:pPr>
            <w:r>
              <w:rPr>
                <w:rFonts w:ascii="宋体" w:hAnsi="宋体"/>
              </w:rPr>
              <w:t>(</w:t>
            </w:r>
            <w:r>
              <w:rPr>
                <w:rFonts w:hint="eastAsia" w:ascii="宋体" w:hAnsi="宋体"/>
              </w:rPr>
              <w:t>5</w:t>
            </w:r>
            <w:r>
              <w:rPr>
                <w:rFonts w:ascii="宋体" w:hAnsi="宋体"/>
              </w:rPr>
              <w:t>)</w:t>
            </w:r>
            <w:r>
              <w:rPr>
                <w:rFonts w:hint="eastAsia" w:ascii="宋体" w:hAnsi="宋体"/>
                <w:lang w:bidi="en-US"/>
              </w:rPr>
              <w:t>投标人符合</w:t>
            </w:r>
            <w:r>
              <w:rPr>
                <w:rFonts w:ascii="宋体" w:hAnsi="宋体"/>
                <w:lang w:bidi="en-US"/>
              </w:rPr>
              <w:t>第二章“投标人须知”第1.4.1项</w:t>
            </w:r>
            <w:r>
              <w:rPr>
                <w:rFonts w:hint="eastAsia" w:ascii="宋体" w:hAnsi="宋体"/>
                <w:lang w:bidi="en-US"/>
              </w:rPr>
              <w:t>中对其他要求</w:t>
            </w:r>
            <w:r>
              <w:rPr>
                <w:rFonts w:ascii="宋体" w:hAnsi="宋体"/>
                <w:lang w:bidi="en-US"/>
              </w:rPr>
              <w:t>规定。</w:t>
            </w:r>
          </w:p>
          <w:p w14:paraId="532F8454">
            <w:pPr>
              <w:spacing w:line="360" w:lineRule="auto"/>
              <w:ind w:left="113" w:right="113" w:firstLine="210" w:firstLineChars="100"/>
              <w:rPr>
                <w:rFonts w:ascii="宋体" w:hAnsi="宋体" w:eastAsia="宋体"/>
              </w:rPr>
            </w:pPr>
            <w:r>
              <w:rPr>
                <w:rFonts w:ascii="宋体" w:hAnsi="宋体"/>
              </w:rPr>
              <w:t>(</w:t>
            </w:r>
            <w:r>
              <w:rPr>
                <w:rFonts w:hint="eastAsia" w:ascii="宋体" w:hAnsi="宋体"/>
              </w:rPr>
              <w:t>6</w:t>
            </w:r>
            <w:r>
              <w:rPr>
                <w:rFonts w:ascii="宋体" w:hAnsi="宋体"/>
              </w:rPr>
              <w:t>)投标人不存在第二章“投标人须知”第1.4.3项或第1.4.4项规定的任何一种情形。</w:t>
            </w:r>
          </w:p>
        </w:tc>
      </w:tr>
    </w:tbl>
    <w:p w14:paraId="2A0B05A4">
      <w:pPr>
        <w:spacing w:line="360" w:lineRule="auto"/>
        <w:ind w:firstLine="7350" w:firstLineChars="3500"/>
        <w:rPr>
          <w:rFonts w:ascii="宋体" w:hAnsi="宋体"/>
        </w:rPr>
      </w:pPr>
    </w:p>
    <w:p w14:paraId="7124A31B">
      <w:pPr>
        <w:spacing w:line="360" w:lineRule="auto"/>
        <w:ind w:firstLine="7350" w:firstLineChars="3500"/>
        <w:jc w:val="right"/>
        <w:rPr>
          <w:rFonts w:ascii="宋体" w:hAnsi="宋体"/>
        </w:rPr>
      </w:pPr>
      <w:r>
        <w:rPr>
          <w:rFonts w:hint="eastAsia" w:ascii="宋体" w:hAnsi="宋体"/>
        </w:rPr>
        <w:t>续上表</w:t>
      </w:r>
    </w:p>
    <w:tbl>
      <w:tblPr>
        <w:tblStyle w:val="11"/>
        <w:tblW w:w="0" w:type="auto"/>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869"/>
        <w:gridCol w:w="2753"/>
        <w:gridCol w:w="5661"/>
      </w:tblGrid>
      <w:tr w14:paraId="522A15D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00" w:hRule="atLeast"/>
          <w:jc w:val="center"/>
        </w:trPr>
        <w:tc>
          <w:tcPr>
            <w:tcW w:w="869" w:type="dxa"/>
            <w:noWrap w:val="0"/>
            <w:vAlign w:val="center"/>
          </w:tcPr>
          <w:p w14:paraId="7C9D8A25">
            <w:pPr>
              <w:spacing w:line="360" w:lineRule="auto"/>
              <w:ind w:right="113"/>
              <w:jc w:val="center"/>
              <w:rPr>
                <w:rFonts w:ascii="宋体" w:hAnsi="宋体"/>
                <w:b/>
              </w:rPr>
            </w:pPr>
            <w:r>
              <w:rPr>
                <w:rFonts w:hint="eastAsia" w:ascii="宋体" w:hAnsi="宋体"/>
                <w:b/>
              </w:rPr>
              <w:t>条款号</w:t>
            </w:r>
          </w:p>
        </w:tc>
        <w:tc>
          <w:tcPr>
            <w:tcW w:w="2753" w:type="dxa"/>
            <w:noWrap w:val="0"/>
            <w:vAlign w:val="center"/>
          </w:tcPr>
          <w:p w14:paraId="12DA8DAF">
            <w:pPr>
              <w:spacing w:line="360" w:lineRule="auto"/>
              <w:ind w:right="113"/>
              <w:jc w:val="center"/>
              <w:rPr>
                <w:rFonts w:ascii="宋体" w:hAnsi="宋体"/>
                <w:b/>
              </w:rPr>
            </w:pPr>
            <w:r>
              <w:rPr>
                <w:rFonts w:hint="eastAsia" w:ascii="宋体" w:hAnsi="宋体"/>
                <w:b/>
              </w:rPr>
              <w:t>条款内容</w:t>
            </w:r>
          </w:p>
        </w:tc>
        <w:tc>
          <w:tcPr>
            <w:tcW w:w="5661" w:type="dxa"/>
            <w:noWrap w:val="0"/>
            <w:vAlign w:val="center"/>
          </w:tcPr>
          <w:p w14:paraId="3EA889C9">
            <w:pPr>
              <w:spacing w:line="360" w:lineRule="auto"/>
              <w:ind w:right="113"/>
              <w:jc w:val="center"/>
              <w:rPr>
                <w:rFonts w:ascii="宋体" w:hAnsi="宋体"/>
                <w:b/>
              </w:rPr>
            </w:pPr>
            <w:r>
              <w:rPr>
                <w:rFonts w:hint="eastAsia" w:ascii="宋体" w:hAnsi="宋体"/>
                <w:b/>
              </w:rPr>
              <w:t>编列内容</w:t>
            </w:r>
          </w:p>
        </w:tc>
      </w:tr>
      <w:tr w14:paraId="1EDAE75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2674" w:hRule="atLeast"/>
          <w:jc w:val="center"/>
        </w:trPr>
        <w:tc>
          <w:tcPr>
            <w:tcW w:w="869" w:type="dxa"/>
            <w:noWrap w:val="0"/>
            <w:vAlign w:val="center"/>
          </w:tcPr>
          <w:p w14:paraId="4892E761">
            <w:pPr>
              <w:spacing w:line="360" w:lineRule="auto"/>
              <w:ind w:right="113"/>
              <w:jc w:val="center"/>
              <w:rPr>
                <w:rFonts w:ascii="宋体" w:hAnsi="宋体"/>
              </w:rPr>
            </w:pPr>
            <w:r>
              <w:rPr>
                <w:rFonts w:hint="eastAsia" w:ascii="宋体" w:hAnsi="宋体"/>
              </w:rPr>
              <w:t>2.2.1</w:t>
            </w:r>
          </w:p>
        </w:tc>
        <w:tc>
          <w:tcPr>
            <w:tcW w:w="2753" w:type="dxa"/>
            <w:noWrap w:val="0"/>
            <w:vAlign w:val="center"/>
          </w:tcPr>
          <w:p w14:paraId="720D1D11">
            <w:pPr>
              <w:spacing w:line="360" w:lineRule="auto"/>
              <w:ind w:right="113"/>
              <w:jc w:val="center"/>
              <w:rPr>
                <w:rFonts w:ascii="宋体" w:hAnsi="宋体"/>
              </w:rPr>
            </w:pPr>
            <w:r>
              <w:rPr>
                <w:rFonts w:hint="eastAsia" w:ascii="宋体" w:hAnsi="宋体"/>
              </w:rPr>
              <w:t>分值构成</w:t>
            </w:r>
          </w:p>
          <w:p w14:paraId="19833177">
            <w:pPr>
              <w:spacing w:line="360" w:lineRule="auto"/>
              <w:ind w:right="113"/>
              <w:jc w:val="center"/>
              <w:rPr>
                <w:rFonts w:ascii="宋体" w:hAnsi="宋体"/>
              </w:rPr>
            </w:pPr>
            <w:r>
              <w:rPr>
                <w:rFonts w:hint="eastAsia" w:ascii="宋体" w:hAnsi="宋体"/>
              </w:rPr>
              <w:t>（总分100分）</w:t>
            </w:r>
          </w:p>
        </w:tc>
        <w:tc>
          <w:tcPr>
            <w:tcW w:w="5661" w:type="dxa"/>
            <w:noWrap w:val="0"/>
            <w:vAlign w:val="center"/>
          </w:tcPr>
          <w:p w14:paraId="762A3A9D">
            <w:pPr>
              <w:spacing w:line="360" w:lineRule="auto"/>
              <w:ind w:left="113" w:leftChars="54" w:right="113" w:firstLine="420" w:firstLineChars="199"/>
              <w:rPr>
                <w:rFonts w:ascii="宋体" w:hAnsi="宋体"/>
                <w:b/>
              </w:rPr>
            </w:pPr>
            <w:r>
              <w:rPr>
                <w:rFonts w:hint="eastAsia" w:ascii="宋体" w:hAnsi="宋体"/>
                <w:b/>
              </w:rPr>
              <w:t>第一个信封（商务及技术文件）评分分值构成：</w:t>
            </w:r>
          </w:p>
          <w:p w14:paraId="660B8058">
            <w:pPr>
              <w:spacing w:line="360" w:lineRule="auto"/>
              <w:ind w:left="113" w:leftChars="54" w:right="113" w:firstLine="420" w:firstLineChars="200"/>
              <w:rPr>
                <w:rFonts w:ascii="宋体" w:hAnsi="宋体"/>
              </w:rPr>
            </w:pPr>
            <w:r>
              <w:rPr>
                <w:rFonts w:hint="eastAsia" w:ascii="宋体" w:hAnsi="宋体"/>
              </w:rPr>
              <w:t>技术建议书：</w:t>
            </w:r>
            <w:r>
              <w:rPr>
                <w:rFonts w:hint="eastAsia" w:ascii="宋体" w:hAnsi="宋体"/>
                <w:u w:val="single"/>
              </w:rPr>
              <w:t xml:space="preserve"> 35  </w:t>
            </w:r>
            <w:r>
              <w:rPr>
                <w:rFonts w:hint="eastAsia" w:ascii="宋体" w:hAnsi="宋体"/>
              </w:rPr>
              <w:t>分</w:t>
            </w:r>
          </w:p>
          <w:p w14:paraId="30B47ABF">
            <w:pPr>
              <w:spacing w:line="360" w:lineRule="auto"/>
              <w:ind w:left="113" w:leftChars="54" w:right="113" w:firstLine="420" w:firstLineChars="200"/>
              <w:rPr>
                <w:rFonts w:ascii="宋体" w:hAnsi="宋体"/>
              </w:rPr>
            </w:pPr>
            <w:r>
              <w:rPr>
                <w:rFonts w:hint="eastAsia" w:ascii="宋体" w:hAnsi="宋体"/>
              </w:rPr>
              <w:t>主要人员：</w:t>
            </w:r>
            <w:r>
              <w:rPr>
                <w:rFonts w:hint="eastAsia" w:ascii="宋体" w:hAnsi="宋体"/>
                <w:u w:val="single"/>
              </w:rPr>
              <w:t xml:space="preserve">  </w:t>
            </w:r>
            <w:r>
              <w:rPr>
                <w:rFonts w:hint="eastAsia" w:ascii="宋体" w:hAnsi="宋体" w:eastAsia="宋体"/>
                <w:u w:val="single"/>
                <w:lang w:val="en-US" w:eastAsia="zh-CN"/>
              </w:rPr>
              <w:t>25</w:t>
            </w:r>
            <w:r>
              <w:rPr>
                <w:rFonts w:hint="eastAsia" w:ascii="宋体" w:hAnsi="宋体"/>
                <w:u w:val="single"/>
              </w:rPr>
              <w:t xml:space="preserve">  </w:t>
            </w:r>
            <w:r>
              <w:rPr>
                <w:rFonts w:hint="eastAsia" w:ascii="宋体" w:hAnsi="宋体"/>
              </w:rPr>
              <w:t>分</w:t>
            </w:r>
          </w:p>
          <w:p w14:paraId="42231638">
            <w:pPr>
              <w:spacing w:line="360" w:lineRule="auto"/>
              <w:ind w:left="113" w:leftChars="54" w:right="113" w:firstLine="420" w:firstLineChars="200"/>
              <w:rPr>
                <w:rFonts w:ascii="宋体" w:hAnsi="宋体"/>
              </w:rPr>
            </w:pPr>
            <w:r>
              <w:rPr>
                <w:rFonts w:hint="eastAsia" w:ascii="宋体" w:hAnsi="宋体" w:eastAsia="宋体"/>
              </w:rPr>
              <w:t>其他因素</w:t>
            </w:r>
            <w:r>
              <w:rPr>
                <w:rFonts w:hint="eastAsia" w:ascii="宋体" w:hAnsi="宋体"/>
              </w:rPr>
              <w:t>：</w:t>
            </w:r>
            <w:r>
              <w:rPr>
                <w:rFonts w:hint="eastAsia" w:ascii="宋体" w:hAnsi="宋体"/>
                <w:u w:val="single"/>
              </w:rPr>
              <w:t xml:space="preserve">  </w:t>
            </w:r>
            <w:r>
              <w:rPr>
                <w:rFonts w:hint="eastAsia" w:ascii="宋体" w:hAnsi="宋体" w:eastAsia="宋体"/>
                <w:u w:val="single"/>
                <w:lang w:val="en-US" w:eastAsia="zh-CN"/>
              </w:rPr>
              <w:t>30</w:t>
            </w:r>
            <w:r>
              <w:rPr>
                <w:rFonts w:hint="eastAsia" w:ascii="宋体" w:hAnsi="宋体"/>
                <w:u w:val="single"/>
              </w:rPr>
              <w:t xml:space="preserve">  </w:t>
            </w:r>
            <w:r>
              <w:rPr>
                <w:rFonts w:hint="eastAsia" w:ascii="宋体" w:hAnsi="宋体"/>
              </w:rPr>
              <w:t>分</w:t>
            </w:r>
          </w:p>
          <w:p w14:paraId="73887441">
            <w:pPr>
              <w:spacing w:line="360" w:lineRule="auto"/>
              <w:ind w:left="113" w:leftChars="54" w:right="113" w:firstLine="420" w:firstLineChars="199"/>
              <w:rPr>
                <w:rFonts w:ascii="宋体" w:hAnsi="宋体"/>
                <w:b/>
              </w:rPr>
            </w:pPr>
            <w:r>
              <w:rPr>
                <w:rFonts w:hint="eastAsia" w:ascii="宋体" w:hAnsi="宋体"/>
                <w:b/>
              </w:rPr>
              <w:t>第二个信封（报价文件）评分分值构成：</w:t>
            </w:r>
          </w:p>
          <w:p w14:paraId="0F210FB1">
            <w:pPr>
              <w:spacing w:line="360" w:lineRule="auto"/>
              <w:ind w:left="113" w:leftChars="54" w:right="113" w:firstLine="420" w:firstLineChars="200"/>
              <w:rPr>
                <w:rFonts w:ascii="宋体" w:hAnsi="宋体"/>
              </w:rPr>
            </w:pPr>
            <w:r>
              <w:rPr>
                <w:rFonts w:hint="eastAsia" w:ascii="宋体" w:hAnsi="宋体"/>
              </w:rPr>
              <w:t>评标价：</w:t>
            </w:r>
            <w:r>
              <w:rPr>
                <w:rFonts w:hint="eastAsia" w:ascii="宋体" w:hAnsi="宋体"/>
                <w:u w:val="single"/>
              </w:rPr>
              <w:t xml:space="preserve">  10  </w:t>
            </w:r>
            <w:r>
              <w:rPr>
                <w:rFonts w:hint="eastAsia" w:ascii="宋体" w:hAnsi="宋体"/>
              </w:rPr>
              <w:t>分</w:t>
            </w:r>
          </w:p>
        </w:tc>
      </w:tr>
      <w:tr w14:paraId="2A34EE6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093" w:hRule="atLeast"/>
          <w:jc w:val="center"/>
        </w:trPr>
        <w:tc>
          <w:tcPr>
            <w:tcW w:w="869" w:type="dxa"/>
            <w:noWrap w:val="0"/>
            <w:vAlign w:val="center"/>
          </w:tcPr>
          <w:p w14:paraId="622C8383">
            <w:pPr>
              <w:spacing w:line="360" w:lineRule="auto"/>
              <w:ind w:right="113"/>
              <w:jc w:val="center"/>
              <w:rPr>
                <w:rFonts w:ascii="宋体" w:hAnsi="宋体"/>
              </w:rPr>
            </w:pPr>
            <w:r>
              <w:rPr>
                <w:rFonts w:hint="eastAsia" w:ascii="宋体" w:hAnsi="宋体"/>
              </w:rPr>
              <w:t>2.2.2</w:t>
            </w:r>
          </w:p>
        </w:tc>
        <w:tc>
          <w:tcPr>
            <w:tcW w:w="2753" w:type="dxa"/>
            <w:noWrap w:val="0"/>
            <w:vAlign w:val="center"/>
          </w:tcPr>
          <w:p w14:paraId="136E7CD1">
            <w:pPr>
              <w:spacing w:line="360" w:lineRule="auto"/>
              <w:ind w:left="113" w:right="113"/>
              <w:jc w:val="center"/>
              <w:rPr>
                <w:rFonts w:ascii="宋体" w:hAnsi="宋体"/>
              </w:rPr>
            </w:pPr>
            <w:r>
              <w:rPr>
                <w:rFonts w:hint="eastAsia" w:ascii="宋体" w:hAnsi="宋体"/>
              </w:rPr>
              <w:t>评标基准价计算方法</w:t>
            </w:r>
          </w:p>
        </w:tc>
        <w:tc>
          <w:tcPr>
            <w:tcW w:w="5661" w:type="dxa"/>
            <w:noWrap w:val="0"/>
            <w:vAlign w:val="center"/>
          </w:tcPr>
          <w:p w14:paraId="2DDB3D95">
            <w:pPr>
              <w:spacing w:line="360" w:lineRule="auto"/>
              <w:ind w:left="113" w:leftChars="54" w:right="113" w:firstLine="420" w:firstLineChars="200"/>
              <w:rPr>
                <w:rFonts w:ascii="宋体" w:hAnsi="宋体"/>
              </w:rPr>
            </w:pPr>
            <w:r>
              <w:rPr>
                <w:rFonts w:hint="eastAsia" w:ascii="宋体" w:hAnsi="宋体"/>
              </w:rPr>
              <w:t>评标基准价的计算：</w:t>
            </w:r>
          </w:p>
          <w:p w14:paraId="43EC2AF8">
            <w:pPr>
              <w:spacing w:line="360" w:lineRule="auto"/>
              <w:ind w:left="113" w:leftChars="54" w:right="113" w:firstLine="420" w:firstLineChars="200"/>
              <w:rPr>
                <w:rFonts w:ascii="宋体" w:hAnsi="宋体"/>
              </w:rPr>
            </w:pPr>
            <w:r>
              <w:rPr>
                <w:rFonts w:hint="eastAsia" w:ascii="宋体" w:hAnsi="宋体"/>
              </w:rPr>
              <w:t>在开标现场，招标人将当场计算并宣布评标基准价。</w:t>
            </w:r>
          </w:p>
          <w:p w14:paraId="68ED91BE">
            <w:pPr>
              <w:spacing w:line="360" w:lineRule="auto"/>
              <w:ind w:left="113" w:leftChars="54" w:right="113" w:firstLine="315" w:firstLineChars="150"/>
              <w:rPr>
                <w:rFonts w:ascii="宋体" w:hAnsi="宋体"/>
              </w:rPr>
            </w:pPr>
            <w:r>
              <w:rPr>
                <w:rFonts w:hint="eastAsia" w:ascii="宋体" w:hAnsi="宋体"/>
              </w:rPr>
              <w:t>（1）评标价的确定：</w:t>
            </w:r>
          </w:p>
          <w:p w14:paraId="4300D1D3">
            <w:pPr>
              <w:spacing w:line="360" w:lineRule="auto"/>
              <w:ind w:left="113" w:leftChars="54" w:right="113" w:firstLine="420" w:firstLineChars="200"/>
              <w:rPr>
                <w:rFonts w:ascii="宋体" w:hAnsi="宋体"/>
              </w:rPr>
            </w:pPr>
            <w:r>
              <w:rPr>
                <w:rFonts w:hint="eastAsia" w:ascii="宋体" w:hAnsi="宋体"/>
              </w:rPr>
              <w:t>评标价=投标函文字报价</w:t>
            </w:r>
          </w:p>
          <w:p w14:paraId="0ED3C180">
            <w:pPr>
              <w:spacing w:line="360" w:lineRule="auto"/>
              <w:ind w:left="113" w:leftChars="54" w:right="113" w:firstLine="315" w:firstLineChars="150"/>
              <w:rPr>
                <w:rFonts w:hint="eastAsia" w:ascii="宋体" w:hAnsi="宋体" w:eastAsia="宋体" w:cs="宋体"/>
              </w:rPr>
            </w:pPr>
            <w:r>
              <w:rPr>
                <w:rFonts w:hint="eastAsia" w:ascii="宋体" w:hAnsi="宋体" w:eastAsia="宋体" w:cs="宋体"/>
              </w:rPr>
              <w:t>（2）评标价平均值的计算：</w:t>
            </w:r>
          </w:p>
          <w:p w14:paraId="73A880F5">
            <w:pPr>
              <w:spacing w:line="360" w:lineRule="auto"/>
              <w:ind w:left="113" w:leftChars="54" w:right="113" w:firstLine="315" w:firstLineChars="150"/>
              <w:rPr>
                <w:rFonts w:hint="eastAsia" w:ascii="宋体" w:hAnsi="宋体" w:eastAsia="宋体" w:cs="宋体"/>
              </w:rPr>
            </w:pPr>
            <w:r>
              <w:rPr>
                <w:rFonts w:hint="eastAsia" w:ascii="宋体" w:hAnsi="宋体" w:eastAsia="宋体" w:cs="宋体"/>
              </w:rPr>
              <w:t>除按第二章“投标人须知”第5.2.4项规定开标现场被宣布为不进入评标基准价计算的投标报价之外，所有投标人的评标价去掉一个最高值和一个最低值后的算术平均值即为评标价平均值</w:t>
            </w:r>
            <w:r>
              <w:rPr>
                <w:rFonts w:hint="eastAsia" w:ascii="宋体" w:hAnsi="宋体" w:eastAsia="宋体" w:cs="宋体"/>
                <w:bCs/>
              </w:rPr>
              <w:t>（如果参与评标价平均值计算的有效投标人少于5家时，则计算评标价平均值时不去掉最高值和最低值），评标价平均值的计算保留2位小数，小数点后第3位“四舍五入”。</w:t>
            </w:r>
          </w:p>
          <w:p w14:paraId="3B618C0D">
            <w:pPr>
              <w:spacing w:line="360" w:lineRule="auto"/>
              <w:ind w:left="113" w:leftChars="54" w:right="113" w:firstLine="315" w:firstLineChars="150"/>
              <w:rPr>
                <w:rFonts w:hint="eastAsia" w:ascii="宋体" w:hAnsi="宋体" w:eastAsia="宋体" w:cs="宋体"/>
              </w:rPr>
            </w:pPr>
            <w:r>
              <w:rPr>
                <w:rFonts w:hint="eastAsia" w:ascii="宋体" w:hAnsi="宋体" w:eastAsia="宋体" w:cs="宋体"/>
              </w:rPr>
              <w:t>（3）评标基准价的确定：</w:t>
            </w:r>
          </w:p>
          <w:p w14:paraId="0D9D21BD">
            <w:pPr>
              <w:spacing w:line="360" w:lineRule="auto"/>
              <w:ind w:left="113" w:leftChars="54" w:right="113" w:firstLine="417" w:firstLineChars="199"/>
              <w:rPr>
                <w:rFonts w:hint="eastAsia" w:ascii="宋体" w:hAnsi="宋体" w:eastAsia="宋体" w:cs="宋体"/>
              </w:rPr>
            </w:pPr>
            <w:r>
              <w:rPr>
                <w:rFonts w:hint="eastAsia" w:ascii="宋体" w:hAnsi="宋体" w:eastAsia="宋体" w:cs="宋体"/>
              </w:rPr>
              <w:t>将评标价平均值直接作为评标基准价。</w:t>
            </w:r>
          </w:p>
          <w:p w14:paraId="4AA816F4">
            <w:pPr>
              <w:spacing w:line="360" w:lineRule="auto"/>
              <w:ind w:left="113" w:leftChars="54" w:right="113" w:firstLine="417" w:firstLineChars="199"/>
              <w:rPr>
                <w:rFonts w:ascii="宋体" w:hAnsi="宋体"/>
              </w:rPr>
            </w:pPr>
            <w:r>
              <w:rPr>
                <w:rFonts w:hint="eastAsia" w:ascii="宋体" w:hAnsi="宋体" w:eastAsia="宋体" w:cs="宋体"/>
              </w:rPr>
              <w:t>在评标过程中，评标委员会应对计算的评标基准价进行复核，存在计算错误的应予以修正并在评标报告中作出说明。除此之外，评标基准价在整个评标期间</w:t>
            </w:r>
            <w:r>
              <w:rPr>
                <w:rFonts w:hint="eastAsia" w:ascii="宋体" w:hAnsi="宋体"/>
              </w:rPr>
              <w:t>保持不变，不随任何因素发生变化。</w:t>
            </w:r>
          </w:p>
        </w:tc>
      </w:tr>
      <w:tr w14:paraId="347EEB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40" w:hRule="atLeast"/>
          <w:jc w:val="center"/>
        </w:trPr>
        <w:tc>
          <w:tcPr>
            <w:tcW w:w="869" w:type="dxa"/>
            <w:noWrap w:val="0"/>
            <w:vAlign w:val="center"/>
          </w:tcPr>
          <w:p w14:paraId="6D42E844">
            <w:pPr>
              <w:spacing w:line="360" w:lineRule="auto"/>
              <w:ind w:right="113"/>
              <w:jc w:val="center"/>
              <w:rPr>
                <w:rFonts w:ascii="宋体" w:hAnsi="宋体"/>
              </w:rPr>
            </w:pPr>
            <w:r>
              <w:rPr>
                <w:rFonts w:hint="eastAsia" w:ascii="宋体" w:hAnsi="宋体"/>
              </w:rPr>
              <w:t>2.2.3</w:t>
            </w:r>
          </w:p>
        </w:tc>
        <w:tc>
          <w:tcPr>
            <w:tcW w:w="2753" w:type="dxa"/>
            <w:noWrap w:val="0"/>
            <w:vAlign w:val="center"/>
          </w:tcPr>
          <w:p w14:paraId="6C444741">
            <w:pPr>
              <w:spacing w:line="360" w:lineRule="auto"/>
              <w:ind w:left="113" w:right="113"/>
              <w:jc w:val="center"/>
              <w:rPr>
                <w:rFonts w:ascii="宋体" w:hAnsi="宋体"/>
              </w:rPr>
            </w:pPr>
            <w:r>
              <w:rPr>
                <w:rFonts w:hint="eastAsia" w:ascii="宋体" w:hAnsi="宋体"/>
              </w:rPr>
              <w:t>评标价的偏差率计算公式</w:t>
            </w:r>
          </w:p>
        </w:tc>
        <w:tc>
          <w:tcPr>
            <w:tcW w:w="5661" w:type="dxa"/>
            <w:noWrap w:val="0"/>
            <w:vAlign w:val="center"/>
          </w:tcPr>
          <w:p w14:paraId="3E590D1C">
            <w:pPr>
              <w:spacing w:line="360" w:lineRule="auto"/>
              <w:ind w:firstLine="420" w:firstLineChars="200"/>
              <w:rPr>
                <w:rFonts w:ascii="宋体" w:hAnsi="宋体"/>
                <w:b/>
              </w:rPr>
            </w:pPr>
            <w:r>
              <w:rPr>
                <w:rFonts w:hint="eastAsia" w:ascii="宋体" w:hAnsi="宋体"/>
              </w:rPr>
              <w:t>偏差率=100%×（投标人评标价-评标基准价）/评标基准价偏差率保留2位小数</w:t>
            </w:r>
            <w:r>
              <w:rPr>
                <w:rFonts w:hint="eastAsia"/>
              </w:rPr>
              <w:t>，例如：**.**%</w:t>
            </w:r>
          </w:p>
        </w:tc>
      </w:tr>
    </w:tbl>
    <w:p w14:paraId="6CC923B3">
      <w:pPr>
        <w:wordWrap w:val="0"/>
        <w:spacing w:line="360" w:lineRule="auto"/>
        <w:jc w:val="right"/>
        <w:rPr>
          <w:rFonts w:ascii="宋体" w:hAnsi="宋体"/>
        </w:rPr>
      </w:pPr>
      <w:r>
        <w:rPr>
          <w:rFonts w:ascii="宋体" w:hAnsi="宋体"/>
        </w:rPr>
        <w:br w:type="page"/>
      </w:r>
      <w:r>
        <w:rPr>
          <w:rFonts w:hint="eastAsia" w:ascii="宋体" w:hAnsi="宋体"/>
        </w:rPr>
        <w:t>续上表</w:t>
      </w:r>
    </w:p>
    <w:tbl>
      <w:tblPr>
        <w:tblStyle w:val="1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77"/>
        <w:gridCol w:w="368"/>
        <w:gridCol w:w="913"/>
        <w:gridCol w:w="1134"/>
        <w:gridCol w:w="2015"/>
        <w:gridCol w:w="822"/>
        <w:gridCol w:w="2616"/>
      </w:tblGrid>
      <w:tr w14:paraId="69CDE2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5" w:hRule="atLeast"/>
          <w:jc w:val="center"/>
        </w:trPr>
        <w:tc>
          <w:tcPr>
            <w:tcW w:w="6529" w:type="dxa"/>
            <w:gridSpan w:val="6"/>
            <w:noWrap w:val="0"/>
            <w:vAlign w:val="center"/>
          </w:tcPr>
          <w:p w14:paraId="164EDB41">
            <w:pPr>
              <w:spacing w:line="360" w:lineRule="auto"/>
              <w:jc w:val="center"/>
              <w:rPr>
                <w:rFonts w:ascii="宋体" w:hAnsi="宋体"/>
                <w:b/>
              </w:rPr>
            </w:pPr>
            <w:r>
              <w:rPr>
                <w:rFonts w:hint="eastAsia" w:ascii="宋体" w:hAnsi="宋体"/>
                <w:b/>
              </w:rPr>
              <w:t>评分因素与权重分值</w:t>
            </w:r>
            <w:r>
              <w:rPr>
                <w:rFonts w:ascii="宋体" w:hAnsi="宋体"/>
                <w:b/>
                <w:vertAlign w:val="superscript"/>
              </w:rPr>
              <w:footnoteReference w:id="2"/>
            </w:r>
          </w:p>
        </w:tc>
        <w:tc>
          <w:tcPr>
            <w:tcW w:w="2616" w:type="dxa"/>
            <w:vMerge w:val="restart"/>
            <w:noWrap w:val="0"/>
            <w:vAlign w:val="center"/>
          </w:tcPr>
          <w:p w14:paraId="16399EBB">
            <w:pPr>
              <w:spacing w:line="360" w:lineRule="auto"/>
              <w:jc w:val="center"/>
              <w:rPr>
                <w:rFonts w:ascii="宋体" w:hAnsi="宋体"/>
                <w:b/>
              </w:rPr>
            </w:pPr>
            <w:r>
              <w:rPr>
                <w:rFonts w:hint="eastAsia" w:ascii="宋体" w:hAnsi="宋体"/>
                <w:b/>
              </w:rPr>
              <w:t>评分标准</w:t>
            </w:r>
          </w:p>
        </w:tc>
      </w:tr>
      <w:tr w14:paraId="16E831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277" w:type="dxa"/>
            <w:noWrap w:val="0"/>
            <w:vAlign w:val="center"/>
          </w:tcPr>
          <w:p w14:paraId="73D73682">
            <w:pPr>
              <w:spacing w:line="360" w:lineRule="auto"/>
              <w:jc w:val="center"/>
              <w:rPr>
                <w:rFonts w:ascii="宋体" w:hAnsi="宋体"/>
                <w:b/>
              </w:rPr>
            </w:pPr>
            <w:r>
              <w:rPr>
                <w:rFonts w:hint="eastAsia" w:ascii="宋体" w:hAnsi="宋体"/>
                <w:b/>
              </w:rPr>
              <w:t>条款号</w:t>
            </w:r>
          </w:p>
        </w:tc>
        <w:tc>
          <w:tcPr>
            <w:tcW w:w="1281" w:type="dxa"/>
            <w:gridSpan w:val="2"/>
            <w:noWrap w:val="0"/>
            <w:vAlign w:val="center"/>
          </w:tcPr>
          <w:p w14:paraId="38FA39AB">
            <w:pPr>
              <w:spacing w:line="360" w:lineRule="auto"/>
              <w:jc w:val="center"/>
              <w:rPr>
                <w:rFonts w:ascii="宋体" w:hAnsi="宋体"/>
                <w:b/>
              </w:rPr>
            </w:pPr>
            <w:r>
              <w:rPr>
                <w:rFonts w:hint="eastAsia" w:ascii="宋体" w:hAnsi="宋体"/>
                <w:b/>
              </w:rPr>
              <w:t>评分因素</w:t>
            </w:r>
          </w:p>
        </w:tc>
        <w:tc>
          <w:tcPr>
            <w:tcW w:w="1134" w:type="dxa"/>
            <w:noWrap w:val="0"/>
            <w:vAlign w:val="center"/>
          </w:tcPr>
          <w:p w14:paraId="00EBA8F6">
            <w:pPr>
              <w:spacing w:line="360" w:lineRule="auto"/>
              <w:jc w:val="center"/>
              <w:rPr>
                <w:rFonts w:ascii="宋体" w:hAnsi="宋体"/>
                <w:b/>
              </w:rPr>
            </w:pPr>
            <w:r>
              <w:rPr>
                <w:rFonts w:hint="eastAsia" w:ascii="宋体" w:hAnsi="宋体"/>
                <w:b/>
              </w:rPr>
              <w:t>评分因素</w:t>
            </w:r>
          </w:p>
          <w:p w14:paraId="6F197419">
            <w:pPr>
              <w:spacing w:line="360" w:lineRule="auto"/>
              <w:jc w:val="center"/>
              <w:rPr>
                <w:rFonts w:ascii="宋体" w:hAnsi="宋体"/>
                <w:b/>
              </w:rPr>
            </w:pPr>
            <w:r>
              <w:rPr>
                <w:rFonts w:hint="eastAsia" w:ascii="宋体" w:hAnsi="宋体"/>
                <w:b/>
              </w:rPr>
              <w:t>权重分值</w:t>
            </w:r>
          </w:p>
        </w:tc>
        <w:tc>
          <w:tcPr>
            <w:tcW w:w="2015" w:type="dxa"/>
            <w:noWrap w:val="0"/>
            <w:vAlign w:val="center"/>
          </w:tcPr>
          <w:p w14:paraId="34DFE55F">
            <w:pPr>
              <w:spacing w:line="360" w:lineRule="auto"/>
              <w:jc w:val="center"/>
              <w:rPr>
                <w:rFonts w:ascii="宋体" w:hAnsi="宋体"/>
                <w:b/>
              </w:rPr>
            </w:pPr>
            <w:r>
              <w:rPr>
                <w:rFonts w:hint="eastAsia" w:ascii="宋体" w:hAnsi="宋体"/>
                <w:b/>
              </w:rPr>
              <w:t>各评分因素细分项</w:t>
            </w:r>
          </w:p>
        </w:tc>
        <w:tc>
          <w:tcPr>
            <w:tcW w:w="822" w:type="dxa"/>
            <w:noWrap w:val="0"/>
            <w:vAlign w:val="center"/>
          </w:tcPr>
          <w:p w14:paraId="13F41A6B">
            <w:pPr>
              <w:spacing w:line="360" w:lineRule="auto"/>
              <w:jc w:val="center"/>
              <w:rPr>
                <w:rFonts w:ascii="宋体" w:hAnsi="宋体"/>
                <w:b/>
              </w:rPr>
            </w:pPr>
            <w:r>
              <w:rPr>
                <w:rFonts w:hint="eastAsia" w:ascii="宋体" w:hAnsi="宋体"/>
                <w:b/>
              </w:rPr>
              <w:t>分值</w:t>
            </w:r>
          </w:p>
        </w:tc>
        <w:tc>
          <w:tcPr>
            <w:tcW w:w="2616" w:type="dxa"/>
            <w:vMerge w:val="continue"/>
            <w:noWrap w:val="0"/>
            <w:vAlign w:val="center"/>
          </w:tcPr>
          <w:p w14:paraId="09787AF5">
            <w:pPr>
              <w:spacing w:line="360" w:lineRule="auto"/>
              <w:jc w:val="center"/>
              <w:rPr>
                <w:rFonts w:ascii="宋体" w:hAnsi="宋体"/>
              </w:rPr>
            </w:pPr>
          </w:p>
        </w:tc>
      </w:tr>
      <w:tr w14:paraId="34F601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19" w:hRule="exact"/>
          <w:jc w:val="center"/>
        </w:trPr>
        <w:tc>
          <w:tcPr>
            <w:tcW w:w="1277" w:type="dxa"/>
            <w:vMerge w:val="restart"/>
            <w:noWrap w:val="0"/>
            <w:vAlign w:val="center"/>
          </w:tcPr>
          <w:p w14:paraId="73649AC5">
            <w:pPr>
              <w:spacing w:line="360" w:lineRule="auto"/>
              <w:jc w:val="center"/>
              <w:rPr>
                <w:rFonts w:ascii="宋体" w:hAnsi="宋体"/>
              </w:rPr>
            </w:pPr>
            <w:r>
              <w:rPr>
                <w:rFonts w:hint="eastAsia" w:ascii="宋体" w:hAnsi="宋体"/>
              </w:rPr>
              <w:t>2.2.4（1）</w:t>
            </w:r>
          </w:p>
        </w:tc>
        <w:tc>
          <w:tcPr>
            <w:tcW w:w="1281" w:type="dxa"/>
            <w:gridSpan w:val="2"/>
            <w:vMerge w:val="restart"/>
            <w:noWrap w:val="0"/>
            <w:vAlign w:val="center"/>
          </w:tcPr>
          <w:p w14:paraId="20255FE4">
            <w:pPr>
              <w:spacing w:line="360" w:lineRule="auto"/>
              <w:jc w:val="center"/>
              <w:rPr>
                <w:rFonts w:ascii="宋体" w:hAnsi="宋体"/>
              </w:rPr>
            </w:pPr>
            <w:r>
              <w:rPr>
                <w:rFonts w:hint="eastAsia" w:ascii="宋体" w:hAnsi="宋体"/>
              </w:rPr>
              <w:t>技术建议书</w:t>
            </w:r>
          </w:p>
        </w:tc>
        <w:tc>
          <w:tcPr>
            <w:tcW w:w="1134" w:type="dxa"/>
            <w:vMerge w:val="restart"/>
            <w:noWrap w:val="0"/>
            <w:vAlign w:val="center"/>
          </w:tcPr>
          <w:p w14:paraId="6C8A32A3">
            <w:pPr>
              <w:spacing w:line="360" w:lineRule="auto"/>
              <w:jc w:val="center"/>
              <w:rPr>
                <w:rFonts w:ascii="宋体" w:hAnsi="宋体"/>
              </w:rPr>
            </w:pPr>
            <w:r>
              <w:rPr>
                <w:rFonts w:hint="eastAsia" w:ascii="宋体" w:hAnsi="宋体"/>
              </w:rPr>
              <w:t xml:space="preserve"> 35 分</w:t>
            </w:r>
          </w:p>
        </w:tc>
        <w:tc>
          <w:tcPr>
            <w:tcW w:w="2015" w:type="dxa"/>
            <w:noWrap w:val="0"/>
            <w:vAlign w:val="center"/>
          </w:tcPr>
          <w:p w14:paraId="01879472">
            <w:pPr>
              <w:jc w:val="center"/>
              <w:rPr>
                <w:rFonts w:ascii="宋体" w:hAnsi="宋体"/>
              </w:rPr>
            </w:pPr>
            <w:r>
              <w:rPr>
                <w:rFonts w:hint="eastAsia" w:ascii="宋体" w:hAnsi="宋体"/>
              </w:rPr>
              <w:t>总体检测方案</w:t>
            </w:r>
          </w:p>
        </w:tc>
        <w:tc>
          <w:tcPr>
            <w:tcW w:w="822" w:type="dxa"/>
            <w:noWrap w:val="0"/>
            <w:vAlign w:val="center"/>
          </w:tcPr>
          <w:p w14:paraId="2402FD8D">
            <w:pPr>
              <w:jc w:val="center"/>
              <w:rPr>
                <w:rFonts w:ascii="宋体" w:hAnsi="宋体"/>
              </w:rPr>
            </w:pPr>
            <w:r>
              <w:rPr>
                <w:rFonts w:hint="eastAsia" w:ascii="宋体" w:hAnsi="宋体"/>
              </w:rPr>
              <w:t>10分</w:t>
            </w:r>
          </w:p>
        </w:tc>
        <w:tc>
          <w:tcPr>
            <w:tcW w:w="2616" w:type="dxa"/>
            <w:noWrap w:val="0"/>
            <w:vAlign w:val="center"/>
          </w:tcPr>
          <w:p w14:paraId="6637F5AE">
            <w:pPr>
              <w:rPr>
                <w:rFonts w:ascii="宋体" w:hAnsi="宋体"/>
              </w:rPr>
            </w:pPr>
            <w:r>
              <w:rPr>
                <w:rFonts w:hint="eastAsia" w:ascii="宋体" w:hAnsi="宋体" w:cs="宋体"/>
              </w:rPr>
              <w:t>对招标项目的总体检测方案正确、符合实际情况得6分，方案思路清晰、认识全面的加分，最高加4分。</w:t>
            </w:r>
          </w:p>
        </w:tc>
      </w:tr>
      <w:tr w14:paraId="38C1E7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61" w:hRule="exact"/>
          <w:jc w:val="center"/>
        </w:trPr>
        <w:tc>
          <w:tcPr>
            <w:tcW w:w="1277" w:type="dxa"/>
            <w:vMerge w:val="continue"/>
            <w:noWrap w:val="0"/>
            <w:vAlign w:val="center"/>
          </w:tcPr>
          <w:p w14:paraId="29192473">
            <w:pPr>
              <w:spacing w:line="360" w:lineRule="auto"/>
              <w:jc w:val="center"/>
              <w:rPr>
                <w:rFonts w:hint="eastAsia" w:ascii="宋体" w:hAnsi="宋体"/>
              </w:rPr>
            </w:pPr>
          </w:p>
        </w:tc>
        <w:tc>
          <w:tcPr>
            <w:tcW w:w="1281" w:type="dxa"/>
            <w:gridSpan w:val="2"/>
            <w:vMerge w:val="continue"/>
            <w:noWrap w:val="0"/>
            <w:vAlign w:val="center"/>
          </w:tcPr>
          <w:p w14:paraId="03F044A3">
            <w:pPr>
              <w:spacing w:line="360" w:lineRule="auto"/>
              <w:jc w:val="center"/>
              <w:rPr>
                <w:rFonts w:hint="eastAsia" w:ascii="宋体" w:hAnsi="宋体"/>
              </w:rPr>
            </w:pPr>
          </w:p>
        </w:tc>
        <w:tc>
          <w:tcPr>
            <w:tcW w:w="1134" w:type="dxa"/>
            <w:vMerge w:val="continue"/>
            <w:noWrap w:val="0"/>
            <w:vAlign w:val="center"/>
          </w:tcPr>
          <w:p w14:paraId="324D7AEC">
            <w:pPr>
              <w:spacing w:line="360" w:lineRule="auto"/>
              <w:jc w:val="center"/>
              <w:rPr>
                <w:rFonts w:hint="eastAsia" w:ascii="宋体" w:hAnsi="宋体"/>
              </w:rPr>
            </w:pPr>
          </w:p>
        </w:tc>
        <w:tc>
          <w:tcPr>
            <w:tcW w:w="2015" w:type="dxa"/>
            <w:noWrap w:val="0"/>
            <w:vAlign w:val="center"/>
          </w:tcPr>
          <w:p w14:paraId="2FADBDE6">
            <w:pPr>
              <w:jc w:val="center"/>
              <w:rPr>
                <w:rFonts w:hint="eastAsia" w:ascii="宋体" w:hAnsi="宋体"/>
              </w:rPr>
            </w:pPr>
            <w:r>
              <w:rPr>
                <w:rFonts w:hint="eastAsia"/>
                <w:bCs/>
                <w:lang w:val="zh-CN"/>
              </w:rPr>
              <w:t>对招标项目检测的特点、关键技术问题的认识及其对策措施、主要设备投入</w:t>
            </w:r>
          </w:p>
        </w:tc>
        <w:tc>
          <w:tcPr>
            <w:tcW w:w="822" w:type="dxa"/>
            <w:noWrap w:val="0"/>
            <w:vAlign w:val="center"/>
          </w:tcPr>
          <w:p w14:paraId="39EEA1CA">
            <w:pPr>
              <w:jc w:val="center"/>
              <w:rPr>
                <w:rFonts w:hint="eastAsia" w:ascii="宋体" w:hAnsi="宋体"/>
              </w:rPr>
            </w:pPr>
            <w:r>
              <w:rPr>
                <w:rFonts w:hint="eastAsia" w:ascii="宋体" w:hAnsi="宋体"/>
              </w:rPr>
              <w:t>10分</w:t>
            </w:r>
          </w:p>
        </w:tc>
        <w:tc>
          <w:tcPr>
            <w:tcW w:w="2616" w:type="dxa"/>
            <w:noWrap w:val="0"/>
            <w:vAlign w:val="center"/>
          </w:tcPr>
          <w:p w14:paraId="7627643C">
            <w:pPr>
              <w:rPr>
                <w:rFonts w:hint="eastAsia" w:ascii="宋体" w:hAnsi="宋体"/>
              </w:rPr>
            </w:pPr>
            <w:r>
              <w:rPr>
                <w:rFonts w:hint="eastAsia" w:ascii="宋体" w:hAnsi="宋体" w:cs="宋体"/>
              </w:rPr>
              <w:t>对招标项目</w:t>
            </w:r>
            <w:r>
              <w:rPr>
                <w:rFonts w:hint="eastAsia"/>
                <w:bCs/>
                <w:lang w:val="zh-CN"/>
              </w:rPr>
              <w:t>检测</w:t>
            </w:r>
            <w:r>
              <w:rPr>
                <w:rFonts w:hint="eastAsia" w:ascii="宋体" w:hAnsi="宋体" w:cs="宋体"/>
              </w:rPr>
              <w:t>的特点、关键技术问题的认识准确、主要设备投入基本满足得</w:t>
            </w:r>
            <w:r>
              <w:rPr>
                <w:rFonts w:hint="eastAsia" w:ascii="宋体" w:hAnsi="宋体"/>
              </w:rPr>
              <w:t>6</w:t>
            </w:r>
            <w:r>
              <w:rPr>
                <w:rFonts w:hint="eastAsia" w:ascii="宋体" w:hAnsi="宋体" w:cs="宋体"/>
              </w:rPr>
              <w:t>分，非常准确且认识全面、主要设备投入满足的加分，最高加4分。</w:t>
            </w:r>
          </w:p>
        </w:tc>
      </w:tr>
      <w:tr w14:paraId="3C5AEC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19" w:hRule="exact"/>
          <w:jc w:val="center"/>
        </w:trPr>
        <w:tc>
          <w:tcPr>
            <w:tcW w:w="1277" w:type="dxa"/>
            <w:vMerge w:val="continue"/>
            <w:noWrap w:val="0"/>
            <w:vAlign w:val="center"/>
          </w:tcPr>
          <w:p w14:paraId="02D72108">
            <w:pPr>
              <w:spacing w:line="360" w:lineRule="auto"/>
              <w:jc w:val="center"/>
              <w:rPr>
                <w:rFonts w:hint="eastAsia" w:ascii="宋体" w:hAnsi="宋体"/>
              </w:rPr>
            </w:pPr>
          </w:p>
        </w:tc>
        <w:tc>
          <w:tcPr>
            <w:tcW w:w="1281" w:type="dxa"/>
            <w:gridSpan w:val="2"/>
            <w:vMerge w:val="continue"/>
            <w:noWrap w:val="0"/>
            <w:vAlign w:val="center"/>
          </w:tcPr>
          <w:p w14:paraId="53BC93C5">
            <w:pPr>
              <w:spacing w:line="360" w:lineRule="auto"/>
              <w:jc w:val="center"/>
              <w:rPr>
                <w:rFonts w:hint="eastAsia" w:ascii="宋体" w:hAnsi="宋体"/>
              </w:rPr>
            </w:pPr>
          </w:p>
        </w:tc>
        <w:tc>
          <w:tcPr>
            <w:tcW w:w="1134" w:type="dxa"/>
            <w:vMerge w:val="continue"/>
            <w:noWrap w:val="0"/>
            <w:vAlign w:val="center"/>
          </w:tcPr>
          <w:p w14:paraId="6D01A037">
            <w:pPr>
              <w:spacing w:line="360" w:lineRule="auto"/>
              <w:jc w:val="center"/>
              <w:rPr>
                <w:rFonts w:hint="eastAsia" w:ascii="宋体" w:hAnsi="宋体"/>
              </w:rPr>
            </w:pPr>
          </w:p>
        </w:tc>
        <w:tc>
          <w:tcPr>
            <w:tcW w:w="2015" w:type="dxa"/>
            <w:noWrap w:val="0"/>
            <w:vAlign w:val="center"/>
          </w:tcPr>
          <w:p w14:paraId="7D2FC04F">
            <w:pPr>
              <w:jc w:val="center"/>
              <w:rPr>
                <w:rFonts w:hint="eastAsia" w:ascii="宋体" w:hAnsi="宋体"/>
              </w:rPr>
            </w:pPr>
            <w:r>
              <w:rPr>
                <w:rFonts w:hint="eastAsia"/>
                <w:bCs/>
                <w:lang w:val="zh-CN"/>
              </w:rPr>
              <w:t>检测工作量及计划安排</w:t>
            </w:r>
          </w:p>
        </w:tc>
        <w:tc>
          <w:tcPr>
            <w:tcW w:w="822" w:type="dxa"/>
            <w:noWrap w:val="0"/>
            <w:vAlign w:val="center"/>
          </w:tcPr>
          <w:p w14:paraId="0EBF5989">
            <w:pPr>
              <w:jc w:val="center"/>
              <w:rPr>
                <w:rFonts w:hint="eastAsia" w:ascii="宋体" w:hAnsi="宋体"/>
              </w:rPr>
            </w:pPr>
            <w:r>
              <w:rPr>
                <w:rFonts w:hint="eastAsia" w:ascii="宋体" w:hAnsi="宋体"/>
              </w:rPr>
              <w:t>5分</w:t>
            </w:r>
          </w:p>
        </w:tc>
        <w:tc>
          <w:tcPr>
            <w:tcW w:w="2616" w:type="dxa"/>
            <w:noWrap w:val="0"/>
            <w:vAlign w:val="center"/>
          </w:tcPr>
          <w:p w14:paraId="17805AC6">
            <w:pPr>
              <w:rPr>
                <w:rFonts w:hint="eastAsia" w:ascii="宋体" w:hAnsi="宋体"/>
              </w:rPr>
            </w:pPr>
            <w:r>
              <w:rPr>
                <w:rFonts w:hint="eastAsia"/>
                <w:bCs/>
                <w:lang w:val="zh-CN"/>
              </w:rPr>
              <w:t>检测</w:t>
            </w:r>
            <w:r>
              <w:rPr>
                <w:rFonts w:hint="eastAsia" w:ascii="宋体" w:hAnsi="宋体" w:cs="宋体"/>
              </w:rPr>
              <w:t>工作量估算准确、计划安排可行得3分，</w:t>
            </w:r>
            <w:r>
              <w:rPr>
                <w:rFonts w:hint="eastAsia"/>
                <w:bCs/>
                <w:lang w:val="zh-CN"/>
              </w:rPr>
              <w:t>检测</w:t>
            </w:r>
            <w:r>
              <w:rPr>
                <w:rFonts w:hint="eastAsia" w:ascii="宋体" w:hAnsi="宋体" w:cs="宋体"/>
              </w:rPr>
              <w:t>工作量估算准确、计划安排合理加分，最高加2分。</w:t>
            </w:r>
          </w:p>
        </w:tc>
      </w:tr>
      <w:tr w14:paraId="7D0688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19" w:hRule="exact"/>
          <w:jc w:val="center"/>
        </w:trPr>
        <w:tc>
          <w:tcPr>
            <w:tcW w:w="1277" w:type="dxa"/>
            <w:vMerge w:val="continue"/>
            <w:noWrap w:val="0"/>
            <w:vAlign w:val="center"/>
          </w:tcPr>
          <w:p w14:paraId="2D38B75C">
            <w:pPr>
              <w:spacing w:line="360" w:lineRule="auto"/>
              <w:jc w:val="center"/>
              <w:rPr>
                <w:rFonts w:hint="eastAsia" w:ascii="宋体" w:hAnsi="宋体"/>
              </w:rPr>
            </w:pPr>
          </w:p>
        </w:tc>
        <w:tc>
          <w:tcPr>
            <w:tcW w:w="1281" w:type="dxa"/>
            <w:gridSpan w:val="2"/>
            <w:vMerge w:val="continue"/>
            <w:noWrap w:val="0"/>
            <w:vAlign w:val="center"/>
          </w:tcPr>
          <w:p w14:paraId="0C39A050">
            <w:pPr>
              <w:spacing w:line="360" w:lineRule="auto"/>
              <w:jc w:val="center"/>
              <w:rPr>
                <w:rFonts w:hint="eastAsia" w:ascii="宋体" w:hAnsi="宋体"/>
              </w:rPr>
            </w:pPr>
          </w:p>
        </w:tc>
        <w:tc>
          <w:tcPr>
            <w:tcW w:w="1134" w:type="dxa"/>
            <w:vMerge w:val="continue"/>
            <w:noWrap w:val="0"/>
            <w:vAlign w:val="center"/>
          </w:tcPr>
          <w:p w14:paraId="638F698A">
            <w:pPr>
              <w:spacing w:line="360" w:lineRule="auto"/>
              <w:jc w:val="center"/>
              <w:rPr>
                <w:rFonts w:hint="eastAsia" w:ascii="宋体" w:hAnsi="宋体"/>
              </w:rPr>
            </w:pPr>
          </w:p>
        </w:tc>
        <w:tc>
          <w:tcPr>
            <w:tcW w:w="2015" w:type="dxa"/>
            <w:noWrap w:val="0"/>
            <w:vAlign w:val="center"/>
          </w:tcPr>
          <w:p w14:paraId="37314ADD">
            <w:pPr>
              <w:jc w:val="center"/>
              <w:rPr>
                <w:rFonts w:hint="eastAsia" w:ascii="宋体" w:hAnsi="宋体"/>
              </w:rPr>
            </w:pPr>
            <w:r>
              <w:rPr>
                <w:rFonts w:hint="eastAsia"/>
                <w:bCs/>
                <w:lang w:val="zh-CN"/>
              </w:rPr>
              <w:t>检测的质量、进度、安全保证措施</w:t>
            </w:r>
          </w:p>
        </w:tc>
        <w:tc>
          <w:tcPr>
            <w:tcW w:w="822" w:type="dxa"/>
            <w:noWrap w:val="0"/>
            <w:vAlign w:val="center"/>
          </w:tcPr>
          <w:p w14:paraId="56252093">
            <w:pPr>
              <w:jc w:val="center"/>
              <w:rPr>
                <w:rFonts w:hint="eastAsia" w:ascii="宋体" w:hAnsi="宋体"/>
              </w:rPr>
            </w:pPr>
            <w:r>
              <w:rPr>
                <w:rFonts w:hint="eastAsia" w:ascii="宋体" w:hAnsi="宋体"/>
              </w:rPr>
              <w:t>5分</w:t>
            </w:r>
          </w:p>
        </w:tc>
        <w:tc>
          <w:tcPr>
            <w:tcW w:w="2616" w:type="dxa"/>
            <w:noWrap w:val="0"/>
            <w:vAlign w:val="center"/>
          </w:tcPr>
          <w:p w14:paraId="2A70892F">
            <w:pPr>
              <w:rPr>
                <w:rFonts w:hint="eastAsia" w:ascii="宋体" w:hAnsi="宋体"/>
              </w:rPr>
            </w:pPr>
            <w:r>
              <w:rPr>
                <w:rFonts w:hint="eastAsia"/>
                <w:bCs/>
                <w:lang w:val="zh-CN"/>
              </w:rPr>
              <w:t>检测</w:t>
            </w:r>
            <w:r>
              <w:rPr>
                <w:rFonts w:hint="eastAsia" w:ascii="宋体" w:hAnsi="宋体" w:cs="宋体"/>
              </w:rPr>
              <w:t>质量、进度、安全保证措施可行得3分，措施可行并能充分保证</w:t>
            </w:r>
            <w:r>
              <w:rPr>
                <w:rFonts w:hint="eastAsia"/>
                <w:bCs/>
                <w:lang w:val="zh-CN"/>
              </w:rPr>
              <w:t>检测</w:t>
            </w:r>
            <w:r>
              <w:rPr>
                <w:rFonts w:hint="eastAsia" w:ascii="宋体" w:hAnsi="宋体" w:cs="宋体"/>
              </w:rPr>
              <w:t>质量、进度及安全的加分，最高加2分。</w:t>
            </w:r>
          </w:p>
        </w:tc>
      </w:tr>
      <w:tr w14:paraId="0DA626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27" w:hRule="atLeast"/>
          <w:jc w:val="center"/>
        </w:trPr>
        <w:tc>
          <w:tcPr>
            <w:tcW w:w="1277" w:type="dxa"/>
            <w:vMerge w:val="continue"/>
            <w:noWrap w:val="0"/>
            <w:vAlign w:val="center"/>
          </w:tcPr>
          <w:p w14:paraId="21B2FCCF">
            <w:pPr>
              <w:spacing w:line="360" w:lineRule="auto"/>
              <w:jc w:val="center"/>
              <w:rPr>
                <w:rFonts w:ascii="宋体" w:hAnsi="宋体"/>
              </w:rPr>
            </w:pPr>
          </w:p>
        </w:tc>
        <w:tc>
          <w:tcPr>
            <w:tcW w:w="1281" w:type="dxa"/>
            <w:gridSpan w:val="2"/>
            <w:vMerge w:val="continue"/>
            <w:noWrap w:val="0"/>
            <w:vAlign w:val="center"/>
          </w:tcPr>
          <w:p w14:paraId="5D6E5169">
            <w:pPr>
              <w:spacing w:line="360" w:lineRule="auto"/>
              <w:jc w:val="center"/>
              <w:rPr>
                <w:rFonts w:ascii="宋体" w:hAnsi="宋体"/>
              </w:rPr>
            </w:pPr>
          </w:p>
        </w:tc>
        <w:tc>
          <w:tcPr>
            <w:tcW w:w="1134" w:type="dxa"/>
            <w:vMerge w:val="continue"/>
            <w:noWrap w:val="0"/>
            <w:vAlign w:val="center"/>
          </w:tcPr>
          <w:p w14:paraId="40F4B90F">
            <w:pPr>
              <w:spacing w:line="360" w:lineRule="auto"/>
              <w:jc w:val="center"/>
              <w:rPr>
                <w:rFonts w:ascii="宋体" w:hAnsi="宋体"/>
              </w:rPr>
            </w:pPr>
          </w:p>
        </w:tc>
        <w:tc>
          <w:tcPr>
            <w:tcW w:w="2015" w:type="dxa"/>
            <w:noWrap w:val="0"/>
            <w:vAlign w:val="center"/>
          </w:tcPr>
          <w:p w14:paraId="2F1EBA23">
            <w:pPr>
              <w:jc w:val="center"/>
              <w:rPr>
                <w:rFonts w:ascii="宋体" w:hAnsi="宋体"/>
              </w:rPr>
            </w:pPr>
            <w:r>
              <w:rPr>
                <w:rFonts w:hint="eastAsia"/>
                <w:bCs/>
                <w:lang w:val="zh-CN"/>
              </w:rPr>
              <w:t>后续服务的安排及保证措施</w:t>
            </w:r>
          </w:p>
        </w:tc>
        <w:tc>
          <w:tcPr>
            <w:tcW w:w="822" w:type="dxa"/>
            <w:noWrap w:val="0"/>
            <w:vAlign w:val="center"/>
          </w:tcPr>
          <w:p w14:paraId="60F1A6DC">
            <w:pPr>
              <w:jc w:val="center"/>
              <w:rPr>
                <w:rFonts w:ascii="宋体" w:hAnsi="宋体"/>
              </w:rPr>
            </w:pPr>
            <w:r>
              <w:rPr>
                <w:rFonts w:hint="eastAsia" w:ascii="宋体" w:hAnsi="宋体"/>
              </w:rPr>
              <w:t>5分</w:t>
            </w:r>
          </w:p>
        </w:tc>
        <w:tc>
          <w:tcPr>
            <w:tcW w:w="2616" w:type="dxa"/>
            <w:noWrap w:val="0"/>
            <w:vAlign w:val="center"/>
          </w:tcPr>
          <w:p w14:paraId="1AA9EC82">
            <w:pPr>
              <w:rPr>
                <w:rFonts w:ascii="宋体" w:hAnsi="宋体"/>
              </w:rPr>
            </w:pPr>
            <w:r>
              <w:rPr>
                <w:rFonts w:hint="eastAsia" w:ascii="宋体" w:hAnsi="宋体" w:cs="宋体"/>
              </w:rPr>
              <w:t>后续服务的安排及保证措施可行得3分，保证措施有力的加分，最高加2分。</w:t>
            </w:r>
          </w:p>
        </w:tc>
      </w:tr>
      <w:tr w14:paraId="731FB6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59" w:hRule="exact"/>
          <w:jc w:val="center"/>
        </w:trPr>
        <w:tc>
          <w:tcPr>
            <w:tcW w:w="1277" w:type="dxa"/>
            <w:noWrap w:val="0"/>
            <w:vAlign w:val="center"/>
          </w:tcPr>
          <w:p w14:paraId="35543C43">
            <w:pPr>
              <w:spacing w:line="360" w:lineRule="auto"/>
              <w:jc w:val="center"/>
              <w:rPr>
                <w:rFonts w:ascii="宋体" w:hAnsi="宋体"/>
              </w:rPr>
            </w:pPr>
            <w:r>
              <w:rPr>
                <w:rFonts w:hint="eastAsia" w:ascii="宋体" w:hAnsi="宋体"/>
              </w:rPr>
              <w:t>2.2.4（2）</w:t>
            </w:r>
          </w:p>
        </w:tc>
        <w:tc>
          <w:tcPr>
            <w:tcW w:w="1281" w:type="dxa"/>
            <w:gridSpan w:val="2"/>
            <w:noWrap w:val="0"/>
            <w:vAlign w:val="center"/>
          </w:tcPr>
          <w:p w14:paraId="3C5DAF83">
            <w:pPr>
              <w:spacing w:line="360" w:lineRule="auto"/>
              <w:jc w:val="center"/>
              <w:rPr>
                <w:rFonts w:ascii="宋体" w:hAnsi="宋体"/>
              </w:rPr>
            </w:pPr>
            <w:r>
              <w:rPr>
                <w:rFonts w:hint="eastAsia" w:ascii="宋体" w:hAnsi="宋体"/>
              </w:rPr>
              <w:t>主要人员</w:t>
            </w:r>
          </w:p>
        </w:tc>
        <w:tc>
          <w:tcPr>
            <w:tcW w:w="1134" w:type="dxa"/>
            <w:noWrap w:val="0"/>
            <w:vAlign w:val="center"/>
          </w:tcPr>
          <w:p w14:paraId="1A79D423">
            <w:pPr>
              <w:spacing w:line="360" w:lineRule="auto"/>
              <w:jc w:val="center"/>
              <w:rPr>
                <w:rFonts w:ascii="宋体" w:hAnsi="宋体"/>
              </w:rPr>
            </w:pPr>
            <w:r>
              <w:rPr>
                <w:rFonts w:hint="eastAsia" w:ascii="宋体" w:hAnsi="宋体"/>
              </w:rPr>
              <w:t xml:space="preserve"> 25 分</w:t>
            </w:r>
          </w:p>
        </w:tc>
        <w:tc>
          <w:tcPr>
            <w:tcW w:w="2015" w:type="dxa"/>
            <w:noWrap w:val="0"/>
            <w:vAlign w:val="center"/>
          </w:tcPr>
          <w:p w14:paraId="0A0D54BC">
            <w:pPr>
              <w:spacing w:line="360" w:lineRule="auto"/>
              <w:ind w:right="113"/>
              <w:jc w:val="center"/>
              <w:rPr>
                <w:rFonts w:hint="eastAsia" w:ascii="宋体" w:hAnsi="宋体" w:cs="宋体"/>
              </w:rPr>
            </w:pPr>
          </w:p>
          <w:p w14:paraId="2994C47F">
            <w:pPr>
              <w:spacing w:line="360" w:lineRule="auto"/>
              <w:ind w:right="113"/>
              <w:jc w:val="center"/>
              <w:rPr>
                <w:rFonts w:ascii="宋体" w:hAnsi="宋体"/>
              </w:rPr>
            </w:pPr>
            <w:r>
              <w:rPr>
                <w:rFonts w:hint="eastAsia" w:ascii="宋体" w:hAnsi="宋体"/>
              </w:rPr>
              <w:t>中心试验室主任的任职资格与业绩</w:t>
            </w:r>
          </w:p>
        </w:tc>
        <w:tc>
          <w:tcPr>
            <w:tcW w:w="822" w:type="dxa"/>
            <w:noWrap w:val="0"/>
            <w:vAlign w:val="center"/>
          </w:tcPr>
          <w:p w14:paraId="2F563E76">
            <w:pPr>
              <w:spacing w:line="360" w:lineRule="auto"/>
              <w:jc w:val="center"/>
              <w:rPr>
                <w:rFonts w:ascii="宋体" w:hAnsi="宋体"/>
              </w:rPr>
            </w:pPr>
            <w:r>
              <w:rPr>
                <w:rFonts w:hint="eastAsia" w:ascii="宋体" w:hAnsi="宋体"/>
              </w:rPr>
              <w:t>25分</w:t>
            </w:r>
          </w:p>
        </w:tc>
        <w:tc>
          <w:tcPr>
            <w:tcW w:w="2616" w:type="dxa"/>
            <w:noWrap w:val="0"/>
            <w:vAlign w:val="center"/>
          </w:tcPr>
          <w:p w14:paraId="3EBEE465">
            <w:pPr>
              <w:spacing w:line="360" w:lineRule="auto"/>
              <w:rPr>
                <w:rFonts w:hint="eastAsia" w:ascii="宋体" w:hAnsi="宋体" w:cs="宋体"/>
              </w:rPr>
            </w:pPr>
            <w:r>
              <w:rPr>
                <w:rFonts w:hint="eastAsia" w:ascii="宋体" w:hAnsi="宋体" w:cs="宋体"/>
              </w:rPr>
              <w:t>满足资格审查条件得15分，担任过1项二级或二级以上公路的中心试验室主任或试验检测负责人加5分，最多加10分</w:t>
            </w:r>
          </w:p>
          <w:p w14:paraId="15F9A640">
            <w:pPr>
              <w:rPr>
                <w:rFonts w:hint="eastAsia" w:ascii="楷体" w:hAnsi="楷体" w:eastAsia="楷体" w:cs="楷体"/>
                <w:sz w:val="18"/>
                <w:szCs w:val="18"/>
              </w:rPr>
            </w:pPr>
            <w:r>
              <w:rPr>
                <w:rFonts w:hint="eastAsia" w:ascii="楷体" w:hAnsi="楷体" w:eastAsia="楷体" w:cs="楷体"/>
                <w:sz w:val="18"/>
                <w:szCs w:val="18"/>
              </w:rPr>
              <w:t>注：（1）中心试验室主任或试验检测负责人个人业绩需按招标文件要求提供相关业绩证明材料，否则该业绩不予认定。</w:t>
            </w:r>
          </w:p>
          <w:p w14:paraId="59B2EA70">
            <w:pPr>
              <w:rPr>
                <w:rFonts w:hint="eastAsia" w:ascii="宋体" w:hAnsi="宋体"/>
              </w:rPr>
            </w:pPr>
            <w:r>
              <w:rPr>
                <w:rFonts w:hint="eastAsia" w:ascii="楷体" w:hAnsi="楷体" w:eastAsia="楷体" w:cs="楷体"/>
                <w:sz w:val="18"/>
                <w:szCs w:val="18"/>
              </w:rPr>
              <w:t>(2)个人业绩应为国内二级或二级以上公路新建、改建、扩建或养护工程业绩。</w:t>
            </w:r>
          </w:p>
        </w:tc>
      </w:tr>
      <w:tr w14:paraId="024707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41" w:hRule="exact"/>
          <w:jc w:val="center"/>
        </w:trPr>
        <w:tc>
          <w:tcPr>
            <w:tcW w:w="1277" w:type="dxa"/>
            <w:noWrap w:val="0"/>
            <w:vAlign w:val="center"/>
          </w:tcPr>
          <w:p w14:paraId="2AA082D7">
            <w:pPr>
              <w:spacing w:line="360" w:lineRule="auto"/>
              <w:jc w:val="center"/>
              <w:rPr>
                <w:rFonts w:ascii="宋体" w:hAnsi="宋体"/>
              </w:rPr>
            </w:pPr>
            <w:r>
              <w:rPr>
                <w:rFonts w:hint="eastAsia" w:ascii="宋体" w:hAnsi="宋体"/>
              </w:rPr>
              <w:t>2.2.4（3）</w:t>
            </w:r>
          </w:p>
        </w:tc>
        <w:tc>
          <w:tcPr>
            <w:tcW w:w="1281" w:type="dxa"/>
            <w:gridSpan w:val="2"/>
            <w:noWrap w:val="0"/>
            <w:vAlign w:val="center"/>
          </w:tcPr>
          <w:p w14:paraId="07D5521D">
            <w:pPr>
              <w:spacing w:line="360" w:lineRule="auto"/>
              <w:jc w:val="center"/>
              <w:rPr>
                <w:rFonts w:ascii="宋体" w:hAnsi="宋体"/>
              </w:rPr>
            </w:pPr>
            <w:r>
              <w:rPr>
                <w:rFonts w:hint="eastAsia" w:ascii="宋体" w:hAnsi="宋体"/>
              </w:rPr>
              <w:t>评标价</w:t>
            </w:r>
          </w:p>
        </w:tc>
        <w:tc>
          <w:tcPr>
            <w:tcW w:w="1134" w:type="dxa"/>
            <w:noWrap w:val="0"/>
            <w:vAlign w:val="center"/>
          </w:tcPr>
          <w:p w14:paraId="65C803EF">
            <w:pPr>
              <w:spacing w:line="360" w:lineRule="auto"/>
              <w:jc w:val="center"/>
              <w:rPr>
                <w:rFonts w:ascii="宋体" w:hAnsi="宋体"/>
              </w:rPr>
            </w:pPr>
            <w:r>
              <w:rPr>
                <w:rFonts w:hint="eastAsia" w:ascii="宋体" w:hAnsi="宋体"/>
              </w:rPr>
              <w:t xml:space="preserve"> 10 分</w:t>
            </w:r>
          </w:p>
        </w:tc>
        <w:tc>
          <w:tcPr>
            <w:tcW w:w="5453" w:type="dxa"/>
            <w:gridSpan w:val="3"/>
            <w:noWrap w:val="0"/>
            <w:vAlign w:val="center"/>
          </w:tcPr>
          <w:p w14:paraId="06172D1D">
            <w:pPr>
              <w:spacing w:line="360" w:lineRule="auto"/>
              <w:rPr>
                <w:rFonts w:hint="eastAsia" w:ascii="宋体" w:hAnsi="宋体"/>
              </w:rPr>
            </w:pPr>
            <w:r>
              <w:rPr>
                <w:rFonts w:hint="eastAsia" w:ascii="宋体" w:hAnsi="宋体"/>
              </w:rPr>
              <w:t>评标价得分计算：</w:t>
            </w:r>
          </w:p>
          <w:p w14:paraId="6AC36ED6">
            <w:pPr>
              <w:spacing w:line="360" w:lineRule="auto"/>
              <w:rPr>
                <w:rFonts w:hint="eastAsia" w:ascii="宋体" w:hAnsi="宋体"/>
              </w:rPr>
            </w:pPr>
            <w:r>
              <w:rPr>
                <w:rFonts w:hint="eastAsia" w:ascii="宋体" w:hAnsi="宋体"/>
              </w:rPr>
              <w:t>（1）如果投标人的评标价＞评标基准价，则评标价得分=10-偏差率的绝对值×100×0.2；</w:t>
            </w:r>
          </w:p>
          <w:p w14:paraId="6F5182CD">
            <w:pPr>
              <w:spacing w:line="360" w:lineRule="auto"/>
              <w:rPr>
                <w:rFonts w:hint="eastAsia" w:ascii="宋体" w:hAnsi="宋体"/>
              </w:rPr>
            </w:pPr>
            <w:r>
              <w:rPr>
                <w:rFonts w:hint="eastAsia" w:ascii="宋体" w:hAnsi="宋体"/>
              </w:rPr>
              <w:t>（2）如果投标人的评标价≤评标基准价，则评标价得分=10-偏差率的绝对值×100×0.1。</w:t>
            </w:r>
          </w:p>
          <w:p w14:paraId="125838DF">
            <w:pPr>
              <w:spacing w:line="360" w:lineRule="auto"/>
              <w:rPr>
                <w:rFonts w:ascii="宋体" w:hAnsi="宋体"/>
              </w:rPr>
            </w:pPr>
            <w:r>
              <w:rPr>
                <w:rFonts w:hint="eastAsia" w:ascii="宋体" w:hAnsi="宋体"/>
              </w:rPr>
              <w:t>评标价得分最低扣至0分。</w:t>
            </w:r>
          </w:p>
        </w:tc>
      </w:tr>
      <w:tr w14:paraId="003998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84" w:hRule="atLeast"/>
          <w:jc w:val="center"/>
        </w:trPr>
        <w:tc>
          <w:tcPr>
            <w:tcW w:w="1277" w:type="dxa"/>
            <w:vMerge w:val="restart"/>
            <w:noWrap w:val="0"/>
            <w:vAlign w:val="center"/>
          </w:tcPr>
          <w:p w14:paraId="6FDEA2B6">
            <w:pPr>
              <w:spacing w:line="360" w:lineRule="auto"/>
              <w:jc w:val="center"/>
              <w:rPr>
                <w:rFonts w:ascii="宋体" w:hAnsi="宋体"/>
              </w:rPr>
            </w:pPr>
            <w:r>
              <w:rPr>
                <w:rFonts w:hint="eastAsia" w:ascii="宋体" w:hAnsi="宋体"/>
              </w:rPr>
              <w:t>2.2.4（4）</w:t>
            </w:r>
          </w:p>
        </w:tc>
        <w:tc>
          <w:tcPr>
            <w:tcW w:w="368" w:type="dxa"/>
            <w:vMerge w:val="restart"/>
            <w:noWrap w:val="0"/>
            <w:vAlign w:val="center"/>
          </w:tcPr>
          <w:p w14:paraId="456247FB">
            <w:pPr>
              <w:spacing w:line="360" w:lineRule="auto"/>
              <w:jc w:val="center"/>
              <w:rPr>
                <w:rFonts w:ascii="宋体" w:hAnsi="宋体"/>
              </w:rPr>
            </w:pPr>
            <w:r>
              <w:rPr>
                <w:rFonts w:hint="eastAsia" w:ascii="宋体" w:hAnsi="宋体"/>
              </w:rPr>
              <w:t>其他因素</w:t>
            </w:r>
          </w:p>
        </w:tc>
        <w:tc>
          <w:tcPr>
            <w:tcW w:w="913" w:type="dxa"/>
            <w:noWrap w:val="0"/>
            <w:vAlign w:val="center"/>
          </w:tcPr>
          <w:p w14:paraId="7C0EC351">
            <w:pPr>
              <w:spacing w:line="360" w:lineRule="auto"/>
              <w:jc w:val="center"/>
              <w:rPr>
                <w:rFonts w:ascii="宋体" w:hAnsi="宋体"/>
              </w:rPr>
            </w:pPr>
            <w:r>
              <w:rPr>
                <w:rFonts w:hint="eastAsia" w:ascii="宋体" w:hAnsi="宋体"/>
              </w:rPr>
              <w:t>业绩</w:t>
            </w:r>
          </w:p>
        </w:tc>
        <w:tc>
          <w:tcPr>
            <w:tcW w:w="1134" w:type="dxa"/>
            <w:noWrap w:val="0"/>
            <w:vAlign w:val="center"/>
          </w:tcPr>
          <w:p w14:paraId="77CD7537">
            <w:pPr>
              <w:spacing w:line="360" w:lineRule="auto"/>
              <w:jc w:val="center"/>
              <w:rPr>
                <w:rFonts w:ascii="宋体" w:hAnsi="宋体"/>
              </w:rPr>
            </w:pPr>
            <w:r>
              <w:rPr>
                <w:rFonts w:hint="eastAsia" w:ascii="宋体" w:hAnsi="宋体"/>
              </w:rPr>
              <w:t xml:space="preserve"> 20 分</w:t>
            </w:r>
          </w:p>
        </w:tc>
        <w:tc>
          <w:tcPr>
            <w:tcW w:w="2015" w:type="dxa"/>
            <w:noWrap w:val="0"/>
            <w:vAlign w:val="center"/>
          </w:tcPr>
          <w:p w14:paraId="53495893">
            <w:pPr>
              <w:spacing w:line="360" w:lineRule="auto"/>
              <w:ind w:right="113"/>
              <w:rPr>
                <w:rFonts w:hint="eastAsia" w:ascii="宋体" w:hAnsi="宋体" w:cs="宋体"/>
              </w:rPr>
            </w:pPr>
          </w:p>
          <w:p w14:paraId="37DC71A7">
            <w:pPr>
              <w:spacing w:line="360" w:lineRule="auto"/>
              <w:ind w:left="113" w:right="113"/>
              <w:jc w:val="center"/>
              <w:rPr>
                <w:rFonts w:ascii="宋体" w:hAnsi="宋体"/>
                <w:spacing w:val="9"/>
              </w:rPr>
            </w:pPr>
            <w:r>
              <w:rPr>
                <w:rFonts w:hint="eastAsia" w:ascii="宋体" w:hAnsi="宋体"/>
                <w:spacing w:val="9"/>
              </w:rPr>
              <w:t>企业业绩</w:t>
            </w:r>
          </w:p>
        </w:tc>
        <w:tc>
          <w:tcPr>
            <w:tcW w:w="822" w:type="dxa"/>
            <w:noWrap w:val="0"/>
            <w:vAlign w:val="center"/>
          </w:tcPr>
          <w:p w14:paraId="09B81C1D">
            <w:pPr>
              <w:spacing w:line="360" w:lineRule="auto"/>
              <w:jc w:val="center"/>
              <w:rPr>
                <w:rFonts w:ascii="宋体" w:hAnsi="宋体"/>
              </w:rPr>
            </w:pPr>
            <w:r>
              <w:rPr>
                <w:rFonts w:hint="eastAsia" w:ascii="宋体" w:hAnsi="宋体"/>
              </w:rPr>
              <w:t>20分</w:t>
            </w:r>
          </w:p>
        </w:tc>
        <w:tc>
          <w:tcPr>
            <w:tcW w:w="2616" w:type="dxa"/>
            <w:noWrap w:val="0"/>
            <w:vAlign w:val="center"/>
          </w:tcPr>
          <w:p w14:paraId="6740AD06">
            <w:pPr>
              <w:rPr>
                <w:rFonts w:hint="eastAsia" w:ascii="宋体" w:hAnsi="宋体" w:cs="宋体"/>
              </w:rPr>
            </w:pPr>
            <w:r>
              <w:rPr>
                <w:rFonts w:hint="eastAsia" w:ascii="宋体" w:hAnsi="宋体" w:cs="宋体"/>
              </w:rPr>
              <w:t>投标人通过形式评审与响应性评审、资格评审得12分，</w:t>
            </w:r>
          </w:p>
          <w:p w14:paraId="74654F5E">
            <w:pPr>
              <w:spacing w:before="48" w:beforeLines="20" w:after="48" w:afterLines="20"/>
              <w:rPr>
                <w:rFonts w:hint="eastAsia" w:ascii="宋体" w:hAnsi="宋体"/>
              </w:rPr>
            </w:pPr>
            <w:r>
              <w:rPr>
                <w:rFonts w:hint="eastAsia" w:ascii="宋体" w:hAnsi="宋体"/>
              </w:rPr>
              <w:t>投标人累计完成的二级或二级以上等级</w:t>
            </w:r>
            <w:r>
              <w:rPr>
                <w:rFonts w:hint="eastAsia" w:ascii="宋体" w:hAnsi="宋体" w:cs="宋体"/>
              </w:rPr>
              <w:t>公路中心试验室或试验检测业绩</w:t>
            </w:r>
            <w:r>
              <w:rPr>
                <w:rFonts w:hint="eastAsia" w:ascii="宋体" w:hAnsi="宋体"/>
              </w:rPr>
              <w:t>（高速公路、一级公路全幅按2倍长度计算，半幅按1倍长度计算）：</w:t>
            </w:r>
          </w:p>
          <w:p w14:paraId="27076378">
            <w:pPr>
              <w:spacing w:before="48" w:beforeLines="20" w:after="48" w:afterLines="20"/>
              <w:rPr>
                <w:rFonts w:ascii="宋体" w:hAnsi="宋体"/>
              </w:rPr>
            </w:pPr>
            <w:r>
              <w:rPr>
                <w:rFonts w:hint="eastAsia" w:ascii="宋体" w:hAnsi="宋体"/>
              </w:rPr>
              <w:t>累计在0公里至</w:t>
            </w:r>
            <w:r>
              <w:rPr>
                <w:rFonts w:hint="eastAsia" w:ascii="宋体" w:hAnsi="宋体"/>
                <w:lang w:val="en-US" w:eastAsia="zh-CN"/>
              </w:rPr>
              <w:t>35</w:t>
            </w:r>
            <w:r>
              <w:rPr>
                <w:rFonts w:hint="eastAsia" w:ascii="宋体" w:hAnsi="宋体"/>
              </w:rPr>
              <w:t>公里之间，得分在12分至20分间直线内插计算（得分四舍五入保留两位小数）；</w:t>
            </w:r>
            <w:bookmarkStart w:id="33" w:name="_GoBack"/>
            <w:bookmarkEnd w:id="33"/>
          </w:p>
          <w:p w14:paraId="2D6793E9">
            <w:pPr>
              <w:rPr>
                <w:rFonts w:hint="eastAsia" w:ascii="宋体" w:hAnsi="宋体" w:cs="宋体"/>
              </w:rPr>
            </w:pPr>
            <w:r>
              <w:rPr>
                <w:rFonts w:hint="eastAsia" w:ascii="宋体" w:hAnsi="宋体"/>
              </w:rPr>
              <w:t>累计</w:t>
            </w:r>
            <w:r>
              <w:rPr>
                <w:rFonts w:hint="eastAsia" w:ascii="宋体" w:hAnsi="宋体"/>
                <w:lang w:val="en-US" w:eastAsia="zh-CN"/>
              </w:rPr>
              <w:t>35</w:t>
            </w:r>
            <w:r>
              <w:rPr>
                <w:rFonts w:hint="eastAsia" w:ascii="宋体" w:hAnsi="宋体"/>
              </w:rPr>
              <w:t>公里及以上，得20分。</w:t>
            </w:r>
          </w:p>
          <w:p w14:paraId="05A6DE47">
            <w:pPr>
              <w:rPr>
                <w:rFonts w:hint="eastAsia" w:ascii="楷体" w:hAnsi="楷体" w:eastAsia="楷体" w:cs="楷体"/>
                <w:sz w:val="18"/>
                <w:szCs w:val="18"/>
              </w:rPr>
            </w:pPr>
            <w:r>
              <w:rPr>
                <w:rFonts w:hint="eastAsia" w:ascii="楷体" w:hAnsi="楷体" w:eastAsia="楷体" w:cs="楷体"/>
                <w:sz w:val="18"/>
                <w:szCs w:val="18"/>
              </w:rPr>
              <w:t>注：1.企业业绩应为国内二级或二级以上公路新建、改建、扩建或养护工程业绩。</w:t>
            </w:r>
          </w:p>
          <w:p w14:paraId="7E1B049F">
            <w:pPr>
              <w:rPr>
                <w:rFonts w:hint="eastAsia" w:ascii="宋体" w:hAnsi="宋体" w:eastAsia="宋体" w:cs="宋体"/>
                <w:sz w:val="20"/>
                <w:szCs w:val="20"/>
              </w:rPr>
            </w:pPr>
            <w:r>
              <w:rPr>
                <w:rFonts w:hint="eastAsia" w:ascii="楷体" w:hAnsi="楷体" w:eastAsia="楷体" w:cs="楷体"/>
                <w:sz w:val="18"/>
                <w:szCs w:val="18"/>
              </w:rPr>
              <w:t>2.业绩应为2020年1月1日至今（两阶段验收工程以交工时间为准，一阶段验收工程以交工或竣工时间为准。）</w:t>
            </w:r>
          </w:p>
        </w:tc>
      </w:tr>
      <w:tr w14:paraId="3C92C9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29" w:hRule="exact"/>
          <w:jc w:val="center"/>
        </w:trPr>
        <w:tc>
          <w:tcPr>
            <w:tcW w:w="1277" w:type="dxa"/>
            <w:vMerge w:val="continue"/>
            <w:noWrap w:val="0"/>
            <w:vAlign w:val="center"/>
          </w:tcPr>
          <w:p w14:paraId="4D4BBC66">
            <w:pPr>
              <w:spacing w:line="360" w:lineRule="auto"/>
              <w:jc w:val="center"/>
              <w:rPr>
                <w:rFonts w:ascii="宋体" w:hAnsi="宋体"/>
              </w:rPr>
            </w:pPr>
          </w:p>
        </w:tc>
        <w:tc>
          <w:tcPr>
            <w:tcW w:w="368" w:type="dxa"/>
            <w:vMerge w:val="continue"/>
            <w:noWrap w:val="0"/>
            <w:vAlign w:val="center"/>
          </w:tcPr>
          <w:p w14:paraId="4711C181">
            <w:pPr>
              <w:spacing w:line="360" w:lineRule="auto"/>
              <w:jc w:val="center"/>
              <w:rPr>
                <w:rFonts w:ascii="宋体" w:hAnsi="宋体"/>
              </w:rPr>
            </w:pPr>
          </w:p>
        </w:tc>
        <w:tc>
          <w:tcPr>
            <w:tcW w:w="913" w:type="dxa"/>
            <w:vMerge w:val="restart"/>
            <w:noWrap w:val="0"/>
            <w:vAlign w:val="center"/>
          </w:tcPr>
          <w:p w14:paraId="5E6E0070">
            <w:pPr>
              <w:spacing w:line="360" w:lineRule="auto"/>
              <w:jc w:val="center"/>
              <w:rPr>
                <w:rFonts w:ascii="宋体" w:hAnsi="宋体"/>
              </w:rPr>
            </w:pPr>
            <w:r>
              <w:rPr>
                <w:rFonts w:hint="eastAsia" w:ascii="宋体" w:hAnsi="宋体"/>
              </w:rPr>
              <w:t>履约</w:t>
            </w:r>
          </w:p>
          <w:p w14:paraId="714072BC">
            <w:pPr>
              <w:spacing w:line="360" w:lineRule="auto"/>
              <w:jc w:val="center"/>
              <w:rPr>
                <w:rFonts w:ascii="宋体" w:hAnsi="宋体"/>
              </w:rPr>
            </w:pPr>
            <w:r>
              <w:rPr>
                <w:rFonts w:hint="eastAsia" w:ascii="宋体" w:hAnsi="宋体"/>
              </w:rPr>
              <w:t>信誉</w:t>
            </w:r>
          </w:p>
        </w:tc>
        <w:tc>
          <w:tcPr>
            <w:tcW w:w="1134" w:type="dxa"/>
            <w:vMerge w:val="restart"/>
            <w:noWrap w:val="0"/>
            <w:vAlign w:val="center"/>
          </w:tcPr>
          <w:p w14:paraId="0DECFD86">
            <w:pPr>
              <w:spacing w:line="360" w:lineRule="auto"/>
              <w:jc w:val="center"/>
              <w:rPr>
                <w:rFonts w:ascii="宋体" w:hAnsi="宋体"/>
              </w:rPr>
            </w:pPr>
            <w:r>
              <w:rPr>
                <w:rFonts w:hint="eastAsia" w:ascii="宋体" w:hAnsi="宋体"/>
              </w:rPr>
              <w:t xml:space="preserve"> 10 分</w:t>
            </w:r>
          </w:p>
        </w:tc>
        <w:tc>
          <w:tcPr>
            <w:tcW w:w="2015" w:type="dxa"/>
            <w:vMerge w:val="restart"/>
            <w:noWrap w:val="0"/>
            <w:vAlign w:val="center"/>
          </w:tcPr>
          <w:p w14:paraId="2ED0B8A1">
            <w:pPr>
              <w:spacing w:line="360" w:lineRule="auto"/>
              <w:ind w:left="113" w:right="113" w:firstLine="420" w:firstLineChars="200"/>
              <w:rPr>
                <w:rFonts w:ascii="宋体" w:hAnsi="宋体"/>
              </w:rPr>
            </w:pPr>
            <w:r>
              <w:rPr>
                <w:rFonts w:hint="eastAsia" w:ascii="宋体" w:hAnsi="宋体"/>
              </w:rPr>
              <w:t>信  誉</w:t>
            </w:r>
          </w:p>
        </w:tc>
        <w:tc>
          <w:tcPr>
            <w:tcW w:w="822" w:type="dxa"/>
            <w:tcBorders>
              <w:bottom w:val="single" w:color="auto" w:sz="4" w:space="0"/>
            </w:tcBorders>
            <w:noWrap w:val="0"/>
            <w:vAlign w:val="center"/>
          </w:tcPr>
          <w:p w14:paraId="6BACA178">
            <w:pPr>
              <w:spacing w:line="360" w:lineRule="auto"/>
              <w:jc w:val="center"/>
              <w:rPr>
                <w:rFonts w:ascii="宋体" w:hAnsi="宋体"/>
              </w:rPr>
            </w:pPr>
            <w:r>
              <w:rPr>
                <w:rFonts w:hint="eastAsia" w:ascii="宋体" w:hAnsi="宋体"/>
              </w:rPr>
              <w:t>10分</w:t>
            </w:r>
          </w:p>
        </w:tc>
        <w:tc>
          <w:tcPr>
            <w:tcW w:w="2616" w:type="dxa"/>
            <w:tcBorders>
              <w:bottom w:val="single" w:color="auto" w:sz="4" w:space="0"/>
            </w:tcBorders>
            <w:noWrap w:val="0"/>
            <w:vAlign w:val="center"/>
          </w:tcPr>
          <w:p w14:paraId="1C8E9CEB">
            <w:pPr>
              <w:spacing w:line="360" w:lineRule="auto"/>
              <w:rPr>
                <w:rFonts w:ascii="宋体" w:hAnsi="宋体"/>
              </w:rPr>
            </w:pPr>
            <w:r>
              <w:rPr>
                <w:rFonts w:hint="eastAsia" w:ascii="宋体" w:hAnsi="宋体"/>
              </w:rPr>
              <w:t>信用评价AA级</w:t>
            </w:r>
          </w:p>
        </w:tc>
      </w:tr>
      <w:tr w14:paraId="6FC4E7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29" w:hRule="exact"/>
          <w:jc w:val="center"/>
        </w:trPr>
        <w:tc>
          <w:tcPr>
            <w:tcW w:w="1277" w:type="dxa"/>
            <w:vMerge w:val="continue"/>
            <w:noWrap w:val="0"/>
            <w:vAlign w:val="center"/>
          </w:tcPr>
          <w:p w14:paraId="0CE90975">
            <w:pPr>
              <w:spacing w:line="360" w:lineRule="auto"/>
              <w:jc w:val="center"/>
              <w:rPr>
                <w:rFonts w:ascii="宋体" w:hAnsi="宋体"/>
              </w:rPr>
            </w:pPr>
          </w:p>
        </w:tc>
        <w:tc>
          <w:tcPr>
            <w:tcW w:w="368" w:type="dxa"/>
            <w:vMerge w:val="continue"/>
            <w:noWrap w:val="0"/>
            <w:vAlign w:val="center"/>
          </w:tcPr>
          <w:p w14:paraId="1EB03D7F">
            <w:pPr>
              <w:spacing w:line="360" w:lineRule="auto"/>
              <w:jc w:val="center"/>
              <w:rPr>
                <w:rFonts w:ascii="宋体" w:hAnsi="宋体"/>
              </w:rPr>
            </w:pPr>
          </w:p>
        </w:tc>
        <w:tc>
          <w:tcPr>
            <w:tcW w:w="913" w:type="dxa"/>
            <w:vMerge w:val="continue"/>
            <w:noWrap w:val="0"/>
            <w:vAlign w:val="center"/>
          </w:tcPr>
          <w:p w14:paraId="669F9AE3">
            <w:pPr>
              <w:spacing w:line="360" w:lineRule="auto"/>
              <w:jc w:val="center"/>
              <w:rPr>
                <w:rFonts w:hint="eastAsia" w:ascii="宋体" w:hAnsi="宋体"/>
              </w:rPr>
            </w:pPr>
          </w:p>
        </w:tc>
        <w:tc>
          <w:tcPr>
            <w:tcW w:w="1134" w:type="dxa"/>
            <w:vMerge w:val="continue"/>
            <w:noWrap w:val="0"/>
            <w:vAlign w:val="center"/>
          </w:tcPr>
          <w:p w14:paraId="4C64C628">
            <w:pPr>
              <w:spacing w:line="360" w:lineRule="auto"/>
              <w:jc w:val="center"/>
              <w:rPr>
                <w:rFonts w:hint="eastAsia" w:ascii="宋体" w:hAnsi="宋体"/>
              </w:rPr>
            </w:pPr>
          </w:p>
        </w:tc>
        <w:tc>
          <w:tcPr>
            <w:tcW w:w="2015" w:type="dxa"/>
            <w:vMerge w:val="continue"/>
            <w:noWrap w:val="0"/>
            <w:vAlign w:val="center"/>
          </w:tcPr>
          <w:p w14:paraId="29652E52">
            <w:pPr>
              <w:spacing w:line="360" w:lineRule="auto"/>
              <w:ind w:left="113" w:right="113" w:firstLine="210" w:firstLineChars="100"/>
              <w:jc w:val="center"/>
              <w:rPr>
                <w:rFonts w:hint="eastAsia" w:ascii="宋体" w:hAnsi="宋体"/>
              </w:rPr>
            </w:pPr>
          </w:p>
        </w:tc>
        <w:tc>
          <w:tcPr>
            <w:tcW w:w="822" w:type="dxa"/>
            <w:tcBorders>
              <w:bottom w:val="single" w:color="auto" w:sz="4" w:space="0"/>
            </w:tcBorders>
            <w:noWrap w:val="0"/>
            <w:vAlign w:val="center"/>
          </w:tcPr>
          <w:p w14:paraId="0159547B">
            <w:pPr>
              <w:spacing w:line="360" w:lineRule="auto"/>
              <w:jc w:val="center"/>
              <w:rPr>
                <w:rFonts w:hint="eastAsia" w:ascii="宋体" w:hAnsi="宋体"/>
              </w:rPr>
            </w:pPr>
            <w:r>
              <w:rPr>
                <w:rFonts w:hint="eastAsia" w:ascii="宋体" w:hAnsi="宋体"/>
              </w:rPr>
              <w:t>8分</w:t>
            </w:r>
          </w:p>
        </w:tc>
        <w:tc>
          <w:tcPr>
            <w:tcW w:w="2616" w:type="dxa"/>
            <w:tcBorders>
              <w:bottom w:val="single" w:color="auto" w:sz="4" w:space="0"/>
            </w:tcBorders>
            <w:noWrap w:val="0"/>
            <w:vAlign w:val="center"/>
          </w:tcPr>
          <w:p w14:paraId="7EF9053C">
            <w:pPr>
              <w:spacing w:line="360" w:lineRule="auto"/>
              <w:rPr>
                <w:rFonts w:hint="eastAsia" w:ascii="宋体" w:hAnsi="宋体"/>
              </w:rPr>
            </w:pPr>
            <w:r>
              <w:rPr>
                <w:rFonts w:hint="eastAsia" w:ascii="宋体" w:hAnsi="宋体"/>
              </w:rPr>
              <w:t>信用评价A级</w:t>
            </w:r>
          </w:p>
        </w:tc>
      </w:tr>
      <w:tr w14:paraId="2BF002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2" w:hRule="exact"/>
          <w:jc w:val="center"/>
        </w:trPr>
        <w:tc>
          <w:tcPr>
            <w:tcW w:w="1277" w:type="dxa"/>
            <w:vMerge w:val="continue"/>
            <w:noWrap w:val="0"/>
            <w:vAlign w:val="center"/>
          </w:tcPr>
          <w:p w14:paraId="4280216F">
            <w:pPr>
              <w:spacing w:line="360" w:lineRule="auto"/>
              <w:jc w:val="center"/>
              <w:rPr>
                <w:rFonts w:ascii="宋体" w:hAnsi="宋体"/>
              </w:rPr>
            </w:pPr>
          </w:p>
        </w:tc>
        <w:tc>
          <w:tcPr>
            <w:tcW w:w="368" w:type="dxa"/>
            <w:vMerge w:val="continue"/>
            <w:noWrap w:val="0"/>
            <w:vAlign w:val="center"/>
          </w:tcPr>
          <w:p w14:paraId="3CBE1382">
            <w:pPr>
              <w:spacing w:line="360" w:lineRule="auto"/>
              <w:jc w:val="center"/>
              <w:rPr>
                <w:rFonts w:ascii="宋体" w:hAnsi="宋体"/>
              </w:rPr>
            </w:pPr>
          </w:p>
        </w:tc>
        <w:tc>
          <w:tcPr>
            <w:tcW w:w="913" w:type="dxa"/>
            <w:vMerge w:val="continue"/>
            <w:noWrap w:val="0"/>
            <w:vAlign w:val="center"/>
          </w:tcPr>
          <w:p w14:paraId="0681CF9F">
            <w:pPr>
              <w:spacing w:line="360" w:lineRule="auto"/>
              <w:jc w:val="center"/>
              <w:rPr>
                <w:rFonts w:ascii="宋体" w:hAnsi="宋体"/>
              </w:rPr>
            </w:pPr>
          </w:p>
        </w:tc>
        <w:tc>
          <w:tcPr>
            <w:tcW w:w="1134" w:type="dxa"/>
            <w:vMerge w:val="continue"/>
            <w:noWrap w:val="0"/>
            <w:vAlign w:val="center"/>
          </w:tcPr>
          <w:p w14:paraId="3F9B3E7E">
            <w:pPr>
              <w:spacing w:line="360" w:lineRule="auto"/>
              <w:jc w:val="center"/>
              <w:rPr>
                <w:rFonts w:ascii="宋体" w:hAnsi="宋体"/>
              </w:rPr>
            </w:pPr>
          </w:p>
        </w:tc>
        <w:tc>
          <w:tcPr>
            <w:tcW w:w="2015" w:type="dxa"/>
            <w:vMerge w:val="continue"/>
            <w:noWrap w:val="0"/>
            <w:vAlign w:val="center"/>
          </w:tcPr>
          <w:p w14:paraId="583BFE7F">
            <w:pPr>
              <w:spacing w:line="360" w:lineRule="auto"/>
              <w:ind w:left="113" w:right="113" w:firstLine="210" w:firstLineChars="100"/>
              <w:rPr>
                <w:rFonts w:ascii="宋体" w:hAnsi="宋体"/>
              </w:rPr>
            </w:pPr>
          </w:p>
        </w:tc>
        <w:tc>
          <w:tcPr>
            <w:tcW w:w="822" w:type="dxa"/>
            <w:tcBorders>
              <w:top w:val="single" w:color="auto" w:sz="4" w:space="0"/>
              <w:bottom w:val="single" w:color="auto" w:sz="4" w:space="0"/>
            </w:tcBorders>
            <w:noWrap w:val="0"/>
            <w:vAlign w:val="center"/>
          </w:tcPr>
          <w:p w14:paraId="55FF3F02">
            <w:pPr>
              <w:spacing w:before="48" w:beforeLines="20" w:after="48" w:afterLines="20" w:line="360" w:lineRule="auto"/>
              <w:jc w:val="center"/>
              <w:rPr>
                <w:rFonts w:ascii="宋体" w:hAnsi="宋体"/>
                <w:szCs w:val="22"/>
              </w:rPr>
            </w:pPr>
            <w:r>
              <w:rPr>
                <w:rFonts w:hint="eastAsia" w:ascii="宋体" w:hAnsi="宋体" w:eastAsia="宋体"/>
                <w:szCs w:val="22"/>
              </w:rPr>
              <w:t>6分</w:t>
            </w:r>
          </w:p>
        </w:tc>
        <w:tc>
          <w:tcPr>
            <w:tcW w:w="2616" w:type="dxa"/>
            <w:tcBorders>
              <w:top w:val="single" w:color="auto" w:sz="4" w:space="0"/>
              <w:bottom w:val="single" w:color="auto" w:sz="4" w:space="0"/>
            </w:tcBorders>
            <w:noWrap w:val="0"/>
            <w:vAlign w:val="center"/>
          </w:tcPr>
          <w:p w14:paraId="2E721031">
            <w:pPr>
              <w:spacing w:before="48" w:beforeLines="20" w:after="48" w:afterLines="20" w:line="360" w:lineRule="auto"/>
              <w:rPr>
                <w:rFonts w:ascii="宋体" w:hAnsi="宋体"/>
                <w:szCs w:val="22"/>
              </w:rPr>
            </w:pPr>
            <w:r>
              <w:rPr>
                <w:rFonts w:hint="eastAsia" w:ascii="宋体" w:hAnsi="宋体"/>
                <w:szCs w:val="22"/>
              </w:rPr>
              <w:t>信用评价B级</w:t>
            </w:r>
          </w:p>
        </w:tc>
      </w:tr>
      <w:tr w14:paraId="3A76CB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74" w:hRule="exact"/>
          <w:jc w:val="center"/>
        </w:trPr>
        <w:tc>
          <w:tcPr>
            <w:tcW w:w="1277" w:type="dxa"/>
            <w:vMerge w:val="continue"/>
            <w:noWrap w:val="0"/>
            <w:vAlign w:val="center"/>
          </w:tcPr>
          <w:p w14:paraId="0C8A55D6">
            <w:pPr>
              <w:spacing w:line="360" w:lineRule="auto"/>
              <w:jc w:val="center"/>
              <w:rPr>
                <w:rFonts w:ascii="宋体" w:hAnsi="宋体"/>
              </w:rPr>
            </w:pPr>
          </w:p>
        </w:tc>
        <w:tc>
          <w:tcPr>
            <w:tcW w:w="368" w:type="dxa"/>
            <w:vMerge w:val="continue"/>
            <w:noWrap w:val="0"/>
            <w:vAlign w:val="center"/>
          </w:tcPr>
          <w:p w14:paraId="4A492922">
            <w:pPr>
              <w:spacing w:line="360" w:lineRule="auto"/>
              <w:jc w:val="center"/>
              <w:rPr>
                <w:rFonts w:ascii="宋体" w:hAnsi="宋体"/>
              </w:rPr>
            </w:pPr>
          </w:p>
        </w:tc>
        <w:tc>
          <w:tcPr>
            <w:tcW w:w="913" w:type="dxa"/>
            <w:vMerge w:val="continue"/>
            <w:noWrap w:val="0"/>
            <w:vAlign w:val="center"/>
          </w:tcPr>
          <w:p w14:paraId="121CFC54">
            <w:pPr>
              <w:spacing w:line="360" w:lineRule="auto"/>
              <w:jc w:val="center"/>
              <w:rPr>
                <w:rFonts w:ascii="宋体" w:hAnsi="宋体"/>
              </w:rPr>
            </w:pPr>
          </w:p>
        </w:tc>
        <w:tc>
          <w:tcPr>
            <w:tcW w:w="1134" w:type="dxa"/>
            <w:vMerge w:val="continue"/>
            <w:noWrap w:val="0"/>
            <w:vAlign w:val="center"/>
          </w:tcPr>
          <w:p w14:paraId="0AB213C0">
            <w:pPr>
              <w:spacing w:line="360" w:lineRule="auto"/>
              <w:jc w:val="center"/>
              <w:rPr>
                <w:rFonts w:ascii="宋体" w:hAnsi="宋体"/>
              </w:rPr>
            </w:pPr>
          </w:p>
        </w:tc>
        <w:tc>
          <w:tcPr>
            <w:tcW w:w="2015" w:type="dxa"/>
            <w:vMerge w:val="continue"/>
            <w:noWrap w:val="0"/>
            <w:vAlign w:val="center"/>
          </w:tcPr>
          <w:p w14:paraId="09E0EE20">
            <w:pPr>
              <w:spacing w:line="360" w:lineRule="auto"/>
              <w:ind w:left="113" w:right="113" w:firstLine="210" w:firstLineChars="100"/>
              <w:rPr>
                <w:rFonts w:ascii="宋体" w:hAnsi="宋体"/>
              </w:rPr>
            </w:pPr>
          </w:p>
        </w:tc>
        <w:tc>
          <w:tcPr>
            <w:tcW w:w="822" w:type="dxa"/>
            <w:tcBorders>
              <w:top w:val="single" w:color="auto" w:sz="4" w:space="0"/>
            </w:tcBorders>
            <w:noWrap w:val="0"/>
            <w:vAlign w:val="center"/>
          </w:tcPr>
          <w:p w14:paraId="63B917A2">
            <w:pPr>
              <w:spacing w:before="48" w:beforeLines="20" w:after="48" w:afterLines="20" w:line="360" w:lineRule="auto"/>
              <w:jc w:val="center"/>
              <w:rPr>
                <w:rFonts w:hint="eastAsia" w:ascii="宋体" w:hAnsi="宋体" w:eastAsia="宋体"/>
                <w:szCs w:val="22"/>
              </w:rPr>
            </w:pPr>
            <w:r>
              <w:rPr>
                <w:rFonts w:hint="eastAsia" w:ascii="宋体" w:hAnsi="宋体" w:eastAsia="宋体"/>
                <w:szCs w:val="22"/>
              </w:rPr>
              <w:t>4分</w:t>
            </w:r>
          </w:p>
        </w:tc>
        <w:tc>
          <w:tcPr>
            <w:tcW w:w="2616" w:type="dxa"/>
            <w:tcBorders>
              <w:top w:val="single" w:color="auto" w:sz="4" w:space="0"/>
            </w:tcBorders>
            <w:noWrap w:val="0"/>
            <w:vAlign w:val="center"/>
          </w:tcPr>
          <w:p w14:paraId="598C5704">
            <w:pPr>
              <w:spacing w:before="48" w:beforeLines="20" w:after="48" w:afterLines="20" w:line="360" w:lineRule="auto"/>
              <w:rPr>
                <w:rFonts w:hint="eastAsia" w:ascii="宋体" w:hAnsi="宋体"/>
                <w:szCs w:val="22"/>
              </w:rPr>
            </w:pPr>
            <w:r>
              <w:rPr>
                <w:rFonts w:hint="eastAsia" w:ascii="宋体" w:hAnsi="宋体"/>
                <w:szCs w:val="22"/>
              </w:rPr>
              <w:t>信用评价C级</w:t>
            </w:r>
          </w:p>
        </w:tc>
      </w:tr>
      <w:tr w14:paraId="66D9C5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24" w:hRule="exact"/>
          <w:jc w:val="center"/>
        </w:trPr>
        <w:tc>
          <w:tcPr>
            <w:tcW w:w="1277" w:type="dxa"/>
            <w:vMerge w:val="continue"/>
            <w:noWrap w:val="0"/>
            <w:vAlign w:val="center"/>
          </w:tcPr>
          <w:p w14:paraId="5C8B2F30">
            <w:pPr>
              <w:spacing w:line="360" w:lineRule="auto"/>
              <w:jc w:val="center"/>
              <w:rPr>
                <w:rFonts w:ascii="宋体" w:hAnsi="宋体"/>
              </w:rPr>
            </w:pPr>
          </w:p>
        </w:tc>
        <w:tc>
          <w:tcPr>
            <w:tcW w:w="368" w:type="dxa"/>
            <w:vMerge w:val="continue"/>
            <w:noWrap w:val="0"/>
            <w:vAlign w:val="center"/>
          </w:tcPr>
          <w:p w14:paraId="4D3AC96E">
            <w:pPr>
              <w:spacing w:line="360" w:lineRule="auto"/>
              <w:jc w:val="center"/>
              <w:rPr>
                <w:rFonts w:ascii="宋体" w:hAnsi="宋体"/>
              </w:rPr>
            </w:pPr>
          </w:p>
        </w:tc>
        <w:tc>
          <w:tcPr>
            <w:tcW w:w="913" w:type="dxa"/>
            <w:vMerge w:val="continue"/>
            <w:noWrap w:val="0"/>
            <w:vAlign w:val="center"/>
          </w:tcPr>
          <w:p w14:paraId="41C87A13">
            <w:pPr>
              <w:spacing w:line="360" w:lineRule="auto"/>
              <w:jc w:val="center"/>
              <w:rPr>
                <w:rFonts w:ascii="宋体" w:hAnsi="宋体"/>
              </w:rPr>
            </w:pPr>
          </w:p>
        </w:tc>
        <w:tc>
          <w:tcPr>
            <w:tcW w:w="1134" w:type="dxa"/>
            <w:vMerge w:val="continue"/>
            <w:noWrap w:val="0"/>
            <w:vAlign w:val="center"/>
          </w:tcPr>
          <w:p w14:paraId="477A9E41">
            <w:pPr>
              <w:spacing w:line="360" w:lineRule="auto"/>
              <w:jc w:val="center"/>
              <w:rPr>
                <w:rFonts w:ascii="宋体" w:hAnsi="宋体"/>
              </w:rPr>
            </w:pPr>
          </w:p>
        </w:tc>
        <w:tc>
          <w:tcPr>
            <w:tcW w:w="2015" w:type="dxa"/>
            <w:vMerge w:val="continue"/>
            <w:noWrap w:val="0"/>
            <w:vAlign w:val="center"/>
          </w:tcPr>
          <w:p w14:paraId="73BCEF1A">
            <w:pPr>
              <w:spacing w:line="360" w:lineRule="auto"/>
              <w:ind w:left="113" w:right="113" w:firstLine="210" w:firstLineChars="100"/>
              <w:rPr>
                <w:rFonts w:ascii="宋体" w:hAnsi="宋体"/>
              </w:rPr>
            </w:pPr>
          </w:p>
        </w:tc>
        <w:tc>
          <w:tcPr>
            <w:tcW w:w="822" w:type="dxa"/>
            <w:tcBorders>
              <w:top w:val="single" w:color="auto" w:sz="4" w:space="0"/>
            </w:tcBorders>
            <w:noWrap w:val="0"/>
            <w:vAlign w:val="center"/>
          </w:tcPr>
          <w:p w14:paraId="34D5F71E">
            <w:pPr>
              <w:spacing w:before="48" w:beforeLines="20" w:after="48" w:afterLines="20" w:line="360" w:lineRule="auto"/>
              <w:jc w:val="center"/>
              <w:rPr>
                <w:rFonts w:ascii="宋体" w:hAnsi="宋体"/>
                <w:szCs w:val="22"/>
              </w:rPr>
            </w:pPr>
            <w:r>
              <w:rPr>
                <w:rFonts w:hint="eastAsia"/>
                <w:szCs w:val="21"/>
              </w:rPr>
              <w:t>拒绝投标</w:t>
            </w:r>
          </w:p>
        </w:tc>
        <w:tc>
          <w:tcPr>
            <w:tcW w:w="2616" w:type="dxa"/>
            <w:tcBorders>
              <w:top w:val="single" w:color="auto" w:sz="4" w:space="0"/>
            </w:tcBorders>
            <w:noWrap w:val="0"/>
            <w:vAlign w:val="center"/>
          </w:tcPr>
          <w:p w14:paraId="05F5CDBA">
            <w:pPr>
              <w:spacing w:before="48" w:beforeLines="20" w:after="48" w:afterLines="20" w:line="360" w:lineRule="auto"/>
              <w:rPr>
                <w:rFonts w:ascii="宋体" w:hAnsi="宋体"/>
                <w:szCs w:val="22"/>
              </w:rPr>
            </w:pPr>
            <w:r>
              <w:rPr>
                <w:rFonts w:hint="eastAsia" w:ascii="宋体" w:hAnsi="宋体" w:cs="宋体"/>
              </w:rPr>
              <w:t>信用评价D级</w:t>
            </w:r>
          </w:p>
        </w:tc>
      </w:tr>
      <w:tr w14:paraId="15FB8A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511" w:hRule="exact"/>
          <w:jc w:val="center"/>
        </w:trPr>
        <w:tc>
          <w:tcPr>
            <w:tcW w:w="1277" w:type="dxa"/>
            <w:vMerge w:val="continue"/>
            <w:noWrap w:val="0"/>
            <w:vAlign w:val="center"/>
          </w:tcPr>
          <w:p w14:paraId="11C0B44D">
            <w:pPr>
              <w:spacing w:line="360" w:lineRule="auto"/>
              <w:jc w:val="center"/>
              <w:rPr>
                <w:rFonts w:ascii="宋体" w:hAnsi="宋体"/>
              </w:rPr>
            </w:pPr>
          </w:p>
        </w:tc>
        <w:tc>
          <w:tcPr>
            <w:tcW w:w="368" w:type="dxa"/>
            <w:vMerge w:val="continue"/>
            <w:noWrap w:val="0"/>
            <w:vAlign w:val="center"/>
          </w:tcPr>
          <w:p w14:paraId="2294B35C">
            <w:pPr>
              <w:spacing w:line="360" w:lineRule="auto"/>
              <w:jc w:val="center"/>
              <w:rPr>
                <w:rFonts w:ascii="宋体" w:hAnsi="宋体"/>
              </w:rPr>
            </w:pPr>
          </w:p>
        </w:tc>
        <w:tc>
          <w:tcPr>
            <w:tcW w:w="913" w:type="dxa"/>
            <w:vMerge w:val="continue"/>
            <w:noWrap w:val="0"/>
            <w:vAlign w:val="center"/>
          </w:tcPr>
          <w:p w14:paraId="58332A7C">
            <w:pPr>
              <w:spacing w:line="360" w:lineRule="auto"/>
              <w:jc w:val="center"/>
              <w:rPr>
                <w:rFonts w:ascii="宋体" w:hAnsi="宋体"/>
              </w:rPr>
            </w:pPr>
          </w:p>
        </w:tc>
        <w:tc>
          <w:tcPr>
            <w:tcW w:w="6587" w:type="dxa"/>
            <w:gridSpan w:val="4"/>
            <w:noWrap w:val="0"/>
            <w:vAlign w:val="center"/>
          </w:tcPr>
          <w:p w14:paraId="5E80A896">
            <w:pPr>
              <w:pStyle w:val="2"/>
              <w:ind w:firstLine="420" w:firstLineChars="200"/>
              <w:jc w:val="both"/>
              <w:rPr>
                <w:rFonts w:hint="eastAsia" w:cs="Times New Roman"/>
                <w:szCs w:val="24"/>
              </w:rPr>
            </w:pPr>
            <w:r>
              <w:rPr>
                <w:rFonts w:hint="eastAsia" w:cs="Times New Roman"/>
                <w:szCs w:val="24"/>
              </w:rPr>
              <w:t>投标人2021年1月1日至投标截止时间在“</w:t>
            </w:r>
            <w:bookmarkStart w:id="31" w:name="OLE_LINK4"/>
            <w:bookmarkStart w:id="32" w:name="OLE_LINK5"/>
            <w:r>
              <w:rPr>
                <w:rFonts w:hint="eastAsia" w:cs="Times New Roman"/>
                <w:szCs w:val="24"/>
              </w:rPr>
              <w:t>公路水运工程质量检测管理信息系统”中最新年度的信用评价等级</w:t>
            </w:r>
            <w:bookmarkEnd w:id="31"/>
            <w:bookmarkEnd w:id="32"/>
            <w:r>
              <w:rPr>
                <w:rFonts w:hint="eastAsia" w:hAnsi="宋体" w:eastAsia="宋体" w:cs="宋体"/>
                <w:szCs w:val="24"/>
              </w:rPr>
              <w:t>或</w:t>
            </w:r>
            <w:r>
              <w:rPr>
                <w:rFonts w:hint="eastAsia" w:cs="Times New Roman"/>
                <w:szCs w:val="24"/>
              </w:rPr>
              <w:t>吉林省交通运输综合行政执法局颁发的《</w:t>
            </w:r>
            <w:r>
              <w:rPr>
                <w:rFonts w:cs="Times New Roman"/>
                <w:szCs w:val="24"/>
              </w:rPr>
              <w:t>2022</w:t>
            </w:r>
            <w:r>
              <w:rPr>
                <w:rFonts w:hint="eastAsia" w:cs="Times New Roman"/>
                <w:szCs w:val="24"/>
              </w:rPr>
              <w:t>年度吉林省公路水运工程试验检测机构信用评价结果公示》中的信用评价结果为准。</w:t>
            </w:r>
          </w:p>
          <w:p w14:paraId="1E18DE5C">
            <w:pPr>
              <w:pStyle w:val="2"/>
              <w:ind w:firstLine="420" w:firstLineChars="200"/>
              <w:jc w:val="both"/>
              <w:rPr>
                <w:rFonts w:cs="Times New Roman"/>
                <w:szCs w:val="24"/>
              </w:rPr>
            </w:pPr>
            <w:r>
              <w:rPr>
                <w:rFonts w:hint="eastAsia" w:cs="Times New Roman"/>
                <w:szCs w:val="24"/>
              </w:rPr>
              <w:t>如投标人未列入上述信用评价，应出具承诺函，如实说明在2021年1月1日后有/无不良信用记录，格式自拟，需加盖投标人单位章，无不良信用记录的按A级对待，如有不良信用记录，视其严重程度按B级及以下对待。</w:t>
            </w:r>
          </w:p>
        </w:tc>
      </w:tr>
    </w:tbl>
    <w:p w14:paraId="2289ACD1">
      <w:pPr>
        <w:pStyle w:val="15"/>
        <w:tabs>
          <w:tab w:val="left" w:pos="426"/>
        </w:tabs>
        <w:spacing w:line="360" w:lineRule="auto"/>
        <w:jc w:val="left"/>
        <w:outlineLvl w:val="2"/>
        <w:rPr>
          <w:rFonts w:ascii="宋体" w:hAnsi="宋体"/>
          <w:b w:val="0"/>
        </w:rPr>
      </w:pPr>
      <w:r>
        <w:rPr>
          <w:rFonts w:hint="eastAsia" w:ascii="宋体" w:hAnsi="宋体"/>
          <w:b w:val="0"/>
        </w:rPr>
        <w:t>7.公开时间</w:t>
      </w:r>
    </w:p>
    <w:p w14:paraId="1302A750">
      <w:pPr>
        <w:pStyle w:val="15"/>
        <w:tabs>
          <w:tab w:val="left" w:pos="426"/>
        </w:tabs>
        <w:spacing w:line="360" w:lineRule="auto"/>
        <w:jc w:val="left"/>
        <w:outlineLvl w:val="2"/>
        <w:rPr>
          <w:rFonts w:ascii="宋体" w:hAnsi="宋体"/>
          <w:b w:val="0"/>
          <w:bCs w:val="0"/>
          <w:kern w:val="2"/>
          <w:sz w:val="21"/>
          <w:szCs w:val="21"/>
        </w:rPr>
      </w:pPr>
      <w:r>
        <w:rPr>
          <w:rFonts w:hint="eastAsia" w:ascii="宋体" w:hAnsi="宋体"/>
          <w:b w:val="0"/>
          <w:bCs w:val="0"/>
          <w:kern w:val="2"/>
          <w:sz w:val="21"/>
          <w:szCs w:val="21"/>
        </w:rPr>
        <w:t>本次招标文件关键内容信息公开时间至投标截止时间10日前结束。</w:t>
      </w:r>
    </w:p>
    <w:p w14:paraId="7A2F2BD7">
      <w:pPr>
        <w:pStyle w:val="15"/>
        <w:tabs>
          <w:tab w:val="left" w:pos="426"/>
        </w:tabs>
        <w:spacing w:line="360" w:lineRule="auto"/>
        <w:jc w:val="left"/>
        <w:outlineLvl w:val="2"/>
        <w:rPr>
          <w:rFonts w:ascii="宋体" w:hAnsi="宋体"/>
          <w:b w:val="0"/>
        </w:rPr>
      </w:pPr>
      <w:r>
        <w:rPr>
          <w:rFonts w:hint="eastAsia" w:ascii="宋体" w:hAnsi="宋体"/>
          <w:b w:val="0"/>
        </w:rPr>
        <w:t>8.联系方式</w:t>
      </w:r>
      <w:bookmarkEnd w:id="20"/>
      <w:bookmarkEnd w:id="21"/>
      <w:bookmarkEnd w:id="22"/>
      <w:bookmarkEnd w:id="23"/>
      <w:bookmarkEnd w:id="24"/>
      <w:bookmarkEnd w:id="25"/>
      <w:bookmarkEnd w:id="26"/>
      <w:bookmarkEnd w:id="27"/>
      <w:bookmarkEnd w:id="28"/>
    </w:p>
    <w:tbl>
      <w:tblPr>
        <w:tblStyle w:val="11"/>
        <w:tblW w:w="9464" w:type="dxa"/>
        <w:tblInd w:w="0" w:type="dxa"/>
        <w:tblBorders>
          <w:top w:val="single" w:color="FFFFFF" w:sz="4" w:space="0"/>
          <w:left w:val="single" w:color="FFFFFF" w:sz="4" w:space="0"/>
          <w:bottom w:val="none" w:color="auto" w:sz="0"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
      <w:tblGrid>
        <w:gridCol w:w="4361"/>
        <w:gridCol w:w="5103"/>
      </w:tblGrid>
      <w:tr w14:paraId="2AC8A56D">
        <w:tblPrEx>
          <w:tblBorders>
            <w:top w:val="single" w:color="FFFFFF" w:sz="4" w:space="0"/>
            <w:left w:val="single" w:color="FFFFFF" w:sz="4" w:space="0"/>
            <w:bottom w:val="none" w:color="auto" w:sz="0" w:space="0"/>
            <w:right w:val="single" w:color="FFFFFF" w:sz="4" w:space="0"/>
            <w:insideH w:val="single" w:color="FFFFFF" w:sz="4" w:space="0"/>
            <w:insideV w:val="single" w:color="FFFFFF" w:sz="4" w:space="0"/>
          </w:tblBorders>
          <w:tblCellMar>
            <w:top w:w="0" w:type="dxa"/>
            <w:left w:w="108" w:type="dxa"/>
            <w:bottom w:w="0" w:type="dxa"/>
            <w:right w:w="108" w:type="dxa"/>
          </w:tblCellMar>
        </w:tblPrEx>
        <w:tc>
          <w:tcPr>
            <w:tcW w:w="4361" w:type="dxa"/>
            <w:tcBorders>
              <w:top w:val="single" w:color="FFFFFF" w:sz="4" w:space="0"/>
              <w:left w:val="single" w:color="FFFFFF" w:sz="4" w:space="0"/>
              <w:bottom w:val="single" w:color="FFFFFF" w:sz="4" w:space="0"/>
              <w:right w:val="single" w:color="FFFFFF" w:sz="4" w:space="0"/>
            </w:tcBorders>
            <w:noWrap w:val="0"/>
            <w:vAlign w:val="top"/>
          </w:tcPr>
          <w:p w14:paraId="29D88183">
            <w:pPr>
              <w:autoSpaceDE w:val="0"/>
              <w:autoSpaceDN w:val="0"/>
              <w:adjustRightInd w:val="0"/>
              <w:spacing w:line="360" w:lineRule="auto"/>
              <w:rPr>
                <w:rFonts w:ascii="宋体" w:hAnsi="宋体"/>
                <w:szCs w:val="21"/>
              </w:rPr>
            </w:pPr>
            <w:r>
              <w:rPr>
                <w:rFonts w:hint="eastAsia" w:ascii="宋体" w:hAnsi="宋体"/>
                <w:szCs w:val="21"/>
              </w:rPr>
              <w:t>招标人</w:t>
            </w:r>
            <w:r>
              <w:rPr>
                <w:rFonts w:ascii="宋体" w:hAnsi="宋体"/>
                <w:szCs w:val="21"/>
              </w:rPr>
              <w:t>：</w:t>
            </w:r>
            <w:r>
              <w:rPr>
                <w:rFonts w:hint="eastAsia" w:ascii="宋体" w:hAnsi="宋体"/>
                <w:szCs w:val="21"/>
              </w:rPr>
              <w:t>白城市公路管理处</w:t>
            </w:r>
          </w:p>
        </w:tc>
        <w:tc>
          <w:tcPr>
            <w:tcW w:w="5103" w:type="dxa"/>
            <w:tcBorders>
              <w:top w:val="single" w:color="FFFFFF" w:sz="4" w:space="0"/>
              <w:left w:val="single" w:color="FFFFFF" w:sz="4" w:space="0"/>
              <w:bottom w:val="single" w:color="FFFFFF" w:sz="4" w:space="0"/>
              <w:right w:val="single" w:color="FFFFFF" w:sz="4" w:space="0"/>
            </w:tcBorders>
            <w:noWrap w:val="0"/>
            <w:vAlign w:val="top"/>
          </w:tcPr>
          <w:p w14:paraId="43FA1C9C">
            <w:pPr>
              <w:autoSpaceDE w:val="0"/>
              <w:autoSpaceDN w:val="0"/>
              <w:adjustRightInd w:val="0"/>
              <w:spacing w:line="360" w:lineRule="auto"/>
              <w:rPr>
                <w:rFonts w:ascii="宋体" w:hAnsi="宋体"/>
                <w:szCs w:val="21"/>
              </w:rPr>
            </w:pPr>
            <w:r>
              <w:rPr>
                <w:rFonts w:hint="eastAsia" w:ascii="宋体" w:hAnsi="宋体"/>
                <w:szCs w:val="21"/>
              </w:rPr>
              <w:t>招标代理机构:</w:t>
            </w:r>
            <w:r>
              <w:rPr>
                <w:rFonts w:ascii="宋体" w:hAnsi="宋体"/>
                <w:szCs w:val="21"/>
              </w:rPr>
              <w:t xml:space="preserve"> </w:t>
            </w:r>
            <w:r>
              <w:rPr>
                <w:rFonts w:hint="eastAsia" w:ascii="宋体" w:hAnsi="宋体"/>
                <w:szCs w:val="21"/>
              </w:rPr>
              <w:t>吉林省吉润工程咨询有限公司</w:t>
            </w:r>
          </w:p>
        </w:tc>
      </w:tr>
      <w:tr w14:paraId="5D726F89">
        <w:tblPrEx>
          <w:tblBorders>
            <w:top w:val="single" w:color="FFFFFF" w:sz="4" w:space="0"/>
            <w:left w:val="single" w:color="FFFFFF" w:sz="4" w:space="0"/>
            <w:bottom w:val="none" w:color="auto" w:sz="0"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90" w:hRule="atLeast"/>
        </w:trPr>
        <w:tc>
          <w:tcPr>
            <w:tcW w:w="4361" w:type="dxa"/>
            <w:tcBorders>
              <w:top w:val="single" w:color="FFFFFF" w:sz="4" w:space="0"/>
              <w:left w:val="single" w:color="FFFFFF" w:sz="4" w:space="0"/>
              <w:bottom w:val="single" w:color="FFFFFF" w:sz="4" w:space="0"/>
              <w:right w:val="single" w:color="FFFFFF" w:sz="4" w:space="0"/>
            </w:tcBorders>
            <w:noWrap w:val="0"/>
            <w:vAlign w:val="top"/>
          </w:tcPr>
          <w:p w14:paraId="3F7E65C5">
            <w:pPr>
              <w:autoSpaceDE w:val="0"/>
              <w:autoSpaceDN w:val="0"/>
              <w:adjustRightInd w:val="0"/>
              <w:spacing w:line="360" w:lineRule="auto"/>
              <w:rPr>
                <w:rFonts w:hint="eastAsia" w:ascii="宋体" w:hAnsi="宋体"/>
                <w:szCs w:val="21"/>
              </w:rPr>
            </w:pPr>
            <w:r>
              <w:rPr>
                <w:rFonts w:hint="eastAsia" w:ascii="宋体" w:hAnsi="宋体"/>
                <w:szCs w:val="21"/>
              </w:rPr>
              <w:t>地  址：白城市青年南大街7号</w:t>
            </w:r>
          </w:p>
          <w:p w14:paraId="36AFB9EF">
            <w:pPr>
              <w:autoSpaceDE w:val="0"/>
              <w:autoSpaceDN w:val="0"/>
              <w:adjustRightInd w:val="0"/>
              <w:spacing w:line="360" w:lineRule="auto"/>
              <w:rPr>
                <w:rFonts w:hint="eastAsia" w:ascii="宋体" w:hAnsi="宋体"/>
                <w:szCs w:val="21"/>
              </w:rPr>
            </w:pPr>
            <w:r>
              <w:rPr>
                <w:rFonts w:hint="eastAsia" w:ascii="宋体" w:hAnsi="宋体"/>
                <w:szCs w:val="21"/>
              </w:rPr>
              <w:t>邮政编码：137000</w:t>
            </w:r>
          </w:p>
        </w:tc>
        <w:tc>
          <w:tcPr>
            <w:tcW w:w="5103" w:type="dxa"/>
            <w:tcBorders>
              <w:top w:val="single" w:color="FFFFFF" w:sz="4" w:space="0"/>
              <w:left w:val="single" w:color="FFFFFF" w:sz="4" w:space="0"/>
              <w:bottom w:val="single" w:color="FFFFFF" w:sz="4" w:space="0"/>
              <w:right w:val="single" w:color="FFFFFF" w:sz="4" w:space="0"/>
            </w:tcBorders>
            <w:noWrap w:val="0"/>
            <w:vAlign w:val="top"/>
          </w:tcPr>
          <w:p w14:paraId="350EED91">
            <w:pPr>
              <w:autoSpaceDE w:val="0"/>
              <w:autoSpaceDN w:val="0"/>
              <w:adjustRightInd w:val="0"/>
              <w:spacing w:line="360" w:lineRule="auto"/>
              <w:rPr>
                <w:rFonts w:hint="eastAsia" w:ascii="宋体" w:hAnsi="宋体"/>
                <w:szCs w:val="21"/>
              </w:rPr>
            </w:pPr>
            <w:r>
              <w:rPr>
                <w:rFonts w:hint="eastAsia" w:ascii="宋体" w:hAnsi="宋体"/>
                <w:szCs w:val="21"/>
              </w:rPr>
              <w:t>地    址: 长春市高新区繁荣路5277号</w:t>
            </w:r>
          </w:p>
          <w:p w14:paraId="0005117F">
            <w:pPr>
              <w:autoSpaceDE w:val="0"/>
              <w:autoSpaceDN w:val="0"/>
              <w:adjustRightInd w:val="0"/>
              <w:spacing w:line="360" w:lineRule="auto"/>
              <w:rPr>
                <w:rFonts w:ascii="宋体" w:hAnsi="宋体"/>
                <w:szCs w:val="21"/>
              </w:rPr>
            </w:pPr>
            <w:r>
              <w:rPr>
                <w:rFonts w:hint="eastAsia" w:ascii="宋体" w:hAnsi="宋体"/>
                <w:szCs w:val="21"/>
              </w:rPr>
              <w:t>邮政编码：130000</w:t>
            </w:r>
          </w:p>
        </w:tc>
      </w:tr>
      <w:tr w14:paraId="119E09CA">
        <w:tblPrEx>
          <w:tblBorders>
            <w:top w:val="single" w:color="FFFFFF" w:sz="4" w:space="0"/>
            <w:left w:val="single" w:color="FFFFFF" w:sz="4" w:space="0"/>
            <w:bottom w:val="none" w:color="auto" w:sz="0" w:space="0"/>
            <w:right w:val="single" w:color="FFFFFF" w:sz="4" w:space="0"/>
            <w:insideH w:val="single" w:color="FFFFFF" w:sz="4" w:space="0"/>
            <w:insideV w:val="single" w:color="FFFFFF" w:sz="4" w:space="0"/>
          </w:tblBorders>
          <w:tblCellMar>
            <w:top w:w="0" w:type="dxa"/>
            <w:left w:w="108" w:type="dxa"/>
            <w:bottom w:w="0" w:type="dxa"/>
            <w:right w:w="108" w:type="dxa"/>
          </w:tblCellMar>
        </w:tblPrEx>
        <w:tc>
          <w:tcPr>
            <w:tcW w:w="4361" w:type="dxa"/>
            <w:tcBorders>
              <w:top w:val="single" w:color="FFFFFF" w:sz="4" w:space="0"/>
              <w:left w:val="single" w:color="FFFFFF" w:sz="4" w:space="0"/>
              <w:bottom w:val="single" w:color="FFFFFF" w:sz="4" w:space="0"/>
              <w:right w:val="single" w:color="FFFFFF" w:sz="4" w:space="0"/>
            </w:tcBorders>
            <w:noWrap w:val="0"/>
            <w:vAlign w:val="top"/>
          </w:tcPr>
          <w:p w14:paraId="6018A29A">
            <w:pPr>
              <w:autoSpaceDE w:val="0"/>
              <w:autoSpaceDN w:val="0"/>
              <w:adjustRightInd w:val="0"/>
              <w:spacing w:line="360" w:lineRule="auto"/>
              <w:rPr>
                <w:rFonts w:ascii="宋体" w:hAnsi="宋体"/>
                <w:szCs w:val="21"/>
              </w:rPr>
            </w:pPr>
            <w:r>
              <w:rPr>
                <w:rFonts w:hint="eastAsia" w:ascii="宋体" w:hAnsi="宋体"/>
                <w:szCs w:val="21"/>
              </w:rPr>
              <w:t>联系人</w:t>
            </w:r>
            <w:r>
              <w:rPr>
                <w:rFonts w:ascii="宋体" w:hAnsi="宋体"/>
                <w:szCs w:val="21"/>
              </w:rPr>
              <w:t>：</w:t>
            </w:r>
            <w:r>
              <w:rPr>
                <w:rFonts w:hint="eastAsia" w:ascii="宋体" w:hAnsi="宋体"/>
                <w:szCs w:val="21"/>
              </w:rPr>
              <w:t>张宇</w:t>
            </w:r>
          </w:p>
        </w:tc>
        <w:tc>
          <w:tcPr>
            <w:tcW w:w="5103" w:type="dxa"/>
            <w:tcBorders>
              <w:top w:val="single" w:color="FFFFFF" w:sz="4" w:space="0"/>
              <w:left w:val="single" w:color="FFFFFF" w:sz="4" w:space="0"/>
              <w:bottom w:val="single" w:color="FFFFFF" w:sz="4" w:space="0"/>
              <w:right w:val="single" w:color="FFFFFF" w:sz="4" w:space="0"/>
            </w:tcBorders>
            <w:noWrap w:val="0"/>
            <w:vAlign w:val="top"/>
          </w:tcPr>
          <w:p w14:paraId="04C0F1A3">
            <w:pPr>
              <w:autoSpaceDE w:val="0"/>
              <w:autoSpaceDN w:val="0"/>
              <w:adjustRightInd w:val="0"/>
              <w:spacing w:line="360" w:lineRule="auto"/>
              <w:rPr>
                <w:rFonts w:ascii="宋体" w:hAnsi="宋体"/>
                <w:szCs w:val="21"/>
              </w:rPr>
            </w:pPr>
            <w:r>
              <w:rPr>
                <w:rFonts w:hint="eastAsia" w:ascii="宋体" w:hAnsi="宋体"/>
                <w:szCs w:val="21"/>
              </w:rPr>
              <w:t>联 系 人: 刘闯、冯国莹</w:t>
            </w:r>
          </w:p>
        </w:tc>
      </w:tr>
      <w:tr w14:paraId="080DE0CE">
        <w:tblPrEx>
          <w:tblBorders>
            <w:top w:val="single" w:color="FFFFFF" w:sz="4" w:space="0"/>
            <w:left w:val="single" w:color="FFFFFF" w:sz="4" w:space="0"/>
            <w:bottom w:val="none" w:color="auto" w:sz="0" w:space="0"/>
            <w:right w:val="single" w:color="FFFFFF" w:sz="4" w:space="0"/>
            <w:insideH w:val="single" w:color="FFFFFF" w:sz="4" w:space="0"/>
            <w:insideV w:val="single" w:color="FFFFFF" w:sz="4" w:space="0"/>
          </w:tblBorders>
          <w:tblCellMar>
            <w:top w:w="0" w:type="dxa"/>
            <w:left w:w="108" w:type="dxa"/>
            <w:bottom w:w="0" w:type="dxa"/>
            <w:right w:w="108" w:type="dxa"/>
          </w:tblCellMar>
        </w:tblPrEx>
        <w:tc>
          <w:tcPr>
            <w:tcW w:w="4361" w:type="dxa"/>
            <w:tcBorders>
              <w:top w:val="single" w:color="FFFFFF" w:sz="4" w:space="0"/>
              <w:left w:val="single" w:color="FFFFFF" w:sz="4" w:space="0"/>
              <w:bottom w:val="single" w:color="FFFFFF" w:sz="4" w:space="0"/>
              <w:right w:val="single" w:color="FFFFFF" w:sz="4" w:space="0"/>
            </w:tcBorders>
            <w:noWrap w:val="0"/>
            <w:vAlign w:val="top"/>
          </w:tcPr>
          <w:p w14:paraId="18C6A8A2">
            <w:pPr>
              <w:autoSpaceDE w:val="0"/>
              <w:autoSpaceDN w:val="0"/>
              <w:adjustRightInd w:val="0"/>
              <w:spacing w:line="360" w:lineRule="auto"/>
              <w:rPr>
                <w:rFonts w:ascii="宋体" w:hAnsi="宋体"/>
                <w:szCs w:val="21"/>
              </w:rPr>
            </w:pPr>
            <w:r>
              <w:rPr>
                <w:rFonts w:hint="eastAsia" w:ascii="宋体" w:hAnsi="宋体"/>
                <w:szCs w:val="21"/>
              </w:rPr>
              <w:t>电  话</w:t>
            </w:r>
            <w:r>
              <w:rPr>
                <w:rFonts w:ascii="宋体" w:hAnsi="宋体"/>
                <w:szCs w:val="21"/>
              </w:rPr>
              <w:t>：</w:t>
            </w:r>
            <w:r>
              <w:rPr>
                <w:rFonts w:hint="eastAsia" w:ascii="宋体" w:hAnsi="宋体"/>
                <w:szCs w:val="21"/>
              </w:rPr>
              <w:t>0436-3200015</w:t>
            </w:r>
          </w:p>
        </w:tc>
        <w:tc>
          <w:tcPr>
            <w:tcW w:w="5103" w:type="dxa"/>
            <w:tcBorders>
              <w:top w:val="single" w:color="FFFFFF" w:sz="4" w:space="0"/>
              <w:left w:val="single" w:color="FFFFFF" w:sz="4" w:space="0"/>
              <w:bottom w:val="single" w:color="FFFFFF" w:sz="4" w:space="0"/>
              <w:right w:val="single" w:color="FFFFFF" w:sz="4" w:space="0"/>
            </w:tcBorders>
            <w:noWrap w:val="0"/>
            <w:vAlign w:val="top"/>
          </w:tcPr>
          <w:p w14:paraId="11612136">
            <w:pPr>
              <w:autoSpaceDE w:val="0"/>
              <w:autoSpaceDN w:val="0"/>
              <w:adjustRightInd w:val="0"/>
              <w:spacing w:line="360" w:lineRule="auto"/>
              <w:rPr>
                <w:rFonts w:ascii="宋体" w:hAnsi="宋体"/>
                <w:szCs w:val="21"/>
              </w:rPr>
            </w:pPr>
            <w:r>
              <w:rPr>
                <w:rFonts w:hint="eastAsia" w:ascii="宋体" w:hAnsi="宋体"/>
                <w:szCs w:val="21"/>
              </w:rPr>
              <w:t xml:space="preserve">电    话: </w:t>
            </w:r>
            <w:r>
              <w:rPr>
                <w:rFonts w:ascii="宋体" w:hAnsi="宋体"/>
                <w:szCs w:val="21"/>
              </w:rPr>
              <w:t>0431-</w:t>
            </w:r>
            <w:r>
              <w:rPr>
                <w:rFonts w:hint="eastAsia" w:ascii="宋体" w:hAnsi="宋体"/>
                <w:szCs w:val="21"/>
              </w:rPr>
              <w:t>80564007</w:t>
            </w:r>
          </w:p>
        </w:tc>
      </w:tr>
      <w:tr w14:paraId="7DD86380">
        <w:tblPrEx>
          <w:tblBorders>
            <w:top w:val="single" w:color="FFFFFF" w:sz="4" w:space="0"/>
            <w:left w:val="single" w:color="FFFFFF" w:sz="4" w:space="0"/>
            <w:bottom w:val="none" w:color="auto" w:sz="0" w:space="0"/>
            <w:right w:val="single" w:color="FFFFFF" w:sz="4" w:space="0"/>
            <w:insideH w:val="single" w:color="FFFFFF" w:sz="4" w:space="0"/>
            <w:insideV w:val="single" w:color="FFFFFF" w:sz="4" w:space="0"/>
          </w:tblBorders>
          <w:tblCellMar>
            <w:top w:w="0" w:type="dxa"/>
            <w:left w:w="108" w:type="dxa"/>
            <w:bottom w:w="0" w:type="dxa"/>
            <w:right w:w="108" w:type="dxa"/>
          </w:tblCellMar>
        </w:tblPrEx>
        <w:tc>
          <w:tcPr>
            <w:tcW w:w="4361" w:type="dxa"/>
            <w:tcBorders>
              <w:top w:val="single" w:color="FFFFFF" w:sz="4" w:space="0"/>
              <w:left w:val="single" w:color="FFFFFF" w:sz="4" w:space="0"/>
              <w:bottom w:val="single" w:color="FFFFFF" w:sz="4" w:space="0"/>
              <w:right w:val="single" w:color="FFFFFF" w:sz="4" w:space="0"/>
            </w:tcBorders>
            <w:noWrap w:val="0"/>
            <w:vAlign w:val="top"/>
          </w:tcPr>
          <w:p w14:paraId="62C26708">
            <w:pPr>
              <w:pStyle w:val="2"/>
              <w:spacing w:line="360" w:lineRule="auto"/>
              <w:rPr>
                <w:rFonts w:hint="default" w:hAnsi="宋体"/>
                <w:szCs w:val="21"/>
                <w:lang w:val="en-US" w:eastAsia="zh-CN"/>
              </w:rPr>
            </w:pPr>
            <w:r>
              <w:rPr>
                <w:rFonts w:hint="default" w:hAnsi="宋体"/>
                <w:szCs w:val="21"/>
                <w:lang w:val="en-US" w:eastAsia="zh-CN"/>
              </w:rPr>
              <w:t>监督部门：吉林省交通运输厅</w:t>
            </w:r>
          </w:p>
          <w:p w14:paraId="51C94C8E">
            <w:pPr>
              <w:pStyle w:val="2"/>
              <w:spacing w:line="360" w:lineRule="auto"/>
              <w:rPr>
                <w:rFonts w:hint="default" w:hAnsi="宋体"/>
                <w:szCs w:val="21"/>
                <w:lang w:val="en-US" w:eastAsia="zh-CN"/>
              </w:rPr>
            </w:pPr>
            <w:r>
              <w:rPr>
                <w:rFonts w:hint="default" w:hAnsi="宋体"/>
                <w:szCs w:val="21"/>
                <w:lang w:val="en-US" w:eastAsia="zh-CN"/>
              </w:rPr>
              <w:t>地　　址：长春市解放大路2518号交通大厦</w:t>
            </w:r>
          </w:p>
          <w:p w14:paraId="3FFE3C43">
            <w:pPr>
              <w:pStyle w:val="2"/>
              <w:spacing w:line="360" w:lineRule="auto"/>
              <w:rPr>
                <w:rFonts w:hint="default" w:hAnsi="宋体"/>
                <w:szCs w:val="21"/>
                <w:lang w:val="en-US" w:eastAsia="zh-CN"/>
              </w:rPr>
            </w:pPr>
            <w:r>
              <w:rPr>
                <w:rFonts w:hint="default" w:hAnsi="宋体"/>
                <w:szCs w:val="21"/>
                <w:lang w:val="en-US" w:eastAsia="zh-CN"/>
              </w:rPr>
              <w:t>电    话：0431-85097540</w:t>
            </w:r>
          </w:p>
          <w:p w14:paraId="6FE9089E">
            <w:pPr>
              <w:pStyle w:val="2"/>
              <w:spacing w:line="360" w:lineRule="auto"/>
              <w:rPr>
                <w:rFonts w:hint="default" w:hAnsi="宋体"/>
                <w:szCs w:val="21"/>
                <w:lang w:val="en-US" w:eastAsia="zh-CN"/>
              </w:rPr>
            </w:pPr>
            <w:r>
              <w:rPr>
                <w:rFonts w:hint="default" w:hAnsi="宋体"/>
                <w:szCs w:val="21"/>
                <w:lang w:val="en-US" w:eastAsia="zh-CN"/>
              </w:rPr>
              <w:t>邮　　编：130021</w:t>
            </w:r>
          </w:p>
        </w:tc>
        <w:tc>
          <w:tcPr>
            <w:tcW w:w="5103" w:type="dxa"/>
            <w:tcBorders>
              <w:top w:val="single" w:color="FFFFFF" w:sz="4" w:space="0"/>
              <w:left w:val="single" w:color="FFFFFF" w:sz="4" w:space="0"/>
              <w:bottom w:val="single" w:color="FFFFFF" w:sz="4" w:space="0"/>
              <w:right w:val="single" w:color="FFFFFF" w:sz="4" w:space="0"/>
            </w:tcBorders>
            <w:noWrap w:val="0"/>
            <w:vAlign w:val="top"/>
          </w:tcPr>
          <w:p w14:paraId="5B2A7C6D">
            <w:pPr>
              <w:autoSpaceDE w:val="0"/>
              <w:autoSpaceDN w:val="0"/>
              <w:adjustRightInd w:val="0"/>
              <w:spacing w:line="360" w:lineRule="auto"/>
              <w:rPr>
                <w:rFonts w:hint="eastAsia" w:ascii="宋体" w:hAnsi="宋体"/>
                <w:szCs w:val="21"/>
              </w:rPr>
            </w:pPr>
          </w:p>
        </w:tc>
      </w:tr>
    </w:tbl>
    <w:p w14:paraId="1AC09841">
      <w:pPr>
        <w:spacing w:line="240" w:lineRule="auto"/>
        <w:ind w:right="0" w:firstLine="0"/>
        <w:jc w:val="left"/>
        <w:rPr>
          <w:rFonts w:ascii="宋体" w:hAnsi="宋体"/>
          <w:szCs w:val="21"/>
        </w:rPr>
      </w:pPr>
    </w:p>
    <w:p w14:paraId="74CEA064">
      <w:pPr>
        <w:spacing w:line="360" w:lineRule="auto"/>
        <w:ind w:right="420" w:firstLine="435"/>
        <w:jc w:val="right"/>
        <w:rPr>
          <w:rFonts w:ascii="宋体" w:hAnsi="宋体"/>
          <w:szCs w:val="21"/>
        </w:rPr>
      </w:pPr>
    </w:p>
    <w:p w14:paraId="1D5091C3">
      <w:pPr>
        <w:spacing w:line="360" w:lineRule="auto"/>
        <w:ind w:right="420" w:firstLine="435"/>
        <w:jc w:val="right"/>
        <w:rPr>
          <w:rFonts w:ascii="宋体" w:hAnsi="宋体"/>
          <w:szCs w:val="21"/>
        </w:rPr>
      </w:pPr>
    </w:p>
    <w:p w14:paraId="58D63F57"/>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BatangChe">
    <w:panose1 w:val="02030609000101010101"/>
    <w:charset w:val="81"/>
    <w:family w:val="modern"/>
    <w:pitch w:val="default"/>
    <w:sig w:usb0="B00002AF" w:usb1="69D77CFB" w:usb2="00000030" w:usb3="00000000" w:csb0="4008009F" w:csb1="DFD7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6">
    <w:p>
      <w:r>
        <w:separator/>
      </w:r>
    </w:p>
  </w:footnote>
  <w:footnote w:type="continuationSeparator" w:id="7">
    <w:p>
      <w:r>
        <w:continuationSeparator/>
      </w:r>
    </w:p>
  </w:footnote>
  <w:footnote w:id="0">
    <w:p w14:paraId="31984E3D">
      <w:pPr>
        <w:pStyle w:val="9"/>
      </w:pPr>
      <w:r>
        <w:rPr>
          <w:rStyle w:val="14"/>
        </w:rPr>
        <w:footnoteRef/>
      </w:r>
      <w:r>
        <w:rPr>
          <w:rFonts w:hint="eastAsia" w:ascii="BatangChe" w:hAnsi="BatangChe"/>
        </w:rPr>
        <w:t>“</w:t>
      </w:r>
      <w:r>
        <w:rPr>
          <w:rFonts w:hint="eastAsia" w:ascii="BatangChe" w:hAnsi="BatangChe"/>
          <w:spacing w:val="-6"/>
        </w:rPr>
        <w:t>投标人自有人员”指</w:t>
      </w:r>
      <w:r>
        <w:t>社保缴费证明中</w:t>
      </w:r>
      <w:r>
        <w:rPr>
          <w:rFonts w:hint="eastAsia" w:ascii="宋体" w:hAnsi="宋体"/>
        </w:rPr>
        <w:t>缴费单位与投标人名称一致</w:t>
      </w:r>
      <w:r>
        <w:rPr>
          <w:rFonts w:hint="eastAsia" w:ascii="BatangChe" w:hAnsi="BatangChe"/>
          <w:spacing w:val="-6"/>
        </w:rPr>
        <w:t>。</w:t>
      </w:r>
      <w:r>
        <w:rPr>
          <w:rFonts w:hint="eastAsia" w:ascii="宋体" w:hAnsi="宋体"/>
          <w:lang w:val="zh-CN"/>
        </w:rPr>
        <w:t>如果投标人属事业法人单位，则应提供拟委任的中心试验室主任是投标人单位职工的有效书面证明材料。</w:t>
      </w:r>
    </w:p>
  </w:footnote>
  <w:footnote w:id="1">
    <w:p w14:paraId="6B14FD30">
      <w:pPr>
        <w:pStyle w:val="9"/>
      </w:pPr>
      <w:r>
        <w:rPr>
          <w:rStyle w:val="14"/>
        </w:rPr>
        <w:footnoteRef/>
      </w:r>
      <w:r>
        <w:rPr>
          <w:rFonts w:hint="eastAsia" w:ascii="宋体" w:hAnsi="宋体" w:cs="宋体"/>
          <w:lang w:val="zh-CN"/>
        </w:rPr>
        <w:t>公路工程相关专业职称包括公路工程、桥梁工程、公路与桥梁工程、交通土建、隧道（地下结构）工程、交通工程等专业职称。如职称证上无专业，则以毕业证上的专业为准。</w:t>
      </w:r>
    </w:p>
  </w:footnote>
  <w:footnote w:id="2">
    <w:p w14:paraId="2A68AAD8">
      <w:pPr>
        <w:pStyle w:val="9"/>
        <w:rPr>
          <w:rFonts w:ascii="楷体" w:hAnsi="楷体" w:eastAsia="楷体"/>
        </w:rPr>
      </w:pPr>
      <w:r>
        <w:rPr>
          <w:rStyle w:val="14"/>
          <w:rFonts w:ascii="楷体" w:hAnsi="楷体" w:eastAsia="楷体"/>
        </w:rPr>
        <w:footnoteRef/>
      </w:r>
      <w:r>
        <w:rPr>
          <w:rFonts w:hint="eastAsia" w:ascii="楷体" w:hAnsi="楷体" w:eastAsia="楷体"/>
        </w:rPr>
        <w:t>各评分因素（评标价和履约信誉评分项除外）得分一般不得低于其权重分值的60%，且各评分因素得分应以评标委员会各成员的打分平均值确定，评标委员会成员总数为7人以上时，该平均值以去掉一个最高分和一个最低分后计算，得分保留二位小数。评标委员会成员对某一项评分因素的评分低于权重分值60%的，应在评标报告中作出说明。</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6"/>
    <w:footnote w:id="7"/>
  </w:foot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WQ3ODgyNzM2NGM4NmQ1NzM3MGU2MTA0YmIwNDk4YTgifQ=="/>
  </w:docVars>
  <w:rsids>
    <w:rsidRoot w:val="009A2983"/>
    <w:rsid w:val="000D23E3"/>
    <w:rsid w:val="004B7924"/>
    <w:rsid w:val="00726DA4"/>
    <w:rsid w:val="007E187F"/>
    <w:rsid w:val="009045BD"/>
    <w:rsid w:val="009A2983"/>
    <w:rsid w:val="00A403E2"/>
    <w:rsid w:val="00DA00B9"/>
    <w:rsid w:val="1E5866DD"/>
    <w:rsid w:val="21967041"/>
    <w:rsid w:val="22E67D38"/>
    <w:rsid w:val="316F5376"/>
    <w:rsid w:val="32CB7957"/>
    <w:rsid w:val="33FB7DDF"/>
    <w:rsid w:val="365E2B15"/>
    <w:rsid w:val="38A26A7B"/>
    <w:rsid w:val="510F4A72"/>
    <w:rsid w:val="570745C6"/>
    <w:rsid w:val="581D5CC6"/>
    <w:rsid w:val="5A790B6A"/>
    <w:rsid w:val="5B793214"/>
    <w:rsid w:val="61AB5BD3"/>
    <w:rsid w:val="61DE2022"/>
    <w:rsid w:val="729E724D"/>
    <w:rsid w:val="76942A99"/>
    <w:rsid w:val="7A1268B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99"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2"/>
    <w:basedOn w:val="1"/>
    <w:next w:val="1"/>
    <w:qFormat/>
    <w:uiPriority w:val="9"/>
    <w:pPr>
      <w:keepNext/>
      <w:keepLines/>
      <w:spacing w:before="260" w:after="260" w:line="416" w:lineRule="auto"/>
      <w:outlineLvl w:val="1"/>
    </w:pPr>
    <w:rPr>
      <w:rFonts w:ascii="Cambria" w:hAnsi="Cambria"/>
      <w:b/>
      <w:bCs/>
      <w:kern w:val="0"/>
      <w:sz w:val="32"/>
      <w:szCs w:val="32"/>
    </w:rPr>
  </w:style>
  <w:style w:type="paragraph" w:styleId="4">
    <w:name w:val="heading 3"/>
    <w:basedOn w:val="1"/>
    <w:next w:val="1"/>
    <w:autoRedefine/>
    <w:qFormat/>
    <w:uiPriority w:val="9"/>
    <w:pPr>
      <w:keepNext/>
      <w:keepLines/>
      <w:spacing w:before="260" w:after="260" w:line="416" w:lineRule="auto"/>
      <w:outlineLvl w:val="2"/>
    </w:pPr>
    <w:rPr>
      <w:b/>
      <w:bCs/>
      <w:kern w:val="0"/>
      <w:sz w:val="32"/>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Plain Text"/>
    <w:basedOn w:val="1"/>
    <w:uiPriority w:val="0"/>
    <w:rPr>
      <w:rFonts w:ascii="宋体" w:hAnsi="Courier New" w:cs="Courier New"/>
      <w:szCs w:val="21"/>
    </w:rPr>
  </w:style>
  <w:style w:type="paragraph" w:styleId="5">
    <w:name w:val="index 5"/>
    <w:basedOn w:val="1"/>
    <w:next w:val="1"/>
    <w:autoRedefine/>
    <w:qFormat/>
    <w:uiPriority w:val="0"/>
    <w:pPr>
      <w:adjustRightInd w:val="0"/>
      <w:snapToGrid w:val="0"/>
      <w:spacing w:line="360" w:lineRule="auto"/>
      <w:jc w:val="center"/>
    </w:pPr>
    <w:rPr>
      <w:rFonts w:ascii="宋体" w:hAnsi="宋体" w:cs="宋体"/>
      <w:bCs/>
      <w:kern w:val="0"/>
      <w:szCs w:val="21"/>
    </w:rPr>
  </w:style>
  <w:style w:type="paragraph" w:styleId="6">
    <w:name w:val="Date"/>
    <w:basedOn w:val="1"/>
    <w:next w:val="1"/>
    <w:qFormat/>
    <w:uiPriority w:val="0"/>
    <w:pPr>
      <w:ind w:left="100" w:leftChars="2500"/>
    </w:pPr>
    <w:rPr>
      <w:szCs w:val="24"/>
    </w:rPr>
  </w:style>
  <w:style w:type="paragraph" w:styleId="7">
    <w:name w:val="footer"/>
    <w:basedOn w:val="1"/>
    <w:link w:val="19"/>
    <w:qFormat/>
    <w:uiPriority w:val="0"/>
    <w:pPr>
      <w:tabs>
        <w:tab w:val="center" w:pos="4153"/>
        <w:tab w:val="right" w:pos="8306"/>
      </w:tabs>
      <w:snapToGrid w:val="0"/>
      <w:jc w:val="left"/>
    </w:pPr>
    <w:rPr>
      <w:sz w:val="18"/>
      <w:szCs w:val="18"/>
    </w:rPr>
  </w:style>
  <w:style w:type="paragraph" w:styleId="8">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styleId="9">
    <w:name w:val="footnote text"/>
    <w:basedOn w:val="1"/>
    <w:unhideWhenUsed/>
    <w:qFormat/>
    <w:uiPriority w:val="0"/>
    <w:pPr>
      <w:snapToGrid w:val="0"/>
      <w:jc w:val="left"/>
    </w:pPr>
    <w:rPr>
      <w:kern w:val="0"/>
      <w:sz w:val="18"/>
      <w:szCs w:val="18"/>
    </w:rPr>
  </w:style>
  <w:style w:type="paragraph" w:styleId="10">
    <w:name w:val="Body Text Indent 3"/>
    <w:basedOn w:val="1"/>
    <w:qFormat/>
    <w:uiPriority w:val="99"/>
    <w:pPr>
      <w:spacing w:line="420" w:lineRule="exact"/>
      <w:ind w:firstLine="420" w:firstLineChars="200"/>
    </w:pPr>
    <w:rPr>
      <w:szCs w:val="24"/>
    </w:rPr>
  </w:style>
  <w:style w:type="table" w:styleId="12">
    <w:name w:val="Table Grid"/>
    <w:basedOn w:val="11"/>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footnote reference"/>
    <w:basedOn w:val="13"/>
    <w:qFormat/>
    <w:uiPriority w:val="0"/>
    <w:rPr>
      <w:vertAlign w:val="superscript"/>
    </w:rPr>
  </w:style>
  <w:style w:type="paragraph" w:customStyle="1" w:styleId="15">
    <w:name w:val="样式3"/>
    <w:basedOn w:val="1"/>
    <w:autoRedefine/>
    <w:qFormat/>
    <w:uiPriority w:val="0"/>
    <w:pPr>
      <w:keepNext/>
      <w:keepLines/>
      <w:spacing w:line="400" w:lineRule="exact"/>
      <w:outlineLvl w:val="0"/>
    </w:pPr>
    <w:rPr>
      <w:b/>
      <w:bCs/>
      <w:kern w:val="44"/>
      <w:sz w:val="28"/>
      <w:szCs w:val="44"/>
    </w:rPr>
  </w:style>
  <w:style w:type="paragraph" w:customStyle="1" w:styleId="16">
    <w:name w:val="Default"/>
    <w:next w:val="6"/>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7">
    <w:name w:val="正文文本 (14)"/>
    <w:basedOn w:val="1"/>
    <w:autoRedefine/>
    <w:qFormat/>
    <w:uiPriority w:val="0"/>
    <w:pPr>
      <w:shd w:val="clear" w:color="auto" w:fill="FFFFFF"/>
      <w:spacing w:before="300" w:line="300" w:lineRule="exact"/>
      <w:jc w:val="distribute"/>
    </w:pPr>
    <w:rPr>
      <w:rFonts w:ascii="宋体" w:hAnsi="宋体"/>
      <w:kern w:val="0"/>
      <w:sz w:val="18"/>
      <w:szCs w:val="18"/>
    </w:rPr>
  </w:style>
  <w:style w:type="character" w:customStyle="1" w:styleId="18">
    <w:name w:val="页眉 Char"/>
    <w:basedOn w:val="13"/>
    <w:link w:val="8"/>
    <w:qFormat/>
    <w:uiPriority w:val="0"/>
    <w:rPr>
      <w:rFonts w:ascii="Times New Roman" w:hAnsi="Times New Roman" w:eastAsia="宋体" w:cs="Times New Roman"/>
      <w:kern w:val="2"/>
      <w:sz w:val="18"/>
      <w:szCs w:val="18"/>
    </w:rPr>
  </w:style>
  <w:style w:type="character" w:customStyle="1" w:styleId="19">
    <w:name w:val="页脚 Char"/>
    <w:basedOn w:val="13"/>
    <w:link w:val="7"/>
    <w:qFormat/>
    <w:uiPriority w:val="0"/>
    <w:rPr>
      <w:rFonts w:ascii="Times New Roman" w:hAnsi="Times New Roman" w:eastAsia="宋体" w:cs="Times New Roman"/>
      <w:kern w:val="2"/>
      <w:sz w:val="18"/>
      <w:szCs w:val="18"/>
    </w:rPr>
  </w:style>
  <w:style w:type="paragraph" w:styleId="20">
    <w:name w:val="List Paragraph"/>
    <w:basedOn w:val="1"/>
    <w:autoRedefine/>
    <w:qFormat/>
    <w:uiPriority w:val="1"/>
    <w:pPr>
      <w:ind w:firstLine="420" w:firstLineChars="200"/>
    </w:pPr>
  </w:style>
  <w:style w:type="paragraph" w:customStyle="1" w:styleId="21">
    <w:name w:val="正文_2"/>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4809</Words>
  <Characters>5279</Characters>
  <Lines>35</Lines>
  <Paragraphs>10</Paragraphs>
  <TotalTime>0</TotalTime>
  <ScaleCrop>false</ScaleCrop>
  <LinksUpToDate>false</LinksUpToDate>
  <CharactersWithSpaces>5351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2023-04-17T02:02:00Z</dcterms:created>
  <dc:creator>Administrator</dc:creator>
  <cp:lastModifiedBy>Administrator</cp:lastModifiedBy>
  <dcterms:modified xsi:type="dcterms:W3CDTF">2025-05-07T07:33:35Z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1B3AA97093C046E08A2AF35C2967AE13_12</vt:lpwstr>
  </property>
  <property fmtid="{D5CDD505-2E9C-101B-9397-08002B2CF9AE}" pid="4" name="KSOTemplateDocerSaveRecord">
    <vt:lpwstr>eyJoZGlkIjoiOWQ3ODgyNzM2NGM4NmQ1NzM3MGU2MTA0YmIwNDk4YTgiLCJ1c2VySWQiOiI4NDI1MTcyNzQifQ==</vt:lpwstr>
  </property>
</Properties>
</file>