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Cs/>
          <w:szCs w:val="21"/>
          <w:highlight w:val="none"/>
          <w:shd w:val="clear" w:color="auto" w:fill="FFFFFF"/>
        </w:rPr>
      </w:pPr>
      <w:bookmarkStart w:id="19" w:name="_GoBack"/>
      <w:r>
        <w:rPr>
          <w:rFonts w:hint="eastAsia" w:ascii="黑体" w:hAnsi="黑体" w:eastAsia="黑体" w:cs="黑体"/>
          <w:szCs w:val="21"/>
          <w:highlight w:val="none"/>
        </w:rPr>
        <w:t>珲乌高速公路大安南互通工程勘察设计</w:t>
      </w:r>
    </w:p>
    <w:p>
      <w:pPr>
        <w:spacing w:line="360" w:lineRule="auto"/>
        <w:jc w:val="center"/>
        <w:rPr>
          <w:rFonts w:ascii="黑体" w:hAnsi="黑体" w:eastAsia="黑体"/>
          <w:szCs w:val="21"/>
          <w:highlight w:val="none"/>
          <w:shd w:val="clear" w:color="auto" w:fill="FFFFFF"/>
        </w:rPr>
      </w:pPr>
      <w:r>
        <w:rPr>
          <w:rFonts w:hint="eastAsia" w:ascii="黑体" w:hAnsi="黑体" w:eastAsia="黑体"/>
          <w:bCs/>
          <w:szCs w:val="21"/>
          <w:highlight w:val="none"/>
          <w:shd w:val="clear" w:color="auto" w:fill="FFFFFF"/>
        </w:rPr>
        <w:t>招标文件关键内容公示</w:t>
      </w:r>
    </w:p>
    <w:p>
      <w:pPr>
        <w:pStyle w:val="12"/>
        <w:numPr>
          <w:ilvl w:val="0"/>
          <w:numId w:val="1"/>
        </w:numPr>
        <w:spacing w:line="360" w:lineRule="auto"/>
        <w:ind w:firstLineChars="0"/>
        <w:rPr>
          <w:rFonts w:ascii="黑体" w:hAnsi="黑体" w:eastAsia="黑体"/>
          <w:szCs w:val="21"/>
          <w:highlight w:val="none"/>
          <w:shd w:val="clear" w:color="auto" w:fill="FFFFFF"/>
        </w:rPr>
      </w:pPr>
      <w:r>
        <w:rPr>
          <w:rFonts w:hint="eastAsia" w:ascii="黑体" w:hAnsi="黑体" w:eastAsia="黑体"/>
          <w:szCs w:val="21"/>
          <w:highlight w:val="none"/>
          <w:shd w:val="clear" w:color="auto" w:fill="FFFFFF"/>
        </w:rPr>
        <w:t>项目概况</w:t>
      </w:r>
    </w:p>
    <w:p>
      <w:pPr>
        <w:spacing w:line="360" w:lineRule="auto"/>
        <w:ind w:firstLine="420" w:firstLineChars="200"/>
        <w:rPr>
          <w:szCs w:val="21"/>
          <w:highlight w:val="none"/>
        </w:rPr>
      </w:pPr>
      <w:r>
        <w:rPr>
          <w:rFonts w:hint="eastAsia" w:ascii="宋体" w:hAnsi="宋体" w:cs="宋体"/>
          <w:szCs w:val="21"/>
          <w:highlight w:val="none"/>
        </w:rPr>
        <w:t>本招标项目</w:t>
      </w:r>
      <w:r>
        <w:rPr>
          <w:rFonts w:hint="eastAsia" w:ascii="宋体" w:hAnsi="宋体" w:cs="宋体"/>
          <w:highlight w:val="none"/>
        </w:rPr>
        <w:t>珲乌高速公路大安南互通工程</w:t>
      </w:r>
      <w:r>
        <w:rPr>
          <w:rFonts w:hint="eastAsia"/>
          <w:highlight w:val="none"/>
        </w:rPr>
        <w:t>已由吉林省发展和改革委员会以《吉林省发展和改革委关于</w:t>
      </w:r>
      <w:r>
        <w:rPr>
          <w:rFonts w:hint="eastAsia" w:ascii="宋体" w:hAnsi="宋体" w:cs="宋体"/>
          <w:highlight w:val="none"/>
        </w:rPr>
        <w:t>珲乌高速公路大安南互通工程可行性研究报告的批复</w:t>
      </w:r>
      <w:r>
        <w:rPr>
          <w:rFonts w:hint="eastAsia"/>
          <w:highlight w:val="none"/>
        </w:rPr>
        <w:t>》（吉发改审批</w:t>
      </w:r>
      <w:r>
        <w:rPr>
          <w:rFonts w:hint="eastAsia" w:ascii="宋体" w:hAnsi="宋体"/>
          <w:highlight w:val="none"/>
        </w:rPr>
        <w:t>[</w:t>
      </w:r>
      <w:r>
        <w:rPr>
          <w:highlight w:val="none"/>
        </w:rPr>
        <w:t>20</w:t>
      </w:r>
      <w:r>
        <w:rPr>
          <w:rFonts w:hint="eastAsia"/>
          <w:highlight w:val="none"/>
        </w:rPr>
        <w:t>19</w:t>
      </w:r>
      <w:r>
        <w:rPr>
          <w:rFonts w:hint="eastAsia" w:ascii="宋体" w:hAnsi="宋体"/>
          <w:highlight w:val="none"/>
        </w:rPr>
        <w:t>]</w:t>
      </w:r>
      <w:r>
        <w:rPr>
          <w:rFonts w:hint="eastAsia"/>
          <w:highlight w:val="none"/>
        </w:rPr>
        <w:t>260号）批准建设</w:t>
      </w:r>
      <w:r>
        <w:rPr>
          <w:rFonts w:hint="eastAsia" w:ascii="宋体" w:hAnsi="宋体" w:cs="宋体"/>
          <w:highlight w:val="none"/>
        </w:rPr>
        <w:t>。项目业主为大安市路桥建设投资有限公司，建设资金为</w:t>
      </w:r>
      <w:r>
        <w:rPr>
          <w:rFonts w:hint="eastAsia" w:ascii="宋体" w:hAnsi="宋体" w:cs="宋体"/>
          <w:bCs/>
          <w:highlight w:val="none"/>
        </w:rPr>
        <w:t>大安市财政性资金，出资比例为100%，招标人为</w:t>
      </w:r>
      <w:r>
        <w:rPr>
          <w:rFonts w:hint="eastAsia" w:ascii="宋体" w:hAnsi="宋体" w:cs="宋体"/>
          <w:highlight w:val="none"/>
        </w:rPr>
        <w:t>大安市路桥建设投资有限公司。项目已具备招标条件，现对该项目的勘察设计进行公开招标</w:t>
      </w:r>
      <w:r>
        <w:rPr>
          <w:rFonts w:hint="eastAsia" w:ascii="宋体" w:hAnsi="宋体" w:cs="宋体"/>
          <w:szCs w:val="21"/>
          <w:highlight w:val="none"/>
        </w:rPr>
        <w:t>。</w:t>
      </w:r>
    </w:p>
    <w:p>
      <w:pPr>
        <w:tabs>
          <w:tab w:val="left" w:pos="851"/>
        </w:tabs>
        <w:spacing w:line="360" w:lineRule="auto"/>
        <w:rPr>
          <w:rFonts w:ascii="黑体" w:hAnsi="黑体" w:eastAsia="黑体"/>
          <w:szCs w:val="21"/>
          <w:highlight w:val="none"/>
          <w:shd w:val="clear" w:color="auto" w:fill="FFFFFF"/>
        </w:rPr>
      </w:pPr>
      <w:r>
        <w:rPr>
          <w:rFonts w:hint="eastAsia" w:ascii="黑体" w:hAnsi="黑体" w:eastAsia="黑体"/>
          <w:szCs w:val="21"/>
          <w:highlight w:val="none"/>
          <w:shd w:val="clear" w:color="auto" w:fill="FFFFFF"/>
        </w:rPr>
        <w:t>二、</w:t>
      </w:r>
      <w:r>
        <w:rPr>
          <w:rFonts w:ascii="黑体" w:hAnsi="黑体" w:eastAsia="黑体"/>
          <w:szCs w:val="21"/>
          <w:highlight w:val="none"/>
          <w:shd w:val="clear" w:color="auto" w:fill="FFFFFF"/>
        </w:rPr>
        <w:t>建设规模及招标范围：</w:t>
      </w:r>
    </w:p>
    <w:p>
      <w:pPr>
        <w:numPr>
          <w:ilvl w:val="1"/>
          <w:numId w:val="2"/>
        </w:numPr>
        <w:tabs>
          <w:tab w:val="left" w:pos="851"/>
        </w:tabs>
        <w:spacing w:line="360" w:lineRule="auto"/>
        <w:ind w:left="0" w:firstLine="426"/>
        <w:rPr>
          <w:rFonts w:ascii="宋体" w:hAnsi="宋体" w:cs="宋体"/>
          <w:highlight w:val="none"/>
        </w:rPr>
      </w:pPr>
      <w:r>
        <w:rPr>
          <w:rFonts w:hint="eastAsia" w:ascii="宋体" w:hAnsi="宋体" w:cs="宋体"/>
          <w:highlight w:val="none"/>
        </w:rPr>
        <w:t>建设地点：本互通立交项目位于大安市南部赵海窝棚（赵家窝棚）西北侧和现有珲乌高速公路K705+500至K707+573之间；A匝道与国道珲阿公路（G302）连接；辅助车道起点位于珲乌高速K706+553，终点位于珲乌高速K707+573。</w:t>
      </w:r>
    </w:p>
    <w:p>
      <w:pPr>
        <w:numPr>
          <w:ilvl w:val="1"/>
          <w:numId w:val="2"/>
        </w:numPr>
        <w:tabs>
          <w:tab w:val="left" w:pos="851"/>
        </w:tabs>
        <w:spacing w:line="360" w:lineRule="auto"/>
        <w:ind w:left="0" w:firstLine="426"/>
        <w:rPr>
          <w:rFonts w:ascii="宋体" w:hAnsi="宋体" w:cs="宋体"/>
          <w:highlight w:val="none"/>
        </w:rPr>
      </w:pPr>
      <w:r>
        <w:rPr>
          <w:rFonts w:hint="eastAsia" w:ascii="宋体" w:hAnsi="宋体" w:cs="宋体"/>
          <w:highlight w:val="none"/>
        </w:rPr>
        <w:t>建设规模及主要建设内容：新建珲乌高速公路大安南互通立交1处。其中：新建匝道总长度2.01公里，新建珲乌高速辅助车道长度1.02公里，设置跨线桥127米/1座，改造通道1处，新建收费站业务用房建筑面积1200平方米。互通匝道设计速度40-60公里/小时；A匝道（含收费广场）采用双向四车道，路基宽度分段为25.5米和19.5米；B、D、E匝道采用单向单车道，路基宽度为10.5米；C匝道采用单向双车道，路基宽度为10.5米。汽车荷载等级采用公路-Ⅰ级。</w:t>
      </w:r>
    </w:p>
    <w:p>
      <w:pPr>
        <w:numPr>
          <w:ilvl w:val="1"/>
          <w:numId w:val="2"/>
        </w:numPr>
        <w:tabs>
          <w:tab w:val="left" w:pos="851"/>
        </w:tabs>
        <w:spacing w:line="360" w:lineRule="auto"/>
        <w:ind w:left="0" w:firstLine="426"/>
        <w:rPr>
          <w:rFonts w:ascii="宋体" w:hAnsi="宋体" w:cs="宋体"/>
          <w:highlight w:val="none"/>
        </w:rPr>
      </w:pPr>
      <w:r>
        <w:rPr>
          <w:rFonts w:hint="eastAsia" w:ascii="宋体" w:hAnsi="宋体" w:cs="宋体"/>
          <w:highlight w:val="none"/>
        </w:rPr>
        <w:t>勘察设计服务期限：</w:t>
      </w:r>
      <w:r>
        <w:rPr>
          <w:rFonts w:hint="eastAsia" w:ascii="宋体" w:hAnsi="宋体" w:cs="宋体"/>
          <w:highlight w:val="none"/>
        </w:rPr>
        <w:t>从开始勘察设计通知之日起至本项目缺陷责任期终止之日止，其中：施工图设计在2020年3月31日前完成。</w:t>
      </w:r>
    </w:p>
    <w:p>
      <w:pPr>
        <w:numPr>
          <w:ilvl w:val="1"/>
          <w:numId w:val="2"/>
        </w:numPr>
        <w:tabs>
          <w:tab w:val="left" w:pos="851"/>
        </w:tabs>
        <w:spacing w:line="360" w:lineRule="auto"/>
        <w:ind w:left="0" w:firstLine="426"/>
        <w:rPr>
          <w:rFonts w:ascii="宋体" w:hAnsi="宋体" w:cs="宋体"/>
          <w:highlight w:val="none"/>
        </w:rPr>
      </w:pPr>
      <w:r>
        <w:rPr>
          <w:rFonts w:hint="eastAsia" w:ascii="宋体" w:hAnsi="宋体" w:cs="宋体"/>
          <w:highlight w:val="none"/>
        </w:rPr>
        <w:t>招标范围：本项目一阶段勘察设计所有工作内容，包括：勘察设计、施工图预算，相关专项评估和审查，按施工标段编制预算、工程量清单、清单预算、最高投标限价等，设计变更、后续服务等。</w:t>
      </w:r>
    </w:p>
    <w:p>
      <w:pPr>
        <w:numPr>
          <w:ilvl w:val="1"/>
          <w:numId w:val="2"/>
        </w:numPr>
        <w:tabs>
          <w:tab w:val="left" w:pos="851"/>
        </w:tabs>
        <w:spacing w:line="360" w:lineRule="auto"/>
        <w:ind w:left="0" w:firstLine="426"/>
        <w:rPr>
          <w:rFonts w:ascii="宋体" w:hAnsi="宋体" w:cs="宋体"/>
          <w:highlight w:val="none"/>
        </w:rPr>
      </w:pPr>
      <w:r>
        <w:rPr>
          <w:rFonts w:hint="eastAsia" w:ascii="宋体" w:hAnsi="宋体" w:cs="宋体"/>
          <w:highlight w:val="none"/>
        </w:rPr>
        <w:t>标段划分：本次招标划分为1个标段，即SJ01标段。</w:t>
      </w:r>
    </w:p>
    <w:p>
      <w:pPr>
        <w:tabs>
          <w:tab w:val="left" w:pos="320"/>
          <w:tab w:val="left" w:pos="540"/>
        </w:tabs>
        <w:adjustRightInd w:val="0"/>
        <w:snapToGrid w:val="0"/>
        <w:spacing w:line="360" w:lineRule="auto"/>
        <w:rPr>
          <w:rFonts w:ascii="黑体" w:hAnsi="黑体" w:eastAsia="黑体"/>
          <w:szCs w:val="21"/>
          <w:highlight w:val="none"/>
          <w:shd w:val="clear" w:color="auto" w:fill="FFFFFF"/>
        </w:rPr>
      </w:pPr>
      <w:r>
        <w:rPr>
          <w:rFonts w:hint="eastAsia" w:ascii="Times New Roman" w:hAnsi="Times New Roman" w:eastAsia="宋体" w:cs="Times New Roman"/>
          <w:szCs w:val="21"/>
          <w:highlight w:val="none"/>
        </w:rPr>
        <w:t>三、</w:t>
      </w:r>
      <w:r>
        <w:rPr>
          <w:rFonts w:hint="eastAsia" w:ascii="黑体" w:hAnsi="黑体" w:eastAsia="黑体"/>
          <w:szCs w:val="21"/>
          <w:highlight w:val="none"/>
          <w:shd w:val="clear" w:color="auto" w:fill="FFFFFF"/>
        </w:rPr>
        <w:t>投标人最低资格要求</w:t>
      </w:r>
    </w:p>
    <w:p>
      <w:pPr>
        <w:numPr>
          <w:ilvl w:val="1"/>
          <w:numId w:val="3"/>
        </w:numPr>
        <w:tabs>
          <w:tab w:val="left" w:pos="851"/>
        </w:tabs>
        <w:spacing w:line="360" w:lineRule="auto"/>
        <w:ind w:left="0" w:firstLine="425"/>
        <w:rPr>
          <w:rFonts w:ascii="宋体" w:hAnsi="宋体" w:cs="宋体"/>
          <w:szCs w:val="21"/>
          <w:highlight w:val="none"/>
        </w:rPr>
      </w:pPr>
      <w:r>
        <w:rPr>
          <w:rFonts w:ascii="宋体" w:hAnsi="宋体" w:cs="宋体"/>
          <w:szCs w:val="21"/>
          <w:highlight w:val="none"/>
        </w:rPr>
        <w:t>本次招标要求投标人</w:t>
      </w:r>
      <w:r>
        <w:rPr>
          <w:rFonts w:hint="eastAsia" w:ascii="宋体" w:hAnsi="宋体" w:cs="宋体"/>
          <w:szCs w:val="21"/>
          <w:highlight w:val="none"/>
        </w:rPr>
        <w:t>须</w:t>
      </w:r>
      <w:r>
        <w:rPr>
          <w:rFonts w:ascii="宋体" w:hAnsi="宋体" w:cs="宋体"/>
          <w:szCs w:val="21"/>
          <w:highlight w:val="none"/>
        </w:rPr>
        <w:t>具备</w:t>
      </w:r>
      <w:r>
        <w:rPr>
          <w:rFonts w:hint="eastAsia" w:ascii="宋体" w:hAnsi="宋体" w:cs="宋体"/>
          <w:szCs w:val="21"/>
          <w:highlight w:val="none"/>
        </w:rPr>
        <w:t>工程勘察专业类（岩土工程（勘察）、工程测量）甲级资质、工程设计公路行业（公路、交通工程）专业甲级资质，2015年1月1日后（以相应的批复时间为准）</w:t>
      </w:r>
      <w:r>
        <w:rPr>
          <w:rFonts w:hint="eastAsia" w:ascii="宋体" w:hAnsi="宋体" w:cs="宋体"/>
          <w:kern w:val="0"/>
          <w:szCs w:val="21"/>
          <w:highlight w:val="none"/>
        </w:rPr>
        <w:t>完成过1处高速公路互通立交的设计业绩，</w:t>
      </w:r>
      <w:r>
        <w:rPr>
          <w:rFonts w:hint="eastAsia" w:ascii="宋体" w:hAnsi="宋体" w:cs="宋体"/>
          <w:szCs w:val="21"/>
          <w:highlight w:val="none"/>
        </w:rPr>
        <w:t>并在人员等方面具有相应的勘察设计能力。</w:t>
      </w:r>
      <w:bookmarkStart w:id="0" w:name="_Toc355376934"/>
    </w:p>
    <w:p>
      <w:pPr>
        <w:pStyle w:val="12"/>
        <w:spacing w:line="400" w:lineRule="exact"/>
        <w:ind w:left="425" w:firstLine="0" w:firstLineChars="0"/>
        <w:rPr>
          <w:rFonts w:ascii="楷体" w:hAnsi="楷体" w:eastAsia="楷体"/>
          <w:szCs w:val="21"/>
          <w:highlight w:val="none"/>
        </w:rPr>
      </w:pPr>
      <w:r>
        <w:rPr>
          <w:rFonts w:hint="eastAsia" w:ascii="楷体" w:hAnsi="楷体" w:eastAsia="楷体"/>
          <w:szCs w:val="21"/>
          <w:highlight w:val="none"/>
        </w:rPr>
        <w:t>注：①高速公路设计业绩均应为国内新建或改扩建高速公路的设计业绩，养护工程设计业绩不予认定。</w:t>
      </w:r>
    </w:p>
    <w:p>
      <w:pPr>
        <w:pStyle w:val="12"/>
        <w:spacing w:line="400" w:lineRule="exact"/>
        <w:ind w:left="425" w:firstLine="0" w:firstLineChars="0"/>
        <w:rPr>
          <w:rFonts w:ascii="楷体" w:hAnsi="楷体" w:eastAsia="楷体"/>
          <w:szCs w:val="21"/>
          <w:highlight w:val="none"/>
        </w:rPr>
      </w:pPr>
      <w:r>
        <w:rPr>
          <w:rFonts w:hint="eastAsia" w:ascii="楷体" w:hAnsi="楷体" w:eastAsia="楷体"/>
          <w:szCs w:val="21"/>
          <w:highlight w:val="none"/>
        </w:rPr>
        <w:t>②高速公路设计业绩均应是已</w:t>
      </w:r>
      <w:r>
        <w:rPr>
          <w:rFonts w:ascii="楷体" w:hAnsi="楷体" w:eastAsia="楷体"/>
          <w:szCs w:val="21"/>
          <w:highlight w:val="none"/>
        </w:rPr>
        <w:t>列入交通运输主管部门“公路建设市场信用信息管理系统”并公开的</w:t>
      </w:r>
      <w:r>
        <w:rPr>
          <w:rFonts w:hint="eastAsia" w:ascii="楷体" w:hAnsi="楷体" w:eastAsia="楷体"/>
          <w:szCs w:val="21"/>
          <w:highlight w:val="none"/>
        </w:rPr>
        <w:t>总</w:t>
      </w:r>
      <w:r>
        <w:rPr>
          <w:rFonts w:ascii="楷体" w:hAnsi="楷体" w:eastAsia="楷体"/>
          <w:szCs w:val="21"/>
          <w:highlight w:val="none"/>
        </w:rPr>
        <w:t>包业绩</w:t>
      </w:r>
      <w:r>
        <w:rPr>
          <w:rFonts w:hint="eastAsia" w:ascii="楷体" w:hAnsi="楷体" w:eastAsia="楷体"/>
          <w:szCs w:val="21"/>
          <w:highlight w:val="none"/>
        </w:rPr>
        <w:t>。</w:t>
      </w:r>
    </w:p>
    <w:p>
      <w:pPr>
        <w:pStyle w:val="12"/>
        <w:spacing w:line="400" w:lineRule="exact"/>
        <w:ind w:left="425" w:firstLine="0" w:firstLineChars="0"/>
        <w:rPr>
          <w:rFonts w:ascii="宋体" w:hAnsi="宋体" w:cs="宋体"/>
          <w:szCs w:val="21"/>
          <w:highlight w:val="none"/>
        </w:rPr>
      </w:pPr>
      <w:r>
        <w:rPr>
          <w:rFonts w:hint="eastAsia" w:ascii="楷体" w:hAnsi="楷体" w:eastAsia="楷体"/>
          <w:szCs w:val="21"/>
          <w:highlight w:val="none"/>
        </w:rPr>
        <w:t>③联合体投标的，高速公路设计业绩按牵头人业绩数量计算。</w:t>
      </w:r>
    </w:p>
    <w:p>
      <w:pPr>
        <w:tabs>
          <w:tab w:val="left" w:pos="851"/>
        </w:tabs>
        <w:spacing w:line="360" w:lineRule="auto"/>
        <w:ind w:firstLine="424" w:firstLineChars="202"/>
        <w:rPr>
          <w:rFonts w:ascii="宋体" w:hAnsi="宋体" w:cs="宋体"/>
          <w:szCs w:val="21"/>
          <w:highlight w:val="none"/>
        </w:rPr>
      </w:pPr>
      <w:r>
        <w:rPr>
          <w:rFonts w:hint="eastAsia"/>
          <w:szCs w:val="21"/>
          <w:highlight w:val="none"/>
        </w:rPr>
        <w:t>投标人应进入交通运输部“全国公路建设市场信用信息管理系统（http://glxy.mot.gov.cn）”中的设计企业名录，且投标人名称和设计资质与该名录中的相应企业名称和设计资质完全一致（仅限于公路设计资质）。</w:t>
      </w:r>
    </w:p>
    <w:p>
      <w:pPr>
        <w:numPr>
          <w:ilvl w:val="1"/>
          <w:numId w:val="3"/>
        </w:numPr>
        <w:tabs>
          <w:tab w:val="left" w:pos="851"/>
        </w:tabs>
        <w:spacing w:line="360" w:lineRule="auto"/>
        <w:ind w:left="0" w:firstLine="425"/>
        <w:rPr>
          <w:rFonts w:ascii="宋体" w:hAnsi="宋体" w:cs="宋体"/>
          <w:szCs w:val="21"/>
          <w:highlight w:val="none"/>
        </w:rPr>
      </w:pPr>
      <w:r>
        <w:rPr>
          <w:rFonts w:hint="eastAsia" w:ascii="宋体" w:hAnsi="宋体" w:cs="宋体"/>
          <w:bCs/>
          <w:szCs w:val="21"/>
          <w:highlight w:val="none"/>
        </w:rPr>
        <w:t>本次招标</w:t>
      </w:r>
      <w:r>
        <w:rPr>
          <w:rFonts w:hint="eastAsia" w:ascii="宋体" w:hAnsi="宋体" w:cs="宋体"/>
          <w:bCs/>
          <w:kern w:val="0"/>
          <w:szCs w:val="21"/>
          <w:highlight w:val="none"/>
        </w:rPr>
        <w:t>接受联合体投标</w:t>
      </w:r>
      <w:r>
        <w:rPr>
          <w:rFonts w:hint="eastAsia" w:ascii="宋体" w:hAnsi="宋体" w:cs="宋体"/>
          <w:bCs/>
          <w:szCs w:val="21"/>
          <w:highlight w:val="none"/>
        </w:rPr>
        <w:t>，联合体投标的，应满足下列要求：</w:t>
      </w:r>
    </w:p>
    <w:p>
      <w:pPr>
        <w:tabs>
          <w:tab w:val="left" w:pos="851"/>
        </w:tabs>
        <w:spacing w:line="360" w:lineRule="auto"/>
        <w:ind w:left="425"/>
        <w:rPr>
          <w:rFonts w:ascii="宋体" w:hAnsi="宋体" w:cs="宋体"/>
          <w:bCs/>
          <w:szCs w:val="21"/>
          <w:highlight w:val="none"/>
        </w:rPr>
      </w:pPr>
      <w:r>
        <w:rPr>
          <w:rFonts w:hint="eastAsia" w:ascii="宋体" w:hAnsi="宋体" w:cs="宋体"/>
          <w:bCs/>
          <w:szCs w:val="21"/>
          <w:highlight w:val="none"/>
        </w:rPr>
        <w:t>（1）联合体所有成员数量不得超过4家；</w:t>
      </w:r>
    </w:p>
    <w:p>
      <w:pPr>
        <w:tabs>
          <w:tab w:val="left" w:pos="851"/>
        </w:tabs>
        <w:spacing w:line="360" w:lineRule="auto"/>
        <w:ind w:left="425"/>
        <w:rPr>
          <w:rFonts w:ascii="宋体" w:hAnsi="宋体" w:cs="宋体"/>
          <w:szCs w:val="21"/>
          <w:highlight w:val="none"/>
        </w:rPr>
      </w:pPr>
      <w:r>
        <w:rPr>
          <w:rFonts w:hint="eastAsia" w:ascii="宋体" w:hAnsi="宋体" w:cs="宋体"/>
          <w:bCs/>
          <w:szCs w:val="21"/>
          <w:highlight w:val="none"/>
        </w:rPr>
        <w:t>（2）联合体牵头人应具有</w:t>
      </w:r>
      <w:r>
        <w:rPr>
          <w:rFonts w:hint="eastAsia" w:ascii="宋体" w:hAnsi="宋体" w:cs="宋体"/>
          <w:szCs w:val="21"/>
          <w:highlight w:val="none"/>
        </w:rPr>
        <w:t>工程设计公路行业（公路）专业甲级资质</w:t>
      </w:r>
      <w:bookmarkEnd w:id="0"/>
      <w:r>
        <w:rPr>
          <w:rFonts w:hint="eastAsia" w:ascii="宋体" w:hAnsi="宋体" w:cs="宋体"/>
          <w:szCs w:val="21"/>
          <w:highlight w:val="none"/>
        </w:rPr>
        <w:t>。</w:t>
      </w:r>
    </w:p>
    <w:p>
      <w:pPr>
        <w:numPr>
          <w:ilvl w:val="1"/>
          <w:numId w:val="3"/>
        </w:numPr>
        <w:tabs>
          <w:tab w:val="left" w:pos="851"/>
        </w:tabs>
        <w:spacing w:line="360" w:lineRule="auto"/>
        <w:ind w:left="0" w:firstLine="425"/>
        <w:rPr>
          <w:rFonts w:ascii="宋体" w:hAnsi="宋体" w:cs="宋体"/>
          <w:szCs w:val="21"/>
          <w:highlight w:val="none"/>
        </w:rPr>
      </w:pPr>
      <w:r>
        <w:rPr>
          <w:rFonts w:hint="eastAsia"/>
          <w:bCs/>
          <w:szCs w:val="21"/>
          <w:highlight w:val="none"/>
          <w:lang w:val="zh-CN"/>
        </w:rPr>
        <w:t>与招标人存在利害关系可能影响招标公正性的单位不得参加投标；单位负责人为同一人或者存在控股、管理关系的不同单位，不得参加同一标段投标，否则相关投标均无效。</w:t>
      </w:r>
    </w:p>
    <w:p>
      <w:pPr>
        <w:numPr>
          <w:ilvl w:val="1"/>
          <w:numId w:val="3"/>
        </w:numPr>
        <w:tabs>
          <w:tab w:val="left" w:pos="851"/>
        </w:tabs>
        <w:spacing w:line="360" w:lineRule="auto"/>
        <w:ind w:left="0" w:firstLine="425"/>
        <w:rPr>
          <w:rFonts w:ascii="宋体" w:hAnsi="宋体" w:cs="宋体"/>
          <w:szCs w:val="21"/>
          <w:highlight w:val="none"/>
        </w:rPr>
      </w:pPr>
      <w:r>
        <w:rPr>
          <w:rFonts w:hint="eastAsia"/>
          <w:bCs/>
          <w:szCs w:val="21"/>
          <w:highlight w:val="none"/>
          <w:lang w:val="zh-CN"/>
        </w:rPr>
        <w:t>在</w:t>
      </w:r>
      <w:r>
        <w:rPr>
          <w:rFonts w:hint="eastAsia" w:ascii="宋体" w:hAnsi="宋体" w:cs="宋体"/>
          <w:szCs w:val="21"/>
          <w:highlight w:val="none"/>
        </w:rPr>
        <w:t>“信用中国”网站（</w:t>
      </w:r>
      <w:r>
        <w:rPr>
          <w:rFonts w:hint="eastAsia" w:ascii="宋体" w:hAnsi="宋体" w:cs="宋体"/>
          <w:szCs w:val="21"/>
          <w:highlight w:val="none"/>
          <w:lang w:bidi="en-US"/>
        </w:rPr>
        <w:t>http://www.creditchina.gov.cn/</w:t>
      </w:r>
      <w:r>
        <w:rPr>
          <w:rFonts w:hint="eastAsia" w:ascii="宋体" w:hAnsi="宋体" w:cs="宋体"/>
          <w:szCs w:val="21"/>
          <w:highlight w:val="none"/>
        </w:rPr>
        <w:t>）中被列入失信被执行人名单的投标人，不得参加投标。</w:t>
      </w:r>
    </w:p>
    <w:p>
      <w:pPr>
        <w:pStyle w:val="12"/>
        <w:spacing w:before="100" w:beforeAutospacing="1"/>
        <w:ind w:left="425" w:firstLine="0" w:firstLineChars="0"/>
        <w:jc w:val="center"/>
        <w:outlineLvl w:val="2"/>
        <w:rPr>
          <w:rFonts w:ascii="黑体" w:hAnsi="黑体" w:eastAsia="黑体"/>
          <w:szCs w:val="21"/>
          <w:highlight w:val="none"/>
        </w:rPr>
      </w:pPr>
      <w:bookmarkStart w:id="1" w:name="_Toc8194670"/>
      <w:r>
        <w:rPr>
          <w:rFonts w:hint="eastAsia" w:ascii="黑体" w:hAnsi="黑体" w:eastAsia="黑体"/>
          <w:szCs w:val="21"/>
          <w:highlight w:val="none"/>
        </w:rPr>
        <w:t>附录1 资格审查条件（资质最低要求）</w:t>
      </w:r>
      <w:bookmarkEnd w:id="1"/>
    </w:p>
    <w:tbl>
      <w:tblPr>
        <w:tblStyle w:val="7"/>
        <w:tblW w:w="951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9516" w:type="dxa"/>
            <w:vAlign w:val="center"/>
          </w:tcPr>
          <w:p>
            <w:pPr>
              <w:jc w:val="center"/>
              <w:rPr>
                <w:rFonts w:ascii="宋体" w:hAnsi="宋体"/>
                <w:szCs w:val="21"/>
                <w:highlight w:val="none"/>
              </w:rPr>
            </w:pPr>
            <w:r>
              <w:rPr>
                <w:rFonts w:hint="eastAsia" w:ascii="宋体" w:hAnsi="宋体"/>
                <w:szCs w:val="21"/>
                <w:highlight w:val="none"/>
              </w:rPr>
              <w:t>勘察设计企业资质等级要求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jc w:val="center"/>
        </w:trPr>
        <w:tc>
          <w:tcPr>
            <w:tcW w:w="9516" w:type="dxa"/>
            <w:vAlign w:val="center"/>
          </w:tcPr>
          <w:p>
            <w:pPr>
              <w:ind w:firstLine="420" w:firstLineChars="200"/>
              <w:jc w:val="left"/>
              <w:rPr>
                <w:szCs w:val="21"/>
                <w:highlight w:val="none"/>
              </w:rPr>
            </w:pPr>
            <w:r>
              <w:rPr>
                <w:rFonts w:hint="eastAsia" w:ascii="宋体" w:hAnsi="宋体" w:cs="宋体"/>
                <w:szCs w:val="21"/>
                <w:highlight w:val="none"/>
              </w:rPr>
              <w:t>须</w:t>
            </w:r>
            <w:r>
              <w:rPr>
                <w:rFonts w:ascii="宋体" w:hAnsi="宋体" w:cs="宋体"/>
                <w:szCs w:val="21"/>
                <w:highlight w:val="none"/>
              </w:rPr>
              <w:t>具备</w:t>
            </w:r>
            <w:r>
              <w:rPr>
                <w:rFonts w:hint="eastAsia" w:ascii="宋体" w:hAnsi="宋体" w:cs="宋体"/>
                <w:szCs w:val="21"/>
                <w:highlight w:val="none"/>
              </w:rPr>
              <w:t>工程勘察专业类（岩土工程（勘察）、工程测量）甲级</w:t>
            </w:r>
            <w:r>
              <w:rPr>
                <w:rFonts w:hint="eastAsia" w:ascii="宋体" w:hAnsi="宋体" w:cs="宋体"/>
                <w:bCs/>
                <w:szCs w:val="21"/>
                <w:highlight w:val="none"/>
              </w:rPr>
              <w:t>资质</w:t>
            </w:r>
            <w:r>
              <w:rPr>
                <w:rFonts w:hint="eastAsia" w:ascii="宋体" w:hAnsi="宋体" w:cs="宋体"/>
                <w:szCs w:val="21"/>
                <w:highlight w:val="none"/>
              </w:rPr>
              <w:t>、工程设计公路行业（公路、交通工程）专业甲级资质</w:t>
            </w:r>
          </w:p>
        </w:tc>
      </w:tr>
    </w:tbl>
    <w:p>
      <w:pPr>
        <w:spacing w:before="100" w:beforeAutospacing="1"/>
        <w:jc w:val="center"/>
        <w:outlineLvl w:val="2"/>
        <w:rPr>
          <w:rFonts w:ascii="黑体" w:hAnsi="黑体" w:eastAsia="黑体"/>
          <w:szCs w:val="21"/>
          <w:highlight w:val="none"/>
        </w:rPr>
      </w:pPr>
      <w:bookmarkStart w:id="2" w:name="_Toc8194671"/>
      <w:r>
        <w:rPr>
          <w:rFonts w:hint="eastAsia" w:ascii="黑体" w:hAnsi="黑体" w:eastAsia="黑体"/>
          <w:szCs w:val="21"/>
          <w:highlight w:val="none"/>
        </w:rPr>
        <w:t>附录2资格审查条件（业绩最低要求）</w:t>
      </w:r>
      <w:bookmarkEnd w:id="2"/>
    </w:p>
    <w:tbl>
      <w:tblPr>
        <w:tblStyle w:val="7"/>
        <w:tblW w:w="95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9521" w:type="dxa"/>
            <w:vAlign w:val="center"/>
          </w:tcPr>
          <w:p>
            <w:pPr>
              <w:spacing w:line="360" w:lineRule="auto"/>
              <w:jc w:val="center"/>
              <w:rPr>
                <w:szCs w:val="21"/>
                <w:highlight w:val="none"/>
              </w:rPr>
            </w:pPr>
            <w:r>
              <w:rPr>
                <w:rFonts w:hint="eastAsia"/>
                <w:szCs w:val="21"/>
                <w:highlight w:val="none"/>
              </w:rPr>
              <w:t>业绩要求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4" w:hRule="atLeast"/>
          <w:jc w:val="center"/>
        </w:trPr>
        <w:tc>
          <w:tcPr>
            <w:tcW w:w="9521" w:type="dxa"/>
            <w:vAlign w:val="center"/>
          </w:tcPr>
          <w:p>
            <w:pPr>
              <w:spacing w:line="420" w:lineRule="exact"/>
              <w:ind w:firstLine="420" w:firstLineChars="200"/>
              <w:rPr>
                <w:rFonts w:ascii="宋体"/>
                <w:w w:val="90"/>
                <w:szCs w:val="21"/>
                <w:highlight w:val="none"/>
                <w:u w:val="single" w:color="FFFFFF"/>
              </w:rPr>
            </w:pPr>
            <w:r>
              <w:rPr>
                <w:rFonts w:hint="eastAsia" w:ascii="宋体" w:hAnsi="宋体" w:cs="宋体"/>
                <w:szCs w:val="21"/>
                <w:highlight w:val="none"/>
              </w:rPr>
              <w:t>2015年1月1日后（以相应的批复时间为准）累计</w:t>
            </w:r>
            <w:r>
              <w:rPr>
                <w:rFonts w:hint="eastAsia" w:ascii="宋体" w:hAnsi="宋体" w:cs="宋体"/>
                <w:kern w:val="0"/>
                <w:szCs w:val="21"/>
                <w:highlight w:val="none"/>
              </w:rPr>
              <w:t>完成过1处高速公路互通立交的设计业绩</w:t>
            </w:r>
          </w:p>
        </w:tc>
      </w:tr>
    </w:tbl>
    <w:p>
      <w:pPr>
        <w:pStyle w:val="12"/>
        <w:spacing w:line="400" w:lineRule="exact"/>
        <w:ind w:left="425" w:firstLine="0" w:firstLineChars="0"/>
        <w:rPr>
          <w:rFonts w:ascii="楷体" w:hAnsi="楷体" w:eastAsia="楷体"/>
          <w:szCs w:val="21"/>
          <w:highlight w:val="none"/>
        </w:rPr>
      </w:pPr>
      <w:bookmarkStart w:id="3" w:name="_Toc8194672"/>
      <w:r>
        <w:rPr>
          <w:rFonts w:hint="eastAsia" w:ascii="楷体" w:hAnsi="楷体" w:eastAsia="楷体"/>
          <w:szCs w:val="21"/>
          <w:highlight w:val="none"/>
        </w:rPr>
        <w:t>注：①高速公路设计业绩均应为国内新建或改扩建高速公路的设计业绩，养护工程设计业绩不予认定。</w:t>
      </w:r>
    </w:p>
    <w:p>
      <w:pPr>
        <w:pStyle w:val="12"/>
        <w:spacing w:line="400" w:lineRule="exact"/>
        <w:ind w:left="425" w:firstLine="0" w:firstLineChars="0"/>
        <w:rPr>
          <w:rFonts w:ascii="楷体" w:hAnsi="楷体" w:eastAsia="楷体"/>
          <w:szCs w:val="21"/>
          <w:highlight w:val="none"/>
        </w:rPr>
      </w:pPr>
      <w:r>
        <w:rPr>
          <w:rFonts w:hint="eastAsia" w:ascii="楷体" w:hAnsi="楷体" w:eastAsia="楷体"/>
          <w:szCs w:val="21"/>
          <w:highlight w:val="none"/>
        </w:rPr>
        <w:t>②高速公路设计业绩均应是已</w:t>
      </w:r>
      <w:r>
        <w:rPr>
          <w:rFonts w:ascii="楷体" w:hAnsi="楷体" w:eastAsia="楷体"/>
          <w:szCs w:val="21"/>
          <w:highlight w:val="none"/>
        </w:rPr>
        <w:t>列入交通运输主管部门“公路建设市场信用信息管理系统”并公开的</w:t>
      </w:r>
      <w:r>
        <w:rPr>
          <w:rFonts w:hint="eastAsia" w:ascii="楷体" w:hAnsi="楷体" w:eastAsia="楷体"/>
          <w:szCs w:val="21"/>
          <w:highlight w:val="none"/>
        </w:rPr>
        <w:t>总</w:t>
      </w:r>
      <w:r>
        <w:rPr>
          <w:rFonts w:ascii="楷体" w:hAnsi="楷体" w:eastAsia="楷体"/>
          <w:szCs w:val="21"/>
          <w:highlight w:val="none"/>
        </w:rPr>
        <w:t>包业绩</w:t>
      </w:r>
      <w:r>
        <w:rPr>
          <w:rFonts w:hint="eastAsia" w:ascii="楷体" w:hAnsi="楷体" w:eastAsia="楷体"/>
          <w:szCs w:val="21"/>
          <w:highlight w:val="none"/>
        </w:rPr>
        <w:t>。</w:t>
      </w:r>
    </w:p>
    <w:p>
      <w:pPr>
        <w:pStyle w:val="12"/>
        <w:spacing w:line="400" w:lineRule="exact"/>
        <w:ind w:left="425" w:firstLine="0" w:firstLineChars="0"/>
        <w:rPr>
          <w:rFonts w:ascii="楷体" w:hAnsi="楷体" w:eastAsia="楷体"/>
          <w:szCs w:val="21"/>
          <w:highlight w:val="none"/>
        </w:rPr>
      </w:pPr>
      <w:r>
        <w:rPr>
          <w:rFonts w:hint="eastAsia" w:ascii="楷体" w:hAnsi="楷体" w:eastAsia="楷体"/>
          <w:szCs w:val="21"/>
          <w:highlight w:val="none"/>
        </w:rPr>
        <w:t>③联合体投标的，高速公路设计业绩按牵头人业绩数量计算。</w:t>
      </w:r>
    </w:p>
    <w:p>
      <w:pPr>
        <w:spacing w:before="100" w:beforeAutospacing="1"/>
        <w:jc w:val="center"/>
        <w:outlineLvl w:val="2"/>
        <w:rPr>
          <w:rFonts w:ascii="黑体" w:hAnsi="黑体" w:eastAsia="黑体"/>
          <w:szCs w:val="21"/>
          <w:highlight w:val="none"/>
        </w:rPr>
      </w:pPr>
      <w:r>
        <w:rPr>
          <w:rFonts w:hint="eastAsia" w:ascii="黑体" w:hAnsi="黑体" w:eastAsia="黑体"/>
          <w:szCs w:val="21"/>
          <w:highlight w:val="none"/>
        </w:rPr>
        <w:t>附录3 资格审查条件（信誉最低要求）</w:t>
      </w:r>
      <w:bookmarkEnd w:id="3"/>
    </w:p>
    <w:tbl>
      <w:tblPr>
        <w:tblStyle w:val="7"/>
        <w:tblW w:w="95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jc w:val="center"/>
        </w:trPr>
        <w:tc>
          <w:tcPr>
            <w:tcW w:w="9540" w:type="dxa"/>
            <w:vAlign w:val="center"/>
          </w:tcPr>
          <w:p>
            <w:pPr>
              <w:jc w:val="center"/>
              <w:rPr>
                <w:szCs w:val="21"/>
                <w:highlight w:val="none"/>
              </w:rPr>
            </w:pPr>
            <w:r>
              <w:rPr>
                <w:rFonts w:hint="eastAsia"/>
                <w:szCs w:val="21"/>
                <w:highlight w:val="none"/>
              </w:rPr>
              <w:t>信誉要求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atLeast"/>
          <w:jc w:val="center"/>
        </w:trPr>
        <w:tc>
          <w:tcPr>
            <w:tcW w:w="9540" w:type="dxa"/>
          </w:tcPr>
          <w:p>
            <w:pPr>
              <w:ind w:firstLine="420" w:firstLineChars="200"/>
              <w:rPr>
                <w:szCs w:val="21"/>
                <w:highlight w:val="none"/>
              </w:rPr>
            </w:pPr>
            <w:r>
              <w:rPr>
                <w:rFonts w:hint="eastAsia"/>
                <w:szCs w:val="21"/>
                <w:highlight w:val="none"/>
              </w:rPr>
              <w:t>/</w:t>
            </w:r>
          </w:p>
        </w:tc>
      </w:tr>
    </w:tbl>
    <w:p>
      <w:pPr>
        <w:pStyle w:val="12"/>
        <w:spacing w:before="100" w:beforeAutospacing="1"/>
        <w:ind w:left="425" w:firstLine="0" w:firstLineChars="0"/>
        <w:jc w:val="center"/>
        <w:outlineLvl w:val="2"/>
        <w:rPr>
          <w:rFonts w:ascii="黑体" w:hAnsi="黑体" w:eastAsia="黑体"/>
          <w:szCs w:val="21"/>
          <w:highlight w:val="none"/>
        </w:rPr>
      </w:pPr>
      <w:bookmarkStart w:id="4" w:name="_Toc411418983"/>
      <w:bookmarkStart w:id="5" w:name="_Toc8194673"/>
      <w:bookmarkStart w:id="6" w:name="_Toc346800722"/>
      <w:r>
        <w:rPr>
          <w:rFonts w:hint="eastAsia" w:ascii="黑体" w:hAnsi="黑体" w:eastAsia="黑体"/>
          <w:szCs w:val="21"/>
          <w:highlight w:val="none"/>
        </w:rPr>
        <w:t>附录4 资格审查条件（项目负责人最低要求）</w:t>
      </w:r>
      <w:bookmarkEnd w:id="4"/>
      <w:bookmarkEnd w:id="5"/>
    </w:p>
    <w:tbl>
      <w:tblPr>
        <w:tblStyle w:val="7"/>
        <w:tblW w:w="953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0"/>
        <w:gridCol w:w="1265"/>
        <w:gridCol w:w="70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1" w:hRule="atLeast"/>
          <w:jc w:val="center"/>
        </w:trPr>
        <w:tc>
          <w:tcPr>
            <w:tcW w:w="1260" w:type="dxa"/>
            <w:vAlign w:val="center"/>
          </w:tcPr>
          <w:p>
            <w:pPr>
              <w:jc w:val="center"/>
              <w:rPr>
                <w:rFonts w:ascii="宋体" w:hAnsi="宋体"/>
                <w:szCs w:val="21"/>
                <w:highlight w:val="none"/>
              </w:rPr>
            </w:pPr>
            <w:r>
              <w:rPr>
                <w:rFonts w:hint="eastAsia" w:ascii="宋体" w:hAnsi="宋体"/>
                <w:szCs w:val="21"/>
                <w:highlight w:val="none"/>
              </w:rPr>
              <w:t>人员</w:t>
            </w:r>
          </w:p>
        </w:tc>
        <w:tc>
          <w:tcPr>
            <w:tcW w:w="1265" w:type="dxa"/>
            <w:vAlign w:val="center"/>
          </w:tcPr>
          <w:p>
            <w:pPr>
              <w:jc w:val="center"/>
              <w:rPr>
                <w:rFonts w:hAnsi="宋体"/>
                <w:szCs w:val="21"/>
                <w:highlight w:val="none"/>
              </w:rPr>
            </w:pPr>
            <w:r>
              <w:rPr>
                <w:rFonts w:hint="eastAsia" w:hAnsi="宋体"/>
                <w:szCs w:val="21"/>
                <w:highlight w:val="none"/>
              </w:rPr>
              <w:t>数量（人）</w:t>
            </w:r>
          </w:p>
        </w:tc>
        <w:tc>
          <w:tcPr>
            <w:tcW w:w="7009" w:type="dxa"/>
            <w:vAlign w:val="center"/>
          </w:tcPr>
          <w:p>
            <w:pPr>
              <w:widowControl/>
              <w:jc w:val="center"/>
              <w:rPr>
                <w:rFonts w:ascii="宋体" w:hAnsi="宋体"/>
                <w:szCs w:val="21"/>
                <w:highlight w:val="none"/>
              </w:rPr>
            </w:pPr>
            <w:r>
              <w:rPr>
                <w:rFonts w:hint="eastAsia" w:ascii="宋体" w:hAnsi="宋体"/>
                <w:szCs w:val="21"/>
                <w:highlight w:val="none"/>
              </w:rPr>
              <w:t>资格要求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63" w:hRule="atLeast"/>
          <w:jc w:val="center"/>
        </w:trPr>
        <w:tc>
          <w:tcPr>
            <w:tcW w:w="1260" w:type="dxa"/>
            <w:vAlign w:val="center"/>
          </w:tcPr>
          <w:p>
            <w:pPr>
              <w:jc w:val="center"/>
              <w:rPr>
                <w:szCs w:val="21"/>
                <w:highlight w:val="none"/>
              </w:rPr>
            </w:pPr>
            <w:r>
              <w:rPr>
                <w:szCs w:val="21"/>
                <w:highlight w:val="none"/>
              </w:rPr>
              <w:t>项目负责人</w:t>
            </w:r>
          </w:p>
        </w:tc>
        <w:tc>
          <w:tcPr>
            <w:tcW w:w="1265" w:type="dxa"/>
            <w:vAlign w:val="center"/>
          </w:tcPr>
          <w:p>
            <w:pPr>
              <w:jc w:val="center"/>
              <w:rPr>
                <w:rFonts w:hAnsi="宋体"/>
                <w:szCs w:val="21"/>
                <w:highlight w:val="none"/>
              </w:rPr>
            </w:pPr>
            <w:r>
              <w:rPr>
                <w:rFonts w:hint="eastAsia" w:hAnsi="宋体"/>
                <w:szCs w:val="21"/>
                <w:highlight w:val="none"/>
              </w:rPr>
              <w:t>1</w:t>
            </w:r>
          </w:p>
        </w:tc>
        <w:tc>
          <w:tcPr>
            <w:tcW w:w="7009" w:type="dxa"/>
            <w:vAlign w:val="center"/>
          </w:tcPr>
          <w:p>
            <w:pPr>
              <w:spacing w:line="312" w:lineRule="auto"/>
              <w:rPr>
                <w:rFonts w:ascii="宋体" w:hAnsi="宋体"/>
                <w:szCs w:val="21"/>
                <w:highlight w:val="none"/>
              </w:rPr>
            </w:pPr>
            <w:r>
              <w:rPr>
                <w:rFonts w:hint="eastAsia" w:ascii="宋体" w:hAnsi="宋体"/>
                <w:szCs w:val="21"/>
                <w:highlight w:val="none"/>
              </w:rPr>
              <w:t>（1）投标人自有人员（联合体投标的，项目负责人必须为联合体牵头人自有人员）；</w:t>
            </w:r>
          </w:p>
          <w:p>
            <w:pPr>
              <w:spacing w:line="312" w:lineRule="auto"/>
              <w:rPr>
                <w:rFonts w:ascii="宋体" w:hAnsi="宋体"/>
                <w:szCs w:val="21"/>
                <w:highlight w:val="none"/>
              </w:rPr>
            </w:pPr>
            <w:r>
              <w:rPr>
                <w:rFonts w:hint="eastAsia" w:ascii="宋体" w:hAnsi="宋体"/>
                <w:szCs w:val="21"/>
                <w:highlight w:val="none"/>
              </w:rPr>
              <w:t>（2）具有相关专业高级技术职称；</w:t>
            </w:r>
          </w:p>
          <w:p>
            <w:pPr>
              <w:jc w:val="left"/>
              <w:rPr>
                <w:szCs w:val="21"/>
                <w:highlight w:val="none"/>
              </w:rPr>
            </w:pPr>
            <w:r>
              <w:rPr>
                <w:rFonts w:hint="eastAsia" w:ascii="宋体" w:hAnsi="宋体"/>
                <w:szCs w:val="21"/>
                <w:highlight w:val="none"/>
              </w:rPr>
              <w:t>（3）担任过1处国内新建或改扩建高速公路</w:t>
            </w:r>
            <w:r>
              <w:rPr>
                <w:rFonts w:hint="eastAsia" w:ascii="宋体" w:hAnsi="宋体" w:cs="宋体"/>
                <w:kern w:val="0"/>
                <w:szCs w:val="21"/>
                <w:highlight w:val="none"/>
              </w:rPr>
              <w:t>互通立交</w:t>
            </w:r>
            <w:r>
              <w:rPr>
                <w:rFonts w:hint="eastAsia" w:ascii="宋体" w:hAnsi="宋体"/>
                <w:szCs w:val="21"/>
                <w:highlight w:val="none"/>
              </w:rPr>
              <w:t>的项目负责人。</w:t>
            </w:r>
          </w:p>
        </w:tc>
      </w:tr>
    </w:tbl>
    <w:p>
      <w:pPr>
        <w:pStyle w:val="12"/>
        <w:ind w:left="425" w:firstLine="0" w:firstLineChars="0"/>
        <w:rPr>
          <w:rFonts w:ascii="黑体" w:hAnsi="宋体" w:eastAsia="黑体"/>
          <w:szCs w:val="21"/>
          <w:highlight w:val="none"/>
        </w:rPr>
      </w:pPr>
    </w:p>
    <w:p>
      <w:pPr>
        <w:pStyle w:val="12"/>
        <w:widowControl/>
        <w:ind w:left="425" w:firstLine="0" w:firstLineChars="0"/>
        <w:rPr>
          <w:rFonts w:ascii="黑体" w:hAnsi="黑体" w:eastAsia="黑体"/>
          <w:szCs w:val="21"/>
          <w:highlight w:val="none"/>
          <w:shd w:val="clear" w:color="auto" w:fill="FFFFFF"/>
        </w:rPr>
      </w:pPr>
      <w:r>
        <w:rPr>
          <w:rFonts w:hAnsi="黑体"/>
          <w:szCs w:val="21"/>
          <w:highlight w:val="none"/>
        </w:rPr>
        <w:br w:type="page"/>
      </w:r>
      <w:bookmarkEnd w:id="6"/>
      <w:r>
        <w:rPr>
          <w:rFonts w:hint="eastAsia" w:ascii="黑体" w:hAnsi="黑体" w:eastAsia="黑体"/>
          <w:szCs w:val="21"/>
          <w:highlight w:val="none"/>
          <w:shd w:val="clear" w:color="auto" w:fill="FFFFFF"/>
        </w:rPr>
        <w:t>四、评标办法</w:t>
      </w:r>
    </w:p>
    <w:p>
      <w:pPr>
        <w:rPr>
          <w:rFonts w:ascii="黑体" w:hAnsi="黑体" w:eastAsia="黑体" w:cs="宋体"/>
          <w:w w:val="105"/>
          <w:szCs w:val="21"/>
          <w:highlight w:val="none"/>
        </w:rPr>
      </w:pPr>
      <w:r>
        <w:rPr>
          <w:rFonts w:ascii="黑体" w:hAnsi="黑体" w:eastAsia="黑体" w:cs="宋体"/>
          <w:w w:val="105"/>
          <w:szCs w:val="21"/>
          <w:highlight w:val="none"/>
        </w:rPr>
        <w:t>评标办法前附表</w:t>
      </w:r>
    </w:p>
    <w:tbl>
      <w:tblPr>
        <w:tblStyle w:val="7"/>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540"/>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blHeader/>
          <w:jc w:val="center"/>
        </w:trPr>
        <w:tc>
          <w:tcPr>
            <w:tcW w:w="2517" w:type="dxa"/>
            <w:gridSpan w:val="2"/>
            <w:shd w:val="clear" w:color="auto" w:fill="auto"/>
            <w:vAlign w:val="center"/>
          </w:tcPr>
          <w:p>
            <w:pPr>
              <w:spacing w:line="360" w:lineRule="auto"/>
              <w:jc w:val="center"/>
              <w:rPr>
                <w:rFonts w:ascii="宋体" w:hAnsi="宋体"/>
                <w:szCs w:val="21"/>
                <w:highlight w:val="none"/>
              </w:rPr>
            </w:pPr>
            <w:r>
              <w:rPr>
                <w:rFonts w:hint="eastAsia" w:ascii="宋体" w:hAnsi="宋体"/>
                <w:szCs w:val="21"/>
                <w:highlight w:val="none"/>
              </w:rPr>
              <w:t>条款号</w:t>
            </w:r>
          </w:p>
        </w:tc>
        <w:tc>
          <w:tcPr>
            <w:tcW w:w="7045" w:type="dxa"/>
            <w:shd w:val="clear" w:color="auto" w:fill="auto"/>
            <w:vAlign w:val="center"/>
          </w:tcPr>
          <w:p>
            <w:pPr>
              <w:tabs>
                <w:tab w:val="left" w:pos="735"/>
              </w:tabs>
              <w:spacing w:line="360" w:lineRule="auto"/>
              <w:jc w:val="center"/>
              <w:rPr>
                <w:rFonts w:ascii="宋体" w:hAnsi="宋体"/>
                <w:szCs w:val="21"/>
                <w:highlight w:val="none"/>
              </w:rPr>
            </w:pPr>
            <w:r>
              <w:rPr>
                <w:rFonts w:ascii="宋体" w:hAnsi="宋体"/>
                <w:bCs/>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spacing w:line="360" w:lineRule="auto"/>
              <w:jc w:val="center"/>
              <w:rPr>
                <w:rFonts w:ascii="宋体" w:hAnsi="宋体"/>
                <w:szCs w:val="21"/>
                <w:highlight w:val="none"/>
              </w:rPr>
            </w:pPr>
            <w:r>
              <w:rPr>
                <w:rFonts w:hint="eastAsia" w:ascii="宋体" w:hAnsi="宋体"/>
                <w:szCs w:val="21"/>
                <w:highlight w:val="none"/>
              </w:rPr>
              <w:t>1</w:t>
            </w:r>
          </w:p>
        </w:tc>
        <w:tc>
          <w:tcPr>
            <w:tcW w:w="1540" w:type="dxa"/>
            <w:shd w:val="clear" w:color="auto" w:fill="auto"/>
            <w:vAlign w:val="center"/>
          </w:tcPr>
          <w:p>
            <w:pPr>
              <w:tabs>
                <w:tab w:val="left" w:pos="735"/>
              </w:tabs>
              <w:spacing w:line="360" w:lineRule="auto"/>
              <w:jc w:val="center"/>
              <w:rPr>
                <w:rFonts w:ascii="宋体" w:hAnsi="宋体"/>
                <w:szCs w:val="21"/>
                <w:highlight w:val="none"/>
              </w:rPr>
            </w:pPr>
            <w:r>
              <w:rPr>
                <w:rFonts w:ascii="宋体" w:hAnsi="宋体"/>
                <w:szCs w:val="21"/>
                <w:highlight w:val="none"/>
              </w:rPr>
              <w:t>评标方法</w:t>
            </w:r>
          </w:p>
        </w:tc>
        <w:tc>
          <w:tcPr>
            <w:tcW w:w="7045" w:type="dxa"/>
            <w:shd w:val="clear" w:color="auto" w:fill="auto"/>
          </w:tcPr>
          <w:p>
            <w:pPr>
              <w:spacing w:line="360" w:lineRule="auto"/>
              <w:ind w:firstLine="315" w:firstLineChars="150"/>
              <w:rPr>
                <w:rFonts w:ascii="宋体" w:hAnsi="宋体"/>
                <w:szCs w:val="21"/>
                <w:highlight w:val="none"/>
              </w:rPr>
            </w:pPr>
            <w:r>
              <w:rPr>
                <w:rFonts w:hint="eastAsia" w:ascii="宋体" w:hAnsi="宋体"/>
                <w:color w:val="000000"/>
                <w:szCs w:val="21"/>
                <w:highlight w:val="none"/>
              </w:rPr>
              <w:t>综合评分相等时，评标委员会依次按照</w:t>
            </w:r>
            <w:r>
              <w:rPr>
                <w:rFonts w:hint="eastAsia" w:ascii="宋体" w:hAnsi="宋体"/>
                <w:szCs w:val="21"/>
                <w:highlight w:val="none"/>
              </w:rPr>
              <w:t>以下优先顺序推荐中标候选人：</w:t>
            </w:r>
          </w:p>
          <w:p>
            <w:pPr>
              <w:spacing w:line="360" w:lineRule="auto"/>
              <w:ind w:left="54" w:right="113" w:firstLine="210" w:firstLineChars="100"/>
              <w:rPr>
                <w:rFonts w:ascii="宋体" w:hAnsi="宋体"/>
                <w:szCs w:val="21"/>
                <w:highlight w:val="none"/>
              </w:rPr>
            </w:pPr>
            <w:r>
              <w:rPr>
                <w:rFonts w:hint="eastAsia" w:ascii="宋体" w:hAnsi="宋体"/>
                <w:szCs w:val="21"/>
                <w:highlight w:val="none"/>
              </w:rPr>
              <w:t>（1）评标价低的投标人优先；</w:t>
            </w:r>
          </w:p>
          <w:p>
            <w:pPr>
              <w:spacing w:line="360" w:lineRule="auto"/>
              <w:ind w:left="54" w:right="113" w:firstLine="210" w:firstLineChars="100"/>
              <w:rPr>
                <w:rFonts w:ascii="宋体" w:hAnsi="宋体"/>
                <w:szCs w:val="21"/>
                <w:highlight w:val="none"/>
              </w:rPr>
            </w:pPr>
            <w:r>
              <w:rPr>
                <w:rFonts w:hint="eastAsia" w:ascii="宋体" w:hAnsi="宋体"/>
                <w:szCs w:val="21"/>
                <w:highlight w:val="none"/>
              </w:rPr>
              <w:t>（2）在交通运输部“全国公路建设市场信用信息管理系统”“全国公路从业单位信用评价结果”中投标人的吉林省2018年度企业信用等级较高的优先（联合体投标的，以联合体牵头人的信用评价为准）；</w:t>
            </w:r>
          </w:p>
          <w:p>
            <w:pPr>
              <w:spacing w:line="360" w:lineRule="auto"/>
              <w:ind w:left="54" w:right="113" w:firstLine="210" w:firstLineChars="100"/>
              <w:rPr>
                <w:rFonts w:ascii="宋体" w:hAnsi="宋体"/>
                <w:szCs w:val="21"/>
                <w:highlight w:val="none"/>
              </w:rPr>
            </w:pPr>
            <w:r>
              <w:rPr>
                <w:rFonts w:hint="eastAsia" w:ascii="宋体" w:hAnsi="宋体"/>
                <w:szCs w:val="21"/>
                <w:highlight w:val="none"/>
              </w:rPr>
              <w:t>（3）商务和技术得分较高的投标人优先；</w:t>
            </w:r>
          </w:p>
          <w:p>
            <w:pPr>
              <w:spacing w:line="360" w:lineRule="auto"/>
              <w:ind w:left="54" w:right="113" w:firstLine="210" w:firstLineChars="100"/>
              <w:rPr>
                <w:rFonts w:ascii="宋体" w:hAnsi="宋体"/>
                <w:bCs/>
                <w:szCs w:val="21"/>
                <w:highlight w:val="none"/>
              </w:rPr>
            </w:pPr>
            <w:r>
              <w:rPr>
                <w:rFonts w:hint="eastAsia" w:ascii="宋体" w:hAnsi="宋体"/>
                <w:szCs w:val="21"/>
                <w:highlight w:val="none"/>
              </w:rPr>
              <w:t>（4）若以上各项比较因素都相等，则通过评标委员会投票表决，推荐票数多的投标人优先。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spacing w:line="360" w:lineRule="auto"/>
              <w:jc w:val="center"/>
              <w:rPr>
                <w:rFonts w:ascii="宋体" w:hAnsi="宋体"/>
                <w:szCs w:val="21"/>
                <w:highlight w:val="none"/>
              </w:rPr>
            </w:pPr>
            <w:r>
              <w:rPr>
                <w:rFonts w:hint="eastAsia" w:ascii="宋体" w:hAnsi="宋体"/>
                <w:szCs w:val="21"/>
                <w:highlight w:val="none"/>
              </w:rPr>
              <w:t>2.1.1</w:t>
            </w:r>
          </w:p>
          <w:p>
            <w:pPr>
              <w:spacing w:line="360" w:lineRule="auto"/>
              <w:jc w:val="center"/>
              <w:rPr>
                <w:rFonts w:ascii="宋体" w:hAnsi="宋体"/>
                <w:szCs w:val="21"/>
                <w:highlight w:val="none"/>
              </w:rPr>
            </w:pPr>
            <w:r>
              <w:rPr>
                <w:rFonts w:hint="eastAsia" w:ascii="宋体" w:hAnsi="宋体"/>
                <w:szCs w:val="21"/>
                <w:highlight w:val="none"/>
              </w:rPr>
              <w:t>2.1.3</w:t>
            </w:r>
          </w:p>
        </w:tc>
        <w:tc>
          <w:tcPr>
            <w:tcW w:w="1540" w:type="dxa"/>
            <w:shd w:val="clear" w:color="auto" w:fill="auto"/>
            <w:vAlign w:val="center"/>
          </w:tcPr>
          <w:p>
            <w:pPr>
              <w:tabs>
                <w:tab w:val="left" w:pos="735"/>
              </w:tabs>
              <w:spacing w:line="360" w:lineRule="auto"/>
              <w:jc w:val="center"/>
              <w:rPr>
                <w:rFonts w:ascii="宋体" w:hAnsi="宋体"/>
                <w:szCs w:val="21"/>
                <w:highlight w:val="none"/>
              </w:rPr>
            </w:pPr>
            <w:r>
              <w:rPr>
                <w:rFonts w:ascii="宋体" w:hAnsi="宋体"/>
                <w:szCs w:val="21"/>
                <w:highlight w:val="none"/>
              </w:rPr>
              <w:t>形式评审与 响应性</w:t>
            </w:r>
          </w:p>
          <w:p>
            <w:pPr>
              <w:tabs>
                <w:tab w:val="left" w:pos="735"/>
              </w:tabs>
              <w:spacing w:line="360" w:lineRule="auto"/>
              <w:jc w:val="center"/>
              <w:rPr>
                <w:rFonts w:ascii="宋体" w:hAnsi="宋体"/>
                <w:szCs w:val="21"/>
                <w:highlight w:val="none"/>
              </w:rPr>
            </w:pPr>
            <w:r>
              <w:rPr>
                <w:rFonts w:ascii="宋体" w:hAnsi="宋体"/>
                <w:szCs w:val="21"/>
                <w:highlight w:val="none"/>
              </w:rPr>
              <w:t>评审标准</w:t>
            </w:r>
          </w:p>
        </w:tc>
        <w:tc>
          <w:tcPr>
            <w:tcW w:w="7045" w:type="dxa"/>
            <w:shd w:val="clear" w:color="auto" w:fill="auto"/>
          </w:tcPr>
          <w:p>
            <w:pPr>
              <w:pStyle w:val="13"/>
              <w:shd w:val="clear" w:color="auto" w:fill="auto"/>
              <w:tabs>
                <w:tab w:val="left" w:pos="735"/>
              </w:tabs>
              <w:spacing w:before="0" w:line="360" w:lineRule="auto"/>
              <w:jc w:val="both"/>
              <w:rPr>
                <w:sz w:val="21"/>
                <w:szCs w:val="21"/>
                <w:highlight w:val="none"/>
              </w:rPr>
            </w:pPr>
            <w:r>
              <w:rPr>
                <w:bCs/>
                <w:sz w:val="21"/>
                <w:szCs w:val="21"/>
                <w:highlight w:val="none"/>
              </w:rPr>
              <w:t>第一个信封（商务及技术文件）评审标准：</w:t>
            </w:r>
          </w:p>
          <w:p>
            <w:pPr>
              <w:pStyle w:val="13"/>
              <w:shd w:val="clear" w:color="auto" w:fill="auto"/>
              <w:tabs>
                <w:tab w:val="left" w:pos="735"/>
                <w:tab w:val="left" w:pos="946"/>
              </w:tabs>
              <w:spacing w:before="0" w:line="360" w:lineRule="auto"/>
              <w:ind w:firstLine="420" w:firstLineChars="200"/>
              <w:jc w:val="both"/>
              <w:rPr>
                <w:sz w:val="21"/>
                <w:szCs w:val="21"/>
                <w:highlight w:val="none"/>
              </w:rPr>
            </w:pPr>
            <w:r>
              <w:rPr>
                <w:rFonts w:hint="eastAsia"/>
                <w:sz w:val="21"/>
                <w:szCs w:val="21"/>
                <w:highlight w:val="none"/>
              </w:rPr>
              <w:t>（1）</w:t>
            </w:r>
            <w:r>
              <w:rPr>
                <w:sz w:val="21"/>
                <w:szCs w:val="21"/>
                <w:highlight w:val="none"/>
              </w:rPr>
              <w:t>投标文件按照招标文件规定的格式</w:t>
            </w:r>
            <w:r>
              <w:rPr>
                <w:rFonts w:hint="eastAsia"/>
                <w:sz w:val="21"/>
                <w:szCs w:val="21"/>
                <w:highlight w:val="none"/>
              </w:rPr>
              <w:t>、</w:t>
            </w:r>
            <w:r>
              <w:rPr>
                <w:sz w:val="21"/>
                <w:szCs w:val="21"/>
                <w:highlight w:val="none"/>
              </w:rPr>
              <w:t>内容填写，字迹清晰</w:t>
            </w:r>
            <w:r>
              <w:rPr>
                <w:rFonts w:hint="eastAsia"/>
                <w:sz w:val="21"/>
                <w:szCs w:val="21"/>
                <w:highlight w:val="none"/>
              </w:rPr>
              <w:t>可</w:t>
            </w:r>
            <w:r>
              <w:rPr>
                <w:sz w:val="21"/>
                <w:szCs w:val="21"/>
                <w:highlight w:val="none"/>
              </w:rPr>
              <w:t>辨：</w:t>
            </w:r>
          </w:p>
          <w:p>
            <w:pPr>
              <w:pStyle w:val="13"/>
              <w:shd w:val="clear" w:color="auto" w:fill="auto"/>
              <w:tabs>
                <w:tab w:val="left" w:pos="566"/>
                <w:tab w:val="left" w:pos="735"/>
              </w:tabs>
              <w:spacing w:before="0" w:line="360" w:lineRule="auto"/>
              <w:ind w:firstLine="420" w:firstLineChars="200"/>
              <w:jc w:val="left"/>
              <w:rPr>
                <w:sz w:val="21"/>
                <w:szCs w:val="21"/>
                <w:highlight w:val="none"/>
              </w:rPr>
            </w:pPr>
            <w:r>
              <w:rPr>
                <w:rFonts w:hint="eastAsia"/>
                <w:sz w:val="21"/>
                <w:szCs w:val="21"/>
                <w:highlight w:val="none"/>
              </w:rPr>
              <w:t>a.</w:t>
            </w:r>
            <w:r>
              <w:rPr>
                <w:sz w:val="21"/>
                <w:szCs w:val="21"/>
                <w:highlight w:val="none"/>
              </w:rPr>
              <w:t>投标函按招标文件规定填报了项目名称、标段号、补遗书编号（如有）、勘察设计服务期限、工程质量要求及安全目标；</w:t>
            </w:r>
          </w:p>
          <w:p>
            <w:pPr>
              <w:pStyle w:val="13"/>
              <w:shd w:val="clear" w:color="auto" w:fill="auto"/>
              <w:tabs>
                <w:tab w:val="left" w:pos="168"/>
                <w:tab w:val="left" w:pos="735"/>
              </w:tabs>
              <w:spacing w:before="0" w:line="360" w:lineRule="auto"/>
              <w:ind w:firstLine="420" w:firstLineChars="200"/>
              <w:jc w:val="both"/>
              <w:rPr>
                <w:sz w:val="21"/>
                <w:szCs w:val="21"/>
                <w:highlight w:val="none"/>
              </w:rPr>
            </w:pPr>
            <w:r>
              <w:rPr>
                <w:rFonts w:hint="eastAsia"/>
                <w:sz w:val="21"/>
                <w:szCs w:val="21"/>
                <w:highlight w:val="none"/>
              </w:rPr>
              <w:t>b.</w:t>
            </w:r>
            <w:r>
              <w:rPr>
                <w:sz w:val="21"/>
                <w:szCs w:val="21"/>
                <w:highlight w:val="none"/>
              </w:rPr>
              <w:t>投标文件组成齐全完整，内容均按规定填写。</w:t>
            </w:r>
          </w:p>
          <w:p>
            <w:pPr>
              <w:pStyle w:val="13"/>
              <w:shd w:val="clear" w:color="auto" w:fill="auto"/>
              <w:tabs>
                <w:tab w:val="left" w:pos="735"/>
                <w:tab w:val="left" w:pos="948"/>
              </w:tabs>
              <w:spacing w:before="0" w:line="360" w:lineRule="auto"/>
              <w:ind w:firstLine="420" w:firstLineChars="200"/>
              <w:jc w:val="both"/>
              <w:rPr>
                <w:sz w:val="21"/>
                <w:szCs w:val="21"/>
                <w:highlight w:val="none"/>
              </w:rPr>
            </w:pPr>
            <w:r>
              <w:rPr>
                <w:rFonts w:hint="eastAsia"/>
                <w:sz w:val="21"/>
                <w:szCs w:val="21"/>
                <w:highlight w:val="none"/>
              </w:rPr>
              <w:t>（2）</w:t>
            </w:r>
            <w:r>
              <w:rPr>
                <w:sz w:val="21"/>
                <w:szCs w:val="21"/>
                <w:highlight w:val="none"/>
              </w:rPr>
              <w:t>投标文件上法定代表人或其委托代理人的签字、投标人的单位章盖章齐全，符合招标文件规定。</w:t>
            </w:r>
          </w:p>
          <w:p>
            <w:pPr>
              <w:pStyle w:val="13"/>
              <w:shd w:val="clear" w:color="auto" w:fill="auto"/>
              <w:tabs>
                <w:tab w:val="left" w:pos="735"/>
                <w:tab w:val="left" w:pos="948"/>
              </w:tabs>
              <w:spacing w:before="0" w:line="360" w:lineRule="auto"/>
              <w:ind w:firstLine="420" w:firstLineChars="200"/>
              <w:jc w:val="both"/>
              <w:rPr>
                <w:sz w:val="21"/>
                <w:szCs w:val="21"/>
                <w:highlight w:val="none"/>
              </w:rPr>
            </w:pPr>
            <w:r>
              <w:rPr>
                <w:rFonts w:hint="eastAsia"/>
                <w:sz w:val="21"/>
                <w:szCs w:val="21"/>
                <w:highlight w:val="none"/>
              </w:rPr>
              <w:t>（3）</w:t>
            </w:r>
            <w:r>
              <w:rPr>
                <w:sz w:val="21"/>
                <w:szCs w:val="21"/>
                <w:highlight w:val="none"/>
              </w:rPr>
              <w:t>投标人按照招标文件的规定提供了投标保证金：</w:t>
            </w:r>
          </w:p>
          <w:p>
            <w:pPr>
              <w:tabs>
                <w:tab w:val="left" w:pos="735"/>
              </w:tabs>
              <w:spacing w:line="360" w:lineRule="auto"/>
              <w:ind w:firstLine="420" w:firstLineChars="200"/>
              <w:rPr>
                <w:rFonts w:ascii="宋体" w:hAnsi="宋体"/>
                <w:szCs w:val="21"/>
                <w:highlight w:val="none"/>
              </w:rPr>
            </w:pPr>
            <w:r>
              <w:rPr>
                <w:rFonts w:ascii="宋体" w:hAnsi="宋体"/>
                <w:szCs w:val="21"/>
                <w:highlight w:val="none"/>
              </w:rPr>
              <w:t>a</w:t>
            </w:r>
            <w:r>
              <w:rPr>
                <w:rFonts w:ascii="宋体" w:hAnsi="宋体"/>
                <w:bCs/>
                <w:szCs w:val="21"/>
                <w:highlight w:val="none"/>
              </w:rPr>
              <w:t>.</w:t>
            </w:r>
            <w:r>
              <w:rPr>
                <w:rFonts w:ascii="宋体" w:hAnsi="宋体"/>
                <w:szCs w:val="21"/>
                <w:highlight w:val="none"/>
              </w:rPr>
              <w:t>投标保证金金额符合招标文件规定的金额，且投标保证金有效期不少于投标有效期；</w:t>
            </w:r>
          </w:p>
          <w:p>
            <w:pPr>
              <w:pStyle w:val="13"/>
              <w:shd w:val="clear" w:color="auto" w:fill="auto"/>
              <w:spacing w:before="0" w:line="360" w:lineRule="auto"/>
              <w:ind w:firstLine="420" w:firstLineChars="200"/>
              <w:jc w:val="both"/>
              <w:rPr>
                <w:rFonts w:cs="宋体"/>
                <w:sz w:val="21"/>
                <w:szCs w:val="21"/>
                <w:highlight w:val="none"/>
              </w:rPr>
            </w:pPr>
            <w:r>
              <w:rPr>
                <w:rStyle w:val="14"/>
                <w:rFonts w:hint="eastAsia" w:eastAsia="宋体"/>
                <w:sz w:val="21"/>
                <w:szCs w:val="21"/>
                <w:highlight w:val="none"/>
                <w:lang w:eastAsia="zh-CN"/>
              </w:rPr>
              <w:t>b.</w:t>
            </w:r>
            <w:r>
              <w:rPr>
                <w:rStyle w:val="15"/>
                <w:rFonts w:eastAsia="宋体"/>
                <w:sz w:val="21"/>
                <w:szCs w:val="21"/>
                <w:highlight w:val="none"/>
              </w:rPr>
              <w:t>若投标保证金采用现金或支票形式提交，投标人应在招标文件规定的递交截止时间之前，将投标保证金由投标人的基本账户转入招标人指定账户；</w:t>
            </w:r>
          </w:p>
          <w:p>
            <w:pPr>
              <w:pStyle w:val="13"/>
              <w:shd w:val="clear" w:color="auto" w:fill="auto"/>
              <w:spacing w:before="0" w:line="360" w:lineRule="auto"/>
              <w:ind w:firstLine="420" w:firstLineChars="200"/>
              <w:jc w:val="both"/>
              <w:rPr>
                <w:rFonts w:cs="宋体"/>
                <w:sz w:val="21"/>
                <w:szCs w:val="21"/>
                <w:highlight w:val="none"/>
              </w:rPr>
            </w:pPr>
            <w:r>
              <w:rPr>
                <w:rStyle w:val="14"/>
                <w:rFonts w:hint="eastAsia" w:eastAsia="宋体"/>
                <w:sz w:val="21"/>
                <w:szCs w:val="21"/>
                <w:highlight w:val="none"/>
                <w:lang w:eastAsia="zh-CN"/>
              </w:rPr>
              <w:t>c</w:t>
            </w:r>
            <w:r>
              <w:rPr>
                <w:rStyle w:val="15"/>
                <w:rFonts w:eastAsia="宋体"/>
                <w:sz w:val="21"/>
                <w:szCs w:val="21"/>
                <w:highlight w:val="none"/>
                <w:lang w:bidi="en-US"/>
              </w:rPr>
              <w:t>.</w:t>
            </w:r>
            <w:r>
              <w:rPr>
                <w:rStyle w:val="15"/>
                <w:rFonts w:eastAsia="宋体"/>
                <w:sz w:val="21"/>
                <w:szCs w:val="21"/>
                <w:highlight w:val="none"/>
              </w:rPr>
              <w:t>若投标保证金采用银行保函形式提交，银行保函的格式、开具保函的银行均满足招标文件要求，且在</w:t>
            </w:r>
            <w:r>
              <w:rPr>
                <w:rStyle w:val="15"/>
                <w:rFonts w:hint="eastAsia" w:eastAsia="宋体"/>
                <w:sz w:val="21"/>
                <w:szCs w:val="21"/>
                <w:highlight w:val="none"/>
              </w:rPr>
              <w:t>招标文件</w:t>
            </w:r>
            <w:r>
              <w:rPr>
                <w:rStyle w:val="15"/>
                <w:rFonts w:eastAsia="宋体"/>
                <w:sz w:val="21"/>
                <w:szCs w:val="21"/>
                <w:highlight w:val="none"/>
              </w:rPr>
              <w:t>规定的递交截止时间之前向招标人提交了银行保函原件。</w:t>
            </w:r>
          </w:p>
          <w:p>
            <w:pPr>
              <w:pStyle w:val="13"/>
              <w:shd w:val="clear" w:color="auto" w:fill="auto"/>
              <w:tabs>
                <w:tab w:val="left" w:pos="950"/>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（4）</w:t>
            </w:r>
            <w:r>
              <w:rPr>
                <w:rStyle w:val="15"/>
                <w:rFonts w:eastAsia="宋体"/>
                <w:sz w:val="21"/>
                <w:szCs w:val="21"/>
                <w:highlight w:val="none"/>
              </w:rPr>
              <w:t>投标人法定代表人授权委托代理人签署投标文件的，须提交授权委托书，且授权人和被授权人均在授权委托书上签名，未使用印章、签名章或其他电子制版签名代替。</w:t>
            </w:r>
          </w:p>
          <w:p>
            <w:pPr>
              <w:pStyle w:val="13"/>
              <w:shd w:val="clear" w:color="auto" w:fill="auto"/>
              <w:tabs>
                <w:tab w:val="left" w:pos="94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（5）</w:t>
            </w:r>
            <w:r>
              <w:rPr>
                <w:rStyle w:val="15"/>
                <w:rFonts w:eastAsia="宋体"/>
                <w:sz w:val="21"/>
                <w:szCs w:val="21"/>
                <w:highlight w:val="none"/>
              </w:rPr>
              <w:t>投标人法定代表人亲自签署投标文件的，提供了法定代表人身份证明，且法定代表人在法定代表人身份证明上签名，未使用印章、签名章或其他电子制版签名代替。</w:t>
            </w:r>
          </w:p>
          <w:p>
            <w:pPr>
              <w:pStyle w:val="13"/>
              <w:shd w:val="clear" w:color="auto" w:fill="auto"/>
              <w:tabs>
                <w:tab w:val="left" w:pos="107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（6）</w:t>
            </w:r>
            <w:r>
              <w:rPr>
                <w:rStyle w:val="15"/>
                <w:rFonts w:eastAsia="宋体"/>
                <w:sz w:val="21"/>
                <w:szCs w:val="21"/>
                <w:highlight w:val="none"/>
              </w:rPr>
              <w:t>投标人以联合体形式投标时，投标人按照招标文件提供的格式签订了联合体协议书，明确各方承担连带责任，并明确了联合体牵头人；</w:t>
            </w:r>
          </w:p>
          <w:p>
            <w:pPr>
              <w:pStyle w:val="13"/>
              <w:shd w:val="clear" w:color="auto" w:fill="auto"/>
              <w:tabs>
                <w:tab w:val="left" w:pos="94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（7）</w:t>
            </w:r>
            <w:r>
              <w:rPr>
                <w:rStyle w:val="15"/>
                <w:rFonts w:eastAsia="宋体"/>
                <w:sz w:val="21"/>
                <w:szCs w:val="21"/>
                <w:highlight w:val="none"/>
              </w:rPr>
              <w:t>分包计划符合招标文件规定。</w:t>
            </w:r>
          </w:p>
          <w:p>
            <w:pPr>
              <w:pStyle w:val="13"/>
              <w:shd w:val="clear" w:color="auto" w:fill="auto"/>
              <w:tabs>
                <w:tab w:val="left" w:pos="962"/>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（8）</w:t>
            </w:r>
            <w:r>
              <w:rPr>
                <w:rStyle w:val="15"/>
                <w:rFonts w:eastAsia="宋体"/>
                <w:sz w:val="21"/>
                <w:szCs w:val="21"/>
                <w:highlight w:val="none"/>
              </w:rPr>
              <w:t>同一投标人未提交两个以上不同的投标文件，但招标文件要求提交备选投标的除外。</w:t>
            </w:r>
          </w:p>
          <w:p>
            <w:pPr>
              <w:pStyle w:val="13"/>
              <w:shd w:val="clear" w:color="auto" w:fill="auto"/>
              <w:tabs>
                <w:tab w:val="left" w:pos="1181"/>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（9）</w:t>
            </w:r>
            <w:r>
              <w:rPr>
                <w:rStyle w:val="15"/>
                <w:rFonts w:eastAsia="宋体"/>
                <w:sz w:val="21"/>
                <w:szCs w:val="21"/>
                <w:highlight w:val="none"/>
              </w:rPr>
              <w:t>投标文件中未出现有关投标报价的内容。</w:t>
            </w:r>
          </w:p>
          <w:p>
            <w:pPr>
              <w:pStyle w:val="13"/>
              <w:shd w:val="clear" w:color="auto" w:fill="auto"/>
              <w:tabs>
                <w:tab w:val="left" w:pos="936"/>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（10）</w:t>
            </w:r>
            <w:r>
              <w:rPr>
                <w:rStyle w:val="15"/>
                <w:rFonts w:eastAsia="宋体"/>
                <w:sz w:val="21"/>
                <w:szCs w:val="21"/>
                <w:highlight w:val="none"/>
              </w:rPr>
              <w:t>投标文件载明的招标项目完成期限未超过招标文件规定的时限。</w:t>
            </w:r>
          </w:p>
          <w:p>
            <w:pPr>
              <w:pStyle w:val="13"/>
              <w:shd w:val="clear" w:color="auto" w:fill="auto"/>
              <w:tabs>
                <w:tab w:val="left" w:pos="1181"/>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（11）</w:t>
            </w:r>
            <w:r>
              <w:rPr>
                <w:rStyle w:val="15"/>
                <w:rFonts w:eastAsia="宋体"/>
                <w:sz w:val="21"/>
                <w:szCs w:val="21"/>
                <w:highlight w:val="none"/>
              </w:rPr>
              <w:t>投标文件对招标文件的实质性要求和条件作出响应。</w:t>
            </w:r>
          </w:p>
          <w:p>
            <w:pPr>
              <w:pStyle w:val="13"/>
              <w:shd w:val="clear" w:color="auto" w:fill="auto"/>
              <w:tabs>
                <w:tab w:val="left" w:pos="1176"/>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（12）</w:t>
            </w:r>
            <w:r>
              <w:rPr>
                <w:rStyle w:val="15"/>
                <w:rFonts w:eastAsia="宋体"/>
                <w:sz w:val="21"/>
                <w:szCs w:val="21"/>
                <w:highlight w:val="none"/>
              </w:rPr>
              <w:t>权利义务符合招标文件规定</w:t>
            </w:r>
            <w:r>
              <w:rPr>
                <w:rStyle w:val="16"/>
                <w:rFonts w:eastAsia="宋体"/>
                <w:sz w:val="21"/>
                <w:szCs w:val="21"/>
                <w:highlight w:val="none"/>
              </w:rPr>
              <w:t>：</w:t>
            </w:r>
          </w:p>
          <w:p>
            <w:pPr>
              <w:pStyle w:val="13"/>
              <w:shd w:val="clear" w:color="auto" w:fill="auto"/>
              <w:tabs>
                <w:tab w:val="left" w:pos="569"/>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a.</w:t>
            </w:r>
            <w:r>
              <w:rPr>
                <w:rStyle w:val="15"/>
                <w:rFonts w:eastAsia="宋体"/>
                <w:sz w:val="21"/>
                <w:szCs w:val="21"/>
                <w:highlight w:val="none"/>
              </w:rPr>
              <w:t>投标人应接受招标文件规定的风险划分原则，未提出新的风险划分办法；</w:t>
            </w:r>
          </w:p>
          <w:p>
            <w:pPr>
              <w:pStyle w:val="13"/>
              <w:shd w:val="clear" w:color="auto" w:fill="auto"/>
              <w:tabs>
                <w:tab w:val="left" w:pos="710"/>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b.</w:t>
            </w:r>
            <w:r>
              <w:rPr>
                <w:rStyle w:val="15"/>
                <w:rFonts w:eastAsia="宋体"/>
                <w:sz w:val="21"/>
                <w:szCs w:val="21"/>
                <w:highlight w:val="none"/>
              </w:rPr>
              <w:t>投标人未增加发包人的责任范围，或减少投标人义务；</w:t>
            </w:r>
          </w:p>
          <w:p>
            <w:pPr>
              <w:pStyle w:val="13"/>
              <w:shd w:val="clear" w:color="auto" w:fill="auto"/>
              <w:spacing w:before="0" w:line="360" w:lineRule="auto"/>
              <w:ind w:firstLine="420" w:firstLineChars="200"/>
              <w:jc w:val="both"/>
              <w:rPr>
                <w:rFonts w:cs="宋体"/>
                <w:sz w:val="21"/>
                <w:szCs w:val="21"/>
                <w:highlight w:val="none"/>
              </w:rPr>
            </w:pPr>
            <w:r>
              <w:rPr>
                <w:rStyle w:val="14"/>
                <w:rFonts w:hint="eastAsia" w:eastAsia="宋体"/>
                <w:sz w:val="21"/>
                <w:szCs w:val="21"/>
                <w:highlight w:val="none"/>
                <w:lang w:eastAsia="zh-CN"/>
              </w:rPr>
              <w:t>c.</w:t>
            </w:r>
            <w:r>
              <w:rPr>
                <w:rStyle w:val="15"/>
                <w:rFonts w:eastAsia="宋体"/>
                <w:sz w:val="21"/>
                <w:szCs w:val="21"/>
                <w:highlight w:val="none"/>
              </w:rPr>
              <w:t>投标人未提出不同的支付办法；</w:t>
            </w:r>
          </w:p>
          <w:p>
            <w:pPr>
              <w:pStyle w:val="13"/>
              <w:shd w:val="clear" w:color="auto" w:fill="auto"/>
              <w:tabs>
                <w:tab w:val="left" w:pos="703"/>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d.</w:t>
            </w:r>
            <w:r>
              <w:rPr>
                <w:rStyle w:val="15"/>
                <w:rFonts w:eastAsia="宋体"/>
                <w:sz w:val="21"/>
                <w:szCs w:val="21"/>
                <w:highlight w:val="none"/>
              </w:rPr>
              <w:t>投标人对合同纠纷、事故处理办法未提出异议；</w:t>
            </w:r>
          </w:p>
          <w:p>
            <w:pPr>
              <w:pStyle w:val="13"/>
              <w:shd w:val="clear" w:color="auto" w:fill="auto"/>
              <w:tabs>
                <w:tab w:val="left" w:pos="689"/>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e.</w:t>
            </w:r>
            <w:r>
              <w:rPr>
                <w:rStyle w:val="15"/>
                <w:rFonts w:eastAsia="宋体"/>
                <w:sz w:val="21"/>
                <w:szCs w:val="21"/>
                <w:highlight w:val="none"/>
              </w:rPr>
              <w:t>投标人在投标活动中无欺诈行为；</w:t>
            </w:r>
          </w:p>
          <w:p>
            <w:pPr>
              <w:pStyle w:val="13"/>
              <w:shd w:val="clear" w:color="auto" w:fill="auto"/>
              <w:tabs>
                <w:tab w:val="left" w:pos="679"/>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f.</w:t>
            </w:r>
            <w:r>
              <w:rPr>
                <w:rStyle w:val="15"/>
                <w:rFonts w:eastAsia="宋体"/>
                <w:sz w:val="21"/>
                <w:szCs w:val="21"/>
                <w:highlight w:val="none"/>
              </w:rPr>
              <w:t>投标人未对合同条款有重要保留。</w:t>
            </w:r>
          </w:p>
          <w:p>
            <w:pPr>
              <w:tabs>
                <w:tab w:val="left" w:pos="735"/>
              </w:tabs>
              <w:spacing w:line="360" w:lineRule="auto"/>
              <w:ind w:firstLine="420" w:firstLineChars="200"/>
              <w:rPr>
                <w:rFonts w:ascii="宋体" w:hAnsi="宋体"/>
                <w:szCs w:val="21"/>
                <w:highlight w:val="none"/>
              </w:rPr>
            </w:pPr>
            <w:r>
              <w:rPr>
                <w:rStyle w:val="15"/>
                <w:rFonts w:hint="eastAsia" w:ascii="宋体" w:hAnsi="宋体" w:eastAsia="宋体"/>
                <w:sz w:val="21"/>
                <w:szCs w:val="21"/>
                <w:highlight w:val="none"/>
              </w:rPr>
              <w:t>（13）</w:t>
            </w:r>
            <w:r>
              <w:rPr>
                <w:rStyle w:val="15"/>
                <w:rFonts w:ascii="宋体" w:hAnsi="宋体" w:eastAsia="宋体"/>
                <w:sz w:val="21"/>
                <w:szCs w:val="21"/>
                <w:highlight w:val="none"/>
              </w:rPr>
              <w:t>投标文件正、副本份数符合招标文件第二章“投标人须知”第</w:t>
            </w:r>
            <w:r>
              <w:rPr>
                <w:rStyle w:val="15"/>
                <w:rFonts w:ascii="宋体" w:hAnsi="宋体" w:eastAsia="宋体"/>
                <w:sz w:val="21"/>
                <w:szCs w:val="21"/>
                <w:highlight w:val="none"/>
                <w:lang w:bidi="en-US"/>
              </w:rPr>
              <w:t>3.7.4</w:t>
            </w:r>
            <w:r>
              <w:rPr>
                <w:rStyle w:val="15"/>
                <w:rFonts w:ascii="宋体" w:hAnsi="宋体" w:eastAsia="宋体"/>
                <w:sz w:val="21"/>
                <w:szCs w:val="21"/>
                <w:highlight w:val="none"/>
              </w:rPr>
              <w:t>项规定。</w:t>
            </w:r>
          </w:p>
          <w:p>
            <w:pPr>
              <w:pStyle w:val="13"/>
              <w:shd w:val="clear" w:color="auto" w:fill="auto"/>
              <w:spacing w:before="0" w:line="360" w:lineRule="auto"/>
              <w:ind w:firstLine="422" w:firstLineChars="200"/>
              <w:jc w:val="left"/>
              <w:rPr>
                <w:rFonts w:cs="宋体"/>
                <w:sz w:val="21"/>
                <w:szCs w:val="21"/>
                <w:highlight w:val="none"/>
              </w:rPr>
            </w:pPr>
            <w:r>
              <w:rPr>
                <w:rStyle w:val="16"/>
                <w:rFonts w:eastAsia="宋体"/>
                <w:sz w:val="21"/>
                <w:szCs w:val="21"/>
                <w:highlight w:val="none"/>
              </w:rPr>
              <w:t>第二个信封（报价文件）评审标准：</w:t>
            </w:r>
          </w:p>
          <w:p>
            <w:pPr>
              <w:tabs>
                <w:tab w:val="left" w:pos="735"/>
              </w:tabs>
              <w:spacing w:line="360" w:lineRule="auto"/>
              <w:ind w:firstLine="420" w:firstLineChars="200"/>
              <w:rPr>
                <w:rStyle w:val="15"/>
                <w:rFonts w:ascii="宋体" w:hAnsi="宋体" w:eastAsia="宋体"/>
                <w:sz w:val="21"/>
                <w:szCs w:val="21"/>
                <w:highlight w:val="none"/>
              </w:rPr>
            </w:pPr>
            <w:r>
              <w:rPr>
                <w:rStyle w:val="15"/>
                <w:rFonts w:hint="eastAsia" w:ascii="宋体" w:hAnsi="宋体" w:eastAsia="宋体"/>
                <w:sz w:val="21"/>
                <w:szCs w:val="21"/>
                <w:highlight w:val="none"/>
              </w:rPr>
              <w:t>（1）</w:t>
            </w:r>
            <w:r>
              <w:rPr>
                <w:rStyle w:val="15"/>
                <w:rFonts w:ascii="宋体" w:hAnsi="宋体" w:eastAsia="宋体"/>
                <w:sz w:val="21"/>
                <w:szCs w:val="21"/>
                <w:highlight w:val="none"/>
              </w:rPr>
              <w:t>投标文件按照招标文件规定的格式、内容填写，字迹清晰可辨，内容齐全完整：</w:t>
            </w:r>
          </w:p>
          <w:p>
            <w:pPr>
              <w:pStyle w:val="13"/>
              <w:shd w:val="clear" w:color="auto" w:fill="auto"/>
              <w:tabs>
                <w:tab w:val="left" w:pos="569"/>
              </w:tabs>
              <w:spacing w:before="0" w:line="360" w:lineRule="auto"/>
              <w:ind w:firstLine="420" w:firstLineChars="200"/>
              <w:jc w:val="left"/>
              <w:rPr>
                <w:rFonts w:cs="宋体"/>
                <w:sz w:val="21"/>
                <w:szCs w:val="21"/>
                <w:highlight w:val="none"/>
              </w:rPr>
            </w:pPr>
            <w:r>
              <w:rPr>
                <w:rStyle w:val="15"/>
                <w:rFonts w:hint="eastAsia" w:eastAsia="宋体"/>
                <w:sz w:val="21"/>
                <w:szCs w:val="21"/>
                <w:highlight w:val="none"/>
              </w:rPr>
              <w:t>a.</w:t>
            </w:r>
            <w:r>
              <w:rPr>
                <w:rStyle w:val="15"/>
                <w:rFonts w:eastAsia="宋体"/>
                <w:sz w:val="21"/>
                <w:szCs w:val="21"/>
                <w:highlight w:val="none"/>
              </w:rPr>
              <w:t>投标函按招标文件规定填报了项目名称、标段号、补遗书编号（如有）、投标价（包括大写金额和小写金额</w:t>
            </w:r>
            <w:r>
              <w:rPr>
                <w:rStyle w:val="15"/>
                <w:rFonts w:eastAsia="宋体"/>
                <w:sz w:val="21"/>
                <w:szCs w:val="21"/>
                <w:highlight w:val="none"/>
                <w:lang w:bidi="en-US"/>
              </w:rPr>
              <w:t>）；</w:t>
            </w:r>
          </w:p>
          <w:p>
            <w:pPr>
              <w:pStyle w:val="13"/>
              <w:shd w:val="clear" w:color="auto" w:fill="auto"/>
              <w:tabs>
                <w:tab w:val="left" w:pos="593"/>
              </w:tabs>
              <w:spacing w:before="0" w:line="360" w:lineRule="auto"/>
              <w:ind w:firstLine="420" w:firstLineChars="200"/>
              <w:jc w:val="left"/>
              <w:rPr>
                <w:rFonts w:cs="宋体"/>
                <w:sz w:val="21"/>
                <w:szCs w:val="21"/>
                <w:highlight w:val="none"/>
              </w:rPr>
            </w:pPr>
            <w:r>
              <w:rPr>
                <w:rStyle w:val="15"/>
                <w:rFonts w:hint="eastAsia" w:eastAsia="宋体"/>
                <w:sz w:val="21"/>
                <w:szCs w:val="21"/>
                <w:highlight w:val="none"/>
              </w:rPr>
              <w:t>b.</w:t>
            </w:r>
            <w:r>
              <w:rPr>
                <w:rStyle w:val="15"/>
                <w:rFonts w:eastAsia="宋体"/>
                <w:sz w:val="21"/>
                <w:szCs w:val="21"/>
                <w:highlight w:val="none"/>
              </w:rPr>
              <w:t>已标价报价清单说明文字与招标文件规定一致，未进行实质性修改和删减；</w:t>
            </w:r>
          </w:p>
          <w:p>
            <w:pPr>
              <w:pStyle w:val="13"/>
              <w:shd w:val="clear" w:color="auto" w:fill="auto"/>
              <w:spacing w:before="0" w:line="360" w:lineRule="auto"/>
              <w:ind w:firstLine="420" w:firstLineChars="200"/>
              <w:jc w:val="left"/>
              <w:rPr>
                <w:rFonts w:cs="宋体"/>
                <w:sz w:val="21"/>
                <w:szCs w:val="21"/>
                <w:highlight w:val="none"/>
              </w:rPr>
            </w:pPr>
            <w:r>
              <w:rPr>
                <w:rStyle w:val="14"/>
                <w:rFonts w:hint="eastAsia" w:eastAsia="宋体"/>
                <w:sz w:val="21"/>
                <w:szCs w:val="21"/>
                <w:highlight w:val="none"/>
                <w:lang w:eastAsia="zh-CN"/>
              </w:rPr>
              <w:t>c.</w:t>
            </w:r>
            <w:r>
              <w:rPr>
                <w:rStyle w:val="15"/>
                <w:rFonts w:eastAsia="宋体"/>
                <w:sz w:val="21"/>
                <w:szCs w:val="21"/>
                <w:highlight w:val="none"/>
              </w:rPr>
              <w:t>投标文件组成齐全完整，内容均按规定填写。</w:t>
            </w:r>
          </w:p>
          <w:p>
            <w:pPr>
              <w:pStyle w:val="13"/>
              <w:shd w:val="clear" w:color="auto" w:fill="auto"/>
              <w:tabs>
                <w:tab w:val="left" w:pos="94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（2）</w:t>
            </w:r>
            <w:r>
              <w:rPr>
                <w:rStyle w:val="15"/>
                <w:rFonts w:eastAsia="宋体"/>
                <w:sz w:val="21"/>
                <w:szCs w:val="21"/>
                <w:highlight w:val="none"/>
              </w:rPr>
              <w:t>投标文件上法定代表人或其委托代理人的签字、投标人的单位章盖章齐全，符合招标文件规定。</w:t>
            </w:r>
          </w:p>
          <w:p>
            <w:pPr>
              <w:pStyle w:val="13"/>
              <w:shd w:val="clear" w:color="auto" w:fill="auto"/>
              <w:tabs>
                <w:tab w:val="left" w:pos="1075"/>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（3）</w:t>
            </w:r>
            <w:r>
              <w:rPr>
                <w:rStyle w:val="15"/>
                <w:rFonts w:eastAsia="宋体"/>
                <w:sz w:val="21"/>
                <w:szCs w:val="21"/>
                <w:highlight w:val="none"/>
              </w:rPr>
              <w:t>投标报价未超过招标文件设定的最高投标限价。</w:t>
            </w:r>
          </w:p>
          <w:p>
            <w:pPr>
              <w:pStyle w:val="13"/>
              <w:shd w:val="clear" w:color="auto" w:fill="auto"/>
              <w:tabs>
                <w:tab w:val="left" w:pos="1075"/>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（4）</w:t>
            </w:r>
            <w:r>
              <w:rPr>
                <w:rStyle w:val="15"/>
                <w:rFonts w:eastAsia="宋体"/>
                <w:sz w:val="21"/>
                <w:szCs w:val="21"/>
                <w:highlight w:val="none"/>
              </w:rPr>
              <w:t>投标报价的大写金额能够确定具体数值。</w:t>
            </w:r>
          </w:p>
          <w:p>
            <w:pPr>
              <w:pStyle w:val="13"/>
              <w:shd w:val="clear" w:color="auto" w:fill="auto"/>
              <w:tabs>
                <w:tab w:val="left" w:pos="965"/>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（5）</w:t>
            </w:r>
            <w:r>
              <w:rPr>
                <w:rStyle w:val="15"/>
                <w:rFonts w:eastAsia="宋体"/>
                <w:sz w:val="21"/>
                <w:szCs w:val="21"/>
                <w:highlight w:val="none"/>
              </w:rPr>
              <w:t>同一投标人未提交两个以上不同的投标报价，但招标文件要求提交备选投标的除外。</w:t>
            </w:r>
          </w:p>
          <w:p>
            <w:pPr>
              <w:spacing w:line="360" w:lineRule="auto"/>
              <w:ind w:firstLine="420" w:firstLineChars="200"/>
              <w:rPr>
                <w:rFonts w:ascii="宋体" w:hAnsi="宋体"/>
                <w:szCs w:val="21"/>
                <w:highlight w:val="none"/>
              </w:rPr>
            </w:pPr>
            <w:r>
              <w:rPr>
                <w:rStyle w:val="15"/>
                <w:rFonts w:hint="eastAsia" w:ascii="宋体" w:hAnsi="宋体" w:eastAsia="宋体"/>
                <w:sz w:val="21"/>
                <w:szCs w:val="21"/>
                <w:highlight w:val="none"/>
              </w:rPr>
              <w:t>（6）</w:t>
            </w:r>
            <w:r>
              <w:rPr>
                <w:rStyle w:val="15"/>
                <w:rFonts w:ascii="宋体" w:hAnsi="宋体" w:eastAsia="宋体"/>
                <w:sz w:val="21"/>
                <w:szCs w:val="21"/>
                <w:highlight w:val="none"/>
              </w:rPr>
              <w:t>投标文件正、副本份数符合招标文件第二章“投标人须知”第</w:t>
            </w:r>
            <w:r>
              <w:rPr>
                <w:rStyle w:val="15"/>
                <w:rFonts w:ascii="宋体" w:hAnsi="宋体" w:eastAsia="宋体"/>
                <w:sz w:val="21"/>
                <w:szCs w:val="21"/>
                <w:highlight w:val="none"/>
                <w:lang w:bidi="en-US"/>
              </w:rPr>
              <w:t>3.7.4</w:t>
            </w:r>
            <w:r>
              <w:rPr>
                <w:rStyle w:val="15"/>
                <w:rFonts w:ascii="宋体" w:hAnsi="宋体" w:eastAsia="宋体"/>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spacing w:line="360" w:lineRule="auto"/>
              <w:jc w:val="center"/>
              <w:rPr>
                <w:rFonts w:ascii="宋体" w:hAnsi="宋体"/>
                <w:kern w:val="20"/>
                <w:szCs w:val="21"/>
                <w:highlight w:val="none"/>
              </w:rPr>
            </w:pPr>
            <w:r>
              <w:rPr>
                <w:rFonts w:hint="eastAsia" w:ascii="宋体" w:hAnsi="宋体"/>
                <w:kern w:val="20"/>
                <w:szCs w:val="21"/>
                <w:highlight w:val="none"/>
              </w:rPr>
              <w:t>2.1.2</w:t>
            </w:r>
          </w:p>
        </w:tc>
        <w:tc>
          <w:tcPr>
            <w:tcW w:w="1540" w:type="dxa"/>
            <w:shd w:val="clear" w:color="auto" w:fill="auto"/>
            <w:vAlign w:val="center"/>
          </w:tcPr>
          <w:p>
            <w:pPr>
              <w:spacing w:line="360" w:lineRule="auto"/>
              <w:jc w:val="center"/>
              <w:rPr>
                <w:rFonts w:ascii="宋体" w:hAnsi="宋体"/>
                <w:kern w:val="20"/>
                <w:szCs w:val="21"/>
                <w:highlight w:val="none"/>
              </w:rPr>
            </w:pPr>
            <w:r>
              <w:rPr>
                <w:rFonts w:hint="eastAsia" w:ascii="宋体" w:hAnsi="宋体"/>
                <w:kern w:val="20"/>
                <w:szCs w:val="21"/>
                <w:highlight w:val="none"/>
              </w:rPr>
              <w:t>资格</w:t>
            </w:r>
          </w:p>
          <w:p>
            <w:pPr>
              <w:spacing w:line="360" w:lineRule="auto"/>
              <w:jc w:val="center"/>
              <w:rPr>
                <w:rFonts w:ascii="宋体" w:hAnsi="宋体"/>
                <w:kern w:val="20"/>
                <w:szCs w:val="21"/>
                <w:highlight w:val="none"/>
              </w:rPr>
            </w:pPr>
            <w:r>
              <w:rPr>
                <w:rFonts w:hint="eastAsia" w:ascii="宋体" w:hAnsi="宋体"/>
                <w:kern w:val="20"/>
                <w:szCs w:val="21"/>
                <w:highlight w:val="none"/>
              </w:rPr>
              <w:t>评审标准</w:t>
            </w:r>
          </w:p>
        </w:tc>
        <w:tc>
          <w:tcPr>
            <w:tcW w:w="7045" w:type="dxa"/>
            <w:shd w:val="clear" w:color="auto" w:fill="auto"/>
          </w:tcPr>
          <w:p>
            <w:pPr>
              <w:pStyle w:val="13"/>
              <w:shd w:val="clear" w:color="auto" w:fill="auto"/>
              <w:tabs>
                <w:tab w:val="left" w:pos="946"/>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（1）</w:t>
            </w:r>
            <w:r>
              <w:rPr>
                <w:rStyle w:val="15"/>
                <w:rFonts w:eastAsia="宋体"/>
                <w:sz w:val="21"/>
                <w:szCs w:val="21"/>
                <w:highlight w:val="none"/>
              </w:rPr>
              <w:t>投标人具备有效的营业执照、勘察资质证书、设计资质证书和基本账户开户许可证</w:t>
            </w:r>
            <w:r>
              <w:rPr>
                <w:rFonts w:hint="eastAsia"/>
                <w:sz w:val="21"/>
                <w:szCs w:val="21"/>
                <w:highlight w:val="none"/>
              </w:rPr>
              <w:t>或开户证明</w:t>
            </w:r>
            <w:r>
              <w:rPr>
                <w:rStyle w:val="15"/>
                <w:rFonts w:eastAsia="宋体"/>
                <w:sz w:val="21"/>
                <w:szCs w:val="21"/>
                <w:highlight w:val="none"/>
              </w:rPr>
              <w:t>。</w:t>
            </w:r>
          </w:p>
          <w:p>
            <w:pPr>
              <w:pStyle w:val="13"/>
              <w:shd w:val="clear" w:color="auto" w:fill="auto"/>
              <w:tabs>
                <w:tab w:val="left" w:pos="1073"/>
              </w:tabs>
              <w:spacing w:before="0" w:line="360" w:lineRule="auto"/>
              <w:ind w:firstLine="420" w:firstLineChars="200"/>
              <w:jc w:val="both"/>
              <w:rPr>
                <w:rStyle w:val="15"/>
                <w:rFonts w:eastAsia="宋体"/>
                <w:sz w:val="21"/>
                <w:szCs w:val="21"/>
                <w:highlight w:val="none"/>
              </w:rPr>
            </w:pPr>
            <w:r>
              <w:rPr>
                <w:rStyle w:val="15"/>
                <w:rFonts w:hint="eastAsia" w:eastAsia="宋体"/>
                <w:sz w:val="21"/>
                <w:szCs w:val="21"/>
                <w:highlight w:val="none"/>
              </w:rPr>
              <w:t>（2）</w:t>
            </w:r>
            <w:r>
              <w:rPr>
                <w:rStyle w:val="15"/>
                <w:rFonts w:eastAsia="宋体"/>
                <w:sz w:val="21"/>
                <w:szCs w:val="21"/>
                <w:highlight w:val="none"/>
              </w:rPr>
              <w:t>投标人的资质等级符合招标文件规定。</w:t>
            </w:r>
          </w:p>
          <w:p>
            <w:pPr>
              <w:pStyle w:val="13"/>
              <w:shd w:val="clear" w:color="auto" w:fill="auto"/>
              <w:tabs>
                <w:tab w:val="left" w:pos="1073"/>
              </w:tabs>
              <w:spacing w:before="0" w:line="360" w:lineRule="auto"/>
              <w:ind w:firstLine="420" w:firstLineChars="200"/>
              <w:jc w:val="both"/>
              <w:rPr>
                <w:rStyle w:val="15"/>
                <w:rFonts w:eastAsia="宋体"/>
                <w:sz w:val="21"/>
                <w:szCs w:val="21"/>
                <w:highlight w:val="none"/>
              </w:rPr>
            </w:pPr>
            <w:r>
              <w:rPr>
                <w:rStyle w:val="15"/>
                <w:rFonts w:hint="eastAsia" w:eastAsia="宋体"/>
                <w:sz w:val="21"/>
                <w:szCs w:val="21"/>
                <w:highlight w:val="none"/>
              </w:rPr>
              <w:t>（3）投标人的类似项目业绩符合招标文件规定。</w:t>
            </w:r>
          </w:p>
          <w:p>
            <w:pPr>
              <w:pStyle w:val="13"/>
              <w:shd w:val="clear" w:color="auto" w:fill="auto"/>
              <w:tabs>
                <w:tab w:val="left" w:pos="107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（3）</w:t>
            </w:r>
            <w:r>
              <w:rPr>
                <w:rStyle w:val="15"/>
                <w:rFonts w:eastAsia="宋体"/>
                <w:sz w:val="21"/>
                <w:szCs w:val="21"/>
                <w:highlight w:val="none"/>
              </w:rPr>
              <w:t>投标人的信誉符合招标文件规定。</w:t>
            </w:r>
          </w:p>
          <w:p>
            <w:pPr>
              <w:pStyle w:val="13"/>
              <w:shd w:val="clear" w:color="auto" w:fill="auto"/>
              <w:tabs>
                <w:tab w:val="left" w:pos="1075"/>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（4）</w:t>
            </w:r>
            <w:r>
              <w:rPr>
                <w:rStyle w:val="15"/>
                <w:rFonts w:eastAsia="宋体"/>
                <w:sz w:val="21"/>
                <w:szCs w:val="21"/>
                <w:highlight w:val="none"/>
              </w:rPr>
              <w:t>投标人的项目负责人资格符合招标文件规定。</w:t>
            </w:r>
          </w:p>
          <w:p>
            <w:pPr>
              <w:pStyle w:val="13"/>
              <w:shd w:val="clear" w:color="auto" w:fill="auto"/>
              <w:tabs>
                <w:tab w:val="left" w:pos="1078"/>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（5）</w:t>
            </w:r>
            <w:r>
              <w:rPr>
                <w:rStyle w:val="15"/>
                <w:rFonts w:eastAsia="宋体"/>
                <w:sz w:val="21"/>
                <w:szCs w:val="21"/>
                <w:highlight w:val="none"/>
              </w:rPr>
              <w:t>投标人不存在第二章“投标人须知”第</w:t>
            </w:r>
            <w:r>
              <w:rPr>
                <w:rStyle w:val="15"/>
                <w:rFonts w:eastAsia="宋体"/>
                <w:sz w:val="21"/>
                <w:szCs w:val="21"/>
                <w:highlight w:val="none"/>
                <w:lang w:bidi="en-US"/>
              </w:rPr>
              <w:t>1.4.3</w:t>
            </w:r>
            <w:r>
              <w:rPr>
                <w:rStyle w:val="15"/>
                <w:rFonts w:eastAsia="宋体"/>
                <w:sz w:val="21"/>
                <w:szCs w:val="21"/>
                <w:highlight w:val="none"/>
              </w:rPr>
              <w:t>项或第</w:t>
            </w:r>
            <w:r>
              <w:rPr>
                <w:rStyle w:val="15"/>
                <w:rFonts w:eastAsia="宋体"/>
                <w:sz w:val="21"/>
                <w:szCs w:val="21"/>
                <w:highlight w:val="none"/>
                <w:lang w:bidi="en-US"/>
              </w:rPr>
              <w:t>1.4.4</w:t>
            </w:r>
            <w:r>
              <w:rPr>
                <w:rStyle w:val="15"/>
                <w:rFonts w:eastAsia="宋体"/>
                <w:sz w:val="21"/>
                <w:szCs w:val="21"/>
                <w:highlight w:val="none"/>
              </w:rPr>
              <w:t>项规定的任何一种情形。</w:t>
            </w:r>
          </w:p>
          <w:p>
            <w:pPr>
              <w:pStyle w:val="13"/>
              <w:shd w:val="clear" w:color="auto" w:fill="auto"/>
              <w:tabs>
                <w:tab w:val="left" w:pos="1073"/>
              </w:tabs>
              <w:spacing w:before="0" w:line="360" w:lineRule="auto"/>
              <w:ind w:firstLine="420" w:firstLineChars="200"/>
              <w:jc w:val="both"/>
              <w:rPr>
                <w:rFonts w:cs="宋体"/>
                <w:sz w:val="21"/>
                <w:szCs w:val="21"/>
                <w:highlight w:val="none"/>
                <w:lang w:eastAsia="zh-TW"/>
              </w:rPr>
            </w:pPr>
            <w:r>
              <w:rPr>
                <w:rStyle w:val="15"/>
                <w:rFonts w:hint="eastAsia" w:eastAsia="宋体"/>
                <w:sz w:val="21"/>
                <w:szCs w:val="21"/>
                <w:highlight w:val="none"/>
              </w:rPr>
              <w:t>（6）</w:t>
            </w:r>
            <w:r>
              <w:rPr>
                <w:rStyle w:val="15"/>
                <w:rFonts w:eastAsia="宋体"/>
                <w:sz w:val="21"/>
                <w:szCs w:val="21"/>
                <w:highlight w:val="none"/>
              </w:rPr>
              <w:t>投标人符合第二章“投标人须知”第</w:t>
            </w:r>
            <w:r>
              <w:rPr>
                <w:rStyle w:val="15"/>
                <w:rFonts w:eastAsia="宋体"/>
                <w:sz w:val="21"/>
                <w:szCs w:val="21"/>
                <w:highlight w:val="none"/>
                <w:lang w:bidi="en-US"/>
              </w:rPr>
              <w:t>1.4.5</w:t>
            </w:r>
            <w:r>
              <w:rPr>
                <w:rStyle w:val="15"/>
                <w:rFonts w:eastAsia="宋体"/>
                <w:sz w:val="21"/>
                <w:szCs w:val="21"/>
                <w:highlight w:val="none"/>
              </w:rPr>
              <w:t>项规定。</w:t>
            </w:r>
          </w:p>
          <w:p>
            <w:pPr>
              <w:pStyle w:val="13"/>
              <w:shd w:val="clear" w:color="auto" w:fill="auto"/>
              <w:tabs>
                <w:tab w:val="left" w:pos="1073"/>
              </w:tabs>
              <w:spacing w:before="0" w:line="360" w:lineRule="auto"/>
              <w:ind w:firstLine="420" w:firstLineChars="200"/>
              <w:jc w:val="both"/>
              <w:rPr>
                <w:rFonts w:cs="宋体"/>
                <w:sz w:val="21"/>
                <w:szCs w:val="21"/>
                <w:highlight w:val="none"/>
              </w:rPr>
            </w:pPr>
            <w:r>
              <w:rPr>
                <w:rStyle w:val="15"/>
                <w:rFonts w:hint="eastAsia" w:eastAsia="宋体"/>
                <w:sz w:val="21"/>
                <w:szCs w:val="21"/>
                <w:highlight w:val="none"/>
              </w:rPr>
              <w:t>（7）</w:t>
            </w:r>
            <w:r>
              <w:rPr>
                <w:rStyle w:val="15"/>
                <w:rFonts w:eastAsia="宋体"/>
                <w:sz w:val="21"/>
                <w:szCs w:val="21"/>
                <w:highlight w:val="none"/>
              </w:rPr>
              <w:t>以联合体形式参与投标的，联合体各方均未再以自己名义单独或参加其他联合体在同一标段中投标；独立参与投标的，投标人未同时参加联合体在同一标段中投标。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jc w:val="center"/>
              <w:rPr>
                <w:szCs w:val="21"/>
                <w:highlight w:val="none"/>
              </w:rPr>
            </w:pPr>
            <w:r>
              <w:rPr>
                <w:rFonts w:hint="eastAsia"/>
                <w:szCs w:val="21"/>
                <w:highlight w:val="none"/>
              </w:rPr>
              <w:t>条款号</w:t>
            </w:r>
          </w:p>
        </w:tc>
        <w:tc>
          <w:tcPr>
            <w:tcW w:w="1540" w:type="dxa"/>
            <w:shd w:val="clear" w:color="auto" w:fill="auto"/>
            <w:vAlign w:val="center"/>
          </w:tcPr>
          <w:p>
            <w:pPr>
              <w:jc w:val="center"/>
              <w:rPr>
                <w:szCs w:val="21"/>
                <w:highlight w:val="none"/>
              </w:rPr>
            </w:pPr>
            <w:r>
              <w:rPr>
                <w:rFonts w:hint="eastAsia"/>
                <w:szCs w:val="21"/>
                <w:highlight w:val="none"/>
              </w:rPr>
              <w:t>条款内容</w:t>
            </w:r>
          </w:p>
        </w:tc>
        <w:tc>
          <w:tcPr>
            <w:tcW w:w="7045" w:type="dxa"/>
            <w:shd w:val="clear" w:color="auto" w:fill="auto"/>
            <w:vAlign w:val="center"/>
          </w:tcPr>
          <w:p>
            <w:pPr>
              <w:jc w:val="center"/>
              <w:rPr>
                <w:szCs w:val="21"/>
                <w:highlight w:val="none"/>
              </w:rPr>
            </w:pPr>
            <w:r>
              <w:rPr>
                <w:rFonts w:hint="eastAsia"/>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spacing w:line="360" w:lineRule="auto"/>
              <w:jc w:val="center"/>
              <w:rPr>
                <w:rFonts w:ascii="宋体" w:hAnsi="宋体"/>
                <w:kern w:val="20"/>
                <w:szCs w:val="21"/>
                <w:highlight w:val="none"/>
              </w:rPr>
            </w:pPr>
            <w:r>
              <w:rPr>
                <w:rFonts w:hint="eastAsia" w:ascii="宋体" w:hAnsi="宋体"/>
                <w:kern w:val="20"/>
                <w:szCs w:val="21"/>
                <w:highlight w:val="none"/>
              </w:rPr>
              <w:t>2.2.1</w:t>
            </w:r>
          </w:p>
        </w:tc>
        <w:tc>
          <w:tcPr>
            <w:tcW w:w="1540" w:type="dxa"/>
            <w:shd w:val="clear" w:color="auto" w:fill="auto"/>
            <w:vAlign w:val="center"/>
          </w:tcPr>
          <w:p>
            <w:pPr>
              <w:spacing w:line="360" w:lineRule="auto"/>
              <w:jc w:val="center"/>
              <w:rPr>
                <w:rFonts w:ascii="宋体" w:hAnsi="宋体"/>
                <w:b/>
                <w:kern w:val="20"/>
                <w:szCs w:val="21"/>
                <w:highlight w:val="none"/>
              </w:rPr>
            </w:pPr>
            <w:r>
              <w:rPr>
                <w:rStyle w:val="16"/>
                <w:rFonts w:ascii="宋体" w:hAnsi="宋体" w:eastAsia="宋体"/>
                <w:b w:val="0"/>
                <w:sz w:val="21"/>
                <w:szCs w:val="21"/>
                <w:highlight w:val="none"/>
              </w:rPr>
              <w:t>分值构成 （总分100分）</w:t>
            </w:r>
          </w:p>
        </w:tc>
        <w:tc>
          <w:tcPr>
            <w:tcW w:w="7045" w:type="dxa"/>
            <w:shd w:val="clear" w:color="auto" w:fill="auto"/>
          </w:tcPr>
          <w:p>
            <w:pPr>
              <w:pStyle w:val="13"/>
              <w:shd w:val="clear" w:color="auto" w:fill="auto"/>
              <w:spacing w:before="0" w:line="360" w:lineRule="auto"/>
              <w:ind w:firstLine="420" w:firstLineChars="200"/>
              <w:jc w:val="left"/>
              <w:rPr>
                <w:rStyle w:val="16"/>
                <w:rFonts w:eastAsia="宋体"/>
                <w:b w:val="0"/>
                <w:sz w:val="21"/>
                <w:szCs w:val="21"/>
                <w:highlight w:val="none"/>
              </w:rPr>
            </w:pPr>
            <w:r>
              <w:rPr>
                <w:rStyle w:val="16"/>
                <w:rFonts w:eastAsia="宋体"/>
                <w:b w:val="0"/>
                <w:sz w:val="21"/>
                <w:szCs w:val="21"/>
                <w:highlight w:val="none"/>
              </w:rPr>
              <w:t>第一个信封（商务及技术文件）评分分值构成：</w:t>
            </w:r>
          </w:p>
          <w:p>
            <w:pPr>
              <w:pStyle w:val="13"/>
              <w:shd w:val="clear" w:color="auto" w:fill="auto"/>
              <w:spacing w:before="0" w:line="360" w:lineRule="auto"/>
              <w:ind w:firstLine="420" w:firstLineChars="200"/>
              <w:jc w:val="left"/>
              <w:rPr>
                <w:rStyle w:val="16"/>
                <w:rFonts w:eastAsia="宋体"/>
                <w:b w:val="0"/>
                <w:sz w:val="21"/>
                <w:szCs w:val="21"/>
                <w:highlight w:val="none"/>
              </w:rPr>
            </w:pPr>
            <w:r>
              <w:rPr>
                <w:rStyle w:val="16"/>
                <w:rFonts w:hint="eastAsia" w:eastAsia="宋体"/>
                <w:b w:val="0"/>
                <w:sz w:val="21"/>
                <w:szCs w:val="21"/>
                <w:highlight w:val="none"/>
              </w:rPr>
              <w:t>技术建议书：30分</w:t>
            </w:r>
          </w:p>
          <w:p>
            <w:pPr>
              <w:pStyle w:val="13"/>
              <w:shd w:val="clear" w:color="auto" w:fill="auto"/>
              <w:spacing w:before="0" w:line="360" w:lineRule="auto"/>
              <w:ind w:firstLine="420" w:firstLineChars="200"/>
              <w:jc w:val="left"/>
              <w:rPr>
                <w:rStyle w:val="16"/>
                <w:rFonts w:eastAsia="宋体"/>
                <w:b w:val="0"/>
                <w:sz w:val="21"/>
                <w:szCs w:val="21"/>
                <w:highlight w:val="none"/>
              </w:rPr>
            </w:pPr>
            <w:r>
              <w:rPr>
                <w:rStyle w:val="16"/>
                <w:rFonts w:hint="eastAsia" w:eastAsia="宋体"/>
                <w:b w:val="0"/>
                <w:sz w:val="21"/>
                <w:szCs w:val="21"/>
                <w:highlight w:val="none"/>
              </w:rPr>
              <w:t>主要人员：25分</w:t>
            </w:r>
          </w:p>
          <w:p>
            <w:pPr>
              <w:pStyle w:val="13"/>
              <w:shd w:val="clear" w:color="auto" w:fill="auto"/>
              <w:spacing w:before="0" w:line="360" w:lineRule="auto"/>
              <w:ind w:firstLine="420" w:firstLineChars="200"/>
              <w:jc w:val="left"/>
              <w:rPr>
                <w:rStyle w:val="16"/>
                <w:rFonts w:eastAsia="宋体"/>
                <w:b w:val="0"/>
                <w:sz w:val="21"/>
                <w:szCs w:val="21"/>
                <w:highlight w:val="none"/>
              </w:rPr>
            </w:pPr>
            <w:r>
              <w:rPr>
                <w:rStyle w:val="16"/>
                <w:rFonts w:hint="eastAsia" w:eastAsia="宋体"/>
                <w:b w:val="0"/>
                <w:sz w:val="21"/>
                <w:szCs w:val="21"/>
                <w:highlight w:val="none"/>
              </w:rPr>
              <w:t>业绩：25分</w:t>
            </w:r>
          </w:p>
          <w:p>
            <w:pPr>
              <w:pStyle w:val="13"/>
              <w:shd w:val="clear" w:color="auto" w:fill="auto"/>
              <w:spacing w:before="0" w:line="360" w:lineRule="auto"/>
              <w:ind w:firstLine="420" w:firstLineChars="200"/>
              <w:jc w:val="left"/>
              <w:rPr>
                <w:rStyle w:val="16"/>
                <w:rFonts w:eastAsia="宋体"/>
                <w:b w:val="0"/>
                <w:sz w:val="21"/>
                <w:szCs w:val="21"/>
                <w:highlight w:val="none"/>
              </w:rPr>
            </w:pPr>
            <w:r>
              <w:rPr>
                <w:rStyle w:val="16"/>
                <w:rFonts w:hint="eastAsia" w:eastAsia="宋体"/>
                <w:b w:val="0"/>
                <w:sz w:val="21"/>
                <w:szCs w:val="21"/>
                <w:highlight w:val="none"/>
              </w:rPr>
              <w:t>履约信誉：10分</w:t>
            </w:r>
          </w:p>
          <w:p>
            <w:pPr>
              <w:pStyle w:val="13"/>
              <w:shd w:val="clear" w:color="auto" w:fill="auto"/>
              <w:spacing w:before="0" w:line="360" w:lineRule="auto"/>
              <w:ind w:firstLine="420" w:firstLineChars="200"/>
              <w:jc w:val="left"/>
              <w:rPr>
                <w:rFonts w:cs="宋体"/>
                <w:b/>
                <w:bCs/>
                <w:sz w:val="21"/>
                <w:szCs w:val="21"/>
                <w:highlight w:val="none"/>
                <w:lang w:val="zh-TW" w:bidi="zh-TW"/>
              </w:rPr>
            </w:pPr>
            <w:r>
              <w:rPr>
                <w:rStyle w:val="16"/>
                <w:rFonts w:eastAsia="宋体"/>
                <w:b w:val="0"/>
                <w:sz w:val="21"/>
                <w:szCs w:val="21"/>
                <w:highlight w:val="none"/>
              </w:rPr>
              <w:t>第二个信封（报价文件）评分分值构成：</w:t>
            </w:r>
          </w:p>
          <w:p>
            <w:pPr>
              <w:spacing w:line="360" w:lineRule="auto"/>
              <w:ind w:firstLine="420" w:firstLineChars="200"/>
              <w:rPr>
                <w:rFonts w:ascii="宋体" w:hAnsi="宋体"/>
                <w:b/>
                <w:kern w:val="20"/>
                <w:szCs w:val="21"/>
                <w:highlight w:val="none"/>
              </w:rPr>
            </w:pPr>
            <w:r>
              <w:rPr>
                <w:rStyle w:val="16"/>
                <w:rFonts w:ascii="宋体" w:hAnsi="宋体" w:eastAsia="宋体"/>
                <w:b w:val="0"/>
                <w:sz w:val="21"/>
                <w:szCs w:val="21"/>
                <w:highlight w:val="none"/>
              </w:rPr>
              <w:t>评标价</w:t>
            </w:r>
            <w:r>
              <w:rPr>
                <w:rStyle w:val="16"/>
                <w:rFonts w:hint="eastAsia" w:ascii="宋体" w:hAnsi="宋体" w:eastAsia="宋体"/>
                <w:b w:val="0"/>
                <w:sz w:val="21"/>
                <w:szCs w:val="21"/>
                <w:highlight w:val="none"/>
              </w:rPr>
              <w:t>：10</w:t>
            </w:r>
            <w:r>
              <w:rPr>
                <w:rStyle w:val="16"/>
                <w:rFonts w:ascii="宋体" w:hAnsi="宋体" w:eastAsia="宋体"/>
                <w:b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shd w:val="clear" w:color="auto" w:fill="auto"/>
            <w:vAlign w:val="center"/>
          </w:tcPr>
          <w:p>
            <w:pPr>
              <w:spacing w:line="360" w:lineRule="auto"/>
              <w:jc w:val="center"/>
              <w:rPr>
                <w:rFonts w:ascii="宋体" w:hAnsi="宋体"/>
                <w:kern w:val="20"/>
                <w:szCs w:val="21"/>
                <w:highlight w:val="none"/>
              </w:rPr>
            </w:pPr>
            <w:r>
              <w:rPr>
                <w:rFonts w:hint="eastAsia" w:ascii="宋体" w:hAnsi="宋体"/>
                <w:kern w:val="20"/>
                <w:szCs w:val="21"/>
                <w:highlight w:val="none"/>
              </w:rPr>
              <w:t>2.2.2</w:t>
            </w:r>
          </w:p>
        </w:tc>
        <w:tc>
          <w:tcPr>
            <w:tcW w:w="1540" w:type="dxa"/>
            <w:shd w:val="clear" w:color="auto" w:fill="auto"/>
            <w:vAlign w:val="center"/>
          </w:tcPr>
          <w:p>
            <w:pPr>
              <w:spacing w:line="360" w:lineRule="auto"/>
              <w:jc w:val="center"/>
              <w:rPr>
                <w:rFonts w:ascii="宋体" w:hAnsi="宋体"/>
                <w:kern w:val="20"/>
                <w:szCs w:val="21"/>
                <w:highlight w:val="none"/>
              </w:rPr>
            </w:pPr>
            <w:r>
              <w:rPr>
                <w:rStyle w:val="16"/>
                <w:rFonts w:ascii="宋体" w:hAnsi="宋体" w:eastAsia="宋体"/>
                <w:sz w:val="21"/>
                <w:szCs w:val="21"/>
                <w:highlight w:val="none"/>
              </w:rPr>
              <w:t>评标基准价计算方法</w:t>
            </w:r>
          </w:p>
        </w:tc>
        <w:tc>
          <w:tcPr>
            <w:tcW w:w="7045" w:type="dxa"/>
            <w:shd w:val="clear" w:color="auto" w:fill="auto"/>
          </w:tcPr>
          <w:p>
            <w:pPr>
              <w:pStyle w:val="13"/>
              <w:shd w:val="clear" w:color="auto" w:fill="auto"/>
              <w:spacing w:before="0" w:line="360" w:lineRule="auto"/>
              <w:ind w:firstLine="422" w:firstLineChars="200"/>
              <w:jc w:val="left"/>
              <w:rPr>
                <w:rFonts w:cs="宋体"/>
                <w:sz w:val="21"/>
                <w:szCs w:val="21"/>
                <w:highlight w:val="none"/>
              </w:rPr>
            </w:pPr>
            <w:r>
              <w:rPr>
                <w:rStyle w:val="16"/>
                <w:rFonts w:eastAsia="宋体"/>
                <w:sz w:val="21"/>
                <w:szCs w:val="21"/>
                <w:highlight w:val="none"/>
              </w:rPr>
              <w:t>评标基准价的计算：</w:t>
            </w:r>
          </w:p>
          <w:p>
            <w:pPr>
              <w:pStyle w:val="13"/>
              <w:shd w:val="clear" w:color="auto" w:fill="auto"/>
              <w:spacing w:before="0" w:line="360" w:lineRule="auto"/>
              <w:ind w:firstLine="422" w:firstLineChars="200"/>
              <w:jc w:val="left"/>
              <w:rPr>
                <w:rFonts w:cs="宋体"/>
                <w:sz w:val="21"/>
                <w:szCs w:val="21"/>
                <w:highlight w:val="none"/>
              </w:rPr>
            </w:pPr>
            <w:r>
              <w:rPr>
                <w:rStyle w:val="16"/>
                <w:rFonts w:eastAsia="宋体"/>
                <w:sz w:val="21"/>
                <w:szCs w:val="21"/>
                <w:highlight w:val="none"/>
              </w:rPr>
              <w:t>在开标现场，招标人将当场计算并宣布评标基准价。</w:t>
            </w:r>
          </w:p>
          <w:p>
            <w:pPr>
              <w:pStyle w:val="13"/>
              <w:shd w:val="clear" w:color="auto" w:fill="auto"/>
              <w:tabs>
                <w:tab w:val="left" w:pos="413"/>
              </w:tabs>
              <w:spacing w:before="0" w:line="360" w:lineRule="auto"/>
              <w:ind w:firstLine="422" w:firstLineChars="200"/>
              <w:jc w:val="both"/>
              <w:rPr>
                <w:rFonts w:cs="宋体"/>
                <w:sz w:val="21"/>
                <w:szCs w:val="21"/>
                <w:highlight w:val="none"/>
              </w:rPr>
            </w:pPr>
            <w:r>
              <w:rPr>
                <w:rStyle w:val="16"/>
                <w:rFonts w:hint="eastAsia" w:eastAsia="宋体"/>
                <w:sz w:val="21"/>
                <w:szCs w:val="21"/>
                <w:highlight w:val="none"/>
              </w:rPr>
              <w:t>（1）</w:t>
            </w:r>
            <w:r>
              <w:rPr>
                <w:rStyle w:val="16"/>
                <w:rFonts w:eastAsia="宋体"/>
                <w:sz w:val="21"/>
                <w:szCs w:val="21"/>
                <w:highlight w:val="none"/>
              </w:rPr>
              <w:t>评标价的确定：</w:t>
            </w:r>
          </w:p>
          <w:p>
            <w:pPr>
              <w:pStyle w:val="13"/>
              <w:shd w:val="clear" w:color="auto" w:fill="auto"/>
              <w:spacing w:before="0" w:line="360" w:lineRule="auto"/>
              <w:ind w:firstLine="422" w:firstLineChars="200"/>
              <w:jc w:val="left"/>
              <w:rPr>
                <w:rFonts w:cs="宋体"/>
                <w:sz w:val="21"/>
                <w:szCs w:val="21"/>
                <w:highlight w:val="none"/>
              </w:rPr>
            </w:pPr>
            <w:r>
              <w:rPr>
                <w:rStyle w:val="16"/>
                <w:rFonts w:eastAsia="宋体"/>
                <w:sz w:val="21"/>
                <w:szCs w:val="21"/>
                <w:highlight w:val="none"/>
              </w:rPr>
              <w:t>评标价=投标函文字报价</w:t>
            </w:r>
          </w:p>
          <w:p>
            <w:pPr>
              <w:pStyle w:val="13"/>
              <w:shd w:val="clear" w:color="auto" w:fill="auto"/>
              <w:tabs>
                <w:tab w:val="left" w:pos="413"/>
              </w:tabs>
              <w:spacing w:before="0" w:line="360" w:lineRule="auto"/>
              <w:ind w:firstLine="422" w:firstLineChars="200"/>
              <w:jc w:val="both"/>
              <w:rPr>
                <w:rFonts w:cs="宋体"/>
                <w:sz w:val="21"/>
                <w:szCs w:val="21"/>
                <w:highlight w:val="none"/>
              </w:rPr>
            </w:pPr>
            <w:r>
              <w:rPr>
                <w:rStyle w:val="16"/>
                <w:rFonts w:hint="eastAsia" w:eastAsia="宋体"/>
                <w:sz w:val="21"/>
                <w:szCs w:val="21"/>
                <w:highlight w:val="none"/>
              </w:rPr>
              <w:t>（2）</w:t>
            </w:r>
            <w:r>
              <w:rPr>
                <w:rStyle w:val="16"/>
                <w:rFonts w:eastAsia="宋体"/>
                <w:sz w:val="21"/>
                <w:szCs w:val="21"/>
                <w:highlight w:val="none"/>
              </w:rPr>
              <w:t>评标价平均值的计算</w:t>
            </w:r>
            <w:r>
              <w:rPr>
                <w:rStyle w:val="16"/>
                <w:rFonts w:hint="eastAsia" w:eastAsia="宋体"/>
                <w:sz w:val="21"/>
                <w:szCs w:val="21"/>
                <w:highlight w:val="none"/>
              </w:rPr>
              <w:t>：</w:t>
            </w:r>
          </w:p>
          <w:p>
            <w:pPr>
              <w:pStyle w:val="13"/>
              <w:shd w:val="clear" w:color="auto" w:fill="auto"/>
              <w:tabs>
                <w:tab w:val="left" w:pos="413"/>
              </w:tabs>
              <w:spacing w:before="0" w:line="360" w:lineRule="auto"/>
              <w:ind w:firstLine="420" w:firstLineChars="200"/>
              <w:jc w:val="both"/>
              <w:rPr>
                <w:sz w:val="21"/>
                <w:szCs w:val="21"/>
                <w:highlight w:val="none"/>
              </w:rPr>
            </w:pPr>
            <w:r>
              <w:rPr>
                <w:rFonts w:hint="eastAsia"/>
                <w:sz w:val="21"/>
                <w:szCs w:val="21"/>
                <w:highlight w:val="none"/>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pStyle w:val="13"/>
              <w:shd w:val="clear" w:color="auto" w:fill="auto"/>
              <w:tabs>
                <w:tab w:val="left" w:pos="413"/>
              </w:tabs>
              <w:spacing w:before="0" w:line="360" w:lineRule="auto"/>
              <w:ind w:firstLine="422" w:firstLineChars="200"/>
              <w:jc w:val="both"/>
              <w:rPr>
                <w:rFonts w:cs="宋体"/>
                <w:sz w:val="21"/>
                <w:szCs w:val="21"/>
                <w:highlight w:val="none"/>
              </w:rPr>
            </w:pPr>
            <w:r>
              <w:rPr>
                <w:rStyle w:val="16"/>
                <w:rFonts w:hint="eastAsia" w:eastAsia="宋体"/>
                <w:sz w:val="21"/>
                <w:szCs w:val="21"/>
                <w:highlight w:val="none"/>
              </w:rPr>
              <w:t>（3）</w:t>
            </w:r>
            <w:r>
              <w:rPr>
                <w:rStyle w:val="16"/>
                <w:rFonts w:eastAsia="宋体"/>
                <w:sz w:val="21"/>
                <w:szCs w:val="21"/>
                <w:highlight w:val="none"/>
              </w:rPr>
              <w:t>评标基准价的确定</w:t>
            </w:r>
            <w:r>
              <w:rPr>
                <w:rStyle w:val="16"/>
                <w:rFonts w:hint="eastAsia" w:eastAsia="宋体"/>
                <w:sz w:val="21"/>
                <w:szCs w:val="21"/>
                <w:highlight w:val="none"/>
              </w:rPr>
              <w:t>：</w:t>
            </w:r>
          </w:p>
          <w:p>
            <w:pPr>
              <w:pStyle w:val="13"/>
              <w:shd w:val="clear" w:color="auto" w:fill="auto"/>
              <w:tabs>
                <w:tab w:val="left" w:pos="413"/>
              </w:tabs>
              <w:spacing w:before="0" w:line="360" w:lineRule="auto"/>
              <w:ind w:firstLine="420" w:firstLineChars="200"/>
              <w:jc w:val="both"/>
              <w:rPr>
                <w:sz w:val="21"/>
                <w:szCs w:val="21"/>
                <w:highlight w:val="none"/>
              </w:rPr>
            </w:pPr>
            <w:r>
              <w:rPr>
                <w:rFonts w:hint="eastAsia"/>
                <w:sz w:val="21"/>
                <w:szCs w:val="21"/>
                <w:highlight w:val="none"/>
              </w:rPr>
              <w:t>将评标价平均值直接作为评标基准价。</w:t>
            </w:r>
          </w:p>
          <w:p>
            <w:pPr>
              <w:pStyle w:val="13"/>
              <w:shd w:val="clear" w:color="auto" w:fill="auto"/>
              <w:tabs>
                <w:tab w:val="left" w:pos="413"/>
              </w:tabs>
              <w:spacing w:before="0" w:line="360" w:lineRule="auto"/>
              <w:ind w:firstLine="420" w:firstLineChars="200"/>
              <w:jc w:val="both"/>
              <w:rPr>
                <w:kern w:val="20"/>
                <w:sz w:val="21"/>
                <w:szCs w:val="21"/>
                <w:highlight w:val="none"/>
              </w:rPr>
            </w:pPr>
            <w:r>
              <w:rPr>
                <w:rFonts w:hint="eastAsia"/>
                <w:sz w:val="21"/>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77" w:type="dxa"/>
            <w:shd w:val="clear" w:color="auto" w:fill="auto"/>
            <w:vAlign w:val="center"/>
          </w:tcPr>
          <w:p>
            <w:pPr>
              <w:spacing w:line="360" w:lineRule="auto"/>
              <w:jc w:val="center"/>
              <w:rPr>
                <w:rFonts w:ascii="宋体" w:hAnsi="宋体"/>
                <w:kern w:val="20"/>
                <w:szCs w:val="21"/>
                <w:highlight w:val="none"/>
              </w:rPr>
            </w:pPr>
            <w:r>
              <w:rPr>
                <w:rFonts w:hint="eastAsia" w:ascii="宋体" w:hAnsi="宋体"/>
                <w:kern w:val="20"/>
                <w:szCs w:val="21"/>
                <w:highlight w:val="none"/>
              </w:rPr>
              <w:t>2.2.3</w:t>
            </w:r>
          </w:p>
        </w:tc>
        <w:tc>
          <w:tcPr>
            <w:tcW w:w="1540" w:type="dxa"/>
            <w:shd w:val="clear" w:color="auto" w:fill="auto"/>
            <w:vAlign w:val="center"/>
          </w:tcPr>
          <w:p>
            <w:pPr>
              <w:jc w:val="center"/>
              <w:rPr>
                <w:rStyle w:val="16"/>
                <w:rFonts w:ascii="宋体" w:hAnsi="宋体" w:eastAsia="宋体"/>
                <w:b w:val="0"/>
                <w:sz w:val="21"/>
                <w:szCs w:val="21"/>
                <w:highlight w:val="none"/>
              </w:rPr>
            </w:pPr>
            <w:r>
              <w:rPr>
                <w:rStyle w:val="15"/>
                <w:rFonts w:ascii="宋体" w:hAnsi="宋体" w:eastAsia="宋体"/>
                <w:sz w:val="21"/>
                <w:szCs w:val="21"/>
                <w:highlight w:val="none"/>
              </w:rPr>
              <w:t>评标价的偏差率计算公式</w:t>
            </w:r>
          </w:p>
        </w:tc>
        <w:tc>
          <w:tcPr>
            <w:tcW w:w="7045" w:type="dxa"/>
            <w:shd w:val="clear" w:color="auto" w:fill="auto"/>
          </w:tcPr>
          <w:p>
            <w:pPr>
              <w:ind w:firstLine="420" w:firstLineChars="200"/>
              <w:rPr>
                <w:rStyle w:val="15"/>
                <w:rFonts w:ascii="宋体" w:hAnsi="宋体" w:eastAsia="宋体"/>
                <w:sz w:val="21"/>
                <w:szCs w:val="21"/>
                <w:highlight w:val="none"/>
              </w:rPr>
            </w:pPr>
            <w:r>
              <w:rPr>
                <w:rStyle w:val="15"/>
                <w:rFonts w:ascii="宋体" w:hAnsi="宋体" w:eastAsia="宋体"/>
                <w:sz w:val="21"/>
                <w:szCs w:val="21"/>
                <w:highlight w:val="none"/>
              </w:rPr>
              <w:t xml:space="preserve">偏差率=100% </w:t>
            </w:r>
            <w:r>
              <w:rPr>
                <w:rStyle w:val="14"/>
                <w:rFonts w:hint="eastAsia" w:ascii="宋体" w:hAnsi="宋体" w:eastAsia="宋体"/>
                <w:sz w:val="21"/>
                <w:szCs w:val="21"/>
                <w:highlight w:val="none"/>
                <w:lang w:eastAsia="zh-CN"/>
              </w:rPr>
              <w:t>×</w:t>
            </w:r>
            <w:r>
              <w:rPr>
                <w:rStyle w:val="15"/>
                <w:rFonts w:ascii="宋体" w:hAnsi="宋体" w:eastAsia="宋体"/>
                <w:sz w:val="21"/>
                <w:szCs w:val="21"/>
                <w:highlight w:val="none"/>
                <w:lang w:bidi="en-US"/>
              </w:rPr>
              <w:t>（</w:t>
            </w:r>
            <w:r>
              <w:rPr>
                <w:rStyle w:val="15"/>
                <w:rFonts w:ascii="宋体" w:hAnsi="宋体" w:eastAsia="宋体"/>
                <w:sz w:val="21"/>
                <w:szCs w:val="21"/>
                <w:highlight w:val="none"/>
              </w:rPr>
              <w:t>投标人评标价-评标基准价</w:t>
            </w:r>
            <w:r>
              <w:rPr>
                <w:rStyle w:val="15"/>
                <w:rFonts w:ascii="宋体" w:hAnsi="宋体" w:eastAsia="宋体"/>
                <w:sz w:val="21"/>
                <w:szCs w:val="21"/>
                <w:highlight w:val="none"/>
                <w:lang w:bidi="en-US"/>
              </w:rPr>
              <w:t>）/</w:t>
            </w:r>
            <w:r>
              <w:rPr>
                <w:rStyle w:val="15"/>
                <w:rFonts w:ascii="宋体" w:hAnsi="宋体" w:eastAsia="宋体"/>
                <w:sz w:val="21"/>
                <w:szCs w:val="21"/>
                <w:highlight w:val="none"/>
              </w:rPr>
              <w:t>评标基准价</w:t>
            </w:r>
          </w:p>
          <w:p>
            <w:pPr>
              <w:pStyle w:val="13"/>
              <w:shd w:val="clear" w:color="auto" w:fill="auto"/>
              <w:spacing w:before="0" w:line="240" w:lineRule="auto"/>
              <w:ind w:firstLine="420" w:firstLineChars="200"/>
              <w:jc w:val="both"/>
              <w:rPr>
                <w:rStyle w:val="16"/>
                <w:rFonts w:eastAsia="宋体"/>
                <w:b w:val="0"/>
                <w:sz w:val="21"/>
                <w:szCs w:val="21"/>
                <w:highlight w:val="none"/>
              </w:rPr>
            </w:pPr>
            <w:r>
              <w:rPr>
                <w:rStyle w:val="15"/>
                <w:rFonts w:eastAsia="宋体"/>
                <w:sz w:val="21"/>
                <w:szCs w:val="21"/>
                <w:highlight w:val="none"/>
              </w:rPr>
              <w:t>偏差率保留</w:t>
            </w:r>
            <w:r>
              <w:rPr>
                <w:rStyle w:val="15"/>
                <w:rFonts w:hint="eastAsia" w:eastAsia="宋体"/>
                <w:sz w:val="21"/>
                <w:szCs w:val="21"/>
                <w:highlight w:val="none"/>
              </w:rPr>
              <w:t>2</w:t>
            </w:r>
            <w:r>
              <w:rPr>
                <w:rStyle w:val="15"/>
                <w:rFonts w:eastAsia="宋体"/>
                <w:sz w:val="21"/>
                <w:szCs w:val="21"/>
                <w:highlight w:val="none"/>
              </w:rPr>
              <w:t>位小数</w:t>
            </w:r>
          </w:p>
        </w:tc>
      </w:tr>
    </w:tbl>
    <w:p>
      <w:pPr>
        <w:ind w:right="420"/>
        <w:jc w:val="right"/>
        <w:rPr>
          <w:rFonts w:ascii="宋体" w:hAnsi="宋体"/>
          <w:kern w:val="20"/>
          <w:szCs w:val="21"/>
          <w:highlight w:val="none"/>
        </w:rPr>
      </w:pPr>
      <w:r>
        <w:rPr>
          <w:rFonts w:ascii="宋体" w:hAnsi="宋体"/>
          <w:kern w:val="20"/>
          <w:szCs w:val="21"/>
          <w:highlight w:val="none"/>
        </w:rPr>
        <w:br w:type="page"/>
      </w:r>
    </w:p>
    <w:tbl>
      <w:tblPr>
        <w:tblStyle w:val="7"/>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26"/>
        <w:gridCol w:w="867"/>
        <w:gridCol w:w="993"/>
        <w:gridCol w:w="1896"/>
        <w:gridCol w:w="851"/>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89" w:type="dxa"/>
            <w:gridSpan w:val="6"/>
            <w:shd w:val="clear" w:color="auto" w:fill="auto"/>
          </w:tcPr>
          <w:p>
            <w:pPr>
              <w:jc w:val="center"/>
              <w:rPr>
                <w:rFonts w:ascii="宋体" w:hAnsi="宋体"/>
                <w:kern w:val="20"/>
                <w:szCs w:val="21"/>
                <w:highlight w:val="none"/>
              </w:rPr>
            </w:pPr>
            <w:r>
              <w:rPr>
                <w:rFonts w:hint="eastAsia" w:ascii="宋体" w:hAnsi="宋体"/>
                <w:kern w:val="20"/>
                <w:szCs w:val="21"/>
                <w:highlight w:val="none"/>
              </w:rPr>
              <w:t>评分因素与权重分值</w:t>
            </w:r>
            <w:r>
              <w:rPr>
                <w:rStyle w:val="11"/>
                <w:rFonts w:ascii="宋体" w:hAnsi="宋体"/>
                <w:kern w:val="20"/>
                <w:szCs w:val="21"/>
                <w:highlight w:val="none"/>
              </w:rPr>
              <w:footnoteReference w:id="0"/>
            </w:r>
          </w:p>
        </w:tc>
        <w:tc>
          <w:tcPr>
            <w:tcW w:w="3492" w:type="dxa"/>
            <w:vMerge w:val="restart"/>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6"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条款号</w:t>
            </w:r>
          </w:p>
        </w:tc>
        <w:tc>
          <w:tcPr>
            <w:tcW w:w="1293" w:type="dxa"/>
            <w:gridSpan w:val="2"/>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评分因素</w:t>
            </w:r>
          </w:p>
        </w:tc>
        <w:tc>
          <w:tcPr>
            <w:tcW w:w="993"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评分因素权重分值</w:t>
            </w:r>
          </w:p>
        </w:tc>
        <w:tc>
          <w:tcPr>
            <w:tcW w:w="1896"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各评分因素细分项</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分值</w:t>
            </w:r>
          </w:p>
        </w:tc>
        <w:tc>
          <w:tcPr>
            <w:tcW w:w="3492" w:type="dxa"/>
            <w:vMerge w:val="continue"/>
            <w:shd w:val="clear" w:color="auto" w:fill="auto"/>
          </w:tcPr>
          <w:p>
            <w:pPr>
              <w:rPr>
                <w:rFonts w:ascii="宋体" w:hAnsi="宋体"/>
                <w:kern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jc w:val="center"/>
              <w:rPr>
                <w:rFonts w:ascii="宋体" w:hAnsi="宋体"/>
                <w:kern w:val="20"/>
                <w:szCs w:val="21"/>
                <w:highlight w:val="none"/>
              </w:rPr>
            </w:pPr>
            <w:r>
              <w:rPr>
                <w:rStyle w:val="15"/>
                <w:rFonts w:ascii="宋体" w:hAnsi="宋体" w:eastAsia="宋体"/>
                <w:sz w:val="21"/>
                <w:szCs w:val="21"/>
                <w:highlight w:val="none"/>
              </w:rPr>
              <w:t>2.2.4（1）</w:t>
            </w:r>
          </w:p>
        </w:tc>
        <w:tc>
          <w:tcPr>
            <w:tcW w:w="1293" w:type="dxa"/>
            <w:gridSpan w:val="2"/>
            <w:vMerge w:val="restart"/>
            <w:shd w:val="clear" w:color="auto" w:fill="auto"/>
            <w:vAlign w:val="center"/>
          </w:tcPr>
          <w:p>
            <w:pPr>
              <w:jc w:val="center"/>
              <w:rPr>
                <w:rFonts w:ascii="宋体" w:hAnsi="宋体"/>
                <w:kern w:val="20"/>
                <w:szCs w:val="21"/>
                <w:highlight w:val="none"/>
              </w:rPr>
            </w:pPr>
            <w:r>
              <w:rPr>
                <w:rStyle w:val="15"/>
                <w:rFonts w:ascii="宋体" w:hAnsi="宋体" w:eastAsia="宋体"/>
                <w:sz w:val="21"/>
                <w:szCs w:val="21"/>
                <w:highlight w:val="none"/>
              </w:rPr>
              <w:t>技术建议书</w:t>
            </w:r>
          </w:p>
        </w:tc>
        <w:tc>
          <w:tcPr>
            <w:tcW w:w="993" w:type="dxa"/>
            <w:vMerge w:val="restart"/>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30 分</w:t>
            </w:r>
          </w:p>
        </w:tc>
        <w:tc>
          <w:tcPr>
            <w:tcW w:w="1896" w:type="dxa"/>
            <w:shd w:val="clear" w:color="auto" w:fill="auto"/>
            <w:vAlign w:val="center"/>
          </w:tcPr>
          <w:p>
            <w:pPr>
              <w:jc w:val="center"/>
              <w:rPr>
                <w:rFonts w:ascii="宋体" w:hAnsi="宋体"/>
                <w:kern w:val="20"/>
                <w:szCs w:val="21"/>
                <w:highlight w:val="none"/>
              </w:rPr>
            </w:pPr>
            <w:r>
              <w:rPr>
                <w:rStyle w:val="15"/>
                <w:rFonts w:ascii="宋体" w:hAnsi="宋体" w:eastAsia="宋体"/>
                <w:sz w:val="21"/>
                <w:szCs w:val="21"/>
                <w:highlight w:val="none"/>
              </w:rPr>
              <w:t>对招标项目的理解和总体设计思路</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adjustRightInd w:val="0"/>
              <w:textAlignment w:val="baseline"/>
              <w:rPr>
                <w:rFonts w:ascii="宋体"/>
                <w:szCs w:val="21"/>
                <w:highlight w:val="none"/>
              </w:rPr>
            </w:pPr>
            <w:r>
              <w:rPr>
                <w:rFonts w:hint="eastAsia" w:ascii="宋体" w:hAnsi="宋体" w:cs="宋体"/>
                <w:szCs w:val="21"/>
                <w:highlight w:val="none"/>
              </w:rPr>
              <w:t>对招标项目的理解和总体设计思路正确、符合实际情况得</w:t>
            </w:r>
            <w:r>
              <w:rPr>
                <w:rFonts w:ascii="宋体" w:hAnsi="宋体" w:cs="宋体"/>
                <w:szCs w:val="21"/>
                <w:highlight w:val="none"/>
              </w:rPr>
              <w:t>3</w:t>
            </w:r>
            <w:r>
              <w:rPr>
                <w:rFonts w:hint="eastAsia" w:ascii="宋体" w:hAnsi="宋体" w:cs="宋体"/>
                <w:szCs w:val="21"/>
                <w:highlight w:val="none"/>
              </w:rPr>
              <w:t>分，理解深刻、思路清晰、认识全面且有独到见解的加分，最高加</w:t>
            </w:r>
            <w:r>
              <w:rPr>
                <w:rFonts w:ascii="宋体" w:hAnsi="宋体" w:cs="宋体"/>
                <w:szCs w:val="21"/>
                <w:highlight w:val="none"/>
              </w:rPr>
              <w:t>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Style w:val="15"/>
                <w:rFonts w:ascii="宋体" w:hAnsi="宋体" w:eastAsia="宋体"/>
                <w:sz w:val="21"/>
                <w:szCs w:val="21"/>
                <w:highlight w:val="none"/>
              </w:rPr>
            </w:pPr>
          </w:p>
        </w:tc>
        <w:tc>
          <w:tcPr>
            <w:tcW w:w="1293" w:type="dxa"/>
            <w:gridSpan w:val="2"/>
            <w:vMerge w:val="continue"/>
            <w:shd w:val="clear" w:color="auto" w:fill="auto"/>
            <w:vAlign w:val="center"/>
          </w:tcPr>
          <w:p>
            <w:pPr>
              <w:jc w:val="center"/>
              <w:rPr>
                <w:rStyle w:val="15"/>
                <w:rFonts w:ascii="宋体" w:hAnsi="宋体" w:eastAsia="宋体"/>
                <w:sz w:val="21"/>
                <w:szCs w:val="21"/>
                <w:highlight w:val="none"/>
              </w:rPr>
            </w:pPr>
          </w:p>
        </w:tc>
        <w:tc>
          <w:tcPr>
            <w:tcW w:w="993" w:type="dxa"/>
            <w:vMerge w:val="continue"/>
            <w:shd w:val="clear" w:color="auto" w:fill="auto"/>
            <w:vAlign w:val="center"/>
          </w:tcPr>
          <w:p>
            <w:pPr>
              <w:jc w:val="center"/>
              <w:rPr>
                <w:rFonts w:ascii="宋体" w:hAnsi="宋体"/>
                <w:kern w:val="20"/>
                <w:szCs w:val="21"/>
                <w:highlight w:val="none"/>
              </w:rPr>
            </w:pPr>
          </w:p>
        </w:tc>
        <w:tc>
          <w:tcPr>
            <w:tcW w:w="1896" w:type="dxa"/>
            <w:shd w:val="clear" w:color="auto" w:fill="auto"/>
          </w:tcPr>
          <w:p>
            <w:pPr>
              <w:rPr>
                <w:rFonts w:ascii="宋体"/>
                <w:szCs w:val="21"/>
                <w:highlight w:val="none"/>
              </w:rPr>
            </w:pPr>
            <w:r>
              <w:rPr>
                <w:rFonts w:hint="eastAsia" w:ascii="宋体" w:hAnsi="宋体" w:cs="宋体"/>
                <w:szCs w:val="21"/>
                <w:highlight w:val="none"/>
              </w:rPr>
              <w:t>对招标项目勘察设计的特点、关键技术问题的认识</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adjustRightInd w:val="0"/>
              <w:textAlignment w:val="baseline"/>
              <w:rPr>
                <w:rFonts w:ascii="宋体"/>
                <w:szCs w:val="21"/>
                <w:highlight w:val="none"/>
              </w:rPr>
            </w:pPr>
            <w:r>
              <w:rPr>
                <w:rFonts w:hint="eastAsia" w:ascii="宋体" w:hAnsi="宋体" w:cs="宋体"/>
                <w:szCs w:val="21"/>
                <w:highlight w:val="none"/>
              </w:rPr>
              <w:t>对招标项目勘察设计的特点、关键技术问题的认识准确得3分，非常准确且认识全面的加分，最高加2分。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Style w:val="15"/>
                <w:rFonts w:ascii="宋体" w:hAnsi="宋体" w:eastAsia="宋体"/>
                <w:sz w:val="21"/>
                <w:szCs w:val="21"/>
                <w:highlight w:val="none"/>
              </w:rPr>
            </w:pPr>
          </w:p>
        </w:tc>
        <w:tc>
          <w:tcPr>
            <w:tcW w:w="1293" w:type="dxa"/>
            <w:gridSpan w:val="2"/>
            <w:vMerge w:val="continue"/>
            <w:shd w:val="clear" w:color="auto" w:fill="auto"/>
            <w:vAlign w:val="center"/>
          </w:tcPr>
          <w:p>
            <w:pPr>
              <w:jc w:val="center"/>
              <w:rPr>
                <w:rStyle w:val="15"/>
                <w:rFonts w:ascii="宋体" w:hAnsi="宋体" w:eastAsia="宋体"/>
                <w:sz w:val="21"/>
                <w:szCs w:val="21"/>
                <w:highlight w:val="none"/>
              </w:rPr>
            </w:pPr>
          </w:p>
        </w:tc>
        <w:tc>
          <w:tcPr>
            <w:tcW w:w="993" w:type="dxa"/>
            <w:vMerge w:val="continue"/>
            <w:shd w:val="clear" w:color="auto" w:fill="auto"/>
            <w:vAlign w:val="center"/>
          </w:tcPr>
          <w:p>
            <w:pPr>
              <w:jc w:val="center"/>
              <w:rPr>
                <w:rFonts w:ascii="宋体" w:hAnsi="宋体"/>
                <w:kern w:val="20"/>
                <w:szCs w:val="21"/>
                <w:highlight w:val="none"/>
              </w:rPr>
            </w:pPr>
          </w:p>
        </w:tc>
        <w:tc>
          <w:tcPr>
            <w:tcW w:w="1896" w:type="dxa"/>
            <w:shd w:val="clear" w:color="auto" w:fill="auto"/>
          </w:tcPr>
          <w:p>
            <w:pPr>
              <w:rPr>
                <w:rFonts w:ascii="宋体"/>
                <w:szCs w:val="21"/>
                <w:highlight w:val="none"/>
              </w:rPr>
            </w:pPr>
            <w:r>
              <w:rPr>
                <w:rFonts w:hint="eastAsia" w:ascii="宋体" w:hAnsi="宋体" w:cs="宋体"/>
                <w:szCs w:val="21"/>
                <w:highlight w:val="none"/>
              </w:rPr>
              <w:t>对招标项目勘察设计的特点及关键技术问题采取的对策措施</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adjustRightInd w:val="0"/>
              <w:textAlignment w:val="baseline"/>
              <w:rPr>
                <w:rFonts w:ascii="宋体"/>
                <w:szCs w:val="21"/>
                <w:highlight w:val="none"/>
              </w:rPr>
            </w:pPr>
            <w:r>
              <w:rPr>
                <w:rFonts w:hint="eastAsia" w:ascii="宋体" w:hAnsi="宋体" w:cs="宋体"/>
                <w:szCs w:val="21"/>
                <w:highlight w:val="none"/>
              </w:rPr>
              <w:t>对招标项目勘察设计的特点及关键技术问题采取的对策措施准确得3分，非常准确且措施先进、可行的加分，最高加2分。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kern w:val="20"/>
                <w:szCs w:val="21"/>
                <w:highlight w:val="none"/>
              </w:rPr>
            </w:pPr>
          </w:p>
        </w:tc>
        <w:tc>
          <w:tcPr>
            <w:tcW w:w="1293" w:type="dxa"/>
            <w:gridSpan w:val="2"/>
            <w:vMerge w:val="continue"/>
            <w:shd w:val="clear" w:color="auto" w:fill="auto"/>
            <w:vAlign w:val="center"/>
          </w:tcPr>
          <w:p>
            <w:pPr>
              <w:jc w:val="center"/>
              <w:rPr>
                <w:rFonts w:ascii="宋体" w:hAnsi="宋体"/>
                <w:kern w:val="20"/>
                <w:szCs w:val="21"/>
                <w:highlight w:val="none"/>
              </w:rPr>
            </w:pPr>
          </w:p>
        </w:tc>
        <w:tc>
          <w:tcPr>
            <w:tcW w:w="993" w:type="dxa"/>
            <w:vMerge w:val="continue"/>
            <w:shd w:val="clear" w:color="auto" w:fill="auto"/>
            <w:vAlign w:val="center"/>
          </w:tcPr>
          <w:p>
            <w:pPr>
              <w:jc w:val="center"/>
              <w:rPr>
                <w:rFonts w:ascii="宋体" w:hAnsi="宋体"/>
                <w:kern w:val="20"/>
                <w:szCs w:val="21"/>
                <w:highlight w:val="none"/>
              </w:rPr>
            </w:pPr>
          </w:p>
        </w:tc>
        <w:tc>
          <w:tcPr>
            <w:tcW w:w="1896" w:type="dxa"/>
            <w:shd w:val="clear" w:color="auto" w:fill="auto"/>
            <w:vAlign w:val="center"/>
          </w:tcPr>
          <w:p>
            <w:pPr>
              <w:rPr>
                <w:rStyle w:val="15"/>
                <w:rFonts w:ascii="宋体" w:hAnsi="宋体" w:eastAsia="宋体"/>
                <w:sz w:val="21"/>
                <w:szCs w:val="21"/>
                <w:highlight w:val="none"/>
              </w:rPr>
            </w:pPr>
            <w:r>
              <w:rPr>
                <w:rStyle w:val="15"/>
                <w:rFonts w:ascii="宋体" w:hAnsi="宋体" w:eastAsia="宋体"/>
                <w:sz w:val="21"/>
                <w:szCs w:val="21"/>
                <w:highlight w:val="none"/>
              </w:rPr>
              <w:t>勘察设计工作量及计划安排</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adjustRightInd w:val="0"/>
              <w:textAlignment w:val="baseline"/>
              <w:rPr>
                <w:rFonts w:ascii="宋体"/>
                <w:szCs w:val="21"/>
                <w:highlight w:val="none"/>
              </w:rPr>
            </w:pPr>
            <w:r>
              <w:rPr>
                <w:rFonts w:hint="eastAsia" w:ascii="宋体" w:hAnsi="宋体" w:cs="宋体"/>
                <w:szCs w:val="21"/>
                <w:highlight w:val="none"/>
              </w:rPr>
              <w:t>勘察设计工作量估算准确、计划安排可行得</w:t>
            </w:r>
            <w:r>
              <w:rPr>
                <w:rFonts w:ascii="宋体" w:hAnsi="宋体" w:cs="宋体"/>
                <w:szCs w:val="21"/>
                <w:highlight w:val="none"/>
              </w:rPr>
              <w:t>3</w:t>
            </w:r>
            <w:r>
              <w:rPr>
                <w:rFonts w:hint="eastAsia" w:ascii="宋体" w:hAnsi="宋体" w:cs="宋体"/>
                <w:szCs w:val="21"/>
                <w:highlight w:val="none"/>
              </w:rPr>
              <w:t>分，勘察设计工作量估算准确、计划安排合理加分，最高加</w:t>
            </w:r>
            <w:r>
              <w:rPr>
                <w:rFonts w:ascii="宋体" w:hAnsi="宋体" w:cs="宋体"/>
                <w:szCs w:val="21"/>
                <w:highlight w:val="none"/>
              </w:rPr>
              <w:t>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kern w:val="20"/>
                <w:szCs w:val="21"/>
                <w:highlight w:val="none"/>
              </w:rPr>
            </w:pPr>
          </w:p>
        </w:tc>
        <w:tc>
          <w:tcPr>
            <w:tcW w:w="1293" w:type="dxa"/>
            <w:gridSpan w:val="2"/>
            <w:vMerge w:val="continue"/>
            <w:shd w:val="clear" w:color="auto" w:fill="auto"/>
            <w:vAlign w:val="center"/>
          </w:tcPr>
          <w:p>
            <w:pPr>
              <w:jc w:val="center"/>
              <w:rPr>
                <w:rFonts w:ascii="宋体" w:hAnsi="宋体"/>
                <w:kern w:val="20"/>
                <w:szCs w:val="21"/>
                <w:highlight w:val="none"/>
              </w:rPr>
            </w:pPr>
          </w:p>
        </w:tc>
        <w:tc>
          <w:tcPr>
            <w:tcW w:w="993" w:type="dxa"/>
            <w:vMerge w:val="continue"/>
            <w:shd w:val="clear" w:color="auto" w:fill="auto"/>
            <w:vAlign w:val="center"/>
          </w:tcPr>
          <w:p>
            <w:pPr>
              <w:jc w:val="center"/>
              <w:rPr>
                <w:rFonts w:ascii="宋体" w:hAnsi="宋体"/>
                <w:kern w:val="20"/>
                <w:szCs w:val="21"/>
                <w:highlight w:val="none"/>
              </w:rPr>
            </w:pPr>
          </w:p>
        </w:tc>
        <w:tc>
          <w:tcPr>
            <w:tcW w:w="1896" w:type="dxa"/>
            <w:shd w:val="clear" w:color="auto" w:fill="auto"/>
          </w:tcPr>
          <w:p>
            <w:pPr>
              <w:rPr>
                <w:rFonts w:ascii="宋体" w:hAnsi="宋体"/>
                <w:kern w:val="20"/>
                <w:szCs w:val="21"/>
                <w:highlight w:val="none"/>
              </w:rPr>
            </w:pPr>
            <w:r>
              <w:rPr>
                <w:rStyle w:val="15"/>
                <w:rFonts w:ascii="宋体" w:hAnsi="宋体" w:eastAsia="宋体"/>
                <w:sz w:val="21"/>
                <w:szCs w:val="21"/>
                <w:highlight w:val="none"/>
              </w:rPr>
              <w:t>勘察设计的质量保证措施、进度保证措施、安全保证措施</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adjustRightInd w:val="0"/>
              <w:textAlignment w:val="baseline"/>
              <w:rPr>
                <w:rFonts w:ascii="宋体"/>
                <w:szCs w:val="21"/>
                <w:highlight w:val="none"/>
              </w:rPr>
            </w:pPr>
            <w:r>
              <w:rPr>
                <w:rFonts w:hint="eastAsia" w:ascii="宋体" w:hAnsi="宋体" w:cs="宋体"/>
                <w:szCs w:val="21"/>
                <w:highlight w:val="none"/>
              </w:rPr>
              <w:t>勘察设计的质量、进度、安全保证措施可行得</w:t>
            </w:r>
            <w:r>
              <w:rPr>
                <w:rFonts w:ascii="宋体" w:hAnsi="宋体" w:cs="宋体"/>
                <w:szCs w:val="21"/>
                <w:highlight w:val="none"/>
              </w:rPr>
              <w:t>3</w:t>
            </w:r>
            <w:r>
              <w:rPr>
                <w:rFonts w:hint="eastAsia" w:ascii="宋体" w:hAnsi="宋体" w:cs="宋体"/>
                <w:szCs w:val="21"/>
                <w:highlight w:val="none"/>
              </w:rPr>
              <w:t>分，措施可行并能保证勘察设计质量、进度及安全的加分，最高加</w:t>
            </w:r>
            <w:r>
              <w:rPr>
                <w:rFonts w:ascii="宋体" w:hAnsi="宋体" w:cs="宋体"/>
                <w:szCs w:val="21"/>
                <w:highlight w:val="none"/>
              </w:rPr>
              <w:t>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kern w:val="20"/>
                <w:szCs w:val="21"/>
                <w:highlight w:val="none"/>
              </w:rPr>
            </w:pPr>
          </w:p>
        </w:tc>
        <w:tc>
          <w:tcPr>
            <w:tcW w:w="1293" w:type="dxa"/>
            <w:gridSpan w:val="2"/>
            <w:vMerge w:val="continue"/>
            <w:shd w:val="clear" w:color="auto" w:fill="auto"/>
            <w:vAlign w:val="center"/>
          </w:tcPr>
          <w:p>
            <w:pPr>
              <w:jc w:val="center"/>
              <w:rPr>
                <w:rFonts w:ascii="宋体" w:hAnsi="宋体"/>
                <w:kern w:val="20"/>
                <w:szCs w:val="21"/>
                <w:highlight w:val="none"/>
              </w:rPr>
            </w:pPr>
          </w:p>
        </w:tc>
        <w:tc>
          <w:tcPr>
            <w:tcW w:w="993" w:type="dxa"/>
            <w:vMerge w:val="continue"/>
            <w:shd w:val="clear" w:color="auto" w:fill="auto"/>
            <w:vAlign w:val="center"/>
          </w:tcPr>
          <w:p>
            <w:pPr>
              <w:jc w:val="center"/>
              <w:rPr>
                <w:rFonts w:ascii="宋体" w:hAnsi="宋体"/>
                <w:kern w:val="20"/>
                <w:szCs w:val="21"/>
                <w:highlight w:val="none"/>
              </w:rPr>
            </w:pPr>
          </w:p>
        </w:tc>
        <w:tc>
          <w:tcPr>
            <w:tcW w:w="1896" w:type="dxa"/>
            <w:shd w:val="clear" w:color="auto" w:fill="auto"/>
            <w:vAlign w:val="center"/>
          </w:tcPr>
          <w:p>
            <w:pPr>
              <w:jc w:val="left"/>
              <w:rPr>
                <w:rFonts w:ascii="宋体" w:hAnsi="宋体"/>
                <w:kern w:val="20"/>
                <w:szCs w:val="21"/>
                <w:highlight w:val="none"/>
              </w:rPr>
            </w:pPr>
            <w:r>
              <w:rPr>
                <w:rStyle w:val="15"/>
                <w:rFonts w:ascii="宋体" w:hAnsi="宋体" w:eastAsia="宋体"/>
                <w:sz w:val="21"/>
                <w:szCs w:val="21"/>
                <w:highlight w:val="none"/>
              </w:rPr>
              <w:t>后续服务的安排及保证措施</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5 分</w:t>
            </w:r>
          </w:p>
        </w:tc>
        <w:tc>
          <w:tcPr>
            <w:tcW w:w="3492" w:type="dxa"/>
            <w:shd w:val="clear" w:color="auto" w:fill="auto"/>
            <w:vAlign w:val="center"/>
          </w:tcPr>
          <w:p>
            <w:pPr>
              <w:jc w:val="left"/>
              <w:rPr>
                <w:rFonts w:ascii="宋体" w:hAnsi="宋体"/>
                <w:kern w:val="20"/>
                <w:szCs w:val="21"/>
                <w:highlight w:val="none"/>
              </w:rPr>
            </w:pPr>
            <w:r>
              <w:rPr>
                <w:rFonts w:hint="eastAsia" w:ascii="宋体" w:hAnsi="宋体" w:cs="宋体"/>
                <w:szCs w:val="21"/>
                <w:highlight w:val="none"/>
              </w:rPr>
              <w:t>后续服务的安排及保证措施可行得</w:t>
            </w:r>
            <w:r>
              <w:rPr>
                <w:rFonts w:ascii="宋体" w:hAnsi="宋体" w:cs="宋体"/>
                <w:szCs w:val="21"/>
                <w:highlight w:val="none"/>
              </w:rPr>
              <w:t>3</w:t>
            </w:r>
            <w:r>
              <w:rPr>
                <w:rFonts w:hint="eastAsia" w:ascii="宋体" w:hAnsi="宋体" w:cs="宋体"/>
                <w:szCs w:val="21"/>
                <w:highlight w:val="none"/>
              </w:rPr>
              <w:t>分，可行且提出了具体的人员、设备安排，保证措施有力的加分，最高加</w:t>
            </w:r>
            <w:r>
              <w:rPr>
                <w:rFonts w:ascii="宋体" w:hAnsi="宋体" w:cs="宋体"/>
                <w:szCs w:val="21"/>
                <w:highlight w:val="none"/>
              </w:rPr>
              <w:t>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56" w:type="dxa"/>
            <w:shd w:val="clear" w:color="auto" w:fill="auto"/>
            <w:vAlign w:val="center"/>
          </w:tcPr>
          <w:p>
            <w:pPr>
              <w:jc w:val="center"/>
              <w:rPr>
                <w:rFonts w:ascii="宋体" w:hAnsi="宋体"/>
                <w:kern w:val="20"/>
                <w:szCs w:val="21"/>
                <w:highlight w:val="none"/>
              </w:rPr>
            </w:pPr>
            <w:r>
              <w:rPr>
                <w:rStyle w:val="15"/>
                <w:rFonts w:ascii="宋体" w:hAnsi="宋体" w:eastAsia="宋体"/>
                <w:sz w:val="21"/>
                <w:szCs w:val="21"/>
                <w:highlight w:val="none"/>
              </w:rPr>
              <w:t>2.2.4 （2）</w:t>
            </w:r>
          </w:p>
        </w:tc>
        <w:tc>
          <w:tcPr>
            <w:tcW w:w="1293" w:type="dxa"/>
            <w:gridSpan w:val="2"/>
            <w:shd w:val="clear" w:color="auto" w:fill="auto"/>
            <w:vAlign w:val="center"/>
          </w:tcPr>
          <w:p>
            <w:pPr>
              <w:jc w:val="center"/>
              <w:rPr>
                <w:rFonts w:ascii="宋体" w:hAnsi="宋体"/>
                <w:kern w:val="20"/>
                <w:szCs w:val="21"/>
                <w:highlight w:val="none"/>
              </w:rPr>
            </w:pPr>
            <w:r>
              <w:rPr>
                <w:rStyle w:val="15"/>
                <w:rFonts w:ascii="宋体" w:hAnsi="宋体" w:eastAsia="宋体"/>
                <w:sz w:val="21"/>
                <w:szCs w:val="21"/>
                <w:highlight w:val="none"/>
              </w:rPr>
              <w:t>主要人员</w:t>
            </w:r>
          </w:p>
        </w:tc>
        <w:tc>
          <w:tcPr>
            <w:tcW w:w="993"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25 分</w:t>
            </w:r>
          </w:p>
        </w:tc>
        <w:tc>
          <w:tcPr>
            <w:tcW w:w="1896" w:type="dxa"/>
            <w:shd w:val="clear" w:color="auto" w:fill="auto"/>
            <w:vAlign w:val="center"/>
          </w:tcPr>
          <w:p>
            <w:pPr>
              <w:rPr>
                <w:rFonts w:ascii="宋体" w:hAnsi="宋体"/>
                <w:kern w:val="20"/>
                <w:szCs w:val="21"/>
                <w:highlight w:val="none"/>
              </w:rPr>
            </w:pPr>
            <w:r>
              <w:rPr>
                <w:rStyle w:val="15"/>
                <w:rFonts w:ascii="宋体" w:hAnsi="宋体" w:eastAsia="宋体"/>
                <w:sz w:val="21"/>
                <w:szCs w:val="21"/>
                <w:highlight w:val="none"/>
              </w:rPr>
              <w:t>项目负责人任职资格与业绩</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25 分</w:t>
            </w:r>
          </w:p>
        </w:tc>
        <w:tc>
          <w:tcPr>
            <w:tcW w:w="3492" w:type="dxa"/>
            <w:shd w:val="clear" w:color="auto" w:fill="auto"/>
            <w:vAlign w:val="center"/>
          </w:tcPr>
          <w:p>
            <w:pPr>
              <w:jc w:val="left"/>
              <w:rPr>
                <w:rFonts w:ascii="宋体" w:hAnsi="宋体" w:cs="宋体"/>
                <w:szCs w:val="21"/>
                <w:highlight w:val="none"/>
              </w:rPr>
            </w:pPr>
            <w:r>
              <w:rPr>
                <w:rFonts w:hint="eastAsia" w:ascii="宋体" w:hAnsi="宋体" w:cs="宋体"/>
                <w:szCs w:val="21"/>
                <w:highlight w:val="none"/>
              </w:rPr>
              <w:t>（1）满足最低资格条件得15分。</w:t>
            </w:r>
          </w:p>
          <w:p>
            <w:pPr>
              <w:jc w:val="left"/>
              <w:rPr>
                <w:rFonts w:ascii="宋体" w:hAnsi="宋体"/>
                <w:kern w:val="20"/>
                <w:szCs w:val="21"/>
                <w:highlight w:val="none"/>
              </w:rPr>
            </w:pPr>
            <w:r>
              <w:rPr>
                <w:rFonts w:hint="eastAsia"/>
                <w:szCs w:val="21"/>
                <w:highlight w:val="none"/>
              </w:rPr>
              <w:t>（2）</w:t>
            </w:r>
            <w:r>
              <w:rPr>
                <w:rFonts w:hint="eastAsia" w:ascii="宋体" w:hAnsi="宋体"/>
                <w:szCs w:val="21"/>
                <w:highlight w:val="none"/>
              </w:rPr>
              <w:t>担任的国内新建或改扩建高速公路</w:t>
            </w:r>
            <w:r>
              <w:rPr>
                <w:rFonts w:hint="eastAsia" w:ascii="宋体" w:hAnsi="宋体" w:cs="宋体"/>
                <w:kern w:val="0"/>
                <w:szCs w:val="21"/>
                <w:highlight w:val="none"/>
              </w:rPr>
              <w:t>互通立交</w:t>
            </w:r>
            <w:r>
              <w:rPr>
                <w:rFonts w:hint="eastAsia" w:ascii="宋体" w:hAnsi="宋体"/>
                <w:szCs w:val="21"/>
                <w:highlight w:val="none"/>
              </w:rPr>
              <w:t>的项目负责人</w:t>
            </w:r>
            <w:r>
              <w:rPr>
                <w:szCs w:val="21"/>
                <w:highlight w:val="none"/>
              </w:rPr>
              <w:t>每</w:t>
            </w:r>
            <w:r>
              <w:rPr>
                <w:rFonts w:hint="eastAsia"/>
                <w:szCs w:val="21"/>
                <w:highlight w:val="none"/>
              </w:rPr>
              <w:t>增加</w:t>
            </w:r>
            <w:r>
              <w:rPr>
                <w:rFonts w:hint="eastAsia" w:ascii="宋体" w:hAnsi="宋体" w:cs="宋体"/>
                <w:szCs w:val="21"/>
                <w:highlight w:val="none"/>
              </w:rPr>
              <w:t>1处</w:t>
            </w:r>
            <w:r>
              <w:rPr>
                <w:rFonts w:hint="eastAsia" w:asciiTheme="minorEastAsia" w:hAnsiTheme="minorEastAsia"/>
                <w:szCs w:val="21"/>
                <w:highlight w:val="none"/>
              </w:rPr>
              <w:t>加5分</w:t>
            </w:r>
            <w:r>
              <w:rPr>
                <w:rFonts w:hint="eastAsia" w:cs="宋体" w:asciiTheme="minorEastAsia" w:hAnsiTheme="minorEastAsia"/>
                <w:szCs w:val="21"/>
                <w:highlight w:val="none"/>
              </w:rPr>
              <w:t>，最多加10分。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56"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2.2.4（3）</w:t>
            </w:r>
          </w:p>
        </w:tc>
        <w:tc>
          <w:tcPr>
            <w:tcW w:w="1293" w:type="dxa"/>
            <w:gridSpan w:val="2"/>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评标价</w:t>
            </w:r>
          </w:p>
        </w:tc>
        <w:tc>
          <w:tcPr>
            <w:tcW w:w="993" w:type="dxa"/>
            <w:shd w:val="clear" w:color="auto" w:fill="auto"/>
            <w:vAlign w:val="center"/>
          </w:tcPr>
          <w:p>
            <w:pPr>
              <w:spacing w:line="320" w:lineRule="exact"/>
              <w:jc w:val="center"/>
              <w:rPr>
                <w:rFonts w:ascii="宋体" w:hAnsi="宋体"/>
                <w:szCs w:val="21"/>
                <w:highlight w:val="none"/>
              </w:rPr>
            </w:pPr>
            <w:r>
              <w:rPr>
                <w:rFonts w:ascii="宋体" w:hAnsi="宋体"/>
                <w:szCs w:val="21"/>
                <w:highlight w:val="none"/>
              </w:rPr>
              <w:t>1</w:t>
            </w:r>
            <w:r>
              <w:rPr>
                <w:rFonts w:hint="eastAsia" w:ascii="宋体" w:hAnsi="宋体"/>
                <w:szCs w:val="21"/>
                <w:highlight w:val="none"/>
              </w:rPr>
              <w:t>0分</w:t>
            </w:r>
          </w:p>
        </w:tc>
        <w:tc>
          <w:tcPr>
            <w:tcW w:w="6239" w:type="dxa"/>
            <w:gridSpan w:val="3"/>
            <w:shd w:val="clear" w:color="auto" w:fill="auto"/>
            <w:vAlign w:val="center"/>
          </w:tcPr>
          <w:p>
            <w:pPr>
              <w:spacing w:line="320" w:lineRule="exact"/>
              <w:ind w:left="-11" w:leftChars="-37" w:right="113" w:hanging="67" w:hangingChars="32"/>
              <w:rPr>
                <w:rFonts w:ascii="宋体" w:hAnsi="宋体"/>
                <w:szCs w:val="21"/>
                <w:highlight w:val="none"/>
              </w:rPr>
            </w:pPr>
            <w:r>
              <w:rPr>
                <w:rFonts w:hint="eastAsia" w:ascii="宋体" w:hAnsi="宋体"/>
                <w:szCs w:val="21"/>
                <w:highlight w:val="none"/>
              </w:rPr>
              <w:t>评</w:t>
            </w:r>
            <w:r>
              <w:rPr>
                <w:rFonts w:ascii="宋体" w:hAnsi="宋体"/>
                <w:szCs w:val="21"/>
                <w:highlight w:val="none"/>
              </w:rPr>
              <w:t>标价得分计算：</w:t>
            </w:r>
          </w:p>
          <w:p>
            <w:pPr>
              <w:spacing w:line="320" w:lineRule="exact"/>
              <w:ind w:left="-11" w:leftChars="-37" w:right="113" w:hanging="67" w:hangingChars="32"/>
              <w:rPr>
                <w:rFonts w:ascii="宋体" w:hAnsi="宋体"/>
                <w:szCs w:val="21"/>
                <w:highlight w:val="none"/>
              </w:rPr>
            </w:pPr>
            <w:r>
              <w:rPr>
                <w:rFonts w:hint="eastAsia" w:ascii="宋体" w:hAnsi="宋体"/>
                <w:szCs w:val="21"/>
                <w:highlight w:val="none"/>
              </w:rPr>
              <w:t>（1）如果投标人的评标价＞评标基准价</w:t>
            </w:r>
            <w:r>
              <w:rPr>
                <w:rFonts w:ascii="宋体" w:hAnsi="宋体"/>
                <w:szCs w:val="21"/>
                <w:highlight w:val="none"/>
              </w:rPr>
              <w:t>，</w:t>
            </w:r>
            <w:r>
              <w:rPr>
                <w:rFonts w:hint="eastAsia" w:ascii="宋体" w:hAnsi="宋体"/>
                <w:szCs w:val="21"/>
                <w:highlight w:val="none"/>
              </w:rPr>
              <w:t>则评标价得分=10-偏差率×100×0.2；</w:t>
            </w:r>
          </w:p>
          <w:p>
            <w:pPr>
              <w:spacing w:line="320" w:lineRule="exact"/>
              <w:ind w:left="-11" w:leftChars="-37" w:right="113" w:hanging="67" w:hangingChars="32"/>
              <w:rPr>
                <w:rFonts w:ascii="宋体" w:hAnsi="宋体"/>
                <w:szCs w:val="21"/>
                <w:highlight w:val="none"/>
              </w:rPr>
            </w:pPr>
            <w:r>
              <w:rPr>
                <w:rFonts w:hint="eastAsia" w:ascii="宋体" w:hAnsi="宋体"/>
                <w:szCs w:val="21"/>
                <w:highlight w:val="none"/>
              </w:rPr>
              <w:t>（2）如果投标人的评标价≤评标基准价，则评标价得分=10+偏差率×100×0.1。</w:t>
            </w:r>
          </w:p>
          <w:p>
            <w:pPr>
              <w:spacing w:line="320" w:lineRule="exact"/>
              <w:jc w:val="left"/>
              <w:rPr>
                <w:rFonts w:ascii="宋体" w:hAnsi="宋体"/>
                <w:szCs w:val="21"/>
                <w:highlight w:val="none"/>
              </w:rPr>
            </w:pPr>
            <w:r>
              <w:rPr>
                <w:rFonts w:hint="eastAsia" w:ascii="宋体" w:hAnsi="宋体"/>
                <w:szCs w:val="21"/>
                <w:highlight w:val="none"/>
              </w:rPr>
              <w:t>评标价得分最低扣至0分。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jc w:val="center"/>
              <w:rPr>
                <w:rStyle w:val="15"/>
                <w:rFonts w:ascii="宋体" w:hAnsi="宋体" w:eastAsia="宋体"/>
                <w:sz w:val="21"/>
                <w:szCs w:val="21"/>
                <w:highlight w:val="none"/>
              </w:rPr>
            </w:pPr>
            <w:r>
              <w:rPr>
                <w:rFonts w:hint="eastAsia" w:ascii="宋体" w:hAnsi="宋体"/>
                <w:kern w:val="20"/>
                <w:szCs w:val="21"/>
                <w:highlight w:val="none"/>
              </w:rPr>
              <w:t>2.2.4（4）</w:t>
            </w:r>
          </w:p>
        </w:tc>
        <w:tc>
          <w:tcPr>
            <w:tcW w:w="426" w:type="dxa"/>
            <w:vMerge w:val="restart"/>
            <w:shd w:val="clear" w:color="auto" w:fill="auto"/>
            <w:vAlign w:val="center"/>
          </w:tcPr>
          <w:p>
            <w:pPr>
              <w:jc w:val="center"/>
              <w:rPr>
                <w:rStyle w:val="15"/>
                <w:rFonts w:ascii="宋体" w:hAnsi="宋体" w:eastAsia="宋体"/>
                <w:sz w:val="21"/>
                <w:szCs w:val="21"/>
                <w:highlight w:val="none"/>
              </w:rPr>
            </w:pPr>
            <w:r>
              <w:rPr>
                <w:rStyle w:val="15"/>
                <w:rFonts w:ascii="宋体" w:hAnsi="宋体" w:eastAsia="宋体"/>
                <w:sz w:val="21"/>
                <w:szCs w:val="21"/>
                <w:highlight w:val="none"/>
              </w:rPr>
              <w:t>其他因素</w:t>
            </w:r>
          </w:p>
        </w:tc>
        <w:tc>
          <w:tcPr>
            <w:tcW w:w="867"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业绩</w:t>
            </w:r>
          </w:p>
        </w:tc>
        <w:tc>
          <w:tcPr>
            <w:tcW w:w="993"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25 分</w:t>
            </w:r>
          </w:p>
        </w:tc>
        <w:tc>
          <w:tcPr>
            <w:tcW w:w="1896" w:type="dxa"/>
            <w:shd w:val="clear" w:color="auto" w:fill="auto"/>
            <w:vAlign w:val="center"/>
          </w:tcPr>
          <w:p>
            <w:pPr>
              <w:jc w:val="center"/>
              <w:rPr>
                <w:rFonts w:ascii="宋体" w:hAnsi="宋体"/>
                <w:kern w:val="20"/>
                <w:szCs w:val="21"/>
                <w:highlight w:val="none"/>
              </w:rPr>
            </w:pPr>
            <w:r>
              <w:rPr>
                <w:rFonts w:hint="eastAsia" w:ascii="宋体" w:hAnsi="宋体" w:cs="宋体"/>
                <w:szCs w:val="21"/>
                <w:highlight w:val="none"/>
              </w:rPr>
              <w:t>类似项目业绩</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25 分</w:t>
            </w:r>
          </w:p>
        </w:tc>
        <w:tc>
          <w:tcPr>
            <w:tcW w:w="3492" w:type="dxa"/>
            <w:shd w:val="clear" w:color="auto" w:fill="auto"/>
            <w:vAlign w:val="center"/>
          </w:tcPr>
          <w:p>
            <w:pPr>
              <w:jc w:val="left"/>
              <w:rPr>
                <w:rFonts w:ascii="宋体" w:hAnsi="宋体" w:cs="宋体"/>
                <w:szCs w:val="21"/>
                <w:highlight w:val="none"/>
              </w:rPr>
            </w:pPr>
            <w:r>
              <w:rPr>
                <w:rFonts w:hint="eastAsia" w:ascii="宋体" w:hAnsi="宋体" w:cs="宋体"/>
                <w:szCs w:val="21"/>
                <w:highlight w:val="none"/>
              </w:rPr>
              <w:t>（1）满足最低资格条件得15分。</w:t>
            </w:r>
          </w:p>
          <w:p>
            <w:pPr>
              <w:jc w:val="left"/>
              <w:rPr>
                <w:rFonts w:ascii="宋体" w:hAnsi="宋体" w:cs="宋体"/>
                <w:szCs w:val="21"/>
                <w:highlight w:val="none"/>
              </w:rPr>
            </w:pPr>
            <w:r>
              <w:rPr>
                <w:rFonts w:hint="eastAsia" w:ascii="宋体" w:hAnsi="宋体" w:cs="宋体"/>
                <w:szCs w:val="21"/>
                <w:highlight w:val="none"/>
              </w:rPr>
              <w:t>（2）2015年1月1日后（以相应的批复时间为准）累计完成的高速公路互通立交的设计业绩每增加1处加10分，最多加10分。</w:t>
            </w:r>
          </w:p>
          <w:p>
            <w:pPr>
              <w:jc w:val="left"/>
              <w:rPr>
                <w:rFonts w:ascii="楷体" w:hAnsi="楷体" w:eastAsia="楷体" w:cs="宋体"/>
                <w:szCs w:val="21"/>
                <w:highlight w:val="none"/>
              </w:rPr>
            </w:pPr>
            <w:r>
              <w:rPr>
                <w:rFonts w:hint="eastAsia" w:ascii="楷体" w:hAnsi="楷体" w:eastAsia="楷体" w:cs="宋体"/>
                <w:szCs w:val="21"/>
                <w:highlight w:val="none"/>
              </w:rPr>
              <w:t>注：①高速公路设计业绩均应为国内新建或改扩建高速公路的设计业绩，养护工程设计业绩不予认定。</w:t>
            </w:r>
          </w:p>
          <w:p>
            <w:pPr>
              <w:jc w:val="left"/>
              <w:rPr>
                <w:rFonts w:ascii="楷体" w:hAnsi="楷体" w:eastAsia="楷体" w:cs="宋体"/>
                <w:szCs w:val="21"/>
                <w:highlight w:val="none"/>
              </w:rPr>
            </w:pPr>
            <w:r>
              <w:rPr>
                <w:rFonts w:hint="eastAsia" w:ascii="楷体" w:hAnsi="楷体" w:eastAsia="楷体" w:cs="宋体"/>
                <w:szCs w:val="21"/>
                <w:highlight w:val="none"/>
              </w:rPr>
              <w:t>②高速公路设计业绩均应是已</w:t>
            </w:r>
            <w:r>
              <w:rPr>
                <w:rFonts w:ascii="楷体" w:hAnsi="楷体" w:eastAsia="楷体" w:cs="宋体"/>
                <w:szCs w:val="21"/>
                <w:highlight w:val="none"/>
              </w:rPr>
              <w:t>列入交通运输主管部门“公路建设市场信用信息管理系统”并公开的</w:t>
            </w:r>
            <w:r>
              <w:rPr>
                <w:rFonts w:hint="eastAsia" w:ascii="楷体" w:hAnsi="楷体" w:eastAsia="楷体" w:cs="宋体"/>
                <w:szCs w:val="21"/>
                <w:highlight w:val="none"/>
              </w:rPr>
              <w:t>总</w:t>
            </w:r>
            <w:r>
              <w:rPr>
                <w:rFonts w:ascii="楷体" w:hAnsi="楷体" w:eastAsia="楷体" w:cs="宋体"/>
                <w:szCs w:val="21"/>
                <w:highlight w:val="none"/>
              </w:rPr>
              <w:t>包业绩</w:t>
            </w:r>
            <w:r>
              <w:rPr>
                <w:rFonts w:hint="eastAsia" w:ascii="楷体" w:hAnsi="楷体" w:eastAsia="楷体" w:cs="宋体"/>
                <w:szCs w:val="21"/>
                <w:highlight w:val="none"/>
              </w:rPr>
              <w:t>。</w:t>
            </w:r>
          </w:p>
          <w:p>
            <w:pPr>
              <w:jc w:val="left"/>
              <w:rPr>
                <w:rFonts w:ascii="宋体" w:hAnsi="宋体" w:cs="宋体"/>
                <w:szCs w:val="21"/>
                <w:highlight w:val="none"/>
              </w:rPr>
            </w:pPr>
            <w:r>
              <w:rPr>
                <w:rFonts w:hint="eastAsia" w:ascii="楷体" w:hAnsi="楷体" w:eastAsia="楷体" w:cs="宋体"/>
                <w:szCs w:val="21"/>
                <w:highlight w:val="none"/>
              </w:rPr>
              <w:t>③联合体投标的，高速公路设计业绩按牵头人业绩数量计算。</w:t>
            </w:r>
          </w:p>
          <w:p>
            <w:pPr>
              <w:jc w:val="left"/>
              <w:rPr>
                <w:rFonts w:ascii="宋体" w:hAnsi="宋体"/>
                <w:kern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kern w:val="20"/>
                <w:szCs w:val="21"/>
                <w:highlight w:val="none"/>
              </w:rPr>
            </w:pPr>
          </w:p>
        </w:tc>
        <w:tc>
          <w:tcPr>
            <w:tcW w:w="426" w:type="dxa"/>
            <w:vMerge w:val="continue"/>
            <w:shd w:val="clear" w:color="auto" w:fill="auto"/>
            <w:vAlign w:val="center"/>
          </w:tcPr>
          <w:p>
            <w:pPr>
              <w:jc w:val="center"/>
              <w:rPr>
                <w:rStyle w:val="15"/>
                <w:rFonts w:ascii="宋体" w:hAnsi="宋体" w:eastAsia="宋体"/>
                <w:sz w:val="21"/>
                <w:szCs w:val="21"/>
                <w:highlight w:val="none"/>
              </w:rPr>
            </w:pPr>
          </w:p>
        </w:tc>
        <w:tc>
          <w:tcPr>
            <w:tcW w:w="867"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履约信誉</w:t>
            </w:r>
          </w:p>
        </w:tc>
        <w:tc>
          <w:tcPr>
            <w:tcW w:w="993"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10 分</w:t>
            </w:r>
          </w:p>
        </w:tc>
        <w:tc>
          <w:tcPr>
            <w:tcW w:w="1896"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信誉情况</w:t>
            </w:r>
          </w:p>
        </w:tc>
        <w:tc>
          <w:tcPr>
            <w:tcW w:w="851" w:type="dxa"/>
            <w:shd w:val="clear" w:color="auto" w:fill="auto"/>
            <w:vAlign w:val="center"/>
          </w:tcPr>
          <w:p>
            <w:pPr>
              <w:jc w:val="center"/>
              <w:rPr>
                <w:rFonts w:ascii="宋体" w:hAnsi="宋体"/>
                <w:kern w:val="20"/>
                <w:szCs w:val="21"/>
                <w:highlight w:val="none"/>
              </w:rPr>
            </w:pPr>
            <w:r>
              <w:rPr>
                <w:rFonts w:hint="eastAsia" w:ascii="宋体" w:hAnsi="宋体"/>
                <w:kern w:val="20"/>
                <w:szCs w:val="21"/>
                <w:highlight w:val="none"/>
              </w:rPr>
              <w:t xml:space="preserve"> 10 分</w:t>
            </w:r>
          </w:p>
        </w:tc>
        <w:tc>
          <w:tcPr>
            <w:tcW w:w="3492" w:type="dxa"/>
            <w:shd w:val="clear" w:color="auto" w:fill="auto"/>
            <w:vAlign w:val="center"/>
          </w:tcPr>
          <w:p>
            <w:pPr>
              <w:autoSpaceDE w:val="0"/>
              <w:autoSpaceDN w:val="0"/>
              <w:rPr>
                <w:rFonts w:ascii="宋体" w:hAnsi="宋体"/>
                <w:szCs w:val="21"/>
                <w:highlight w:val="none"/>
              </w:rPr>
            </w:pPr>
            <w:r>
              <w:rPr>
                <w:rFonts w:hint="eastAsia" w:ascii="宋体" w:hAnsi="宋体"/>
                <w:szCs w:val="21"/>
                <w:highlight w:val="none"/>
              </w:rPr>
              <w:t>本次评标优先采用以下所列顺位在前的企业信用等级：</w:t>
            </w:r>
          </w:p>
          <w:p>
            <w:pPr>
              <w:autoSpaceDE w:val="0"/>
              <w:autoSpaceDN w:val="0"/>
              <w:rPr>
                <w:rFonts w:ascii="宋体" w:hAnsi="宋体"/>
                <w:szCs w:val="21"/>
                <w:highlight w:val="none"/>
              </w:rPr>
            </w:pPr>
            <w:r>
              <w:rPr>
                <w:rFonts w:hint="eastAsia" w:ascii="宋体" w:hAnsi="宋体"/>
                <w:szCs w:val="21"/>
                <w:highlight w:val="none"/>
              </w:rPr>
              <w:t>（1）交通运输部“全国公路建设市场信用信息管理系统”“全国公路从业单位信用评价结果”中投标人的吉林省2018年度企业信用等级；</w:t>
            </w:r>
          </w:p>
          <w:p>
            <w:pPr>
              <w:autoSpaceDE w:val="0"/>
              <w:autoSpaceDN w:val="0"/>
              <w:rPr>
                <w:rFonts w:ascii="宋体" w:hAnsi="宋体"/>
                <w:szCs w:val="21"/>
                <w:highlight w:val="none"/>
              </w:rPr>
            </w:pPr>
            <w:r>
              <w:rPr>
                <w:rFonts w:hint="eastAsia" w:ascii="宋体" w:hAnsi="宋体"/>
                <w:szCs w:val="21"/>
                <w:highlight w:val="none"/>
              </w:rPr>
              <w:t>（2）交通运输部“全国公路建设市场信用信息管理系统”“全国公路从业单位信用评价结果”中投标人的全国综合评价2018年度企业信用等级；</w:t>
            </w:r>
          </w:p>
          <w:p>
            <w:pPr>
              <w:autoSpaceDE w:val="0"/>
              <w:autoSpaceDN w:val="0"/>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无上述企业信用评价的，若未列入交通运输部“全国公路建设市场信用信息管理系统”“不良信用记录”的，按A级对待，否则按C级、D级对待。</w:t>
            </w:r>
          </w:p>
          <w:p>
            <w:pPr>
              <w:adjustRightInd w:val="0"/>
              <w:snapToGrid w:val="0"/>
              <w:spacing w:beforeLines="10" w:afterLines="10"/>
              <w:ind w:firstLine="210" w:firstLineChars="100"/>
              <w:jc w:val="left"/>
              <w:rPr>
                <w:rFonts w:ascii="宋体" w:hAnsi="宋体"/>
                <w:szCs w:val="21"/>
                <w:highlight w:val="none"/>
              </w:rPr>
            </w:pPr>
          </w:p>
          <w:p>
            <w:pPr>
              <w:adjustRightInd w:val="0"/>
              <w:snapToGrid w:val="0"/>
              <w:spacing w:beforeLines="10" w:afterLines="10"/>
              <w:ind w:firstLine="210" w:firstLineChars="100"/>
              <w:jc w:val="left"/>
              <w:rPr>
                <w:rFonts w:ascii="宋体" w:hAnsi="宋体"/>
                <w:szCs w:val="21"/>
                <w:highlight w:val="none"/>
              </w:rPr>
            </w:pPr>
            <w:r>
              <w:rPr>
                <w:rFonts w:hint="eastAsia" w:ascii="宋体" w:hAnsi="宋体"/>
                <w:szCs w:val="21"/>
                <w:highlight w:val="none"/>
              </w:rPr>
              <w:t>AA级        10分</w:t>
            </w:r>
          </w:p>
          <w:p>
            <w:pPr>
              <w:adjustRightInd w:val="0"/>
              <w:snapToGrid w:val="0"/>
              <w:spacing w:beforeLines="10" w:afterLines="10"/>
              <w:ind w:firstLine="210" w:firstLineChars="100"/>
              <w:jc w:val="left"/>
              <w:rPr>
                <w:rFonts w:ascii="宋体" w:hAnsi="宋体"/>
                <w:szCs w:val="21"/>
                <w:highlight w:val="none"/>
              </w:rPr>
            </w:pPr>
            <w:r>
              <w:rPr>
                <w:rFonts w:hint="eastAsia" w:ascii="宋体" w:hAnsi="宋体"/>
                <w:szCs w:val="21"/>
                <w:highlight w:val="none"/>
              </w:rPr>
              <w:t>A级         8分</w:t>
            </w:r>
          </w:p>
          <w:p>
            <w:pPr>
              <w:adjustRightInd w:val="0"/>
              <w:snapToGrid w:val="0"/>
              <w:spacing w:beforeLines="10" w:afterLines="10"/>
              <w:ind w:firstLine="210" w:firstLineChars="100"/>
              <w:jc w:val="left"/>
              <w:rPr>
                <w:rFonts w:ascii="宋体" w:hAnsi="宋体"/>
                <w:szCs w:val="21"/>
                <w:highlight w:val="none"/>
              </w:rPr>
            </w:pPr>
            <w:r>
              <w:rPr>
                <w:rFonts w:hint="eastAsia" w:ascii="宋体" w:hAnsi="宋体"/>
                <w:szCs w:val="21"/>
                <w:highlight w:val="none"/>
              </w:rPr>
              <w:t>B级         6分</w:t>
            </w:r>
          </w:p>
          <w:p>
            <w:pPr>
              <w:spacing w:line="320" w:lineRule="exact"/>
              <w:ind w:firstLine="210" w:firstLineChars="100"/>
              <w:jc w:val="left"/>
              <w:rPr>
                <w:rFonts w:ascii="宋体" w:hAnsi="宋体"/>
                <w:szCs w:val="21"/>
                <w:highlight w:val="none"/>
              </w:rPr>
            </w:pPr>
            <w:r>
              <w:rPr>
                <w:rFonts w:hint="eastAsia" w:ascii="宋体" w:hAnsi="宋体"/>
                <w:szCs w:val="21"/>
                <w:highlight w:val="none"/>
              </w:rPr>
              <w:t>C级、D级    0分</w:t>
            </w:r>
          </w:p>
          <w:p>
            <w:pPr>
              <w:jc w:val="left"/>
              <w:rPr>
                <w:rFonts w:ascii="宋体" w:hAnsi="宋体"/>
                <w:kern w:val="20"/>
                <w:szCs w:val="21"/>
                <w:highlight w:val="none"/>
              </w:rPr>
            </w:pPr>
            <w:r>
              <w:rPr>
                <w:rFonts w:hint="eastAsia" w:ascii="楷体" w:hAnsi="楷体" w:eastAsia="楷体"/>
                <w:szCs w:val="21"/>
                <w:highlight w:val="none"/>
              </w:rPr>
              <w:t>注：计算联合体信用评价得分时，以牵头人的企业信用等级为准。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81" w:type="dxa"/>
            <w:gridSpan w:val="7"/>
            <w:shd w:val="clear" w:color="auto" w:fill="auto"/>
          </w:tcPr>
          <w:p>
            <w:pPr>
              <w:rPr>
                <w:rFonts w:ascii="宋体" w:hAnsi="宋体"/>
                <w:kern w:val="20"/>
                <w:szCs w:val="21"/>
                <w:highlight w:val="none"/>
              </w:rPr>
            </w:pPr>
            <w:r>
              <w:rPr>
                <w:rFonts w:hint="eastAsia" w:ascii="宋体" w:hAnsi="宋体"/>
                <w:kern w:val="20"/>
                <w:szCs w:val="21"/>
                <w:highlight w:val="none"/>
              </w:rPr>
              <w:t>需要补充的其他内容：无</w:t>
            </w:r>
          </w:p>
        </w:tc>
      </w:tr>
    </w:tbl>
    <w:p>
      <w:pPr>
        <w:rPr>
          <w:szCs w:val="21"/>
          <w:highlight w:val="none"/>
        </w:rPr>
      </w:pPr>
    </w:p>
    <w:p>
      <w:pPr>
        <w:ind w:right="420"/>
        <w:jc w:val="right"/>
        <w:rPr>
          <w:rFonts w:ascii="宋体" w:hAnsi="宋体" w:eastAsia="宋体" w:cs="Times New Roman"/>
          <w:kern w:val="20"/>
          <w:szCs w:val="21"/>
          <w:highlight w:val="none"/>
        </w:rPr>
      </w:pPr>
      <w:r>
        <w:rPr>
          <w:rFonts w:ascii="宋体" w:hAnsi="宋体" w:eastAsia="宋体" w:cs="Times New Roman"/>
          <w:kern w:val="20"/>
          <w:szCs w:val="21"/>
          <w:highlight w:val="none"/>
        </w:rPr>
        <w:br w:type="page"/>
      </w:r>
    </w:p>
    <w:tbl>
      <w:tblPr>
        <w:tblStyle w:val="7"/>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26"/>
        <w:gridCol w:w="867"/>
        <w:gridCol w:w="993"/>
        <w:gridCol w:w="1896"/>
        <w:gridCol w:w="851"/>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89" w:type="dxa"/>
            <w:gridSpan w:val="6"/>
            <w:shd w:val="clear" w:color="auto" w:fill="auto"/>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评分因素与权重分值</w:t>
            </w:r>
            <w:r>
              <w:rPr>
                <w:rFonts w:ascii="宋体" w:hAnsi="宋体" w:eastAsia="宋体" w:cs="Times New Roman"/>
                <w:kern w:val="20"/>
                <w:szCs w:val="21"/>
                <w:highlight w:val="none"/>
                <w:vertAlign w:val="superscript"/>
              </w:rPr>
              <w:footnoteReference w:id="1"/>
            </w:r>
          </w:p>
        </w:tc>
        <w:tc>
          <w:tcPr>
            <w:tcW w:w="3492" w:type="dxa"/>
            <w:vMerge w:val="restart"/>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6"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条款号</w:t>
            </w:r>
          </w:p>
        </w:tc>
        <w:tc>
          <w:tcPr>
            <w:tcW w:w="1293" w:type="dxa"/>
            <w:gridSpan w:val="2"/>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评分因素</w:t>
            </w:r>
          </w:p>
        </w:tc>
        <w:tc>
          <w:tcPr>
            <w:tcW w:w="993"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评分因素权重分值</w:t>
            </w:r>
          </w:p>
        </w:tc>
        <w:tc>
          <w:tcPr>
            <w:tcW w:w="1896"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各评分因素细分项</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分值</w:t>
            </w:r>
          </w:p>
        </w:tc>
        <w:tc>
          <w:tcPr>
            <w:tcW w:w="3492" w:type="dxa"/>
            <w:vMerge w:val="continue"/>
            <w:shd w:val="clear" w:color="auto" w:fill="auto"/>
          </w:tcPr>
          <w:p>
            <w:pPr>
              <w:rPr>
                <w:rFonts w:ascii="宋体" w:hAnsi="宋体" w:eastAsia="宋体" w:cs="Times New Roman"/>
                <w:kern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2.2.4（1）</w:t>
            </w:r>
          </w:p>
        </w:tc>
        <w:tc>
          <w:tcPr>
            <w:tcW w:w="1293" w:type="dxa"/>
            <w:gridSpan w:val="2"/>
            <w:vMerge w:val="restart"/>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技术建议书</w:t>
            </w:r>
          </w:p>
        </w:tc>
        <w:tc>
          <w:tcPr>
            <w:tcW w:w="993" w:type="dxa"/>
            <w:vMerge w:val="restart"/>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30 </w:t>
            </w:r>
            <w:r>
              <w:rPr>
                <w:rFonts w:hint="eastAsia" w:ascii="宋体" w:hAnsi="宋体" w:eastAsia="宋体" w:cs="Times New Roman"/>
                <w:kern w:val="20"/>
                <w:szCs w:val="21"/>
                <w:highlight w:val="none"/>
              </w:rPr>
              <w:t>分</w:t>
            </w:r>
          </w:p>
        </w:tc>
        <w:tc>
          <w:tcPr>
            <w:tcW w:w="1896" w:type="dxa"/>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对招标项目的理解和总体设计思路</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Times New Roman" w:eastAsia="宋体" w:cs="Times New Roman"/>
                <w:szCs w:val="21"/>
                <w:highlight w:val="none"/>
              </w:rPr>
            </w:pPr>
            <w:r>
              <w:rPr>
                <w:rFonts w:hint="eastAsia" w:ascii="宋体" w:hAnsi="宋体" w:eastAsia="宋体" w:cs="宋体"/>
                <w:szCs w:val="21"/>
                <w:highlight w:val="none"/>
              </w:rPr>
              <w:t>对招标项目的理解和总体设计思路正确、符合实际情况得</w:t>
            </w:r>
            <w:r>
              <w:rPr>
                <w:rFonts w:ascii="宋体" w:hAnsi="宋体" w:eastAsia="宋体" w:cs="宋体"/>
                <w:szCs w:val="21"/>
                <w:highlight w:val="none"/>
              </w:rPr>
              <w:t>3.0</w:t>
            </w:r>
            <w:r>
              <w:rPr>
                <w:rFonts w:hint="eastAsia" w:ascii="宋体" w:hAnsi="宋体" w:eastAsia="宋体" w:cs="宋体"/>
                <w:szCs w:val="21"/>
                <w:highlight w:val="none"/>
              </w:rPr>
              <w:t>分，理解深刻、思路清晰、认识全面且有独到见解的加分，最高加</w:t>
            </w:r>
            <w:r>
              <w:rPr>
                <w:rFonts w:ascii="宋体" w:hAnsi="宋体" w:eastAsia="宋体" w:cs="宋体"/>
                <w:szCs w:val="21"/>
                <w:highlight w:val="none"/>
              </w:rPr>
              <w:t>2.0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MingLiU"/>
                <w:szCs w:val="21"/>
                <w:highlight w:val="none"/>
                <w:lang w:val="zh-TW" w:eastAsia="zh-TW" w:bidi="zh-TW"/>
              </w:rPr>
            </w:pPr>
          </w:p>
        </w:tc>
        <w:tc>
          <w:tcPr>
            <w:tcW w:w="1293" w:type="dxa"/>
            <w:gridSpan w:val="2"/>
            <w:vMerge w:val="continue"/>
            <w:shd w:val="clear" w:color="auto" w:fill="auto"/>
            <w:vAlign w:val="center"/>
          </w:tcPr>
          <w:p>
            <w:pPr>
              <w:jc w:val="center"/>
              <w:rPr>
                <w:rFonts w:ascii="宋体" w:hAnsi="宋体" w:eastAsia="宋体" w:cs="MingLiU"/>
                <w:szCs w:val="21"/>
                <w:highlight w:val="none"/>
                <w:lang w:val="zh-TW" w:eastAsia="zh-TW" w:bidi="zh-TW"/>
              </w:rPr>
            </w:pPr>
          </w:p>
        </w:tc>
        <w:tc>
          <w:tcPr>
            <w:tcW w:w="993" w:type="dxa"/>
            <w:vMerge w:val="continue"/>
            <w:shd w:val="clear" w:color="auto" w:fill="auto"/>
            <w:vAlign w:val="center"/>
          </w:tcPr>
          <w:p>
            <w:pPr>
              <w:jc w:val="center"/>
              <w:rPr>
                <w:rFonts w:ascii="宋体" w:hAnsi="宋体" w:eastAsia="宋体" w:cs="Times New Roman"/>
                <w:kern w:val="20"/>
                <w:szCs w:val="21"/>
                <w:highlight w:val="none"/>
                <w:u w:val="single"/>
              </w:rPr>
            </w:pPr>
          </w:p>
        </w:tc>
        <w:tc>
          <w:tcPr>
            <w:tcW w:w="1896" w:type="dxa"/>
            <w:shd w:val="clear" w:color="auto" w:fill="auto"/>
          </w:tcPr>
          <w:p>
            <w:pPr>
              <w:rPr>
                <w:rFonts w:ascii="宋体" w:hAnsi="Times New Roman" w:eastAsia="宋体" w:cs="Times New Roman"/>
                <w:szCs w:val="21"/>
                <w:highlight w:val="none"/>
              </w:rPr>
            </w:pPr>
            <w:r>
              <w:rPr>
                <w:rFonts w:hint="eastAsia" w:ascii="宋体" w:hAnsi="宋体" w:eastAsia="宋体" w:cs="宋体"/>
                <w:szCs w:val="21"/>
                <w:highlight w:val="none"/>
              </w:rPr>
              <w:t>对招标项目勘察设计的特点、关键技术问题的认识</w:t>
            </w:r>
          </w:p>
        </w:tc>
        <w:tc>
          <w:tcPr>
            <w:tcW w:w="851" w:type="dxa"/>
            <w:shd w:val="clear" w:color="auto" w:fill="auto"/>
            <w:vAlign w:val="center"/>
          </w:tcPr>
          <w:p>
            <w:pPr>
              <w:jc w:val="center"/>
              <w:rPr>
                <w:rFonts w:ascii="宋体" w:hAnsi="宋体" w:eastAsia="宋体" w:cs="Times New Roman"/>
                <w:kern w:val="20"/>
                <w:szCs w:val="21"/>
                <w:highlight w:val="none"/>
                <w:u w:val="singl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Times New Roman" w:eastAsia="宋体" w:cs="Times New Roman"/>
                <w:szCs w:val="21"/>
                <w:highlight w:val="none"/>
              </w:rPr>
            </w:pPr>
            <w:r>
              <w:rPr>
                <w:rFonts w:hint="eastAsia" w:ascii="宋体" w:hAnsi="宋体" w:eastAsia="宋体" w:cs="宋体"/>
                <w:szCs w:val="21"/>
                <w:highlight w:val="none"/>
              </w:rPr>
              <w:t>对招标项目勘察设计的特点、关键技术问题的认识准确得3</w:t>
            </w:r>
            <w:r>
              <w:rPr>
                <w:rFonts w:ascii="宋体" w:hAnsi="宋体" w:eastAsia="宋体" w:cs="宋体"/>
                <w:szCs w:val="21"/>
                <w:highlight w:val="none"/>
              </w:rPr>
              <w:t>.0</w:t>
            </w:r>
            <w:r>
              <w:rPr>
                <w:rFonts w:hint="eastAsia" w:ascii="宋体" w:hAnsi="宋体" w:eastAsia="宋体" w:cs="宋体"/>
                <w:szCs w:val="21"/>
                <w:highlight w:val="none"/>
              </w:rPr>
              <w:t>分，非常准确且认识全面的加分，最高加2</w:t>
            </w:r>
            <w:r>
              <w:rPr>
                <w:rFonts w:ascii="宋体" w:hAnsi="宋体" w:eastAsia="宋体" w:cs="宋体"/>
                <w:szCs w:val="21"/>
                <w:highlight w:val="none"/>
              </w:rPr>
              <w:t>.0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MingLiU"/>
                <w:szCs w:val="21"/>
                <w:highlight w:val="none"/>
                <w:lang w:val="zh-TW" w:eastAsia="zh-TW" w:bidi="zh-TW"/>
              </w:rPr>
            </w:pPr>
          </w:p>
        </w:tc>
        <w:tc>
          <w:tcPr>
            <w:tcW w:w="1293" w:type="dxa"/>
            <w:gridSpan w:val="2"/>
            <w:vMerge w:val="continue"/>
            <w:shd w:val="clear" w:color="auto" w:fill="auto"/>
            <w:vAlign w:val="center"/>
          </w:tcPr>
          <w:p>
            <w:pPr>
              <w:jc w:val="center"/>
              <w:rPr>
                <w:rFonts w:ascii="宋体" w:hAnsi="宋体" w:eastAsia="宋体" w:cs="MingLiU"/>
                <w:szCs w:val="21"/>
                <w:highlight w:val="none"/>
                <w:lang w:val="zh-TW" w:eastAsia="zh-TW" w:bidi="zh-TW"/>
              </w:rPr>
            </w:pPr>
          </w:p>
        </w:tc>
        <w:tc>
          <w:tcPr>
            <w:tcW w:w="993" w:type="dxa"/>
            <w:vMerge w:val="continue"/>
            <w:shd w:val="clear" w:color="auto" w:fill="auto"/>
            <w:vAlign w:val="center"/>
          </w:tcPr>
          <w:p>
            <w:pPr>
              <w:jc w:val="center"/>
              <w:rPr>
                <w:rFonts w:ascii="宋体" w:hAnsi="宋体" w:eastAsia="宋体" w:cs="Times New Roman"/>
                <w:kern w:val="20"/>
                <w:szCs w:val="21"/>
                <w:highlight w:val="none"/>
                <w:u w:val="single"/>
              </w:rPr>
            </w:pPr>
          </w:p>
        </w:tc>
        <w:tc>
          <w:tcPr>
            <w:tcW w:w="1896" w:type="dxa"/>
            <w:shd w:val="clear" w:color="auto" w:fill="auto"/>
          </w:tcPr>
          <w:p>
            <w:pPr>
              <w:rPr>
                <w:rFonts w:ascii="宋体" w:hAnsi="Times New Roman" w:eastAsia="宋体" w:cs="Times New Roman"/>
                <w:szCs w:val="21"/>
                <w:highlight w:val="none"/>
              </w:rPr>
            </w:pPr>
            <w:r>
              <w:rPr>
                <w:rFonts w:hint="eastAsia" w:ascii="宋体" w:hAnsi="宋体" w:eastAsia="宋体" w:cs="宋体"/>
                <w:szCs w:val="21"/>
                <w:highlight w:val="none"/>
              </w:rPr>
              <w:t>对招标项目勘察设计的特点及关键技术问题采取的对策措施</w:t>
            </w:r>
          </w:p>
        </w:tc>
        <w:tc>
          <w:tcPr>
            <w:tcW w:w="851" w:type="dxa"/>
            <w:shd w:val="clear" w:color="auto" w:fill="auto"/>
            <w:vAlign w:val="center"/>
          </w:tcPr>
          <w:p>
            <w:pPr>
              <w:jc w:val="center"/>
              <w:rPr>
                <w:rFonts w:ascii="宋体" w:hAnsi="宋体" w:eastAsia="宋体" w:cs="Times New Roman"/>
                <w:kern w:val="20"/>
                <w:szCs w:val="21"/>
                <w:highlight w:val="none"/>
                <w:u w:val="singl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Times New Roman" w:eastAsia="宋体" w:cs="Times New Roman"/>
                <w:szCs w:val="21"/>
                <w:highlight w:val="none"/>
              </w:rPr>
            </w:pPr>
            <w:r>
              <w:rPr>
                <w:rFonts w:hint="eastAsia" w:ascii="宋体" w:hAnsi="宋体" w:eastAsia="宋体" w:cs="宋体"/>
                <w:szCs w:val="21"/>
                <w:highlight w:val="none"/>
              </w:rPr>
              <w:t>对招标项目勘察设计的特点及关键技术问题采取的对策措施准确得3</w:t>
            </w:r>
            <w:r>
              <w:rPr>
                <w:rFonts w:ascii="宋体" w:hAnsi="宋体" w:eastAsia="宋体" w:cs="宋体"/>
                <w:szCs w:val="21"/>
                <w:highlight w:val="none"/>
              </w:rPr>
              <w:t>.0</w:t>
            </w:r>
            <w:r>
              <w:rPr>
                <w:rFonts w:hint="eastAsia" w:ascii="宋体" w:hAnsi="宋体" w:eastAsia="宋体" w:cs="宋体"/>
                <w:szCs w:val="21"/>
                <w:highlight w:val="none"/>
              </w:rPr>
              <w:t>分，非常准确且措施先进、可行的加分，最高加2</w:t>
            </w:r>
            <w:r>
              <w:rPr>
                <w:rFonts w:ascii="宋体" w:hAnsi="宋体" w:eastAsia="宋体" w:cs="宋体"/>
                <w:szCs w:val="21"/>
                <w:highlight w:val="none"/>
              </w:rPr>
              <w:t>.0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Times New Roman"/>
                <w:kern w:val="20"/>
                <w:szCs w:val="21"/>
                <w:highlight w:val="none"/>
              </w:rPr>
            </w:pPr>
          </w:p>
        </w:tc>
        <w:tc>
          <w:tcPr>
            <w:tcW w:w="1293" w:type="dxa"/>
            <w:gridSpan w:val="2"/>
            <w:vMerge w:val="continue"/>
            <w:shd w:val="clear" w:color="auto" w:fill="auto"/>
            <w:vAlign w:val="center"/>
          </w:tcPr>
          <w:p>
            <w:pPr>
              <w:jc w:val="center"/>
              <w:rPr>
                <w:rFonts w:ascii="宋体" w:hAnsi="宋体" w:eastAsia="宋体" w:cs="Times New Roman"/>
                <w:kern w:val="20"/>
                <w:szCs w:val="21"/>
                <w:highlight w:val="none"/>
              </w:rPr>
            </w:pPr>
          </w:p>
        </w:tc>
        <w:tc>
          <w:tcPr>
            <w:tcW w:w="993" w:type="dxa"/>
            <w:vMerge w:val="continue"/>
            <w:shd w:val="clear" w:color="auto" w:fill="auto"/>
            <w:vAlign w:val="center"/>
          </w:tcPr>
          <w:p>
            <w:pPr>
              <w:jc w:val="center"/>
              <w:rPr>
                <w:rFonts w:ascii="宋体" w:hAnsi="宋体" w:eastAsia="宋体" w:cs="Times New Roman"/>
                <w:kern w:val="20"/>
                <w:szCs w:val="21"/>
                <w:highlight w:val="none"/>
              </w:rPr>
            </w:pPr>
          </w:p>
        </w:tc>
        <w:tc>
          <w:tcPr>
            <w:tcW w:w="1896" w:type="dxa"/>
            <w:shd w:val="clear" w:color="auto" w:fill="auto"/>
            <w:vAlign w:val="center"/>
          </w:tcPr>
          <w:p>
            <w:pPr>
              <w:rPr>
                <w:rFonts w:ascii="宋体" w:hAnsi="宋体" w:eastAsia="宋体" w:cs="MingLiU"/>
                <w:szCs w:val="21"/>
                <w:highlight w:val="none"/>
                <w:lang w:val="zh-TW" w:eastAsia="zh-TW" w:bidi="zh-TW"/>
              </w:rPr>
            </w:pPr>
            <w:r>
              <w:rPr>
                <w:rFonts w:ascii="宋体" w:hAnsi="宋体" w:eastAsia="宋体" w:cs="MingLiU"/>
                <w:szCs w:val="21"/>
                <w:highlight w:val="none"/>
                <w:lang w:val="zh-TW" w:eastAsia="zh-TW" w:bidi="zh-TW"/>
              </w:rPr>
              <w:t>勘察设计工作量及计划安排</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Times New Roman" w:eastAsia="宋体" w:cs="Times New Roman"/>
                <w:szCs w:val="21"/>
                <w:highlight w:val="none"/>
              </w:rPr>
            </w:pPr>
            <w:r>
              <w:rPr>
                <w:rFonts w:hint="eastAsia" w:ascii="宋体" w:hAnsi="宋体" w:eastAsia="宋体" w:cs="宋体"/>
                <w:szCs w:val="21"/>
                <w:highlight w:val="none"/>
              </w:rPr>
              <w:t>勘察设计工作量估算准确、计划安排可行得</w:t>
            </w:r>
            <w:r>
              <w:rPr>
                <w:rFonts w:ascii="宋体" w:hAnsi="宋体" w:eastAsia="宋体" w:cs="宋体"/>
                <w:szCs w:val="21"/>
                <w:highlight w:val="none"/>
              </w:rPr>
              <w:t>3.0</w:t>
            </w:r>
            <w:r>
              <w:rPr>
                <w:rFonts w:hint="eastAsia" w:ascii="宋体" w:hAnsi="宋体" w:eastAsia="宋体" w:cs="宋体"/>
                <w:szCs w:val="21"/>
                <w:highlight w:val="none"/>
              </w:rPr>
              <w:t>分，勘察设计工作量估算准确、计划安排合理加分，最高加</w:t>
            </w:r>
            <w:r>
              <w:rPr>
                <w:rFonts w:ascii="宋体" w:hAnsi="宋体" w:eastAsia="宋体" w:cs="宋体"/>
                <w:szCs w:val="21"/>
                <w:highlight w:val="none"/>
              </w:rPr>
              <w:t>2.0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Times New Roman"/>
                <w:kern w:val="20"/>
                <w:szCs w:val="21"/>
                <w:highlight w:val="none"/>
              </w:rPr>
            </w:pPr>
          </w:p>
        </w:tc>
        <w:tc>
          <w:tcPr>
            <w:tcW w:w="1293" w:type="dxa"/>
            <w:gridSpan w:val="2"/>
            <w:vMerge w:val="continue"/>
            <w:shd w:val="clear" w:color="auto" w:fill="auto"/>
            <w:vAlign w:val="center"/>
          </w:tcPr>
          <w:p>
            <w:pPr>
              <w:jc w:val="center"/>
              <w:rPr>
                <w:rFonts w:ascii="宋体" w:hAnsi="宋体" w:eastAsia="宋体" w:cs="Times New Roman"/>
                <w:kern w:val="20"/>
                <w:szCs w:val="21"/>
                <w:highlight w:val="none"/>
              </w:rPr>
            </w:pPr>
          </w:p>
        </w:tc>
        <w:tc>
          <w:tcPr>
            <w:tcW w:w="993" w:type="dxa"/>
            <w:vMerge w:val="continue"/>
            <w:shd w:val="clear" w:color="auto" w:fill="auto"/>
            <w:vAlign w:val="center"/>
          </w:tcPr>
          <w:p>
            <w:pPr>
              <w:jc w:val="center"/>
              <w:rPr>
                <w:rFonts w:ascii="宋体" w:hAnsi="宋体" w:eastAsia="宋体" w:cs="Times New Roman"/>
                <w:kern w:val="20"/>
                <w:szCs w:val="21"/>
                <w:highlight w:val="none"/>
              </w:rPr>
            </w:pPr>
          </w:p>
        </w:tc>
        <w:tc>
          <w:tcPr>
            <w:tcW w:w="1896" w:type="dxa"/>
            <w:shd w:val="clear" w:color="auto" w:fill="auto"/>
          </w:tcPr>
          <w:p>
            <w:pP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勘察设计的质量保证措施、进度保证措施、安全保证措施</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Times New Roman" w:eastAsia="宋体" w:cs="Times New Roman"/>
                <w:szCs w:val="21"/>
                <w:highlight w:val="none"/>
              </w:rPr>
            </w:pPr>
            <w:r>
              <w:rPr>
                <w:rFonts w:hint="eastAsia" w:ascii="宋体" w:hAnsi="宋体" w:eastAsia="宋体" w:cs="宋体"/>
                <w:szCs w:val="21"/>
                <w:highlight w:val="none"/>
              </w:rPr>
              <w:t>勘察设计的质量、进度、安全保证措施可行得</w:t>
            </w:r>
            <w:r>
              <w:rPr>
                <w:rFonts w:ascii="宋体" w:hAnsi="宋体" w:eastAsia="宋体" w:cs="宋体"/>
                <w:szCs w:val="21"/>
                <w:highlight w:val="none"/>
              </w:rPr>
              <w:t>3.0</w:t>
            </w:r>
            <w:r>
              <w:rPr>
                <w:rFonts w:hint="eastAsia" w:ascii="宋体" w:hAnsi="宋体" w:eastAsia="宋体" w:cs="宋体"/>
                <w:szCs w:val="21"/>
                <w:highlight w:val="none"/>
              </w:rPr>
              <w:t>分，措施可行并能保证勘察设计质量、进度及安全的加分，最高加</w:t>
            </w:r>
            <w:r>
              <w:rPr>
                <w:rFonts w:ascii="宋体" w:hAnsi="宋体" w:eastAsia="宋体" w:cs="宋体"/>
                <w:szCs w:val="21"/>
                <w:highlight w:val="none"/>
              </w:rPr>
              <w:t>2.0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Times New Roman"/>
                <w:kern w:val="20"/>
                <w:szCs w:val="21"/>
                <w:highlight w:val="none"/>
              </w:rPr>
            </w:pPr>
          </w:p>
        </w:tc>
        <w:tc>
          <w:tcPr>
            <w:tcW w:w="1293" w:type="dxa"/>
            <w:gridSpan w:val="2"/>
            <w:vMerge w:val="continue"/>
            <w:shd w:val="clear" w:color="auto" w:fill="auto"/>
            <w:vAlign w:val="center"/>
          </w:tcPr>
          <w:p>
            <w:pPr>
              <w:jc w:val="center"/>
              <w:rPr>
                <w:rFonts w:ascii="宋体" w:hAnsi="宋体" w:eastAsia="宋体" w:cs="Times New Roman"/>
                <w:kern w:val="20"/>
                <w:szCs w:val="21"/>
                <w:highlight w:val="none"/>
              </w:rPr>
            </w:pPr>
          </w:p>
        </w:tc>
        <w:tc>
          <w:tcPr>
            <w:tcW w:w="993" w:type="dxa"/>
            <w:vMerge w:val="continue"/>
            <w:shd w:val="clear" w:color="auto" w:fill="auto"/>
            <w:vAlign w:val="center"/>
          </w:tcPr>
          <w:p>
            <w:pPr>
              <w:jc w:val="center"/>
              <w:rPr>
                <w:rFonts w:ascii="宋体" w:hAnsi="宋体" w:eastAsia="宋体" w:cs="Times New Roman"/>
                <w:kern w:val="20"/>
                <w:szCs w:val="21"/>
                <w:highlight w:val="none"/>
              </w:rPr>
            </w:pPr>
          </w:p>
        </w:tc>
        <w:tc>
          <w:tcPr>
            <w:tcW w:w="1896" w:type="dxa"/>
            <w:shd w:val="clear" w:color="auto" w:fill="auto"/>
            <w:vAlign w:val="center"/>
          </w:tcPr>
          <w:p>
            <w:pPr>
              <w:jc w:val="left"/>
              <w:rPr>
                <w:rFonts w:ascii="宋体" w:hAnsi="宋体" w:eastAsia="宋体" w:cs="Times New Roman"/>
                <w:kern w:val="20"/>
                <w:szCs w:val="21"/>
                <w:highlight w:val="none"/>
              </w:rPr>
            </w:pPr>
            <w:r>
              <w:rPr>
                <w:rFonts w:ascii="宋体" w:hAnsi="宋体" w:eastAsia="宋体" w:cs="MingLiU"/>
                <w:szCs w:val="21"/>
                <w:highlight w:val="none"/>
                <w:lang w:val="zh-TW" w:eastAsia="zh-TW" w:bidi="zh-TW"/>
              </w:rPr>
              <w:t>后续服务的安排及保证措施</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5 </w:t>
            </w:r>
            <w:r>
              <w:rPr>
                <w:rFonts w:hint="eastAsia" w:ascii="宋体" w:hAnsi="宋体" w:eastAsia="宋体" w:cs="Times New Roman"/>
                <w:kern w:val="20"/>
                <w:szCs w:val="21"/>
                <w:highlight w:val="none"/>
              </w:rPr>
              <w:t>分</w:t>
            </w:r>
          </w:p>
        </w:tc>
        <w:tc>
          <w:tcPr>
            <w:tcW w:w="3492" w:type="dxa"/>
            <w:shd w:val="clear" w:color="auto" w:fill="auto"/>
            <w:vAlign w:val="center"/>
          </w:tcPr>
          <w:p>
            <w:pPr>
              <w:jc w:val="left"/>
              <w:rPr>
                <w:rFonts w:ascii="宋体" w:hAnsi="宋体" w:eastAsia="宋体" w:cs="Times New Roman"/>
                <w:kern w:val="20"/>
                <w:szCs w:val="21"/>
                <w:highlight w:val="none"/>
              </w:rPr>
            </w:pPr>
            <w:r>
              <w:rPr>
                <w:rFonts w:hint="eastAsia" w:ascii="宋体" w:hAnsi="宋体" w:eastAsia="宋体" w:cs="宋体"/>
                <w:szCs w:val="21"/>
                <w:highlight w:val="none"/>
              </w:rPr>
              <w:t>后续服务的安排及保证措施可行得</w:t>
            </w:r>
            <w:r>
              <w:rPr>
                <w:rFonts w:ascii="宋体" w:hAnsi="宋体" w:eastAsia="宋体" w:cs="宋体"/>
                <w:szCs w:val="21"/>
                <w:highlight w:val="none"/>
              </w:rPr>
              <w:t>3.0</w:t>
            </w:r>
            <w:r>
              <w:rPr>
                <w:rFonts w:hint="eastAsia" w:ascii="宋体" w:hAnsi="宋体" w:eastAsia="宋体" w:cs="宋体"/>
                <w:szCs w:val="21"/>
                <w:highlight w:val="none"/>
              </w:rPr>
              <w:t>分，可行且提出了具体的人员、设备安排，保证措施有力的加分，最高加</w:t>
            </w:r>
            <w:r>
              <w:rPr>
                <w:rFonts w:ascii="宋体" w:hAnsi="宋体" w:eastAsia="宋体" w:cs="宋体"/>
                <w:szCs w:val="21"/>
                <w:highlight w:val="none"/>
              </w:rPr>
              <w:t>2.0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2.2.4 （2）</w:t>
            </w:r>
          </w:p>
        </w:tc>
        <w:tc>
          <w:tcPr>
            <w:tcW w:w="1293" w:type="dxa"/>
            <w:gridSpan w:val="2"/>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主要人员</w:t>
            </w:r>
          </w:p>
        </w:tc>
        <w:tc>
          <w:tcPr>
            <w:tcW w:w="993"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25 </w:t>
            </w:r>
            <w:r>
              <w:rPr>
                <w:rFonts w:hint="eastAsia" w:ascii="宋体" w:hAnsi="宋体" w:eastAsia="宋体" w:cs="Times New Roman"/>
                <w:kern w:val="20"/>
                <w:szCs w:val="21"/>
                <w:highlight w:val="none"/>
              </w:rPr>
              <w:t>分</w:t>
            </w:r>
          </w:p>
        </w:tc>
        <w:tc>
          <w:tcPr>
            <w:tcW w:w="1896" w:type="dxa"/>
            <w:shd w:val="clear" w:color="auto" w:fill="auto"/>
            <w:vAlign w:val="center"/>
          </w:tcPr>
          <w:p>
            <w:pP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项目负责人任职资格与业绩</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25 </w:t>
            </w:r>
            <w:r>
              <w:rPr>
                <w:rFonts w:hint="eastAsia" w:ascii="宋体" w:hAnsi="宋体" w:eastAsia="宋体" w:cs="Times New Roman"/>
                <w:kern w:val="20"/>
                <w:szCs w:val="21"/>
                <w:highlight w:val="none"/>
              </w:rPr>
              <w:t>分</w:t>
            </w:r>
          </w:p>
        </w:tc>
        <w:tc>
          <w:tcPr>
            <w:tcW w:w="3492" w:type="dxa"/>
            <w:shd w:val="clear" w:color="auto" w:fill="auto"/>
            <w:vAlign w:val="center"/>
          </w:tcPr>
          <w:p>
            <w:pPr>
              <w:jc w:val="left"/>
              <w:rPr>
                <w:rFonts w:ascii="宋体" w:hAnsi="宋体" w:eastAsia="宋体" w:cs="Times New Roman"/>
                <w:kern w:val="20"/>
                <w:szCs w:val="21"/>
                <w:highlight w:val="none"/>
              </w:rPr>
            </w:pPr>
            <w:r>
              <w:rPr>
                <w:rFonts w:hint="eastAsia" w:ascii="宋体" w:hAnsi="宋体" w:eastAsia="宋体" w:cs="宋体"/>
                <w:szCs w:val="21"/>
                <w:highlight w:val="none"/>
              </w:rPr>
              <w:t>满足最低资格条件得15</w:t>
            </w:r>
            <w:r>
              <w:rPr>
                <w:rFonts w:ascii="宋体" w:hAnsi="宋体" w:eastAsia="宋体" w:cs="宋体"/>
                <w:szCs w:val="21"/>
                <w:highlight w:val="none"/>
              </w:rPr>
              <w:t>.0</w:t>
            </w:r>
            <w:r>
              <w:rPr>
                <w:rFonts w:hint="eastAsia" w:ascii="宋体" w:hAnsi="宋体" w:eastAsia="宋体" w:cs="宋体"/>
                <w:szCs w:val="21"/>
                <w:highlight w:val="none"/>
              </w:rPr>
              <w:t>分</w:t>
            </w:r>
            <w:r>
              <w:rPr>
                <w:rFonts w:ascii="宋体" w:hAnsi="宋体" w:eastAsia="宋体" w:cs="宋体"/>
                <w:szCs w:val="21"/>
                <w:highlight w:val="none"/>
              </w:rPr>
              <w:t>,</w:t>
            </w:r>
            <w:r>
              <w:rPr>
                <w:rFonts w:hint="eastAsia" w:ascii="Times New Roman" w:hAnsi="Times New Roman" w:eastAsia="宋体" w:cs="Times New Roman"/>
                <w:szCs w:val="21"/>
                <w:highlight w:val="none"/>
              </w:rPr>
              <w:t xml:space="preserve"> 每增加1项以</w:t>
            </w:r>
            <w:r>
              <w:rPr>
                <w:rFonts w:ascii="Times New Roman" w:hAnsi="Times New Roman" w:eastAsia="宋体" w:cs="Times New Roman"/>
                <w:szCs w:val="21"/>
                <w:highlight w:val="none"/>
              </w:rPr>
              <w:t>项目负责人身份完成的</w:t>
            </w:r>
            <w:r>
              <w:rPr>
                <w:rFonts w:hint="eastAsia" w:ascii="Times New Roman" w:hAnsi="Times New Roman" w:eastAsia="宋体" w:cs="Times New Roman"/>
                <w:szCs w:val="21"/>
                <w:highlight w:val="none"/>
              </w:rPr>
              <w:t>公路工程勘察设计业绩加5.0分</w:t>
            </w:r>
            <w:r>
              <w:rPr>
                <w:rFonts w:hint="eastAsia" w:ascii="宋体" w:hAnsi="宋体" w:eastAsia="宋体" w:cs="宋体"/>
                <w:szCs w:val="21"/>
                <w:highlight w:val="none"/>
              </w:rPr>
              <w:t>，最高加10</w:t>
            </w:r>
            <w:r>
              <w:rPr>
                <w:rFonts w:ascii="宋体" w:hAnsi="宋体" w:eastAsia="宋体" w:cs="宋体"/>
                <w:szCs w:val="21"/>
                <w:highlight w:val="none"/>
              </w:rPr>
              <w:t>.0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jc w:val="center"/>
              <w:rPr>
                <w:rFonts w:ascii="宋体" w:hAnsi="宋体" w:eastAsia="宋体" w:cs="MingLiU"/>
                <w:szCs w:val="21"/>
                <w:highlight w:val="none"/>
                <w:lang w:val="zh-TW" w:eastAsia="zh-TW" w:bidi="zh-TW"/>
              </w:rPr>
            </w:pPr>
            <w:r>
              <w:rPr>
                <w:rFonts w:hint="eastAsia" w:ascii="宋体" w:hAnsi="宋体" w:eastAsia="宋体" w:cs="Times New Roman"/>
                <w:kern w:val="20"/>
                <w:szCs w:val="21"/>
                <w:highlight w:val="none"/>
              </w:rPr>
              <w:t>2.2.4（4）</w:t>
            </w:r>
          </w:p>
        </w:tc>
        <w:tc>
          <w:tcPr>
            <w:tcW w:w="426" w:type="dxa"/>
            <w:vMerge w:val="restart"/>
            <w:shd w:val="clear" w:color="auto" w:fill="auto"/>
            <w:vAlign w:val="center"/>
          </w:tcPr>
          <w:p>
            <w:pPr>
              <w:jc w:val="center"/>
              <w:rPr>
                <w:rFonts w:ascii="宋体" w:hAnsi="宋体" w:eastAsia="宋体" w:cs="MingLiU"/>
                <w:szCs w:val="21"/>
                <w:highlight w:val="none"/>
                <w:lang w:val="zh-TW" w:eastAsia="zh-TW" w:bidi="zh-TW"/>
              </w:rPr>
            </w:pPr>
            <w:r>
              <w:rPr>
                <w:rFonts w:ascii="宋体" w:hAnsi="宋体" w:eastAsia="宋体" w:cs="MingLiU"/>
                <w:szCs w:val="21"/>
                <w:highlight w:val="none"/>
                <w:lang w:val="zh-TW" w:eastAsia="zh-TW" w:bidi="zh-TW"/>
              </w:rPr>
              <w:t>其他因素</w:t>
            </w:r>
          </w:p>
        </w:tc>
        <w:tc>
          <w:tcPr>
            <w:tcW w:w="867"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业绩</w:t>
            </w:r>
          </w:p>
        </w:tc>
        <w:tc>
          <w:tcPr>
            <w:tcW w:w="993"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25 </w:t>
            </w:r>
            <w:r>
              <w:rPr>
                <w:rFonts w:hint="eastAsia" w:ascii="宋体" w:hAnsi="宋体" w:eastAsia="宋体" w:cs="Times New Roman"/>
                <w:kern w:val="20"/>
                <w:szCs w:val="21"/>
                <w:highlight w:val="none"/>
              </w:rPr>
              <w:t>分</w:t>
            </w:r>
          </w:p>
        </w:tc>
        <w:tc>
          <w:tcPr>
            <w:tcW w:w="1896"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宋体"/>
                <w:szCs w:val="21"/>
                <w:highlight w:val="none"/>
              </w:rPr>
              <w:t>类似项目业绩</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25 </w:t>
            </w:r>
            <w:r>
              <w:rPr>
                <w:rFonts w:hint="eastAsia" w:ascii="宋体" w:hAnsi="宋体" w:eastAsia="宋体" w:cs="Times New Roman"/>
                <w:kern w:val="20"/>
                <w:szCs w:val="21"/>
                <w:highlight w:val="none"/>
              </w:rPr>
              <w:t>分</w:t>
            </w:r>
          </w:p>
        </w:tc>
        <w:tc>
          <w:tcPr>
            <w:tcW w:w="3492" w:type="dxa"/>
            <w:shd w:val="clear" w:color="auto" w:fill="auto"/>
            <w:vAlign w:val="center"/>
          </w:tcPr>
          <w:p>
            <w:pPr>
              <w:jc w:val="left"/>
              <w:rPr>
                <w:rFonts w:ascii="宋体" w:hAnsi="宋体" w:eastAsia="宋体" w:cs="Times New Roman"/>
                <w:kern w:val="20"/>
                <w:szCs w:val="21"/>
                <w:highlight w:val="none"/>
              </w:rPr>
            </w:pPr>
            <w:r>
              <w:rPr>
                <w:rFonts w:hint="eastAsia" w:ascii="宋体" w:hAnsi="宋体" w:eastAsia="宋体" w:cs="宋体"/>
                <w:szCs w:val="21"/>
                <w:highlight w:val="none"/>
              </w:rPr>
              <w:t>满足最低资格条件得15</w:t>
            </w:r>
            <w:r>
              <w:rPr>
                <w:rFonts w:ascii="宋体" w:hAnsi="宋体" w:eastAsia="宋体" w:cs="宋体"/>
                <w:szCs w:val="21"/>
                <w:highlight w:val="none"/>
              </w:rPr>
              <w:t>.0</w:t>
            </w:r>
            <w:r>
              <w:rPr>
                <w:rFonts w:hint="eastAsia" w:ascii="宋体" w:hAnsi="宋体" w:eastAsia="宋体" w:cs="宋体"/>
                <w:szCs w:val="21"/>
                <w:highlight w:val="none"/>
              </w:rPr>
              <w:t>分。每增加1处公路互通式立体交叉工程</w:t>
            </w:r>
            <w:r>
              <w:rPr>
                <w:rFonts w:hint="eastAsia" w:ascii="Times New Roman" w:hAnsi="Times New Roman" w:eastAsia="宋体" w:cs="Times New Roman"/>
                <w:szCs w:val="21"/>
                <w:highlight w:val="none"/>
              </w:rPr>
              <w:t>或1座公路大桥工程</w:t>
            </w:r>
            <w:r>
              <w:rPr>
                <w:rFonts w:hint="eastAsia" w:ascii="宋体" w:hAnsi="宋体" w:eastAsia="宋体" w:cs="宋体"/>
                <w:szCs w:val="21"/>
                <w:highlight w:val="none"/>
              </w:rPr>
              <w:t>业绩加5.0分，最多加10</w:t>
            </w:r>
            <w:r>
              <w:rPr>
                <w:rFonts w:ascii="宋体" w:hAnsi="宋体" w:eastAsia="宋体" w:cs="宋体"/>
                <w:szCs w:val="21"/>
                <w:highlight w:val="none"/>
              </w:rPr>
              <w:t>.0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jc w:val="center"/>
              <w:rPr>
                <w:rFonts w:ascii="宋体" w:hAnsi="宋体" w:eastAsia="宋体" w:cs="Times New Roman"/>
                <w:kern w:val="20"/>
                <w:szCs w:val="21"/>
                <w:highlight w:val="none"/>
              </w:rPr>
            </w:pPr>
          </w:p>
        </w:tc>
        <w:tc>
          <w:tcPr>
            <w:tcW w:w="426" w:type="dxa"/>
            <w:vMerge w:val="continue"/>
            <w:shd w:val="clear" w:color="auto" w:fill="auto"/>
            <w:vAlign w:val="center"/>
          </w:tcPr>
          <w:p>
            <w:pPr>
              <w:jc w:val="center"/>
              <w:rPr>
                <w:rFonts w:ascii="宋体" w:hAnsi="宋体" w:eastAsia="宋体" w:cs="MingLiU"/>
                <w:szCs w:val="21"/>
                <w:highlight w:val="none"/>
                <w:lang w:val="zh-TW" w:eastAsia="zh-TW" w:bidi="zh-TW"/>
              </w:rPr>
            </w:pPr>
          </w:p>
        </w:tc>
        <w:tc>
          <w:tcPr>
            <w:tcW w:w="867"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履约信誉</w:t>
            </w:r>
          </w:p>
        </w:tc>
        <w:tc>
          <w:tcPr>
            <w:tcW w:w="993"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10 </w:t>
            </w:r>
            <w:r>
              <w:rPr>
                <w:rFonts w:hint="eastAsia" w:ascii="宋体" w:hAnsi="宋体" w:eastAsia="宋体" w:cs="Times New Roman"/>
                <w:kern w:val="20"/>
                <w:szCs w:val="21"/>
                <w:highlight w:val="none"/>
              </w:rPr>
              <w:t>分</w:t>
            </w:r>
          </w:p>
        </w:tc>
        <w:tc>
          <w:tcPr>
            <w:tcW w:w="1896"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rPr>
              <w:t>信誉情况</w:t>
            </w:r>
          </w:p>
        </w:tc>
        <w:tc>
          <w:tcPr>
            <w:tcW w:w="851"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10 </w:t>
            </w:r>
            <w:r>
              <w:rPr>
                <w:rFonts w:hint="eastAsia" w:ascii="宋体" w:hAnsi="宋体" w:eastAsia="宋体" w:cs="Times New Roman"/>
                <w:kern w:val="20"/>
                <w:szCs w:val="21"/>
                <w:highlight w:val="none"/>
              </w:rPr>
              <w:t>分</w:t>
            </w:r>
          </w:p>
        </w:tc>
        <w:tc>
          <w:tcPr>
            <w:tcW w:w="3492" w:type="dxa"/>
            <w:shd w:val="clear" w:color="auto" w:fill="auto"/>
            <w:vAlign w:val="center"/>
          </w:tcPr>
          <w:p>
            <w:pPr>
              <w:adjustRightInd w:val="0"/>
              <w:textAlignment w:val="baseline"/>
              <w:rPr>
                <w:rFonts w:ascii="宋体" w:hAnsi="宋体" w:eastAsia="宋体" w:cs="宋体"/>
                <w:szCs w:val="21"/>
                <w:highlight w:val="none"/>
              </w:rPr>
            </w:pPr>
            <w:r>
              <w:rPr>
                <w:rFonts w:hint="eastAsia" w:ascii="宋体" w:hAnsi="宋体" w:eastAsia="宋体" w:cs="宋体"/>
                <w:szCs w:val="21"/>
                <w:highlight w:val="none"/>
              </w:rPr>
              <w:t>投标人的信用等级以吉林省交通运输厅发布的《</w:t>
            </w:r>
            <w:r>
              <w:rPr>
                <w:rFonts w:ascii="宋体" w:hAnsi="宋体" w:eastAsia="宋体" w:cs="宋体"/>
                <w:szCs w:val="21"/>
                <w:highlight w:val="none"/>
              </w:rPr>
              <w:t>关于发布201</w:t>
            </w:r>
            <w:r>
              <w:rPr>
                <w:rFonts w:hint="eastAsia" w:ascii="宋体" w:hAnsi="宋体" w:eastAsia="宋体" w:cs="宋体"/>
                <w:szCs w:val="21"/>
                <w:highlight w:val="none"/>
              </w:rPr>
              <w:t>8</w:t>
            </w:r>
            <w:r>
              <w:rPr>
                <w:rFonts w:ascii="宋体" w:hAnsi="宋体" w:eastAsia="宋体" w:cs="宋体"/>
                <w:szCs w:val="21"/>
                <w:highlight w:val="none"/>
              </w:rPr>
              <w:t>年度公路设计、施工企业吉林省省级综合评价结果的公告</w:t>
            </w:r>
            <w:r>
              <w:rPr>
                <w:rFonts w:hint="eastAsia" w:ascii="宋体" w:hAnsi="宋体" w:eastAsia="宋体" w:cs="宋体"/>
                <w:szCs w:val="21"/>
                <w:highlight w:val="none"/>
              </w:rPr>
              <w:t>》为准；</w:t>
            </w:r>
          </w:p>
          <w:p>
            <w:pPr>
              <w:adjustRightInd w:val="0"/>
              <w:textAlignment w:val="baseline"/>
              <w:rPr>
                <w:rFonts w:ascii="宋体" w:hAnsi="宋体" w:eastAsia="宋体" w:cs="宋体"/>
                <w:szCs w:val="21"/>
                <w:highlight w:val="none"/>
              </w:rPr>
            </w:pPr>
            <w:r>
              <w:rPr>
                <w:rFonts w:hint="eastAsia" w:ascii="宋体" w:hAnsi="宋体" w:eastAsia="宋体" w:cs="宋体"/>
                <w:szCs w:val="21"/>
                <w:highlight w:val="none"/>
              </w:rPr>
              <w:t>如投标人未列入上述评价结果公告，以</w:t>
            </w:r>
            <w:r>
              <w:rPr>
                <w:rFonts w:ascii="宋体" w:hAnsi="宋体" w:eastAsia="宋体" w:cs="Times New Roman"/>
                <w:szCs w:val="21"/>
                <w:highlight w:val="none"/>
              </w:rPr>
              <w:t>交通运输部</w:t>
            </w:r>
            <w:r>
              <w:rPr>
                <w:rFonts w:hint="eastAsia" w:ascii="宋体" w:hAnsi="宋体" w:eastAsia="宋体" w:cs="Times New Roman"/>
                <w:szCs w:val="21"/>
                <w:highlight w:val="none"/>
              </w:rPr>
              <w:t>《2018年全国公路工程设计企业信用评价结果汇总表》评价结果</w:t>
            </w:r>
            <w:r>
              <w:rPr>
                <w:rFonts w:hint="eastAsia" w:ascii="宋体" w:hAnsi="宋体" w:eastAsia="宋体" w:cs="宋体"/>
                <w:szCs w:val="21"/>
                <w:highlight w:val="none"/>
              </w:rPr>
              <w:t>为准；</w:t>
            </w:r>
          </w:p>
          <w:p>
            <w:pPr>
              <w:adjustRightInd w:val="0"/>
              <w:textAlignment w:val="baseline"/>
              <w:rPr>
                <w:rFonts w:ascii="宋体" w:hAnsi="宋体" w:eastAsia="宋体" w:cs="宋体"/>
                <w:szCs w:val="21"/>
                <w:highlight w:val="none"/>
              </w:rPr>
            </w:pPr>
            <w:r>
              <w:rPr>
                <w:rFonts w:hint="eastAsia" w:ascii="宋体" w:hAnsi="宋体" w:eastAsia="宋体" w:cs="宋体"/>
                <w:szCs w:val="21"/>
                <w:highlight w:val="none"/>
              </w:rPr>
              <w:t>如投标人未列入上述信用评价结果，投标人的信用等级按A级对待。</w:t>
            </w:r>
          </w:p>
          <w:p>
            <w:pPr>
              <w:adjustRightInd w:val="0"/>
              <w:textAlignment w:val="baseline"/>
              <w:rPr>
                <w:rFonts w:ascii="宋体" w:hAnsi="宋体" w:eastAsia="宋体" w:cs="宋体"/>
                <w:szCs w:val="21"/>
                <w:highlight w:val="none"/>
              </w:rPr>
            </w:pPr>
            <w:r>
              <w:rPr>
                <w:rFonts w:hint="eastAsia" w:ascii="宋体" w:hAnsi="宋体" w:eastAsia="宋体" w:cs="宋体"/>
                <w:szCs w:val="21"/>
                <w:highlight w:val="none"/>
              </w:rPr>
              <w:t>企业当年既有省级综合评价结果也有全国综合评价结果的，应采用等级较低的评价结果。</w:t>
            </w:r>
          </w:p>
          <w:p>
            <w:pPr>
              <w:jc w:val="left"/>
              <w:rPr>
                <w:rFonts w:ascii="宋体" w:hAnsi="宋体" w:eastAsia="宋体" w:cs="Times New Roman"/>
                <w:kern w:val="20"/>
                <w:szCs w:val="21"/>
                <w:highlight w:val="none"/>
              </w:rPr>
            </w:pPr>
            <w:r>
              <w:rPr>
                <w:rFonts w:hint="eastAsia" w:ascii="宋体" w:hAnsi="宋体" w:eastAsia="宋体" w:cs="宋体"/>
                <w:szCs w:val="21"/>
                <w:highlight w:val="none"/>
              </w:rPr>
              <w:t>信用等级AA得10.0分，信用等级A得9.0分，信用等级B得8.0分，信用等级C得6.0分。信用等级为D级的，不能通过资格审查。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2.2.4 （3）</w:t>
            </w:r>
          </w:p>
        </w:tc>
        <w:tc>
          <w:tcPr>
            <w:tcW w:w="1293" w:type="dxa"/>
            <w:gridSpan w:val="2"/>
            <w:shd w:val="clear" w:color="auto" w:fill="auto"/>
            <w:vAlign w:val="center"/>
          </w:tcPr>
          <w:p>
            <w:pPr>
              <w:jc w:val="center"/>
              <w:rPr>
                <w:rFonts w:ascii="宋体" w:hAnsi="宋体" w:eastAsia="宋体" w:cs="Times New Roman"/>
                <w:kern w:val="20"/>
                <w:szCs w:val="21"/>
                <w:highlight w:val="none"/>
              </w:rPr>
            </w:pPr>
            <w:r>
              <w:rPr>
                <w:rFonts w:ascii="宋体" w:hAnsi="宋体" w:eastAsia="宋体" w:cs="MingLiU"/>
                <w:szCs w:val="21"/>
                <w:highlight w:val="none"/>
                <w:lang w:val="zh-TW" w:eastAsia="zh-TW" w:bidi="zh-TW"/>
              </w:rPr>
              <w:t>评标价</w:t>
            </w:r>
          </w:p>
        </w:tc>
        <w:tc>
          <w:tcPr>
            <w:tcW w:w="993" w:type="dxa"/>
            <w:shd w:val="clear" w:color="auto" w:fill="auto"/>
            <w:vAlign w:val="center"/>
          </w:tcPr>
          <w:p>
            <w:pPr>
              <w:jc w:val="center"/>
              <w:rPr>
                <w:rFonts w:ascii="宋体" w:hAnsi="宋体" w:eastAsia="宋体" w:cs="Times New Roman"/>
                <w:kern w:val="20"/>
                <w:szCs w:val="21"/>
                <w:highlight w:val="none"/>
              </w:rPr>
            </w:pPr>
            <w:r>
              <w:rPr>
                <w:rFonts w:hint="eastAsia" w:ascii="宋体" w:hAnsi="宋体" w:eastAsia="宋体" w:cs="Times New Roman"/>
                <w:kern w:val="20"/>
                <w:szCs w:val="21"/>
                <w:highlight w:val="none"/>
                <w:u w:val="single"/>
              </w:rPr>
              <w:t xml:space="preserve"> 10 </w:t>
            </w:r>
            <w:r>
              <w:rPr>
                <w:rFonts w:hint="eastAsia" w:ascii="宋体" w:hAnsi="宋体" w:eastAsia="宋体" w:cs="Times New Roman"/>
                <w:kern w:val="20"/>
                <w:szCs w:val="21"/>
                <w:highlight w:val="none"/>
              </w:rPr>
              <w:t>分</w:t>
            </w:r>
          </w:p>
        </w:tc>
        <w:tc>
          <w:tcPr>
            <w:tcW w:w="6239" w:type="dxa"/>
            <w:gridSpan w:val="3"/>
            <w:shd w:val="clear" w:color="auto" w:fill="auto"/>
          </w:tcPr>
          <w:p>
            <w:pPr>
              <w:adjustRightInd w:val="0"/>
              <w:spacing w:line="360" w:lineRule="auto"/>
              <w:ind w:firstLine="420" w:firstLineChars="200"/>
              <w:textAlignment w:val="baseline"/>
              <w:rPr>
                <w:rFonts w:ascii="宋体" w:hAnsi="Times New Roman" w:eastAsia="宋体" w:cs="Times New Roman"/>
                <w:szCs w:val="21"/>
                <w:highlight w:val="none"/>
              </w:rPr>
            </w:pPr>
            <w:r>
              <w:rPr>
                <w:rFonts w:hint="eastAsia" w:ascii="宋体" w:hAnsi="宋体" w:eastAsia="宋体" w:cs="宋体"/>
                <w:szCs w:val="21"/>
                <w:highlight w:val="none"/>
              </w:rPr>
              <w:t>投标价得分计算公式示例：</w:t>
            </w:r>
          </w:p>
          <w:p>
            <w:pPr>
              <w:adjustRightInd w:val="0"/>
              <w:spacing w:line="360" w:lineRule="auto"/>
              <w:ind w:firstLine="420" w:firstLineChars="200"/>
              <w:textAlignment w:val="baseline"/>
              <w:rPr>
                <w:rFonts w:ascii="宋体" w:hAnsi="Times New Roman" w:eastAsia="宋体" w:cs="Times New Roman"/>
                <w:szCs w:val="21"/>
                <w:highlight w:val="none"/>
              </w:rPr>
            </w:pPr>
            <w:r>
              <w:rPr>
                <w:rFonts w:hint="eastAsia" w:ascii="宋体" w:hAnsi="宋体" w:eastAsia="宋体" w:cs="宋体"/>
                <w:szCs w:val="21"/>
                <w:highlight w:val="none"/>
              </w:rPr>
              <w:t>（</w:t>
            </w:r>
            <w:r>
              <w:rPr>
                <w:rFonts w:ascii="宋体" w:hAnsi="宋体" w:eastAsia="宋体" w:cs="宋体"/>
                <w:szCs w:val="21"/>
                <w:highlight w:val="none"/>
              </w:rPr>
              <w:t>1</w:t>
            </w:r>
            <w:r>
              <w:rPr>
                <w:rFonts w:hint="eastAsia" w:ascii="宋体" w:hAnsi="宋体" w:eastAsia="宋体" w:cs="宋体"/>
                <w:szCs w:val="21"/>
                <w:highlight w:val="none"/>
              </w:rPr>
              <w:t>）如果投标人的</w:t>
            </w:r>
            <w:r>
              <w:rPr>
                <w:rFonts w:ascii="宋体" w:hAnsi="宋体" w:eastAsia="宋体" w:cs="MingLiU"/>
                <w:szCs w:val="21"/>
                <w:highlight w:val="none"/>
                <w:lang w:val="zh-TW" w:eastAsia="zh-TW" w:bidi="zh-TW"/>
              </w:rPr>
              <w:t>评标价</w:t>
            </w:r>
            <w:r>
              <w:rPr>
                <w:rFonts w:hint="eastAsia" w:ascii="宋体" w:hAnsi="宋体" w:eastAsia="宋体" w:cs="宋体"/>
                <w:szCs w:val="21"/>
                <w:highlight w:val="none"/>
              </w:rPr>
              <w:t>＞评标基准价，则</w:t>
            </w:r>
            <w:r>
              <w:rPr>
                <w:rFonts w:ascii="宋体" w:hAnsi="宋体" w:eastAsia="宋体" w:cs="MingLiU"/>
                <w:szCs w:val="21"/>
                <w:highlight w:val="none"/>
                <w:lang w:val="zh-TW" w:eastAsia="zh-TW" w:bidi="zh-TW"/>
              </w:rPr>
              <w:t>评标价</w:t>
            </w:r>
            <w:r>
              <w:rPr>
                <w:rFonts w:hint="eastAsia" w:ascii="宋体" w:hAnsi="宋体" w:eastAsia="宋体" w:cs="宋体"/>
                <w:szCs w:val="21"/>
                <w:highlight w:val="none"/>
              </w:rPr>
              <w:t>得分</w:t>
            </w:r>
            <w:r>
              <w:rPr>
                <w:rFonts w:ascii="宋体" w:hAnsi="宋体" w:eastAsia="宋体" w:cs="宋体"/>
                <w:szCs w:val="21"/>
                <w:highlight w:val="none"/>
              </w:rPr>
              <w:t>=</w:t>
            </w:r>
            <w:r>
              <w:rPr>
                <w:rFonts w:ascii="宋体" w:hAnsi="宋体" w:eastAsia="宋体" w:cs="宋体"/>
                <w:i/>
                <w:iCs/>
                <w:szCs w:val="21"/>
                <w:highlight w:val="none"/>
              </w:rPr>
              <w:t>F</w:t>
            </w:r>
            <w:r>
              <w:rPr>
                <w:rFonts w:ascii="宋体" w:hAnsi="Times New Roman" w:eastAsia="宋体" w:cs="宋体"/>
                <w:szCs w:val="21"/>
                <w:highlight w:val="none"/>
              </w:rPr>
              <w:t>-偏差率</w:t>
            </w:r>
            <w:r>
              <w:rPr>
                <w:rFonts w:hint="eastAsia" w:ascii="宋体" w:hAnsi="宋体" w:eastAsia="宋体" w:cs="宋体"/>
                <w:szCs w:val="21"/>
                <w:highlight w:val="none"/>
              </w:rPr>
              <w:t>×</w:t>
            </w:r>
            <w:r>
              <w:rPr>
                <w:rFonts w:ascii="宋体" w:hAnsi="宋体" w:eastAsia="宋体" w:cs="宋体"/>
                <w:szCs w:val="21"/>
                <w:highlight w:val="none"/>
              </w:rPr>
              <w:t>100</w:t>
            </w:r>
            <w:r>
              <w:rPr>
                <w:rFonts w:hint="eastAsia" w:ascii="宋体" w:hAnsi="宋体" w:eastAsia="宋体" w:cs="宋体"/>
                <w:szCs w:val="21"/>
                <w:highlight w:val="none"/>
              </w:rPr>
              <w:t>×</w:t>
            </w:r>
            <w:r>
              <w:rPr>
                <w:rFonts w:ascii="宋体" w:hAnsi="宋体" w:eastAsia="宋体" w:cs="宋体"/>
                <w:i/>
                <w:iCs/>
                <w:szCs w:val="21"/>
                <w:highlight w:val="none"/>
              </w:rPr>
              <w:t>E</w:t>
            </w:r>
            <w:r>
              <w:rPr>
                <w:rFonts w:ascii="宋体" w:hAnsi="宋体" w:eastAsia="宋体" w:cs="宋体"/>
                <w:szCs w:val="21"/>
                <w:highlight w:val="none"/>
                <w:vertAlign w:val="subscript"/>
              </w:rPr>
              <w:t>1</w:t>
            </w:r>
            <w:r>
              <w:rPr>
                <w:rFonts w:hint="eastAsia" w:ascii="宋体" w:hAnsi="宋体" w:eastAsia="宋体" w:cs="宋体"/>
                <w:szCs w:val="21"/>
                <w:highlight w:val="none"/>
              </w:rPr>
              <w:t>；</w:t>
            </w:r>
          </w:p>
          <w:p>
            <w:pPr>
              <w:adjustRightInd w:val="0"/>
              <w:spacing w:line="360" w:lineRule="auto"/>
              <w:ind w:firstLine="420" w:firstLineChars="200"/>
              <w:textAlignment w:val="baseline"/>
              <w:rPr>
                <w:rFonts w:ascii="宋体" w:hAnsi="Times New Roman" w:eastAsia="宋体" w:cs="Times New Roman"/>
                <w:szCs w:val="21"/>
                <w:highlight w:val="none"/>
              </w:rPr>
            </w:pPr>
            <w:r>
              <w:rPr>
                <w:rFonts w:hint="eastAsia" w:ascii="宋体" w:hAnsi="宋体" w:eastAsia="宋体" w:cs="宋体"/>
                <w:szCs w:val="21"/>
                <w:highlight w:val="none"/>
              </w:rPr>
              <w:t>（</w:t>
            </w:r>
            <w:r>
              <w:rPr>
                <w:rFonts w:ascii="宋体" w:hAnsi="宋体" w:eastAsia="宋体" w:cs="宋体"/>
                <w:szCs w:val="21"/>
                <w:highlight w:val="none"/>
              </w:rPr>
              <w:t>2</w:t>
            </w:r>
            <w:r>
              <w:rPr>
                <w:rFonts w:hint="eastAsia" w:ascii="宋体" w:hAnsi="宋体" w:eastAsia="宋体" w:cs="宋体"/>
                <w:szCs w:val="21"/>
                <w:highlight w:val="none"/>
              </w:rPr>
              <w:t>）如果投标人的</w:t>
            </w:r>
            <w:r>
              <w:rPr>
                <w:rFonts w:ascii="宋体" w:hAnsi="宋体" w:eastAsia="宋体" w:cs="MingLiU"/>
                <w:szCs w:val="21"/>
                <w:highlight w:val="none"/>
                <w:lang w:val="zh-TW" w:eastAsia="zh-TW" w:bidi="zh-TW"/>
              </w:rPr>
              <w:t>评标价</w:t>
            </w:r>
            <w:r>
              <w:rPr>
                <w:rFonts w:hint="eastAsia" w:ascii="宋体" w:hAnsi="宋体" w:eastAsia="宋体" w:cs="宋体"/>
                <w:szCs w:val="21"/>
                <w:highlight w:val="none"/>
              </w:rPr>
              <w:t>≤评标基准价，则</w:t>
            </w:r>
            <w:r>
              <w:rPr>
                <w:rFonts w:ascii="宋体" w:hAnsi="宋体" w:eastAsia="宋体" w:cs="MingLiU"/>
                <w:szCs w:val="21"/>
                <w:highlight w:val="none"/>
                <w:lang w:val="zh-TW" w:eastAsia="zh-TW" w:bidi="zh-TW"/>
              </w:rPr>
              <w:t>评标价</w:t>
            </w:r>
            <w:r>
              <w:rPr>
                <w:rFonts w:hint="eastAsia" w:ascii="宋体" w:hAnsi="宋体" w:eastAsia="宋体" w:cs="宋体"/>
                <w:szCs w:val="21"/>
                <w:highlight w:val="none"/>
              </w:rPr>
              <w:t>得分</w:t>
            </w:r>
            <w:r>
              <w:rPr>
                <w:rFonts w:ascii="宋体" w:hAnsi="宋体" w:eastAsia="宋体" w:cs="宋体"/>
                <w:szCs w:val="21"/>
                <w:highlight w:val="none"/>
              </w:rPr>
              <w:t>=</w:t>
            </w:r>
            <w:r>
              <w:rPr>
                <w:rFonts w:ascii="宋体" w:hAnsi="宋体" w:eastAsia="宋体" w:cs="宋体"/>
                <w:i/>
                <w:iCs/>
                <w:szCs w:val="21"/>
                <w:highlight w:val="none"/>
              </w:rPr>
              <w:t>F</w:t>
            </w:r>
            <w:r>
              <w:rPr>
                <w:rFonts w:ascii="宋体" w:hAnsi="宋体" w:eastAsia="宋体" w:cs="宋体"/>
                <w:szCs w:val="21"/>
                <w:highlight w:val="none"/>
              </w:rPr>
              <w:t>+</w:t>
            </w:r>
            <w:r>
              <w:rPr>
                <w:rFonts w:ascii="宋体" w:hAnsi="Times New Roman" w:eastAsia="宋体" w:cs="宋体"/>
                <w:szCs w:val="21"/>
                <w:highlight w:val="none"/>
              </w:rPr>
              <w:t>偏差率</w:t>
            </w:r>
            <w:r>
              <w:rPr>
                <w:rFonts w:hint="eastAsia" w:ascii="宋体" w:hAnsi="宋体" w:eastAsia="宋体" w:cs="宋体"/>
                <w:szCs w:val="21"/>
                <w:highlight w:val="none"/>
              </w:rPr>
              <w:t>×</w:t>
            </w:r>
            <w:r>
              <w:rPr>
                <w:rFonts w:ascii="宋体" w:hAnsi="宋体" w:eastAsia="宋体" w:cs="宋体"/>
                <w:szCs w:val="21"/>
                <w:highlight w:val="none"/>
              </w:rPr>
              <w:t>100</w:t>
            </w:r>
            <w:r>
              <w:rPr>
                <w:rFonts w:hint="eastAsia" w:ascii="宋体" w:hAnsi="宋体" w:eastAsia="宋体" w:cs="宋体"/>
                <w:szCs w:val="21"/>
                <w:highlight w:val="none"/>
              </w:rPr>
              <w:t>×</w:t>
            </w:r>
            <w:r>
              <w:rPr>
                <w:rFonts w:ascii="宋体" w:hAnsi="宋体" w:eastAsia="宋体" w:cs="宋体"/>
                <w:i/>
                <w:iCs/>
                <w:szCs w:val="21"/>
                <w:highlight w:val="none"/>
              </w:rPr>
              <w:t>E</w:t>
            </w:r>
            <w:r>
              <w:rPr>
                <w:rFonts w:ascii="宋体" w:hAnsi="宋体" w:eastAsia="宋体" w:cs="宋体"/>
                <w:szCs w:val="21"/>
                <w:highlight w:val="none"/>
                <w:vertAlign w:val="subscript"/>
              </w:rPr>
              <w:t>2</w:t>
            </w:r>
            <w:r>
              <w:rPr>
                <w:rFonts w:hint="eastAsia" w:ascii="宋体" w:hAnsi="宋体" w:eastAsia="宋体" w:cs="宋体"/>
                <w:szCs w:val="21"/>
                <w:highlight w:val="none"/>
              </w:rPr>
              <w:t>；</w:t>
            </w:r>
          </w:p>
          <w:p>
            <w:pPr>
              <w:adjustRightInd w:val="0"/>
              <w:spacing w:line="360" w:lineRule="auto"/>
              <w:ind w:firstLine="420" w:firstLineChars="200"/>
              <w:textAlignment w:val="baseline"/>
              <w:rPr>
                <w:rFonts w:ascii="宋体" w:hAnsi="Times New Roman" w:eastAsia="宋体" w:cs="Times New Roman"/>
                <w:szCs w:val="21"/>
                <w:highlight w:val="none"/>
              </w:rPr>
            </w:pPr>
            <w:r>
              <w:rPr>
                <w:rFonts w:hint="eastAsia" w:ascii="宋体" w:hAnsi="宋体" w:eastAsia="宋体" w:cs="宋体"/>
                <w:szCs w:val="21"/>
                <w:highlight w:val="none"/>
              </w:rPr>
              <w:t>其中，</w:t>
            </w:r>
            <w:r>
              <w:rPr>
                <w:rFonts w:ascii="宋体" w:hAnsi="宋体" w:eastAsia="宋体" w:cs="宋体"/>
                <w:i/>
                <w:iCs/>
                <w:szCs w:val="21"/>
                <w:highlight w:val="none"/>
              </w:rPr>
              <w:t>F</w:t>
            </w:r>
            <w:r>
              <w:rPr>
                <w:rFonts w:hint="eastAsia" w:ascii="宋体" w:hAnsi="宋体" w:eastAsia="宋体" w:cs="宋体"/>
                <w:i/>
                <w:iCs/>
                <w:szCs w:val="21"/>
                <w:highlight w:val="none"/>
              </w:rPr>
              <w:t>：</w:t>
            </w:r>
            <w:r>
              <w:rPr>
                <w:rFonts w:hint="eastAsia" w:ascii="宋体" w:hAnsi="宋体" w:eastAsia="宋体" w:cs="宋体"/>
                <w:szCs w:val="21"/>
                <w:highlight w:val="none"/>
              </w:rPr>
              <w:t>投标价所占的评分</w:t>
            </w:r>
            <w:r>
              <w:rPr>
                <w:rFonts w:hint="eastAsia" w:ascii="宋体" w:hAnsi="宋体" w:eastAsia="宋体" w:cs="宋体"/>
                <w:b/>
                <w:bCs/>
                <w:szCs w:val="21"/>
                <w:highlight w:val="none"/>
                <w:u w:val="single"/>
              </w:rPr>
              <w:t>满分值</w:t>
            </w:r>
            <w:r>
              <w:rPr>
                <w:rFonts w:ascii="宋体" w:hAnsi="宋体" w:eastAsia="宋体" w:cs="宋体"/>
                <w:b/>
                <w:bCs/>
                <w:szCs w:val="21"/>
                <w:highlight w:val="none"/>
                <w:u w:val="single"/>
              </w:rPr>
              <w:t>10</w:t>
            </w:r>
            <w:r>
              <w:rPr>
                <w:rFonts w:hint="eastAsia" w:ascii="宋体" w:hAnsi="宋体" w:eastAsia="宋体" w:cs="宋体"/>
                <w:b/>
                <w:bCs/>
                <w:szCs w:val="21"/>
                <w:highlight w:val="none"/>
                <w:u w:val="single"/>
              </w:rPr>
              <w:t>分</w:t>
            </w:r>
            <w:r>
              <w:rPr>
                <w:rFonts w:hint="eastAsia" w:ascii="宋体" w:hAnsi="宋体" w:eastAsia="宋体" w:cs="宋体"/>
                <w:szCs w:val="21"/>
                <w:highlight w:val="none"/>
              </w:rPr>
              <w:t>；</w:t>
            </w:r>
          </w:p>
          <w:p>
            <w:pPr>
              <w:adjustRightInd w:val="0"/>
              <w:spacing w:line="360" w:lineRule="auto"/>
              <w:ind w:left="420" w:leftChars="200"/>
              <w:textAlignment w:val="baseline"/>
              <w:rPr>
                <w:rFonts w:ascii="宋体" w:hAnsi="Times New Roman" w:eastAsia="宋体" w:cs="Times New Roman"/>
                <w:szCs w:val="21"/>
                <w:highlight w:val="none"/>
              </w:rPr>
            </w:pPr>
            <w:r>
              <w:rPr>
                <w:rFonts w:ascii="宋体" w:hAnsi="宋体" w:eastAsia="宋体" w:cs="宋体"/>
                <w:i/>
                <w:iCs/>
                <w:szCs w:val="21"/>
                <w:highlight w:val="none"/>
              </w:rPr>
              <w:t>E</w:t>
            </w:r>
            <w:r>
              <w:rPr>
                <w:rFonts w:ascii="宋体" w:hAnsi="宋体" w:eastAsia="宋体" w:cs="宋体"/>
                <w:szCs w:val="21"/>
                <w:highlight w:val="none"/>
                <w:vertAlign w:val="subscript"/>
              </w:rPr>
              <w:t>1</w:t>
            </w:r>
            <w:r>
              <w:rPr>
                <w:rFonts w:hint="eastAsia" w:ascii="宋体" w:hAnsi="宋体" w:eastAsia="宋体" w:cs="宋体"/>
                <w:szCs w:val="21"/>
                <w:highlight w:val="none"/>
              </w:rPr>
              <w:t>：投标价每高于评标基准价一个百分点的扣分值0.2分；</w:t>
            </w:r>
            <w:r>
              <w:rPr>
                <w:rFonts w:ascii="宋体" w:hAnsi="宋体" w:eastAsia="宋体" w:cs="宋体"/>
                <w:i/>
                <w:iCs/>
                <w:szCs w:val="21"/>
                <w:highlight w:val="none"/>
              </w:rPr>
              <w:t>E</w:t>
            </w:r>
            <w:r>
              <w:rPr>
                <w:rFonts w:ascii="宋体" w:hAnsi="宋体" w:eastAsia="宋体" w:cs="宋体"/>
                <w:szCs w:val="21"/>
                <w:highlight w:val="none"/>
                <w:vertAlign w:val="subscript"/>
              </w:rPr>
              <w:t>2</w:t>
            </w:r>
            <w:r>
              <w:rPr>
                <w:rFonts w:hint="eastAsia" w:ascii="宋体" w:hAnsi="宋体" w:eastAsia="宋体" w:cs="宋体"/>
                <w:szCs w:val="21"/>
                <w:highlight w:val="none"/>
              </w:rPr>
              <w:t>：投标价每低于评标基准价一个百分点的扣分值</w:t>
            </w:r>
            <w:r>
              <w:rPr>
                <w:rFonts w:ascii="宋体" w:hAnsi="宋体" w:eastAsia="宋体" w:cs="宋体"/>
                <w:szCs w:val="21"/>
                <w:highlight w:val="none"/>
              </w:rPr>
              <w:t>0.</w:t>
            </w:r>
            <w:r>
              <w:rPr>
                <w:rFonts w:hint="eastAsia" w:ascii="宋体" w:hAnsi="宋体" w:eastAsia="宋体" w:cs="宋体"/>
                <w:szCs w:val="21"/>
                <w:highlight w:val="none"/>
              </w:rPr>
              <w:t>1分。</w:t>
            </w:r>
          </w:p>
          <w:p>
            <w:pPr>
              <w:spacing w:line="360" w:lineRule="auto"/>
              <w:ind w:firstLine="420" w:firstLineChars="200"/>
              <w:rPr>
                <w:rFonts w:ascii="宋体" w:hAnsi="宋体" w:eastAsia="宋体" w:cs="Times New Roman"/>
                <w:kern w:val="20"/>
                <w:szCs w:val="21"/>
                <w:highlight w:val="none"/>
              </w:rPr>
            </w:pPr>
            <w:r>
              <w:rPr>
                <w:rFonts w:hint="eastAsia" w:ascii="宋体" w:hAnsi="宋体" w:eastAsia="宋体" w:cs="宋体"/>
                <w:szCs w:val="21"/>
                <w:highlight w:val="none"/>
              </w:rPr>
              <w:t>投标价得分最低得分为</w:t>
            </w:r>
            <w:r>
              <w:rPr>
                <w:rFonts w:hint="eastAsia" w:ascii="宋体" w:hAnsi="Times New Roman" w:eastAsia="宋体" w:cs="宋体"/>
                <w:szCs w:val="21"/>
                <w:highlight w:val="none"/>
              </w:rPr>
              <w:t>0</w:t>
            </w:r>
            <w:r>
              <w:rPr>
                <w:rFonts w:hint="eastAsia" w:ascii="宋体" w:hAnsi="宋体" w:eastAsia="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81" w:type="dxa"/>
            <w:gridSpan w:val="7"/>
            <w:shd w:val="clear" w:color="auto" w:fill="auto"/>
          </w:tcPr>
          <w:p>
            <w:pPr>
              <w:rPr>
                <w:rFonts w:ascii="宋体" w:hAnsi="宋体" w:eastAsia="宋体" w:cs="Times New Roman"/>
                <w:kern w:val="20"/>
                <w:szCs w:val="21"/>
                <w:highlight w:val="none"/>
              </w:rPr>
            </w:pPr>
            <w:r>
              <w:rPr>
                <w:rFonts w:hint="eastAsia" w:ascii="宋体" w:hAnsi="宋体" w:eastAsia="宋体" w:cs="Times New Roman"/>
                <w:kern w:val="20"/>
                <w:szCs w:val="21"/>
                <w:highlight w:val="none"/>
              </w:rPr>
              <w:t>需要补充的其他内容：无</w:t>
            </w:r>
          </w:p>
        </w:tc>
      </w:tr>
    </w:tbl>
    <w:p>
      <w:pPr>
        <w:rPr>
          <w:rFonts w:ascii="Times New Roman" w:hAnsi="Times New Roman" w:eastAsia="宋体" w:cs="Times New Roman"/>
          <w:szCs w:val="21"/>
          <w:highlight w:val="none"/>
        </w:rPr>
      </w:pPr>
      <w:bookmarkStart w:id="7" w:name="bookmark91"/>
    </w:p>
    <w:p>
      <w:pPr>
        <w:spacing w:line="360" w:lineRule="auto"/>
        <w:rPr>
          <w:rFonts w:ascii="黑体" w:hAnsi="黑体" w:eastAsia="黑体" w:cs="MingLiU"/>
          <w:spacing w:val="20"/>
          <w:szCs w:val="21"/>
          <w:highlight w:val="none"/>
          <w:lang w:val="zh-TW" w:bidi="zh-TW"/>
        </w:rPr>
      </w:pPr>
      <w:r>
        <w:rPr>
          <w:rFonts w:ascii="宋体" w:hAnsi="宋体" w:eastAsia="宋体" w:cs="MingLiU"/>
          <w:spacing w:val="20"/>
          <w:szCs w:val="21"/>
          <w:highlight w:val="none"/>
          <w:lang w:val="zh-TW" w:eastAsia="zh-TW" w:bidi="zh-TW"/>
        </w:rPr>
        <w:br w:type="page"/>
      </w:r>
      <w:r>
        <w:rPr>
          <w:rFonts w:hint="eastAsia" w:ascii="黑体" w:hAnsi="黑体" w:eastAsia="黑体" w:cs="MingLiU"/>
          <w:spacing w:val="20"/>
          <w:szCs w:val="21"/>
          <w:highlight w:val="none"/>
          <w:lang w:val="zh-TW" w:eastAsia="zh-TW" w:bidi="zh-TW"/>
        </w:rPr>
        <w:t>1.</w:t>
      </w:r>
      <w:r>
        <w:rPr>
          <w:rFonts w:ascii="黑体" w:hAnsi="黑体" w:eastAsia="黑体" w:cs="MingLiU"/>
          <w:spacing w:val="20"/>
          <w:szCs w:val="21"/>
          <w:highlight w:val="none"/>
          <w:lang w:val="zh-TW" w:eastAsia="zh-TW" w:bidi="zh-TW"/>
        </w:rPr>
        <w:t>评标方法</w:t>
      </w:r>
      <w:bookmarkEnd w:id="7"/>
    </w:p>
    <w:p>
      <w:pPr>
        <w:spacing w:line="360" w:lineRule="auto"/>
        <w:ind w:firstLine="499"/>
        <w:rPr>
          <w:rFonts w:ascii="宋体" w:hAnsi="宋体" w:eastAsia="宋体" w:cs="Times New Roman"/>
          <w:snapToGrid w:val="0"/>
          <w:kern w:val="0"/>
          <w:szCs w:val="21"/>
          <w:highlight w:val="none"/>
        </w:rPr>
      </w:pPr>
      <w:r>
        <w:rPr>
          <w:rFonts w:ascii="宋体" w:hAnsi="宋体" w:eastAsia="宋体" w:cs="Times New Roman"/>
          <w:snapToGrid w:val="0"/>
          <w:kern w:val="0"/>
          <w:szCs w:val="21"/>
          <w:highlight w:val="none"/>
        </w:rPr>
        <w:t>本次评标采用综合评估法。评标委员会对满足招标文件实质性要求的投标文件，按照本章第</w:t>
      </w:r>
      <w:r>
        <w:rPr>
          <w:rFonts w:ascii="宋体" w:hAnsi="宋体" w:eastAsia="宋体" w:cs="Times New Roman"/>
          <w:snapToGrid w:val="0"/>
          <w:kern w:val="0"/>
          <w:szCs w:val="21"/>
          <w:highlight w:val="none"/>
          <w:lang w:bidi="en-US"/>
        </w:rPr>
        <w:t>2.2</w:t>
      </w:r>
      <w:r>
        <w:rPr>
          <w:rFonts w:ascii="宋体" w:hAnsi="宋体" w:eastAsia="宋体" w:cs="Times New Roman"/>
          <w:snapToGrid w:val="0"/>
          <w:kern w:val="0"/>
          <w:szCs w:val="21"/>
          <w:highlight w:val="none"/>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360" w:lineRule="auto"/>
        <w:rPr>
          <w:rFonts w:ascii="黑体" w:hAnsi="黑体" w:eastAsia="黑体" w:cs="MingLiU"/>
          <w:spacing w:val="20"/>
          <w:szCs w:val="21"/>
          <w:highlight w:val="none"/>
          <w:lang w:val="zh-TW" w:eastAsia="zh-TW" w:bidi="zh-TW"/>
        </w:rPr>
      </w:pPr>
      <w:bookmarkStart w:id="8" w:name="bookmark92"/>
      <w:r>
        <w:rPr>
          <w:rFonts w:hint="eastAsia" w:ascii="黑体" w:hAnsi="黑体" w:eastAsia="黑体" w:cs="MingLiU"/>
          <w:spacing w:val="20"/>
          <w:szCs w:val="21"/>
          <w:highlight w:val="none"/>
          <w:lang w:val="zh-TW" w:eastAsia="zh-TW" w:bidi="zh-TW"/>
        </w:rPr>
        <w:t>2.</w:t>
      </w:r>
      <w:r>
        <w:rPr>
          <w:rFonts w:ascii="黑体" w:hAnsi="黑体" w:eastAsia="黑体" w:cs="MingLiU"/>
          <w:spacing w:val="20"/>
          <w:szCs w:val="21"/>
          <w:highlight w:val="none"/>
          <w:lang w:val="zh-TW" w:eastAsia="zh-TW" w:bidi="zh-TW"/>
        </w:rPr>
        <w:t>评审标准</w:t>
      </w:r>
      <w:bookmarkEnd w:id="8"/>
    </w:p>
    <w:p>
      <w:pPr>
        <w:spacing w:line="360" w:lineRule="auto"/>
        <w:rPr>
          <w:rFonts w:ascii="宋体" w:hAnsi="宋体" w:eastAsia="宋体" w:cs="Times New Roman"/>
          <w:b/>
          <w:kern w:val="0"/>
          <w:szCs w:val="21"/>
          <w:highlight w:val="none"/>
          <w:lang w:val="zh-TW" w:bidi="zh-TW"/>
        </w:rPr>
      </w:pPr>
      <w:r>
        <w:rPr>
          <w:rFonts w:ascii="宋体" w:hAnsi="宋体" w:eastAsia="宋体" w:cs="MingLiU"/>
          <w:kern w:val="0"/>
          <w:szCs w:val="21"/>
          <w:highlight w:val="none"/>
          <w:lang w:val="zh-TW" w:eastAsia="zh-TW" w:bidi="en-US"/>
        </w:rPr>
        <w:t>2.1</w:t>
      </w:r>
      <w:r>
        <w:rPr>
          <w:rFonts w:ascii="宋体" w:hAnsi="宋体" w:eastAsia="宋体" w:cs="MingLiU"/>
          <w:kern w:val="0"/>
          <w:szCs w:val="21"/>
          <w:highlight w:val="none"/>
          <w:lang w:val="zh-TW" w:eastAsia="zh-TW" w:bidi="zh-TW"/>
        </w:rPr>
        <w:t>初步评审标准</w:t>
      </w:r>
    </w:p>
    <w:p>
      <w:pPr>
        <w:spacing w:line="360" w:lineRule="auto"/>
        <w:ind w:firstLine="500"/>
        <w:rPr>
          <w:rFonts w:ascii="宋体" w:hAnsi="宋体" w:eastAsia="宋体" w:cs="Times New Roman"/>
          <w:kern w:val="0"/>
          <w:szCs w:val="21"/>
          <w:highlight w:val="none"/>
        </w:rPr>
      </w:pPr>
      <w:r>
        <w:rPr>
          <w:rFonts w:ascii="宋体" w:hAnsi="宋体" w:eastAsia="宋体" w:cs="Lucida Sans Unicode"/>
          <w:bCs/>
          <w:kern w:val="0"/>
          <w:szCs w:val="21"/>
          <w:highlight w:val="none"/>
          <w:lang w:bidi="en-US"/>
        </w:rPr>
        <w:t>2</w:t>
      </w:r>
      <w:r>
        <w:rPr>
          <w:rFonts w:ascii="宋体" w:hAnsi="宋体" w:eastAsia="宋体" w:cs="CordiaUPC"/>
          <w:b/>
          <w:kern w:val="0"/>
          <w:szCs w:val="21"/>
          <w:highlight w:val="none"/>
          <w:lang w:bidi="en-US"/>
        </w:rPr>
        <w:t>.</w:t>
      </w:r>
      <w:r>
        <w:rPr>
          <w:rFonts w:ascii="宋体" w:hAnsi="宋体" w:eastAsia="宋体" w:cs="Lucida Sans Unicode"/>
          <w:bCs/>
          <w:kern w:val="0"/>
          <w:szCs w:val="21"/>
          <w:highlight w:val="none"/>
          <w:lang w:bidi="en-US"/>
        </w:rPr>
        <w:t>1.1</w:t>
      </w:r>
      <w:r>
        <w:rPr>
          <w:rFonts w:ascii="宋体" w:hAnsi="宋体" w:eastAsia="宋体" w:cs="Times New Roman"/>
          <w:kern w:val="0"/>
          <w:szCs w:val="21"/>
          <w:highlight w:val="none"/>
        </w:rPr>
        <w:t>形式评审标准：见评标办法前附表。</w:t>
      </w:r>
    </w:p>
    <w:p>
      <w:pPr>
        <w:spacing w:line="360" w:lineRule="auto"/>
        <w:ind w:firstLine="500"/>
        <w:rPr>
          <w:rFonts w:ascii="宋体" w:hAnsi="宋体" w:eastAsia="宋体" w:cs="Times New Roman"/>
          <w:kern w:val="0"/>
          <w:szCs w:val="21"/>
          <w:highlight w:val="none"/>
        </w:rPr>
      </w:pPr>
      <w:r>
        <w:rPr>
          <w:rFonts w:ascii="宋体" w:hAnsi="宋体" w:eastAsia="宋体" w:cs="Lucida Sans Unicode"/>
          <w:bCs/>
          <w:kern w:val="0"/>
          <w:szCs w:val="21"/>
          <w:highlight w:val="none"/>
          <w:lang w:bidi="en-US"/>
        </w:rPr>
        <w:t>2</w:t>
      </w:r>
      <w:r>
        <w:rPr>
          <w:rFonts w:ascii="宋体" w:hAnsi="宋体" w:eastAsia="宋体" w:cs="CordiaUPC"/>
          <w:b/>
          <w:kern w:val="0"/>
          <w:szCs w:val="21"/>
          <w:highlight w:val="none"/>
          <w:lang w:bidi="en-US"/>
        </w:rPr>
        <w:t>.</w:t>
      </w:r>
      <w:r>
        <w:rPr>
          <w:rFonts w:ascii="宋体" w:hAnsi="宋体" w:eastAsia="宋体" w:cs="Lucida Sans Unicode"/>
          <w:bCs/>
          <w:kern w:val="0"/>
          <w:szCs w:val="21"/>
          <w:highlight w:val="none"/>
          <w:lang w:bidi="en-US"/>
        </w:rPr>
        <w:t>1.2</w:t>
      </w:r>
      <w:r>
        <w:rPr>
          <w:rFonts w:ascii="宋体" w:hAnsi="宋体" w:eastAsia="宋体" w:cs="Times New Roman"/>
          <w:kern w:val="0"/>
          <w:szCs w:val="21"/>
          <w:highlight w:val="none"/>
        </w:rPr>
        <w:t>资格评审标准：见评标办法前附表（适用于未进行资格预审的）。</w:t>
      </w:r>
    </w:p>
    <w:p>
      <w:pPr>
        <w:spacing w:line="360" w:lineRule="auto"/>
        <w:ind w:firstLine="500"/>
        <w:rPr>
          <w:rFonts w:ascii="宋体" w:hAnsi="宋体" w:eastAsia="宋体" w:cs="Times New Roman"/>
          <w:kern w:val="0"/>
          <w:szCs w:val="21"/>
          <w:highlight w:val="none"/>
        </w:rPr>
      </w:pPr>
      <w:r>
        <w:rPr>
          <w:rFonts w:ascii="宋体" w:hAnsi="宋体" w:eastAsia="宋体" w:cs="Lucida Sans Unicode"/>
          <w:bCs/>
          <w:kern w:val="0"/>
          <w:szCs w:val="21"/>
          <w:highlight w:val="none"/>
          <w:lang w:bidi="en-US"/>
        </w:rPr>
        <w:t>2</w:t>
      </w:r>
      <w:r>
        <w:rPr>
          <w:rFonts w:ascii="宋体" w:hAnsi="宋体" w:eastAsia="宋体" w:cs="CordiaUPC"/>
          <w:b/>
          <w:kern w:val="0"/>
          <w:szCs w:val="21"/>
          <w:highlight w:val="none"/>
          <w:lang w:bidi="en-US"/>
        </w:rPr>
        <w:t>.</w:t>
      </w:r>
      <w:r>
        <w:rPr>
          <w:rFonts w:ascii="宋体" w:hAnsi="宋体" w:eastAsia="宋体" w:cs="Lucida Sans Unicode"/>
          <w:bCs/>
          <w:kern w:val="0"/>
          <w:szCs w:val="21"/>
          <w:highlight w:val="none"/>
          <w:lang w:bidi="en-US"/>
        </w:rPr>
        <w:t>1.2</w:t>
      </w:r>
      <w:r>
        <w:rPr>
          <w:rFonts w:ascii="宋体" w:hAnsi="宋体" w:eastAsia="宋体" w:cs="Times New Roman"/>
          <w:kern w:val="0"/>
          <w:szCs w:val="21"/>
          <w:highlight w:val="none"/>
        </w:rPr>
        <w:t>资格评审标准：见资格预审文件第三章“资格审查办法”详细审查标准（适用于己进行资格预审的）。</w:t>
      </w:r>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lang w:bidi="en-US"/>
        </w:rPr>
        <w:t>2.1.3</w:t>
      </w:r>
      <w:r>
        <w:rPr>
          <w:rFonts w:ascii="宋体" w:hAnsi="宋体" w:eastAsia="宋体" w:cs="Times New Roman"/>
          <w:kern w:val="0"/>
          <w:szCs w:val="21"/>
          <w:highlight w:val="none"/>
        </w:rPr>
        <w:t>响应性评审标准：见评标办法前附表。</w:t>
      </w:r>
    </w:p>
    <w:p>
      <w:pPr>
        <w:tabs>
          <w:tab w:val="left" w:pos="354"/>
        </w:tabs>
        <w:spacing w:line="360" w:lineRule="auto"/>
        <w:rPr>
          <w:rFonts w:ascii="宋体" w:hAnsi="宋体" w:eastAsia="宋体" w:cs="Times New Roman"/>
          <w:b/>
          <w:spacing w:val="20"/>
          <w:kern w:val="0"/>
          <w:szCs w:val="21"/>
          <w:highlight w:val="none"/>
        </w:rPr>
      </w:pPr>
      <w:r>
        <w:rPr>
          <w:rFonts w:hint="eastAsia" w:ascii="宋体" w:hAnsi="宋体" w:eastAsia="宋体" w:cs="MingLiU"/>
          <w:kern w:val="0"/>
          <w:szCs w:val="21"/>
          <w:highlight w:val="none"/>
          <w:lang w:val="zh-TW" w:eastAsia="zh-TW" w:bidi="zh-TW"/>
        </w:rPr>
        <w:t>2.</w:t>
      </w:r>
      <w:r>
        <w:rPr>
          <w:rFonts w:ascii="宋体" w:hAnsi="宋体" w:eastAsia="宋体" w:cs="MingLiU"/>
          <w:kern w:val="0"/>
          <w:szCs w:val="21"/>
          <w:highlight w:val="none"/>
          <w:lang w:val="zh-TW" w:eastAsia="zh-TW" w:bidi="zh-TW"/>
        </w:rPr>
        <w:t>2分值构成与评分标准</w:t>
      </w:r>
    </w:p>
    <w:p>
      <w:pPr>
        <w:spacing w:line="360" w:lineRule="auto"/>
        <w:ind w:firstLine="500"/>
        <w:rPr>
          <w:rFonts w:ascii="宋体" w:hAnsi="宋体" w:eastAsia="宋体" w:cs="Times New Roman"/>
          <w:b/>
          <w:spacing w:val="20"/>
          <w:kern w:val="0"/>
          <w:szCs w:val="21"/>
          <w:highlight w:val="none"/>
        </w:rPr>
      </w:pPr>
      <w:r>
        <w:rPr>
          <w:rFonts w:ascii="宋体" w:hAnsi="宋体" w:eastAsia="宋体" w:cs="Lucida Sans Unicode"/>
          <w:bCs/>
          <w:kern w:val="0"/>
          <w:szCs w:val="21"/>
          <w:highlight w:val="none"/>
          <w:lang w:bidi="en-US"/>
        </w:rPr>
        <w:t>2</w:t>
      </w:r>
      <w:r>
        <w:rPr>
          <w:rFonts w:ascii="宋体" w:hAnsi="宋体" w:eastAsia="宋体" w:cs="CordiaUPC"/>
          <w:b/>
          <w:kern w:val="0"/>
          <w:szCs w:val="21"/>
          <w:highlight w:val="none"/>
          <w:lang w:bidi="en-US"/>
        </w:rPr>
        <w:t>.</w:t>
      </w:r>
      <w:r>
        <w:rPr>
          <w:rFonts w:ascii="宋体" w:hAnsi="宋体" w:eastAsia="宋体" w:cs="Lucida Sans Unicode"/>
          <w:bCs/>
          <w:kern w:val="0"/>
          <w:szCs w:val="21"/>
          <w:highlight w:val="none"/>
          <w:lang w:bidi="en-US"/>
        </w:rPr>
        <w:t>2.1</w:t>
      </w:r>
      <w:r>
        <w:rPr>
          <w:rFonts w:ascii="宋体" w:hAnsi="宋体" w:eastAsia="宋体" w:cs="MingLiU"/>
          <w:kern w:val="0"/>
          <w:szCs w:val="21"/>
          <w:highlight w:val="none"/>
          <w:lang w:val="zh-TW" w:eastAsia="zh-TW" w:bidi="zh-TW"/>
        </w:rPr>
        <w:t>分值构成</w:t>
      </w:r>
    </w:p>
    <w:p>
      <w:pPr>
        <w:numPr>
          <w:ilvl w:val="0"/>
          <w:numId w:val="4"/>
        </w:numPr>
        <w:tabs>
          <w:tab w:val="left" w:pos="567"/>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技术建议书：见评标办法前附表；</w:t>
      </w:r>
    </w:p>
    <w:p>
      <w:pPr>
        <w:numPr>
          <w:ilvl w:val="0"/>
          <w:numId w:val="4"/>
        </w:numPr>
        <w:tabs>
          <w:tab w:val="left" w:pos="567"/>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主要人员：见评标办法前附表；</w:t>
      </w:r>
    </w:p>
    <w:p>
      <w:pPr>
        <w:numPr>
          <w:ilvl w:val="0"/>
          <w:numId w:val="4"/>
        </w:numPr>
        <w:tabs>
          <w:tab w:val="left" w:pos="567"/>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评标价：见评标办法前附表；</w:t>
      </w:r>
    </w:p>
    <w:p>
      <w:pPr>
        <w:numPr>
          <w:ilvl w:val="0"/>
          <w:numId w:val="4"/>
        </w:numPr>
        <w:tabs>
          <w:tab w:val="left" w:pos="567"/>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其他评分因素：见评标办法前附表。</w:t>
      </w:r>
    </w:p>
    <w:p>
      <w:pPr>
        <w:spacing w:line="360" w:lineRule="auto"/>
        <w:ind w:firstLine="500"/>
        <w:rPr>
          <w:rFonts w:ascii="宋体" w:hAnsi="宋体" w:eastAsia="宋体" w:cs="Times New Roman"/>
          <w:b/>
          <w:spacing w:val="20"/>
          <w:kern w:val="0"/>
          <w:szCs w:val="21"/>
          <w:highlight w:val="none"/>
        </w:rPr>
      </w:pPr>
      <w:r>
        <w:rPr>
          <w:rFonts w:ascii="宋体" w:hAnsi="宋体" w:eastAsia="宋体" w:cs="Lucida Sans Unicode"/>
          <w:bCs/>
          <w:kern w:val="0"/>
          <w:szCs w:val="21"/>
          <w:highlight w:val="none"/>
          <w:lang w:bidi="en-US"/>
        </w:rPr>
        <w:t>2</w:t>
      </w:r>
      <w:r>
        <w:rPr>
          <w:rFonts w:ascii="宋体" w:hAnsi="宋体" w:eastAsia="宋体" w:cs="CordiaUPC"/>
          <w:b/>
          <w:kern w:val="0"/>
          <w:szCs w:val="21"/>
          <w:highlight w:val="none"/>
          <w:lang w:bidi="en-US"/>
        </w:rPr>
        <w:t>.</w:t>
      </w:r>
      <w:r>
        <w:rPr>
          <w:rFonts w:ascii="宋体" w:hAnsi="宋体" w:eastAsia="宋体" w:cs="Lucida Sans Unicode"/>
          <w:bCs/>
          <w:kern w:val="0"/>
          <w:szCs w:val="21"/>
          <w:highlight w:val="none"/>
          <w:lang w:bidi="en-US"/>
        </w:rPr>
        <w:t>2.2</w:t>
      </w:r>
      <w:r>
        <w:rPr>
          <w:rFonts w:ascii="宋体" w:hAnsi="宋体" w:eastAsia="宋体" w:cs="MingLiU"/>
          <w:kern w:val="0"/>
          <w:szCs w:val="21"/>
          <w:highlight w:val="none"/>
          <w:lang w:val="zh-TW" w:eastAsia="zh-TW" w:bidi="zh-TW"/>
        </w:rPr>
        <w:t>评标基准价计算</w:t>
      </w:r>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rPr>
        <w:t>评标基准价计算方法：见评标办法前附表。</w:t>
      </w:r>
    </w:p>
    <w:p>
      <w:pPr>
        <w:spacing w:line="360" w:lineRule="auto"/>
        <w:ind w:firstLine="500"/>
        <w:rPr>
          <w:rFonts w:ascii="宋体" w:hAnsi="宋体" w:eastAsia="宋体" w:cs="Times New Roman"/>
          <w:b/>
          <w:spacing w:val="20"/>
          <w:kern w:val="0"/>
          <w:szCs w:val="21"/>
          <w:highlight w:val="none"/>
        </w:rPr>
      </w:pPr>
      <w:r>
        <w:rPr>
          <w:rFonts w:ascii="宋体" w:hAnsi="宋体" w:eastAsia="宋体" w:cs="Lucida Sans Unicode"/>
          <w:bCs/>
          <w:kern w:val="0"/>
          <w:szCs w:val="21"/>
          <w:highlight w:val="none"/>
          <w:lang w:bidi="en-US"/>
        </w:rPr>
        <w:t>2.2.3</w:t>
      </w:r>
      <w:r>
        <w:rPr>
          <w:rFonts w:ascii="宋体" w:hAnsi="宋体" w:eastAsia="宋体" w:cs="MingLiU"/>
          <w:kern w:val="0"/>
          <w:szCs w:val="21"/>
          <w:highlight w:val="none"/>
          <w:lang w:val="zh-TW" w:eastAsia="zh-TW" w:bidi="zh-TW"/>
        </w:rPr>
        <w:t>评标价的偏差率计算</w:t>
      </w:r>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rPr>
        <w:t>评标价的偏差率计算公式：见评标办法前附表。</w:t>
      </w:r>
    </w:p>
    <w:p>
      <w:pPr>
        <w:spacing w:line="360" w:lineRule="auto"/>
        <w:ind w:firstLine="500"/>
        <w:rPr>
          <w:rFonts w:ascii="宋体" w:hAnsi="宋体" w:eastAsia="宋体" w:cs="Times New Roman"/>
          <w:b/>
          <w:spacing w:val="20"/>
          <w:kern w:val="0"/>
          <w:szCs w:val="21"/>
          <w:highlight w:val="none"/>
        </w:rPr>
      </w:pPr>
      <w:r>
        <w:rPr>
          <w:rFonts w:ascii="宋体" w:hAnsi="宋体" w:eastAsia="宋体" w:cs="Lucida Sans Unicode"/>
          <w:bCs/>
          <w:kern w:val="0"/>
          <w:szCs w:val="21"/>
          <w:highlight w:val="none"/>
          <w:lang w:eastAsia="en-US" w:bidi="en-US"/>
        </w:rPr>
        <w:t>2.2.4</w:t>
      </w:r>
      <w:r>
        <w:rPr>
          <w:rFonts w:ascii="宋体" w:hAnsi="宋体" w:eastAsia="宋体" w:cs="MingLiU"/>
          <w:kern w:val="0"/>
          <w:szCs w:val="21"/>
          <w:highlight w:val="none"/>
          <w:lang w:val="zh-TW" w:eastAsia="zh-TW" w:bidi="zh-TW"/>
        </w:rPr>
        <w:t>评分标准</w:t>
      </w:r>
    </w:p>
    <w:p>
      <w:pPr>
        <w:numPr>
          <w:ilvl w:val="0"/>
          <w:numId w:val="5"/>
        </w:numPr>
        <w:tabs>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技术建议书评分标准：见评标办法前附表;</w:t>
      </w:r>
    </w:p>
    <w:p>
      <w:pPr>
        <w:numPr>
          <w:ilvl w:val="0"/>
          <w:numId w:val="5"/>
        </w:numPr>
        <w:tabs>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主要人员评分标准：见评标办法前附表；</w:t>
      </w:r>
    </w:p>
    <w:p>
      <w:pPr>
        <w:numPr>
          <w:ilvl w:val="0"/>
          <w:numId w:val="5"/>
        </w:numPr>
        <w:tabs>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评标价评分标准：见评标办法前附表；</w:t>
      </w:r>
    </w:p>
    <w:p>
      <w:pPr>
        <w:numPr>
          <w:ilvl w:val="0"/>
          <w:numId w:val="5"/>
        </w:numPr>
        <w:tabs>
          <w:tab w:val="left" w:pos="993"/>
          <w:tab w:val="left" w:pos="1134"/>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其他因素评分标准：见评标办法前附表。</w:t>
      </w:r>
      <w:bookmarkStart w:id="9" w:name="bookmark93"/>
    </w:p>
    <w:p>
      <w:pPr>
        <w:spacing w:line="360" w:lineRule="auto"/>
        <w:rPr>
          <w:rFonts w:ascii="黑体" w:hAnsi="黑体" w:eastAsia="黑体" w:cs="MingLiU"/>
          <w:spacing w:val="20"/>
          <w:szCs w:val="21"/>
          <w:highlight w:val="none"/>
          <w:lang w:val="zh-TW" w:bidi="zh-TW"/>
        </w:rPr>
      </w:pPr>
      <w:r>
        <w:rPr>
          <w:rFonts w:hint="eastAsia" w:ascii="黑体" w:hAnsi="黑体" w:eastAsia="黑体" w:cs="MingLiU"/>
          <w:spacing w:val="20"/>
          <w:szCs w:val="21"/>
          <w:highlight w:val="none"/>
          <w:lang w:val="zh-TW" w:bidi="zh-TW"/>
        </w:rPr>
        <w:t>3.</w:t>
      </w:r>
      <w:r>
        <w:rPr>
          <w:rFonts w:ascii="黑体" w:hAnsi="黑体" w:eastAsia="黑体" w:cs="MingLiU"/>
          <w:spacing w:val="20"/>
          <w:szCs w:val="21"/>
          <w:highlight w:val="none"/>
          <w:lang w:val="zh-TW" w:eastAsia="zh-TW" w:bidi="zh-TW"/>
        </w:rPr>
        <w:t>评标程序</w:t>
      </w:r>
      <w:bookmarkEnd w:id="9"/>
    </w:p>
    <w:p>
      <w:pPr>
        <w:spacing w:line="360" w:lineRule="auto"/>
        <w:rPr>
          <w:rFonts w:ascii="宋体" w:hAnsi="宋体" w:eastAsia="宋体" w:cs="MingLiU"/>
          <w:b/>
          <w:szCs w:val="21"/>
          <w:highlight w:val="none"/>
          <w:lang w:val="zh-TW" w:bidi="zh-TW"/>
        </w:rPr>
      </w:pPr>
      <w:bookmarkStart w:id="10" w:name="bookmark94"/>
      <w:r>
        <w:rPr>
          <w:rFonts w:hint="eastAsia" w:ascii="宋体" w:hAnsi="宋体" w:eastAsia="宋体" w:cs="MingLiU"/>
          <w:b/>
          <w:szCs w:val="21"/>
          <w:highlight w:val="none"/>
          <w:lang w:val="zh-TW" w:eastAsia="zh-TW" w:bidi="zh-TW"/>
        </w:rPr>
        <w:t>3.1</w:t>
      </w:r>
      <w:r>
        <w:rPr>
          <w:rFonts w:ascii="宋体" w:hAnsi="宋体" w:eastAsia="宋体" w:cs="MingLiU"/>
          <w:b/>
          <w:szCs w:val="21"/>
          <w:highlight w:val="none"/>
          <w:lang w:val="zh-TW" w:eastAsia="zh-TW" w:bidi="zh-TW"/>
        </w:rPr>
        <w:t>第一个信封初步评审</w:t>
      </w:r>
      <w:bookmarkEnd w:id="10"/>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3.1.1</w:t>
      </w:r>
      <w:r>
        <w:rPr>
          <w:rFonts w:ascii="宋体" w:hAnsi="宋体" w:eastAsia="宋体" w:cs="Times New Roman"/>
          <w:kern w:val="0"/>
          <w:szCs w:val="21"/>
          <w:highlight w:val="none"/>
        </w:rPr>
        <w:t>评标委员会可以要求投标人提交第二章“投标人须知”第</w:t>
      </w:r>
      <w:r>
        <w:rPr>
          <w:rFonts w:hint="eastAsia" w:ascii="宋体" w:hAnsi="宋体" w:eastAsia="宋体" w:cs="Times New Roman"/>
          <w:kern w:val="0"/>
          <w:szCs w:val="21"/>
          <w:highlight w:val="none"/>
          <w:lang w:bidi="en-US"/>
        </w:rPr>
        <w:t>3.</w:t>
      </w:r>
      <w:r>
        <w:rPr>
          <w:rFonts w:ascii="宋体" w:hAnsi="宋体" w:eastAsia="宋体" w:cs="Times New Roman"/>
          <w:kern w:val="0"/>
          <w:szCs w:val="21"/>
          <w:highlight w:val="none"/>
          <w:lang w:bidi="en-US"/>
        </w:rPr>
        <w:t>5.1</w:t>
      </w:r>
      <w:r>
        <w:rPr>
          <w:rFonts w:ascii="宋体" w:hAnsi="宋体" w:eastAsia="宋体" w:cs="Times New Roman"/>
          <w:kern w:val="0"/>
          <w:szCs w:val="21"/>
          <w:highlight w:val="none"/>
        </w:rPr>
        <w:t>项至第</w:t>
      </w:r>
      <w:r>
        <w:rPr>
          <w:rFonts w:ascii="宋体" w:hAnsi="宋体" w:eastAsia="宋体" w:cs="Times New Roman"/>
          <w:kern w:val="0"/>
          <w:szCs w:val="21"/>
          <w:highlight w:val="none"/>
          <w:lang w:bidi="en-US"/>
        </w:rPr>
        <w:t xml:space="preserve">3.5.5 </w:t>
      </w:r>
      <w:r>
        <w:rPr>
          <w:rFonts w:ascii="宋体" w:hAnsi="宋体" w:eastAsia="宋体" w:cs="Times New Roman"/>
          <w:kern w:val="0"/>
          <w:szCs w:val="21"/>
          <w:highlight w:val="none"/>
        </w:rPr>
        <w:t>项规定的有关证明和证件的原件，以便核验。评标委员会依据本章第</w:t>
      </w:r>
      <w:r>
        <w:rPr>
          <w:rFonts w:ascii="宋体" w:hAnsi="宋体" w:eastAsia="宋体" w:cs="Times New Roman"/>
          <w:kern w:val="0"/>
          <w:szCs w:val="21"/>
          <w:highlight w:val="none"/>
          <w:lang w:bidi="en-US"/>
        </w:rPr>
        <w:t>2.1</w:t>
      </w:r>
      <w:r>
        <w:rPr>
          <w:rFonts w:ascii="宋体" w:hAnsi="宋体" w:eastAsia="宋体" w:cs="Times New Roman"/>
          <w:kern w:val="0"/>
          <w:szCs w:val="21"/>
          <w:highlight w:val="none"/>
        </w:rPr>
        <w:t>款规定的标准对投标文件第一个信封（商务及技术文件）进行初步评审。有一项不符合评审标准的，评标委员会应否决其投标。（适用于未进行资格预审的）</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3.1.</w:t>
      </w:r>
      <w:r>
        <w:rPr>
          <w:rFonts w:hint="eastAsia" w:ascii="宋体" w:hAnsi="宋体" w:eastAsia="宋体" w:cs="Times New Roman"/>
          <w:kern w:val="0"/>
          <w:szCs w:val="21"/>
          <w:highlight w:val="none"/>
          <w:lang w:bidi="en-US"/>
        </w:rPr>
        <w:t>2</w:t>
      </w:r>
      <w:r>
        <w:rPr>
          <w:rFonts w:ascii="宋体" w:hAnsi="宋体" w:eastAsia="宋体" w:cs="Times New Roman"/>
          <w:kern w:val="0"/>
          <w:szCs w:val="21"/>
          <w:highlight w:val="none"/>
        </w:rPr>
        <w:t>评标委员会依据本章第</w:t>
      </w:r>
      <w:r>
        <w:rPr>
          <w:rFonts w:ascii="宋体" w:hAnsi="宋体" w:eastAsia="宋体" w:cs="Times New Roman"/>
          <w:kern w:val="0"/>
          <w:szCs w:val="21"/>
          <w:highlight w:val="none"/>
          <w:lang w:bidi="en-US"/>
        </w:rPr>
        <w:t>2.1.1</w:t>
      </w:r>
      <w:r>
        <w:rPr>
          <w:rFonts w:ascii="宋体" w:hAnsi="宋体" w:eastAsia="宋体" w:cs="Times New Roman"/>
          <w:kern w:val="0"/>
          <w:szCs w:val="21"/>
          <w:highlight w:val="none"/>
        </w:rPr>
        <w:t>项、第</w:t>
      </w:r>
      <w:r>
        <w:rPr>
          <w:rFonts w:ascii="宋体" w:hAnsi="宋体" w:eastAsia="宋体" w:cs="Times New Roman"/>
          <w:kern w:val="0"/>
          <w:szCs w:val="21"/>
          <w:highlight w:val="none"/>
          <w:lang w:bidi="en-US"/>
        </w:rPr>
        <w:t>2.1.3</w:t>
      </w:r>
      <w:r>
        <w:rPr>
          <w:rFonts w:ascii="宋体" w:hAnsi="宋体" w:eastAsia="宋体" w:cs="Times New Roman"/>
          <w:kern w:val="0"/>
          <w:szCs w:val="21"/>
          <w:highlight w:val="none"/>
        </w:rPr>
        <w:t>项规定的评审标准对投标文件第一个信封（商务及技术文件）进行初步评审。有一项不符合评审标准的，评标委员会应否决其投标。当投标人资格预审申请文件的内容发生重大变化时，评标委员会依据本章第</w:t>
      </w:r>
      <w:r>
        <w:rPr>
          <w:rFonts w:ascii="宋体" w:hAnsi="宋体" w:eastAsia="宋体" w:cs="Times New Roman"/>
          <w:kern w:val="0"/>
          <w:szCs w:val="21"/>
          <w:highlight w:val="none"/>
          <w:lang w:bidi="en-US"/>
        </w:rPr>
        <w:t>2.1.2</w:t>
      </w:r>
      <w:r>
        <w:rPr>
          <w:rFonts w:ascii="宋体" w:hAnsi="宋体" w:eastAsia="宋体" w:cs="Times New Roman"/>
          <w:kern w:val="0"/>
          <w:szCs w:val="21"/>
          <w:highlight w:val="none"/>
        </w:rPr>
        <w:t>项规定的标准对其更新资料进行评审。（适用于己进行资格预审的）</w:t>
      </w:r>
    </w:p>
    <w:p>
      <w:pPr>
        <w:spacing w:line="360" w:lineRule="auto"/>
        <w:rPr>
          <w:rFonts w:ascii="宋体" w:hAnsi="宋体" w:eastAsia="宋体" w:cs="Times New Roman"/>
          <w:b/>
          <w:szCs w:val="21"/>
          <w:highlight w:val="none"/>
        </w:rPr>
      </w:pPr>
      <w:bookmarkStart w:id="11" w:name="bookmark95"/>
      <w:r>
        <w:rPr>
          <w:rFonts w:hint="eastAsia" w:ascii="宋体" w:hAnsi="宋体" w:eastAsia="宋体" w:cs="MingLiU"/>
          <w:b/>
          <w:szCs w:val="21"/>
          <w:highlight w:val="none"/>
          <w:lang w:val="zh-TW" w:eastAsia="zh-TW" w:bidi="zh-TW"/>
        </w:rPr>
        <w:t>3.2</w:t>
      </w:r>
      <w:r>
        <w:rPr>
          <w:rFonts w:ascii="宋体" w:hAnsi="宋体" w:eastAsia="宋体" w:cs="MingLiU"/>
          <w:b/>
          <w:szCs w:val="21"/>
          <w:highlight w:val="none"/>
          <w:lang w:val="zh-TW" w:eastAsia="zh-TW" w:bidi="zh-TW"/>
        </w:rPr>
        <w:t>第一个信封详细评审</w:t>
      </w:r>
      <w:bookmarkEnd w:id="11"/>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3.2.1</w:t>
      </w:r>
      <w:r>
        <w:rPr>
          <w:rFonts w:ascii="宋体" w:hAnsi="宋体" w:eastAsia="宋体" w:cs="Times New Roman"/>
          <w:kern w:val="0"/>
          <w:szCs w:val="21"/>
          <w:highlight w:val="none"/>
        </w:rPr>
        <w:t>评标委员会按本章第</w:t>
      </w:r>
      <w:r>
        <w:rPr>
          <w:rFonts w:ascii="宋体" w:hAnsi="宋体" w:eastAsia="宋体" w:cs="Times New Roman"/>
          <w:kern w:val="0"/>
          <w:szCs w:val="21"/>
          <w:highlight w:val="none"/>
          <w:lang w:bidi="en-US"/>
        </w:rPr>
        <w:t>2.2</w:t>
      </w:r>
      <w:r>
        <w:rPr>
          <w:rFonts w:ascii="宋体" w:hAnsi="宋体" w:eastAsia="宋体" w:cs="Times New Roman"/>
          <w:kern w:val="0"/>
          <w:szCs w:val="21"/>
          <w:highlight w:val="none"/>
        </w:rPr>
        <w:t>款规定的量化因素和分值进行打分，并计算出各投标人的商务和技术得分。</w:t>
      </w:r>
    </w:p>
    <w:p>
      <w:pPr>
        <w:numPr>
          <w:ilvl w:val="0"/>
          <w:numId w:val="6"/>
        </w:numPr>
        <w:tabs>
          <w:tab w:val="left" w:pos="426"/>
          <w:tab w:val="left" w:pos="851"/>
          <w:tab w:val="left" w:pos="993"/>
        </w:tabs>
        <w:spacing w:line="360" w:lineRule="auto"/>
        <w:ind w:firstLine="424" w:firstLineChars="202"/>
        <w:jc w:val="left"/>
        <w:rPr>
          <w:rFonts w:ascii="宋体" w:hAnsi="宋体" w:eastAsia="宋体" w:cs="Times New Roman"/>
          <w:kern w:val="0"/>
          <w:szCs w:val="21"/>
          <w:highlight w:val="none"/>
        </w:rPr>
      </w:pPr>
      <w:r>
        <w:rPr>
          <w:rFonts w:ascii="宋体" w:hAnsi="宋体" w:eastAsia="宋体" w:cs="Times New Roman"/>
          <w:kern w:val="0"/>
          <w:szCs w:val="21"/>
          <w:highlight w:val="none"/>
        </w:rPr>
        <w:t>按本章第</w:t>
      </w:r>
      <w:r>
        <w:rPr>
          <w:rFonts w:ascii="宋体" w:hAnsi="宋体" w:eastAsia="宋体" w:cs="Times New Roman"/>
          <w:kern w:val="0"/>
          <w:szCs w:val="21"/>
          <w:highlight w:val="none"/>
          <w:lang w:bidi="en-US"/>
        </w:rPr>
        <w:t>2.2.4</w:t>
      </w:r>
      <w:r>
        <w:rPr>
          <w:rFonts w:ascii="宋体" w:hAnsi="宋体" w:eastAsia="宋体" w:cs="Times New Roman"/>
          <w:kern w:val="0"/>
          <w:szCs w:val="21"/>
          <w:highlight w:val="none"/>
        </w:rPr>
        <w:t>项</w:t>
      </w:r>
      <w:r>
        <w:rPr>
          <w:rFonts w:ascii="宋体" w:hAnsi="宋体" w:eastAsia="宋体" w:cs="Times New Roman"/>
          <w:kern w:val="0"/>
          <w:szCs w:val="21"/>
          <w:highlight w:val="none"/>
          <w:lang w:bidi="en-US"/>
        </w:rPr>
        <w:t>（1）</w:t>
      </w:r>
      <w:r>
        <w:rPr>
          <w:rFonts w:ascii="宋体" w:hAnsi="宋体" w:eastAsia="宋体" w:cs="Times New Roman"/>
          <w:kern w:val="0"/>
          <w:szCs w:val="21"/>
          <w:highlight w:val="none"/>
        </w:rPr>
        <w:t>目规定的评审因素和分值对技术建议书部分计算出得分</w:t>
      </w:r>
      <w:r>
        <w:rPr>
          <w:rFonts w:ascii="Lucida Sans Unicode" w:hAnsi="Lucida Sans Unicode" w:eastAsia="Lucida Sans Unicode" w:cs="Lucida Sans Unicode"/>
          <w:b/>
          <w:bCs/>
          <w:kern w:val="0"/>
          <w:szCs w:val="21"/>
          <w:highlight w:val="none"/>
          <w:lang w:bidi="en-US"/>
        </w:rPr>
        <w:t>A</w:t>
      </w:r>
      <w:r>
        <w:rPr>
          <w:rFonts w:hint="eastAsia" w:ascii="宋体" w:hAnsi="宋体" w:eastAsia="宋体" w:cs="Times New Roman"/>
          <w:kern w:val="0"/>
          <w:szCs w:val="21"/>
          <w:highlight w:val="none"/>
          <w:lang w:bidi="en-US"/>
        </w:rPr>
        <w:t>；</w:t>
      </w:r>
    </w:p>
    <w:p>
      <w:pPr>
        <w:numPr>
          <w:ilvl w:val="0"/>
          <w:numId w:val="6"/>
        </w:numPr>
        <w:tabs>
          <w:tab w:val="left" w:pos="426"/>
          <w:tab w:val="left" w:pos="851"/>
          <w:tab w:val="left" w:pos="993"/>
          <w:tab w:val="left" w:pos="1169"/>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按本章第</w:t>
      </w:r>
      <w:r>
        <w:rPr>
          <w:rFonts w:ascii="宋体" w:hAnsi="宋体" w:eastAsia="宋体" w:cs="Times New Roman"/>
          <w:kern w:val="0"/>
          <w:szCs w:val="21"/>
          <w:highlight w:val="none"/>
          <w:lang w:bidi="en-US"/>
        </w:rPr>
        <w:t>2.2.4</w:t>
      </w:r>
      <w:r>
        <w:rPr>
          <w:rFonts w:ascii="宋体" w:hAnsi="宋体" w:eastAsia="宋体" w:cs="Times New Roman"/>
          <w:kern w:val="0"/>
          <w:szCs w:val="21"/>
          <w:highlight w:val="none"/>
        </w:rPr>
        <w:t>项</w:t>
      </w:r>
      <w:r>
        <w:rPr>
          <w:rFonts w:ascii="宋体" w:hAnsi="宋体" w:eastAsia="宋体" w:cs="Times New Roman"/>
          <w:kern w:val="0"/>
          <w:szCs w:val="21"/>
          <w:highlight w:val="none"/>
          <w:lang w:bidi="en-US"/>
        </w:rPr>
        <w:t>（2）</w:t>
      </w:r>
      <w:r>
        <w:rPr>
          <w:rFonts w:ascii="宋体" w:hAnsi="宋体" w:eastAsia="宋体" w:cs="Times New Roman"/>
          <w:kern w:val="0"/>
          <w:szCs w:val="21"/>
          <w:highlight w:val="none"/>
        </w:rPr>
        <w:t>目规定的评审因素和分值对主要人员部分计算出得分</w:t>
      </w:r>
      <w:r>
        <w:rPr>
          <w:rFonts w:ascii="Lucida Sans Unicode" w:hAnsi="Lucida Sans Unicode" w:eastAsia="Lucida Sans Unicode" w:cs="Lucida Sans Unicode"/>
          <w:b/>
          <w:bCs/>
          <w:kern w:val="0"/>
          <w:szCs w:val="21"/>
          <w:highlight w:val="none"/>
          <w:lang w:bidi="en-US"/>
        </w:rPr>
        <w:t>B</w:t>
      </w:r>
      <w:r>
        <w:rPr>
          <w:rFonts w:hint="eastAsia" w:ascii="宋体" w:hAnsi="宋体" w:eastAsia="宋体" w:cs="Times New Roman"/>
          <w:kern w:val="0"/>
          <w:szCs w:val="21"/>
          <w:highlight w:val="none"/>
          <w:lang w:bidi="en-US"/>
        </w:rPr>
        <w:t>；</w:t>
      </w:r>
    </w:p>
    <w:p>
      <w:pPr>
        <w:numPr>
          <w:ilvl w:val="0"/>
          <w:numId w:val="6"/>
        </w:numPr>
        <w:tabs>
          <w:tab w:val="left" w:pos="426"/>
          <w:tab w:val="left" w:pos="851"/>
          <w:tab w:val="left" w:pos="993"/>
          <w:tab w:val="left" w:pos="1176"/>
        </w:tabs>
        <w:spacing w:line="360" w:lineRule="auto"/>
        <w:ind w:firstLine="424" w:firstLineChars="202"/>
        <w:jc w:val="left"/>
        <w:rPr>
          <w:rFonts w:ascii="宋体" w:hAnsi="宋体" w:eastAsia="宋体" w:cs="Times New Roman"/>
          <w:kern w:val="0"/>
          <w:szCs w:val="21"/>
          <w:highlight w:val="none"/>
        </w:rPr>
      </w:pPr>
      <w:r>
        <w:rPr>
          <w:rFonts w:ascii="宋体" w:hAnsi="宋体" w:eastAsia="宋体" w:cs="Times New Roman"/>
          <w:kern w:val="0"/>
          <w:szCs w:val="21"/>
          <w:highlight w:val="none"/>
        </w:rPr>
        <w:t>按本章第</w:t>
      </w:r>
      <w:r>
        <w:rPr>
          <w:rFonts w:ascii="宋体" w:hAnsi="宋体" w:eastAsia="宋体" w:cs="Times New Roman"/>
          <w:kern w:val="0"/>
          <w:szCs w:val="21"/>
          <w:highlight w:val="none"/>
          <w:lang w:bidi="en-US"/>
        </w:rPr>
        <w:t>2.2.4</w:t>
      </w:r>
      <w:r>
        <w:rPr>
          <w:rFonts w:ascii="宋体" w:hAnsi="宋体" w:eastAsia="宋体" w:cs="Times New Roman"/>
          <w:kern w:val="0"/>
          <w:szCs w:val="21"/>
          <w:highlight w:val="none"/>
        </w:rPr>
        <w:t>项</w:t>
      </w:r>
      <w:r>
        <w:rPr>
          <w:rFonts w:ascii="宋体" w:hAnsi="宋体" w:eastAsia="宋体" w:cs="Times New Roman"/>
          <w:kern w:val="0"/>
          <w:szCs w:val="21"/>
          <w:highlight w:val="none"/>
          <w:lang w:bidi="en-US"/>
        </w:rPr>
        <w:t>（4）</w:t>
      </w:r>
      <w:r>
        <w:rPr>
          <w:rFonts w:ascii="宋体" w:hAnsi="宋体" w:eastAsia="宋体" w:cs="Times New Roman"/>
          <w:kern w:val="0"/>
          <w:szCs w:val="21"/>
          <w:highlight w:val="none"/>
        </w:rPr>
        <w:t>目规定的评审因素和分值对其他部分计算出得分</w:t>
      </w:r>
      <w:r>
        <w:rPr>
          <w:rFonts w:ascii="Lucida Sans Unicode" w:hAnsi="Lucida Sans Unicode" w:eastAsia="Lucida Sans Unicode" w:cs="Lucida Sans Unicode"/>
          <w:b/>
          <w:bCs/>
          <w:kern w:val="0"/>
          <w:szCs w:val="21"/>
          <w:highlight w:val="none"/>
          <w:lang w:bidi="en-US"/>
        </w:rPr>
        <w:t>D</w:t>
      </w:r>
      <w:r>
        <w:rPr>
          <w:rFonts w:ascii="宋体" w:hAnsi="宋体" w:eastAsia="宋体" w:cs="Times New Roman"/>
          <w:kern w:val="0"/>
          <w:szCs w:val="21"/>
          <w:highlight w:val="none"/>
          <w:lang w:bidi="en-US"/>
        </w:rPr>
        <w:t xml:space="preserve">。 </w:t>
      </w:r>
    </w:p>
    <w:p>
      <w:pPr>
        <w:spacing w:line="360" w:lineRule="auto"/>
        <w:ind w:firstLine="520"/>
        <w:rPr>
          <w:rFonts w:ascii="宋体" w:hAnsi="宋体" w:eastAsia="宋体" w:cs="Times New Roman"/>
          <w:kern w:val="0"/>
          <w:szCs w:val="21"/>
          <w:highlight w:val="none"/>
          <w:lang w:bidi="en-US"/>
        </w:rPr>
      </w:pPr>
      <w:r>
        <w:rPr>
          <w:rFonts w:ascii="宋体" w:hAnsi="宋体" w:eastAsia="宋体" w:cs="Times New Roman"/>
          <w:kern w:val="0"/>
          <w:szCs w:val="21"/>
          <w:highlight w:val="none"/>
          <w:lang w:bidi="en-US"/>
        </w:rPr>
        <w:t>3.2.2投标人的商务和技术得分分值计算保留小数点后两位，小数点后第三位“四舍五入”。</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3.2.3</w:t>
      </w:r>
      <w:r>
        <w:rPr>
          <w:rFonts w:ascii="宋体" w:hAnsi="宋体" w:eastAsia="宋体" w:cs="Times New Roman"/>
          <w:kern w:val="0"/>
          <w:szCs w:val="21"/>
          <w:highlight w:val="none"/>
        </w:rPr>
        <w:t>投标人的商务和技术得分</w:t>
      </w:r>
      <w:r>
        <w:rPr>
          <w:rFonts w:ascii="宋体" w:hAnsi="宋体" w:eastAsia="宋体" w:cs="Times New Roman"/>
          <w:kern w:val="0"/>
          <w:szCs w:val="21"/>
          <w:highlight w:val="none"/>
          <w:lang w:bidi="en-US"/>
        </w:rPr>
        <w:t>=</w:t>
      </w:r>
      <w:r>
        <w:rPr>
          <w:rFonts w:ascii="Lucida Sans Unicode" w:hAnsi="Lucida Sans Unicode" w:eastAsia="Lucida Sans Unicode" w:cs="Lucida Sans Unicode"/>
          <w:b/>
          <w:bCs/>
          <w:kern w:val="0"/>
          <w:szCs w:val="21"/>
          <w:highlight w:val="none"/>
          <w:lang w:bidi="en-US"/>
        </w:rPr>
        <w:t>A</w:t>
      </w:r>
      <w:r>
        <w:rPr>
          <w:rFonts w:ascii="宋体" w:hAnsi="宋体" w:eastAsia="宋体" w:cs="Times New Roman"/>
          <w:kern w:val="0"/>
          <w:szCs w:val="21"/>
          <w:highlight w:val="none"/>
          <w:lang w:bidi="en-US"/>
        </w:rPr>
        <w:t>+</w:t>
      </w:r>
      <w:r>
        <w:rPr>
          <w:rFonts w:ascii="Lucida Sans Unicode" w:hAnsi="Lucida Sans Unicode" w:eastAsia="Lucida Sans Unicode" w:cs="Lucida Sans Unicode"/>
          <w:b/>
          <w:bCs/>
          <w:kern w:val="0"/>
          <w:szCs w:val="21"/>
          <w:highlight w:val="none"/>
          <w:lang w:bidi="en-US"/>
        </w:rPr>
        <w:t>B</w:t>
      </w:r>
      <w:r>
        <w:rPr>
          <w:rFonts w:ascii="宋体" w:hAnsi="宋体" w:eastAsia="宋体" w:cs="Times New Roman"/>
          <w:kern w:val="0"/>
          <w:szCs w:val="21"/>
          <w:highlight w:val="none"/>
          <w:lang w:bidi="en-US"/>
        </w:rPr>
        <w:t>+</w:t>
      </w:r>
      <w:r>
        <w:rPr>
          <w:rFonts w:ascii="Lucida Sans Unicode" w:hAnsi="Lucida Sans Unicode" w:eastAsia="Lucida Sans Unicode" w:cs="Lucida Sans Unicode"/>
          <w:b/>
          <w:bCs/>
          <w:kern w:val="0"/>
          <w:szCs w:val="21"/>
          <w:highlight w:val="none"/>
          <w:lang w:bidi="en-US"/>
        </w:rPr>
        <w:t>D</w:t>
      </w:r>
      <w:r>
        <w:rPr>
          <w:rFonts w:ascii="宋体" w:hAnsi="宋体" w:eastAsia="宋体" w:cs="Times New Roman"/>
          <w:kern w:val="0"/>
          <w:szCs w:val="21"/>
          <w:highlight w:val="none"/>
          <w:lang w:bidi="en-US"/>
        </w:rPr>
        <w:t>。</w:t>
      </w:r>
    </w:p>
    <w:p>
      <w:pPr>
        <w:spacing w:line="360" w:lineRule="auto"/>
        <w:rPr>
          <w:rFonts w:ascii="宋体" w:hAnsi="宋体" w:eastAsia="宋体" w:cs="Times New Roman"/>
          <w:b/>
          <w:szCs w:val="21"/>
          <w:highlight w:val="none"/>
        </w:rPr>
      </w:pPr>
      <w:bookmarkStart w:id="12" w:name="bookmark96"/>
      <w:r>
        <w:rPr>
          <w:rFonts w:hint="eastAsia" w:ascii="宋体" w:hAnsi="宋体" w:eastAsia="宋体" w:cs="MingLiU"/>
          <w:b/>
          <w:szCs w:val="21"/>
          <w:highlight w:val="none"/>
          <w:lang w:val="zh-TW" w:eastAsia="zh-TW" w:bidi="zh-TW"/>
        </w:rPr>
        <w:t>3.3</w:t>
      </w:r>
      <w:r>
        <w:rPr>
          <w:rFonts w:ascii="宋体" w:hAnsi="宋体" w:eastAsia="宋体" w:cs="MingLiU"/>
          <w:b/>
          <w:szCs w:val="21"/>
          <w:highlight w:val="none"/>
          <w:lang w:val="zh-TW" w:eastAsia="zh-TW" w:bidi="zh-TW"/>
        </w:rPr>
        <w:t>第二个信封开标</w:t>
      </w:r>
      <w:bookmarkEnd w:id="12"/>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rPr>
        <w:t>第一个信封（商务及技术文件）评审结束后，招标人将按照第二章“投标人须知”第</w:t>
      </w:r>
      <w:r>
        <w:rPr>
          <w:rFonts w:ascii="宋体" w:hAnsi="宋体" w:eastAsia="宋体" w:cs="Times New Roman"/>
          <w:kern w:val="0"/>
          <w:szCs w:val="21"/>
          <w:highlight w:val="none"/>
          <w:lang w:bidi="en-US"/>
        </w:rPr>
        <w:t>5.1</w:t>
      </w:r>
      <w:r>
        <w:rPr>
          <w:rFonts w:ascii="宋体" w:hAnsi="宋体" w:eastAsia="宋体" w:cs="Times New Roman"/>
          <w:kern w:val="0"/>
          <w:szCs w:val="21"/>
          <w:highlight w:val="none"/>
        </w:rPr>
        <w:t>款规定的时间和地点对通过投标文件第一个信封（商务及技术文件）评审的投标文件第二个信封（报价文件）进行开标。</w:t>
      </w:r>
    </w:p>
    <w:p>
      <w:pPr>
        <w:spacing w:line="360" w:lineRule="auto"/>
        <w:rPr>
          <w:rFonts w:ascii="宋体" w:hAnsi="宋体" w:eastAsia="宋体" w:cs="Times New Roman"/>
          <w:b/>
          <w:szCs w:val="21"/>
          <w:highlight w:val="none"/>
        </w:rPr>
      </w:pPr>
      <w:bookmarkStart w:id="13" w:name="bookmark97"/>
      <w:r>
        <w:rPr>
          <w:rFonts w:hint="eastAsia" w:ascii="宋体" w:hAnsi="宋体" w:eastAsia="宋体" w:cs="MingLiU"/>
          <w:b/>
          <w:szCs w:val="21"/>
          <w:highlight w:val="none"/>
          <w:lang w:val="zh-TW" w:eastAsia="zh-TW" w:bidi="zh-TW"/>
        </w:rPr>
        <w:t>3.4</w:t>
      </w:r>
      <w:r>
        <w:rPr>
          <w:rFonts w:ascii="宋体" w:hAnsi="宋体" w:eastAsia="宋体" w:cs="MingLiU"/>
          <w:b/>
          <w:szCs w:val="21"/>
          <w:highlight w:val="none"/>
          <w:lang w:val="zh-TW" w:eastAsia="zh-TW" w:bidi="zh-TW"/>
        </w:rPr>
        <w:t>第二个信封初步评审</w:t>
      </w:r>
      <w:bookmarkEnd w:id="13"/>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3.4.1</w:t>
      </w:r>
      <w:r>
        <w:rPr>
          <w:rFonts w:ascii="宋体" w:hAnsi="宋体" w:eastAsia="宋体" w:cs="Times New Roman"/>
          <w:kern w:val="0"/>
          <w:szCs w:val="21"/>
          <w:highlight w:val="none"/>
        </w:rPr>
        <w:t>评标委员会依据本章第</w:t>
      </w:r>
      <w:r>
        <w:rPr>
          <w:rFonts w:ascii="宋体" w:hAnsi="宋体" w:eastAsia="宋体" w:cs="Times New Roman"/>
          <w:kern w:val="0"/>
          <w:szCs w:val="21"/>
          <w:highlight w:val="none"/>
          <w:lang w:bidi="en-US"/>
        </w:rPr>
        <w:t>2.1.1</w:t>
      </w:r>
      <w:r>
        <w:rPr>
          <w:rFonts w:ascii="宋体" w:hAnsi="宋体" w:eastAsia="宋体" w:cs="Times New Roman"/>
          <w:kern w:val="0"/>
          <w:szCs w:val="21"/>
          <w:highlight w:val="none"/>
        </w:rPr>
        <w:t>项、第</w:t>
      </w:r>
      <w:r>
        <w:rPr>
          <w:rFonts w:ascii="宋体" w:hAnsi="宋体" w:eastAsia="宋体" w:cs="Times New Roman"/>
          <w:kern w:val="0"/>
          <w:szCs w:val="21"/>
          <w:highlight w:val="none"/>
          <w:lang w:bidi="en-US"/>
        </w:rPr>
        <w:t>2.1.3</w:t>
      </w:r>
      <w:r>
        <w:rPr>
          <w:rFonts w:ascii="宋体" w:hAnsi="宋体" w:eastAsia="宋体" w:cs="Times New Roman"/>
          <w:kern w:val="0"/>
          <w:szCs w:val="21"/>
          <w:highlight w:val="none"/>
        </w:rPr>
        <w:t>项规定的评审标准对投标文件第二个信封（报价文件）进行初步评审。有一项不符合评审标准的，评标委员会应否决其投标。</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3.4.2</w:t>
      </w:r>
      <w:r>
        <w:rPr>
          <w:rFonts w:ascii="宋体" w:hAnsi="宋体" w:eastAsia="宋体" w:cs="Times New Roman"/>
          <w:kern w:val="0"/>
          <w:szCs w:val="21"/>
          <w:highlight w:val="none"/>
        </w:rPr>
        <w:t>投标报价有算术错误的，评标委员会按以下原则对投标报价进行修正，修正的价格经投标人书面确认后具有约束力。投标人不接受修正价格的，评标委员会应否决其投标。</w:t>
      </w:r>
    </w:p>
    <w:p>
      <w:pPr>
        <w:numPr>
          <w:ilvl w:val="0"/>
          <w:numId w:val="7"/>
        </w:numPr>
        <w:tabs>
          <w:tab w:val="left" w:pos="567"/>
          <w:tab w:val="left" w:pos="851"/>
          <w:tab w:val="left" w:pos="993"/>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投标文件中的大写金额与小写金额不一致的，以大写金额为准；</w:t>
      </w:r>
    </w:p>
    <w:p>
      <w:pPr>
        <w:numPr>
          <w:ilvl w:val="0"/>
          <w:numId w:val="7"/>
        </w:numPr>
        <w:tabs>
          <w:tab w:val="left" w:pos="567"/>
          <w:tab w:val="left" w:pos="851"/>
          <w:tab w:val="left" w:pos="993"/>
        </w:tabs>
        <w:spacing w:line="360" w:lineRule="auto"/>
        <w:ind w:firstLine="424" w:firstLineChars="202"/>
        <w:jc w:val="left"/>
        <w:rPr>
          <w:rFonts w:ascii="宋体" w:hAnsi="宋体" w:eastAsia="宋体" w:cs="Times New Roman"/>
          <w:kern w:val="0"/>
          <w:szCs w:val="21"/>
          <w:highlight w:val="none"/>
        </w:rPr>
      </w:pPr>
      <w:r>
        <w:rPr>
          <w:rFonts w:ascii="宋体" w:hAnsi="宋体" w:eastAsia="宋体" w:cs="Times New Roman"/>
          <w:kern w:val="0"/>
          <w:szCs w:val="21"/>
          <w:highlight w:val="none"/>
        </w:rPr>
        <w:t>总价金额与依据单价计算出的结果不一致的，以单价金额为准修正总价，但单价金额小数点有明显错误的除外；</w:t>
      </w:r>
    </w:p>
    <w:p>
      <w:pPr>
        <w:numPr>
          <w:ilvl w:val="0"/>
          <w:numId w:val="7"/>
        </w:numPr>
        <w:tabs>
          <w:tab w:val="left" w:pos="567"/>
          <w:tab w:val="left" w:pos="851"/>
          <w:tab w:val="left" w:pos="993"/>
        </w:tabs>
        <w:spacing w:line="360" w:lineRule="auto"/>
        <w:ind w:firstLine="424" w:firstLineChars="202"/>
        <w:jc w:val="left"/>
        <w:rPr>
          <w:rFonts w:ascii="宋体" w:hAnsi="宋体" w:eastAsia="宋体" w:cs="Times New Roman"/>
          <w:kern w:val="0"/>
          <w:szCs w:val="21"/>
          <w:highlight w:val="none"/>
        </w:rPr>
      </w:pPr>
      <w:r>
        <w:rPr>
          <w:rFonts w:ascii="宋体" w:hAnsi="宋体" w:eastAsia="宋体" w:cs="Times New Roman"/>
          <w:kern w:val="0"/>
          <w:szCs w:val="21"/>
          <w:highlight w:val="none"/>
        </w:rPr>
        <w:t>当单价与数量相乘不等于合价时，以单价计算为准，如果单价有明显的小数点位置差错，应以标出的合价为准，同时对单价予以修正；</w:t>
      </w:r>
    </w:p>
    <w:p>
      <w:pPr>
        <w:numPr>
          <w:ilvl w:val="0"/>
          <w:numId w:val="7"/>
        </w:numPr>
        <w:tabs>
          <w:tab w:val="left" w:pos="567"/>
          <w:tab w:val="left" w:pos="851"/>
          <w:tab w:val="left" w:pos="993"/>
        </w:tabs>
        <w:spacing w:line="360" w:lineRule="auto"/>
        <w:ind w:firstLine="424" w:firstLineChars="202"/>
        <w:jc w:val="left"/>
        <w:rPr>
          <w:rFonts w:ascii="宋体" w:hAnsi="宋体" w:eastAsia="宋体" w:cs="Times New Roman"/>
          <w:kern w:val="0"/>
          <w:szCs w:val="21"/>
          <w:highlight w:val="none"/>
        </w:rPr>
      </w:pPr>
      <w:r>
        <w:rPr>
          <w:rFonts w:ascii="宋体" w:hAnsi="宋体" w:eastAsia="宋体" w:cs="Times New Roman"/>
          <w:kern w:val="0"/>
          <w:szCs w:val="21"/>
          <w:highlight w:val="none"/>
        </w:rPr>
        <w:t>当各子目的合价累计不等于总价时，应以各子目合价累计数为准，修正总价。</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3.4.3</w:t>
      </w:r>
      <w:r>
        <w:rPr>
          <w:rFonts w:ascii="宋体" w:hAnsi="宋体" w:eastAsia="宋体" w:cs="Times New Roman"/>
          <w:kern w:val="0"/>
          <w:szCs w:val="21"/>
          <w:highlight w:val="none"/>
        </w:rPr>
        <w:t>修正后的最终投标报价若超过最高投标限价（如有），评标委员会应否决其投标。</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3.4.4</w:t>
      </w:r>
      <w:r>
        <w:rPr>
          <w:rFonts w:ascii="宋体" w:hAnsi="宋体" w:eastAsia="宋体" w:cs="Times New Roman"/>
          <w:kern w:val="0"/>
          <w:szCs w:val="21"/>
          <w:highlight w:val="none"/>
        </w:rPr>
        <w:t>修正后的最终投标报价仅作为签订合同的一个依据，不参与评标价得分的计算。</w:t>
      </w:r>
    </w:p>
    <w:p>
      <w:pPr>
        <w:spacing w:line="360" w:lineRule="auto"/>
        <w:rPr>
          <w:rFonts w:ascii="Times New Roman" w:hAnsi="Times New Roman" w:eastAsia="宋体" w:cs="Times New Roman"/>
          <w:szCs w:val="21"/>
          <w:highlight w:val="none"/>
          <w:lang w:bidi="en-US"/>
        </w:rPr>
      </w:pPr>
      <w:bookmarkStart w:id="14" w:name="bookmark98"/>
      <w:r>
        <w:rPr>
          <w:rFonts w:hint="eastAsia" w:ascii="宋体" w:hAnsi="宋体" w:eastAsia="宋体" w:cs="MingLiU"/>
          <w:b/>
          <w:szCs w:val="21"/>
          <w:highlight w:val="none"/>
          <w:lang w:val="zh-TW" w:eastAsia="zh-TW" w:bidi="zh-TW"/>
        </w:rPr>
        <w:t>3.5</w:t>
      </w:r>
      <w:r>
        <w:rPr>
          <w:rFonts w:ascii="宋体" w:hAnsi="宋体" w:eastAsia="宋体" w:cs="MingLiU"/>
          <w:b/>
          <w:szCs w:val="21"/>
          <w:highlight w:val="none"/>
          <w:lang w:val="zh-TW" w:eastAsia="zh-TW" w:bidi="zh-TW"/>
        </w:rPr>
        <w:t>第二个信封详细评审</w:t>
      </w:r>
      <w:bookmarkEnd w:id="14"/>
    </w:p>
    <w:p>
      <w:pPr>
        <w:spacing w:line="360" w:lineRule="auto"/>
        <w:ind w:firstLine="52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3.5.1</w:t>
      </w:r>
      <w:r>
        <w:rPr>
          <w:rFonts w:ascii="宋体" w:hAnsi="宋体" w:eastAsia="宋体" w:cs="Times New Roman"/>
          <w:kern w:val="0"/>
          <w:szCs w:val="21"/>
          <w:highlight w:val="none"/>
        </w:rPr>
        <w:t>评标委员会按本章第</w:t>
      </w:r>
      <w:r>
        <w:rPr>
          <w:rFonts w:ascii="宋体" w:hAnsi="宋体" w:eastAsia="宋体" w:cs="Times New Roman"/>
          <w:kern w:val="0"/>
          <w:szCs w:val="21"/>
          <w:highlight w:val="none"/>
          <w:lang w:bidi="en-US"/>
        </w:rPr>
        <w:t>2.2.4</w:t>
      </w:r>
      <w:r>
        <w:rPr>
          <w:rFonts w:ascii="宋体" w:hAnsi="宋体" w:eastAsia="宋体" w:cs="Times New Roman"/>
          <w:kern w:val="0"/>
          <w:szCs w:val="21"/>
          <w:highlight w:val="none"/>
        </w:rPr>
        <w:t>项</w:t>
      </w:r>
      <w:r>
        <w:rPr>
          <w:rFonts w:ascii="宋体" w:hAnsi="宋体" w:eastAsia="宋体" w:cs="Times New Roman"/>
          <w:kern w:val="0"/>
          <w:szCs w:val="21"/>
          <w:highlight w:val="none"/>
          <w:lang w:bidi="en-US"/>
        </w:rPr>
        <w:t>（3）</w:t>
      </w:r>
      <w:r>
        <w:rPr>
          <w:rFonts w:ascii="宋体" w:hAnsi="宋体" w:eastAsia="宋体" w:cs="Times New Roman"/>
          <w:kern w:val="0"/>
          <w:szCs w:val="21"/>
          <w:highlight w:val="none"/>
        </w:rPr>
        <w:t>目规定的评审因素和分值对评标价计算 出得分</w:t>
      </w:r>
      <w:r>
        <w:rPr>
          <w:rFonts w:ascii="Lucida Sans Unicode" w:hAnsi="Lucida Sans Unicode" w:eastAsia="Lucida Sans Unicode" w:cs="Lucida Sans Unicode"/>
          <w:b/>
          <w:bCs/>
          <w:kern w:val="0"/>
          <w:szCs w:val="21"/>
          <w:highlight w:val="none"/>
          <w:lang w:bidi="en-US"/>
        </w:rPr>
        <w:t>C</w:t>
      </w:r>
      <w:r>
        <w:rPr>
          <w:rFonts w:ascii="宋体" w:hAnsi="宋体" w:eastAsia="宋体" w:cs="Times New Roman"/>
          <w:kern w:val="0"/>
          <w:szCs w:val="21"/>
          <w:highlight w:val="none"/>
          <w:lang w:bidi="en-US"/>
        </w:rPr>
        <w:t>。</w:t>
      </w:r>
      <w:r>
        <w:rPr>
          <w:rFonts w:ascii="宋体" w:hAnsi="宋体" w:eastAsia="宋体" w:cs="Times New Roman"/>
          <w:kern w:val="0"/>
          <w:szCs w:val="21"/>
          <w:highlight w:val="none"/>
        </w:rPr>
        <w:t xml:space="preserve">评标价得分分值计算保留小数点后两位，小数点后第三位“四舍五入”。 </w:t>
      </w:r>
    </w:p>
    <w:p>
      <w:pPr>
        <w:spacing w:line="360" w:lineRule="auto"/>
        <w:ind w:firstLine="52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3.5.2</w:t>
      </w:r>
      <w:r>
        <w:rPr>
          <w:rFonts w:ascii="宋体" w:hAnsi="宋体" w:eastAsia="宋体" w:cs="Times New Roman"/>
          <w:kern w:val="0"/>
          <w:szCs w:val="21"/>
          <w:highlight w:val="none"/>
        </w:rPr>
        <w:t>投标人综合得分=投标人的商务和技术得分</w:t>
      </w:r>
      <w:r>
        <w:rPr>
          <w:rFonts w:ascii="宋体" w:hAnsi="宋体" w:eastAsia="宋体" w:cs="Times New Roman"/>
          <w:kern w:val="0"/>
          <w:szCs w:val="21"/>
          <w:highlight w:val="none"/>
          <w:lang w:bidi="en-US"/>
        </w:rPr>
        <w:t>+</w:t>
      </w:r>
      <w:r>
        <w:rPr>
          <w:rFonts w:ascii="Lucida Sans Unicode" w:hAnsi="Lucida Sans Unicode" w:eastAsia="Lucida Sans Unicode" w:cs="Lucida Sans Unicode"/>
          <w:b/>
          <w:bCs/>
          <w:kern w:val="0"/>
          <w:szCs w:val="21"/>
          <w:highlight w:val="none"/>
          <w:lang w:bidi="en-US"/>
        </w:rPr>
        <w:t>C</w:t>
      </w:r>
      <w:r>
        <w:rPr>
          <w:rFonts w:ascii="宋体" w:hAnsi="宋体" w:eastAsia="宋体" w:cs="Times New Roman"/>
          <w:kern w:val="0"/>
          <w:szCs w:val="21"/>
          <w:highlight w:val="none"/>
          <w:lang w:bidi="en-US"/>
        </w:rPr>
        <w:t>。</w:t>
      </w:r>
    </w:p>
    <w:p>
      <w:pPr>
        <w:spacing w:line="360" w:lineRule="auto"/>
        <w:ind w:firstLine="520"/>
        <w:rPr>
          <w:rFonts w:ascii="宋体" w:hAnsi="宋体" w:eastAsia="宋体" w:cs="Times New Roman"/>
          <w:kern w:val="0"/>
          <w:szCs w:val="21"/>
          <w:highlight w:val="none"/>
        </w:rPr>
      </w:pPr>
      <w:r>
        <w:rPr>
          <w:rFonts w:ascii="宋体" w:hAnsi="宋体" w:eastAsia="宋体" w:cs="Times New Roman"/>
          <w:kern w:val="0"/>
          <w:szCs w:val="21"/>
          <w:highlight w:val="none"/>
          <w:lang w:bidi="en-US"/>
        </w:rPr>
        <w:t>3.5.3</w:t>
      </w:r>
      <w:r>
        <w:rPr>
          <w:rFonts w:ascii="宋体" w:hAnsi="宋体" w:eastAsia="宋体" w:cs="Times New Roman"/>
          <w:kern w:val="0"/>
          <w:szCs w:val="21"/>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360" w:lineRule="auto"/>
        <w:rPr>
          <w:rFonts w:ascii="宋体" w:hAnsi="宋体" w:eastAsia="宋体" w:cs="Times New Roman"/>
          <w:b/>
          <w:szCs w:val="21"/>
          <w:highlight w:val="none"/>
        </w:rPr>
      </w:pPr>
      <w:bookmarkStart w:id="15" w:name="bookmark99"/>
      <w:r>
        <w:rPr>
          <w:rFonts w:hint="eastAsia" w:ascii="宋体" w:hAnsi="宋体" w:eastAsia="宋体" w:cs="MingLiU"/>
          <w:b/>
          <w:szCs w:val="21"/>
          <w:highlight w:val="none"/>
          <w:lang w:val="zh-TW" w:eastAsia="zh-TW" w:bidi="zh-TW"/>
        </w:rPr>
        <w:t>3.6</w:t>
      </w:r>
      <w:r>
        <w:rPr>
          <w:rFonts w:ascii="宋体" w:hAnsi="宋体" w:eastAsia="宋体" w:cs="MingLiU"/>
          <w:b/>
          <w:szCs w:val="21"/>
          <w:highlight w:val="none"/>
          <w:lang w:val="zh-TW" w:eastAsia="zh-TW" w:bidi="zh-TW"/>
        </w:rPr>
        <w:t>投标文件相关信息的核查</w:t>
      </w:r>
      <w:bookmarkEnd w:id="15"/>
    </w:p>
    <w:p>
      <w:pPr>
        <w:spacing w:line="360" w:lineRule="auto"/>
        <w:ind w:firstLine="52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3.6.1</w:t>
      </w:r>
      <w:r>
        <w:rPr>
          <w:rFonts w:ascii="宋体" w:hAnsi="宋体" w:eastAsia="宋体" w:cs="Times New Roman"/>
          <w:kern w:val="0"/>
          <w:szCs w:val="21"/>
          <w:highlight w:val="none"/>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360" w:lineRule="auto"/>
        <w:ind w:firstLine="52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3.6.2</w:t>
      </w:r>
      <w:r>
        <w:rPr>
          <w:rFonts w:ascii="宋体" w:hAnsi="宋体" w:eastAsia="宋体" w:cs="Times New Roman"/>
          <w:kern w:val="0"/>
          <w:szCs w:val="21"/>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numPr>
          <w:ilvl w:val="0"/>
          <w:numId w:val="8"/>
        </w:numPr>
        <w:tabs>
          <w:tab w:val="left" w:pos="426"/>
          <w:tab w:val="left" w:pos="993"/>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有下列情形之一的，属于投标人相互串通投标：</w:t>
      </w:r>
    </w:p>
    <w:p>
      <w:pPr>
        <w:numPr>
          <w:ilvl w:val="0"/>
          <w:numId w:val="9"/>
        </w:numPr>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投标人之间协商投标报价等投标文件的实质性内容；</w:t>
      </w:r>
    </w:p>
    <w:p>
      <w:pPr>
        <w:numPr>
          <w:ilvl w:val="0"/>
          <w:numId w:val="9"/>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投标人之间约定中标人；</w:t>
      </w:r>
    </w:p>
    <w:p>
      <w:pPr>
        <w:numPr>
          <w:ilvl w:val="0"/>
          <w:numId w:val="9"/>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投标人之间约定部分投标人放弃投标或中标；</w:t>
      </w:r>
    </w:p>
    <w:p>
      <w:pPr>
        <w:numPr>
          <w:ilvl w:val="0"/>
          <w:numId w:val="9"/>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属于同一集团、协会、商会等组织成员的投标人按照该组织要求协同投标</w:t>
      </w:r>
      <w:r>
        <w:rPr>
          <w:rFonts w:hint="eastAsia" w:ascii="宋体" w:hAnsi="宋体" w:eastAsia="宋体" w:cs="Times New Roman"/>
          <w:kern w:val="0"/>
          <w:szCs w:val="21"/>
          <w:highlight w:val="none"/>
        </w:rPr>
        <w:t>；</w:t>
      </w:r>
    </w:p>
    <w:p>
      <w:pPr>
        <w:numPr>
          <w:ilvl w:val="0"/>
          <w:numId w:val="9"/>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投标人之间为谋取中标或排斥特定投标人而采取的其他联合行动。</w:t>
      </w:r>
    </w:p>
    <w:p>
      <w:pPr>
        <w:numPr>
          <w:ilvl w:val="0"/>
          <w:numId w:val="8"/>
        </w:numPr>
        <w:tabs>
          <w:tab w:val="left" w:pos="426"/>
          <w:tab w:val="left" w:pos="993"/>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有下列情形之一的，视为投标人相互串通投标：</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不同投标人的投标文件由同一单位或个人编制；</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不同投标人委托同一单位或个人办理投标事宜；</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不同投标人的投标文件载明的项目管理成员为同一人；</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不同投标人的投标文件异常一致或投标报价呈规律性差异；</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不同投标人的投标文件相互混装；</w:t>
      </w:r>
    </w:p>
    <w:p>
      <w:pPr>
        <w:numPr>
          <w:ilvl w:val="0"/>
          <w:numId w:val="10"/>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不同投标人的投标保证金从同一单位或个人的账户转出。</w:t>
      </w:r>
    </w:p>
    <w:p>
      <w:pPr>
        <w:numPr>
          <w:ilvl w:val="0"/>
          <w:numId w:val="8"/>
        </w:numPr>
        <w:tabs>
          <w:tab w:val="left" w:pos="426"/>
          <w:tab w:val="left" w:pos="993"/>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有下列情形之一的，属于招标人与投标人串通投标：</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招标人在开标前开启投标文件并将有关信息泄露给其他投标人；</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招标人直接或间接向投标人泄露标底、评标委员会成员等信息；</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招标人明示或暗示投标人压低或抬高投标报价；</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招标人授意投标人撤换、修改投标文件；</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招标人明示或暗示投标人为特定投标人中标提供方便；</w:t>
      </w:r>
    </w:p>
    <w:p>
      <w:pPr>
        <w:numPr>
          <w:ilvl w:val="0"/>
          <w:numId w:val="11"/>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招标人与投标人为谋求特定投标人中标而采取的其他串通行为。</w:t>
      </w:r>
    </w:p>
    <w:p>
      <w:pPr>
        <w:numPr>
          <w:ilvl w:val="0"/>
          <w:numId w:val="8"/>
        </w:numPr>
        <w:tabs>
          <w:tab w:val="left" w:pos="426"/>
          <w:tab w:val="left" w:pos="993"/>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投标人有下列情形之一的，属于弄虚作假的行为：</w:t>
      </w:r>
    </w:p>
    <w:p>
      <w:pPr>
        <w:numPr>
          <w:ilvl w:val="0"/>
          <w:numId w:val="12"/>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使用通过受让或租借等方式获取的资格、资质证书投标；</w:t>
      </w:r>
    </w:p>
    <w:p>
      <w:pPr>
        <w:numPr>
          <w:ilvl w:val="0"/>
          <w:numId w:val="12"/>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使用伪造、变造的许可证件；</w:t>
      </w:r>
    </w:p>
    <w:p>
      <w:pPr>
        <w:numPr>
          <w:ilvl w:val="0"/>
          <w:numId w:val="12"/>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提供虚假的业绩；</w:t>
      </w:r>
    </w:p>
    <w:p>
      <w:pPr>
        <w:numPr>
          <w:ilvl w:val="0"/>
          <w:numId w:val="12"/>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提供虚假的项目负责人或主要技术人员简历、劳动关系证明；</w:t>
      </w:r>
    </w:p>
    <w:p>
      <w:pPr>
        <w:numPr>
          <w:ilvl w:val="0"/>
          <w:numId w:val="12"/>
        </w:numPr>
        <w:tabs>
          <w:tab w:val="left" w:pos="426"/>
        </w:tabs>
        <w:spacing w:line="360" w:lineRule="auto"/>
        <w:ind w:firstLine="424" w:firstLineChars="202"/>
        <w:rPr>
          <w:rFonts w:ascii="宋体" w:hAnsi="宋体" w:eastAsia="宋体" w:cs="Times New Roman"/>
          <w:kern w:val="0"/>
          <w:szCs w:val="21"/>
          <w:highlight w:val="none"/>
        </w:rPr>
      </w:pPr>
      <w:r>
        <w:rPr>
          <w:rFonts w:ascii="宋体" w:hAnsi="宋体" w:eastAsia="宋体" w:cs="Times New Roman"/>
          <w:kern w:val="0"/>
          <w:szCs w:val="21"/>
          <w:highlight w:val="none"/>
        </w:rPr>
        <w:t>提供虚假的信用状况；</w:t>
      </w:r>
    </w:p>
    <w:p>
      <w:pPr>
        <w:numPr>
          <w:ilvl w:val="0"/>
          <w:numId w:val="12"/>
        </w:numPr>
        <w:tabs>
          <w:tab w:val="left" w:pos="426"/>
        </w:tabs>
        <w:spacing w:line="360" w:lineRule="auto"/>
        <w:ind w:firstLine="424" w:firstLineChars="202"/>
        <w:rPr>
          <w:rFonts w:ascii="宋体" w:hAnsi="宋体" w:eastAsia="Lucida Sans Unicode" w:cs="Lucida Sans Unicode"/>
          <w:bCs/>
          <w:kern w:val="0"/>
          <w:szCs w:val="21"/>
          <w:highlight w:val="none"/>
          <w:lang w:val="zh-TW" w:eastAsia="en-US" w:bidi="zh-TW"/>
        </w:rPr>
      </w:pPr>
      <w:r>
        <w:rPr>
          <w:rFonts w:ascii="宋体" w:hAnsi="宋体" w:eastAsia="宋体" w:cs="Times New Roman"/>
          <w:kern w:val="0"/>
          <w:szCs w:val="21"/>
          <w:highlight w:val="none"/>
        </w:rPr>
        <w:t>其他弄虚作假的行为。</w:t>
      </w:r>
      <w:bookmarkStart w:id="16" w:name="bookmark100"/>
    </w:p>
    <w:p>
      <w:pPr>
        <w:spacing w:line="360" w:lineRule="auto"/>
        <w:rPr>
          <w:rFonts w:ascii="宋体" w:hAnsi="宋体" w:eastAsia="宋体" w:cs="Times New Roman"/>
          <w:b/>
          <w:szCs w:val="21"/>
          <w:highlight w:val="none"/>
        </w:rPr>
      </w:pPr>
      <w:r>
        <w:rPr>
          <w:rFonts w:hint="eastAsia" w:ascii="宋体" w:hAnsi="宋体" w:eastAsia="宋体" w:cs="Lucida Sans Unicode"/>
          <w:bCs/>
          <w:szCs w:val="21"/>
          <w:highlight w:val="none"/>
          <w:lang w:val="zh-TW" w:bidi="zh-TW"/>
        </w:rPr>
        <w:t>3.</w:t>
      </w:r>
      <w:r>
        <w:rPr>
          <w:rFonts w:ascii="宋体" w:hAnsi="宋体" w:eastAsia="宋体" w:cs="Lucida Sans Unicode"/>
          <w:bCs/>
          <w:szCs w:val="21"/>
          <w:highlight w:val="none"/>
          <w:lang w:val="zh-TW" w:eastAsia="zh-TW" w:bidi="zh-TW"/>
        </w:rPr>
        <w:t>7</w:t>
      </w:r>
      <w:r>
        <w:rPr>
          <w:rFonts w:ascii="宋体" w:hAnsi="宋体" w:eastAsia="宋体" w:cs="MingLiU"/>
          <w:b/>
          <w:szCs w:val="21"/>
          <w:highlight w:val="none"/>
          <w:lang w:val="zh-TW" w:eastAsia="zh-TW" w:bidi="zh-TW"/>
        </w:rPr>
        <w:t>投标文件的澄清和说明</w:t>
      </w:r>
      <w:bookmarkEnd w:id="16"/>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lang w:bidi="en-US"/>
        </w:rPr>
        <w:t>3.7.1</w:t>
      </w:r>
      <w:r>
        <w:rPr>
          <w:rFonts w:ascii="宋体" w:hAnsi="宋体" w:eastAsia="宋体" w:cs="Times New Roman"/>
          <w:kern w:val="0"/>
          <w:szCs w:val="21"/>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lang w:bidi="en-US"/>
        </w:rPr>
        <w:t>3.7.2</w:t>
      </w:r>
      <w:r>
        <w:rPr>
          <w:rFonts w:ascii="宋体" w:hAnsi="宋体" w:eastAsia="宋体" w:cs="Times New Roman"/>
          <w:kern w:val="0"/>
          <w:szCs w:val="21"/>
          <w:highlight w:val="none"/>
        </w:rPr>
        <w:t>澄清和说明不得超出投标文件的范围或改变投标文件的实质性内容（算术性错误的修正除外）。投标人的书面澄清、说明属于投标文件的组成部分。</w:t>
      </w:r>
    </w:p>
    <w:p>
      <w:pPr>
        <w:spacing w:line="360" w:lineRule="auto"/>
        <w:ind w:firstLine="500"/>
        <w:rPr>
          <w:rFonts w:ascii="宋体" w:hAnsi="宋体" w:eastAsia="宋体" w:cs="Times New Roman"/>
          <w:kern w:val="0"/>
          <w:szCs w:val="21"/>
          <w:highlight w:val="none"/>
        </w:rPr>
      </w:pPr>
      <w:r>
        <w:rPr>
          <w:rFonts w:ascii="宋体" w:hAnsi="宋体" w:eastAsia="宋体" w:cs="Times New Roman"/>
          <w:kern w:val="0"/>
          <w:szCs w:val="21"/>
          <w:highlight w:val="none"/>
          <w:lang w:bidi="en-US"/>
        </w:rPr>
        <w:t>3.7.3</w:t>
      </w:r>
      <w:r>
        <w:rPr>
          <w:rFonts w:ascii="宋体" w:hAnsi="宋体" w:eastAsia="宋体" w:cs="Times New Roman"/>
          <w:kern w:val="0"/>
          <w:szCs w:val="21"/>
          <w:highlight w:val="none"/>
        </w:rPr>
        <w:t>评标委员会不得暗示或诱导投标人作出澄清、说明，对投标人提交的澄清、说明有疑问的，可以要求投标人进一步澄清或说明，直至满足评标委员会的要求。</w:t>
      </w:r>
    </w:p>
    <w:p>
      <w:pPr>
        <w:spacing w:line="360" w:lineRule="auto"/>
        <w:ind w:firstLine="52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3.7.4</w:t>
      </w:r>
      <w:r>
        <w:rPr>
          <w:rFonts w:ascii="宋体" w:hAnsi="宋体" w:eastAsia="宋体" w:cs="Times New Roman"/>
          <w:kern w:val="0"/>
          <w:szCs w:val="21"/>
          <w:highlight w:val="none"/>
        </w:rPr>
        <w:t>凡超出招标文件规定的或给发包人带来未曾要求的利益的变化、偏差或其他因素在评标时不予考虑。</w:t>
      </w:r>
    </w:p>
    <w:p>
      <w:pPr>
        <w:tabs>
          <w:tab w:val="left" w:pos="351"/>
        </w:tabs>
        <w:spacing w:line="360" w:lineRule="auto"/>
        <w:rPr>
          <w:rFonts w:ascii="宋体" w:hAnsi="宋体" w:eastAsia="宋体" w:cs="Times New Roman"/>
          <w:b/>
          <w:spacing w:val="20"/>
          <w:kern w:val="0"/>
          <w:szCs w:val="21"/>
          <w:highlight w:val="none"/>
        </w:rPr>
      </w:pPr>
      <w:r>
        <w:rPr>
          <w:rFonts w:hint="eastAsia" w:ascii="宋体" w:hAnsi="宋体" w:eastAsia="宋体" w:cs="MingLiU"/>
          <w:kern w:val="0"/>
          <w:szCs w:val="21"/>
          <w:highlight w:val="none"/>
          <w:lang w:val="zh-TW" w:eastAsia="zh-TW" w:bidi="zh-TW"/>
        </w:rPr>
        <w:t>3.8</w:t>
      </w:r>
      <w:r>
        <w:rPr>
          <w:rFonts w:ascii="宋体" w:hAnsi="宋体" w:eastAsia="宋体" w:cs="MingLiU"/>
          <w:kern w:val="0"/>
          <w:szCs w:val="21"/>
          <w:highlight w:val="none"/>
          <w:lang w:val="zh-TW" w:eastAsia="zh-TW" w:bidi="zh-TW"/>
        </w:rPr>
        <w:t>不得否决投标的情形</w:t>
      </w:r>
    </w:p>
    <w:p>
      <w:pPr>
        <w:spacing w:line="360" w:lineRule="auto"/>
        <w:ind w:firstLine="420" w:firstLineChars="200"/>
        <w:jc w:val="left"/>
        <w:rPr>
          <w:rFonts w:ascii="宋体" w:hAnsi="宋体" w:eastAsia="宋体" w:cs="MingLiU"/>
          <w:b/>
          <w:kern w:val="0"/>
          <w:szCs w:val="21"/>
          <w:highlight w:val="none"/>
          <w:lang w:val="zh-TW" w:eastAsia="zh-TW" w:bidi="zh-TW"/>
        </w:rPr>
      </w:pPr>
      <w:r>
        <w:rPr>
          <w:rFonts w:ascii="宋体" w:hAnsi="宋体" w:eastAsia="宋体" w:cs="Times New Roman"/>
          <w:kern w:val="0"/>
          <w:szCs w:val="21"/>
          <w:highlight w:val="none"/>
        </w:rPr>
        <w:t>投标文件存在第二章“投标人须知”第</w:t>
      </w:r>
      <w:r>
        <w:rPr>
          <w:rFonts w:ascii="宋体" w:hAnsi="宋体" w:eastAsia="宋体" w:cs="Times New Roman"/>
          <w:kern w:val="0"/>
          <w:szCs w:val="21"/>
          <w:highlight w:val="none"/>
          <w:lang w:bidi="en-US"/>
        </w:rPr>
        <w:t>1.12.3</w:t>
      </w:r>
      <w:r>
        <w:rPr>
          <w:rFonts w:ascii="宋体" w:hAnsi="宋体" w:eastAsia="宋体" w:cs="Times New Roman"/>
          <w:kern w:val="0"/>
          <w:szCs w:val="21"/>
          <w:highlight w:val="none"/>
        </w:rPr>
        <w:t>项所列情形的，均视为细微偏差，评标委员会不得否决投标人的投标，应按照第二章“投标人须知”第</w:t>
      </w:r>
      <w:r>
        <w:rPr>
          <w:rFonts w:ascii="宋体" w:hAnsi="宋体" w:eastAsia="宋体" w:cs="Times New Roman"/>
          <w:kern w:val="0"/>
          <w:szCs w:val="21"/>
          <w:highlight w:val="none"/>
          <w:lang w:bidi="en-US"/>
        </w:rPr>
        <w:t>1.12.4</w:t>
      </w:r>
      <w:r>
        <w:rPr>
          <w:rFonts w:ascii="宋体" w:hAnsi="宋体" w:eastAsia="宋体" w:cs="Times New Roman"/>
          <w:kern w:val="0"/>
          <w:szCs w:val="21"/>
          <w:highlight w:val="none"/>
        </w:rPr>
        <w:t>项规定的原则处理。</w:t>
      </w:r>
    </w:p>
    <w:p>
      <w:pPr>
        <w:tabs>
          <w:tab w:val="left" w:pos="351"/>
        </w:tabs>
        <w:spacing w:line="360" w:lineRule="auto"/>
        <w:rPr>
          <w:rFonts w:ascii="宋体" w:hAnsi="宋体" w:eastAsia="宋体" w:cs="Times New Roman"/>
          <w:b/>
          <w:spacing w:val="20"/>
          <w:kern w:val="0"/>
          <w:szCs w:val="21"/>
          <w:highlight w:val="none"/>
        </w:rPr>
      </w:pPr>
      <w:r>
        <w:rPr>
          <w:rFonts w:hint="eastAsia" w:ascii="宋体" w:hAnsi="宋体" w:eastAsia="宋体" w:cs="MingLiU"/>
          <w:kern w:val="0"/>
          <w:szCs w:val="21"/>
          <w:highlight w:val="none"/>
          <w:lang w:val="zh-TW" w:eastAsia="zh-TW" w:bidi="zh-TW"/>
        </w:rPr>
        <w:t>3.9</w:t>
      </w:r>
      <w:r>
        <w:rPr>
          <w:rFonts w:ascii="宋体" w:hAnsi="宋体" w:eastAsia="宋体" w:cs="MingLiU"/>
          <w:kern w:val="0"/>
          <w:szCs w:val="21"/>
          <w:highlight w:val="none"/>
          <w:lang w:val="zh-TW" w:eastAsia="zh-TW" w:bidi="zh-TW"/>
        </w:rPr>
        <w:t>评标结果</w:t>
      </w:r>
    </w:p>
    <w:p>
      <w:pPr>
        <w:spacing w:line="360" w:lineRule="auto"/>
        <w:ind w:firstLine="420" w:firstLineChars="200"/>
        <w:jc w:val="left"/>
        <w:rPr>
          <w:rFonts w:ascii="宋体" w:hAnsi="宋体" w:eastAsia="宋体" w:cs="Times New Roman"/>
          <w:kern w:val="0"/>
          <w:szCs w:val="21"/>
          <w:highlight w:val="none"/>
        </w:rPr>
      </w:pPr>
      <w:r>
        <w:rPr>
          <w:rFonts w:ascii="宋体" w:hAnsi="宋体" w:eastAsia="宋体" w:cs="Times New Roman"/>
          <w:kern w:val="0"/>
          <w:szCs w:val="21"/>
          <w:highlight w:val="none"/>
          <w:lang w:bidi="en-US"/>
        </w:rPr>
        <w:t>3.9.1</w:t>
      </w:r>
      <w:r>
        <w:rPr>
          <w:rFonts w:ascii="宋体" w:hAnsi="宋体" w:eastAsia="宋体" w:cs="Times New Roman"/>
          <w:kern w:val="0"/>
          <w:szCs w:val="21"/>
          <w:highlight w:val="none"/>
        </w:rPr>
        <w:t>除第二章“投标人须知”前附表授权直接确定中标人外，评标委员会按照得分由高到低的顺序推荐中标候选人，并标明排序。</w:t>
      </w:r>
    </w:p>
    <w:p>
      <w:pPr>
        <w:autoSpaceDE w:val="0"/>
        <w:autoSpaceDN w:val="0"/>
        <w:adjustRightInd w:val="0"/>
        <w:spacing w:line="400" w:lineRule="exact"/>
        <w:outlineLvl w:val="1"/>
        <w:rPr>
          <w:rFonts w:ascii="Times New Roman" w:hAnsi="Times New Roman" w:eastAsia="宋体" w:cs="Times New Roman"/>
          <w:szCs w:val="21"/>
          <w:highlight w:val="none"/>
        </w:rPr>
      </w:pPr>
      <w:r>
        <w:rPr>
          <w:rFonts w:ascii="Times New Roman" w:hAnsi="Times New Roman" w:eastAsia="宋体" w:cs="Times New Roman"/>
          <w:szCs w:val="21"/>
          <w:highlight w:val="none"/>
        </w:rPr>
        <w:t>3.9.2评标委员会完成评标后，应向招标人提交书面评标报告。</w:t>
      </w:r>
    </w:p>
    <w:p>
      <w:pPr>
        <w:autoSpaceDE w:val="0"/>
        <w:autoSpaceDN w:val="0"/>
        <w:adjustRightInd w:val="0"/>
        <w:spacing w:line="360" w:lineRule="auto"/>
        <w:outlineLvl w:val="1"/>
        <w:rPr>
          <w:rFonts w:ascii="Times New Roman" w:hAnsi="Times New Roman"/>
          <w:szCs w:val="21"/>
          <w:highlight w:val="none"/>
        </w:rPr>
      </w:pPr>
    </w:p>
    <w:p>
      <w:pPr>
        <w:pStyle w:val="12"/>
        <w:spacing w:line="360" w:lineRule="auto"/>
        <w:ind w:firstLine="0" w:firstLineChars="0"/>
        <w:rPr>
          <w:rFonts w:ascii="黑体" w:hAnsi="黑体" w:eastAsia="黑体"/>
          <w:szCs w:val="21"/>
          <w:highlight w:val="none"/>
          <w:shd w:val="clear" w:color="auto" w:fill="FFFFFF"/>
        </w:rPr>
      </w:pPr>
      <w:r>
        <w:rPr>
          <w:rFonts w:hint="eastAsia" w:ascii="黑体" w:hAnsi="黑体" w:eastAsia="黑体"/>
          <w:szCs w:val="21"/>
          <w:highlight w:val="none"/>
          <w:shd w:val="clear" w:color="auto" w:fill="FFFFFF"/>
        </w:rPr>
        <w:t>五、招标人联系方式</w:t>
      </w:r>
    </w:p>
    <w:p>
      <w:pPr>
        <w:adjustRightInd w:val="0"/>
        <w:snapToGrid w:val="0"/>
        <w:spacing w:line="360" w:lineRule="auto"/>
        <w:ind w:left="450"/>
        <w:rPr>
          <w:rFonts w:ascii="Times New Roman" w:hAnsi="Times New Roman" w:eastAsia="宋体" w:cs="Times New Roman"/>
          <w:szCs w:val="21"/>
          <w:highlight w:val="none"/>
        </w:rPr>
      </w:pPr>
      <w:bookmarkStart w:id="17" w:name="_Toc266433714"/>
      <w:bookmarkStart w:id="18" w:name="_Toc287583046"/>
      <w:r>
        <w:rPr>
          <w:rFonts w:ascii="Times New Roman" w:hAnsi="Times New Roman" w:eastAsia="宋体" w:cs="Times New Roman"/>
          <w:szCs w:val="21"/>
          <w:highlight w:val="none"/>
        </w:rPr>
        <w:t>招</w:t>
      </w:r>
      <w:r>
        <w:rPr>
          <w:rFonts w:hint="eastAsia" w:ascii="Times New Roman" w:hAnsi="Times New Roman" w:eastAsia="宋体" w:cs="Times New Roman"/>
          <w:szCs w:val="21"/>
          <w:highlight w:val="none"/>
        </w:rPr>
        <w:t xml:space="preserve">   </w:t>
      </w:r>
      <w:r>
        <w:rPr>
          <w:rFonts w:ascii="Times New Roman" w:hAnsi="Times New Roman" w:eastAsia="宋体" w:cs="Times New Roman"/>
          <w:szCs w:val="21"/>
          <w:highlight w:val="none"/>
        </w:rPr>
        <w:t>标</w:t>
      </w:r>
      <w:r>
        <w:rPr>
          <w:rFonts w:hint="eastAsia" w:ascii="Times New Roman" w:hAnsi="Times New Roman" w:eastAsia="宋体" w:cs="Times New Roman"/>
          <w:szCs w:val="21"/>
          <w:highlight w:val="none"/>
        </w:rPr>
        <w:t xml:space="preserve">   </w:t>
      </w:r>
      <w:r>
        <w:rPr>
          <w:rFonts w:ascii="Times New Roman" w:hAnsi="Times New Roman" w:eastAsia="宋体" w:cs="Times New Roman"/>
          <w:szCs w:val="21"/>
          <w:highlight w:val="none"/>
        </w:rPr>
        <w:t>人</w:t>
      </w:r>
      <w:r>
        <w:rPr>
          <w:rFonts w:hint="eastAsia" w:ascii="Times New Roman" w:hAnsi="Times New Roman" w:eastAsia="宋体" w:cs="Times New Roman"/>
          <w:szCs w:val="21"/>
          <w:highlight w:val="none"/>
        </w:rPr>
        <w:t>：</w:t>
      </w:r>
      <w:bookmarkEnd w:id="17"/>
      <w:bookmarkEnd w:id="18"/>
      <w:r>
        <w:rPr>
          <w:rFonts w:hint="eastAsia" w:ascii="Times New Roman" w:hAnsi="Times New Roman" w:eastAsia="宋体" w:cs="Times New Roman"/>
          <w:szCs w:val="21"/>
          <w:highlight w:val="none"/>
        </w:rPr>
        <w:t>大安市路桥建设投资有限公司</w:t>
      </w:r>
    </w:p>
    <w:p>
      <w:pPr>
        <w:autoSpaceDE w:val="0"/>
        <w:autoSpaceDN w:val="0"/>
        <w:adjustRightInd w:val="0"/>
        <w:snapToGrid w:val="0"/>
        <w:spacing w:line="360" w:lineRule="auto"/>
        <w:ind w:firstLine="424" w:firstLineChars="202"/>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联   系   人：聂  鹏</w:t>
      </w:r>
    </w:p>
    <w:p>
      <w:pPr>
        <w:autoSpaceDE w:val="0"/>
        <w:autoSpaceDN w:val="0"/>
        <w:adjustRightInd w:val="0"/>
        <w:snapToGrid w:val="0"/>
        <w:spacing w:line="360" w:lineRule="auto"/>
        <w:ind w:firstLine="424" w:firstLineChars="202"/>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电        话：0436-5293916</w:t>
      </w:r>
    </w:p>
    <w:p>
      <w:pPr>
        <w:autoSpaceDE w:val="0"/>
        <w:autoSpaceDN w:val="0"/>
        <w:adjustRightInd w:val="0"/>
        <w:snapToGrid w:val="0"/>
        <w:spacing w:line="360" w:lineRule="auto"/>
        <w:ind w:firstLine="424" w:firstLineChars="202"/>
        <w:jc w:val="left"/>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招标代理机构：</w:t>
      </w:r>
      <w:r>
        <w:rPr>
          <w:rFonts w:ascii="Times New Roman" w:hAnsi="Times New Roman" w:eastAsia="宋体" w:cs="Times New Roman"/>
          <w:szCs w:val="21"/>
          <w:highlight w:val="none"/>
        </w:rPr>
        <w:t>吉林省天和工程咨询有限公司</w:t>
      </w:r>
    </w:p>
    <w:p>
      <w:pPr>
        <w:tabs>
          <w:tab w:val="left" w:pos="426"/>
        </w:tabs>
        <w:autoSpaceDE w:val="0"/>
        <w:autoSpaceDN w:val="0"/>
        <w:adjustRightInd w:val="0"/>
        <w:snapToGrid w:val="0"/>
        <w:spacing w:line="360" w:lineRule="auto"/>
        <w:ind w:firstLine="424" w:firstLineChars="202"/>
        <w:rPr>
          <w:rFonts w:ascii="Times New Roman" w:hAnsi="Times New Roman" w:eastAsia="宋体" w:cs="Times New Roman"/>
          <w:szCs w:val="21"/>
          <w:highlight w:val="none"/>
        </w:rPr>
      </w:pPr>
      <w:r>
        <w:rPr>
          <w:rFonts w:ascii="Times New Roman" w:hAnsi="Times New Roman" w:eastAsia="宋体" w:cs="Times New Roman"/>
          <w:szCs w:val="21"/>
          <w:highlight w:val="none"/>
          <w:lang w:val="zh-CN"/>
        </w:rPr>
        <w:t xml:space="preserve">地 </w:t>
      </w:r>
      <w:r>
        <w:rPr>
          <w:rFonts w:hint="eastAsia" w:ascii="Times New Roman" w:hAnsi="Times New Roman" w:eastAsia="宋体" w:cs="Times New Roman"/>
          <w:szCs w:val="21"/>
          <w:highlight w:val="none"/>
          <w:lang w:val="zh-CN"/>
        </w:rPr>
        <w:t xml:space="preserve">      </w:t>
      </w:r>
      <w:r>
        <w:rPr>
          <w:rFonts w:ascii="Times New Roman" w:hAnsi="Times New Roman" w:eastAsia="宋体" w:cs="Times New Roman"/>
          <w:szCs w:val="21"/>
          <w:highlight w:val="none"/>
          <w:lang w:val="zh-CN"/>
        </w:rPr>
        <w:t xml:space="preserve"> 址：</w:t>
      </w:r>
      <w:r>
        <w:rPr>
          <w:rFonts w:ascii="Times New Roman" w:hAnsi="Times New Roman" w:eastAsia="宋体" w:cs="Times New Roman"/>
          <w:szCs w:val="21"/>
          <w:highlight w:val="none"/>
        </w:rPr>
        <w:t>长春市生态大街</w:t>
      </w:r>
      <w:r>
        <w:rPr>
          <w:rFonts w:hint="eastAsia" w:ascii="Times New Roman" w:hAnsi="Times New Roman" w:eastAsia="宋体" w:cs="Times New Roman"/>
          <w:szCs w:val="21"/>
          <w:highlight w:val="none"/>
        </w:rPr>
        <w:t>伟峰</w:t>
      </w:r>
      <w:r>
        <w:rPr>
          <w:rFonts w:ascii="Times New Roman" w:hAnsi="Times New Roman" w:eastAsia="宋体" w:cs="Times New Roman"/>
          <w:szCs w:val="21"/>
          <w:highlight w:val="none"/>
        </w:rPr>
        <w:t>东第</w:t>
      </w:r>
      <w:r>
        <w:rPr>
          <w:rFonts w:hint="eastAsia" w:ascii="Times New Roman" w:hAnsi="Times New Roman" w:eastAsia="宋体" w:cs="Times New Roman"/>
          <w:szCs w:val="21"/>
          <w:highlight w:val="none"/>
        </w:rPr>
        <w:t>9号</w:t>
      </w:r>
      <w:r>
        <w:rPr>
          <w:rFonts w:ascii="Times New Roman" w:hAnsi="Times New Roman" w:eastAsia="宋体" w:cs="Times New Roman"/>
          <w:szCs w:val="21"/>
          <w:highlight w:val="none"/>
        </w:rPr>
        <w:t>楼</w:t>
      </w:r>
      <w:r>
        <w:rPr>
          <w:rFonts w:hint="eastAsia" w:ascii="Times New Roman" w:hAnsi="Times New Roman" w:eastAsia="宋体" w:cs="Times New Roman"/>
          <w:szCs w:val="21"/>
          <w:highlight w:val="none"/>
        </w:rPr>
        <w:t>301</w:t>
      </w:r>
      <w:r>
        <w:rPr>
          <w:rFonts w:ascii="Times New Roman" w:hAnsi="Times New Roman" w:eastAsia="宋体" w:cs="Times New Roman"/>
          <w:szCs w:val="21"/>
          <w:highlight w:val="none"/>
        </w:rPr>
        <w:t>室</w:t>
      </w:r>
    </w:p>
    <w:p>
      <w:pPr>
        <w:autoSpaceDE w:val="0"/>
        <w:autoSpaceDN w:val="0"/>
        <w:adjustRightInd w:val="0"/>
        <w:snapToGrid w:val="0"/>
        <w:spacing w:line="360" w:lineRule="auto"/>
        <w:ind w:firstLine="424" w:firstLineChars="202"/>
        <w:jc w:val="left"/>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联</w:t>
      </w:r>
      <w:r>
        <w:rPr>
          <w:rFonts w:hint="eastAsia" w:ascii="Times New Roman" w:hAnsi="Times New Roman" w:eastAsia="宋体" w:cs="Times New Roman"/>
          <w:szCs w:val="21"/>
          <w:highlight w:val="none"/>
          <w:lang w:val="zh-CN"/>
        </w:rPr>
        <w:t xml:space="preserve">   </w:t>
      </w:r>
      <w:r>
        <w:rPr>
          <w:rFonts w:ascii="Times New Roman" w:hAnsi="Times New Roman" w:eastAsia="宋体" w:cs="Times New Roman"/>
          <w:szCs w:val="21"/>
          <w:highlight w:val="none"/>
          <w:lang w:val="zh-CN"/>
        </w:rPr>
        <w:t>系</w:t>
      </w:r>
      <w:r>
        <w:rPr>
          <w:rFonts w:hint="eastAsia" w:ascii="Times New Roman" w:hAnsi="Times New Roman" w:eastAsia="宋体" w:cs="Times New Roman"/>
          <w:szCs w:val="21"/>
          <w:highlight w:val="none"/>
          <w:lang w:val="zh-CN"/>
        </w:rPr>
        <w:t xml:space="preserve">   </w:t>
      </w:r>
      <w:r>
        <w:rPr>
          <w:rFonts w:ascii="Times New Roman" w:hAnsi="Times New Roman" w:eastAsia="宋体" w:cs="Times New Roman"/>
          <w:szCs w:val="21"/>
          <w:highlight w:val="none"/>
          <w:lang w:val="zh-CN"/>
        </w:rPr>
        <w:t>人：</w:t>
      </w:r>
      <w:r>
        <w:rPr>
          <w:rFonts w:hint="eastAsia" w:ascii="Times New Roman" w:hAnsi="Times New Roman" w:eastAsia="宋体" w:cs="Times New Roman"/>
          <w:szCs w:val="21"/>
          <w:highlight w:val="none"/>
          <w:lang w:val="zh-CN"/>
        </w:rPr>
        <w:t>井冬冰</w:t>
      </w:r>
    </w:p>
    <w:p>
      <w:pPr>
        <w:autoSpaceDE w:val="0"/>
        <w:autoSpaceDN w:val="0"/>
        <w:adjustRightInd w:val="0"/>
        <w:snapToGrid w:val="0"/>
        <w:spacing w:line="360" w:lineRule="auto"/>
        <w:ind w:firstLine="424" w:firstLineChars="202"/>
        <w:jc w:val="left"/>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 xml:space="preserve">电  </w:t>
      </w:r>
      <w:r>
        <w:rPr>
          <w:rFonts w:hint="eastAsia" w:ascii="Times New Roman" w:hAnsi="Times New Roman" w:eastAsia="宋体" w:cs="Times New Roman"/>
          <w:szCs w:val="21"/>
          <w:highlight w:val="none"/>
          <w:lang w:val="zh-CN"/>
        </w:rPr>
        <w:t xml:space="preserve">      </w:t>
      </w:r>
      <w:r>
        <w:rPr>
          <w:rFonts w:ascii="Times New Roman" w:hAnsi="Times New Roman" w:eastAsia="宋体" w:cs="Times New Roman"/>
          <w:szCs w:val="21"/>
          <w:highlight w:val="none"/>
          <w:lang w:val="zh-CN"/>
        </w:rPr>
        <w:t>话：0431-</w:t>
      </w:r>
      <w:r>
        <w:rPr>
          <w:rFonts w:hint="eastAsia" w:ascii="Times New Roman" w:hAnsi="Times New Roman" w:eastAsia="宋体" w:cs="Times New Roman"/>
          <w:szCs w:val="21"/>
          <w:highlight w:val="none"/>
          <w:lang w:val="zh-CN"/>
        </w:rPr>
        <w:t>89627700</w:t>
      </w:r>
    </w:p>
    <w:p>
      <w:pPr>
        <w:spacing w:line="360" w:lineRule="auto"/>
        <w:ind w:firstLine="424" w:firstLineChars="202"/>
        <w:rPr>
          <w:szCs w:val="21"/>
          <w:highlight w:val="none"/>
          <w:shd w:val="clear" w:color="auto" w:fill="FFFFFF"/>
        </w:rPr>
      </w:pPr>
      <w:r>
        <w:rPr>
          <w:rFonts w:hint="eastAsia"/>
          <w:szCs w:val="21"/>
          <w:highlight w:val="none"/>
          <w:shd w:val="clear" w:color="auto" w:fill="FFFFFF"/>
        </w:rPr>
        <w:t>公开时间：2020年1月13日至2020年1月24日。</w:t>
      </w:r>
    </w:p>
    <w:p>
      <w:pPr>
        <w:spacing w:line="360" w:lineRule="auto"/>
        <w:ind w:firstLine="424" w:firstLineChars="202"/>
        <w:rPr>
          <w:szCs w:val="21"/>
          <w:highlight w:val="none"/>
        </w:rPr>
      </w:pPr>
    </w:p>
    <w:p>
      <w:pPr>
        <w:rPr>
          <w:szCs w:val="21"/>
          <w:highlight w:val="none"/>
        </w:rPr>
      </w:pPr>
    </w:p>
    <w:bookmarkEnd w:id="19"/>
    <w:sectPr>
      <w:footnotePr>
        <w:numFmt w:val="decimalEnclosedCircleChinese"/>
      </w:footnotePr>
      <w:pgSz w:w="11906" w:h="16838"/>
      <w:pgMar w:top="1440"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CordiaUPC">
    <w:panose1 w:val="020B0304020202020204"/>
    <w:charset w:val="00"/>
    <w:family w:val="swiss"/>
    <w:pitch w:val="default"/>
    <w:sig w:usb0="81000003" w:usb1="00000000" w:usb2="00000000" w:usb3="00000000" w:csb0="00010001"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 w:name="David">
    <w:panose1 w:val="020E0502060401010101"/>
    <w:charset w:val="B1"/>
    <w:family w:val="swiss"/>
    <w:pitch w:val="default"/>
    <w:sig w:usb0="00000801" w:usb1="00000000" w:usb2="00000000" w:usb3="00000000" w:csb0="00000020" w:csb1="002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1"/>
        </w:rPr>
        <w:footnoteRef/>
      </w:r>
      <w:r>
        <w:t>各评分因素</w:t>
      </w:r>
      <w:r>
        <w:rPr>
          <w:lang w:bidi="en-US"/>
        </w:rPr>
        <w:t>（</w:t>
      </w:r>
      <w:r>
        <w:t>评标价和履约信誉评分项除外）得分一般不得低于其权重分值的60%，且各评分因素得分应以评标委员会各成员的打分平均值确定</w:t>
      </w:r>
      <w:r>
        <w:rPr>
          <w:rFonts w:hint="eastAsia"/>
        </w:rPr>
        <w:t>，该平均值以去掉两个最高分和两个最低分后计算。评标委员会成员对某一项评分因素的评分低于权重分值60%的，应在评标报告中作出说明。</w:t>
      </w:r>
    </w:p>
  </w:footnote>
  <w:footnote w:id="1">
    <w:p>
      <w:pPr>
        <w:pStyle w:val="6"/>
      </w:pPr>
      <w:r>
        <w:rPr>
          <w:rStyle w:val="11"/>
        </w:rPr>
        <w:footnoteRef/>
      </w:r>
      <w:r>
        <w:t>各评分因素</w:t>
      </w:r>
      <w:r>
        <w:rPr>
          <w:lang w:bidi="en-US"/>
        </w:rPr>
        <w:t>（</w:t>
      </w:r>
      <w:r>
        <w:t>评标价和履约信誉评分项除外）得分一般不得低于其权重分值的60%，且各评分因素得分应以评标委员会各成员的打分平均值确定。评标委员会成员对某一项评分因素的评分低于权重分值60%的</w:t>
      </w:r>
      <w:r>
        <w:rPr>
          <w:rFonts w:hint="eastAsia"/>
        </w:rPr>
        <w:t>，应在评标报告中做出说明。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383"/>
    <w:multiLevelType w:val="multilevel"/>
    <w:tmpl w:val="0B531383"/>
    <w:lvl w:ilvl="0" w:tentative="0">
      <w:start w:val="1"/>
      <w:numFmt w:val="chineseCountingThousand"/>
      <w:lvlText w:val="%1、"/>
      <w:lvlJc w:val="left"/>
      <w:pPr>
        <w:ind w:left="420" w:hanging="420"/>
      </w:pPr>
      <w:rPr>
        <w:rFonts w:hint="eastAsia"/>
        <w:b w:val="0"/>
        <w:i w:val="0"/>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9C77D0"/>
    <w:multiLevelType w:val="multilevel"/>
    <w:tmpl w:val="179C77D0"/>
    <w:lvl w:ilvl="0" w:tentative="0">
      <w:start w:val="1"/>
      <w:numFmt w:val="decimal"/>
      <w:lvlText w:val="（%1）"/>
      <w:lvlJc w:val="left"/>
      <w:rPr>
        <w:rFonts w:hint="eastAsia"/>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2427E2F"/>
    <w:multiLevelType w:val="multilevel"/>
    <w:tmpl w:val="22427E2F"/>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40193698"/>
    <w:multiLevelType w:val="multilevel"/>
    <w:tmpl w:val="40193698"/>
    <w:lvl w:ilvl="0" w:tentative="0">
      <w:start w:val="1"/>
      <w:numFmt w:val="decimal"/>
      <w:lvlText w:val="（%1）"/>
      <w:lvlJc w:val="left"/>
      <w:rPr>
        <w:rFonts w:hint="eastAsia"/>
        <w:b w:val="0"/>
        <w:bCs w:val="0"/>
        <w:i w:val="0"/>
        <w:iCs w:val="0"/>
        <w:smallCaps w:val="0"/>
        <w:strike w:val="0"/>
        <w:color w:val="000000"/>
        <w:spacing w:val="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84715DE"/>
    <w:multiLevelType w:val="multilevel"/>
    <w:tmpl w:val="484715DE"/>
    <w:lvl w:ilvl="0" w:tentative="0">
      <w:start w:val="1"/>
      <w:numFmt w:val="decimal"/>
      <w:lvlText w:val="（%1）"/>
      <w:lvlJc w:val="left"/>
      <w:rPr>
        <w:rFonts w:hint="eastAsia"/>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E875F22"/>
    <w:multiLevelType w:val="multilevel"/>
    <w:tmpl w:val="4E875F22"/>
    <w:lvl w:ilvl="0" w:tentative="0">
      <w:start w:val="3"/>
      <w:numFmt w:val="decimal"/>
      <w:lvlText w:val="%1"/>
      <w:lvlJc w:val="left"/>
      <w:pPr>
        <w:ind w:left="425" w:hanging="425"/>
      </w:pPr>
      <w:rPr>
        <w:rFonts w:hint="eastAsia"/>
        <w:lang w:val="en-US"/>
      </w:rPr>
    </w:lvl>
    <w:lvl w:ilvl="1" w:tentative="0">
      <w:start w:val="1"/>
      <w:numFmt w:val="decimal"/>
      <w:lvlText w:val="%1.%2"/>
      <w:lvlJc w:val="left"/>
      <w:pPr>
        <w:ind w:left="992" w:hanging="567"/>
      </w:pPr>
      <w:rPr>
        <w:rFonts w:hint="default" w:ascii="Times New Roman" w:hAnsi="Times New Roman" w:cs="Times New Roman"/>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4F2D2D05"/>
    <w:multiLevelType w:val="multilevel"/>
    <w:tmpl w:val="4F2D2D05"/>
    <w:lvl w:ilvl="0" w:tentative="0">
      <w:start w:val="2"/>
      <w:numFmt w:val="decimal"/>
      <w:lvlText w:val="%1"/>
      <w:lvlJc w:val="left"/>
      <w:pPr>
        <w:ind w:left="425" w:hanging="425"/>
      </w:pPr>
      <w:rPr>
        <w:rFonts w:hint="eastAsia"/>
      </w:rPr>
    </w:lvl>
    <w:lvl w:ilvl="1" w:tentative="0">
      <w:start w:val="1"/>
      <w:numFmt w:val="decimal"/>
      <w:lvlText w:val="%1.%2"/>
      <w:lvlJc w:val="left"/>
      <w:pPr>
        <w:ind w:left="992" w:hanging="567"/>
      </w:pPr>
      <w:rPr>
        <w:rFonts w:hint="default" w:ascii="Times New Roman" w:hAnsi="Times New Roman" w:cs="Times New Roman"/>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54662361"/>
    <w:multiLevelType w:val="multilevel"/>
    <w:tmpl w:val="54662361"/>
    <w:lvl w:ilvl="0" w:tentative="0">
      <w:start w:val="1"/>
      <w:numFmt w:val="decimal"/>
      <w:lvlText w:val="（%1）"/>
      <w:lvlJc w:val="left"/>
      <w:rPr>
        <w:rFonts w:hint="eastAsia"/>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7E94D7C"/>
    <w:multiLevelType w:val="multilevel"/>
    <w:tmpl w:val="57E94D7C"/>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616366E0"/>
    <w:multiLevelType w:val="multilevel"/>
    <w:tmpl w:val="616366E0"/>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3A61BCE"/>
    <w:multiLevelType w:val="multilevel"/>
    <w:tmpl w:val="63A61BCE"/>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C9E2820"/>
    <w:multiLevelType w:val="multilevel"/>
    <w:tmpl w:val="6C9E2820"/>
    <w:lvl w:ilvl="0" w:tentative="0">
      <w:start w:val="1"/>
      <w:numFmt w:val="decimal"/>
      <w:lvlText w:val="（%1）"/>
      <w:lvlJc w:val="left"/>
      <w:rPr>
        <w:rFonts w:hint="eastAsia"/>
        <w:b w:val="0"/>
        <w:bCs w:val="0"/>
        <w:i w:val="0"/>
        <w:iCs w:val="0"/>
        <w:smallCaps w:val="0"/>
        <w:strike w:val="0"/>
        <w:color w:val="000000"/>
        <w:spacing w:val="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6"/>
  </w:num>
  <w:num w:numId="3">
    <w:abstractNumId w:val="5"/>
  </w:num>
  <w:num w:numId="4">
    <w:abstractNumId w:val="3"/>
  </w:num>
  <w:num w:numId="5">
    <w:abstractNumId w:val="11"/>
  </w:num>
  <w:num w:numId="6">
    <w:abstractNumId w:val="4"/>
  </w:num>
  <w:num w:numId="7">
    <w:abstractNumId w:val="7"/>
  </w:num>
  <w:num w:numId="8">
    <w:abstractNumId w:val="1"/>
  </w:num>
  <w:num w:numId="9">
    <w:abstractNumId w:val="1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D87"/>
    <w:rsid w:val="00084AF2"/>
    <w:rsid w:val="001F4D04"/>
    <w:rsid w:val="002A157F"/>
    <w:rsid w:val="002C2DE7"/>
    <w:rsid w:val="002D03DB"/>
    <w:rsid w:val="005D71CD"/>
    <w:rsid w:val="00705B40"/>
    <w:rsid w:val="007206A8"/>
    <w:rsid w:val="00824717"/>
    <w:rsid w:val="009F3D0D"/>
    <w:rsid w:val="00A46B72"/>
    <w:rsid w:val="00CD291B"/>
    <w:rsid w:val="00D16C26"/>
    <w:rsid w:val="00DD5DA6"/>
    <w:rsid w:val="00E60D87"/>
    <w:rsid w:val="00F23EDA"/>
    <w:rsid w:val="03AB60FD"/>
    <w:rsid w:val="13DB00EA"/>
    <w:rsid w:val="14F244CB"/>
    <w:rsid w:val="164A5F40"/>
    <w:rsid w:val="17A21704"/>
    <w:rsid w:val="233F647C"/>
    <w:rsid w:val="25A846CC"/>
    <w:rsid w:val="31145C6C"/>
    <w:rsid w:val="315F7F96"/>
    <w:rsid w:val="31D82B0A"/>
    <w:rsid w:val="38B71F7C"/>
    <w:rsid w:val="3909604B"/>
    <w:rsid w:val="3CC82CFE"/>
    <w:rsid w:val="3D527E27"/>
    <w:rsid w:val="3D81162F"/>
    <w:rsid w:val="4538404A"/>
    <w:rsid w:val="668A07CE"/>
    <w:rsid w:val="6ECC4342"/>
    <w:rsid w:val="6EEA3E1F"/>
    <w:rsid w:val="766077EE"/>
    <w:rsid w:val="79C45B4A"/>
    <w:rsid w:val="7B3B35CB"/>
    <w:rsid w:val="7CA90982"/>
    <w:rsid w:val="7F0744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qFormat/>
    <w:uiPriority w:val="9"/>
    <w:pPr>
      <w:keepNext/>
      <w:keepLines/>
      <w:spacing w:before="260" w:after="260" w:line="416" w:lineRule="auto"/>
      <w:outlineLvl w:val="2"/>
    </w:pPr>
    <w:rPr>
      <w:rFonts w:ascii="Calibri" w:hAnsi="Calibri" w:eastAsia="宋体" w:cs="Times New Roman"/>
      <w:b/>
      <w:bCs/>
      <w:kern w:val="0"/>
      <w:sz w:val="32"/>
      <w:szCs w:val="32"/>
      <w:lang w:val="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3"/>
    <w:unhideWhenUsed/>
    <w:qFormat/>
    <w:uiPriority w:val="99"/>
    <w:pPr>
      <w:snapToGrid w:val="0"/>
      <w:jc w:val="left"/>
    </w:pPr>
    <w:rPr>
      <w:rFonts w:ascii="Calibri" w:hAnsi="Calibri" w:eastAsia="宋体" w:cs="Times New Roman"/>
      <w:kern w:val="0"/>
      <w:sz w:val="18"/>
      <w:szCs w:val="18"/>
      <w:lang w:val="zh-CN"/>
    </w:rPr>
  </w:style>
  <w:style w:type="character" w:styleId="9">
    <w:name w:val="page number"/>
    <w:basedOn w:val="8"/>
    <w:uiPriority w:val="0"/>
  </w:style>
  <w:style w:type="character" w:styleId="10">
    <w:name w:val="Hyperlink"/>
    <w:unhideWhenUsed/>
    <w:qFormat/>
    <w:uiPriority w:val="99"/>
    <w:rPr>
      <w:color w:val="0000FF"/>
      <w:u w:val="single"/>
    </w:rPr>
  </w:style>
  <w:style w:type="character" w:styleId="11">
    <w:name w:val="footnote reference"/>
    <w:qFormat/>
    <w:uiPriority w:val="99"/>
    <w:rPr>
      <w:vertAlign w:val="superscript"/>
    </w:rPr>
  </w:style>
  <w:style w:type="paragraph" w:styleId="12">
    <w:name w:val="List Paragraph"/>
    <w:basedOn w:val="1"/>
    <w:qFormat/>
    <w:uiPriority w:val="34"/>
    <w:pPr>
      <w:ind w:firstLine="420" w:firstLineChars="200"/>
    </w:pPr>
  </w:style>
  <w:style w:type="paragraph" w:customStyle="1" w:styleId="13">
    <w:name w:val="正文文本 (2)"/>
    <w:basedOn w:val="1"/>
    <w:link w:val="24"/>
    <w:qFormat/>
    <w:uiPriority w:val="0"/>
    <w:pPr>
      <w:shd w:val="clear" w:color="auto" w:fill="FFFFFF"/>
      <w:spacing w:before="300" w:line="439" w:lineRule="exact"/>
      <w:jc w:val="distribute"/>
    </w:pPr>
    <w:rPr>
      <w:rFonts w:ascii="宋体" w:hAnsi="宋体"/>
      <w:kern w:val="0"/>
      <w:sz w:val="22"/>
    </w:rPr>
  </w:style>
  <w:style w:type="character" w:customStyle="1" w:styleId="14">
    <w:name w:val="正文文本 (2) + 9 pt"/>
    <w:qFormat/>
    <w:uiPriority w:val="0"/>
    <w:rPr>
      <w:rFonts w:ascii="MingLiU" w:hAnsi="MingLiU" w:eastAsia="MingLiU" w:cs="MingLiU"/>
      <w:color w:val="000000"/>
      <w:spacing w:val="0"/>
      <w:w w:val="100"/>
      <w:position w:val="0"/>
      <w:sz w:val="18"/>
      <w:szCs w:val="18"/>
      <w:u w:val="none"/>
      <w:shd w:val="clear" w:color="auto" w:fill="FFFFFF"/>
      <w:lang w:val="en-US" w:eastAsia="en-US" w:bidi="en-US"/>
    </w:rPr>
  </w:style>
  <w:style w:type="character" w:customStyle="1" w:styleId="15">
    <w:name w:val="正文文本 (2) + 9.5 pt"/>
    <w:qFormat/>
    <w:uiPriority w:val="0"/>
    <w:rPr>
      <w:rFonts w:ascii="MingLiU" w:hAnsi="MingLiU" w:eastAsia="MingLiU" w:cs="MingLiU"/>
      <w:color w:val="000000"/>
      <w:spacing w:val="0"/>
      <w:w w:val="100"/>
      <w:position w:val="0"/>
      <w:sz w:val="19"/>
      <w:szCs w:val="19"/>
      <w:shd w:val="clear" w:color="auto" w:fill="FFFFFF"/>
      <w:lang w:val="zh-TW" w:eastAsia="zh-TW" w:bidi="zh-TW"/>
    </w:rPr>
  </w:style>
  <w:style w:type="character" w:customStyle="1" w:styleId="16">
    <w:name w:val="正文文本 (2) + 10 pt"/>
    <w:qFormat/>
    <w:uiPriority w:val="0"/>
    <w:rPr>
      <w:rFonts w:ascii="MingLiU" w:hAnsi="MingLiU" w:eastAsia="MingLiU" w:cs="MingLiU"/>
      <w:b/>
      <w:bCs/>
      <w:color w:val="000000"/>
      <w:spacing w:val="0"/>
      <w:w w:val="100"/>
      <w:position w:val="0"/>
      <w:sz w:val="20"/>
      <w:szCs w:val="20"/>
      <w:u w:val="none"/>
      <w:lang w:val="zh-TW" w:eastAsia="zh-TW" w:bidi="zh-TW"/>
    </w:rPr>
  </w:style>
  <w:style w:type="character" w:customStyle="1" w:styleId="17">
    <w:name w:val="正文文本 (2) + CordiaUPC"/>
    <w:qFormat/>
    <w:uiPriority w:val="0"/>
    <w:rPr>
      <w:rFonts w:ascii="CordiaUPC" w:hAnsi="CordiaUPC" w:eastAsia="CordiaUPC" w:cs="CordiaUPC"/>
      <w:color w:val="000000"/>
      <w:spacing w:val="0"/>
      <w:w w:val="100"/>
      <w:position w:val="0"/>
      <w:sz w:val="26"/>
      <w:szCs w:val="26"/>
      <w:u w:val="none"/>
      <w:shd w:val="clear" w:color="auto" w:fill="FFFFFF"/>
      <w:lang w:val="en-US" w:eastAsia="en-US" w:bidi="en-US"/>
    </w:rPr>
  </w:style>
  <w:style w:type="character" w:customStyle="1" w:styleId="18">
    <w:name w:val="标题 #7 + 间距 1 pt"/>
    <w:qFormat/>
    <w:uiPriority w:val="0"/>
    <w:rPr>
      <w:rFonts w:ascii="MingLiU" w:hAnsi="MingLiU" w:eastAsia="MingLiU" w:cs="MingLiU"/>
      <w:color w:val="000000"/>
      <w:spacing w:val="20"/>
      <w:w w:val="100"/>
      <w:position w:val="0"/>
      <w:sz w:val="28"/>
      <w:szCs w:val="28"/>
      <w:shd w:val="clear" w:color="auto" w:fill="FFFFFF"/>
      <w:lang w:val="zh-TW" w:eastAsia="zh-TW" w:bidi="zh-TW"/>
    </w:rPr>
  </w:style>
  <w:style w:type="paragraph" w:customStyle="1" w:styleId="19">
    <w:name w:val="正文文本 (18)"/>
    <w:basedOn w:val="1"/>
    <w:qFormat/>
    <w:uiPriority w:val="0"/>
    <w:pPr>
      <w:shd w:val="clear" w:color="auto" w:fill="FFFFFF"/>
      <w:spacing w:line="559" w:lineRule="exact"/>
      <w:jc w:val="left"/>
    </w:pPr>
    <w:rPr>
      <w:rFonts w:ascii="MingLiU" w:hAnsi="MingLiU" w:eastAsia="MingLiU"/>
      <w:spacing w:val="20"/>
      <w:kern w:val="0"/>
      <w:sz w:val="23"/>
      <w:szCs w:val="23"/>
    </w:rPr>
  </w:style>
  <w:style w:type="character" w:customStyle="1" w:styleId="20">
    <w:name w:val="正文文本 (1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21">
    <w:name w:val="正文文本 (2) + Lucida Sans Unicod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22">
    <w:name w:val="标题 #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23">
    <w:name w:val="脚注文本 Char"/>
    <w:link w:val="6"/>
    <w:qFormat/>
    <w:uiPriority w:val="99"/>
    <w:rPr>
      <w:rFonts w:ascii="Calibri" w:hAnsi="Calibri"/>
      <w:sz w:val="18"/>
      <w:szCs w:val="18"/>
      <w:lang w:val="zh-CN"/>
    </w:rPr>
  </w:style>
  <w:style w:type="character" w:customStyle="1" w:styleId="24">
    <w:name w:val="正文文本 (2)_"/>
    <w:link w:val="13"/>
    <w:qFormat/>
    <w:uiPriority w:val="0"/>
    <w:rPr>
      <w:rFonts w:ascii="宋体" w:hAnsi="宋体" w:eastAsiaTheme="minorEastAsia" w:cstheme="minorBidi"/>
      <w:sz w:val="22"/>
      <w:szCs w:val="2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1534</Words>
  <Characters>8745</Characters>
  <Lines>72</Lines>
  <Paragraphs>20</Paragraphs>
  <TotalTime>28</TotalTime>
  <ScaleCrop>false</ScaleCrop>
  <LinksUpToDate>false</LinksUpToDate>
  <CharactersWithSpaces>10259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峰生水起</cp:lastModifiedBy>
  <cp:lastPrinted>2020-01-06T01:25:00Z</cp:lastPrinted>
  <dcterms:modified xsi:type="dcterms:W3CDTF">2020-01-10T05:07:15Z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