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7DB4C">
      <w:pPr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洮南市2025年农村公路“畅返不畅”工程施工招标公告</w:t>
      </w:r>
    </w:p>
    <w:p w14:paraId="24756DD0">
      <w:pPr>
        <w:jc w:val="center"/>
        <w:rPr>
          <w:rFonts w:hint="eastAsia" w:ascii="宋体" w:hAnsi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none"/>
        </w:rPr>
        <w:t>（招标项目编号：BCS20260123JTGC01）</w:t>
      </w:r>
    </w:p>
    <w:p w14:paraId="600059C6">
      <w:pPr>
        <w:spacing w:line="48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bookmarkStart w:id="0" w:name="_Hlk196377072"/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1.招标条件</w:t>
      </w:r>
    </w:p>
    <w:p w14:paraId="476ECC3F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本招标项目</w:t>
      </w:r>
      <w:bookmarkStart w:id="1" w:name="OLE_LINK6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洮南市2025年农村公路“畅返不畅”工程已由洮南市发展和改革局以“洮发改审批[2025]38号”文件批准建设。施工图设计已由洮南市交通运输局以“洮交审发[2025]4号”完成批复。</w:t>
      </w:r>
      <w:bookmarkEnd w:id="1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招标人为</w:t>
      </w:r>
      <w:bookmarkStart w:id="2" w:name="OLE_LINK2"/>
      <w:bookmarkStart w:id="3" w:name="_Hlk195013983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洮南市公路建设服务中心</w:t>
      </w:r>
      <w:bookmarkEnd w:id="2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，建设资金来源为上级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补贴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资金及地方自筹资金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出资比例为地方自筹85%，上级补贴15%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  <w:bookmarkEnd w:id="3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项目已具备招标条件，现对该项目的施工进行公开招标。</w:t>
      </w:r>
    </w:p>
    <w:p w14:paraId="4D446641">
      <w:pPr>
        <w:spacing w:line="48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2.项目概况与招标范围</w:t>
      </w:r>
    </w:p>
    <w:p w14:paraId="771D483D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bookmarkStart w:id="4" w:name="_Toc474500997"/>
      <w:bookmarkStart w:id="5" w:name="_Toc22598"/>
      <w:bookmarkStart w:id="6" w:name="_Toc6567705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2.1建设地点：洮南市10个乡镇。</w:t>
      </w:r>
    </w:p>
    <w:p w14:paraId="6629D087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2.2规模：本项目涉及安定镇、呼和车力蒙古族乡、二龙乡、福顺镇、黑水镇、蛟流河乡、聚宝乡、万宝镇、向阳街道、永茂乡共10个乡（镇），建设总规模117.641公里。全部为设计时速15km/h的四级公路，土路肩宽度2×0/0.5/0.75米，沥青路面：面层为5cm中粒式沥青混凝土（AC-16）+1cm面层调平层，水泥路面：20cm水泥混凝土面层+20cm级配砂砾。</w:t>
      </w:r>
    </w:p>
    <w:p w14:paraId="7C2C17E5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2.3计划工期：2026年0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月1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日至202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日，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295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日历天。</w:t>
      </w:r>
    </w:p>
    <w:p w14:paraId="5BF7E90A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2.4招标范围：施工图设计范围内的所有工程的施工（具体内容详见工程量清单）。</w:t>
      </w:r>
    </w:p>
    <w:p w14:paraId="053518CB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2.5标段划分：本次招标共划分为一个标段，即SG01标段。</w:t>
      </w:r>
    </w:p>
    <w:p w14:paraId="55E18402">
      <w:pPr>
        <w:spacing w:line="48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3.投标人资格要求</w:t>
      </w:r>
      <w:bookmarkEnd w:id="4"/>
      <w:bookmarkEnd w:id="5"/>
      <w:bookmarkEnd w:id="6"/>
    </w:p>
    <w:p w14:paraId="79C037F4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3.1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 本次招标要求投标人须具备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主管部门颁发的公路工程施工总承包二级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含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二级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以上资质或路基路面养护乙级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甲级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资质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并在人员、设备、资金等方面具有相应的施工能力。</w:t>
      </w:r>
    </w:p>
    <w:p w14:paraId="010681B0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注：投标人（仅指根据厅公路字〔2011〕114 号文件应进入名录的企业）应进入交通运输部“全国公路建设市场监督管理系统”网址：（https://hwdms.mot.gov.cn/BMWebSite/index.jsp）中的公路工程施工资质企业名录，且投标人名称和资质与该名录中的相应企业名称和资质完全一致。</w:t>
      </w:r>
    </w:p>
    <w:p w14:paraId="72E97761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bookmarkStart w:id="7" w:name="_Toc6567706"/>
      <w:bookmarkStart w:id="8" w:name="_Toc17765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3.2本次招标不接受联合体投标。</w:t>
      </w:r>
    </w:p>
    <w:p w14:paraId="767AC3F8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3.3与招标人存在利害关系可能影响招标公正性的单位，不得参加投标。单位负责人为同一人或存在控股、管理关系的不同单位，不得参加同一标段投标。</w:t>
      </w:r>
    </w:p>
    <w:p w14:paraId="7897CDF3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3.4在“信用中国”网站（http://www.creditchina.gov.cn/）中被列入失信被执行人名单的投标人，不得参加投标，否则，相关投标均无效。</w:t>
      </w:r>
    </w:p>
    <w:p w14:paraId="47DECA4D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bookmarkStart w:id="9" w:name="_Toc474500999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3.5本次施工招标采用资格后审方式的双信封形式技术评分最低标价法。</w:t>
      </w:r>
    </w:p>
    <w:bookmarkEnd w:id="0"/>
    <w:bookmarkEnd w:id="9"/>
    <w:p w14:paraId="15FECB85">
      <w:pPr>
        <w:spacing w:line="48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4.招标文件的获取</w:t>
      </w:r>
      <w:bookmarkEnd w:id="7"/>
      <w:bookmarkEnd w:id="8"/>
    </w:p>
    <w:p w14:paraId="1F578BC5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bookmarkStart w:id="10" w:name="_Toc474501000"/>
      <w:bookmarkStart w:id="11" w:name="_Toc6567707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4.1 凡有意参加投标者，请于2026年01月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日至2026年0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3日，登录吉林省公共资源交易一体化平台（https://www.ggzyyth.jl.cn/TPBidder）免费下载招标文件。</w:t>
      </w:r>
    </w:p>
    <w:p w14:paraId="0AEC9CFE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4.2本项目的变更、招标文件修改和澄清等信息将在吉林省公共资源交易一体化平台(https://www.ggzyyth.jl.cn/TPBidder）上发布</w:t>
      </w:r>
      <w:bookmarkStart w:id="12" w:name="OfficeAI_Add_2_78"/>
      <w:r>
        <w:rPr>
          <w:rFonts w:hint="eastAsia" w:ascii="宋体" w:hAnsi="宋体" w:eastAsia="宋体" w:cs="宋体"/>
          <w:bCs/>
          <w:color w:val="008000"/>
          <w:sz w:val="28"/>
          <w:szCs w:val="28"/>
          <w:highlight w:val="none"/>
        </w:rPr>
        <w:t>，</w:t>
      </w:r>
      <w:bookmarkEnd w:id="12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请潜在投标人在参与本项目活动期间随时关注网站信息，否则出现一切后果由投标人自负。</w:t>
      </w:r>
    </w:p>
    <w:p w14:paraId="4AE7C7A5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4.3有效投标人不足三家时，招标人另行组织招标。</w:t>
      </w:r>
    </w:p>
    <w:p w14:paraId="53794EE1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4.4本工程全部实行电子化投标。</w:t>
      </w:r>
    </w:p>
    <w:p w14:paraId="47BE9DA7">
      <w:pPr>
        <w:spacing w:line="48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bookmarkStart w:id="13" w:name="_Toc12647"/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5.投标文件的递交</w:t>
      </w:r>
      <w:bookmarkEnd w:id="10"/>
      <w:bookmarkEnd w:id="11"/>
      <w:bookmarkEnd w:id="13"/>
    </w:p>
    <w:p w14:paraId="26B389D0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bookmarkStart w:id="14" w:name="_Toc6567708"/>
      <w:bookmarkStart w:id="15" w:name="_Toc474501001"/>
      <w:bookmarkStart w:id="16" w:name="_Toc18612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5.1招标人不组织工程现场踏勘和投标预备会。</w:t>
      </w:r>
    </w:p>
    <w:p w14:paraId="78E04CFB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5.2 投标文件递交的截止时间（投标截止时间，下同）为</w:t>
      </w:r>
      <w:bookmarkStart w:id="17" w:name="_Hlk219447449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2026年02月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日9时00分</w:t>
      </w:r>
      <w:bookmarkEnd w:id="17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，投标人应在投标截止时间前将加密的电子投标文件上传至“吉林省公共资源交易一体化平台”。逾期上传的电子投标文件，电子招标投标交易平台将予以拒收。</w:t>
      </w:r>
    </w:p>
    <w:p w14:paraId="1A8B6102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5.3投标文件第一个信封（商务及技术文件）开标时间：同投标截止时间，开标地点：白城市公共资源交易中心（白城市公园东路14号政务大厅）；投标文件第二个信封（报价文件）开标时间：2026年02月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日12时00分，开标地点：白城市公共资源交易中心（白城市公园东路14号政务大厅）。</w:t>
      </w:r>
      <w:bookmarkStart w:id="23" w:name="_GoBack"/>
      <w:bookmarkEnd w:id="23"/>
    </w:p>
    <w:p w14:paraId="6BAAD61F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5.4本项目实施网上远程开标，投标人通过“一体化平台”进行投标文件远程解密。</w:t>
      </w:r>
    </w:p>
    <w:p w14:paraId="108302E2">
      <w:pPr>
        <w:spacing w:line="48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6.发布公告的媒介</w:t>
      </w:r>
      <w:bookmarkEnd w:id="14"/>
      <w:bookmarkEnd w:id="15"/>
      <w:bookmarkEnd w:id="16"/>
    </w:p>
    <w:p w14:paraId="756DE3DF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bookmarkStart w:id="18" w:name="_Hlk195169446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6.1本次招标公告同时在</w:t>
      </w:r>
      <w:bookmarkStart w:id="19" w:name="OLE_LINK12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中国招标投标公共服务平台、白城市公共资源交易平台（同步推送至吉林省公共资源交易公共服务平台）、白城市交通运输局网站和吉林诚仪工程咨询网上</w:t>
      </w:r>
      <w:bookmarkEnd w:id="19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发布。</w:t>
      </w:r>
    </w:p>
    <w:p w14:paraId="5316B2FD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6.2招标文件关键内容将在白城市交通运输局网站公开。</w:t>
      </w:r>
      <w:bookmarkStart w:id="20" w:name="_Toc6567709"/>
      <w:bookmarkStart w:id="21" w:name="_Toc474501003"/>
    </w:p>
    <w:bookmarkEnd w:id="18"/>
    <w:p w14:paraId="58D52A8C">
      <w:pPr>
        <w:spacing w:line="480" w:lineRule="auto"/>
        <w:ind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7.联系方式</w:t>
      </w:r>
      <w:bookmarkEnd w:id="20"/>
      <w:bookmarkEnd w:id="21"/>
    </w:p>
    <w:p w14:paraId="23BAD933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招标人：洮南市公路建设服务中心</w:t>
      </w:r>
    </w:p>
    <w:p w14:paraId="1B104E51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zh-CN"/>
        </w:rPr>
        <w:t>地  址：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洮南市建设东路775号</w:t>
      </w:r>
    </w:p>
    <w:p w14:paraId="562BBFED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zh-CN"/>
        </w:rPr>
        <w:t>联系人：</w:t>
      </w:r>
      <w:bookmarkStart w:id="22" w:name="OLE_LINK7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 xml:space="preserve">李喜 </w:t>
      </w:r>
      <w:bookmarkEnd w:id="22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 xml:space="preserve"> </w:t>
      </w:r>
    </w:p>
    <w:p w14:paraId="726C1162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zh-CN"/>
        </w:rPr>
        <w:t>电  话：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0436-6322346</w:t>
      </w:r>
    </w:p>
    <w:p w14:paraId="3B2FEC9D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招标代理机构：吉林诚仪工程咨询有限公司</w:t>
      </w:r>
    </w:p>
    <w:p w14:paraId="0D261547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地    址：白城市生态新区鼎山路939楼三层</w:t>
      </w:r>
    </w:p>
    <w:p w14:paraId="3142B063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邮    编：137000</w:t>
      </w:r>
    </w:p>
    <w:p w14:paraId="011DF084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联 系 人：姚瑶 杨乐</w:t>
      </w:r>
    </w:p>
    <w:p w14:paraId="6158131F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电    话：0436-6980075</w:t>
      </w:r>
    </w:p>
    <w:p w14:paraId="7511532B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bCs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zh-CN"/>
        </w:rPr>
        <w:t>监督部门：</w:t>
      </w:r>
    </w:p>
    <w:p w14:paraId="6AF4D6FB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洮南市交通运输局</w:t>
      </w:r>
    </w:p>
    <w:p w14:paraId="0C4CC465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白城市公路管理处</w:t>
      </w:r>
    </w:p>
    <w:p w14:paraId="00E748C6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地    址：白城市洮北区青年南大街7号</w:t>
      </w:r>
    </w:p>
    <w:p w14:paraId="40C0AD2D">
      <w:pPr>
        <w:spacing w:line="48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电    话：0436-3200011</w:t>
      </w:r>
    </w:p>
    <w:p w14:paraId="483EE3E7">
      <w:pPr>
        <w:rPr>
          <w:rFonts w:hint="eastAsia" w:ascii="宋体" w:hAnsi="宋体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0E"/>
    <w:rsid w:val="0012778C"/>
    <w:rsid w:val="00197F3D"/>
    <w:rsid w:val="00256DEC"/>
    <w:rsid w:val="003E3DD1"/>
    <w:rsid w:val="004D2A2D"/>
    <w:rsid w:val="00531821"/>
    <w:rsid w:val="007606D2"/>
    <w:rsid w:val="008F33A0"/>
    <w:rsid w:val="00A061FA"/>
    <w:rsid w:val="00A4498E"/>
    <w:rsid w:val="00AE18D9"/>
    <w:rsid w:val="00B63DF5"/>
    <w:rsid w:val="00DD3473"/>
    <w:rsid w:val="00E73538"/>
    <w:rsid w:val="00F67BA2"/>
    <w:rsid w:val="00FC3A0E"/>
    <w:rsid w:val="055C0026"/>
    <w:rsid w:val="09D77BC4"/>
    <w:rsid w:val="1AFD3983"/>
    <w:rsid w:val="2D6E5962"/>
    <w:rsid w:val="35400AD0"/>
    <w:rsid w:val="39366AC8"/>
    <w:rsid w:val="40436828"/>
    <w:rsid w:val="50BD6D7C"/>
    <w:rsid w:val="55F83D2E"/>
    <w:rsid w:val="669F59CE"/>
    <w:rsid w:val="6832131A"/>
    <w:rsid w:val="6A37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5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6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7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8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9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10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Times New Roman" w:hAnsi="Times New Roman"/>
      <w:sz w:val="28"/>
      <w:szCs w:val="24"/>
    </w:rPr>
  </w:style>
  <w:style w:type="paragraph" w:styleId="3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7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8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8"/>
    <w:link w:val="9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引用 字符"/>
    <w:basedOn w:val="18"/>
    <w:link w:val="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2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</w:rPr>
  </w:style>
  <w:style w:type="character" w:customStyle="1" w:styleId="34">
    <w:name w:val="明显引用 字符"/>
    <w:basedOn w:val="18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7">
    <w:name w:val="页脚 字符"/>
    <w:basedOn w:val="18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1529</Words>
  <Characters>1879</Characters>
  <Lines>23</Lines>
  <Paragraphs>57</Paragraphs>
  <TotalTime>1</TotalTime>
  <ScaleCrop>false</ScaleCrop>
  <LinksUpToDate>false</LinksUpToDate>
  <CharactersWithSpaces>1912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2025-04-23T08:29:00Z</dcterms:created>
  <dc:creator>Administrator</dc:creator>
  <cp:lastModifiedBy>57689</cp:lastModifiedBy>
  <cp:lastPrinted>2025-04-24T00:54:00Z</cp:lastPrinted>
  <dcterms:modified xsi:type="dcterms:W3CDTF">2026-01-27T01:39:04Z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eyJoZGlkIjoiMTA5MmRjZDQ0ZDlkYWE3NTdjZTA4ZjE1YzQ0NzM3MTkiLCJ1c2VySWQiOiI5MjExNzM5OTgifQ==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A61AE7682F3D47A1BCBA5434BAE03B7B_12</vt:lpwstr>
  </property>
</Properties>
</file>