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D997">
      <w:pPr>
        <w:autoSpaceDE w:val="0"/>
        <w:autoSpaceDN w:val="0"/>
        <w:adjustRightInd w:val="0"/>
        <w:ind w:firstLine="643"/>
        <w:jc w:val="center"/>
        <w:outlineLvl w:val="0"/>
        <w:rPr>
          <w:rFonts w:hint="eastAsia" w:cs="宋体" w:asciiTheme="minorEastAsia" w:hAnsiTheme="minorEastAsia" w:eastAsiaTheme="minorEastAsia"/>
          <w:b/>
          <w:sz w:val="44"/>
          <w:szCs w:val="44"/>
          <w:highlight w:val="none"/>
        </w:rPr>
      </w:pPr>
      <w:bookmarkStart w:id="0" w:name="_Hlk194407607"/>
      <w:bookmarkStart w:id="1" w:name="_Toc10481"/>
      <w:bookmarkStart w:id="2" w:name="_Toc12338"/>
      <w:r>
        <w:rPr>
          <w:rFonts w:hint="eastAsia" w:ascii="宋体" w:hAnsi="宋体" w:cs="宋体"/>
          <w:b/>
          <w:sz w:val="44"/>
          <w:szCs w:val="44"/>
          <w:highlight w:val="none"/>
          <w:lang w:val="en-US" w:eastAsia="zh-CN"/>
        </w:rPr>
        <w:t>通榆县“十五五”期间（2026年-2030年）农村公路小修保养工程</w:t>
      </w:r>
      <w:r>
        <w:rPr>
          <w:rFonts w:hint="eastAsia" w:ascii="宋体" w:hAnsi="宋体" w:cs="宋体"/>
          <w:b/>
          <w:sz w:val="44"/>
          <w:szCs w:val="44"/>
          <w:highlight w:val="none"/>
        </w:rPr>
        <w:t>招标</w:t>
      </w:r>
      <w:bookmarkEnd w:id="0"/>
      <w:r>
        <w:rPr>
          <w:rFonts w:hint="eastAsia" w:ascii="宋体" w:hAnsi="宋体" w:cs="宋体"/>
          <w:b/>
          <w:sz w:val="44"/>
          <w:szCs w:val="44"/>
          <w:highlight w:val="none"/>
        </w:rPr>
        <w:t>文件关键内容信息公开</w:t>
      </w:r>
    </w:p>
    <w:bookmarkEnd w:id="1"/>
    <w:bookmarkEnd w:id="2"/>
    <w:p w14:paraId="28C07F12">
      <w:pPr>
        <w:spacing w:line="360" w:lineRule="auto"/>
        <w:ind w:firstLine="562" w:firstLineChars="200"/>
        <w:jc w:val="center"/>
        <w:rPr>
          <w:rFonts w:hint="eastAsia" w:ascii="宋体" w:hAnsi="宋体" w:eastAsia="宋体" w:cs="宋体"/>
          <w:b/>
          <w:kern w:val="0"/>
          <w:sz w:val="28"/>
          <w:szCs w:val="28"/>
          <w:highlight w:val="none"/>
          <w:lang w:val="en-US" w:eastAsia="zh-CN"/>
        </w:rPr>
      </w:pPr>
      <w:bookmarkStart w:id="3" w:name="_Hlk195885467"/>
      <w:r>
        <w:rPr>
          <w:rFonts w:hint="eastAsia" w:ascii="宋体" w:hAnsi="宋体" w:cs="宋体"/>
          <w:b/>
          <w:kern w:val="0"/>
          <w:sz w:val="28"/>
          <w:szCs w:val="28"/>
          <w:highlight w:val="none"/>
        </w:rPr>
        <w:t>招标项目编号：</w:t>
      </w:r>
      <w:bookmarkEnd w:id="3"/>
      <w:bookmarkStart w:id="4" w:name="_Toc474500999"/>
      <w:r>
        <w:rPr>
          <w:rFonts w:hint="eastAsia" w:ascii="宋体" w:hAnsi="宋体" w:cs="宋体"/>
          <w:b/>
          <w:kern w:val="0"/>
          <w:sz w:val="28"/>
          <w:szCs w:val="28"/>
          <w:highlight w:val="none"/>
          <w:lang w:val="en-US" w:eastAsia="zh-CN"/>
        </w:rPr>
        <w:t xml:space="preserve"> BCS20260429JTGC01002</w:t>
      </w:r>
      <w:bookmarkStart w:id="29" w:name="_GoBack"/>
      <w:bookmarkEnd w:id="29"/>
    </w:p>
    <w:bookmarkEnd w:id="4"/>
    <w:p w14:paraId="6D412BAA">
      <w:pPr>
        <w:spacing w:before="250" w:line="228" w:lineRule="auto"/>
        <w:ind w:left="433"/>
        <w:rPr>
          <w:rFonts w:ascii="宋体" w:hAnsi="宋体" w:eastAsia="宋体" w:cs="宋体"/>
          <w:sz w:val="20"/>
          <w:szCs w:val="20"/>
          <w:highlight w:val="none"/>
        </w:rPr>
      </w:pPr>
      <w:bookmarkStart w:id="5" w:name="_Hlk196377072"/>
      <w:r>
        <w:rPr>
          <w:rFonts w:ascii="宋体" w:hAnsi="宋体" w:eastAsia="宋体" w:cs="宋体"/>
          <w:b/>
          <w:bCs/>
          <w:spacing w:val="2"/>
          <w:sz w:val="20"/>
          <w:szCs w:val="20"/>
          <w:highlight w:val="none"/>
        </w:rPr>
        <w:t>1.招标条件</w:t>
      </w:r>
    </w:p>
    <w:p w14:paraId="35A48CD7">
      <w:pPr>
        <w:spacing w:before="221" w:line="432" w:lineRule="auto"/>
        <w:ind w:left="4" w:firstLine="414"/>
        <w:rPr>
          <w:rFonts w:ascii="宋体" w:hAnsi="宋体" w:eastAsia="宋体" w:cs="宋体"/>
          <w:sz w:val="20"/>
          <w:szCs w:val="20"/>
          <w:highlight w:val="none"/>
        </w:rPr>
      </w:pPr>
      <w:r>
        <w:rPr>
          <w:rFonts w:ascii="宋体" w:hAnsi="宋体" w:eastAsia="宋体" w:cs="宋体"/>
          <w:spacing w:val="8"/>
          <w:sz w:val="20"/>
          <w:szCs w:val="20"/>
          <w:highlight w:val="none"/>
        </w:rPr>
        <w:t>本招标项目</w:t>
      </w:r>
      <w:r>
        <w:rPr>
          <w:rFonts w:hint="eastAsia" w:ascii="宋体" w:hAnsi="宋体" w:eastAsia="宋体" w:cs="宋体"/>
          <w:spacing w:val="8"/>
          <w:sz w:val="20"/>
          <w:szCs w:val="20"/>
          <w:highlight w:val="none"/>
          <w:lang w:eastAsia="zh-CN"/>
        </w:rPr>
        <w:t>通榆县“十五五”期间（2026年-2030年）农村公路小修保养工程</w:t>
      </w:r>
      <w:r>
        <w:rPr>
          <w:rFonts w:ascii="宋体" w:hAnsi="宋体" w:eastAsia="宋体" w:cs="宋体"/>
          <w:spacing w:val="8"/>
          <w:sz w:val="20"/>
          <w:szCs w:val="20"/>
          <w:highlight w:val="none"/>
        </w:rPr>
        <w:t>已由上级部门批准实施。招标人为</w:t>
      </w:r>
      <w:r>
        <w:rPr>
          <w:rFonts w:hint="eastAsia" w:ascii="宋体" w:hAnsi="宋体" w:eastAsia="宋体" w:cs="宋体"/>
          <w:spacing w:val="8"/>
          <w:sz w:val="20"/>
          <w:szCs w:val="20"/>
          <w:highlight w:val="none"/>
          <w:lang w:eastAsia="zh-CN"/>
        </w:rPr>
        <w:t>通榆县交通运输局</w:t>
      </w:r>
      <w:r>
        <w:rPr>
          <w:rFonts w:ascii="宋体" w:hAnsi="宋体" w:eastAsia="宋体" w:cs="宋体"/>
          <w:spacing w:val="7"/>
          <w:sz w:val="20"/>
          <w:szCs w:val="20"/>
          <w:highlight w:val="none"/>
        </w:rPr>
        <w:t>，养护资金来自地方财政。项目已具备招标条件，现对该项目进行公开招标。</w:t>
      </w:r>
    </w:p>
    <w:p w14:paraId="009DDC85">
      <w:pPr>
        <w:spacing w:line="227" w:lineRule="auto"/>
        <w:ind w:left="420"/>
        <w:rPr>
          <w:rFonts w:ascii="宋体" w:hAnsi="宋体" w:eastAsia="宋体" w:cs="宋体"/>
          <w:sz w:val="20"/>
          <w:szCs w:val="20"/>
          <w:highlight w:val="none"/>
        </w:rPr>
      </w:pPr>
      <w:r>
        <w:rPr>
          <w:rFonts w:ascii="宋体" w:hAnsi="宋体" w:eastAsia="宋体" w:cs="宋体"/>
          <w:b/>
          <w:bCs/>
          <w:spacing w:val="6"/>
          <w:sz w:val="20"/>
          <w:szCs w:val="20"/>
          <w:highlight w:val="none"/>
        </w:rPr>
        <w:t>2.项目概况与招标范围</w:t>
      </w:r>
    </w:p>
    <w:p w14:paraId="79D65D07">
      <w:pPr>
        <w:spacing w:before="221" w:line="360" w:lineRule="auto"/>
        <w:ind w:left="420"/>
        <w:rPr>
          <w:rFonts w:ascii="宋体" w:hAnsi="宋体" w:eastAsia="宋体" w:cs="宋体"/>
          <w:sz w:val="20"/>
          <w:szCs w:val="20"/>
          <w:highlight w:val="none"/>
        </w:rPr>
      </w:pPr>
      <w:r>
        <w:rPr>
          <w:rFonts w:ascii="宋体" w:hAnsi="宋体" w:eastAsia="宋体" w:cs="宋体"/>
          <w:spacing w:val="6"/>
          <w:sz w:val="20"/>
          <w:szCs w:val="20"/>
          <w:highlight w:val="none"/>
        </w:rPr>
        <w:t>2.1</w:t>
      </w:r>
      <w:r>
        <w:rPr>
          <w:rFonts w:ascii="宋体" w:hAnsi="宋体" w:eastAsia="宋体" w:cs="宋体"/>
          <w:spacing w:val="-31"/>
          <w:sz w:val="20"/>
          <w:szCs w:val="20"/>
          <w:highlight w:val="none"/>
        </w:rPr>
        <w:t xml:space="preserve"> </w:t>
      </w:r>
      <w:r>
        <w:rPr>
          <w:rFonts w:ascii="宋体" w:hAnsi="宋体" w:eastAsia="宋体" w:cs="宋体"/>
          <w:spacing w:val="6"/>
          <w:sz w:val="20"/>
          <w:szCs w:val="20"/>
          <w:highlight w:val="none"/>
        </w:rPr>
        <w:t>养护地点：</w:t>
      </w:r>
      <w:r>
        <w:rPr>
          <w:rFonts w:hint="eastAsia" w:ascii="宋体" w:hAnsi="宋体" w:eastAsia="宋体" w:cs="宋体"/>
          <w:spacing w:val="8"/>
          <w:sz w:val="20"/>
          <w:szCs w:val="20"/>
          <w:highlight w:val="none"/>
          <w:lang w:eastAsia="zh-CN"/>
        </w:rPr>
        <w:t>通榆县</w:t>
      </w:r>
      <w:r>
        <w:rPr>
          <w:rFonts w:ascii="宋体" w:hAnsi="宋体" w:eastAsia="宋体" w:cs="宋体"/>
          <w:spacing w:val="6"/>
          <w:sz w:val="20"/>
          <w:szCs w:val="20"/>
          <w:highlight w:val="none"/>
        </w:rPr>
        <w:t>境内。</w:t>
      </w:r>
    </w:p>
    <w:p w14:paraId="0D7380B3">
      <w:pPr>
        <w:spacing w:before="1" w:line="360" w:lineRule="auto"/>
        <w:ind w:left="420"/>
        <w:rPr>
          <w:rFonts w:ascii="宋体" w:hAnsi="宋体" w:eastAsia="宋体" w:cs="宋体"/>
          <w:sz w:val="20"/>
          <w:szCs w:val="20"/>
          <w:highlight w:val="none"/>
        </w:rPr>
      </w:pPr>
      <w:r>
        <w:rPr>
          <w:rFonts w:ascii="宋体" w:hAnsi="宋体" w:eastAsia="宋体" w:cs="宋体"/>
          <w:spacing w:val="7"/>
          <w:sz w:val="20"/>
          <w:szCs w:val="20"/>
          <w:highlight w:val="none"/>
        </w:rPr>
        <w:t>2.2</w:t>
      </w:r>
      <w:r>
        <w:rPr>
          <w:rFonts w:ascii="宋体" w:hAnsi="宋体" w:eastAsia="宋体" w:cs="宋体"/>
          <w:spacing w:val="-37"/>
          <w:sz w:val="20"/>
          <w:szCs w:val="20"/>
          <w:highlight w:val="none"/>
        </w:rPr>
        <w:t xml:space="preserve"> </w:t>
      </w:r>
      <w:r>
        <w:rPr>
          <w:rFonts w:ascii="宋体" w:hAnsi="宋体" w:eastAsia="宋体" w:cs="宋体"/>
          <w:spacing w:val="7"/>
          <w:sz w:val="20"/>
          <w:szCs w:val="20"/>
          <w:highlight w:val="none"/>
        </w:rPr>
        <w:t>项目概况：</w:t>
      </w:r>
      <w:r>
        <w:rPr>
          <w:rFonts w:hint="eastAsia" w:ascii="宋体" w:hAnsi="宋体" w:eastAsia="宋体" w:cs="宋体"/>
          <w:spacing w:val="7"/>
          <w:sz w:val="20"/>
          <w:szCs w:val="20"/>
          <w:highlight w:val="none"/>
          <w:lang w:eastAsia="zh-CN"/>
        </w:rPr>
        <w:t>通榆县“十五五”期间（2026年-2030年）农村公路小修保养工程</w:t>
      </w:r>
      <w:r>
        <w:rPr>
          <w:rFonts w:hint="eastAsia" w:ascii="宋体" w:hAnsi="宋体" w:eastAsia="宋体" w:cs="宋体"/>
          <w:spacing w:val="6"/>
          <w:sz w:val="20"/>
          <w:szCs w:val="20"/>
          <w:highlight w:val="none"/>
        </w:rPr>
        <w:t>总长以每年吉林省公路管理局下发的年报中录入的通榆县域内农村公路列养里程为准</w:t>
      </w:r>
      <w:r>
        <w:rPr>
          <w:rFonts w:ascii="宋体" w:hAnsi="宋体" w:eastAsia="宋体" w:cs="宋体"/>
          <w:spacing w:val="7"/>
          <w:sz w:val="20"/>
          <w:szCs w:val="20"/>
          <w:highlight w:val="none"/>
        </w:rPr>
        <w:t>。项目主要内容为公路用地范围内路基、路面、桥涵、沿线设施、交通安全设施等项目的</w:t>
      </w:r>
      <w:r>
        <w:rPr>
          <w:rFonts w:hint="eastAsia" w:ascii="宋体" w:hAnsi="宋体" w:eastAsia="宋体" w:cs="宋体"/>
          <w:spacing w:val="7"/>
          <w:sz w:val="20"/>
          <w:szCs w:val="20"/>
          <w:highlight w:val="none"/>
          <w:lang w:val="en-US" w:eastAsia="zh-CN"/>
        </w:rPr>
        <w:t>小修保养</w:t>
      </w:r>
      <w:r>
        <w:rPr>
          <w:rFonts w:ascii="宋体" w:hAnsi="宋体" w:eastAsia="宋体" w:cs="宋体"/>
          <w:spacing w:val="7"/>
          <w:sz w:val="20"/>
          <w:szCs w:val="20"/>
          <w:highlight w:val="none"/>
        </w:rPr>
        <w:t>及防汛、</w:t>
      </w:r>
      <w:r>
        <w:rPr>
          <w:rFonts w:ascii="宋体" w:hAnsi="宋体" w:eastAsia="宋体" w:cs="宋体"/>
          <w:spacing w:val="9"/>
          <w:sz w:val="20"/>
          <w:szCs w:val="20"/>
          <w:highlight w:val="none"/>
        </w:rPr>
        <w:t>除雪防滑</w:t>
      </w:r>
      <w:r>
        <w:rPr>
          <w:rFonts w:hint="eastAsia" w:ascii="宋体" w:hAnsi="宋体" w:eastAsia="宋体" w:cs="宋体"/>
          <w:spacing w:val="9"/>
          <w:sz w:val="20"/>
          <w:szCs w:val="20"/>
          <w:highlight w:val="none"/>
          <w:lang w:eastAsia="zh-CN"/>
        </w:rPr>
        <w:t>、</w:t>
      </w:r>
      <w:r>
        <w:rPr>
          <w:rFonts w:hint="eastAsia" w:ascii="宋体" w:hAnsi="宋体" w:eastAsia="宋体" w:cs="宋体"/>
          <w:spacing w:val="9"/>
          <w:sz w:val="20"/>
          <w:szCs w:val="20"/>
          <w:highlight w:val="none"/>
          <w:lang w:val="en-US" w:eastAsia="zh-CN"/>
        </w:rPr>
        <w:t>临时下达应急抢险任务等</w:t>
      </w:r>
      <w:r>
        <w:rPr>
          <w:rFonts w:ascii="宋体" w:hAnsi="宋体" w:eastAsia="宋体" w:cs="宋体"/>
          <w:spacing w:val="9"/>
          <w:sz w:val="20"/>
          <w:szCs w:val="20"/>
          <w:highlight w:val="none"/>
        </w:rPr>
        <w:t>。</w:t>
      </w:r>
    </w:p>
    <w:p w14:paraId="08AE5E68">
      <w:pPr>
        <w:spacing w:before="1" w:line="360" w:lineRule="auto"/>
        <w:ind w:left="420"/>
        <w:rPr>
          <w:rFonts w:ascii="宋体" w:hAnsi="宋体" w:eastAsia="宋体" w:cs="宋体"/>
          <w:sz w:val="20"/>
          <w:szCs w:val="20"/>
          <w:highlight w:val="none"/>
        </w:rPr>
      </w:pPr>
      <w:r>
        <w:rPr>
          <w:rFonts w:ascii="宋体" w:hAnsi="宋体" w:eastAsia="宋体" w:cs="宋体"/>
          <w:sz w:val="20"/>
          <w:szCs w:val="20"/>
          <w:highlight w:val="none"/>
        </w:rPr>
        <w:t xml:space="preserve">2.3 计划工期：2026 年 </w:t>
      </w:r>
      <w:r>
        <w:rPr>
          <w:rFonts w:hint="eastAsia" w:ascii="宋体" w:hAnsi="宋体" w:eastAsia="宋体" w:cs="宋体"/>
          <w:sz w:val="20"/>
          <w:szCs w:val="20"/>
          <w:highlight w:val="none"/>
          <w:lang w:val="en-US" w:eastAsia="zh-CN"/>
        </w:rPr>
        <w:t>6</w:t>
      </w:r>
      <w:r>
        <w:rPr>
          <w:rFonts w:ascii="宋体" w:hAnsi="宋体" w:eastAsia="宋体" w:cs="宋体"/>
          <w:sz w:val="20"/>
          <w:szCs w:val="20"/>
          <w:highlight w:val="none"/>
        </w:rPr>
        <w:t>月 20 日至 20</w:t>
      </w:r>
      <w:r>
        <w:rPr>
          <w:rFonts w:hint="eastAsia" w:ascii="宋体" w:hAnsi="宋体" w:eastAsia="宋体" w:cs="宋体"/>
          <w:sz w:val="20"/>
          <w:szCs w:val="20"/>
          <w:highlight w:val="none"/>
          <w:lang w:val="en-US" w:eastAsia="zh-CN"/>
        </w:rPr>
        <w:t>30</w:t>
      </w:r>
      <w:r>
        <w:rPr>
          <w:rFonts w:ascii="宋体" w:hAnsi="宋体" w:eastAsia="宋体" w:cs="宋体"/>
          <w:sz w:val="20"/>
          <w:szCs w:val="20"/>
          <w:highlight w:val="none"/>
        </w:rPr>
        <w:t>年 12 月 31 日，共计</w:t>
      </w:r>
      <w:r>
        <w:rPr>
          <w:rFonts w:hint="eastAsia" w:ascii="宋体" w:hAnsi="宋体" w:eastAsia="宋体" w:cs="宋体"/>
          <w:sz w:val="20"/>
          <w:szCs w:val="20"/>
          <w:highlight w:val="none"/>
          <w:lang w:val="en-US" w:eastAsia="zh-CN"/>
        </w:rPr>
        <w:t>165</w:t>
      </w:r>
      <w:r>
        <w:rPr>
          <w:rFonts w:hint="eastAsia" w:ascii="宋体" w:hAnsi="宋体" w:cs="宋体"/>
          <w:sz w:val="20"/>
          <w:szCs w:val="20"/>
          <w:highlight w:val="none"/>
          <w:lang w:val="en-US" w:eastAsia="zh-CN"/>
        </w:rPr>
        <w:t>5</w:t>
      </w:r>
      <w:r>
        <w:rPr>
          <w:rFonts w:ascii="宋体" w:hAnsi="宋体" w:eastAsia="宋体" w:cs="宋体"/>
          <w:sz w:val="20"/>
          <w:szCs w:val="20"/>
          <w:highlight w:val="none"/>
        </w:rPr>
        <w:t>日历天。</w:t>
      </w:r>
    </w:p>
    <w:p w14:paraId="1580DFBE">
      <w:pPr>
        <w:spacing w:before="221" w:line="360" w:lineRule="auto"/>
        <w:ind w:left="420"/>
        <w:rPr>
          <w:rFonts w:ascii="宋体" w:hAnsi="宋体" w:eastAsia="宋体" w:cs="宋体"/>
          <w:sz w:val="20"/>
          <w:szCs w:val="20"/>
          <w:highlight w:val="none"/>
        </w:rPr>
      </w:pPr>
      <w:r>
        <w:rPr>
          <w:rFonts w:ascii="宋体" w:hAnsi="宋体" w:eastAsia="宋体" w:cs="宋体"/>
          <w:spacing w:val="7"/>
          <w:sz w:val="20"/>
          <w:szCs w:val="20"/>
          <w:highlight w:val="none"/>
        </w:rPr>
        <w:t>2.4</w:t>
      </w:r>
      <w:r>
        <w:rPr>
          <w:rFonts w:ascii="宋体" w:hAnsi="宋体" w:eastAsia="宋体" w:cs="宋体"/>
          <w:spacing w:val="-33"/>
          <w:sz w:val="20"/>
          <w:szCs w:val="20"/>
          <w:highlight w:val="none"/>
        </w:rPr>
        <w:t xml:space="preserve"> </w:t>
      </w:r>
      <w:r>
        <w:rPr>
          <w:rFonts w:ascii="宋体" w:hAnsi="宋体" w:eastAsia="宋体" w:cs="宋体"/>
          <w:spacing w:val="7"/>
          <w:sz w:val="20"/>
          <w:szCs w:val="20"/>
          <w:highlight w:val="none"/>
        </w:rPr>
        <w:t>招标范围：</w:t>
      </w:r>
      <w:r>
        <w:rPr>
          <w:rFonts w:hint="eastAsia" w:ascii="宋体" w:hAnsi="宋体" w:eastAsia="宋体" w:cs="宋体"/>
          <w:spacing w:val="7"/>
          <w:sz w:val="20"/>
          <w:szCs w:val="20"/>
          <w:highlight w:val="none"/>
          <w:lang w:eastAsia="zh-CN"/>
        </w:rPr>
        <w:t>通榆县“十五五”期间（2026年-2030年）农村公路小修保养工程</w:t>
      </w:r>
      <w:r>
        <w:rPr>
          <w:rFonts w:ascii="宋体" w:hAnsi="宋体" w:eastAsia="宋体" w:cs="宋体"/>
          <w:spacing w:val="7"/>
          <w:sz w:val="20"/>
          <w:szCs w:val="20"/>
          <w:highlight w:val="none"/>
        </w:rPr>
        <w:t>（具体内容详见工程量清单）。</w:t>
      </w:r>
    </w:p>
    <w:p w14:paraId="2322F8E3">
      <w:pPr>
        <w:spacing w:before="222" w:line="360" w:lineRule="auto"/>
        <w:ind w:right="70" w:firstLine="440" w:firstLineChars="200"/>
        <w:rPr>
          <w:rFonts w:ascii="宋体" w:hAnsi="宋体" w:eastAsia="宋体" w:cs="宋体"/>
          <w:sz w:val="20"/>
          <w:szCs w:val="20"/>
          <w:highlight w:val="none"/>
        </w:rPr>
      </w:pPr>
      <w:r>
        <w:rPr>
          <w:rFonts w:ascii="宋体" w:hAnsi="宋体" w:eastAsia="宋体" w:cs="宋体"/>
          <w:spacing w:val="10"/>
          <w:sz w:val="20"/>
          <w:szCs w:val="20"/>
          <w:highlight w:val="none"/>
        </w:rPr>
        <w:t>2.5</w:t>
      </w:r>
      <w:r>
        <w:rPr>
          <w:rFonts w:ascii="宋体" w:hAnsi="宋体" w:eastAsia="宋体" w:cs="宋体"/>
          <w:spacing w:val="-35"/>
          <w:sz w:val="20"/>
          <w:szCs w:val="20"/>
          <w:highlight w:val="none"/>
        </w:rPr>
        <w:t xml:space="preserve"> </w:t>
      </w:r>
      <w:r>
        <w:rPr>
          <w:rFonts w:ascii="宋体" w:hAnsi="宋体" w:eastAsia="宋体" w:cs="宋体"/>
          <w:spacing w:val="10"/>
          <w:sz w:val="20"/>
          <w:szCs w:val="20"/>
          <w:highlight w:val="none"/>
        </w:rPr>
        <w:t>标段划分：本次招标共划分为一个标段，即</w:t>
      </w:r>
      <w:r>
        <w:rPr>
          <w:rFonts w:ascii="宋体" w:hAnsi="宋体" w:eastAsia="宋体" w:cs="宋体"/>
          <w:spacing w:val="-40"/>
          <w:sz w:val="20"/>
          <w:szCs w:val="20"/>
          <w:highlight w:val="none"/>
        </w:rPr>
        <w:t xml:space="preserve"> </w:t>
      </w:r>
      <w:r>
        <w:rPr>
          <w:rFonts w:ascii="宋体" w:hAnsi="宋体" w:eastAsia="宋体" w:cs="宋体"/>
          <w:sz w:val="20"/>
          <w:szCs w:val="20"/>
          <w:highlight w:val="none"/>
        </w:rPr>
        <w:t>T</w:t>
      </w:r>
      <w:r>
        <w:rPr>
          <w:rFonts w:hint="eastAsia" w:ascii="宋体" w:hAnsi="宋体" w:eastAsia="宋体" w:cs="宋体"/>
          <w:sz w:val="20"/>
          <w:szCs w:val="20"/>
          <w:highlight w:val="none"/>
          <w:lang w:val="en-US" w:eastAsia="zh-CN"/>
        </w:rPr>
        <w:t>Y</w:t>
      </w:r>
      <w:r>
        <w:rPr>
          <w:rFonts w:ascii="宋体" w:hAnsi="宋体" w:eastAsia="宋体" w:cs="宋体"/>
          <w:sz w:val="20"/>
          <w:szCs w:val="20"/>
          <w:highlight w:val="none"/>
        </w:rPr>
        <w:t>YH</w:t>
      </w:r>
      <w:r>
        <w:rPr>
          <w:rFonts w:ascii="宋体" w:hAnsi="宋体" w:eastAsia="宋体" w:cs="宋体"/>
          <w:spacing w:val="10"/>
          <w:sz w:val="20"/>
          <w:szCs w:val="20"/>
          <w:highlight w:val="none"/>
        </w:rPr>
        <w:t>01标段。招标范围为标段对应</w:t>
      </w:r>
      <w:r>
        <w:rPr>
          <w:rFonts w:ascii="宋体" w:hAnsi="宋体" w:eastAsia="宋体" w:cs="宋体"/>
          <w:spacing w:val="7"/>
          <w:sz w:val="20"/>
          <w:szCs w:val="20"/>
          <w:highlight w:val="none"/>
        </w:rPr>
        <w:t>公路用地范围内路基、路面、桥涵、沿线设施、交通安全设施等项目的</w:t>
      </w:r>
      <w:r>
        <w:rPr>
          <w:rFonts w:hint="eastAsia" w:ascii="宋体" w:hAnsi="宋体" w:eastAsia="宋体" w:cs="宋体"/>
          <w:spacing w:val="7"/>
          <w:sz w:val="20"/>
          <w:szCs w:val="20"/>
          <w:highlight w:val="none"/>
          <w:lang w:val="en-US" w:eastAsia="zh-CN"/>
        </w:rPr>
        <w:t>小修保养</w:t>
      </w:r>
      <w:r>
        <w:rPr>
          <w:rFonts w:ascii="宋体" w:hAnsi="宋体" w:eastAsia="宋体" w:cs="宋体"/>
          <w:spacing w:val="7"/>
          <w:sz w:val="20"/>
          <w:szCs w:val="20"/>
          <w:highlight w:val="none"/>
        </w:rPr>
        <w:t>及防汛、</w:t>
      </w:r>
      <w:r>
        <w:rPr>
          <w:rFonts w:ascii="宋体" w:hAnsi="宋体" w:eastAsia="宋体" w:cs="宋体"/>
          <w:spacing w:val="9"/>
          <w:sz w:val="20"/>
          <w:szCs w:val="20"/>
          <w:highlight w:val="none"/>
        </w:rPr>
        <w:t>除雪防滑</w:t>
      </w:r>
      <w:r>
        <w:rPr>
          <w:rFonts w:hint="eastAsia" w:ascii="宋体" w:hAnsi="宋体" w:eastAsia="宋体" w:cs="宋体"/>
          <w:spacing w:val="9"/>
          <w:sz w:val="20"/>
          <w:szCs w:val="20"/>
          <w:highlight w:val="none"/>
          <w:lang w:eastAsia="zh-CN"/>
        </w:rPr>
        <w:t>、</w:t>
      </w:r>
      <w:r>
        <w:rPr>
          <w:rFonts w:hint="eastAsia" w:ascii="宋体" w:hAnsi="宋体" w:eastAsia="宋体" w:cs="宋体"/>
          <w:spacing w:val="9"/>
          <w:sz w:val="20"/>
          <w:szCs w:val="20"/>
          <w:highlight w:val="none"/>
          <w:lang w:val="en-US" w:eastAsia="zh-CN"/>
        </w:rPr>
        <w:t>临时下达应急抢险任务等</w:t>
      </w:r>
      <w:r>
        <w:rPr>
          <w:rFonts w:ascii="宋体" w:hAnsi="宋体" w:eastAsia="宋体" w:cs="宋体"/>
          <w:spacing w:val="9"/>
          <w:sz w:val="20"/>
          <w:szCs w:val="20"/>
          <w:highlight w:val="none"/>
        </w:rPr>
        <w:t>。</w:t>
      </w:r>
    </w:p>
    <w:p w14:paraId="6F7CEBD2">
      <w:pPr>
        <w:spacing w:before="1" w:line="227" w:lineRule="auto"/>
        <w:ind w:left="422"/>
        <w:rPr>
          <w:rFonts w:ascii="宋体" w:hAnsi="宋体" w:eastAsia="宋体" w:cs="宋体"/>
          <w:sz w:val="20"/>
          <w:szCs w:val="20"/>
          <w:highlight w:val="none"/>
        </w:rPr>
      </w:pPr>
      <w:r>
        <w:rPr>
          <w:rFonts w:ascii="宋体" w:hAnsi="宋体" w:eastAsia="宋体" w:cs="宋体"/>
          <w:b/>
          <w:bCs/>
          <w:spacing w:val="5"/>
          <w:sz w:val="20"/>
          <w:szCs w:val="20"/>
          <w:highlight w:val="none"/>
        </w:rPr>
        <w:t>3.投标人资格要求</w:t>
      </w:r>
    </w:p>
    <w:p w14:paraId="146ADEDF">
      <w:pPr>
        <w:spacing w:before="174" w:line="377" w:lineRule="auto"/>
        <w:ind w:right="66" w:firstLine="424"/>
        <w:rPr>
          <w:rFonts w:ascii="宋体" w:hAnsi="宋体" w:eastAsia="宋体" w:cs="宋体"/>
          <w:sz w:val="20"/>
          <w:szCs w:val="20"/>
          <w:highlight w:val="none"/>
        </w:rPr>
      </w:pPr>
      <w:r>
        <w:rPr>
          <w:rFonts w:ascii="宋体" w:hAnsi="宋体" w:eastAsia="宋体" w:cs="宋体"/>
          <w:spacing w:val="7"/>
          <w:sz w:val="20"/>
          <w:szCs w:val="20"/>
          <w:highlight w:val="none"/>
        </w:rPr>
        <w:t xml:space="preserve">3.1 </w:t>
      </w:r>
      <w:r>
        <w:rPr>
          <w:rFonts w:hint="eastAsia" w:ascii="宋体" w:hAnsi="宋体" w:eastAsia="宋体" w:cs="宋体"/>
          <w:spacing w:val="7"/>
          <w:sz w:val="20"/>
          <w:szCs w:val="20"/>
          <w:highlight w:val="none"/>
        </w:rPr>
        <w:t>本次投标人须具备路基路面养护资质乙级或乙级以上资质</w:t>
      </w:r>
      <w:r>
        <w:rPr>
          <w:rFonts w:hint="eastAsia" w:ascii="宋体" w:hAnsi="宋体" w:eastAsia="宋体" w:cs="宋体"/>
          <w:spacing w:val="7"/>
          <w:sz w:val="20"/>
          <w:szCs w:val="20"/>
          <w:highlight w:val="none"/>
          <w:lang w:eastAsia="zh-CN"/>
        </w:rPr>
        <w:t>；</w:t>
      </w:r>
      <w:r>
        <w:rPr>
          <w:rFonts w:hint="eastAsia" w:ascii="宋体" w:hAnsi="宋体" w:eastAsia="宋体" w:cs="宋体"/>
          <w:spacing w:val="7"/>
          <w:sz w:val="20"/>
          <w:szCs w:val="20"/>
          <w:highlight w:val="none"/>
        </w:rPr>
        <w:t>投标人近几年内(即指在202</w:t>
      </w:r>
      <w:r>
        <w:rPr>
          <w:rFonts w:hint="eastAsia" w:ascii="宋体" w:hAnsi="宋体" w:eastAsia="宋体" w:cs="宋体"/>
          <w:spacing w:val="7"/>
          <w:sz w:val="20"/>
          <w:szCs w:val="20"/>
          <w:highlight w:val="none"/>
          <w:lang w:val="en-US" w:eastAsia="zh-CN"/>
        </w:rPr>
        <w:t>1</w:t>
      </w:r>
      <w:r>
        <w:rPr>
          <w:rFonts w:hint="eastAsia" w:ascii="宋体" w:hAnsi="宋体" w:eastAsia="宋体" w:cs="宋体"/>
          <w:spacing w:val="7"/>
          <w:sz w:val="20"/>
          <w:szCs w:val="20"/>
          <w:highlight w:val="none"/>
        </w:rPr>
        <w:t>年1月1日至投标截止时间前竣(交)工的项目)至少完成一项类似工程施工业绩。</w:t>
      </w:r>
      <w:r>
        <w:rPr>
          <w:rFonts w:ascii="宋体" w:hAnsi="宋体" w:eastAsia="宋体" w:cs="宋体"/>
          <w:spacing w:val="9"/>
          <w:sz w:val="20"/>
          <w:szCs w:val="20"/>
          <w:highlight w:val="none"/>
        </w:rPr>
        <w:t>并在人员、设备、资金等方面具有相应的施工</w:t>
      </w:r>
      <w:r>
        <w:rPr>
          <w:rFonts w:ascii="宋体" w:hAnsi="宋体" w:eastAsia="宋体" w:cs="宋体"/>
          <w:spacing w:val="3"/>
          <w:sz w:val="20"/>
          <w:szCs w:val="20"/>
          <w:highlight w:val="none"/>
        </w:rPr>
        <w:t>能力。</w:t>
      </w:r>
    </w:p>
    <w:p w14:paraId="156B8DA4">
      <w:pPr>
        <w:spacing w:before="1" w:line="226" w:lineRule="auto"/>
        <w:ind w:left="422"/>
        <w:rPr>
          <w:rFonts w:ascii="宋体" w:hAnsi="宋体" w:eastAsia="宋体" w:cs="宋体"/>
          <w:sz w:val="20"/>
          <w:szCs w:val="20"/>
          <w:highlight w:val="none"/>
        </w:rPr>
      </w:pPr>
      <w:r>
        <w:rPr>
          <w:rFonts w:ascii="宋体" w:hAnsi="宋体" w:eastAsia="宋体" w:cs="宋体"/>
          <w:spacing w:val="7"/>
          <w:sz w:val="20"/>
          <w:szCs w:val="20"/>
          <w:highlight w:val="none"/>
        </w:rPr>
        <w:t>3.2</w:t>
      </w:r>
      <w:r>
        <w:rPr>
          <w:rFonts w:ascii="宋体" w:hAnsi="宋体" w:eastAsia="宋体" w:cs="宋体"/>
          <w:spacing w:val="-40"/>
          <w:sz w:val="20"/>
          <w:szCs w:val="20"/>
          <w:highlight w:val="none"/>
        </w:rPr>
        <w:t xml:space="preserve"> </w:t>
      </w:r>
      <w:r>
        <w:rPr>
          <w:rFonts w:ascii="宋体" w:hAnsi="宋体" w:eastAsia="宋体" w:cs="宋体"/>
          <w:spacing w:val="7"/>
          <w:sz w:val="20"/>
          <w:szCs w:val="20"/>
          <w:highlight w:val="none"/>
        </w:rPr>
        <w:t>本次招标不接受联合体投标。</w:t>
      </w:r>
    </w:p>
    <w:p w14:paraId="404ED8F1">
      <w:pPr>
        <w:spacing w:before="223" w:line="432" w:lineRule="auto"/>
        <w:ind w:right="162" w:firstLine="421"/>
        <w:rPr>
          <w:rFonts w:ascii="宋体" w:hAnsi="宋体" w:eastAsia="宋体" w:cs="宋体"/>
          <w:sz w:val="20"/>
          <w:szCs w:val="20"/>
          <w:highlight w:val="none"/>
        </w:rPr>
      </w:pPr>
      <w:r>
        <w:rPr>
          <w:rFonts w:ascii="宋体" w:hAnsi="宋体" w:eastAsia="宋体" w:cs="宋体"/>
          <w:spacing w:val="9"/>
          <w:sz w:val="20"/>
          <w:szCs w:val="20"/>
          <w:highlight w:val="none"/>
        </w:rPr>
        <w:t>3.3</w:t>
      </w:r>
      <w:r>
        <w:rPr>
          <w:rFonts w:ascii="宋体" w:hAnsi="宋体" w:eastAsia="宋体" w:cs="宋体"/>
          <w:spacing w:val="-36"/>
          <w:sz w:val="20"/>
          <w:szCs w:val="20"/>
          <w:highlight w:val="none"/>
        </w:rPr>
        <w:t xml:space="preserve"> </w:t>
      </w:r>
      <w:r>
        <w:rPr>
          <w:rFonts w:ascii="宋体" w:hAnsi="宋体" w:eastAsia="宋体" w:cs="宋体"/>
          <w:spacing w:val="9"/>
          <w:sz w:val="20"/>
          <w:szCs w:val="20"/>
          <w:highlight w:val="none"/>
        </w:rPr>
        <w:t>与招标人存在利害关系可能影响招标公正性的单位，不得参加投标。单位负责人为同一人或存在控股、管理关系的不同单位，不得同时参加同一标段投标，否则，相关投标均无效。</w:t>
      </w:r>
    </w:p>
    <w:p w14:paraId="66F38DB1">
      <w:pPr>
        <w:spacing w:before="2" w:line="431" w:lineRule="auto"/>
        <w:ind w:right="164" w:firstLine="421"/>
        <w:rPr>
          <w:rFonts w:ascii="宋体" w:hAnsi="宋体" w:eastAsia="宋体" w:cs="宋体"/>
          <w:sz w:val="20"/>
          <w:szCs w:val="20"/>
          <w:highlight w:val="none"/>
        </w:rPr>
      </w:pPr>
      <w:r>
        <w:rPr>
          <w:rFonts w:ascii="宋体" w:hAnsi="宋体" w:eastAsia="宋体" w:cs="宋体"/>
          <w:spacing w:val="11"/>
          <w:sz w:val="20"/>
          <w:szCs w:val="20"/>
          <w:highlight w:val="none"/>
        </w:rPr>
        <w:t>3.4</w:t>
      </w:r>
      <w:r>
        <w:rPr>
          <w:rFonts w:ascii="宋体" w:hAnsi="宋体" w:eastAsia="宋体" w:cs="宋体"/>
          <w:spacing w:val="-34"/>
          <w:sz w:val="20"/>
          <w:szCs w:val="20"/>
          <w:highlight w:val="none"/>
        </w:rPr>
        <w:t xml:space="preserve"> </w:t>
      </w:r>
      <w:r>
        <w:rPr>
          <w:rFonts w:ascii="宋体" w:hAnsi="宋体" w:eastAsia="宋体" w:cs="宋体"/>
          <w:spacing w:val="11"/>
          <w:sz w:val="20"/>
          <w:szCs w:val="20"/>
          <w:highlight w:val="none"/>
        </w:rPr>
        <w:t>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eastAsia="宋体" w:cs="宋体"/>
          <w:sz w:val="20"/>
          <w:szCs w:val="20"/>
          <w:highlight w:val="none"/>
        </w:rPr>
        <w:t>http</w:t>
      </w:r>
      <w:r>
        <w:rPr>
          <w:rFonts w:ascii="宋体" w:hAnsi="宋体" w:eastAsia="宋体" w:cs="宋体"/>
          <w:spacing w:val="11"/>
          <w:sz w:val="20"/>
          <w:szCs w:val="20"/>
          <w:highlight w:val="none"/>
        </w:rPr>
        <w:t>://</w:t>
      </w:r>
      <w:r>
        <w:rPr>
          <w:rFonts w:ascii="宋体" w:hAnsi="宋体" w:eastAsia="宋体" w:cs="宋体"/>
          <w:sz w:val="20"/>
          <w:szCs w:val="20"/>
          <w:highlight w:val="none"/>
        </w:rPr>
        <w:t>www</w:t>
      </w:r>
      <w:r>
        <w:rPr>
          <w:rFonts w:ascii="宋体" w:hAnsi="宋体" w:eastAsia="宋体" w:cs="宋体"/>
          <w:spacing w:val="11"/>
          <w:sz w:val="20"/>
          <w:szCs w:val="20"/>
          <w:highlight w:val="none"/>
        </w:rPr>
        <w:t>.</w:t>
      </w:r>
      <w:r>
        <w:rPr>
          <w:rFonts w:ascii="宋体" w:hAnsi="宋体" w:eastAsia="宋体" w:cs="宋体"/>
          <w:sz w:val="20"/>
          <w:szCs w:val="20"/>
          <w:highlight w:val="none"/>
        </w:rPr>
        <w:t>creditchina</w:t>
      </w:r>
      <w:r>
        <w:rPr>
          <w:rFonts w:ascii="宋体" w:hAnsi="宋体" w:eastAsia="宋体" w:cs="宋体"/>
          <w:spacing w:val="11"/>
          <w:sz w:val="20"/>
          <w:szCs w:val="20"/>
          <w:highlight w:val="none"/>
        </w:rPr>
        <w:t>.</w:t>
      </w:r>
      <w:r>
        <w:rPr>
          <w:rFonts w:ascii="宋体" w:hAnsi="宋体" w:eastAsia="宋体" w:cs="宋体"/>
          <w:sz w:val="20"/>
          <w:szCs w:val="20"/>
          <w:highlight w:val="none"/>
        </w:rPr>
        <w:t>gov</w:t>
      </w:r>
      <w:r>
        <w:rPr>
          <w:rFonts w:ascii="宋体" w:hAnsi="宋体" w:eastAsia="宋体" w:cs="宋体"/>
          <w:spacing w:val="11"/>
          <w:sz w:val="20"/>
          <w:szCs w:val="20"/>
          <w:highlight w:val="none"/>
        </w:rPr>
        <w:t>.</w:t>
      </w:r>
      <w:r>
        <w:rPr>
          <w:rFonts w:ascii="宋体" w:hAnsi="宋体" w:eastAsia="宋体" w:cs="宋体"/>
          <w:sz w:val="20"/>
          <w:szCs w:val="20"/>
          <w:highlight w:val="none"/>
        </w:rPr>
        <w:t>cn</w:t>
      </w:r>
      <w:r>
        <w:rPr>
          <w:rFonts w:ascii="宋体" w:hAnsi="宋体" w:eastAsia="宋体" w:cs="宋体"/>
          <w:spacing w:val="11"/>
          <w:sz w:val="20"/>
          <w:szCs w:val="20"/>
          <w:highlight w:val="none"/>
        </w:rPr>
        <w:t>/</w:t>
      </w:r>
      <w:r>
        <w:rPr>
          <w:rFonts w:ascii="宋体" w:hAnsi="宋体" w:eastAsia="宋体" w:cs="宋体"/>
          <w:spacing w:val="11"/>
          <w:sz w:val="20"/>
          <w:szCs w:val="20"/>
          <w:highlight w:val="none"/>
        </w:rPr>
        <w:fldChar w:fldCharType="end"/>
      </w:r>
      <w:r>
        <w:rPr>
          <w:rFonts w:ascii="宋体" w:hAnsi="宋体" w:eastAsia="宋体" w:cs="宋体"/>
          <w:spacing w:val="11"/>
          <w:sz w:val="20"/>
          <w:szCs w:val="20"/>
          <w:highlight w:val="none"/>
        </w:rPr>
        <w:t>）中被列入失信被执行人名单的</w:t>
      </w:r>
      <w:r>
        <w:rPr>
          <w:rFonts w:ascii="宋体" w:hAnsi="宋体" w:eastAsia="宋体" w:cs="宋体"/>
          <w:spacing w:val="9"/>
          <w:sz w:val="20"/>
          <w:szCs w:val="20"/>
          <w:highlight w:val="none"/>
        </w:rPr>
        <w:t>投标人，不得参加投标，否则，相关投标均无效。</w:t>
      </w:r>
    </w:p>
    <w:p w14:paraId="789CD074">
      <w:pPr>
        <w:spacing w:line="226" w:lineRule="auto"/>
        <w:ind w:left="422"/>
        <w:rPr>
          <w:rFonts w:hint="eastAsia" w:ascii="宋体" w:hAnsi="宋体" w:cs="宋体"/>
          <w:bCs/>
          <w:szCs w:val="21"/>
          <w:highlight w:val="none"/>
        </w:rPr>
      </w:pPr>
      <w:r>
        <w:rPr>
          <w:rFonts w:ascii="宋体" w:hAnsi="宋体" w:eastAsia="宋体" w:cs="宋体"/>
          <w:spacing w:val="8"/>
          <w:sz w:val="20"/>
          <w:szCs w:val="20"/>
          <w:highlight w:val="none"/>
        </w:rPr>
        <w:t>3.5</w:t>
      </w:r>
      <w:r>
        <w:rPr>
          <w:rFonts w:ascii="宋体" w:hAnsi="宋体" w:eastAsia="宋体" w:cs="宋体"/>
          <w:spacing w:val="-22"/>
          <w:sz w:val="20"/>
          <w:szCs w:val="20"/>
          <w:highlight w:val="none"/>
        </w:rPr>
        <w:t xml:space="preserve"> </w:t>
      </w:r>
      <w:r>
        <w:rPr>
          <w:rFonts w:ascii="宋体" w:hAnsi="宋体" w:eastAsia="宋体" w:cs="宋体"/>
          <w:spacing w:val="8"/>
          <w:sz w:val="20"/>
          <w:szCs w:val="20"/>
          <w:highlight w:val="none"/>
        </w:rPr>
        <w:t>本次施工招标采用资格后审方式的双信封形式技术评分最低标价法。</w:t>
      </w:r>
    </w:p>
    <w:bookmarkEnd w:id="5"/>
    <w:p w14:paraId="4B63D3B5">
      <w:pPr>
        <w:pStyle w:val="24"/>
        <w:tabs>
          <w:tab w:val="left" w:pos="426"/>
        </w:tabs>
        <w:spacing w:line="360" w:lineRule="exact"/>
        <w:ind w:firstLine="422"/>
        <w:jc w:val="left"/>
        <w:outlineLvl w:val="2"/>
        <w:rPr>
          <w:rFonts w:hint="eastAsia" w:asciiTheme="minorEastAsia" w:hAnsiTheme="minorEastAsia" w:eastAsiaTheme="minorEastAsia"/>
          <w:bCs w:val="0"/>
          <w:sz w:val="21"/>
          <w:szCs w:val="21"/>
          <w:highlight w:val="none"/>
        </w:rPr>
      </w:pPr>
      <w:r>
        <w:rPr>
          <w:rFonts w:asciiTheme="minorEastAsia" w:hAnsiTheme="minorEastAsia" w:eastAsiaTheme="minorEastAsia"/>
          <w:bCs w:val="0"/>
          <w:sz w:val="21"/>
          <w:szCs w:val="21"/>
          <w:highlight w:val="none"/>
        </w:rPr>
        <w:t xml:space="preserve">4. </w:t>
      </w:r>
      <w:r>
        <w:rPr>
          <w:rFonts w:hint="eastAsia" w:asciiTheme="minorEastAsia" w:hAnsiTheme="minorEastAsia" w:eastAsiaTheme="minorEastAsia"/>
          <w:bCs w:val="0"/>
          <w:sz w:val="21"/>
          <w:szCs w:val="21"/>
          <w:highlight w:val="none"/>
        </w:rPr>
        <w:t>最低资格条件</w:t>
      </w:r>
      <w:bookmarkStart w:id="6" w:name="_Toc514418862"/>
      <w:bookmarkStart w:id="7" w:name="_Toc444693688"/>
    </w:p>
    <w:bookmarkEnd w:id="6"/>
    <w:p w14:paraId="1404A9C5">
      <w:pPr>
        <w:autoSpaceDE w:val="0"/>
        <w:autoSpaceDN w:val="0"/>
        <w:adjustRightInd w:val="0"/>
        <w:spacing w:line="320" w:lineRule="exact"/>
        <w:rPr>
          <w:rFonts w:hint="eastAsia" w:ascii="宋体" w:hAnsi="宋体" w:cs="宋体"/>
          <w:szCs w:val="21"/>
          <w:highlight w:val="none"/>
        </w:rPr>
      </w:pPr>
      <w:bookmarkStart w:id="8" w:name="_Hlk196375734"/>
      <w:bookmarkStart w:id="9" w:name="_Toc197965598"/>
      <w:bookmarkStart w:id="10" w:name="_Toc197951589"/>
      <w:bookmarkStart w:id="11" w:name="_Toc197950683"/>
      <w:bookmarkStart w:id="12" w:name="_Toc197960546"/>
      <w:bookmarkStart w:id="13" w:name="_Toc197950804"/>
      <w:bookmarkStart w:id="14" w:name="_Toc197960494"/>
      <w:bookmarkStart w:id="15" w:name="_Toc197967119"/>
      <w:bookmarkStart w:id="16" w:name="_Toc197967267"/>
    </w:p>
    <w:p w14:paraId="0BA0DF9D">
      <w:pPr>
        <w:spacing w:before="181" w:line="219" w:lineRule="auto"/>
        <w:ind w:left="2215"/>
        <w:rPr>
          <w:rFonts w:ascii="宋体" w:hAnsi="宋体" w:eastAsia="宋体" w:cs="宋体"/>
          <w:sz w:val="28"/>
          <w:szCs w:val="28"/>
          <w:highlight w:val="none"/>
        </w:rPr>
      </w:pPr>
      <w:r>
        <w:rPr>
          <w:rFonts w:ascii="宋体" w:hAnsi="宋体" w:eastAsia="宋体" w:cs="宋体"/>
          <w:b/>
          <w:bCs/>
          <w:spacing w:val="-4"/>
          <w:sz w:val="28"/>
          <w:szCs w:val="28"/>
          <w:highlight w:val="none"/>
        </w:rPr>
        <w:t>附录</w:t>
      </w:r>
      <w:r>
        <w:rPr>
          <w:rFonts w:ascii="宋体" w:hAnsi="宋体" w:eastAsia="宋体" w:cs="宋体"/>
          <w:spacing w:val="-44"/>
          <w:sz w:val="28"/>
          <w:szCs w:val="28"/>
          <w:highlight w:val="none"/>
        </w:rPr>
        <w:t xml:space="preserve"> </w:t>
      </w:r>
      <w:r>
        <w:rPr>
          <w:rFonts w:ascii="Times New Roman" w:hAnsi="Times New Roman" w:eastAsia="Times New Roman" w:cs="Times New Roman"/>
          <w:b/>
          <w:bCs/>
          <w:spacing w:val="-4"/>
          <w:sz w:val="28"/>
          <w:szCs w:val="28"/>
          <w:highlight w:val="none"/>
        </w:rPr>
        <w:t xml:space="preserve">1      </w:t>
      </w:r>
      <w:r>
        <w:rPr>
          <w:rFonts w:ascii="宋体" w:hAnsi="宋体" w:eastAsia="宋体" w:cs="宋体"/>
          <w:b/>
          <w:bCs/>
          <w:spacing w:val="-4"/>
          <w:sz w:val="28"/>
          <w:szCs w:val="28"/>
          <w:highlight w:val="none"/>
        </w:rPr>
        <w:t>资格审查条件（资质最低要求）</w:t>
      </w:r>
    </w:p>
    <w:p w14:paraId="3C6A4891">
      <w:pPr>
        <w:spacing w:before="189"/>
        <w:rPr>
          <w:highlight w:val="none"/>
        </w:rPr>
      </w:pPr>
    </w:p>
    <w:tbl>
      <w:tblPr>
        <w:tblStyle w:val="32"/>
        <w:tblW w:w="9427" w:type="dxa"/>
        <w:tblInd w:w="66"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27"/>
      </w:tblGrid>
      <w:tr w14:paraId="305EA82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78" w:hRule="atLeast"/>
        </w:trPr>
        <w:tc>
          <w:tcPr>
            <w:tcW w:w="9427" w:type="dxa"/>
            <w:tcBorders>
              <w:bottom w:val="single" w:color="000000" w:sz="2" w:space="0"/>
            </w:tcBorders>
            <w:vAlign w:val="top"/>
          </w:tcPr>
          <w:p w14:paraId="66EA088B">
            <w:pPr>
              <w:pStyle w:val="31"/>
              <w:spacing w:before="141" w:line="228" w:lineRule="auto"/>
              <w:ind w:left="3653"/>
              <w:rPr>
                <w:highlight w:val="none"/>
              </w:rPr>
            </w:pPr>
            <w:r>
              <w:rPr>
                <w:b/>
                <w:bCs/>
                <w:spacing w:val="7"/>
                <w:highlight w:val="none"/>
              </w:rPr>
              <w:t>施工企业资质等级要求</w:t>
            </w:r>
          </w:p>
        </w:tc>
      </w:tr>
      <w:tr w14:paraId="0F71DA2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70" w:hRule="atLeast"/>
        </w:trPr>
        <w:tc>
          <w:tcPr>
            <w:tcW w:w="9427" w:type="dxa"/>
            <w:tcBorders>
              <w:top w:val="single" w:color="000000" w:sz="2" w:space="0"/>
            </w:tcBorders>
            <w:vAlign w:val="top"/>
          </w:tcPr>
          <w:p w14:paraId="231F0DF1">
            <w:pPr>
              <w:pStyle w:val="31"/>
              <w:spacing w:before="181" w:line="228" w:lineRule="auto"/>
              <w:ind w:left="106"/>
              <w:rPr>
                <w:highlight w:val="none"/>
              </w:rPr>
            </w:pPr>
            <w:r>
              <w:rPr>
                <w:highlight w:val="none"/>
              </w:rPr>
              <w:t>路基路面养护资质乙级或乙级以上资质。</w:t>
            </w:r>
          </w:p>
        </w:tc>
      </w:tr>
    </w:tbl>
    <w:p w14:paraId="54813FAE">
      <w:pPr>
        <w:pStyle w:val="6"/>
        <w:spacing w:line="264" w:lineRule="auto"/>
        <w:rPr>
          <w:highlight w:val="none"/>
        </w:rPr>
      </w:pPr>
    </w:p>
    <w:p w14:paraId="43F58511">
      <w:pPr>
        <w:pStyle w:val="6"/>
        <w:spacing w:line="264" w:lineRule="auto"/>
        <w:rPr>
          <w:highlight w:val="none"/>
        </w:rPr>
      </w:pPr>
    </w:p>
    <w:p w14:paraId="7035FBA0">
      <w:pPr>
        <w:pStyle w:val="6"/>
        <w:spacing w:line="264" w:lineRule="auto"/>
        <w:rPr>
          <w:highlight w:val="none"/>
        </w:rPr>
      </w:pPr>
    </w:p>
    <w:p w14:paraId="2D8514E1">
      <w:pPr>
        <w:pStyle w:val="6"/>
        <w:spacing w:line="264" w:lineRule="auto"/>
        <w:rPr>
          <w:highlight w:val="none"/>
        </w:rPr>
      </w:pPr>
    </w:p>
    <w:p w14:paraId="64776906">
      <w:pPr>
        <w:pStyle w:val="6"/>
        <w:spacing w:line="265" w:lineRule="auto"/>
        <w:rPr>
          <w:highlight w:val="none"/>
        </w:rPr>
      </w:pPr>
    </w:p>
    <w:p w14:paraId="3A15B6C5">
      <w:pPr>
        <w:spacing w:before="91" w:line="219" w:lineRule="auto"/>
        <w:ind w:left="2215"/>
        <w:rPr>
          <w:rFonts w:ascii="宋体" w:hAnsi="宋体" w:eastAsia="宋体" w:cs="宋体"/>
          <w:sz w:val="28"/>
          <w:szCs w:val="28"/>
          <w:highlight w:val="none"/>
        </w:rPr>
      </w:pPr>
      <w:r>
        <w:rPr>
          <w:rFonts w:ascii="宋体" w:hAnsi="宋体" w:eastAsia="宋体" w:cs="宋体"/>
          <w:b/>
          <w:bCs/>
          <w:spacing w:val="-3"/>
          <w:sz w:val="28"/>
          <w:szCs w:val="28"/>
          <w:highlight w:val="none"/>
        </w:rPr>
        <w:t>附录</w:t>
      </w:r>
      <w:r>
        <w:rPr>
          <w:rFonts w:ascii="宋体" w:hAnsi="宋体" w:eastAsia="宋体" w:cs="宋体"/>
          <w:spacing w:val="-64"/>
          <w:sz w:val="28"/>
          <w:szCs w:val="28"/>
          <w:highlight w:val="none"/>
        </w:rPr>
        <w:t xml:space="preserve"> </w:t>
      </w:r>
      <w:r>
        <w:rPr>
          <w:rFonts w:ascii="Times New Roman" w:hAnsi="Times New Roman" w:eastAsia="Times New Roman" w:cs="Times New Roman"/>
          <w:b/>
          <w:bCs/>
          <w:spacing w:val="-3"/>
          <w:sz w:val="28"/>
          <w:szCs w:val="28"/>
          <w:highlight w:val="none"/>
        </w:rPr>
        <w:t xml:space="preserve">2      </w:t>
      </w:r>
      <w:r>
        <w:rPr>
          <w:rFonts w:ascii="宋体" w:hAnsi="宋体" w:eastAsia="宋体" w:cs="宋体"/>
          <w:b/>
          <w:bCs/>
          <w:spacing w:val="-3"/>
          <w:sz w:val="28"/>
          <w:szCs w:val="28"/>
          <w:highlight w:val="none"/>
        </w:rPr>
        <w:t>资格审查条件（财务最低</w:t>
      </w:r>
      <w:r>
        <w:rPr>
          <w:rFonts w:ascii="宋体" w:hAnsi="宋体" w:eastAsia="宋体" w:cs="宋体"/>
          <w:b/>
          <w:bCs/>
          <w:spacing w:val="-4"/>
          <w:sz w:val="28"/>
          <w:szCs w:val="28"/>
          <w:highlight w:val="none"/>
        </w:rPr>
        <w:t>要求）</w:t>
      </w:r>
    </w:p>
    <w:p w14:paraId="036A23E5">
      <w:pPr>
        <w:spacing w:before="7"/>
        <w:rPr>
          <w:highlight w:val="none"/>
        </w:rPr>
      </w:pPr>
    </w:p>
    <w:p w14:paraId="7BB4C329">
      <w:pPr>
        <w:spacing w:before="6"/>
        <w:rPr>
          <w:highlight w:val="none"/>
        </w:rPr>
      </w:pPr>
    </w:p>
    <w:p w14:paraId="2536D271">
      <w:pPr>
        <w:spacing w:before="6"/>
        <w:rPr>
          <w:highlight w:val="none"/>
        </w:rPr>
      </w:pPr>
    </w:p>
    <w:tbl>
      <w:tblPr>
        <w:tblStyle w:val="32"/>
        <w:tblW w:w="946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467"/>
      </w:tblGrid>
      <w:tr w14:paraId="6BA7DDF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34" w:hRule="atLeast"/>
        </w:trPr>
        <w:tc>
          <w:tcPr>
            <w:tcW w:w="9467" w:type="dxa"/>
            <w:tcBorders>
              <w:bottom w:val="single" w:color="000000" w:sz="2" w:space="0"/>
            </w:tcBorders>
            <w:vAlign w:val="top"/>
          </w:tcPr>
          <w:p w14:paraId="7AB2C502">
            <w:pPr>
              <w:pStyle w:val="31"/>
              <w:spacing w:before="169" w:line="228" w:lineRule="auto"/>
              <w:ind w:left="4309"/>
              <w:rPr>
                <w:highlight w:val="none"/>
              </w:rPr>
            </w:pPr>
            <w:r>
              <w:rPr>
                <w:b/>
                <w:bCs/>
                <w:spacing w:val="6"/>
                <w:highlight w:val="none"/>
              </w:rPr>
              <w:t>财务要求</w:t>
            </w:r>
          </w:p>
        </w:tc>
      </w:tr>
      <w:tr w14:paraId="39373E6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31" w:hRule="atLeast"/>
        </w:trPr>
        <w:tc>
          <w:tcPr>
            <w:tcW w:w="9467" w:type="dxa"/>
            <w:tcBorders>
              <w:top w:val="single" w:color="000000" w:sz="2" w:space="0"/>
            </w:tcBorders>
            <w:vAlign w:val="top"/>
          </w:tcPr>
          <w:p w14:paraId="3464FB8C">
            <w:pPr>
              <w:pStyle w:val="31"/>
              <w:spacing w:before="163" w:line="227" w:lineRule="auto"/>
              <w:ind w:left="108"/>
              <w:rPr>
                <w:highlight w:val="none"/>
              </w:rPr>
            </w:pPr>
            <w:r>
              <w:rPr>
                <w:spacing w:val="6"/>
                <w:highlight w:val="none"/>
              </w:rPr>
              <w:t>投标人近三年（2023</w:t>
            </w:r>
            <w:r>
              <w:rPr>
                <w:spacing w:val="-35"/>
                <w:highlight w:val="none"/>
              </w:rPr>
              <w:t xml:space="preserve"> </w:t>
            </w:r>
            <w:r>
              <w:rPr>
                <w:spacing w:val="6"/>
                <w:highlight w:val="none"/>
              </w:rPr>
              <w:t>年</w:t>
            </w:r>
            <w:r>
              <w:rPr>
                <w:spacing w:val="-23"/>
                <w:highlight w:val="none"/>
              </w:rPr>
              <w:t xml:space="preserve"> </w:t>
            </w:r>
            <w:r>
              <w:rPr>
                <w:spacing w:val="6"/>
                <w:highlight w:val="none"/>
              </w:rPr>
              <w:t>1</w:t>
            </w:r>
            <w:r>
              <w:rPr>
                <w:spacing w:val="-33"/>
                <w:highlight w:val="none"/>
              </w:rPr>
              <w:t xml:space="preserve"> </w:t>
            </w:r>
            <w:r>
              <w:rPr>
                <w:spacing w:val="6"/>
                <w:highlight w:val="none"/>
              </w:rPr>
              <w:t>月</w:t>
            </w:r>
            <w:r>
              <w:rPr>
                <w:spacing w:val="-24"/>
                <w:highlight w:val="none"/>
              </w:rPr>
              <w:t xml:space="preserve"> </w:t>
            </w:r>
            <w:r>
              <w:rPr>
                <w:spacing w:val="6"/>
                <w:highlight w:val="none"/>
              </w:rPr>
              <w:t>1 日～投标截止时间）应当具有良好的商业信誉和健全的财务会计制度。</w:t>
            </w:r>
          </w:p>
        </w:tc>
      </w:tr>
    </w:tbl>
    <w:p w14:paraId="29B97AAB">
      <w:pPr>
        <w:pStyle w:val="6"/>
        <w:spacing w:line="264" w:lineRule="auto"/>
        <w:rPr>
          <w:highlight w:val="none"/>
        </w:rPr>
      </w:pPr>
    </w:p>
    <w:p w14:paraId="46E65CE6">
      <w:pPr>
        <w:pStyle w:val="6"/>
        <w:spacing w:line="264" w:lineRule="auto"/>
        <w:rPr>
          <w:highlight w:val="none"/>
        </w:rPr>
      </w:pPr>
    </w:p>
    <w:p w14:paraId="4D810296">
      <w:pPr>
        <w:pStyle w:val="6"/>
        <w:spacing w:line="265" w:lineRule="auto"/>
        <w:rPr>
          <w:highlight w:val="none"/>
        </w:rPr>
      </w:pPr>
    </w:p>
    <w:p w14:paraId="7AB3B717">
      <w:pPr>
        <w:pStyle w:val="6"/>
        <w:spacing w:line="265" w:lineRule="auto"/>
        <w:rPr>
          <w:highlight w:val="none"/>
        </w:rPr>
      </w:pPr>
    </w:p>
    <w:p w14:paraId="45C01E6D">
      <w:pPr>
        <w:pStyle w:val="6"/>
        <w:spacing w:line="265" w:lineRule="auto"/>
        <w:rPr>
          <w:highlight w:val="none"/>
        </w:rPr>
      </w:pPr>
    </w:p>
    <w:p w14:paraId="09729BE9">
      <w:pPr>
        <w:spacing w:before="91" w:line="219" w:lineRule="auto"/>
        <w:ind w:left="2215"/>
        <w:rPr>
          <w:rFonts w:ascii="宋体" w:hAnsi="宋体" w:eastAsia="宋体" w:cs="宋体"/>
          <w:sz w:val="28"/>
          <w:szCs w:val="28"/>
          <w:highlight w:val="none"/>
        </w:rPr>
      </w:pPr>
      <w:r>
        <w:rPr>
          <w:rFonts w:ascii="宋体" w:hAnsi="宋体" w:eastAsia="宋体" w:cs="宋体"/>
          <w:b/>
          <w:bCs/>
          <w:spacing w:val="-5"/>
          <w:sz w:val="28"/>
          <w:szCs w:val="28"/>
          <w:highlight w:val="none"/>
        </w:rPr>
        <w:t>附录</w:t>
      </w:r>
      <w:r>
        <w:rPr>
          <w:rFonts w:ascii="宋体" w:hAnsi="宋体" w:eastAsia="宋体" w:cs="宋体"/>
          <w:spacing w:val="-39"/>
          <w:sz w:val="28"/>
          <w:szCs w:val="28"/>
          <w:highlight w:val="none"/>
        </w:rPr>
        <w:t xml:space="preserve"> </w:t>
      </w:r>
      <w:r>
        <w:rPr>
          <w:rFonts w:ascii="宋体" w:hAnsi="宋体" w:eastAsia="宋体" w:cs="宋体"/>
          <w:b/>
          <w:bCs/>
          <w:spacing w:val="-5"/>
          <w:sz w:val="28"/>
          <w:szCs w:val="28"/>
          <w:highlight w:val="none"/>
        </w:rPr>
        <w:t>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资格审查条件（业绩最低要求）</w:t>
      </w:r>
    </w:p>
    <w:p w14:paraId="31776ADA">
      <w:pPr>
        <w:spacing w:before="7"/>
        <w:rPr>
          <w:highlight w:val="none"/>
        </w:rPr>
      </w:pPr>
    </w:p>
    <w:p w14:paraId="358255AA">
      <w:pPr>
        <w:spacing w:before="6"/>
        <w:rPr>
          <w:highlight w:val="none"/>
        </w:rPr>
      </w:pPr>
    </w:p>
    <w:p w14:paraId="69A6BDA8">
      <w:pPr>
        <w:spacing w:before="6"/>
        <w:rPr>
          <w:highlight w:val="none"/>
        </w:rPr>
      </w:pPr>
    </w:p>
    <w:tbl>
      <w:tblPr>
        <w:tblStyle w:val="32"/>
        <w:tblW w:w="9331" w:type="dxa"/>
        <w:tblInd w:w="8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331"/>
      </w:tblGrid>
      <w:tr w14:paraId="5F64D94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3" w:hRule="atLeast"/>
        </w:trPr>
        <w:tc>
          <w:tcPr>
            <w:tcW w:w="9331" w:type="dxa"/>
            <w:tcBorders>
              <w:bottom w:val="single" w:color="000000" w:sz="2" w:space="0"/>
            </w:tcBorders>
            <w:vAlign w:val="top"/>
          </w:tcPr>
          <w:p w14:paraId="43C603DA">
            <w:pPr>
              <w:pStyle w:val="31"/>
              <w:spacing w:before="154" w:line="228" w:lineRule="auto"/>
              <w:ind w:left="4237"/>
              <w:rPr>
                <w:highlight w:val="none"/>
              </w:rPr>
            </w:pPr>
            <w:r>
              <w:rPr>
                <w:b/>
                <w:bCs/>
                <w:spacing w:val="6"/>
                <w:highlight w:val="none"/>
              </w:rPr>
              <w:t>业绩要求</w:t>
            </w:r>
          </w:p>
        </w:tc>
      </w:tr>
      <w:tr w14:paraId="0D1E074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9" w:hRule="atLeast"/>
        </w:trPr>
        <w:tc>
          <w:tcPr>
            <w:tcW w:w="9331" w:type="dxa"/>
            <w:tcBorders>
              <w:top w:val="single" w:color="000000" w:sz="2" w:space="0"/>
            </w:tcBorders>
            <w:vAlign w:val="top"/>
          </w:tcPr>
          <w:p w14:paraId="4C15012B">
            <w:pPr>
              <w:pStyle w:val="31"/>
              <w:spacing w:before="202" w:line="228" w:lineRule="auto"/>
              <w:ind w:left="107"/>
              <w:rPr>
                <w:highlight w:val="none"/>
              </w:rPr>
            </w:pPr>
            <w:r>
              <w:rPr>
                <w:rFonts w:hint="eastAsia"/>
                <w:highlight w:val="none"/>
                <w:lang w:val="en-US" w:eastAsia="zh-CN"/>
              </w:rPr>
              <w:t>投</w:t>
            </w:r>
            <w:r>
              <w:rPr>
                <w:highlight w:val="none"/>
              </w:rPr>
              <w:t>标人近几年（2021年1月1日至投标截止时间前交（竣）工的项目）至少完成一项类似工程施工业绩</w:t>
            </w:r>
          </w:p>
        </w:tc>
      </w:tr>
    </w:tbl>
    <w:p w14:paraId="32000178">
      <w:pPr>
        <w:pStyle w:val="6"/>
        <w:spacing w:line="351" w:lineRule="auto"/>
        <w:rPr>
          <w:highlight w:val="none"/>
        </w:rPr>
      </w:pPr>
    </w:p>
    <w:p w14:paraId="24C53489">
      <w:pPr>
        <w:pStyle w:val="6"/>
        <w:spacing w:line="351" w:lineRule="auto"/>
        <w:rPr>
          <w:highlight w:val="none"/>
        </w:rPr>
      </w:pPr>
    </w:p>
    <w:p w14:paraId="4C424D50">
      <w:pPr>
        <w:spacing w:before="91" w:line="219" w:lineRule="auto"/>
        <w:ind w:left="2248"/>
        <w:rPr>
          <w:rFonts w:ascii="宋体" w:hAnsi="宋体" w:eastAsia="宋体" w:cs="宋体"/>
          <w:sz w:val="28"/>
          <w:szCs w:val="28"/>
          <w:highlight w:val="none"/>
        </w:rPr>
      </w:pPr>
      <w:r>
        <w:rPr>
          <w:rFonts w:ascii="宋体" w:hAnsi="宋体" w:eastAsia="宋体" w:cs="宋体"/>
          <w:b/>
          <w:bCs/>
          <w:spacing w:val="-4"/>
          <w:sz w:val="28"/>
          <w:szCs w:val="28"/>
          <w:highlight w:val="none"/>
        </w:rPr>
        <w:t>附录4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资格审查条件（信誉最低要求）</w:t>
      </w:r>
    </w:p>
    <w:p w14:paraId="0E96BCA0">
      <w:pPr>
        <w:spacing w:before="7"/>
        <w:rPr>
          <w:highlight w:val="none"/>
        </w:rPr>
      </w:pPr>
    </w:p>
    <w:p w14:paraId="7BAC0882">
      <w:pPr>
        <w:spacing w:before="6"/>
        <w:rPr>
          <w:highlight w:val="none"/>
        </w:rPr>
      </w:pPr>
    </w:p>
    <w:p w14:paraId="213E7864">
      <w:pPr>
        <w:spacing w:before="6"/>
        <w:rPr>
          <w:highlight w:val="none"/>
        </w:rPr>
      </w:pPr>
    </w:p>
    <w:tbl>
      <w:tblPr>
        <w:tblStyle w:val="32"/>
        <w:tblW w:w="9251" w:type="dxa"/>
        <w:tblInd w:w="8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51"/>
      </w:tblGrid>
      <w:tr w14:paraId="418A33D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7" w:hRule="atLeast"/>
        </w:trPr>
        <w:tc>
          <w:tcPr>
            <w:tcW w:w="9251" w:type="dxa"/>
            <w:tcBorders>
              <w:bottom w:val="single" w:color="000000" w:sz="2" w:space="0"/>
            </w:tcBorders>
            <w:vAlign w:val="top"/>
          </w:tcPr>
          <w:p w14:paraId="0AF4D7D7">
            <w:pPr>
              <w:pStyle w:val="31"/>
              <w:spacing w:before="125" w:line="227" w:lineRule="auto"/>
              <w:ind w:left="4200"/>
              <w:rPr>
                <w:highlight w:val="none"/>
              </w:rPr>
            </w:pPr>
            <w:r>
              <w:rPr>
                <w:b/>
                <w:bCs/>
                <w:spacing w:val="6"/>
                <w:highlight w:val="none"/>
              </w:rPr>
              <w:t>信誉要求</w:t>
            </w:r>
          </w:p>
        </w:tc>
      </w:tr>
      <w:tr w14:paraId="70B5D7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5" w:hRule="atLeast"/>
        </w:trPr>
        <w:tc>
          <w:tcPr>
            <w:tcW w:w="9251" w:type="dxa"/>
            <w:tcBorders>
              <w:top w:val="single" w:color="000000" w:sz="2" w:space="0"/>
            </w:tcBorders>
            <w:vAlign w:val="top"/>
          </w:tcPr>
          <w:p w14:paraId="2BA25581">
            <w:pPr>
              <w:pStyle w:val="31"/>
              <w:spacing w:before="174" w:line="227" w:lineRule="auto"/>
              <w:ind w:left="107"/>
              <w:rPr>
                <w:highlight w:val="none"/>
              </w:rPr>
            </w:pPr>
            <w:r>
              <w:rPr>
                <w:spacing w:val="7"/>
                <w:highlight w:val="none"/>
              </w:rPr>
              <w:t>无信誉最低要求。</w:t>
            </w:r>
          </w:p>
        </w:tc>
      </w:tr>
    </w:tbl>
    <w:p w14:paraId="215CCC8C">
      <w:pPr>
        <w:pStyle w:val="6"/>
        <w:rPr>
          <w:highlight w:val="none"/>
        </w:rPr>
      </w:pPr>
    </w:p>
    <w:p w14:paraId="56E7C6C6">
      <w:pPr>
        <w:rPr>
          <w:highlight w:val="none"/>
        </w:rPr>
        <w:sectPr>
          <w:footerReference r:id="rId3" w:type="default"/>
          <w:pgSz w:w="11906" w:h="16839"/>
          <w:pgMar w:top="1431" w:right="1192" w:bottom="1202" w:left="1206" w:header="0" w:footer="927" w:gutter="0"/>
          <w:cols w:space="720" w:num="1"/>
        </w:sectPr>
      </w:pPr>
    </w:p>
    <w:p w14:paraId="6C1C98C0">
      <w:pPr>
        <w:spacing w:before="181" w:line="219" w:lineRule="auto"/>
        <w:ind w:left="1183"/>
        <w:rPr>
          <w:rFonts w:ascii="宋体" w:hAnsi="宋体" w:eastAsia="宋体" w:cs="宋体"/>
          <w:sz w:val="28"/>
          <w:szCs w:val="28"/>
          <w:highlight w:val="none"/>
        </w:rPr>
      </w:pPr>
      <w:r>
        <w:rPr>
          <w:rFonts w:ascii="宋体" w:hAnsi="宋体" w:eastAsia="宋体" w:cs="宋体"/>
          <w:b/>
          <w:bCs/>
          <w:spacing w:val="-4"/>
          <w:sz w:val="28"/>
          <w:szCs w:val="28"/>
          <w:highlight w:val="none"/>
        </w:rPr>
        <w:t>附录</w:t>
      </w:r>
      <w:r>
        <w:rPr>
          <w:rFonts w:ascii="宋体" w:hAnsi="宋体" w:eastAsia="宋体" w:cs="宋体"/>
          <w:spacing w:val="-43"/>
          <w:sz w:val="28"/>
          <w:szCs w:val="28"/>
          <w:highlight w:val="none"/>
        </w:rPr>
        <w:t xml:space="preserve"> </w:t>
      </w:r>
      <w:r>
        <w:rPr>
          <w:rFonts w:ascii="宋体" w:hAnsi="宋体" w:eastAsia="宋体" w:cs="宋体"/>
          <w:b/>
          <w:bCs/>
          <w:spacing w:val="-4"/>
          <w:sz w:val="28"/>
          <w:szCs w:val="28"/>
          <w:highlight w:val="none"/>
        </w:rPr>
        <w:t>5</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资格审查条件（项目经理和项目总工最低要求）</w:t>
      </w:r>
    </w:p>
    <w:p w14:paraId="47226A2C">
      <w:pPr>
        <w:spacing w:before="6"/>
        <w:rPr>
          <w:highlight w:val="none"/>
        </w:rPr>
      </w:pPr>
    </w:p>
    <w:p w14:paraId="19D1269D">
      <w:pPr>
        <w:spacing w:before="6"/>
        <w:rPr>
          <w:highlight w:val="none"/>
        </w:rPr>
      </w:pPr>
    </w:p>
    <w:p w14:paraId="1CFC52C7">
      <w:pPr>
        <w:spacing w:before="6"/>
        <w:rPr>
          <w:highlight w:val="none"/>
        </w:rPr>
      </w:pPr>
    </w:p>
    <w:tbl>
      <w:tblPr>
        <w:tblStyle w:val="32"/>
        <w:tblW w:w="9324"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0"/>
        <w:gridCol w:w="1357"/>
        <w:gridCol w:w="6767"/>
      </w:tblGrid>
      <w:tr w14:paraId="26E18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200" w:type="dxa"/>
            <w:tcBorders>
              <w:top w:val="single" w:color="000000" w:sz="10" w:space="0"/>
              <w:left w:val="single" w:color="000000" w:sz="10" w:space="0"/>
            </w:tcBorders>
            <w:vAlign w:val="top"/>
          </w:tcPr>
          <w:p w14:paraId="7B50264A">
            <w:pPr>
              <w:pStyle w:val="31"/>
              <w:spacing w:before="182" w:line="229" w:lineRule="auto"/>
              <w:ind w:left="382"/>
              <w:rPr>
                <w:highlight w:val="none"/>
              </w:rPr>
            </w:pPr>
            <w:r>
              <w:rPr>
                <w:b/>
                <w:bCs/>
                <w:spacing w:val="3"/>
                <w:highlight w:val="none"/>
              </w:rPr>
              <w:t>人员</w:t>
            </w:r>
          </w:p>
        </w:tc>
        <w:tc>
          <w:tcPr>
            <w:tcW w:w="1357" w:type="dxa"/>
            <w:tcBorders>
              <w:top w:val="single" w:color="000000" w:sz="10" w:space="0"/>
            </w:tcBorders>
            <w:vAlign w:val="top"/>
          </w:tcPr>
          <w:p w14:paraId="67162A9D">
            <w:pPr>
              <w:pStyle w:val="31"/>
              <w:spacing w:before="182" w:line="228" w:lineRule="auto"/>
              <w:ind w:left="466"/>
              <w:rPr>
                <w:highlight w:val="none"/>
              </w:rPr>
            </w:pPr>
            <w:r>
              <w:rPr>
                <w:b/>
                <w:bCs/>
                <w:spacing w:val="3"/>
                <w:highlight w:val="none"/>
              </w:rPr>
              <w:t>数量</w:t>
            </w:r>
          </w:p>
        </w:tc>
        <w:tc>
          <w:tcPr>
            <w:tcW w:w="6767" w:type="dxa"/>
            <w:tcBorders>
              <w:top w:val="single" w:color="000000" w:sz="10" w:space="0"/>
              <w:right w:val="single" w:color="000000" w:sz="10" w:space="0"/>
            </w:tcBorders>
            <w:vAlign w:val="top"/>
          </w:tcPr>
          <w:p w14:paraId="76038A5B">
            <w:pPr>
              <w:pStyle w:val="31"/>
              <w:spacing w:before="182" w:line="228" w:lineRule="auto"/>
              <w:ind w:left="2973"/>
              <w:rPr>
                <w:highlight w:val="none"/>
              </w:rPr>
            </w:pPr>
            <w:r>
              <w:rPr>
                <w:b/>
                <w:bCs/>
                <w:spacing w:val="4"/>
                <w:highlight w:val="none"/>
              </w:rPr>
              <w:t>资格要求</w:t>
            </w:r>
          </w:p>
        </w:tc>
      </w:tr>
      <w:tr w14:paraId="4CBBC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1200" w:type="dxa"/>
            <w:tcBorders>
              <w:left w:val="single" w:color="000000" w:sz="10" w:space="0"/>
            </w:tcBorders>
            <w:vAlign w:val="top"/>
          </w:tcPr>
          <w:p w14:paraId="2EA7DCB3">
            <w:pPr>
              <w:spacing w:line="456" w:lineRule="auto"/>
              <w:rPr>
                <w:rFonts w:ascii="Arial"/>
                <w:sz w:val="21"/>
                <w:highlight w:val="none"/>
              </w:rPr>
            </w:pPr>
          </w:p>
          <w:p w14:paraId="3E30F52E">
            <w:pPr>
              <w:pStyle w:val="31"/>
              <w:spacing w:before="65" w:line="228" w:lineRule="auto"/>
              <w:ind w:left="175"/>
              <w:rPr>
                <w:highlight w:val="none"/>
              </w:rPr>
            </w:pPr>
            <w:r>
              <w:rPr>
                <w:spacing w:val="6"/>
                <w:highlight w:val="none"/>
              </w:rPr>
              <w:t>项目经理</w:t>
            </w:r>
          </w:p>
        </w:tc>
        <w:tc>
          <w:tcPr>
            <w:tcW w:w="1357" w:type="dxa"/>
            <w:vAlign w:val="top"/>
          </w:tcPr>
          <w:p w14:paraId="76FD195F">
            <w:pPr>
              <w:spacing w:line="456" w:lineRule="auto"/>
              <w:rPr>
                <w:rFonts w:ascii="Arial"/>
                <w:sz w:val="21"/>
                <w:highlight w:val="none"/>
              </w:rPr>
            </w:pPr>
          </w:p>
          <w:p w14:paraId="1983BF44">
            <w:pPr>
              <w:pStyle w:val="31"/>
              <w:spacing w:before="65" w:line="270" w:lineRule="exact"/>
              <w:ind w:left="639"/>
              <w:rPr>
                <w:highlight w:val="none"/>
              </w:rPr>
            </w:pPr>
            <w:r>
              <w:rPr>
                <w:b/>
                <w:bCs/>
                <w:spacing w:val="-3"/>
                <w:position w:val="1"/>
                <w:highlight w:val="none"/>
              </w:rPr>
              <w:t>1</w:t>
            </w:r>
          </w:p>
        </w:tc>
        <w:tc>
          <w:tcPr>
            <w:tcW w:w="6767" w:type="dxa"/>
            <w:tcBorders>
              <w:right w:val="single" w:color="000000" w:sz="10" w:space="0"/>
            </w:tcBorders>
            <w:vAlign w:val="top"/>
          </w:tcPr>
          <w:p w14:paraId="257D8D5E">
            <w:pPr>
              <w:pStyle w:val="31"/>
              <w:spacing w:before="251" w:line="228" w:lineRule="auto"/>
              <w:ind w:left="119"/>
              <w:rPr>
                <w:highlight w:val="none"/>
              </w:rPr>
            </w:pPr>
            <w:r>
              <w:rPr>
                <w:spacing w:val="6"/>
                <w:highlight w:val="none"/>
              </w:rPr>
              <w:t>（1）投标人自有人员；</w:t>
            </w:r>
          </w:p>
          <w:p w14:paraId="3F15BC92">
            <w:pPr>
              <w:pStyle w:val="31"/>
              <w:spacing w:before="23" w:line="228" w:lineRule="auto"/>
              <w:ind w:left="119"/>
              <w:rPr>
                <w:highlight w:val="none"/>
              </w:rPr>
            </w:pPr>
            <w:r>
              <w:rPr>
                <w:spacing w:val="8"/>
                <w:highlight w:val="none"/>
              </w:rPr>
              <w:t>（2）具有公路工程相关专业工程师或以上职称；</w:t>
            </w:r>
          </w:p>
          <w:p w14:paraId="07E8374A">
            <w:pPr>
              <w:pStyle w:val="31"/>
              <w:spacing w:before="26" w:line="228" w:lineRule="auto"/>
              <w:ind w:left="119"/>
              <w:rPr>
                <w:highlight w:val="none"/>
              </w:rPr>
            </w:pPr>
            <w:r>
              <w:rPr>
                <w:spacing w:val="8"/>
                <w:highlight w:val="none"/>
              </w:rPr>
              <w:t>（3）具有公路工程养护项目的管理经验。</w:t>
            </w:r>
          </w:p>
        </w:tc>
      </w:tr>
      <w:tr w14:paraId="4FAD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200" w:type="dxa"/>
            <w:tcBorders>
              <w:left w:val="single" w:color="000000" w:sz="10" w:space="0"/>
              <w:bottom w:val="single" w:color="000000" w:sz="10" w:space="0"/>
            </w:tcBorders>
            <w:vAlign w:val="top"/>
          </w:tcPr>
          <w:p w14:paraId="1E09A2EF">
            <w:pPr>
              <w:spacing w:line="352" w:lineRule="auto"/>
              <w:rPr>
                <w:rFonts w:ascii="Arial"/>
                <w:sz w:val="21"/>
                <w:highlight w:val="none"/>
              </w:rPr>
            </w:pPr>
          </w:p>
          <w:p w14:paraId="5ADF5B2E">
            <w:pPr>
              <w:pStyle w:val="31"/>
              <w:spacing w:before="65" w:line="228" w:lineRule="auto"/>
              <w:ind w:left="175"/>
              <w:rPr>
                <w:highlight w:val="none"/>
              </w:rPr>
            </w:pPr>
            <w:r>
              <w:rPr>
                <w:spacing w:val="6"/>
                <w:highlight w:val="none"/>
              </w:rPr>
              <w:t>项目总工</w:t>
            </w:r>
          </w:p>
        </w:tc>
        <w:tc>
          <w:tcPr>
            <w:tcW w:w="1357" w:type="dxa"/>
            <w:tcBorders>
              <w:bottom w:val="single" w:color="000000" w:sz="10" w:space="0"/>
            </w:tcBorders>
            <w:vAlign w:val="top"/>
          </w:tcPr>
          <w:p w14:paraId="5AE33EFB">
            <w:pPr>
              <w:spacing w:line="352" w:lineRule="auto"/>
              <w:rPr>
                <w:rFonts w:ascii="Arial"/>
                <w:sz w:val="21"/>
                <w:highlight w:val="none"/>
              </w:rPr>
            </w:pPr>
          </w:p>
          <w:p w14:paraId="03592E45">
            <w:pPr>
              <w:pStyle w:val="31"/>
              <w:spacing w:before="65" w:line="270" w:lineRule="exact"/>
              <w:ind w:left="639"/>
              <w:rPr>
                <w:highlight w:val="none"/>
              </w:rPr>
            </w:pPr>
            <w:r>
              <w:rPr>
                <w:b/>
                <w:bCs/>
                <w:spacing w:val="-3"/>
                <w:position w:val="1"/>
                <w:highlight w:val="none"/>
              </w:rPr>
              <w:t>1</w:t>
            </w:r>
          </w:p>
        </w:tc>
        <w:tc>
          <w:tcPr>
            <w:tcW w:w="6767" w:type="dxa"/>
            <w:tcBorders>
              <w:bottom w:val="single" w:color="000000" w:sz="10" w:space="0"/>
              <w:right w:val="single" w:color="000000" w:sz="10" w:space="0"/>
            </w:tcBorders>
            <w:vAlign w:val="top"/>
          </w:tcPr>
          <w:p w14:paraId="5336D6A5">
            <w:pPr>
              <w:pStyle w:val="31"/>
              <w:spacing w:before="107" w:line="228" w:lineRule="auto"/>
              <w:ind w:left="119"/>
              <w:rPr>
                <w:highlight w:val="none"/>
              </w:rPr>
            </w:pPr>
            <w:r>
              <w:rPr>
                <w:spacing w:val="6"/>
                <w:highlight w:val="none"/>
              </w:rPr>
              <w:t>（1）投标人自有人员；</w:t>
            </w:r>
          </w:p>
          <w:p w14:paraId="77541C31">
            <w:pPr>
              <w:pStyle w:val="31"/>
              <w:spacing w:before="64" w:line="228" w:lineRule="auto"/>
              <w:ind w:left="119"/>
              <w:rPr>
                <w:highlight w:val="none"/>
              </w:rPr>
            </w:pPr>
            <w:r>
              <w:rPr>
                <w:spacing w:val="8"/>
                <w:highlight w:val="none"/>
              </w:rPr>
              <w:t>（2）具有公路工程相关专业工程师或以上职称；</w:t>
            </w:r>
          </w:p>
          <w:p w14:paraId="7851D4CC">
            <w:pPr>
              <w:pStyle w:val="31"/>
              <w:spacing w:before="64" w:line="228" w:lineRule="auto"/>
              <w:ind w:left="119"/>
              <w:rPr>
                <w:highlight w:val="none"/>
              </w:rPr>
            </w:pPr>
            <w:r>
              <w:rPr>
                <w:spacing w:val="8"/>
                <w:highlight w:val="none"/>
              </w:rPr>
              <w:t>（3）具有公路工程养护项目的管理经验。</w:t>
            </w:r>
          </w:p>
        </w:tc>
      </w:tr>
    </w:tbl>
    <w:p w14:paraId="170E0B65">
      <w:pPr>
        <w:spacing w:before="29" w:line="220" w:lineRule="auto"/>
        <w:ind w:left="91"/>
        <w:rPr>
          <w:rFonts w:ascii="黑体" w:hAnsi="黑体" w:eastAsia="黑体" w:cs="黑体"/>
          <w:sz w:val="18"/>
          <w:szCs w:val="18"/>
          <w:highlight w:val="none"/>
        </w:rPr>
      </w:pPr>
      <w:r>
        <w:rPr>
          <w:rFonts w:ascii="黑体" w:hAnsi="黑体" w:eastAsia="黑体" w:cs="黑体"/>
          <w:spacing w:val="-1"/>
          <w:sz w:val="18"/>
          <w:szCs w:val="18"/>
          <w:highlight w:val="none"/>
        </w:rPr>
        <w:t>注：①项目经理和项目总工不得兼职。</w:t>
      </w:r>
    </w:p>
    <w:p w14:paraId="6EA4D9A7">
      <w:pPr>
        <w:spacing w:before="124" w:line="369" w:lineRule="auto"/>
        <w:ind w:firstLine="360"/>
        <w:rPr>
          <w:rFonts w:ascii="黑体" w:hAnsi="黑体" w:eastAsia="黑体" w:cs="黑体"/>
          <w:sz w:val="18"/>
          <w:szCs w:val="18"/>
          <w:highlight w:val="none"/>
        </w:rPr>
      </w:pPr>
      <w:r>
        <w:rPr>
          <w:rFonts w:ascii="黑体" w:hAnsi="黑体" w:eastAsia="黑体" w:cs="黑体"/>
          <w:spacing w:val="-2"/>
          <w:sz w:val="18"/>
          <w:szCs w:val="18"/>
          <w:highlight w:val="none"/>
        </w:rPr>
        <w:t>②“投标人自有人员”指现由投标人为其申报社会保险登记，并为其缴纳社会保险费的人员；如拟任职人员已退休，</w:t>
      </w:r>
      <w:r>
        <w:rPr>
          <w:rFonts w:ascii="黑体" w:hAnsi="黑体" w:eastAsia="黑体" w:cs="黑体"/>
          <w:spacing w:val="-1"/>
          <w:sz w:val="18"/>
          <w:szCs w:val="18"/>
          <w:highlight w:val="none"/>
        </w:rPr>
        <w:t>指现由投标人正式聘用的退休人员。</w:t>
      </w:r>
    </w:p>
    <w:p w14:paraId="10FA2E1E">
      <w:pPr>
        <w:pStyle w:val="9"/>
        <w:tabs>
          <w:tab w:val="left" w:pos="312"/>
        </w:tabs>
        <w:spacing w:line="360" w:lineRule="exact"/>
        <w:rPr>
          <w:rFonts w:hint="eastAsia" w:ascii="宋体" w:hAnsi="宋体" w:cs="宋体"/>
          <w:highlight w:val="none"/>
        </w:rPr>
      </w:pPr>
      <w:r>
        <w:rPr>
          <w:rFonts w:ascii="黑体" w:hAnsi="黑体" w:eastAsia="黑体" w:cs="黑体"/>
          <w:sz w:val="18"/>
          <w:szCs w:val="18"/>
          <w:highlight w:val="none"/>
        </w:rPr>
        <w:t>③公路工程相关专业职称包括公路工程、桥梁工程、公路与桥梁、</w:t>
      </w:r>
      <w:r>
        <w:rPr>
          <w:rFonts w:hint="eastAsia" w:ascii="黑体" w:hAnsi="黑体" w:eastAsia="黑体" w:cs="黑体"/>
          <w:sz w:val="18"/>
          <w:szCs w:val="18"/>
          <w:highlight w:val="none"/>
          <w:lang w:val="en-US" w:eastAsia="zh-CN"/>
        </w:rPr>
        <w:t>道路与桥梁、</w:t>
      </w:r>
      <w:r>
        <w:rPr>
          <w:rFonts w:ascii="黑体" w:hAnsi="黑体" w:eastAsia="黑体" w:cs="黑体"/>
          <w:sz w:val="18"/>
          <w:szCs w:val="18"/>
          <w:highlight w:val="none"/>
        </w:rPr>
        <w:t>交通土建、隧道（地下</w:t>
      </w:r>
      <w:r>
        <w:rPr>
          <w:rFonts w:ascii="黑体" w:hAnsi="黑体" w:eastAsia="黑体" w:cs="黑体"/>
          <w:spacing w:val="-1"/>
          <w:sz w:val="18"/>
          <w:szCs w:val="18"/>
          <w:highlight w:val="none"/>
        </w:rPr>
        <w:t>结构）工程、交通工</w:t>
      </w:r>
      <w:r>
        <w:rPr>
          <w:rFonts w:ascii="黑体" w:hAnsi="黑体" w:eastAsia="黑体" w:cs="黑体"/>
          <w:sz w:val="18"/>
          <w:szCs w:val="18"/>
          <w:highlight w:val="none"/>
        </w:rPr>
        <w:t>程等专业职称。如职称证中无专业，则在投标文件中必须附毕业证书，且毕业证上的专业为公路工程</w:t>
      </w:r>
      <w:r>
        <w:rPr>
          <w:rFonts w:ascii="黑体" w:hAnsi="黑体" w:eastAsia="黑体" w:cs="黑体"/>
          <w:spacing w:val="-1"/>
          <w:sz w:val="18"/>
          <w:szCs w:val="18"/>
          <w:highlight w:val="none"/>
        </w:rPr>
        <w:t>、桥梁工程、公路</w:t>
      </w:r>
      <w:r>
        <w:rPr>
          <w:rFonts w:ascii="黑体" w:hAnsi="黑体" w:eastAsia="黑体" w:cs="黑体"/>
          <w:sz w:val="18"/>
          <w:szCs w:val="18"/>
          <w:highlight w:val="none"/>
        </w:rPr>
        <w:t>与桥梁工程、交通土建、隧道（地下结构）工程、</w:t>
      </w:r>
      <w:r>
        <w:rPr>
          <w:rFonts w:ascii="黑体" w:hAnsi="黑体" w:eastAsia="黑体" w:cs="黑体"/>
          <w:spacing w:val="-1"/>
          <w:sz w:val="18"/>
          <w:szCs w:val="18"/>
          <w:highlight w:val="none"/>
        </w:rPr>
        <w:t>交通工程等专业。</w:t>
      </w:r>
    </w:p>
    <w:p w14:paraId="0790AF23">
      <w:pPr>
        <w:pStyle w:val="9"/>
        <w:tabs>
          <w:tab w:val="left" w:pos="312"/>
        </w:tabs>
        <w:spacing w:line="360" w:lineRule="exact"/>
        <w:rPr>
          <w:rFonts w:hint="eastAsia" w:ascii="宋体" w:hAnsi="宋体" w:cs="宋体"/>
          <w:highlight w:val="none"/>
        </w:rPr>
      </w:pPr>
    </w:p>
    <w:bookmarkEnd w:id="8"/>
    <w:bookmarkEnd w:id="9"/>
    <w:bookmarkEnd w:id="10"/>
    <w:bookmarkEnd w:id="11"/>
    <w:bookmarkEnd w:id="12"/>
    <w:bookmarkEnd w:id="13"/>
    <w:bookmarkEnd w:id="14"/>
    <w:bookmarkEnd w:id="15"/>
    <w:bookmarkEnd w:id="16"/>
    <w:p w14:paraId="10658D20">
      <w:pPr>
        <w:pStyle w:val="4"/>
        <w:spacing w:before="0" w:after="0" w:line="240" w:lineRule="auto"/>
        <w:ind w:firstLine="422"/>
        <w:rPr>
          <w:rFonts w:hint="eastAsia" w:asciiTheme="minorEastAsia" w:hAnsiTheme="minorEastAsia" w:eastAsiaTheme="minorEastAsia"/>
          <w:bCs w:val="0"/>
          <w:sz w:val="21"/>
          <w:szCs w:val="21"/>
          <w:highlight w:val="none"/>
        </w:rPr>
      </w:pPr>
      <w:r>
        <w:rPr>
          <w:rFonts w:asciiTheme="minorEastAsia" w:hAnsiTheme="minorEastAsia" w:eastAsiaTheme="minorEastAsia"/>
          <w:bCs w:val="0"/>
          <w:sz w:val="21"/>
          <w:szCs w:val="21"/>
          <w:highlight w:val="none"/>
        </w:rPr>
        <w:t xml:space="preserve">5. </w:t>
      </w:r>
      <w:r>
        <w:rPr>
          <w:rFonts w:hint="eastAsia" w:asciiTheme="minorEastAsia" w:hAnsiTheme="minorEastAsia" w:eastAsiaTheme="minorEastAsia"/>
          <w:bCs w:val="0"/>
          <w:sz w:val="21"/>
          <w:szCs w:val="21"/>
          <w:highlight w:val="none"/>
        </w:rPr>
        <w:t>评标办法</w:t>
      </w:r>
      <w:bookmarkEnd w:id="7"/>
    </w:p>
    <w:p w14:paraId="007CB702">
      <w:pPr>
        <w:ind w:firstLine="420" w:firstLineChars="200"/>
        <w:jc w:val="left"/>
        <w:rPr>
          <w:rFonts w:ascii="Times New Roman" w:hAnsi="Times New Roman" w:eastAsia="宋体" w:cs="Times New Roman"/>
          <w:sz w:val="21"/>
          <w:szCs w:val="21"/>
          <w:highlight w:val="none"/>
        </w:rPr>
      </w:pPr>
      <w:bookmarkStart w:id="17" w:name="_Toc511833196"/>
      <w:bookmarkStart w:id="18" w:name="_Toc441605621"/>
      <w:bookmarkStart w:id="19" w:name="_Hlk196376980"/>
      <w:r>
        <w:rPr>
          <w:rFonts w:hint="eastAsia" w:ascii="Times New Roman" w:hAnsi="Times New Roman" w:eastAsia="宋体" w:cs="Times New Roman"/>
          <w:sz w:val="21"/>
          <w:szCs w:val="21"/>
          <w:highlight w:val="none"/>
        </w:rPr>
        <w:t>评标办法前附表</w:t>
      </w:r>
      <w:bookmarkEnd w:id="17"/>
      <w:bookmarkEnd w:id="18"/>
    </w:p>
    <w:bookmarkEnd w:id="19"/>
    <w:p w14:paraId="566489D0">
      <w:pPr>
        <w:spacing w:line="60" w:lineRule="exact"/>
        <w:rPr>
          <w:rFonts w:hint="eastAsia" w:ascii="宋体" w:hAnsi="宋体" w:eastAsia="宋体" w:cs="宋体"/>
          <w:sz w:val="2"/>
          <w:szCs w:val="2"/>
          <w:highlight w:val="none"/>
        </w:rPr>
      </w:pPr>
    </w:p>
    <w:tbl>
      <w:tblPr>
        <w:tblStyle w:val="32"/>
        <w:tblW w:w="963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2"/>
        <w:gridCol w:w="1413"/>
        <w:gridCol w:w="7106"/>
      </w:tblGrid>
      <w:tr w14:paraId="57CC5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525" w:type="dxa"/>
            <w:gridSpan w:val="2"/>
            <w:tcBorders>
              <w:top w:val="single" w:color="000000" w:sz="10" w:space="0"/>
              <w:left w:val="single" w:color="000000" w:sz="10" w:space="0"/>
            </w:tcBorders>
            <w:vAlign w:val="top"/>
          </w:tcPr>
          <w:p w14:paraId="582A7418">
            <w:pPr>
              <w:pStyle w:val="31"/>
              <w:spacing w:before="144" w:line="228" w:lineRule="auto"/>
              <w:ind w:left="941"/>
              <w:rPr>
                <w:highlight w:val="none"/>
              </w:rPr>
            </w:pPr>
            <w:r>
              <w:rPr>
                <w:b/>
                <w:bCs/>
                <w:spacing w:val="5"/>
                <w:highlight w:val="none"/>
              </w:rPr>
              <w:t>条款号</w:t>
            </w:r>
          </w:p>
        </w:tc>
        <w:tc>
          <w:tcPr>
            <w:tcW w:w="7106" w:type="dxa"/>
            <w:tcBorders>
              <w:top w:val="single" w:color="000000" w:sz="10" w:space="0"/>
              <w:right w:val="single" w:color="000000" w:sz="10" w:space="0"/>
            </w:tcBorders>
            <w:vAlign w:val="top"/>
          </w:tcPr>
          <w:p w14:paraId="37CF1F00">
            <w:pPr>
              <w:pStyle w:val="31"/>
              <w:spacing w:before="144" w:line="228" w:lineRule="auto"/>
              <w:ind w:left="2815"/>
              <w:rPr>
                <w:highlight w:val="none"/>
              </w:rPr>
            </w:pPr>
            <w:r>
              <w:rPr>
                <w:b/>
                <w:bCs/>
                <w:spacing w:val="7"/>
                <w:highlight w:val="none"/>
              </w:rPr>
              <w:t>评审因素与标准</w:t>
            </w:r>
          </w:p>
        </w:tc>
      </w:tr>
      <w:tr w14:paraId="3FCA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5" w:hRule="atLeast"/>
        </w:trPr>
        <w:tc>
          <w:tcPr>
            <w:tcW w:w="1112" w:type="dxa"/>
            <w:tcBorders>
              <w:left w:val="single" w:color="000000" w:sz="10" w:space="0"/>
            </w:tcBorders>
            <w:vAlign w:val="top"/>
          </w:tcPr>
          <w:p w14:paraId="568647BC">
            <w:pPr>
              <w:spacing w:line="280" w:lineRule="auto"/>
              <w:rPr>
                <w:rFonts w:ascii="Arial"/>
                <w:sz w:val="21"/>
                <w:highlight w:val="none"/>
              </w:rPr>
            </w:pPr>
          </w:p>
          <w:p w14:paraId="7FD8CA99">
            <w:pPr>
              <w:spacing w:line="281" w:lineRule="auto"/>
              <w:rPr>
                <w:rFonts w:ascii="Arial"/>
                <w:sz w:val="21"/>
                <w:highlight w:val="none"/>
              </w:rPr>
            </w:pPr>
          </w:p>
          <w:p w14:paraId="27A4BB5B">
            <w:pPr>
              <w:spacing w:line="281" w:lineRule="auto"/>
              <w:rPr>
                <w:rFonts w:ascii="Arial"/>
                <w:sz w:val="21"/>
                <w:highlight w:val="none"/>
              </w:rPr>
            </w:pPr>
          </w:p>
          <w:p w14:paraId="628754C4">
            <w:pPr>
              <w:pStyle w:val="31"/>
              <w:spacing w:before="65" w:line="270" w:lineRule="exact"/>
              <w:ind w:left="510"/>
              <w:rPr>
                <w:highlight w:val="none"/>
              </w:rPr>
            </w:pPr>
            <w:r>
              <w:rPr>
                <w:position w:val="1"/>
                <w:highlight w:val="none"/>
              </w:rPr>
              <w:t>1</w:t>
            </w:r>
          </w:p>
        </w:tc>
        <w:tc>
          <w:tcPr>
            <w:tcW w:w="1413" w:type="dxa"/>
            <w:vAlign w:val="top"/>
          </w:tcPr>
          <w:p w14:paraId="100954B8">
            <w:pPr>
              <w:spacing w:line="290" w:lineRule="auto"/>
              <w:rPr>
                <w:rFonts w:ascii="Arial"/>
                <w:sz w:val="21"/>
                <w:highlight w:val="none"/>
              </w:rPr>
            </w:pPr>
          </w:p>
          <w:p w14:paraId="4E31B9D3">
            <w:pPr>
              <w:spacing w:line="290" w:lineRule="auto"/>
              <w:rPr>
                <w:rFonts w:ascii="Arial"/>
                <w:sz w:val="21"/>
                <w:highlight w:val="none"/>
              </w:rPr>
            </w:pPr>
          </w:p>
          <w:p w14:paraId="38C8AB38">
            <w:pPr>
              <w:spacing w:line="290" w:lineRule="auto"/>
              <w:rPr>
                <w:rFonts w:ascii="Arial"/>
                <w:sz w:val="21"/>
                <w:highlight w:val="none"/>
              </w:rPr>
            </w:pPr>
          </w:p>
          <w:p w14:paraId="62D649B2">
            <w:pPr>
              <w:pStyle w:val="31"/>
              <w:spacing w:before="65" w:line="228" w:lineRule="auto"/>
              <w:ind w:left="282"/>
              <w:rPr>
                <w:highlight w:val="none"/>
              </w:rPr>
            </w:pPr>
            <w:r>
              <w:rPr>
                <w:spacing w:val="7"/>
                <w:highlight w:val="none"/>
              </w:rPr>
              <w:t>评标办法</w:t>
            </w:r>
          </w:p>
        </w:tc>
        <w:tc>
          <w:tcPr>
            <w:tcW w:w="7106" w:type="dxa"/>
            <w:tcBorders>
              <w:right w:val="single" w:color="000000" w:sz="10" w:space="0"/>
            </w:tcBorders>
            <w:vAlign w:val="top"/>
          </w:tcPr>
          <w:p w14:paraId="40981ED8">
            <w:pPr>
              <w:pStyle w:val="31"/>
              <w:spacing w:before="94" w:line="297" w:lineRule="auto"/>
              <w:ind w:left="110" w:right="97" w:hanging="1"/>
              <w:jc w:val="both"/>
              <w:rPr>
                <w:highlight w:val="none"/>
              </w:rPr>
            </w:pPr>
            <w:r>
              <w:rPr>
                <w:spacing w:val="8"/>
                <w:highlight w:val="none"/>
              </w:rPr>
              <w:t>本次评标采用技术评分最低标价法。评标委员会对满足招标文件实质性要求的投标文件的技术方案、主要人员、企业业绩等因素进行评分，按照得分由</w:t>
            </w:r>
            <w:r>
              <w:rPr>
                <w:spacing w:val="15"/>
                <w:highlight w:val="none"/>
              </w:rPr>
              <w:t>高到低排序，对排名在招标文件规定数量以内的投标人的报价文件进行评</w:t>
            </w:r>
            <w:r>
              <w:rPr>
                <w:spacing w:val="8"/>
                <w:highlight w:val="none"/>
              </w:rPr>
              <w:t>审，按照评标价由低到高的顺序推荐中标候选人，但投标报价低于其成本的除外。评标价相等时，投标文件第一个信封（商务及技术文件）排序在前的</w:t>
            </w:r>
            <w:r>
              <w:rPr>
                <w:spacing w:val="6"/>
                <w:highlight w:val="none"/>
              </w:rPr>
              <w:t>投标人优先。</w:t>
            </w:r>
          </w:p>
        </w:tc>
      </w:tr>
      <w:tr w14:paraId="54A23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5" w:hRule="atLeast"/>
        </w:trPr>
        <w:tc>
          <w:tcPr>
            <w:tcW w:w="1112" w:type="dxa"/>
            <w:tcBorders>
              <w:left w:val="single" w:color="000000" w:sz="10" w:space="0"/>
              <w:bottom w:val="single" w:color="000000" w:sz="10" w:space="0"/>
            </w:tcBorders>
            <w:vAlign w:val="top"/>
          </w:tcPr>
          <w:p w14:paraId="0C05310D">
            <w:pPr>
              <w:spacing w:line="249" w:lineRule="auto"/>
              <w:rPr>
                <w:rFonts w:ascii="Arial"/>
                <w:sz w:val="21"/>
                <w:highlight w:val="none"/>
              </w:rPr>
            </w:pPr>
          </w:p>
          <w:p w14:paraId="4745677F">
            <w:pPr>
              <w:spacing w:line="249" w:lineRule="auto"/>
              <w:rPr>
                <w:rFonts w:ascii="Arial"/>
                <w:sz w:val="21"/>
                <w:highlight w:val="none"/>
              </w:rPr>
            </w:pPr>
          </w:p>
          <w:p w14:paraId="64A9F590">
            <w:pPr>
              <w:spacing w:line="249" w:lineRule="auto"/>
              <w:rPr>
                <w:rFonts w:ascii="Arial"/>
                <w:sz w:val="21"/>
                <w:highlight w:val="none"/>
              </w:rPr>
            </w:pPr>
          </w:p>
          <w:p w14:paraId="6EFACD30">
            <w:pPr>
              <w:spacing w:line="249" w:lineRule="auto"/>
              <w:rPr>
                <w:rFonts w:ascii="Arial"/>
                <w:sz w:val="21"/>
                <w:highlight w:val="none"/>
              </w:rPr>
            </w:pPr>
          </w:p>
          <w:p w14:paraId="515FBE72">
            <w:pPr>
              <w:spacing w:line="249" w:lineRule="auto"/>
              <w:rPr>
                <w:rFonts w:ascii="Arial"/>
                <w:sz w:val="21"/>
                <w:highlight w:val="none"/>
              </w:rPr>
            </w:pPr>
          </w:p>
          <w:p w14:paraId="135BCEEF">
            <w:pPr>
              <w:spacing w:line="249" w:lineRule="auto"/>
              <w:rPr>
                <w:rFonts w:ascii="Arial"/>
                <w:sz w:val="21"/>
                <w:highlight w:val="none"/>
              </w:rPr>
            </w:pPr>
          </w:p>
          <w:p w14:paraId="2C848A9D">
            <w:pPr>
              <w:spacing w:line="249" w:lineRule="auto"/>
              <w:rPr>
                <w:rFonts w:ascii="Arial"/>
                <w:sz w:val="21"/>
                <w:highlight w:val="none"/>
              </w:rPr>
            </w:pPr>
          </w:p>
          <w:p w14:paraId="4F6F2D68">
            <w:pPr>
              <w:spacing w:line="249" w:lineRule="auto"/>
              <w:rPr>
                <w:rFonts w:ascii="Arial"/>
                <w:sz w:val="21"/>
                <w:highlight w:val="none"/>
              </w:rPr>
            </w:pPr>
          </w:p>
          <w:p w14:paraId="2B42DB4C">
            <w:pPr>
              <w:spacing w:line="249" w:lineRule="auto"/>
              <w:rPr>
                <w:rFonts w:ascii="Arial"/>
                <w:sz w:val="21"/>
                <w:highlight w:val="none"/>
              </w:rPr>
            </w:pPr>
          </w:p>
          <w:p w14:paraId="2D527B7A">
            <w:pPr>
              <w:spacing w:line="250" w:lineRule="auto"/>
              <w:rPr>
                <w:rFonts w:ascii="Arial"/>
                <w:sz w:val="21"/>
                <w:highlight w:val="none"/>
              </w:rPr>
            </w:pPr>
          </w:p>
          <w:p w14:paraId="06613FB3">
            <w:pPr>
              <w:spacing w:line="250" w:lineRule="auto"/>
              <w:rPr>
                <w:rFonts w:ascii="Arial"/>
                <w:sz w:val="21"/>
                <w:highlight w:val="none"/>
              </w:rPr>
            </w:pPr>
          </w:p>
          <w:p w14:paraId="242C77FC">
            <w:pPr>
              <w:spacing w:line="250" w:lineRule="auto"/>
              <w:rPr>
                <w:rFonts w:ascii="Arial"/>
                <w:sz w:val="21"/>
                <w:highlight w:val="none"/>
              </w:rPr>
            </w:pPr>
          </w:p>
          <w:p w14:paraId="61F7241A">
            <w:pPr>
              <w:spacing w:line="250" w:lineRule="auto"/>
              <w:rPr>
                <w:rFonts w:ascii="Arial"/>
                <w:sz w:val="21"/>
                <w:highlight w:val="none"/>
              </w:rPr>
            </w:pPr>
          </w:p>
          <w:p w14:paraId="3FAC62F6">
            <w:pPr>
              <w:spacing w:line="250" w:lineRule="auto"/>
              <w:rPr>
                <w:rFonts w:ascii="Arial"/>
                <w:sz w:val="21"/>
                <w:highlight w:val="none"/>
              </w:rPr>
            </w:pPr>
          </w:p>
          <w:p w14:paraId="2F2D9F9A">
            <w:pPr>
              <w:spacing w:line="250" w:lineRule="auto"/>
              <w:rPr>
                <w:rFonts w:ascii="Arial"/>
                <w:sz w:val="21"/>
                <w:highlight w:val="none"/>
              </w:rPr>
            </w:pPr>
          </w:p>
          <w:p w14:paraId="511711C7">
            <w:pPr>
              <w:spacing w:line="250" w:lineRule="auto"/>
              <w:rPr>
                <w:rFonts w:ascii="Arial"/>
                <w:sz w:val="21"/>
                <w:highlight w:val="none"/>
              </w:rPr>
            </w:pPr>
          </w:p>
          <w:p w14:paraId="1F371E2A">
            <w:pPr>
              <w:spacing w:line="250" w:lineRule="auto"/>
              <w:rPr>
                <w:rFonts w:ascii="Arial"/>
                <w:sz w:val="21"/>
                <w:highlight w:val="none"/>
              </w:rPr>
            </w:pPr>
          </w:p>
          <w:p w14:paraId="1A1C0B41">
            <w:pPr>
              <w:pStyle w:val="31"/>
              <w:spacing w:before="65" w:line="268" w:lineRule="exact"/>
              <w:ind w:left="289"/>
              <w:rPr>
                <w:highlight w:val="none"/>
              </w:rPr>
            </w:pPr>
            <w:r>
              <w:rPr>
                <w:spacing w:val="2"/>
                <w:position w:val="1"/>
                <w:highlight w:val="none"/>
              </w:rPr>
              <w:t>2.1.1</w:t>
            </w:r>
          </w:p>
          <w:p w14:paraId="1E884FE7">
            <w:pPr>
              <w:pStyle w:val="31"/>
              <w:spacing w:before="44" w:line="268" w:lineRule="exact"/>
              <w:ind w:left="289"/>
              <w:rPr>
                <w:highlight w:val="none"/>
              </w:rPr>
            </w:pPr>
            <w:r>
              <w:rPr>
                <w:spacing w:val="2"/>
                <w:position w:val="1"/>
                <w:highlight w:val="none"/>
              </w:rPr>
              <w:t>2.1.3</w:t>
            </w:r>
          </w:p>
        </w:tc>
        <w:tc>
          <w:tcPr>
            <w:tcW w:w="1413" w:type="dxa"/>
            <w:tcBorders>
              <w:bottom w:val="single" w:color="000000" w:sz="10" w:space="0"/>
            </w:tcBorders>
            <w:vAlign w:val="top"/>
          </w:tcPr>
          <w:p w14:paraId="37B1C2E4">
            <w:pPr>
              <w:rPr>
                <w:rFonts w:ascii="Arial"/>
                <w:sz w:val="21"/>
                <w:highlight w:val="none"/>
              </w:rPr>
            </w:pPr>
          </w:p>
          <w:p w14:paraId="3F1C4152">
            <w:pPr>
              <w:rPr>
                <w:rFonts w:ascii="Arial"/>
                <w:sz w:val="21"/>
                <w:highlight w:val="none"/>
              </w:rPr>
            </w:pPr>
          </w:p>
          <w:p w14:paraId="2F8AAC39">
            <w:pPr>
              <w:rPr>
                <w:rFonts w:ascii="Arial"/>
                <w:sz w:val="21"/>
                <w:highlight w:val="none"/>
              </w:rPr>
            </w:pPr>
          </w:p>
          <w:p w14:paraId="58586A9B">
            <w:pPr>
              <w:rPr>
                <w:rFonts w:ascii="Arial"/>
                <w:sz w:val="21"/>
                <w:highlight w:val="none"/>
              </w:rPr>
            </w:pPr>
          </w:p>
          <w:p w14:paraId="41C8E6D2">
            <w:pPr>
              <w:rPr>
                <w:rFonts w:ascii="Arial"/>
                <w:sz w:val="21"/>
                <w:highlight w:val="none"/>
              </w:rPr>
            </w:pPr>
          </w:p>
          <w:p w14:paraId="2BDA4142">
            <w:pPr>
              <w:rPr>
                <w:rFonts w:ascii="Arial"/>
                <w:sz w:val="21"/>
                <w:highlight w:val="none"/>
              </w:rPr>
            </w:pPr>
          </w:p>
          <w:p w14:paraId="50B6F8E5">
            <w:pPr>
              <w:rPr>
                <w:rFonts w:ascii="Arial"/>
                <w:sz w:val="21"/>
                <w:highlight w:val="none"/>
              </w:rPr>
            </w:pPr>
          </w:p>
          <w:p w14:paraId="3D7F09AA">
            <w:pPr>
              <w:rPr>
                <w:rFonts w:ascii="Arial"/>
                <w:sz w:val="21"/>
                <w:highlight w:val="none"/>
              </w:rPr>
            </w:pPr>
          </w:p>
          <w:p w14:paraId="448D5936">
            <w:pPr>
              <w:rPr>
                <w:rFonts w:ascii="Arial"/>
                <w:sz w:val="21"/>
                <w:highlight w:val="none"/>
              </w:rPr>
            </w:pPr>
          </w:p>
          <w:p w14:paraId="08FE7DF6">
            <w:pPr>
              <w:rPr>
                <w:rFonts w:ascii="Arial"/>
                <w:sz w:val="21"/>
                <w:highlight w:val="none"/>
              </w:rPr>
            </w:pPr>
          </w:p>
          <w:p w14:paraId="5E531E50">
            <w:pPr>
              <w:rPr>
                <w:rFonts w:ascii="Arial"/>
                <w:sz w:val="21"/>
                <w:highlight w:val="none"/>
              </w:rPr>
            </w:pPr>
          </w:p>
          <w:p w14:paraId="55AEA9CA">
            <w:pPr>
              <w:rPr>
                <w:rFonts w:ascii="Arial"/>
                <w:sz w:val="21"/>
                <w:highlight w:val="none"/>
              </w:rPr>
            </w:pPr>
          </w:p>
          <w:p w14:paraId="3005680D">
            <w:pPr>
              <w:spacing w:line="241" w:lineRule="auto"/>
              <w:rPr>
                <w:rFonts w:ascii="Arial"/>
                <w:sz w:val="21"/>
                <w:highlight w:val="none"/>
              </w:rPr>
            </w:pPr>
          </w:p>
          <w:p w14:paraId="6C780D11">
            <w:pPr>
              <w:spacing w:line="241" w:lineRule="auto"/>
              <w:rPr>
                <w:rFonts w:ascii="Arial"/>
                <w:sz w:val="21"/>
                <w:highlight w:val="none"/>
              </w:rPr>
            </w:pPr>
          </w:p>
          <w:p w14:paraId="34070DE1">
            <w:pPr>
              <w:spacing w:line="241" w:lineRule="auto"/>
              <w:rPr>
                <w:rFonts w:ascii="Arial"/>
                <w:sz w:val="21"/>
                <w:highlight w:val="none"/>
              </w:rPr>
            </w:pPr>
          </w:p>
          <w:p w14:paraId="41C5DBDE">
            <w:pPr>
              <w:spacing w:line="241" w:lineRule="auto"/>
              <w:rPr>
                <w:rFonts w:ascii="Arial"/>
                <w:sz w:val="21"/>
                <w:highlight w:val="none"/>
              </w:rPr>
            </w:pPr>
          </w:p>
          <w:p w14:paraId="33B78501">
            <w:pPr>
              <w:spacing w:line="241" w:lineRule="auto"/>
              <w:rPr>
                <w:rFonts w:ascii="Arial"/>
                <w:sz w:val="21"/>
                <w:highlight w:val="none"/>
              </w:rPr>
            </w:pPr>
          </w:p>
          <w:p w14:paraId="00EB0F57">
            <w:pPr>
              <w:pStyle w:val="31"/>
              <w:spacing w:before="65" w:line="315" w:lineRule="auto"/>
              <w:ind w:left="282" w:right="294" w:firstLine="3"/>
              <w:jc w:val="both"/>
              <w:rPr>
                <w:highlight w:val="none"/>
              </w:rPr>
            </w:pPr>
            <w:r>
              <w:rPr>
                <w:spacing w:val="6"/>
                <w:highlight w:val="none"/>
              </w:rPr>
              <w:t>形式评审</w:t>
            </w:r>
            <w:r>
              <w:rPr>
                <w:spacing w:val="7"/>
                <w:highlight w:val="none"/>
              </w:rPr>
              <w:t>与响应性评审标准</w:t>
            </w:r>
          </w:p>
        </w:tc>
        <w:tc>
          <w:tcPr>
            <w:tcW w:w="7106" w:type="dxa"/>
            <w:tcBorders>
              <w:bottom w:val="single" w:color="000000" w:sz="10" w:space="0"/>
              <w:right w:val="single" w:color="000000" w:sz="10" w:space="0"/>
            </w:tcBorders>
            <w:vAlign w:val="top"/>
          </w:tcPr>
          <w:p w14:paraId="4A324801">
            <w:pPr>
              <w:pStyle w:val="31"/>
              <w:spacing w:before="96" w:line="228" w:lineRule="auto"/>
              <w:ind w:left="109"/>
              <w:rPr>
                <w:highlight w:val="none"/>
              </w:rPr>
            </w:pPr>
            <w:r>
              <w:rPr>
                <w:spacing w:val="8"/>
                <w:highlight w:val="none"/>
              </w:rPr>
              <w:t>第一个信封（商务及技术文件）评审标准</w:t>
            </w:r>
            <w:r>
              <w:rPr>
                <w:spacing w:val="-42"/>
                <w:highlight w:val="none"/>
              </w:rPr>
              <w:t xml:space="preserve"> </w:t>
            </w:r>
            <w:r>
              <w:rPr>
                <w:spacing w:val="8"/>
                <w:highlight w:val="none"/>
              </w:rPr>
              <w:t>:</w:t>
            </w:r>
          </w:p>
          <w:p w14:paraId="083B1A51">
            <w:pPr>
              <w:pStyle w:val="31"/>
              <w:spacing w:before="91" w:line="228" w:lineRule="auto"/>
              <w:ind w:left="565"/>
              <w:rPr>
                <w:highlight w:val="none"/>
              </w:rPr>
            </w:pPr>
            <w:r>
              <w:rPr>
                <w:spacing w:val="6"/>
                <w:highlight w:val="none"/>
              </w:rPr>
              <w:t>(1)投标文件按照招标文件规定的格式、</w:t>
            </w:r>
            <w:r>
              <w:rPr>
                <w:spacing w:val="-49"/>
                <w:highlight w:val="none"/>
              </w:rPr>
              <w:t xml:space="preserve"> </w:t>
            </w:r>
            <w:r>
              <w:rPr>
                <w:spacing w:val="6"/>
                <w:highlight w:val="none"/>
              </w:rPr>
              <w:t>内容填写，字迹清晰可辨：</w:t>
            </w:r>
          </w:p>
          <w:p w14:paraId="02A8DA59">
            <w:pPr>
              <w:pStyle w:val="31"/>
              <w:spacing w:before="95" w:line="313" w:lineRule="auto"/>
              <w:ind w:left="111" w:right="28" w:firstLine="418"/>
              <w:rPr>
                <w:highlight w:val="none"/>
              </w:rPr>
            </w:pPr>
            <w:r>
              <w:rPr>
                <w:spacing w:val="-2"/>
                <w:highlight w:val="none"/>
              </w:rPr>
              <w:t>a.投标函按招标文件规定填报了项目名称、标段号、补遗书编号（如有）、</w:t>
            </w:r>
            <w:r>
              <w:rPr>
                <w:spacing w:val="8"/>
                <w:highlight w:val="none"/>
              </w:rPr>
              <w:t>工期、工程质量要求及安全目标；</w:t>
            </w:r>
          </w:p>
          <w:p w14:paraId="12EEFAA6">
            <w:pPr>
              <w:pStyle w:val="31"/>
              <w:spacing w:line="227" w:lineRule="auto"/>
              <w:ind w:left="525"/>
              <w:rPr>
                <w:highlight w:val="none"/>
              </w:rPr>
            </w:pPr>
            <w:r>
              <w:rPr>
                <w:spacing w:val="7"/>
                <w:highlight w:val="none"/>
              </w:rPr>
              <w:t>b.投标文件组成齐全完整</w:t>
            </w:r>
            <w:r>
              <w:rPr>
                <w:spacing w:val="43"/>
                <w:highlight w:val="none"/>
              </w:rPr>
              <w:t xml:space="preserve"> </w:t>
            </w:r>
            <w:r>
              <w:rPr>
                <w:spacing w:val="7"/>
                <w:highlight w:val="none"/>
              </w:rPr>
              <w:t>，内容均按规定填写。</w:t>
            </w:r>
          </w:p>
          <w:p w14:paraId="694B43EF">
            <w:pPr>
              <w:pStyle w:val="31"/>
              <w:spacing w:before="95" w:line="313" w:lineRule="auto"/>
              <w:ind w:left="116" w:right="166" w:firstLine="449"/>
              <w:rPr>
                <w:highlight w:val="none"/>
              </w:rPr>
            </w:pPr>
            <w:r>
              <w:rPr>
                <w:spacing w:val="8"/>
                <w:highlight w:val="none"/>
              </w:rPr>
              <w:t>(2)投标文件上法定代表人或其授权代理人的签字、投标人的单位章盖</w:t>
            </w:r>
            <w:r>
              <w:rPr>
                <w:spacing w:val="7"/>
                <w:highlight w:val="none"/>
              </w:rPr>
              <w:t>章齐全，符合招标文件规定。</w:t>
            </w:r>
          </w:p>
          <w:p w14:paraId="5257FA56">
            <w:pPr>
              <w:pStyle w:val="31"/>
              <w:spacing w:before="1" w:line="226" w:lineRule="auto"/>
              <w:ind w:left="565"/>
              <w:rPr>
                <w:highlight w:val="none"/>
              </w:rPr>
            </w:pPr>
            <w:r>
              <w:rPr>
                <w:spacing w:val="6"/>
                <w:highlight w:val="none"/>
              </w:rPr>
              <w:t>(3) 投标人按照招标文件规定提供了投标保证金：</w:t>
            </w:r>
          </w:p>
          <w:p w14:paraId="2697C16D">
            <w:pPr>
              <w:pStyle w:val="31"/>
              <w:spacing w:before="96" w:line="313" w:lineRule="auto"/>
              <w:ind w:left="112" w:right="97" w:firstLine="417"/>
              <w:rPr>
                <w:highlight w:val="none"/>
              </w:rPr>
            </w:pPr>
            <w:r>
              <w:rPr>
                <w:spacing w:val="8"/>
                <w:highlight w:val="none"/>
              </w:rPr>
              <w:t>a.投标保证金金额符合招标文件规定的金额，且投标保证金有效期不少</w:t>
            </w:r>
            <w:r>
              <w:rPr>
                <w:spacing w:val="6"/>
                <w:highlight w:val="none"/>
              </w:rPr>
              <w:t>于投标有效期；</w:t>
            </w:r>
          </w:p>
          <w:p w14:paraId="3655D601">
            <w:pPr>
              <w:pStyle w:val="31"/>
              <w:spacing w:before="1" w:line="314" w:lineRule="auto"/>
              <w:ind w:left="110" w:right="114" w:firstLine="414"/>
              <w:rPr>
                <w:highlight w:val="none"/>
              </w:rPr>
            </w:pPr>
            <w:r>
              <w:rPr>
                <w:spacing w:val="9"/>
                <w:highlight w:val="none"/>
              </w:rPr>
              <w:t>b. 若投标保证金采用现金或支票形式提交，投标人应在递交投标保证</w:t>
            </w:r>
            <w:r>
              <w:rPr>
                <w:spacing w:val="8"/>
                <w:highlight w:val="none"/>
              </w:rPr>
              <w:t>金截止时间之前，将投标保证金由投标人的基本账户转入招标人指定账户；</w:t>
            </w:r>
          </w:p>
          <w:p w14:paraId="0860CFB9">
            <w:pPr>
              <w:pStyle w:val="31"/>
              <w:spacing w:before="1" w:line="313" w:lineRule="auto"/>
              <w:ind w:left="111" w:right="169" w:firstLine="421"/>
              <w:rPr>
                <w:highlight w:val="none"/>
              </w:rPr>
            </w:pPr>
            <w:r>
              <w:rPr>
                <w:spacing w:val="9"/>
                <w:highlight w:val="none"/>
              </w:rPr>
              <w:t>c．若投标保证金采用保函或保单形式提交，必须为按招标文件要求办</w:t>
            </w:r>
            <w:r>
              <w:rPr>
                <w:spacing w:val="7"/>
                <w:highlight w:val="none"/>
              </w:rPr>
              <w:t>理的电子保函（保单）。</w:t>
            </w:r>
          </w:p>
          <w:p w14:paraId="73C9427A">
            <w:pPr>
              <w:pStyle w:val="31"/>
              <w:spacing w:before="1" w:line="313" w:lineRule="auto"/>
              <w:ind w:left="110" w:right="166" w:firstLine="455"/>
              <w:rPr>
                <w:highlight w:val="none"/>
              </w:rPr>
            </w:pPr>
            <w:r>
              <w:rPr>
                <w:spacing w:val="8"/>
                <w:highlight w:val="none"/>
              </w:rPr>
              <w:t>(4)投标人法定代表人授权委托代理人签署投标文件的，按招标文件要</w:t>
            </w:r>
            <w:r>
              <w:rPr>
                <w:spacing w:val="7"/>
                <w:highlight w:val="none"/>
              </w:rPr>
              <w:t>求提交了授权委托书。</w:t>
            </w:r>
          </w:p>
          <w:p w14:paraId="00203585">
            <w:pPr>
              <w:pStyle w:val="31"/>
              <w:spacing w:before="1" w:line="314" w:lineRule="auto"/>
              <w:ind w:left="114" w:right="166" w:firstLine="451"/>
              <w:rPr>
                <w:highlight w:val="none"/>
              </w:rPr>
            </w:pPr>
            <w:r>
              <w:rPr>
                <w:spacing w:val="8"/>
                <w:highlight w:val="none"/>
              </w:rPr>
              <w:t>(5)投标人法定代表人亲自签署投标文件的，按招标文件要求提供了法</w:t>
            </w:r>
            <w:r>
              <w:rPr>
                <w:spacing w:val="7"/>
                <w:highlight w:val="none"/>
              </w:rPr>
              <w:t>定代表人身份证明。</w:t>
            </w:r>
          </w:p>
          <w:p w14:paraId="1D5D6E90">
            <w:pPr>
              <w:pStyle w:val="31"/>
              <w:spacing w:before="1" w:line="228" w:lineRule="auto"/>
              <w:ind w:left="565"/>
              <w:rPr>
                <w:highlight w:val="none"/>
              </w:rPr>
            </w:pPr>
            <w:r>
              <w:rPr>
                <w:spacing w:val="5"/>
                <w:highlight w:val="none"/>
              </w:rPr>
              <w:t>(6)投标人未以联合体形式投标。</w:t>
            </w:r>
          </w:p>
          <w:p w14:paraId="59B92CF0">
            <w:pPr>
              <w:pStyle w:val="31"/>
              <w:spacing w:before="91" w:line="228" w:lineRule="auto"/>
              <w:ind w:left="565"/>
              <w:rPr>
                <w:highlight w:val="none"/>
              </w:rPr>
            </w:pPr>
            <w:r>
              <w:rPr>
                <w:spacing w:val="4"/>
                <w:highlight w:val="none"/>
              </w:rPr>
              <w:t>(7)投标人未提出分包计划。</w:t>
            </w:r>
          </w:p>
          <w:p w14:paraId="5AA338C5">
            <w:pPr>
              <w:pStyle w:val="31"/>
              <w:spacing w:before="94" w:line="226" w:lineRule="auto"/>
              <w:ind w:left="565"/>
              <w:rPr>
                <w:highlight w:val="none"/>
              </w:rPr>
            </w:pPr>
            <w:r>
              <w:rPr>
                <w:spacing w:val="6"/>
                <w:highlight w:val="none"/>
              </w:rPr>
              <w:t>(8)投标文件中未出现有关投标报价的内容。</w:t>
            </w:r>
          </w:p>
          <w:p w14:paraId="7FC304E2">
            <w:pPr>
              <w:pStyle w:val="31"/>
              <w:spacing w:before="95" w:line="228" w:lineRule="auto"/>
              <w:ind w:left="565"/>
              <w:rPr>
                <w:highlight w:val="none"/>
              </w:rPr>
            </w:pPr>
            <w:r>
              <w:rPr>
                <w:spacing w:val="8"/>
                <w:highlight w:val="none"/>
              </w:rPr>
              <w:t>(9)投标文件载明的招标项目完成期限未超</w:t>
            </w:r>
            <w:r>
              <w:rPr>
                <w:spacing w:val="7"/>
                <w:highlight w:val="none"/>
              </w:rPr>
              <w:t>过招标文件规定的时限。</w:t>
            </w:r>
          </w:p>
          <w:p w14:paraId="6B48F446">
            <w:pPr>
              <w:pStyle w:val="31"/>
              <w:spacing w:before="83" w:line="222" w:lineRule="auto"/>
              <w:ind w:left="565"/>
              <w:rPr>
                <w:highlight w:val="none"/>
              </w:rPr>
            </w:pPr>
            <w:r>
              <w:rPr>
                <w:spacing w:val="7"/>
                <w:highlight w:val="none"/>
              </w:rPr>
              <w:t>(10)投标文件</w:t>
            </w:r>
            <w:r>
              <w:rPr>
                <w:spacing w:val="7"/>
                <w:sz w:val="22"/>
                <w:szCs w:val="22"/>
                <w:highlight w:val="none"/>
              </w:rPr>
              <w:t>对</w:t>
            </w:r>
            <w:r>
              <w:rPr>
                <w:spacing w:val="7"/>
                <w:highlight w:val="none"/>
              </w:rPr>
              <w:t>招标文件的实质性要求</w:t>
            </w:r>
            <w:r>
              <w:rPr>
                <w:spacing w:val="6"/>
                <w:highlight w:val="none"/>
              </w:rPr>
              <w:t>和条件作出响应。</w:t>
            </w:r>
          </w:p>
          <w:p w14:paraId="15EBD841">
            <w:pPr>
              <w:pStyle w:val="31"/>
              <w:spacing w:before="85" w:line="228" w:lineRule="auto"/>
              <w:ind w:left="565"/>
              <w:rPr>
                <w:highlight w:val="none"/>
              </w:rPr>
            </w:pPr>
            <w:r>
              <w:rPr>
                <w:spacing w:val="5"/>
                <w:highlight w:val="none"/>
              </w:rPr>
              <w:t>(11)权利义务符合招标文件规定：</w:t>
            </w:r>
          </w:p>
          <w:p w14:paraId="6EB7EE7A">
            <w:pPr>
              <w:pStyle w:val="31"/>
              <w:spacing w:before="95" w:line="313" w:lineRule="auto"/>
              <w:ind w:left="109" w:right="99" w:firstLine="420"/>
              <w:rPr>
                <w:highlight w:val="none"/>
              </w:rPr>
            </w:pPr>
            <w:r>
              <w:rPr>
                <w:spacing w:val="8"/>
                <w:highlight w:val="none"/>
              </w:rPr>
              <w:t>a.投标人应接受招标文件规定的风险划分原则，未提出新的风险划分办</w:t>
            </w:r>
            <w:r>
              <w:rPr>
                <w:highlight w:val="none"/>
              </w:rPr>
              <w:t>法；</w:t>
            </w:r>
          </w:p>
          <w:p w14:paraId="525A80C6">
            <w:pPr>
              <w:pStyle w:val="31"/>
              <w:spacing w:line="220" w:lineRule="auto"/>
              <w:ind w:left="525"/>
              <w:rPr>
                <w:highlight w:val="none"/>
              </w:rPr>
            </w:pPr>
            <w:r>
              <w:rPr>
                <w:spacing w:val="9"/>
                <w:highlight w:val="none"/>
              </w:rPr>
              <w:t>b.投标人未增加发包人的责任范围、或减少投标人的</w:t>
            </w:r>
            <w:r>
              <w:rPr>
                <w:spacing w:val="8"/>
                <w:highlight w:val="none"/>
              </w:rPr>
              <w:t>义务；</w:t>
            </w:r>
          </w:p>
        </w:tc>
      </w:tr>
    </w:tbl>
    <w:p w14:paraId="1A03E6A1">
      <w:pPr>
        <w:pStyle w:val="6"/>
        <w:spacing w:line="408" w:lineRule="auto"/>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212090</wp:posOffset>
                </wp:positionV>
                <wp:extent cx="1828800" cy="0"/>
                <wp:effectExtent l="4445" t="4445" r="5080" b="5080"/>
                <wp:wrapNone/>
                <wp:docPr id="1" name="任意多边形 1"/>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1pt;margin-top:16.7pt;height:0pt;width:144pt;z-index:251659264;mso-width-relative:page;mso-height-relative:page;" filled="f" stroked="t" coordsize="2880,1" o:gfxdata="UEsDBAoAAAAAAIdO4kAAAAAAAAAAAAAAAAAEAAAAZHJzL1BLAwQUAAAACACHTuJAHbnfntMAAAAI&#10;AQAADwAAAGRycy9kb3ducmV2LnhtbE2PPU/DMBCGdyT+g3VIbNRuUiFI41QCCaYuNGF3nCOJGp9D&#10;7LSBX88hBjq+H3rvuXy3uEGccAq9Jw3rlQKBZH3TU6uhKl/uHkCEaKgxgyfU8IUBdsX1VW6yxp/p&#10;DU+H2AoeoZAZDV2MYyZlsB06E1Z+ROLsw0/ORJZTK5vJnHncDTJR6l460xNf6MyIzx3a42F2GsrF&#10;qpB+v+/Lz6p6nDf7V1s/Oa1vb9ZqCyLiEv/L8IvP6FAwU+1naoIYWCcJNzWk6QYE56lSbNR/hixy&#10;eflA8QNQSwMEFAAAAAgAh07iQH0BW/wlAgAAhwQAAA4AAABkcnMvZTJvRG9jLnhtbK1UzY7TMBC+&#10;I/EOlu9s2h5QVTXdA2W5IFhplwdwnUliyX943KS9c+fOEfESaAVPw654DMZO/yiXHugh/ZwZf/PN&#10;X+bXG6NZBwGVsyUfX404AytdpWxT8g/3Ny+mnGEUthLaWSj5FpBfL54/m/d+BhPXOl1BYERicdb7&#10;krcx+llRoGzBCLxyHiwZaxeMiHQMTVEF0RO70cVkNHpZ9C5UPjgJiPR2ORj5jjFcQujqWklYOrk2&#10;YOPAGkCLSClhqzzyRVZb1yDj+7pGiEyXnDKN+UlBCK/Ss1jMxawJwrdK7iSISySc5WSEshT0QLUU&#10;UbB1UP9QGSWDQ1fHK+lMMSSSK0JZjEdntblrhYecC5Ua/aHo+P9o5bvuNjBV0SRwZoWhhv96eHj6&#10;9Pnx25ffP78//vjKxqlIvccZ+d7527A7IcGU8aYOJv1TLmyTC7s9FBY2kUl6OZ5OptMR1VzubcXx&#10;olxjfAMuk4juLcahJ9UeiXaP5MbuoRcxvU6BE2R9yVOI3APjOrh32RTPJFHYo1XbU698nZ3oG8x0&#10;IwVYzHcgByV8qtq6G6V1lq1tkpIyFbQb+JGA8VRdtE3Whk6rKnkneRia1SsdWCfSdOZfqjWx/+Xm&#10;A8alwHbwy6ZhblfQwRC2BVG9thWLW08dtLS4POkwUHGmgfY8oSwwCqUv8SQR2pKW1Pih1QmtXLWl&#10;eVn7oJqWlinPRvah+czKd7uUFuD0nJmO34/F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25357T&#10;AAAACAEAAA8AAAAAAAAAAQAgAAAAIgAAAGRycy9kb3ducmV2LnhtbFBLAQIUABQAAAAIAIdO4kB9&#10;AVv8JQIAAIcEAAAOAAAAAAAAAAEAIAAAACIBAABkcnMvZTJvRG9jLnhtbFBLBQYAAAAABgAGAFkB&#10;AAC5BQAAAAA=&#10;" path="m0,0l2880,0e">
                <v:fill on="f" focussize="0,0"/>
                <v:stroke weight="0pt" color="#000000" joinstyle="bevel" endcap="square"/>
                <v:imagedata o:title=""/>
                <o:lock v:ext="edit" aspectratio="f"/>
              </v:shape>
            </w:pict>
          </mc:Fallback>
        </mc:AlternateContent>
      </w:r>
    </w:p>
    <w:p w14:paraId="12FE39AD">
      <w:pPr>
        <w:spacing w:before="58" w:line="246" w:lineRule="auto"/>
        <w:ind w:left="130" w:right="173" w:hanging="4"/>
        <w:rPr>
          <w:rFonts w:ascii="宋体" w:hAnsi="宋体" w:eastAsia="宋体" w:cs="宋体"/>
          <w:sz w:val="18"/>
          <w:szCs w:val="18"/>
          <w:highlight w:val="none"/>
        </w:rPr>
      </w:pPr>
      <w:bookmarkStart w:id="20" w:name="bookmark22"/>
      <w:bookmarkEnd w:id="20"/>
      <w:r>
        <w:rPr>
          <w:rFonts w:ascii="宋体" w:hAnsi="宋体" w:eastAsia="宋体" w:cs="宋体"/>
          <w:position w:val="9"/>
          <w:sz w:val="8"/>
          <w:szCs w:val="8"/>
          <w:highlight w:val="none"/>
        </w:rPr>
        <w:t xml:space="preserve">①  </w:t>
      </w:r>
      <w:r>
        <w:rPr>
          <w:rFonts w:ascii="宋体" w:hAnsi="宋体" w:eastAsia="宋体" w:cs="宋体"/>
          <w:sz w:val="18"/>
          <w:szCs w:val="18"/>
          <w:highlight w:val="none"/>
        </w:rPr>
        <w:t>“评标办法前附表</w:t>
      </w:r>
      <w:r>
        <w:rPr>
          <w:rFonts w:ascii="宋体" w:hAnsi="宋体" w:eastAsia="宋体" w:cs="宋体"/>
          <w:spacing w:val="-66"/>
          <w:sz w:val="18"/>
          <w:szCs w:val="18"/>
          <w:highlight w:val="none"/>
        </w:rPr>
        <w:t xml:space="preserve"> </w:t>
      </w:r>
      <w:r>
        <w:rPr>
          <w:rFonts w:ascii="宋体" w:hAnsi="宋体" w:eastAsia="宋体" w:cs="宋体"/>
          <w:sz w:val="18"/>
          <w:szCs w:val="18"/>
          <w:highlight w:val="none"/>
        </w:rPr>
        <w:t>”用于明确评标的方法、因素、标准和程序。没有列明的因素和标准不得作为</w:t>
      </w:r>
      <w:r>
        <w:rPr>
          <w:rFonts w:ascii="宋体" w:hAnsi="宋体" w:eastAsia="宋体" w:cs="宋体"/>
          <w:spacing w:val="-1"/>
          <w:sz w:val="18"/>
          <w:szCs w:val="18"/>
          <w:highlight w:val="none"/>
        </w:rPr>
        <w:t>评标的依据。凡“评标办法前附表</w:t>
      </w:r>
      <w:r>
        <w:rPr>
          <w:rFonts w:ascii="宋体" w:hAnsi="宋体" w:eastAsia="宋体" w:cs="宋体"/>
          <w:spacing w:val="-66"/>
          <w:sz w:val="18"/>
          <w:szCs w:val="18"/>
          <w:highlight w:val="none"/>
        </w:rPr>
        <w:t xml:space="preserve"> </w:t>
      </w:r>
      <w:r>
        <w:rPr>
          <w:rFonts w:ascii="宋体" w:hAnsi="宋体" w:eastAsia="宋体" w:cs="宋体"/>
          <w:spacing w:val="-1"/>
          <w:sz w:val="18"/>
          <w:szCs w:val="18"/>
          <w:highlight w:val="none"/>
        </w:rPr>
        <w:t>”对本章正文内容进行完善和补充的，均以“评标办法前附表</w:t>
      </w:r>
      <w:r>
        <w:rPr>
          <w:rFonts w:ascii="宋体" w:hAnsi="宋体" w:eastAsia="宋体" w:cs="宋体"/>
          <w:spacing w:val="-66"/>
          <w:sz w:val="18"/>
          <w:szCs w:val="18"/>
          <w:highlight w:val="none"/>
        </w:rPr>
        <w:t xml:space="preserve"> </w:t>
      </w:r>
      <w:r>
        <w:rPr>
          <w:rFonts w:ascii="宋体" w:hAnsi="宋体" w:eastAsia="宋体" w:cs="宋体"/>
          <w:spacing w:val="-1"/>
          <w:sz w:val="18"/>
          <w:szCs w:val="18"/>
          <w:highlight w:val="none"/>
        </w:rPr>
        <w:t>”为准；未进行补充、完善的，</w:t>
      </w:r>
      <w:r>
        <w:rPr>
          <w:rFonts w:ascii="宋体" w:hAnsi="宋体" w:eastAsia="宋体" w:cs="宋体"/>
          <w:spacing w:val="-2"/>
          <w:sz w:val="18"/>
          <w:szCs w:val="18"/>
          <w:highlight w:val="none"/>
        </w:rPr>
        <w:t>以本章正文</w:t>
      </w:r>
      <w:bookmarkStart w:id="21" w:name="bookmark21"/>
      <w:bookmarkEnd w:id="21"/>
      <w:r>
        <w:rPr>
          <w:rFonts w:ascii="宋体" w:hAnsi="宋体" w:eastAsia="宋体" w:cs="宋体"/>
          <w:spacing w:val="-2"/>
          <w:sz w:val="18"/>
          <w:szCs w:val="18"/>
          <w:highlight w:val="none"/>
        </w:rPr>
        <w:t>内容为准。</w:t>
      </w:r>
    </w:p>
    <w:p w14:paraId="60FBCCD1">
      <w:pPr>
        <w:spacing w:line="246" w:lineRule="auto"/>
        <w:rPr>
          <w:rFonts w:ascii="宋体" w:hAnsi="宋体" w:eastAsia="宋体" w:cs="宋体"/>
          <w:sz w:val="18"/>
          <w:szCs w:val="18"/>
          <w:highlight w:val="none"/>
        </w:rPr>
        <w:sectPr>
          <w:footerReference r:id="rId4" w:type="default"/>
          <w:pgSz w:w="11906" w:h="16839"/>
          <w:pgMar w:top="1379" w:right="1124" w:bottom="1202" w:left="1124" w:header="0" w:footer="930" w:gutter="0"/>
          <w:cols w:space="720" w:num="1"/>
        </w:sectPr>
      </w:pPr>
    </w:p>
    <w:p w14:paraId="6BC78448">
      <w:pPr>
        <w:spacing w:line="91" w:lineRule="auto"/>
        <w:rPr>
          <w:rFonts w:ascii="Arial"/>
          <w:sz w:val="2"/>
          <w:highlight w:val="none"/>
        </w:rPr>
      </w:pPr>
    </w:p>
    <w:tbl>
      <w:tblPr>
        <w:tblStyle w:val="32"/>
        <w:tblW w:w="963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2"/>
        <w:gridCol w:w="1413"/>
        <w:gridCol w:w="7106"/>
      </w:tblGrid>
      <w:tr w14:paraId="7591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525" w:type="dxa"/>
            <w:gridSpan w:val="2"/>
            <w:tcBorders>
              <w:top w:val="single" w:color="000000" w:sz="10" w:space="0"/>
              <w:left w:val="single" w:color="000000" w:sz="10" w:space="0"/>
            </w:tcBorders>
            <w:vAlign w:val="top"/>
          </w:tcPr>
          <w:p w14:paraId="6166A08B">
            <w:pPr>
              <w:pStyle w:val="31"/>
              <w:spacing w:before="144" w:line="228" w:lineRule="auto"/>
              <w:ind w:left="941"/>
              <w:rPr>
                <w:highlight w:val="none"/>
              </w:rPr>
            </w:pPr>
            <w:r>
              <w:rPr>
                <w:b/>
                <w:bCs/>
                <w:spacing w:val="5"/>
                <w:highlight w:val="none"/>
              </w:rPr>
              <w:t>条款号</w:t>
            </w:r>
          </w:p>
        </w:tc>
        <w:tc>
          <w:tcPr>
            <w:tcW w:w="7106" w:type="dxa"/>
            <w:tcBorders>
              <w:top w:val="single" w:color="000000" w:sz="10" w:space="0"/>
              <w:right w:val="single" w:color="000000" w:sz="10" w:space="0"/>
            </w:tcBorders>
            <w:vAlign w:val="top"/>
          </w:tcPr>
          <w:p w14:paraId="44F3B56E">
            <w:pPr>
              <w:pStyle w:val="31"/>
              <w:spacing w:before="144" w:line="228" w:lineRule="auto"/>
              <w:ind w:left="2815"/>
              <w:rPr>
                <w:highlight w:val="none"/>
              </w:rPr>
            </w:pPr>
            <w:r>
              <w:rPr>
                <w:b/>
                <w:bCs/>
                <w:spacing w:val="7"/>
                <w:highlight w:val="none"/>
              </w:rPr>
              <w:t>评审因素与标准</w:t>
            </w:r>
          </w:p>
        </w:tc>
      </w:tr>
      <w:tr w14:paraId="74844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1112" w:type="dxa"/>
            <w:tcBorders>
              <w:left w:val="single" w:color="000000" w:sz="10" w:space="0"/>
            </w:tcBorders>
            <w:vAlign w:val="top"/>
          </w:tcPr>
          <w:p w14:paraId="029E4B0E">
            <w:pPr>
              <w:rPr>
                <w:rFonts w:ascii="Arial"/>
                <w:sz w:val="21"/>
                <w:highlight w:val="none"/>
              </w:rPr>
            </w:pPr>
          </w:p>
        </w:tc>
        <w:tc>
          <w:tcPr>
            <w:tcW w:w="1413" w:type="dxa"/>
            <w:vAlign w:val="top"/>
          </w:tcPr>
          <w:p w14:paraId="73E30FA5">
            <w:pPr>
              <w:rPr>
                <w:rFonts w:ascii="Arial"/>
                <w:sz w:val="21"/>
                <w:highlight w:val="none"/>
              </w:rPr>
            </w:pPr>
          </w:p>
        </w:tc>
        <w:tc>
          <w:tcPr>
            <w:tcW w:w="7106" w:type="dxa"/>
            <w:tcBorders>
              <w:right w:val="single" w:color="000000" w:sz="10" w:space="0"/>
            </w:tcBorders>
            <w:vAlign w:val="top"/>
          </w:tcPr>
          <w:p w14:paraId="5F7131BB">
            <w:pPr>
              <w:pStyle w:val="31"/>
              <w:spacing w:before="90" w:line="228" w:lineRule="auto"/>
              <w:ind w:left="533"/>
              <w:rPr>
                <w:highlight w:val="none"/>
              </w:rPr>
            </w:pPr>
            <w:r>
              <w:rPr>
                <w:spacing w:val="8"/>
                <w:highlight w:val="none"/>
              </w:rPr>
              <w:t>c.投标人未提出不同的工程验收、计量、支付办法；</w:t>
            </w:r>
          </w:p>
          <w:p w14:paraId="081C390F">
            <w:pPr>
              <w:pStyle w:val="31"/>
              <w:spacing w:before="93" w:line="228" w:lineRule="auto"/>
              <w:ind w:left="533"/>
              <w:rPr>
                <w:highlight w:val="none"/>
              </w:rPr>
            </w:pPr>
            <w:r>
              <w:rPr>
                <w:spacing w:val="8"/>
                <w:highlight w:val="none"/>
              </w:rPr>
              <w:t>d.投标人对合同纠纷、事故处理办法未提出异议；</w:t>
            </w:r>
          </w:p>
          <w:p w14:paraId="1069FFB9">
            <w:pPr>
              <w:pStyle w:val="31"/>
              <w:spacing w:before="91" w:line="228" w:lineRule="auto"/>
              <w:ind w:left="534"/>
              <w:rPr>
                <w:highlight w:val="none"/>
              </w:rPr>
            </w:pPr>
            <w:r>
              <w:rPr>
                <w:spacing w:val="7"/>
                <w:highlight w:val="none"/>
              </w:rPr>
              <w:t>e.投标人在投标活动中无欺诈行为；</w:t>
            </w:r>
          </w:p>
          <w:p w14:paraId="7FC42D29">
            <w:pPr>
              <w:pStyle w:val="31"/>
              <w:spacing w:before="93" w:line="218" w:lineRule="auto"/>
              <w:ind w:left="532"/>
              <w:rPr>
                <w:highlight w:val="none"/>
              </w:rPr>
            </w:pPr>
            <w:r>
              <w:rPr>
                <w:spacing w:val="7"/>
                <w:highlight w:val="none"/>
              </w:rPr>
              <w:t>f.投标人未对合同条款有重要保留。</w:t>
            </w:r>
          </w:p>
        </w:tc>
      </w:tr>
      <w:tr w14:paraId="50A92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4" w:hRule="atLeast"/>
        </w:trPr>
        <w:tc>
          <w:tcPr>
            <w:tcW w:w="1112" w:type="dxa"/>
            <w:tcBorders>
              <w:left w:val="single" w:color="000000" w:sz="10" w:space="0"/>
            </w:tcBorders>
            <w:vAlign w:val="top"/>
          </w:tcPr>
          <w:p w14:paraId="0BE56DE4">
            <w:pPr>
              <w:spacing w:line="263" w:lineRule="auto"/>
              <w:rPr>
                <w:rFonts w:ascii="Arial"/>
                <w:sz w:val="21"/>
                <w:highlight w:val="none"/>
              </w:rPr>
            </w:pPr>
          </w:p>
          <w:p w14:paraId="02AB156B">
            <w:pPr>
              <w:spacing w:line="263" w:lineRule="auto"/>
              <w:rPr>
                <w:rFonts w:ascii="Arial"/>
                <w:sz w:val="21"/>
                <w:highlight w:val="none"/>
              </w:rPr>
            </w:pPr>
          </w:p>
          <w:p w14:paraId="63F4900F">
            <w:pPr>
              <w:spacing w:line="263" w:lineRule="auto"/>
              <w:rPr>
                <w:rFonts w:ascii="Arial"/>
                <w:sz w:val="21"/>
                <w:highlight w:val="none"/>
              </w:rPr>
            </w:pPr>
          </w:p>
          <w:p w14:paraId="7FEDFAA9">
            <w:pPr>
              <w:spacing w:line="263" w:lineRule="auto"/>
              <w:rPr>
                <w:rFonts w:ascii="Arial"/>
                <w:sz w:val="21"/>
                <w:highlight w:val="none"/>
              </w:rPr>
            </w:pPr>
          </w:p>
          <w:p w14:paraId="7653706E">
            <w:pPr>
              <w:spacing w:line="264" w:lineRule="auto"/>
              <w:rPr>
                <w:rFonts w:ascii="Arial"/>
                <w:sz w:val="21"/>
                <w:highlight w:val="none"/>
              </w:rPr>
            </w:pPr>
          </w:p>
          <w:p w14:paraId="5A733087">
            <w:pPr>
              <w:spacing w:line="264" w:lineRule="auto"/>
              <w:rPr>
                <w:rFonts w:ascii="Arial"/>
                <w:sz w:val="21"/>
                <w:highlight w:val="none"/>
              </w:rPr>
            </w:pPr>
          </w:p>
          <w:p w14:paraId="57CAD65C">
            <w:pPr>
              <w:spacing w:line="264" w:lineRule="auto"/>
              <w:rPr>
                <w:rFonts w:ascii="Arial"/>
                <w:sz w:val="21"/>
                <w:highlight w:val="none"/>
              </w:rPr>
            </w:pPr>
          </w:p>
          <w:p w14:paraId="7C8EFA4D">
            <w:pPr>
              <w:pStyle w:val="31"/>
              <w:spacing w:before="65" w:line="268" w:lineRule="exact"/>
              <w:ind w:left="289"/>
              <w:rPr>
                <w:highlight w:val="none"/>
              </w:rPr>
            </w:pPr>
            <w:r>
              <w:rPr>
                <w:spacing w:val="2"/>
                <w:position w:val="1"/>
                <w:highlight w:val="none"/>
              </w:rPr>
              <w:t>2.1.1</w:t>
            </w:r>
          </w:p>
          <w:p w14:paraId="69AD73A5">
            <w:pPr>
              <w:pStyle w:val="31"/>
              <w:spacing w:before="25" w:line="267" w:lineRule="exact"/>
              <w:ind w:left="289"/>
              <w:rPr>
                <w:highlight w:val="none"/>
              </w:rPr>
            </w:pPr>
            <w:r>
              <w:rPr>
                <w:spacing w:val="2"/>
                <w:position w:val="1"/>
                <w:highlight w:val="none"/>
              </w:rPr>
              <w:t>2.1.3</w:t>
            </w:r>
          </w:p>
        </w:tc>
        <w:tc>
          <w:tcPr>
            <w:tcW w:w="1413" w:type="dxa"/>
            <w:vAlign w:val="top"/>
          </w:tcPr>
          <w:p w14:paraId="2A5C4BE4">
            <w:pPr>
              <w:spacing w:line="278" w:lineRule="auto"/>
              <w:rPr>
                <w:rFonts w:ascii="Arial"/>
                <w:sz w:val="21"/>
                <w:highlight w:val="none"/>
              </w:rPr>
            </w:pPr>
          </w:p>
          <w:p w14:paraId="7BD29061">
            <w:pPr>
              <w:spacing w:line="278" w:lineRule="auto"/>
              <w:rPr>
                <w:rFonts w:ascii="Arial"/>
                <w:sz w:val="21"/>
                <w:highlight w:val="none"/>
              </w:rPr>
            </w:pPr>
          </w:p>
          <w:p w14:paraId="74D1FFB2">
            <w:pPr>
              <w:spacing w:line="278" w:lineRule="auto"/>
              <w:rPr>
                <w:rFonts w:ascii="Arial"/>
                <w:sz w:val="21"/>
                <w:highlight w:val="none"/>
              </w:rPr>
            </w:pPr>
          </w:p>
          <w:p w14:paraId="25C989C5">
            <w:pPr>
              <w:spacing w:line="278" w:lineRule="auto"/>
              <w:rPr>
                <w:rFonts w:ascii="Arial"/>
                <w:sz w:val="21"/>
                <w:highlight w:val="none"/>
              </w:rPr>
            </w:pPr>
          </w:p>
          <w:p w14:paraId="0D365020">
            <w:pPr>
              <w:spacing w:line="278" w:lineRule="auto"/>
              <w:rPr>
                <w:rFonts w:ascii="Arial"/>
                <w:sz w:val="21"/>
                <w:highlight w:val="none"/>
              </w:rPr>
            </w:pPr>
          </w:p>
          <w:p w14:paraId="48746957">
            <w:pPr>
              <w:spacing w:line="279" w:lineRule="auto"/>
              <w:rPr>
                <w:rFonts w:ascii="Arial"/>
                <w:sz w:val="21"/>
                <w:highlight w:val="none"/>
              </w:rPr>
            </w:pPr>
          </w:p>
          <w:p w14:paraId="471921FC">
            <w:pPr>
              <w:pStyle w:val="31"/>
              <w:spacing w:before="65" w:line="315" w:lineRule="auto"/>
              <w:ind w:left="282" w:right="294" w:firstLine="3"/>
              <w:jc w:val="both"/>
              <w:rPr>
                <w:highlight w:val="none"/>
              </w:rPr>
            </w:pPr>
            <w:r>
              <w:rPr>
                <w:spacing w:val="6"/>
                <w:highlight w:val="none"/>
              </w:rPr>
              <w:t>形式评审</w:t>
            </w:r>
            <w:r>
              <w:rPr>
                <w:spacing w:val="7"/>
                <w:highlight w:val="none"/>
              </w:rPr>
              <w:t>与响应性评审标准</w:t>
            </w:r>
          </w:p>
        </w:tc>
        <w:tc>
          <w:tcPr>
            <w:tcW w:w="7106" w:type="dxa"/>
            <w:tcBorders>
              <w:right w:val="single" w:color="000000" w:sz="10" w:space="0"/>
            </w:tcBorders>
            <w:vAlign w:val="top"/>
          </w:tcPr>
          <w:p w14:paraId="3636FF37">
            <w:pPr>
              <w:pStyle w:val="31"/>
              <w:spacing w:before="215" w:line="226" w:lineRule="auto"/>
              <w:ind w:left="109"/>
              <w:rPr>
                <w:highlight w:val="none"/>
              </w:rPr>
            </w:pPr>
            <w:r>
              <w:rPr>
                <w:spacing w:val="8"/>
                <w:highlight w:val="none"/>
              </w:rPr>
              <w:t>第二个信封（报价文件）</w:t>
            </w:r>
          </w:p>
          <w:p w14:paraId="7EB0CBDB">
            <w:pPr>
              <w:pStyle w:val="31"/>
              <w:spacing w:before="95" w:line="228" w:lineRule="auto"/>
              <w:ind w:left="565"/>
              <w:rPr>
                <w:highlight w:val="none"/>
              </w:rPr>
            </w:pPr>
            <w:r>
              <w:rPr>
                <w:spacing w:val="6"/>
                <w:highlight w:val="none"/>
              </w:rPr>
              <w:t>(1)投标文件按照招标文件规定的格式、</w:t>
            </w:r>
            <w:r>
              <w:rPr>
                <w:spacing w:val="-51"/>
                <w:highlight w:val="none"/>
              </w:rPr>
              <w:t xml:space="preserve"> </w:t>
            </w:r>
            <w:r>
              <w:rPr>
                <w:spacing w:val="6"/>
                <w:highlight w:val="none"/>
              </w:rPr>
              <w:t>内容填写，字迹清晰可辨：</w:t>
            </w:r>
          </w:p>
          <w:p w14:paraId="13809F53">
            <w:pPr>
              <w:pStyle w:val="31"/>
              <w:spacing w:before="94" w:line="313" w:lineRule="auto"/>
              <w:ind w:left="109" w:right="99" w:firstLine="420"/>
              <w:rPr>
                <w:highlight w:val="none"/>
              </w:rPr>
            </w:pPr>
            <w:r>
              <w:rPr>
                <w:spacing w:val="12"/>
                <w:highlight w:val="none"/>
              </w:rPr>
              <w:t>a．投标函按招标文件规定填报了项目名称</w:t>
            </w:r>
            <w:r>
              <w:rPr>
                <w:spacing w:val="11"/>
                <w:highlight w:val="none"/>
              </w:rPr>
              <w:t>、标段号、补遗书编号（如</w:t>
            </w:r>
            <w:r>
              <w:rPr>
                <w:spacing w:val="8"/>
                <w:highlight w:val="none"/>
              </w:rPr>
              <w:t>有)、投标价（包括大写金额和小写金额)；</w:t>
            </w:r>
          </w:p>
          <w:p w14:paraId="6E0D115D">
            <w:pPr>
              <w:pStyle w:val="31"/>
              <w:spacing w:line="228" w:lineRule="auto"/>
              <w:ind w:left="525"/>
              <w:rPr>
                <w:highlight w:val="none"/>
              </w:rPr>
            </w:pPr>
            <w:r>
              <w:rPr>
                <w:spacing w:val="7"/>
                <w:highlight w:val="none"/>
              </w:rPr>
              <w:t>b．投标文件组成齐全完整，</w:t>
            </w:r>
            <w:r>
              <w:rPr>
                <w:spacing w:val="-57"/>
                <w:highlight w:val="none"/>
              </w:rPr>
              <w:t xml:space="preserve"> </w:t>
            </w:r>
            <w:r>
              <w:rPr>
                <w:spacing w:val="7"/>
                <w:highlight w:val="none"/>
              </w:rPr>
              <w:t>内容均按规定填</w:t>
            </w:r>
            <w:r>
              <w:rPr>
                <w:spacing w:val="6"/>
                <w:highlight w:val="none"/>
              </w:rPr>
              <w:t>写。</w:t>
            </w:r>
          </w:p>
          <w:p w14:paraId="1573043F">
            <w:pPr>
              <w:pStyle w:val="31"/>
              <w:spacing w:before="95" w:line="313" w:lineRule="auto"/>
              <w:ind w:left="116" w:right="97" w:firstLine="449"/>
              <w:rPr>
                <w:highlight w:val="none"/>
              </w:rPr>
            </w:pPr>
            <w:r>
              <w:rPr>
                <w:spacing w:val="10"/>
                <w:highlight w:val="none"/>
              </w:rPr>
              <w:t>(2)投标文件上法定代表人或其委托代理人的签字、投标人的单位章盖</w:t>
            </w:r>
            <w:r>
              <w:rPr>
                <w:spacing w:val="7"/>
                <w:highlight w:val="none"/>
              </w:rPr>
              <w:t>章齐全，符合招标文件规定。</w:t>
            </w:r>
          </w:p>
          <w:p w14:paraId="04312143">
            <w:pPr>
              <w:pStyle w:val="31"/>
              <w:spacing w:line="226" w:lineRule="auto"/>
              <w:ind w:left="565"/>
              <w:rPr>
                <w:highlight w:val="none"/>
              </w:rPr>
            </w:pPr>
            <w:r>
              <w:rPr>
                <w:spacing w:val="7"/>
                <w:highlight w:val="none"/>
              </w:rPr>
              <w:t>(3)投标报价未超过招标文件设定的最高投标限</w:t>
            </w:r>
            <w:r>
              <w:rPr>
                <w:spacing w:val="6"/>
                <w:highlight w:val="none"/>
              </w:rPr>
              <w:t>价。</w:t>
            </w:r>
          </w:p>
          <w:p w14:paraId="46E3DDD7">
            <w:pPr>
              <w:pStyle w:val="31"/>
              <w:spacing w:before="95" w:line="226" w:lineRule="auto"/>
              <w:ind w:left="565"/>
              <w:rPr>
                <w:highlight w:val="none"/>
              </w:rPr>
            </w:pPr>
            <w:r>
              <w:rPr>
                <w:spacing w:val="6"/>
                <w:highlight w:val="none"/>
              </w:rPr>
              <w:t>(4)投标总价的大写金额能够确定具体数值。</w:t>
            </w:r>
          </w:p>
          <w:p w14:paraId="04847EB4">
            <w:pPr>
              <w:pStyle w:val="31"/>
              <w:spacing w:before="94" w:line="226" w:lineRule="auto"/>
              <w:ind w:left="565"/>
              <w:rPr>
                <w:highlight w:val="none"/>
              </w:rPr>
            </w:pPr>
            <w:r>
              <w:rPr>
                <w:spacing w:val="7"/>
                <w:highlight w:val="none"/>
              </w:rPr>
              <w:t>(5)同一投标人同一标段未提交两个以上不同的投标报价。</w:t>
            </w:r>
          </w:p>
          <w:p w14:paraId="1022B93B">
            <w:pPr>
              <w:pStyle w:val="31"/>
              <w:spacing w:before="95" w:line="316" w:lineRule="auto"/>
              <w:ind w:left="108" w:right="97" w:firstLine="457"/>
              <w:rPr>
                <w:highlight w:val="none"/>
              </w:rPr>
            </w:pPr>
            <w:r>
              <w:rPr>
                <w:spacing w:val="10"/>
                <w:highlight w:val="none"/>
              </w:rPr>
              <w:t>(6)投标人若填写工程量固化清单，填写完毕的工程量固化清单未对工</w:t>
            </w:r>
            <w:r>
              <w:rPr>
                <w:spacing w:val="9"/>
                <w:highlight w:val="none"/>
              </w:rPr>
              <w:t>程量固化清单电子文件中的数据、格式和运算定义进行修改。</w:t>
            </w:r>
          </w:p>
        </w:tc>
      </w:tr>
      <w:tr w14:paraId="3FE92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5" w:hRule="atLeast"/>
        </w:trPr>
        <w:tc>
          <w:tcPr>
            <w:tcW w:w="1112" w:type="dxa"/>
            <w:tcBorders>
              <w:left w:val="single" w:color="000000" w:sz="10" w:space="0"/>
            </w:tcBorders>
            <w:vAlign w:val="top"/>
          </w:tcPr>
          <w:p w14:paraId="14901028">
            <w:pPr>
              <w:spacing w:line="242" w:lineRule="auto"/>
              <w:rPr>
                <w:rFonts w:ascii="Arial"/>
                <w:sz w:val="21"/>
                <w:highlight w:val="none"/>
              </w:rPr>
            </w:pPr>
          </w:p>
          <w:p w14:paraId="2ADEE76F">
            <w:pPr>
              <w:spacing w:line="243" w:lineRule="auto"/>
              <w:rPr>
                <w:rFonts w:ascii="Arial"/>
                <w:sz w:val="21"/>
                <w:highlight w:val="none"/>
              </w:rPr>
            </w:pPr>
          </w:p>
          <w:p w14:paraId="360A2951">
            <w:pPr>
              <w:spacing w:line="243" w:lineRule="auto"/>
              <w:rPr>
                <w:rFonts w:ascii="Arial"/>
                <w:sz w:val="21"/>
                <w:highlight w:val="none"/>
              </w:rPr>
            </w:pPr>
          </w:p>
          <w:p w14:paraId="1D0769E8">
            <w:pPr>
              <w:spacing w:line="243" w:lineRule="auto"/>
              <w:rPr>
                <w:rFonts w:ascii="Arial"/>
                <w:sz w:val="21"/>
                <w:highlight w:val="none"/>
              </w:rPr>
            </w:pPr>
          </w:p>
          <w:p w14:paraId="5B6D4B5A">
            <w:pPr>
              <w:spacing w:line="243" w:lineRule="auto"/>
              <w:rPr>
                <w:rFonts w:ascii="Arial"/>
                <w:sz w:val="21"/>
                <w:highlight w:val="none"/>
              </w:rPr>
            </w:pPr>
          </w:p>
          <w:p w14:paraId="0E481B01">
            <w:pPr>
              <w:spacing w:line="243" w:lineRule="auto"/>
              <w:rPr>
                <w:rFonts w:ascii="Arial"/>
                <w:sz w:val="21"/>
                <w:highlight w:val="none"/>
              </w:rPr>
            </w:pPr>
          </w:p>
          <w:p w14:paraId="22B86389">
            <w:pPr>
              <w:pStyle w:val="31"/>
              <w:spacing w:before="65" w:line="267" w:lineRule="exact"/>
              <w:ind w:left="289"/>
              <w:rPr>
                <w:highlight w:val="none"/>
              </w:rPr>
            </w:pPr>
            <w:r>
              <w:rPr>
                <w:spacing w:val="2"/>
                <w:position w:val="1"/>
                <w:highlight w:val="none"/>
              </w:rPr>
              <w:t>2.1.2</w:t>
            </w:r>
          </w:p>
        </w:tc>
        <w:tc>
          <w:tcPr>
            <w:tcW w:w="1413" w:type="dxa"/>
            <w:vAlign w:val="top"/>
          </w:tcPr>
          <w:p w14:paraId="2F185214">
            <w:pPr>
              <w:spacing w:line="262" w:lineRule="auto"/>
              <w:rPr>
                <w:rFonts w:ascii="Arial"/>
                <w:sz w:val="21"/>
                <w:highlight w:val="none"/>
              </w:rPr>
            </w:pPr>
          </w:p>
          <w:p w14:paraId="5EFCA7DD">
            <w:pPr>
              <w:spacing w:line="262" w:lineRule="auto"/>
              <w:rPr>
                <w:rFonts w:ascii="Arial"/>
                <w:sz w:val="21"/>
                <w:highlight w:val="none"/>
              </w:rPr>
            </w:pPr>
          </w:p>
          <w:p w14:paraId="7AF414D8">
            <w:pPr>
              <w:spacing w:line="263" w:lineRule="auto"/>
              <w:rPr>
                <w:rFonts w:ascii="Arial"/>
                <w:sz w:val="21"/>
                <w:highlight w:val="none"/>
              </w:rPr>
            </w:pPr>
          </w:p>
          <w:p w14:paraId="0DE4C0A6">
            <w:pPr>
              <w:spacing w:line="263" w:lineRule="auto"/>
              <w:rPr>
                <w:rFonts w:ascii="Arial"/>
                <w:sz w:val="21"/>
                <w:highlight w:val="none"/>
              </w:rPr>
            </w:pPr>
          </w:p>
          <w:p w14:paraId="3D4B613E">
            <w:pPr>
              <w:spacing w:line="263" w:lineRule="auto"/>
              <w:rPr>
                <w:rFonts w:ascii="Arial"/>
                <w:sz w:val="21"/>
                <w:highlight w:val="none"/>
              </w:rPr>
            </w:pPr>
          </w:p>
          <w:p w14:paraId="47304B37">
            <w:pPr>
              <w:pStyle w:val="31"/>
              <w:spacing w:before="65" w:line="228" w:lineRule="auto"/>
              <w:ind w:left="503"/>
              <w:rPr>
                <w:highlight w:val="none"/>
              </w:rPr>
            </w:pPr>
            <w:r>
              <w:rPr>
                <w:highlight w:val="none"/>
              </w:rPr>
              <w:t>资格</w:t>
            </w:r>
          </w:p>
          <w:p w14:paraId="51FCEC68">
            <w:pPr>
              <w:pStyle w:val="31"/>
              <w:spacing w:before="94" w:line="228" w:lineRule="auto"/>
              <w:ind w:left="282"/>
              <w:rPr>
                <w:highlight w:val="none"/>
              </w:rPr>
            </w:pPr>
            <w:r>
              <w:rPr>
                <w:spacing w:val="7"/>
                <w:highlight w:val="none"/>
              </w:rPr>
              <w:t>评审标准</w:t>
            </w:r>
          </w:p>
        </w:tc>
        <w:tc>
          <w:tcPr>
            <w:tcW w:w="7106" w:type="dxa"/>
            <w:tcBorders>
              <w:right w:val="single" w:color="000000" w:sz="10" w:space="0"/>
            </w:tcBorders>
            <w:vAlign w:val="top"/>
          </w:tcPr>
          <w:p w14:paraId="013428FD">
            <w:pPr>
              <w:pStyle w:val="31"/>
              <w:spacing w:before="196" w:line="227" w:lineRule="auto"/>
              <w:ind w:left="565"/>
              <w:rPr>
                <w:highlight w:val="none"/>
              </w:rPr>
            </w:pPr>
            <w:r>
              <w:rPr>
                <w:spacing w:val="7"/>
                <w:highlight w:val="none"/>
              </w:rPr>
              <w:t>(1)投标人具备有效的营业执照、基本账户证明材料。</w:t>
            </w:r>
          </w:p>
          <w:p w14:paraId="5911CBF5">
            <w:pPr>
              <w:pStyle w:val="31"/>
              <w:spacing w:before="94" w:line="228" w:lineRule="auto"/>
              <w:ind w:left="565"/>
              <w:rPr>
                <w:highlight w:val="none"/>
              </w:rPr>
            </w:pPr>
            <w:r>
              <w:rPr>
                <w:spacing w:val="6"/>
                <w:highlight w:val="none"/>
              </w:rPr>
              <w:t>(2)投标人的资质等级符合招标文件规定。</w:t>
            </w:r>
          </w:p>
          <w:p w14:paraId="58C37E3C">
            <w:pPr>
              <w:pStyle w:val="31"/>
              <w:spacing w:before="93" w:line="228" w:lineRule="auto"/>
              <w:ind w:left="565"/>
              <w:rPr>
                <w:highlight w:val="none"/>
              </w:rPr>
            </w:pPr>
            <w:r>
              <w:rPr>
                <w:spacing w:val="6"/>
                <w:highlight w:val="none"/>
              </w:rPr>
              <w:t>(3)投标人的财务状况符合招标文件规定。</w:t>
            </w:r>
          </w:p>
          <w:p w14:paraId="0313500C">
            <w:pPr>
              <w:pStyle w:val="31"/>
              <w:spacing w:before="91" w:line="228" w:lineRule="auto"/>
              <w:ind w:left="565"/>
              <w:rPr>
                <w:highlight w:val="none"/>
              </w:rPr>
            </w:pPr>
            <w:r>
              <w:rPr>
                <w:spacing w:val="6"/>
                <w:highlight w:val="none"/>
              </w:rPr>
              <w:t>(4)投标人的类似项目业绩符合招标文件规定。</w:t>
            </w:r>
          </w:p>
          <w:p w14:paraId="15FEDD9A">
            <w:pPr>
              <w:pStyle w:val="31"/>
              <w:spacing w:before="94" w:line="227" w:lineRule="auto"/>
              <w:ind w:left="565"/>
              <w:rPr>
                <w:highlight w:val="none"/>
              </w:rPr>
            </w:pPr>
            <w:r>
              <w:rPr>
                <w:spacing w:val="5"/>
                <w:highlight w:val="none"/>
              </w:rPr>
              <w:t>(5)投标人的信誉符合招标文件规定。</w:t>
            </w:r>
          </w:p>
          <w:p w14:paraId="10CB842B">
            <w:pPr>
              <w:pStyle w:val="31"/>
              <w:spacing w:before="95" w:line="228" w:lineRule="auto"/>
              <w:ind w:left="565"/>
              <w:rPr>
                <w:highlight w:val="none"/>
              </w:rPr>
            </w:pPr>
            <w:r>
              <w:rPr>
                <w:spacing w:val="7"/>
                <w:highlight w:val="none"/>
              </w:rPr>
              <w:t>(6)投标人的项目经理和项目总工资格符合招标文件规定。</w:t>
            </w:r>
          </w:p>
          <w:p w14:paraId="476AE2A1">
            <w:pPr>
              <w:pStyle w:val="31"/>
              <w:spacing w:before="91" w:line="228" w:lineRule="auto"/>
              <w:ind w:left="565"/>
              <w:rPr>
                <w:highlight w:val="none"/>
              </w:rPr>
            </w:pPr>
            <w:r>
              <w:rPr>
                <w:spacing w:val="6"/>
                <w:highlight w:val="none"/>
              </w:rPr>
              <w:t>(7)投标人的其他要求符合招标文件规定。</w:t>
            </w:r>
          </w:p>
          <w:p w14:paraId="6778620D">
            <w:pPr>
              <w:pStyle w:val="31"/>
              <w:spacing w:before="95" w:line="303" w:lineRule="auto"/>
              <w:ind w:left="114" w:right="97" w:firstLine="451"/>
              <w:rPr>
                <w:highlight w:val="none"/>
              </w:rPr>
            </w:pPr>
            <w:r>
              <w:rPr>
                <w:spacing w:val="6"/>
                <w:highlight w:val="none"/>
              </w:rPr>
              <w:t>(8)投标人不存在第二章“投标人须知</w:t>
            </w:r>
            <w:r>
              <w:rPr>
                <w:spacing w:val="-63"/>
                <w:highlight w:val="none"/>
              </w:rPr>
              <w:t xml:space="preserve"> </w:t>
            </w:r>
            <w:r>
              <w:rPr>
                <w:spacing w:val="6"/>
                <w:highlight w:val="none"/>
              </w:rPr>
              <w:t>”第</w:t>
            </w:r>
            <w:r>
              <w:rPr>
                <w:spacing w:val="34"/>
                <w:highlight w:val="none"/>
              </w:rPr>
              <w:t xml:space="preserve"> </w:t>
            </w:r>
            <w:r>
              <w:rPr>
                <w:spacing w:val="6"/>
                <w:highlight w:val="none"/>
              </w:rPr>
              <w:t>1.4.3 项或第</w:t>
            </w:r>
            <w:r>
              <w:rPr>
                <w:spacing w:val="34"/>
                <w:highlight w:val="none"/>
              </w:rPr>
              <w:t xml:space="preserve"> </w:t>
            </w:r>
            <w:r>
              <w:rPr>
                <w:spacing w:val="6"/>
                <w:highlight w:val="none"/>
              </w:rPr>
              <w:t>1.4.4 项规</w:t>
            </w:r>
            <w:r>
              <w:rPr>
                <w:spacing w:val="7"/>
                <w:highlight w:val="none"/>
              </w:rPr>
              <w:t>定的任何一种情形。</w:t>
            </w:r>
          </w:p>
        </w:tc>
      </w:tr>
      <w:tr w14:paraId="06E3D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112" w:type="dxa"/>
            <w:tcBorders>
              <w:left w:val="single" w:color="000000" w:sz="10" w:space="0"/>
            </w:tcBorders>
            <w:vAlign w:val="top"/>
          </w:tcPr>
          <w:p w14:paraId="15C0BC9C">
            <w:pPr>
              <w:spacing w:line="303" w:lineRule="auto"/>
              <w:rPr>
                <w:rFonts w:ascii="Arial"/>
                <w:sz w:val="21"/>
                <w:highlight w:val="none"/>
              </w:rPr>
            </w:pPr>
          </w:p>
          <w:p w14:paraId="5D66494C">
            <w:pPr>
              <w:spacing w:line="304" w:lineRule="auto"/>
              <w:rPr>
                <w:rFonts w:ascii="Arial"/>
                <w:sz w:val="21"/>
                <w:highlight w:val="none"/>
              </w:rPr>
            </w:pPr>
          </w:p>
          <w:p w14:paraId="774F89BD">
            <w:pPr>
              <w:pStyle w:val="31"/>
              <w:spacing w:before="65" w:line="268" w:lineRule="exact"/>
              <w:ind w:left="289"/>
              <w:rPr>
                <w:highlight w:val="none"/>
              </w:rPr>
            </w:pPr>
            <w:r>
              <w:rPr>
                <w:spacing w:val="2"/>
                <w:position w:val="1"/>
                <w:highlight w:val="none"/>
              </w:rPr>
              <w:t>2.2.1</w:t>
            </w:r>
          </w:p>
        </w:tc>
        <w:tc>
          <w:tcPr>
            <w:tcW w:w="1413" w:type="dxa"/>
            <w:vAlign w:val="top"/>
          </w:tcPr>
          <w:p w14:paraId="4D1BC107">
            <w:pPr>
              <w:pStyle w:val="31"/>
              <w:spacing w:before="193" w:line="228" w:lineRule="auto"/>
              <w:ind w:left="180"/>
              <w:rPr>
                <w:highlight w:val="none"/>
              </w:rPr>
            </w:pPr>
            <w:r>
              <w:rPr>
                <w:spacing w:val="8"/>
                <w:highlight w:val="none"/>
              </w:rPr>
              <w:t>第一个信封</w:t>
            </w:r>
          </w:p>
          <w:p w14:paraId="6E6B49B4">
            <w:pPr>
              <w:pStyle w:val="31"/>
              <w:spacing w:before="91" w:line="228" w:lineRule="auto"/>
              <w:ind w:left="179"/>
              <w:rPr>
                <w:highlight w:val="none"/>
              </w:rPr>
            </w:pPr>
            <w:r>
              <w:rPr>
                <w:spacing w:val="8"/>
                <w:highlight w:val="none"/>
              </w:rPr>
              <w:t>评分分值构</w:t>
            </w:r>
          </w:p>
          <w:p w14:paraId="79594181">
            <w:pPr>
              <w:pStyle w:val="31"/>
              <w:spacing w:before="94" w:line="228" w:lineRule="auto"/>
              <w:ind w:left="129"/>
              <w:rPr>
                <w:highlight w:val="none"/>
              </w:rPr>
            </w:pPr>
            <w:r>
              <w:rPr>
                <w:spacing w:val="6"/>
                <w:highlight w:val="none"/>
              </w:rPr>
              <w:t>成（总分100</w:t>
            </w:r>
          </w:p>
          <w:p w14:paraId="138A30D0">
            <w:pPr>
              <w:pStyle w:val="31"/>
              <w:spacing w:before="93" w:line="228" w:lineRule="auto"/>
              <w:ind w:left="497"/>
              <w:rPr>
                <w:highlight w:val="none"/>
              </w:rPr>
            </w:pPr>
            <w:r>
              <w:rPr>
                <w:spacing w:val="-1"/>
                <w:highlight w:val="none"/>
              </w:rPr>
              <w:t>分）</w:t>
            </w:r>
          </w:p>
        </w:tc>
        <w:tc>
          <w:tcPr>
            <w:tcW w:w="7106" w:type="dxa"/>
            <w:tcBorders>
              <w:right w:val="single" w:color="000000" w:sz="10" w:space="0"/>
            </w:tcBorders>
            <w:vAlign w:val="top"/>
          </w:tcPr>
          <w:p w14:paraId="2E332BCD">
            <w:pPr>
              <w:pStyle w:val="31"/>
              <w:spacing w:before="193" w:line="228" w:lineRule="auto"/>
              <w:ind w:left="109"/>
              <w:rPr>
                <w:highlight w:val="none"/>
              </w:rPr>
            </w:pPr>
            <w:r>
              <w:rPr>
                <w:spacing w:val="7"/>
                <w:highlight w:val="none"/>
              </w:rPr>
              <w:t>技术方案：40分</w:t>
            </w:r>
          </w:p>
          <w:p w14:paraId="567E30BE">
            <w:pPr>
              <w:pStyle w:val="31"/>
              <w:spacing w:before="92" w:line="228" w:lineRule="auto"/>
              <w:ind w:left="110"/>
              <w:rPr>
                <w:highlight w:val="none"/>
              </w:rPr>
            </w:pPr>
            <w:r>
              <w:rPr>
                <w:spacing w:val="7"/>
                <w:highlight w:val="none"/>
              </w:rPr>
              <w:t>主要人员：25分</w:t>
            </w:r>
          </w:p>
          <w:p w14:paraId="0EF62D0D">
            <w:pPr>
              <w:pStyle w:val="31"/>
              <w:spacing w:before="93" w:line="228" w:lineRule="auto"/>
              <w:ind w:left="112"/>
              <w:rPr>
                <w:highlight w:val="none"/>
              </w:rPr>
            </w:pPr>
            <w:r>
              <w:rPr>
                <w:spacing w:val="7"/>
                <w:highlight w:val="none"/>
              </w:rPr>
              <w:t>企业业绩：20分</w:t>
            </w:r>
          </w:p>
          <w:p w14:paraId="2B6C238A">
            <w:pPr>
              <w:pStyle w:val="31"/>
              <w:spacing w:before="93" w:line="227" w:lineRule="auto"/>
              <w:ind w:left="112"/>
              <w:rPr>
                <w:highlight w:val="none"/>
              </w:rPr>
            </w:pPr>
            <w:r>
              <w:rPr>
                <w:spacing w:val="5"/>
                <w:highlight w:val="none"/>
              </w:rPr>
              <w:t>履约信誉：15</w:t>
            </w:r>
            <w:r>
              <w:rPr>
                <w:spacing w:val="-32"/>
                <w:highlight w:val="none"/>
              </w:rPr>
              <w:t xml:space="preserve"> </w:t>
            </w:r>
            <w:r>
              <w:rPr>
                <w:spacing w:val="5"/>
                <w:highlight w:val="none"/>
              </w:rPr>
              <w:t>分</w:t>
            </w:r>
          </w:p>
        </w:tc>
      </w:tr>
      <w:tr w14:paraId="2A13C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112" w:type="dxa"/>
            <w:tcBorders>
              <w:left w:val="single" w:color="000000" w:sz="10" w:space="0"/>
            </w:tcBorders>
            <w:vAlign w:val="top"/>
          </w:tcPr>
          <w:p w14:paraId="720ABC70">
            <w:pPr>
              <w:spacing w:line="355" w:lineRule="auto"/>
              <w:rPr>
                <w:rFonts w:ascii="Arial"/>
                <w:sz w:val="21"/>
                <w:highlight w:val="none"/>
              </w:rPr>
            </w:pPr>
          </w:p>
          <w:p w14:paraId="68897D48">
            <w:pPr>
              <w:pStyle w:val="31"/>
              <w:spacing w:before="65" w:line="267" w:lineRule="exact"/>
              <w:ind w:left="289"/>
              <w:rPr>
                <w:highlight w:val="none"/>
              </w:rPr>
            </w:pPr>
            <w:r>
              <w:rPr>
                <w:spacing w:val="2"/>
                <w:position w:val="1"/>
                <w:highlight w:val="none"/>
              </w:rPr>
              <w:t>2.2.3</w:t>
            </w:r>
          </w:p>
        </w:tc>
        <w:tc>
          <w:tcPr>
            <w:tcW w:w="1413" w:type="dxa"/>
            <w:vAlign w:val="top"/>
          </w:tcPr>
          <w:p w14:paraId="60A028A0">
            <w:pPr>
              <w:pStyle w:val="31"/>
              <w:spacing w:before="110" w:line="228" w:lineRule="auto"/>
              <w:ind w:left="180"/>
              <w:rPr>
                <w:highlight w:val="none"/>
              </w:rPr>
            </w:pPr>
            <w:r>
              <w:rPr>
                <w:spacing w:val="8"/>
                <w:highlight w:val="none"/>
              </w:rPr>
              <w:t>第二个信封</w:t>
            </w:r>
          </w:p>
          <w:p w14:paraId="09605A4E">
            <w:pPr>
              <w:pStyle w:val="31"/>
              <w:spacing w:before="94" w:line="257" w:lineRule="auto"/>
              <w:ind w:left="602" w:right="186" w:hanging="419"/>
              <w:rPr>
                <w:highlight w:val="none"/>
              </w:rPr>
            </w:pPr>
            <w:r>
              <w:rPr>
                <w:spacing w:val="7"/>
                <w:highlight w:val="none"/>
              </w:rPr>
              <w:t>详细评审标</w:t>
            </w:r>
            <w:r>
              <w:rPr>
                <w:highlight w:val="none"/>
              </w:rPr>
              <w:t>准</w:t>
            </w:r>
          </w:p>
        </w:tc>
        <w:tc>
          <w:tcPr>
            <w:tcW w:w="7106" w:type="dxa"/>
            <w:tcBorders>
              <w:right w:val="single" w:color="000000" w:sz="10" w:space="0"/>
            </w:tcBorders>
            <w:vAlign w:val="top"/>
          </w:tcPr>
          <w:p w14:paraId="7043C9E4">
            <w:pPr>
              <w:pStyle w:val="31"/>
              <w:spacing w:before="281" w:line="226" w:lineRule="auto"/>
              <w:ind w:left="108"/>
              <w:rPr>
                <w:highlight w:val="none"/>
              </w:rPr>
            </w:pPr>
            <w:r>
              <w:rPr>
                <w:spacing w:val="9"/>
                <w:highlight w:val="none"/>
              </w:rPr>
              <w:t>评标价计算公式：评标价=投标函文字报价</w:t>
            </w:r>
          </w:p>
        </w:tc>
      </w:tr>
      <w:tr w14:paraId="37ED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1112" w:type="dxa"/>
            <w:tcBorders>
              <w:left w:val="single" w:color="000000" w:sz="10" w:space="0"/>
              <w:bottom w:val="single" w:color="000000" w:sz="10" w:space="0"/>
            </w:tcBorders>
            <w:vAlign w:val="top"/>
          </w:tcPr>
          <w:p w14:paraId="767B5AD1">
            <w:pPr>
              <w:spacing w:line="276" w:lineRule="auto"/>
              <w:rPr>
                <w:rFonts w:ascii="Arial"/>
                <w:sz w:val="21"/>
                <w:highlight w:val="none"/>
              </w:rPr>
            </w:pPr>
          </w:p>
          <w:p w14:paraId="6C59E618">
            <w:pPr>
              <w:spacing w:line="276" w:lineRule="auto"/>
              <w:rPr>
                <w:rFonts w:ascii="Arial"/>
                <w:sz w:val="21"/>
                <w:highlight w:val="none"/>
              </w:rPr>
            </w:pPr>
          </w:p>
          <w:p w14:paraId="583906D8">
            <w:pPr>
              <w:pStyle w:val="31"/>
              <w:spacing w:before="65" w:line="268" w:lineRule="exact"/>
              <w:ind w:left="290"/>
              <w:rPr>
                <w:highlight w:val="none"/>
              </w:rPr>
            </w:pPr>
            <w:r>
              <w:rPr>
                <w:spacing w:val="2"/>
                <w:position w:val="1"/>
                <w:highlight w:val="none"/>
              </w:rPr>
              <w:t>3.2.4</w:t>
            </w:r>
          </w:p>
        </w:tc>
        <w:tc>
          <w:tcPr>
            <w:tcW w:w="1413" w:type="dxa"/>
            <w:tcBorders>
              <w:bottom w:val="single" w:color="000000" w:sz="10" w:space="0"/>
            </w:tcBorders>
            <w:vAlign w:val="top"/>
          </w:tcPr>
          <w:p w14:paraId="4F150A1D">
            <w:pPr>
              <w:pStyle w:val="31"/>
              <w:spacing w:before="138" w:line="228" w:lineRule="auto"/>
              <w:ind w:left="180"/>
              <w:rPr>
                <w:highlight w:val="none"/>
              </w:rPr>
            </w:pPr>
            <w:r>
              <w:rPr>
                <w:spacing w:val="8"/>
                <w:highlight w:val="none"/>
              </w:rPr>
              <w:t>通过第一个</w:t>
            </w:r>
          </w:p>
          <w:p w14:paraId="038BC3BC">
            <w:pPr>
              <w:pStyle w:val="31"/>
              <w:spacing w:before="93" w:line="228" w:lineRule="auto"/>
              <w:ind w:left="180"/>
              <w:rPr>
                <w:highlight w:val="none"/>
              </w:rPr>
            </w:pPr>
            <w:r>
              <w:rPr>
                <w:spacing w:val="8"/>
                <w:highlight w:val="none"/>
              </w:rPr>
              <w:t>信封详细评</w:t>
            </w:r>
          </w:p>
          <w:p w14:paraId="6ACC1104">
            <w:pPr>
              <w:pStyle w:val="31"/>
              <w:spacing w:before="91" w:line="280" w:lineRule="auto"/>
              <w:ind w:left="496" w:right="186" w:hanging="305"/>
              <w:rPr>
                <w:highlight w:val="none"/>
              </w:rPr>
            </w:pPr>
            <w:r>
              <w:rPr>
                <w:spacing w:val="6"/>
                <w:highlight w:val="none"/>
              </w:rPr>
              <w:t>审的投标人</w:t>
            </w:r>
            <w:r>
              <w:rPr>
                <w:spacing w:val="3"/>
                <w:highlight w:val="none"/>
              </w:rPr>
              <w:t>数量</w:t>
            </w:r>
          </w:p>
        </w:tc>
        <w:tc>
          <w:tcPr>
            <w:tcW w:w="7106" w:type="dxa"/>
            <w:tcBorders>
              <w:bottom w:val="single" w:color="000000" w:sz="10" w:space="0"/>
              <w:right w:val="single" w:color="000000" w:sz="10" w:space="0"/>
            </w:tcBorders>
            <w:vAlign w:val="top"/>
          </w:tcPr>
          <w:p w14:paraId="71C611C7">
            <w:pPr>
              <w:spacing w:line="243" w:lineRule="auto"/>
              <w:rPr>
                <w:rFonts w:ascii="Arial"/>
                <w:sz w:val="21"/>
                <w:highlight w:val="none"/>
              </w:rPr>
            </w:pPr>
          </w:p>
          <w:p w14:paraId="0374F1CA">
            <w:pPr>
              <w:pStyle w:val="31"/>
              <w:spacing w:before="65" w:line="314" w:lineRule="auto"/>
              <w:ind w:left="108" w:right="97" w:firstLine="2"/>
              <w:jc w:val="both"/>
              <w:rPr>
                <w:highlight w:val="none"/>
              </w:rPr>
            </w:pPr>
            <w:r>
              <w:rPr>
                <w:spacing w:val="8"/>
                <w:highlight w:val="none"/>
              </w:rPr>
              <w:t>按照投标人的商务和技术得分由高到低排序，选</w:t>
            </w:r>
            <w:r>
              <w:rPr>
                <w:spacing w:val="7"/>
                <w:highlight w:val="none"/>
              </w:rPr>
              <w:t>择前</w:t>
            </w:r>
            <w:r>
              <w:rPr>
                <w:spacing w:val="-35"/>
                <w:highlight w:val="none"/>
              </w:rPr>
              <w:t xml:space="preserve"> </w:t>
            </w:r>
            <w:r>
              <w:rPr>
                <w:spacing w:val="7"/>
                <w:highlight w:val="none"/>
              </w:rPr>
              <w:t>3</w:t>
            </w:r>
            <w:r>
              <w:rPr>
                <w:spacing w:val="-35"/>
                <w:highlight w:val="none"/>
              </w:rPr>
              <w:t xml:space="preserve"> </w:t>
            </w:r>
            <w:r>
              <w:rPr>
                <w:spacing w:val="7"/>
                <w:highlight w:val="none"/>
              </w:rPr>
              <w:t>名通过第一个信封详</w:t>
            </w:r>
            <w:r>
              <w:rPr>
                <w:spacing w:val="8"/>
                <w:highlight w:val="none"/>
              </w:rPr>
              <w:t>细评审。如通过第一个信封详细评审的投标人数</w:t>
            </w:r>
            <w:r>
              <w:rPr>
                <w:spacing w:val="7"/>
                <w:highlight w:val="none"/>
              </w:rPr>
              <w:t>量不足</w:t>
            </w:r>
            <w:r>
              <w:rPr>
                <w:spacing w:val="-32"/>
                <w:highlight w:val="none"/>
              </w:rPr>
              <w:t xml:space="preserve"> </w:t>
            </w:r>
            <w:r>
              <w:rPr>
                <w:spacing w:val="7"/>
                <w:highlight w:val="none"/>
              </w:rPr>
              <w:t>3</w:t>
            </w:r>
            <w:r>
              <w:rPr>
                <w:spacing w:val="-36"/>
                <w:highlight w:val="none"/>
              </w:rPr>
              <w:t xml:space="preserve"> </w:t>
            </w:r>
            <w:r>
              <w:rPr>
                <w:spacing w:val="7"/>
                <w:highlight w:val="none"/>
              </w:rPr>
              <w:t>名时，由评标委员</w:t>
            </w:r>
            <w:r>
              <w:rPr>
                <w:spacing w:val="9"/>
                <w:highlight w:val="none"/>
              </w:rPr>
              <w:t>会根据法律、法规和部门规章的相关规定确定是否继续进行评标。</w:t>
            </w:r>
          </w:p>
        </w:tc>
      </w:tr>
    </w:tbl>
    <w:p w14:paraId="4E40007D">
      <w:pPr>
        <w:pStyle w:val="6"/>
        <w:rPr>
          <w:highlight w:val="none"/>
        </w:rPr>
      </w:pPr>
    </w:p>
    <w:p w14:paraId="239EAC00">
      <w:pPr>
        <w:rPr>
          <w:highlight w:val="none"/>
        </w:rPr>
        <w:sectPr>
          <w:footerReference r:id="rId5" w:type="default"/>
          <w:pgSz w:w="11906" w:h="16839"/>
          <w:pgMar w:top="1431" w:right="1124" w:bottom="1202" w:left="1124" w:header="0" w:footer="933" w:gutter="0"/>
          <w:cols w:space="720" w:num="1"/>
        </w:sectPr>
      </w:pPr>
    </w:p>
    <w:p w14:paraId="169996F3">
      <w:pPr>
        <w:spacing w:line="91" w:lineRule="auto"/>
        <w:rPr>
          <w:rFonts w:ascii="Arial"/>
          <w:sz w:val="2"/>
          <w:highlight w:val="none"/>
        </w:rPr>
      </w:pPr>
    </w:p>
    <w:tbl>
      <w:tblPr>
        <w:tblStyle w:val="32"/>
        <w:tblW w:w="944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848"/>
        <w:gridCol w:w="990"/>
        <w:gridCol w:w="1607"/>
        <w:gridCol w:w="673"/>
        <w:gridCol w:w="4435"/>
      </w:tblGrid>
      <w:tr w14:paraId="18E3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009" w:type="dxa"/>
            <w:gridSpan w:val="5"/>
            <w:tcBorders>
              <w:top w:val="single" w:color="000000" w:sz="10" w:space="0"/>
              <w:left w:val="single" w:color="000000" w:sz="10" w:space="0"/>
            </w:tcBorders>
            <w:vAlign w:val="top"/>
          </w:tcPr>
          <w:p w14:paraId="0825BE7C">
            <w:pPr>
              <w:pStyle w:val="31"/>
              <w:spacing w:before="69" w:line="228" w:lineRule="auto"/>
              <w:ind w:left="1552"/>
              <w:rPr>
                <w:highlight w:val="none"/>
              </w:rPr>
            </w:pPr>
            <w:r>
              <w:rPr>
                <w:b/>
                <w:bCs/>
                <w:spacing w:val="7"/>
                <w:highlight w:val="none"/>
              </w:rPr>
              <w:t>评分因素与权重分值</w:t>
            </w:r>
          </w:p>
        </w:tc>
        <w:tc>
          <w:tcPr>
            <w:tcW w:w="4435" w:type="dxa"/>
            <w:vMerge w:val="restart"/>
            <w:tcBorders>
              <w:top w:val="single" w:color="000000" w:sz="10" w:space="0"/>
              <w:bottom w:val="nil"/>
              <w:right w:val="single" w:color="000000" w:sz="10" w:space="0"/>
            </w:tcBorders>
            <w:vAlign w:val="top"/>
          </w:tcPr>
          <w:p w14:paraId="5DE178D3">
            <w:pPr>
              <w:spacing w:line="277" w:lineRule="auto"/>
              <w:rPr>
                <w:rFonts w:ascii="Arial"/>
                <w:sz w:val="21"/>
                <w:highlight w:val="none"/>
              </w:rPr>
            </w:pPr>
          </w:p>
          <w:p w14:paraId="2BEB589E">
            <w:pPr>
              <w:pStyle w:val="31"/>
              <w:spacing w:before="65" w:line="228" w:lineRule="auto"/>
              <w:ind w:left="1799"/>
              <w:rPr>
                <w:highlight w:val="none"/>
              </w:rPr>
            </w:pPr>
            <w:r>
              <w:rPr>
                <w:b/>
                <w:bCs/>
                <w:spacing w:val="6"/>
                <w:highlight w:val="none"/>
              </w:rPr>
              <w:t>评分标准</w:t>
            </w:r>
          </w:p>
        </w:tc>
      </w:tr>
      <w:tr w14:paraId="44AB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891" w:type="dxa"/>
            <w:tcBorders>
              <w:left w:val="single" w:color="000000" w:sz="10" w:space="0"/>
            </w:tcBorders>
            <w:vAlign w:val="top"/>
          </w:tcPr>
          <w:p w14:paraId="793B4E5D">
            <w:pPr>
              <w:pStyle w:val="31"/>
              <w:spacing w:before="165" w:line="228" w:lineRule="auto"/>
              <w:ind w:left="121"/>
              <w:rPr>
                <w:highlight w:val="none"/>
              </w:rPr>
            </w:pPr>
            <w:r>
              <w:rPr>
                <w:b/>
                <w:bCs/>
                <w:spacing w:val="5"/>
                <w:highlight w:val="none"/>
              </w:rPr>
              <w:t>条款号</w:t>
            </w:r>
          </w:p>
        </w:tc>
        <w:tc>
          <w:tcPr>
            <w:tcW w:w="848" w:type="dxa"/>
            <w:vAlign w:val="top"/>
          </w:tcPr>
          <w:p w14:paraId="5FAA1FA7">
            <w:pPr>
              <w:pStyle w:val="31"/>
              <w:spacing w:before="31" w:line="228" w:lineRule="auto"/>
              <w:ind w:left="207"/>
              <w:rPr>
                <w:highlight w:val="none"/>
              </w:rPr>
            </w:pPr>
            <w:r>
              <w:rPr>
                <w:b/>
                <w:bCs/>
                <w:spacing w:val="4"/>
                <w:highlight w:val="none"/>
              </w:rPr>
              <w:t>评分</w:t>
            </w:r>
          </w:p>
          <w:p w14:paraId="68ED7057">
            <w:pPr>
              <w:pStyle w:val="31"/>
              <w:spacing w:before="23" w:line="214" w:lineRule="auto"/>
              <w:ind w:left="225"/>
              <w:rPr>
                <w:highlight w:val="none"/>
              </w:rPr>
            </w:pPr>
            <w:r>
              <w:rPr>
                <w:b/>
                <w:bCs/>
                <w:spacing w:val="-5"/>
                <w:highlight w:val="none"/>
              </w:rPr>
              <w:t>因素</w:t>
            </w:r>
          </w:p>
        </w:tc>
        <w:tc>
          <w:tcPr>
            <w:tcW w:w="990" w:type="dxa"/>
            <w:vAlign w:val="top"/>
          </w:tcPr>
          <w:p w14:paraId="106EA7E6">
            <w:pPr>
              <w:pStyle w:val="31"/>
              <w:spacing w:before="30" w:line="228" w:lineRule="auto"/>
              <w:ind w:left="72"/>
              <w:rPr>
                <w:highlight w:val="none"/>
              </w:rPr>
            </w:pPr>
            <w:r>
              <w:rPr>
                <w:b/>
                <w:bCs/>
                <w:spacing w:val="6"/>
                <w:highlight w:val="none"/>
              </w:rPr>
              <w:t>评分因素</w:t>
            </w:r>
          </w:p>
          <w:p w14:paraId="19EDECD4">
            <w:pPr>
              <w:pStyle w:val="31"/>
              <w:spacing w:before="24" w:line="214" w:lineRule="auto"/>
              <w:ind w:left="72"/>
              <w:rPr>
                <w:highlight w:val="none"/>
              </w:rPr>
            </w:pPr>
            <w:r>
              <w:rPr>
                <w:b/>
                <w:bCs/>
                <w:spacing w:val="6"/>
                <w:highlight w:val="none"/>
              </w:rPr>
              <w:t>权重分值</w:t>
            </w:r>
          </w:p>
        </w:tc>
        <w:tc>
          <w:tcPr>
            <w:tcW w:w="1607" w:type="dxa"/>
            <w:vAlign w:val="top"/>
          </w:tcPr>
          <w:p w14:paraId="7940924E">
            <w:pPr>
              <w:pStyle w:val="31"/>
              <w:spacing w:before="31" w:line="232" w:lineRule="auto"/>
              <w:ind w:left="704" w:right="68" w:hanging="634"/>
              <w:rPr>
                <w:highlight w:val="none"/>
              </w:rPr>
            </w:pPr>
            <w:r>
              <w:rPr>
                <w:b/>
                <w:bCs/>
                <w:spacing w:val="6"/>
                <w:highlight w:val="none"/>
              </w:rPr>
              <w:t>各评分因素细分</w:t>
            </w:r>
            <w:r>
              <w:rPr>
                <w:b/>
                <w:bCs/>
                <w:spacing w:val="-3"/>
                <w:highlight w:val="none"/>
              </w:rPr>
              <w:t>项</w:t>
            </w:r>
          </w:p>
        </w:tc>
        <w:tc>
          <w:tcPr>
            <w:tcW w:w="673" w:type="dxa"/>
            <w:vAlign w:val="top"/>
          </w:tcPr>
          <w:p w14:paraId="4373A021">
            <w:pPr>
              <w:pStyle w:val="31"/>
              <w:spacing w:before="165" w:line="228" w:lineRule="auto"/>
              <w:ind w:left="133"/>
              <w:rPr>
                <w:highlight w:val="none"/>
              </w:rPr>
            </w:pPr>
            <w:r>
              <w:rPr>
                <w:b/>
                <w:bCs/>
                <w:spacing w:val="2"/>
                <w:highlight w:val="none"/>
              </w:rPr>
              <w:t>分值</w:t>
            </w:r>
          </w:p>
        </w:tc>
        <w:tc>
          <w:tcPr>
            <w:tcW w:w="4435" w:type="dxa"/>
            <w:vMerge w:val="continue"/>
            <w:tcBorders>
              <w:top w:val="nil"/>
              <w:right w:val="single" w:color="000000" w:sz="10" w:space="0"/>
            </w:tcBorders>
            <w:vAlign w:val="top"/>
          </w:tcPr>
          <w:p w14:paraId="7DC616EE">
            <w:pPr>
              <w:rPr>
                <w:rFonts w:ascii="Arial"/>
                <w:sz w:val="21"/>
                <w:highlight w:val="none"/>
              </w:rPr>
            </w:pPr>
          </w:p>
        </w:tc>
      </w:tr>
      <w:tr w14:paraId="63164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891" w:type="dxa"/>
            <w:vMerge w:val="restart"/>
            <w:tcBorders>
              <w:left w:val="single" w:color="000000" w:sz="10" w:space="0"/>
              <w:bottom w:val="nil"/>
            </w:tcBorders>
            <w:vAlign w:val="top"/>
          </w:tcPr>
          <w:p w14:paraId="01463170">
            <w:pPr>
              <w:spacing w:line="258" w:lineRule="auto"/>
              <w:rPr>
                <w:rFonts w:ascii="Arial"/>
                <w:sz w:val="21"/>
                <w:highlight w:val="none"/>
              </w:rPr>
            </w:pPr>
          </w:p>
          <w:p w14:paraId="68EEF314">
            <w:pPr>
              <w:spacing w:line="258" w:lineRule="auto"/>
              <w:rPr>
                <w:rFonts w:ascii="Arial"/>
                <w:sz w:val="21"/>
                <w:highlight w:val="none"/>
              </w:rPr>
            </w:pPr>
          </w:p>
          <w:p w14:paraId="78F15E84">
            <w:pPr>
              <w:spacing w:line="258" w:lineRule="auto"/>
              <w:rPr>
                <w:rFonts w:ascii="Arial"/>
                <w:sz w:val="21"/>
                <w:highlight w:val="none"/>
              </w:rPr>
            </w:pPr>
          </w:p>
          <w:p w14:paraId="37630018">
            <w:pPr>
              <w:spacing w:line="258" w:lineRule="auto"/>
              <w:rPr>
                <w:rFonts w:ascii="Arial"/>
                <w:sz w:val="21"/>
                <w:highlight w:val="none"/>
              </w:rPr>
            </w:pPr>
          </w:p>
          <w:p w14:paraId="3EDA4F3F">
            <w:pPr>
              <w:spacing w:line="258" w:lineRule="auto"/>
              <w:rPr>
                <w:rFonts w:ascii="Arial"/>
                <w:sz w:val="21"/>
                <w:highlight w:val="none"/>
              </w:rPr>
            </w:pPr>
          </w:p>
          <w:p w14:paraId="1BFC7F67">
            <w:pPr>
              <w:spacing w:line="258" w:lineRule="auto"/>
              <w:rPr>
                <w:rFonts w:ascii="Arial"/>
                <w:sz w:val="21"/>
                <w:highlight w:val="none"/>
              </w:rPr>
            </w:pPr>
          </w:p>
          <w:p w14:paraId="72721A41">
            <w:pPr>
              <w:spacing w:line="258" w:lineRule="auto"/>
              <w:rPr>
                <w:rFonts w:ascii="Arial"/>
                <w:sz w:val="21"/>
                <w:highlight w:val="none"/>
              </w:rPr>
            </w:pPr>
          </w:p>
          <w:p w14:paraId="20F991BC">
            <w:pPr>
              <w:spacing w:line="259" w:lineRule="auto"/>
              <w:rPr>
                <w:rFonts w:ascii="Arial"/>
                <w:sz w:val="21"/>
                <w:highlight w:val="none"/>
              </w:rPr>
            </w:pPr>
          </w:p>
          <w:p w14:paraId="655169B6">
            <w:pPr>
              <w:spacing w:line="259" w:lineRule="auto"/>
              <w:rPr>
                <w:rFonts w:ascii="Arial"/>
                <w:sz w:val="21"/>
                <w:highlight w:val="none"/>
              </w:rPr>
            </w:pPr>
          </w:p>
          <w:p w14:paraId="2A142335">
            <w:pPr>
              <w:spacing w:line="259" w:lineRule="auto"/>
              <w:rPr>
                <w:rFonts w:ascii="Arial"/>
                <w:sz w:val="21"/>
                <w:highlight w:val="none"/>
              </w:rPr>
            </w:pPr>
          </w:p>
          <w:p w14:paraId="1AB2615F">
            <w:pPr>
              <w:pStyle w:val="31"/>
              <w:spacing w:before="65" w:line="268" w:lineRule="exact"/>
              <w:ind w:left="177"/>
              <w:rPr>
                <w:highlight w:val="none"/>
              </w:rPr>
            </w:pPr>
            <w:r>
              <w:rPr>
                <w:spacing w:val="2"/>
                <w:position w:val="1"/>
                <w:highlight w:val="none"/>
              </w:rPr>
              <w:t>2.2.2</w:t>
            </w:r>
          </w:p>
          <w:p w14:paraId="031BB855">
            <w:pPr>
              <w:pStyle w:val="31"/>
              <w:spacing w:before="70"/>
              <w:ind w:left="185"/>
              <w:rPr>
                <w:highlight w:val="none"/>
              </w:rPr>
            </w:pPr>
            <w:r>
              <w:rPr>
                <w:spacing w:val="-2"/>
                <w:highlight w:val="none"/>
              </w:rPr>
              <w:t>（1）</w:t>
            </w:r>
          </w:p>
        </w:tc>
        <w:tc>
          <w:tcPr>
            <w:tcW w:w="848" w:type="dxa"/>
            <w:vMerge w:val="restart"/>
            <w:tcBorders>
              <w:bottom w:val="nil"/>
            </w:tcBorders>
            <w:vAlign w:val="top"/>
          </w:tcPr>
          <w:p w14:paraId="09D01FD9">
            <w:pPr>
              <w:spacing w:line="258" w:lineRule="auto"/>
              <w:rPr>
                <w:rFonts w:ascii="Arial"/>
                <w:sz w:val="21"/>
                <w:highlight w:val="none"/>
              </w:rPr>
            </w:pPr>
          </w:p>
          <w:p w14:paraId="1708757F">
            <w:pPr>
              <w:spacing w:line="258" w:lineRule="auto"/>
              <w:rPr>
                <w:rFonts w:ascii="Arial"/>
                <w:sz w:val="21"/>
                <w:highlight w:val="none"/>
              </w:rPr>
            </w:pPr>
          </w:p>
          <w:p w14:paraId="09544ED7">
            <w:pPr>
              <w:spacing w:line="259" w:lineRule="auto"/>
              <w:rPr>
                <w:rFonts w:ascii="Arial"/>
                <w:sz w:val="21"/>
                <w:highlight w:val="none"/>
              </w:rPr>
            </w:pPr>
          </w:p>
          <w:p w14:paraId="772D5083">
            <w:pPr>
              <w:spacing w:line="259" w:lineRule="auto"/>
              <w:rPr>
                <w:rFonts w:ascii="Arial"/>
                <w:sz w:val="21"/>
                <w:highlight w:val="none"/>
              </w:rPr>
            </w:pPr>
          </w:p>
          <w:p w14:paraId="3EEEADA6">
            <w:pPr>
              <w:spacing w:line="259" w:lineRule="auto"/>
              <w:rPr>
                <w:rFonts w:ascii="Arial"/>
                <w:sz w:val="21"/>
                <w:highlight w:val="none"/>
              </w:rPr>
            </w:pPr>
          </w:p>
          <w:p w14:paraId="11E96F54">
            <w:pPr>
              <w:spacing w:line="259" w:lineRule="auto"/>
              <w:rPr>
                <w:rFonts w:ascii="Arial"/>
                <w:sz w:val="21"/>
                <w:highlight w:val="none"/>
              </w:rPr>
            </w:pPr>
          </w:p>
          <w:p w14:paraId="482FB495">
            <w:pPr>
              <w:spacing w:line="259" w:lineRule="auto"/>
              <w:rPr>
                <w:rFonts w:ascii="Arial"/>
                <w:sz w:val="21"/>
                <w:highlight w:val="none"/>
              </w:rPr>
            </w:pPr>
          </w:p>
          <w:p w14:paraId="193A8E3B">
            <w:pPr>
              <w:spacing w:line="259" w:lineRule="auto"/>
              <w:rPr>
                <w:rFonts w:ascii="Arial"/>
                <w:sz w:val="21"/>
                <w:highlight w:val="none"/>
              </w:rPr>
            </w:pPr>
          </w:p>
          <w:p w14:paraId="17620C49">
            <w:pPr>
              <w:spacing w:line="259" w:lineRule="auto"/>
              <w:rPr>
                <w:rFonts w:ascii="Arial"/>
                <w:sz w:val="21"/>
                <w:highlight w:val="none"/>
              </w:rPr>
            </w:pPr>
          </w:p>
          <w:p w14:paraId="1E9C017E">
            <w:pPr>
              <w:spacing w:line="259" w:lineRule="auto"/>
              <w:rPr>
                <w:rFonts w:ascii="Arial"/>
                <w:sz w:val="21"/>
                <w:highlight w:val="none"/>
              </w:rPr>
            </w:pPr>
          </w:p>
          <w:p w14:paraId="5D3E2F8F">
            <w:pPr>
              <w:pStyle w:val="31"/>
              <w:spacing w:before="65" w:line="254" w:lineRule="auto"/>
              <w:ind w:left="315" w:right="116" w:hanging="209"/>
              <w:rPr>
                <w:spacing w:val="6"/>
                <w:highlight w:val="none"/>
              </w:rPr>
            </w:pPr>
            <w:r>
              <w:rPr>
                <w:spacing w:val="6"/>
                <w:highlight w:val="none"/>
              </w:rPr>
              <w:t>技术</w:t>
            </w:r>
          </w:p>
          <w:p w14:paraId="0C349B3B">
            <w:pPr>
              <w:pStyle w:val="31"/>
              <w:spacing w:before="65" w:line="254" w:lineRule="auto"/>
              <w:ind w:left="315" w:right="116" w:hanging="209"/>
              <w:rPr>
                <w:highlight w:val="none"/>
              </w:rPr>
            </w:pPr>
            <w:r>
              <w:rPr>
                <w:spacing w:val="6"/>
                <w:highlight w:val="none"/>
              </w:rPr>
              <w:t>方</w:t>
            </w:r>
            <w:r>
              <w:rPr>
                <w:highlight w:val="none"/>
              </w:rPr>
              <w:t>案</w:t>
            </w:r>
          </w:p>
        </w:tc>
        <w:tc>
          <w:tcPr>
            <w:tcW w:w="990" w:type="dxa"/>
            <w:vMerge w:val="restart"/>
            <w:tcBorders>
              <w:bottom w:val="nil"/>
            </w:tcBorders>
            <w:vAlign w:val="top"/>
          </w:tcPr>
          <w:p w14:paraId="5D90479F">
            <w:pPr>
              <w:spacing w:line="247" w:lineRule="auto"/>
              <w:rPr>
                <w:rFonts w:ascii="Arial"/>
                <w:sz w:val="21"/>
                <w:highlight w:val="none"/>
              </w:rPr>
            </w:pPr>
          </w:p>
          <w:p w14:paraId="31283E30">
            <w:pPr>
              <w:spacing w:line="247" w:lineRule="auto"/>
              <w:rPr>
                <w:rFonts w:ascii="Arial"/>
                <w:sz w:val="21"/>
                <w:highlight w:val="none"/>
              </w:rPr>
            </w:pPr>
          </w:p>
          <w:p w14:paraId="7FBE0994">
            <w:pPr>
              <w:spacing w:line="247" w:lineRule="auto"/>
              <w:rPr>
                <w:rFonts w:ascii="Arial"/>
                <w:sz w:val="21"/>
                <w:highlight w:val="none"/>
              </w:rPr>
            </w:pPr>
          </w:p>
          <w:p w14:paraId="0645877F">
            <w:pPr>
              <w:spacing w:line="247" w:lineRule="auto"/>
              <w:rPr>
                <w:rFonts w:ascii="Arial"/>
                <w:sz w:val="21"/>
                <w:highlight w:val="none"/>
              </w:rPr>
            </w:pPr>
          </w:p>
          <w:p w14:paraId="467EB268">
            <w:pPr>
              <w:spacing w:line="248" w:lineRule="auto"/>
              <w:rPr>
                <w:rFonts w:ascii="Arial"/>
                <w:sz w:val="21"/>
                <w:highlight w:val="none"/>
              </w:rPr>
            </w:pPr>
          </w:p>
          <w:p w14:paraId="1A1E4294">
            <w:pPr>
              <w:spacing w:line="248" w:lineRule="auto"/>
              <w:rPr>
                <w:rFonts w:ascii="Arial"/>
                <w:sz w:val="21"/>
                <w:highlight w:val="none"/>
              </w:rPr>
            </w:pPr>
          </w:p>
          <w:p w14:paraId="6F420E74">
            <w:pPr>
              <w:spacing w:line="248" w:lineRule="auto"/>
              <w:rPr>
                <w:rFonts w:ascii="Arial"/>
                <w:sz w:val="21"/>
                <w:highlight w:val="none"/>
              </w:rPr>
            </w:pPr>
          </w:p>
          <w:p w14:paraId="74C50F98">
            <w:pPr>
              <w:spacing w:line="248" w:lineRule="auto"/>
              <w:rPr>
                <w:rFonts w:ascii="Arial"/>
                <w:sz w:val="21"/>
                <w:highlight w:val="none"/>
              </w:rPr>
            </w:pPr>
          </w:p>
          <w:p w14:paraId="54D06996">
            <w:pPr>
              <w:spacing w:line="248" w:lineRule="auto"/>
              <w:rPr>
                <w:rFonts w:ascii="Arial"/>
                <w:sz w:val="21"/>
                <w:highlight w:val="none"/>
              </w:rPr>
            </w:pPr>
          </w:p>
          <w:p w14:paraId="57D06104">
            <w:pPr>
              <w:spacing w:line="248" w:lineRule="auto"/>
              <w:rPr>
                <w:rFonts w:ascii="Arial"/>
                <w:sz w:val="21"/>
                <w:highlight w:val="none"/>
              </w:rPr>
            </w:pPr>
          </w:p>
          <w:p w14:paraId="6741B342">
            <w:pPr>
              <w:spacing w:line="248" w:lineRule="auto"/>
              <w:rPr>
                <w:rFonts w:ascii="Arial"/>
                <w:sz w:val="21"/>
                <w:highlight w:val="none"/>
              </w:rPr>
            </w:pPr>
          </w:p>
          <w:p w14:paraId="7FB51F09">
            <w:pPr>
              <w:pStyle w:val="31"/>
              <w:spacing w:before="65" w:line="228" w:lineRule="auto"/>
              <w:ind w:left="257"/>
              <w:rPr>
                <w:highlight w:val="none"/>
              </w:rPr>
            </w:pPr>
            <w:r>
              <w:rPr>
                <w:highlight w:val="none"/>
              </w:rPr>
              <w:t>40</w:t>
            </w:r>
            <w:r>
              <w:rPr>
                <w:spacing w:val="-37"/>
                <w:highlight w:val="none"/>
              </w:rPr>
              <w:t xml:space="preserve"> </w:t>
            </w:r>
            <w:r>
              <w:rPr>
                <w:highlight w:val="none"/>
              </w:rPr>
              <w:t>分</w:t>
            </w:r>
          </w:p>
        </w:tc>
        <w:tc>
          <w:tcPr>
            <w:tcW w:w="1607" w:type="dxa"/>
            <w:vAlign w:val="top"/>
          </w:tcPr>
          <w:p w14:paraId="540F1463">
            <w:pPr>
              <w:spacing w:line="364" w:lineRule="auto"/>
              <w:rPr>
                <w:rFonts w:ascii="Arial"/>
                <w:sz w:val="21"/>
                <w:highlight w:val="none"/>
              </w:rPr>
            </w:pPr>
          </w:p>
          <w:p w14:paraId="0146AD6D">
            <w:pPr>
              <w:pStyle w:val="31"/>
              <w:spacing w:before="65" w:line="315" w:lineRule="auto"/>
              <w:ind w:left="382" w:right="71" w:hanging="307"/>
              <w:rPr>
                <w:highlight w:val="none"/>
              </w:rPr>
            </w:pPr>
            <w:r>
              <w:rPr>
                <w:spacing w:val="7"/>
                <w:highlight w:val="none"/>
              </w:rPr>
              <w:t>总体养护组织布置及规划</w:t>
            </w:r>
          </w:p>
        </w:tc>
        <w:tc>
          <w:tcPr>
            <w:tcW w:w="673" w:type="dxa"/>
            <w:vAlign w:val="top"/>
          </w:tcPr>
          <w:p w14:paraId="2E481131">
            <w:pPr>
              <w:spacing w:line="266" w:lineRule="auto"/>
              <w:rPr>
                <w:rFonts w:ascii="Arial"/>
                <w:sz w:val="21"/>
                <w:highlight w:val="none"/>
              </w:rPr>
            </w:pPr>
          </w:p>
          <w:p w14:paraId="018300C9">
            <w:pPr>
              <w:spacing w:line="266" w:lineRule="auto"/>
              <w:rPr>
                <w:rFonts w:ascii="Arial"/>
                <w:sz w:val="21"/>
                <w:highlight w:val="none"/>
              </w:rPr>
            </w:pPr>
          </w:p>
          <w:p w14:paraId="48890D93">
            <w:pPr>
              <w:pStyle w:val="31"/>
              <w:spacing w:before="65" w:line="228" w:lineRule="auto"/>
              <w:ind w:left="120"/>
              <w:rPr>
                <w:highlight w:val="none"/>
              </w:rPr>
            </w:pPr>
            <w:r>
              <w:rPr>
                <w:rFonts w:ascii="Times New Roman" w:hAnsi="Times New Roman" w:eastAsia="Times New Roman" w:cs="Times New Roman"/>
                <w:spacing w:val="-5"/>
                <w:highlight w:val="none"/>
              </w:rPr>
              <w:t>10</w:t>
            </w:r>
            <w:r>
              <w:rPr>
                <w:rFonts w:ascii="Times New Roman" w:hAnsi="Times New Roman" w:eastAsia="Times New Roman" w:cs="Times New Roman"/>
                <w:spacing w:val="14"/>
                <w:w w:val="101"/>
                <w:highlight w:val="none"/>
              </w:rPr>
              <w:t xml:space="preserve"> </w:t>
            </w:r>
            <w:r>
              <w:rPr>
                <w:spacing w:val="-5"/>
                <w:highlight w:val="none"/>
              </w:rPr>
              <w:t>分</w:t>
            </w:r>
          </w:p>
        </w:tc>
        <w:tc>
          <w:tcPr>
            <w:tcW w:w="4435" w:type="dxa"/>
            <w:tcBorders>
              <w:bottom w:val="single" w:color="000000" w:sz="4" w:space="0"/>
              <w:right w:val="single" w:color="000000" w:sz="10" w:space="0"/>
            </w:tcBorders>
            <w:vAlign w:val="top"/>
          </w:tcPr>
          <w:p w14:paraId="06FD5962">
            <w:pPr>
              <w:pStyle w:val="31"/>
              <w:spacing w:before="92" w:line="313" w:lineRule="auto"/>
              <w:ind w:left="34" w:right="36"/>
              <w:rPr>
                <w:highlight w:val="none"/>
              </w:rPr>
            </w:pPr>
            <w:r>
              <w:rPr>
                <w:spacing w:val="7"/>
                <w:highlight w:val="none"/>
              </w:rPr>
              <w:t>按招标文件要求编制总体养护组织布置及规划，</w:t>
            </w:r>
            <w:r>
              <w:rPr>
                <w:spacing w:val="-2"/>
                <w:highlight w:val="none"/>
              </w:rPr>
              <w:t>得</w:t>
            </w:r>
            <w:r>
              <w:rPr>
                <w:spacing w:val="15"/>
                <w:highlight w:val="none"/>
              </w:rPr>
              <w:t xml:space="preserve"> </w:t>
            </w:r>
            <w:r>
              <w:rPr>
                <w:spacing w:val="-2"/>
                <w:highlight w:val="none"/>
              </w:rPr>
              <w:t>6</w:t>
            </w:r>
            <w:r>
              <w:rPr>
                <w:spacing w:val="-36"/>
                <w:highlight w:val="none"/>
              </w:rPr>
              <w:t xml:space="preserve"> </w:t>
            </w:r>
            <w:r>
              <w:rPr>
                <w:spacing w:val="-2"/>
                <w:highlight w:val="none"/>
              </w:rPr>
              <w:t>分；</w:t>
            </w:r>
          </w:p>
          <w:p w14:paraId="06DBA0B6">
            <w:pPr>
              <w:pStyle w:val="31"/>
              <w:spacing w:before="1" w:line="265" w:lineRule="auto"/>
              <w:ind w:left="36" w:right="17" w:firstLine="3"/>
              <w:rPr>
                <w:highlight w:val="none"/>
              </w:rPr>
            </w:pPr>
            <w:r>
              <w:rPr>
                <w:spacing w:val="9"/>
                <w:highlight w:val="none"/>
              </w:rPr>
              <w:t>总体方案切实可行，对本项目具有针对性，得</w:t>
            </w:r>
            <w:r>
              <w:rPr>
                <w:spacing w:val="-28"/>
                <w:highlight w:val="none"/>
              </w:rPr>
              <w:t xml:space="preserve"> </w:t>
            </w:r>
            <w:r>
              <w:rPr>
                <w:spacing w:val="9"/>
                <w:highlight w:val="none"/>
              </w:rPr>
              <w:t>6</w:t>
            </w:r>
            <w:r>
              <w:rPr>
                <w:spacing w:val="2"/>
                <w:highlight w:val="none"/>
              </w:rPr>
              <w:t>分～10</w:t>
            </w:r>
            <w:r>
              <w:rPr>
                <w:spacing w:val="-34"/>
                <w:highlight w:val="none"/>
              </w:rPr>
              <w:t xml:space="preserve"> </w:t>
            </w:r>
            <w:r>
              <w:rPr>
                <w:spacing w:val="2"/>
                <w:highlight w:val="none"/>
              </w:rPr>
              <w:t>分。</w:t>
            </w:r>
          </w:p>
        </w:tc>
      </w:tr>
      <w:tr w14:paraId="39A37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891" w:type="dxa"/>
            <w:vMerge w:val="continue"/>
            <w:tcBorders>
              <w:top w:val="nil"/>
              <w:left w:val="single" w:color="000000" w:sz="10" w:space="0"/>
              <w:bottom w:val="nil"/>
            </w:tcBorders>
            <w:vAlign w:val="top"/>
          </w:tcPr>
          <w:p w14:paraId="7122DC8D">
            <w:pPr>
              <w:rPr>
                <w:rFonts w:ascii="Arial"/>
                <w:sz w:val="21"/>
                <w:highlight w:val="none"/>
              </w:rPr>
            </w:pPr>
          </w:p>
        </w:tc>
        <w:tc>
          <w:tcPr>
            <w:tcW w:w="848" w:type="dxa"/>
            <w:vMerge w:val="continue"/>
            <w:tcBorders>
              <w:top w:val="nil"/>
              <w:bottom w:val="nil"/>
            </w:tcBorders>
            <w:vAlign w:val="top"/>
          </w:tcPr>
          <w:p w14:paraId="611FEE11">
            <w:pPr>
              <w:rPr>
                <w:rFonts w:ascii="Arial"/>
                <w:sz w:val="21"/>
                <w:highlight w:val="none"/>
              </w:rPr>
            </w:pPr>
          </w:p>
        </w:tc>
        <w:tc>
          <w:tcPr>
            <w:tcW w:w="990" w:type="dxa"/>
            <w:vMerge w:val="continue"/>
            <w:tcBorders>
              <w:top w:val="nil"/>
              <w:bottom w:val="nil"/>
            </w:tcBorders>
            <w:vAlign w:val="top"/>
          </w:tcPr>
          <w:p w14:paraId="2CBAA8E9">
            <w:pPr>
              <w:rPr>
                <w:rFonts w:ascii="Arial"/>
                <w:sz w:val="21"/>
                <w:highlight w:val="none"/>
              </w:rPr>
            </w:pPr>
          </w:p>
        </w:tc>
        <w:tc>
          <w:tcPr>
            <w:tcW w:w="1607" w:type="dxa"/>
            <w:vAlign w:val="top"/>
          </w:tcPr>
          <w:p w14:paraId="0FF7D38E">
            <w:pPr>
              <w:spacing w:line="270" w:lineRule="auto"/>
              <w:rPr>
                <w:rFonts w:ascii="Arial"/>
                <w:sz w:val="21"/>
                <w:highlight w:val="none"/>
              </w:rPr>
            </w:pPr>
          </w:p>
          <w:p w14:paraId="53243DAA">
            <w:pPr>
              <w:spacing w:line="270" w:lineRule="auto"/>
              <w:rPr>
                <w:rFonts w:ascii="Arial"/>
                <w:sz w:val="21"/>
                <w:highlight w:val="none"/>
              </w:rPr>
            </w:pPr>
          </w:p>
          <w:p w14:paraId="761A6D70">
            <w:pPr>
              <w:pStyle w:val="31"/>
              <w:spacing w:before="65" w:line="316" w:lineRule="auto"/>
              <w:ind w:left="284" w:right="71" w:hanging="214"/>
              <w:rPr>
                <w:highlight w:val="none"/>
              </w:rPr>
            </w:pPr>
            <w:r>
              <w:rPr>
                <w:spacing w:val="8"/>
                <w:highlight w:val="none"/>
              </w:rPr>
              <w:t>养护方案、方法</w:t>
            </w:r>
            <w:r>
              <w:rPr>
                <w:spacing w:val="7"/>
                <w:highlight w:val="none"/>
              </w:rPr>
              <w:t>与技术措施</w:t>
            </w:r>
          </w:p>
        </w:tc>
        <w:tc>
          <w:tcPr>
            <w:tcW w:w="673" w:type="dxa"/>
            <w:vAlign w:val="top"/>
          </w:tcPr>
          <w:p w14:paraId="13A4C0B7">
            <w:pPr>
              <w:spacing w:line="355" w:lineRule="auto"/>
              <w:rPr>
                <w:rFonts w:ascii="Arial"/>
                <w:sz w:val="21"/>
                <w:highlight w:val="none"/>
              </w:rPr>
            </w:pPr>
          </w:p>
          <w:p w14:paraId="53899F8C">
            <w:pPr>
              <w:spacing w:line="355" w:lineRule="auto"/>
              <w:rPr>
                <w:rFonts w:ascii="Arial"/>
                <w:sz w:val="21"/>
                <w:highlight w:val="none"/>
              </w:rPr>
            </w:pPr>
          </w:p>
          <w:p w14:paraId="095BC971">
            <w:pPr>
              <w:pStyle w:val="31"/>
              <w:spacing w:before="65" w:line="228" w:lineRule="auto"/>
              <w:ind w:left="120"/>
              <w:rPr>
                <w:highlight w:val="none"/>
              </w:rPr>
            </w:pPr>
            <w:r>
              <w:rPr>
                <w:rFonts w:ascii="Times New Roman" w:hAnsi="Times New Roman" w:eastAsia="Times New Roman" w:cs="Times New Roman"/>
                <w:spacing w:val="-5"/>
                <w:highlight w:val="none"/>
              </w:rPr>
              <w:t>15</w:t>
            </w:r>
            <w:r>
              <w:rPr>
                <w:rFonts w:ascii="Times New Roman" w:hAnsi="Times New Roman" w:eastAsia="Times New Roman" w:cs="Times New Roman"/>
                <w:spacing w:val="14"/>
                <w:w w:val="101"/>
                <w:highlight w:val="none"/>
              </w:rPr>
              <w:t xml:space="preserve"> </w:t>
            </w:r>
            <w:r>
              <w:rPr>
                <w:spacing w:val="-5"/>
                <w:highlight w:val="none"/>
              </w:rPr>
              <w:t>分</w:t>
            </w:r>
          </w:p>
        </w:tc>
        <w:tc>
          <w:tcPr>
            <w:tcW w:w="4435" w:type="dxa"/>
            <w:tcBorders>
              <w:top w:val="single" w:color="000000" w:sz="4" w:space="0"/>
              <w:bottom w:val="single" w:color="000000" w:sz="4" w:space="0"/>
              <w:right w:val="single" w:color="000000" w:sz="10" w:space="0"/>
            </w:tcBorders>
            <w:vAlign w:val="top"/>
          </w:tcPr>
          <w:p w14:paraId="3B97E227">
            <w:pPr>
              <w:pStyle w:val="31"/>
              <w:spacing w:before="100" w:line="313" w:lineRule="auto"/>
              <w:ind w:left="33" w:right="18" w:firstLine="2"/>
              <w:rPr>
                <w:highlight w:val="none"/>
              </w:rPr>
            </w:pPr>
            <w:r>
              <w:rPr>
                <w:spacing w:val="18"/>
                <w:highlight w:val="none"/>
              </w:rPr>
              <w:t>按招标文件要求编制施工方案、方法与技术措</w:t>
            </w:r>
            <w:r>
              <w:rPr>
                <w:spacing w:val="-2"/>
                <w:highlight w:val="none"/>
              </w:rPr>
              <w:t>施</w:t>
            </w:r>
            <w:r>
              <w:rPr>
                <w:spacing w:val="-74"/>
                <w:highlight w:val="none"/>
              </w:rPr>
              <w:t xml:space="preserve"> </w:t>
            </w:r>
            <w:r>
              <w:rPr>
                <w:spacing w:val="-2"/>
                <w:highlight w:val="none"/>
              </w:rPr>
              <w:t>，得</w:t>
            </w:r>
            <w:r>
              <w:rPr>
                <w:spacing w:val="-38"/>
                <w:highlight w:val="none"/>
              </w:rPr>
              <w:t xml:space="preserve"> </w:t>
            </w:r>
            <w:r>
              <w:rPr>
                <w:spacing w:val="-2"/>
                <w:highlight w:val="none"/>
              </w:rPr>
              <w:t>9</w:t>
            </w:r>
            <w:r>
              <w:rPr>
                <w:spacing w:val="-36"/>
                <w:highlight w:val="none"/>
              </w:rPr>
              <w:t xml:space="preserve"> </w:t>
            </w:r>
            <w:r>
              <w:rPr>
                <w:spacing w:val="-2"/>
                <w:highlight w:val="none"/>
              </w:rPr>
              <w:t>分；</w:t>
            </w:r>
          </w:p>
          <w:p w14:paraId="70CA9346">
            <w:pPr>
              <w:pStyle w:val="31"/>
              <w:spacing w:before="1" w:line="280" w:lineRule="auto"/>
              <w:ind w:left="33" w:right="18"/>
              <w:rPr>
                <w:highlight w:val="none"/>
              </w:rPr>
            </w:pPr>
            <w:r>
              <w:rPr>
                <w:spacing w:val="7"/>
                <w:highlight w:val="none"/>
              </w:rPr>
              <w:t>养护方案可行、养护方法齐全、技术先进、施工</w:t>
            </w:r>
            <w:r>
              <w:rPr>
                <w:spacing w:val="8"/>
                <w:highlight w:val="none"/>
              </w:rPr>
              <w:t>工艺完善；重点难点工程突出，解决办法合</w:t>
            </w:r>
            <w:r>
              <w:rPr>
                <w:spacing w:val="7"/>
                <w:highlight w:val="none"/>
              </w:rPr>
              <w:t>理、</w:t>
            </w:r>
            <w:r>
              <w:rPr>
                <w:spacing w:val="6"/>
                <w:highlight w:val="none"/>
              </w:rPr>
              <w:t>科学、先进，得 9</w:t>
            </w:r>
            <w:r>
              <w:rPr>
                <w:spacing w:val="23"/>
                <w:highlight w:val="none"/>
              </w:rPr>
              <w:t xml:space="preserve"> </w:t>
            </w:r>
            <w:r>
              <w:rPr>
                <w:spacing w:val="6"/>
                <w:highlight w:val="none"/>
              </w:rPr>
              <w:t>分～15 分。</w:t>
            </w:r>
          </w:p>
        </w:tc>
      </w:tr>
      <w:tr w14:paraId="78C7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891" w:type="dxa"/>
            <w:vMerge w:val="continue"/>
            <w:tcBorders>
              <w:top w:val="nil"/>
              <w:left w:val="single" w:color="000000" w:sz="10" w:space="0"/>
              <w:bottom w:val="nil"/>
            </w:tcBorders>
            <w:vAlign w:val="top"/>
          </w:tcPr>
          <w:p w14:paraId="1157872F">
            <w:pPr>
              <w:rPr>
                <w:rFonts w:ascii="Arial"/>
                <w:sz w:val="21"/>
                <w:highlight w:val="none"/>
              </w:rPr>
            </w:pPr>
          </w:p>
        </w:tc>
        <w:tc>
          <w:tcPr>
            <w:tcW w:w="848" w:type="dxa"/>
            <w:vMerge w:val="continue"/>
            <w:tcBorders>
              <w:top w:val="nil"/>
              <w:bottom w:val="nil"/>
            </w:tcBorders>
            <w:vAlign w:val="top"/>
          </w:tcPr>
          <w:p w14:paraId="354A1687">
            <w:pPr>
              <w:rPr>
                <w:rFonts w:ascii="Arial"/>
                <w:sz w:val="21"/>
                <w:highlight w:val="none"/>
              </w:rPr>
            </w:pPr>
          </w:p>
        </w:tc>
        <w:tc>
          <w:tcPr>
            <w:tcW w:w="990" w:type="dxa"/>
            <w:vMerge w:val="continue"/>
            <w:tcBorders>
              <w:top w:val="nil"/>
              <w:bottom w:val="nil"/>
            </w:tcBorders>
            <w:vAlign w:val="top"/>
          </w:tcPr>
          <w:p w14:paraId="2ABF2EDE">
            <w:pPr>
              <w:rPr>
                <w:rFonts w:ascii="Arial"/>
                <w:sz w:val="21"/>
                <w:highlight w:val="none"/>
              </w:rPr>
            </w:pPr>
          </w:p>
        </w:tc>
        <w:tc>
          <w:tcPr>
            <w:tcW w:w="1607" w:type="dxa"/>
            <w:vAlign w:val="top"/>
          </w:tcPr>
          <w:p w14:paraId="79DED48C">
            <w:pPr>
              <w:spacing w:line="376" w:lineRule="auto"/>
              <w:rPr>
                <w:rFonts w:ascii="Arial"/>
                <w:sz w:val="21"/>
                <w:highlight w:val="none"/>
              </w:rPr>
            </w:pPr>
          </w:p>
          <w:p w14:paraId="4C8F91EA">
            <w:pPr>
              <w:pStyle w:val="31"/>
              <w:spacing w:before="65" w:line="316" w:lineRule="auto"/>
              <w:ind w:left="384" w:right="71" w:hanging="312"/>
              <w:rPr>
                <w:highlight w:val="none"/>
              </w:rPr>
            </w:pPr>
            <w:r>
              <w:rPr>
                <w:spacing w:val="8"/>
                <w:highlight w:val="none"/>
              </w:rPr>
              <w:t>各类保证体系和</w:t>
            </w:r>
            <w:r>
              <w:rPr>
                <w:spacing w:val="7"/>
                <w:highlight w:val="none"/>
              </w:rPr>
              <w:t>保证措施</w:t>
            </w:r>
          </w:p>
        </w:tc>
        <w:tc>
          <w:tcPr>
            <w:tcW w:w="673" w:type="dxa"/>
            <w:vAlign w:val="top"/>
          </w:tcPr>
          <w:p w14:paraId="2C76DC05">
            <w:pPr>
              <w:spacing w:line="272" w:lineRule="auto"/>
              <w:rPr>
                <w:rFonts w:ascii="Arial"/>
                <w:sz w:val="21"/>
                <w:highlight w:val="none"/>
              </w:rPr>
            </w:pPr>
          </w:p>
          <w:p w14:paraId="73EC196B">
            <w:pPr>
              <w:spacing w:line="273" w:lineRule="auto"/>
              <w:rPr>
                <w:rFonts w:ascii="Arial"/>
                <w:sz w:val="21"/>
                <w:highlight w:val="none"/>
              </w:rPr>
            </w:pPr>
          </w:p>
          <w:p w14:paraId="253AC177">
            <w:pPr>
              <w:pStyle w:val="31"/>
              <w:spacing w:before="65" w:line="228" w:lineRule="auto"/>
              <w:ind w:left="120"/>
              <w:rPr>
                <w:highlight w:val="none"/>
              </w:rPr>
            </w:pPr>
            <w:r>
              <w:rPr>
                <w:rFonts w:ascii="Times New Roman" w:hAnsi="Times New Roman" w:eastAsia="Times New Roman" w:cs="Times New Roman"/>
                <w:spacing w:val="-5"/>
                <w:highlight w:val="none"/>
              </w:rPr>
              <w:t>10</w:t>
            </w:r>
            <w:r>
              <w:rPr>
                <w:rFonts w:ascii="Times New Roman" w:hAnsi="Times New Roman" w:eastAsia="Times New Roman" w:cs="Times New Roman"/>
                <w:spacing w:val="14"/>
                <w:w w:val="101"/>
                <w:highlight w:val="none"/>
              </w:rPr>
              <w:t xml:space="preserve"> </w:t>
            </w:r>
            <w:r>
              <w:rPr>
                <w:spacing w:val="-5"/>
                <w:highlight w:val="none"/>
              </w:rPr>
              <w:t>分</w:t>
            </w:r>
          </w:p>
        </w:tc>
        <w:tc>
          <w:tcPr>
            <w:tcW w:w="4435" w:type="dxa"/>
            <w:tcBorders>
              <w:top w:val="single" w:color="000000" w:sz="4" w:space="0"/>
              <w:bottom w:val="single" w:color="000000" w:sz="4" w:space="0"/>
              <w:right w:val="single" w:color="000000" w:sz="10" w:space="0"/>
            </w:tcBorders>
            <w:vAlign w:val="top"/>
          </w:tcPr>
          <w:p w14:paraId="21AC4C2D">
            <w:pPr>
              <w:pStyle w:val="31"/>
              <w:spacing w:before="101" w:line="315" w:lineRule="auto"/>
              <w:ind w:left="34" w:right="36"/>
              <w:rPr>
                <w:highlight w:val="none"/>
              </w:rPr>
            </w:pPr>
            <w:r>
              <w:rPr>
                <w:spacing w:val="7"/>
                <w:highlight w:val="none"/>
              </w:rPr>
              <w:t>按招标文件要求编制各类保证体系和保证措施，</w:t>
            </w:r>
            <w:r>
              <w:rPr>
                <w:spacing w:val="-2"/>
                <w:highlight w:val="none"/>
              </w:rPr>
              <w:t>得</w:t>
            </w:r>
            <w:r>
              <w:rPr>
                <w:spacing w:val="15"/>
                <w:highlight w:val="none"/>
              </w:rPr>
              <w:t xml:space="preserve"> </w:t>
            </w:r>
            <w:r>
              <w:rPr>
                <w:spacing w:val="-2"/>
                <w:highlight w:val="none"/>
              </w:rPr>
              <w:t>6</w:t>
            </w:r>
            <w:r>
              <w:rPr>
                <w:spacing w:val="-36"/>
                <w:highlight w:val="none"/>
              </w:rPr>
              <w:t xml:space="preserve"> </w:t>
            </w:r>
            <w:r>
              <w:rPr>
                <w:spacing w:val="-2"/>
                <w:highlight w:val="none"/>
              </w:rPr>
              <w:t>分；</w:t>
            </w:r>
          </w:p>
          <w:p w14:paraId="1722AEAF">
            <w:pPr>
              <w:pStyle w:val="31"/>
              <w:spacing w:line="262" w:lineRule="auto"/>
              <w:ind w:left="33" w:right="18" w:firstLine="26"/>
              <w:rPr>
                <w:highlight w:val="none"/>
              </w:rPr>
            </w:pPr>
            <w:r>
              <w:rPr>
                <w:spacing w:val="6"/>
                <w:highlight w:val="none"/>
              </w:rPr>
              <w:t>内容齐全、完善；工程保证体系和保证措施具有</w:t>
            </w:r>
            <w:r>
              <w:rPr>
                <w:spacing w:val="7"/>
                <w:highlight w:val="none"/>
              </w:rPr>
              <w:t>操作性、先进、合理，得 6 分～10</w:t>
            </w:r>
            <w:r>
              <w:rPr>
                <w:spacing w:val="20"/>
                <w:highlight w:val="none"/>
              </w:rPr>
              <w:t xml:space="preserve"> </w:t>
            </w:r>
            <w:r>
              <w:rPr>
                <w:spacing w:val="7"/>
                <w:highlight w:val="none"/>
              </w:rPr>
              <w:t>分。</w:t>
            </w:r>
          </w:p>
        </w:tc>
      </w:tr>
      <w:tr w14:paraId="3826A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891" w:type="dxa"/>
            <w:vMerge w:val="continue"/>
            <w:tcBorders>
              <w:top w:val="nil"/>
              <w:left w:val="single" w:color="000000" w:sz="10" w:space="0"/>
            </w:tcBorders>
            <w:vAlign w:val="top"/>
          </w:tcPr>
          <w:p w14:paraId="1135B2BF">
            <w:pPr>
              <w:rPr>
                <w:rFonts w:ascii="Arial"/>
                <w:sz w:val="21"/>
                <w:highlight w:val="none"/>
              </w:rPr>
            </w:pPr>
          </w:p>
        </w:tc>
        <w:tc>
          <w:tcPr>
            <w:tcW w:w="848" w:type="dxa"/>
            <w:vMerge w:val="continue"/>
            <w:tcBorders>
              <w:top w:val="nil"/>
            </w:tcBorders>
            <w:vAlign w:val="top"/>
          </w:tcPr>
          <w:p w14:paraId="5BAF6859">
            <w:pPr>
              <w:rPr>
                <w:rFonts w:ascii="Arial"/>
                <w:sz w:val="21"/>
                <w:highlight w:val="none"/>
              </w:rPr>
            </w:pPr>
          </w:p>
        </w:tc>
        <w:tc>
          <w:tcPr>
            <w:tcW w:w="990" w:type="dxa"/>
            <w:vMerge w:val="continue"/>
            <w:tcBorders>
              <w:top w:val="nil"/>
            </w:tcBorders>
            <w:vAlign w:val="top"/>
          </w:tcPr>
          <w:p w14:paraId="3A9C8FF2">
            <w:pPr>
              <w:rPr>
                <w:rFonts w:ascii="Arial"/>
                <w:sz w:val="21"/>
                <w:highlight w:val="none"/>
              </w:rPr>
            </w:pPr>
          </w:p>
        </w:tc>
        <w:tc>
          <w:tcPr>
            <w:tcW w:w="1607" w:type="dxa"/>
            <w:vAlign w:val="top"/>
          </w:tcPr>
          <w:p w14:paraId="7329565C">
            <w:pPr>
              <w:pStyle w:val="31"/>
              <w:spacing w:before="276" w:line="228" w:lineRule="auto"/>
              <w:ind w:left="73"/>
              <w:rPr>
                <w:highlight w:val="none"/>
              </w:rPr>
            </w:pPr>
            <w:r>
              <w:rPr>
                <w:spacing w:val="8"/>
                <w:highlight w:val="none"/>
              </w:rPr>
              <w:t>项目风险预测与</w:t>
            </w:r>
          </w:p>
          <w:p w14:paraId="6DB2D7C3">
            <w:pPr>
              <w:pStyle w:val="31"/>
              <w:spacing w:before="93" w:line="228" w:lineRule="auto"/>
              <w:ind w:left="83"/>
              <w:rPr>
                <w:highlight w:val="none"/>
              </w:rPr>
            </w:pPr>
            <w:r>
              <w:rPr>
                <w:spacing w:val="6"/>
                <w:highlight w:val="none"/>
              </w:rPr>
              <w:t>防范，事故应急</w:t>
            </w:r>
          </w:p>
          <w:p w14:paraId="2395E822">
            <w:pPr>
              <w:pStyle w:val="31"/>
              <w:spacing w:before="91" w:line="228" w:lineRule="auto"/>
              <w:ind w:left="597"/>
              <w:rPr>
                <w:highlight w:val="none"/>
              </w:rPr>
            </w:pPr>
            <w:r>
              <w:rPr>
                <w:spacing w:val="3"/>
                <w:highlight w:val="none"/>
              </w:rPr>
              <w:t>预案</w:t>
            </w:r>
          </w:p>
        </w:tc>
        <w:tc>
          <w:tcPr>
            <w:tcW w:w="673" w:type="dxa"/>
            <w:vAlign w:val="top"/>
          </w:tcPr>
          <w:p w14:paraId="62E96591">
            <w:pPr>
              <w:spacing w:line="274" w:lineRule="auto"/>
              <w:rPr>
                <w:rFonts w:ascii="Arial"/>
                <w:sz w:val="21"/>
                <w:highlight w:val="none"/>
              </w:rPr>
            </w:pPr>
          </w:p>
          <w:p w14:paraId="10608F0C">
            <w:pPr>
              <w:spacing w:line="274" w:lineRule="auto"/>
              <w:rPr>
                <w:rFonts w:ascii="Arial"/>
                <w:sz w:val="21"/>
                <w:highlight w:val="none"/>
              </w:rPr>
            </w:pPr>
          </w:p>
          <w:p w14:paraId="2B9F2D43">
            <w:pPr>
              <w:pStyle w:val="31"/>
              <w:spacing w:before="65" w:line="228" w:lineRule="auto"/>
              <w:ind w:left="159"/>
              <w:rPr>
                <w:highlight w:val="none"/>
              </w:rPr>
            </w:pPr>
            <w:r>
              <w:rPr>
                <w:rFonts w:ascii="Times New Roman" w:hAnsi="Times New Roman" w:eastAsia="Times New Roman" w:cs="Times New Roman"/>
                <w:spacing w:val="-3"/>
                <w:highlight w:val="none"/>
              </w:rPr>
              <w:t>5</w:t>
            </w:r>
            <w:r>
              <w:rPr>
                <w:rFonts w:ascii="Times New Roman" w:hAnsi="Times New Roman" w:eastAsia="Times New Roman" w:cs="Times New Roman"/>
                <w:spacing w:val="12"/>
                <w:highlight w:val="none"/>
              </w:rPr>
              <w:t xml:space="preserve"> </w:t>
            </w:r>
            <w:r>
              <w:rPr>
                <w:spacing w:val="-3"/>
                <w:highlight w:val="none"/>
              </w:rPr>
              <w:t>分</w:t>
            </w:r>
          </w:p>
        </w:tc>
        <w:tc>
          <w:tcPr>
            <w:tcW w:w="4435" w:type="dxa"/>
            <w:tcBorders>
              <w:top w:val="single" w:color="000000" w:sz="4" w:space="0"/>
              <w:bottom w:val="single" w:color="000000" w:sz="4" w:space="0"/>
              <w:right w:val="single" w:color="000000" w:sz="10" w:space="0"/>
            </w:tcBorders>
            <w:vAlign w:val="top"/>
          </w:tcPr>
          <w:p w14:paraId="28352D96">
            <w:pPr>
              <w:pStyle w:val="31"/>
              <w:spacing w:before="104" w:line="315" w:lineRule="auto"/>
              <w:ind w:left="33" w:right="18" w:firstLine="1"/>
              <w:rPr>
                <w:highlight w:val="none"/>
              </w:rPr>
            </w:pPr>
            <w:r>
              <w:rPr>
                <w:spacing w:val="7"/>
                <w:highlight w:val="none"/>
              </w:rPr>
              <w:t>按招标文件要求编制项目风险预测与防范，事故</w:t>
            </w:r>
            <w:r>
              <w:rPr>
                <w:spacing w:val="5"/>
                <w:highlight w:val="none"/>
              </w:rPr>
              <w:t>应急预案，得</w:t>
            </w:r>
            <w:r>
              <w:rPr>
                <w:spacing w:val="24"/>
                <w:highlight w:val="none"/>
              </w:rPr>
              <w:t xml:space="preserve"> </w:t>
            </w:r>
            <w:r>
              <w:rPr>
                <w:spacing w:val="5"/>
                <w:highlight w:val="none"/>
              </w:rPr>
              <w:t>3 分；</w:t>
            </w:r>
          </w:p>
          <w:p w14:paraId="65DCEA3F">
            <w:pPr>
              <w:pStyle w:val="31"/>
              <w:spacing w:before="1" w:line="260" w:lineRule="auto"/>
              <w:ind w:left="34" w:right="36" w:firstLine="2"/>
              <w:rPr>
                <w:highlight w:val="none"/>
              </w:rPr>
            </w:pPr>
            <w:r>
              <w:rPr>
                <w:spacing w:val="7"/>
                <w:highlight w:val="none"/>
              </w:rPr>
              <w:t>项目风险预测全面；事故应急预案合理、可</w:t>
            </w:r>
            <w:r>
              <w:rPr>
                <w:spacing w:val="6"/>
                <w:highlight w:val="none"/>
              </w:rPr>
              <w:t>行，</w:t>
            </w:r>
            <w:r>
              <w:rPr>
                <w:highlight w:val="none"/>
              </w:rPr>
              <w:t>得</w:t>
            </w:r>
            <w:r>
              <w:rPr>
                <w:spacing w:val="21"/>
                <w:highlight w:val="none"/>
              </w:rPr>
              <w:t xml:space="preserve"> </w:t>
            </w:r>
            <w:r>
              <w:rPr>
                <w:highlight w:val="none"/>
              </w:rPr>
              <w:t>3</w:t>
            </w:r>
            <w:r>
              <w:rPr>
                <w:spacing w:val="-36"/>
                <w:highlight w:val="none"/>
              </w:rPr>
              <w:t xml:space="preserve"> </w:t>
            </w:r>
            <w:r>
              <w:rPr>
                <w:highlight w:val="none"/>
              </w:rPr>
              <w:t>分～5</w:t>
            </w:r>
            <w:r>
              <w:rPr>
                <w:spacing w:val="15"/>
                <w:highlight w:val="none"/>
              </w:rPr>
              <w:t xml:space="preserve"> </w:t>
            </w:r>
            <w:r>
              <w:rPr>
                <w:highlight w:val="none"/>
              </w:rPr>
              <w:t>分。</w:t>
            </w:r>
          </w:p>
        </w:tc>
      </w:tr>
      <w:tr w14:paraId="507C6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0" w:hRule="atLeast"/>
        </w:trPr>
        <w:tc>
          <w:tcPr>
            <w:tcW w:w="891" w:type="dxa"/>
            <w:vMerge w:val="restart"/>
            <w:tcBorders>
              <w:left w:val="single" w:color="000000" w:sz="10" w:space="0"/>
              <w:bottom w:val="nil"/>
            </w:tcBorders>
            <w:vAlign w:val="top"/>
          </w:tcPr>
          <w:p w14:paraId="1F073271">
            <w:pPr>
              <w:spacing w:line="248" w:lineRule="auto"/>
              <w:rPr>
                <w:rFonts w:ascii="Arial"/>
                <w:sz w:val="21"/>
                <w:highlight w:val="none"/>
              </w:rPr>
            </w:pPr>
          </w:p>
          <w:p w14:paraId="3ADBA520">
            <w:pPr>
              <w:spacing w:line="248" w:lineRule="auto"/>
              <w:rPr>
                <w:rFonts w:ascii="Arial"/>
                <w:sz w:val="21"/>
                <w:highlight w:val="none"/>
              </w:rPr>
            </w:pPr>
          </w:p>
          <w:p w14:paraId="652D27D4">
            <w:pPr>
              <w:spacing w:line="248" w:lineRule="auto"/>
              <w:rPr>
                <w:rFonts w:ascii="Arial"/>
                <w:sz w:val="21"/>
                <w:highlight w:val="none"/>
              </w:rPr>
            </w:pPr>
          </w:p>
          <w:p w14:paraId="5C24A9D5">
            <w:pPr>
              <w:spacing w:line="248" w:lineRule="auto"/>
              <w:rPr>
                <w:rFonts w:ascii="Arial"/>
                <w:sz w:val="21"/>
                <w:highlight w:val="none"/>
              </w:rPr>
            </w:pPr>
          </w:p>
          <w:p w14:paraId="055B1459">
            <w:pPr>
              <w:spacing w:line="249" w:lineRule="auto"/>
              <w:rPr>
                <w:rFonts w:ascii="Arial"/>
                <w:sz w:val="21"/>
                <w:highlight w:val="none"/>
              </w:rPr>
            </w:pPr>
          </w:p>
          <w:p w14:paraId="2948B622">
            <w:pPr>
              <w:spacing w:line="249" w:lineRule="auto"/>
              <w:rPr>
                <w:rFonts w:ascii="Arial"/>
                <w:sz w:val="21"/>
                <w:highlight w:val="none"/>
              </w:rPr>
            </w:pPr>
          </w:p>
          <w:p w14:paraId="56ACF645">
            <w:pPr>
              <w:spacing w:line="249" w:lineRule="auto"/>
              <w:rPr>
                <w:rFonts w:ascii="Arial"/>
                <w:sz w:val="21"/>
                <w:highlight w:val="none"/>
              </w:rPr>
            </w:pPr>
          </w:p>
          <w:p w14:paraId="480E637B">
            <w:pPr>
              <w:pStyle w:val="31"/>
              <w:spacing w:before="65" w:line="268" w:lineRule="exact"/>
              <w:ind w:left="177"/>
              <w:rPr>
                <w:highlight w:val="none"/>
              </w:rPr>
            </w:pPr>
            <w:r>
              <w:rPr>
                <w:spacing w:val="2"/>
                <w:position w:val="1"/>
                <w:highlight w:val="none"/>
              </w:rPr>
              <w:t>2.2.2</w:t>
            </w:r>
          </w:p>
          <w:p w14:paraId="790F5763">
            <w:pPr>
              <w:pStyle w:val="31"/>
              <w:spacing w:before="72"/>
              <w:ind w:left="185"/>
              <w:rPr>
                <w:highlight w:val="none"/>
              </w:rPr>
            </w:pPr>
            <w:r>
              <w:rPr>
                <w:spacing w:val="-2"/>
                <w:highlight w:val="none"/>
              </w:rPr>
              <w:t>（2）</w:t>
            </w:r>
          </w:p>
        </w:tc>
        <w:tc>
          <w:tcPr>
            <w:tcW w:w="848" w:type="dxa"/>
            <w:vMerge w:val="restart"/>
            <w:tcBorders>
              <w:bottom w:val="nil"/>
            </w:tcBorders>
            <w:vAlign w:val="top"/>
          </w:tcPr>
          <w:p w14:paraId="0BFD75A7">
            <w:pPr>
              <w:spacing w:line="249" w:lineRule="auto"/>
              <w:rPr>
                <w:rFonts w:ascii="Arial"/>
                <w:sz w:val="21"/>
                <w:highlight w:val="none"/>
              </w:rPr>
            </w:pPr>
          </w:p>
          <w:p w14:paraId="28958813">
            <w:pPr>
              <w:spacing w:line="249" w:lineRule="auto"/>
              <w:rPr>
                <w:rFonts w:ascii="Arial"/>
                <w:sz w:val="21"/>
                <w:highlight w:val="none"/>
              </w:rPr>
            </w:pPr>
          </w:p>
          <w:p w14:paraId="2B983D81">
            <w:pPr>
              <w:spacing w:line="249" w:lineRule="auto"/>
              <w:rPr>
                <w:rFonts w:ascii="Arial"/>
                <w:sz w:val="21"/>
                <w:highlight w:val="none"/>
              </w:rPr>
            </w:pPr>
          </w:p>
          <w:p w14:paraId="3DCA7194">
            <w:pPr>
              <w:spacing w:line="249" w:lineRule="auto"/>
              <w:rPr>
                <w:rFonts w:ascii="Arial"/>
                <w:sz w:val="21"/>
                <w:highlight w:val="none"/>
              </w:rPr>
            </w:pPr>
          </w:p>
          <w:p w14:paraId="68AD958B">
            <w:pPr>
              <w:spacing w:line="249" w:lineRule="auto"/>
              <w:rPr>
                <w:rFonts w:ascii="Arial"/>
                <w:sz w:val="21"/>
                <w:highlight w:val="none"/>
              </w:rPr>
            </w:pPr>
          </w:p>
          <w:p w14:paraId="6E195A48">
            <w:pPr>
              <w:spacing w:line="250" w:lineRule="auto"/>
              <w:rPr>
                <w:rFonts w:ascii="Arial"/>
                <w:sz w:val="21"/>
                <w:highlight w:val="none"/>
              </w:rPr>
            </w:pPr>
          </w:p>
          <w:p w14:paraId="24F67742">
            <w:pPr>
              <w:spacing w:line="250" w:lineRule="auto"/>
              <w:rPr>
                <w:rFonts w:ascii="Arial"/>
                <w:sz w:val="21"/>
                <w:highlight w:val="none"/>
              </w:rPr>
            </w:pPr>
          </w:p>
          <w:p w14:paraId="4177092E">
            <w:pPr>
              <w:pStyle w:val="31"/>
              <w:spacing w:before="65" w:line="255" w:lineRule="auto"/>
              <w:ind w:left="322" w:right="116" w:hanging="215"/>
              <w:rPr>
                <w:spacing w:val="6"/>
                <w:highlight w:val="none"/>
              </w:rPr>
            </w:pPr>
            <w:r>
              <w:rPr>
                <w:spacing w:val="6"/>
                <w:highlight w:val="none"/>
              </w:rPr>
              <w:t>主要</w:t>
            </w:r>
          </w:p>
          <w:p w14:paraId="1B797B9E">
            <w:pPr>
              <w:pStyle w:val="31"/>
              <w:spacing w:before="65" w:line="255" w:lineRule="auto"/>
              <w:ind w:left="322" w:right="116" w:hanging="215"/>
              <w:rPr>
                <w:highlight w:val="none"/>
              </w:rPr>
            </w:pPr>
            <w:r>
              <w:rPr>
                <w:spacing w:val="6"/>
                <w:highlight w:val="none"/>
              </w:rPr>
              <w:t>人</w:t>
            </w:r>
            <w:r>
              <w:rPr>
                <w:highlight w:val="none"/>
              </w:rPr>
              <w:t>员</w:t>
            </w:r>
          </w:p>
        </w:tc>
        <w:tc>
          <w:tcPr>
            <w:tcW w:w="990" w:type="dxa"/>
            <w:vMerge w:val="restart"/>
            <w:tcBorders>
              <w:bottom w:val="nil"/>
            </w:tcBorders>
            <w:vAlign w:val="top"/>
          </w:tcPr>
          <w:p w14:paraId="77CD7C8A">
            <w:pPr>
              <w:spacing w:line="269" w:lineRule="auto"/>
              <w:rPr>
                <w:rFonts w:ascii="Arial"/>
                <w:sz w:val="21"/>
                <w:highlight w:val="none"/>
              </w:rPr>
            </w:pPr>
          </w:p>
          <w:p w14:paraId="08A7ACCD">
            <w:pPr>
              <w:spacing w:line="269" w:lineRule="auto"/>
              <w:rPr>
                <w:rFonts w:ascii="Arial"/>
                <w:sz w:val="21"/>
                <w:highlight w:val="none"/>
              </w:rPr>
            </w:pPr>
          </w:p>
          <w:p w14:paraId="3001F1DA">
            <w:pPr>
              <w:spacing w:line="269" w:lineRule="auto"/>
              <w:rPr>
                <w:rFonts w:ascii="Arial"/>
                <w:sz w:val="21"/>
                <w:highlight w:val="none"/>
              </w:rPr>
            </w:pPr>
          </w:p>
          <w:p w14:paraId="142AB1AB">
            <w:pPr>
              <w:spacing w:line="269" w:lineRule="auto"/>
              <w:rPr>
                <w:rFonts w:ascii="Arial"/>
                <w:sz w:val="21"/>
                <w:highlight w:val="none"/>
              </w:rPr>
            </w:pPr>
          </w:p>
          <w:p w14:paraId="4A7678D1">
            <w:pPr>
              <w:spacing w:line="269" w:lineRule="auto"/>
              <w:rPr>
                <w:rFonts w:ascii="Arial"/>
                <w:sz w:val="21"/>
                <w:highlight w:val="none"/>
              </w:rPr>
            </w:pPr>
          </w:p>
          <w:p w14:paraId="3CCF3B7B">
            <w:pPr>
              <w:spacing w:line="269" w:lineRule="auto"/>
              <w:rPr>
                <w:rFonts w:ascii="Arial"/>
                <w:sz w:val="21"/>
                <w:highlight w:val="none"/>
              </w:rPr>
            </w:pPr>
          </w:p>
          <w:p w14:paraId="468B0D89">
            <w:pPr>
              <w:spacing w:line="269" w:lineRule="auto"/>
              <w:rPr>
                <w:rFonts w:ascii="Arial"/>
                <w:sz w:val="21"/>
                <w:highlight w:val="none"/>
              </w:rPr>
            </w:pPr>
          </w:p>
          <w:p w14:paraId="7B1B8C59">
            <w:pPr>
              <w:pStyle w:val="31"/>
              <w:spacing w:before="65" w:line="228" w:lineRule="auto"/>
              <w:ind w:left="260"/>
              <w:rPr>
                <w:highlight w:val="none"/>
              </w:rPr>
            </w:pPr>
            <w:r>
              <w:rPr>
                <w:spacing w:val="-1"/>
                <w:highlight w:val="none"/>
              </w:rPr>
              <w:t>25</w:t>
            </w:r>
            <w:r>
              <w:rPr>
                <w:spacing w:val="-37"/>
                <w:highlight w:val="none"/>
              </w:rPr>
              <w:t xml:space="preserve"> </w:t>
            </w:r>
            <w:r>
              <w:rPr>
                <w:spacing w:val="-1"/>
                <w:highlight w:val="none"/>
              </w:rPr>
              <w:t>分</w:t>
            </w:r>
          </w:p>
        </w:tc>
        <w:tc>
          <w:tcPr>
            <w:tcW w:w="1607" w:type="dxa"/>
            <w:vAlign w:val="top"/>
          </w:tcPr>
          <w:p w14:paraId="61818E41">
            <w:pPr>
              <w:rPr>
                <w:rFonts w:ascii="Arial"/>
                <w:sz w:val="21"/>
                <w:highlight w:val="none"/>
              </w:rPr>
            </w:pPr>
          </w:p>
          <w:p w14:paraId="1319BE1B">
            <w:pPr>
              <w:rPr>
                <w:rFonts w:ascii="Arial"/>
                <w:sz w:val="21"/>
                <w:highlight w:val="none"/>
              </w:rPr>
            </w:pPr>
          </w:p>
          <w:p w14:paraId="31AC204D">
            <w:pPr>
              <w:rPr>
                <w:rFonts w:ascii="Arial"/>
                <w:sz w:val="21"/>
                <w:highlight w:val="none"/>
              </w:rPr>
            </w:pPr>
          </w:p>
          <w:p w14:paraId="6D61D4DF">
            <w:pPr>
              <w:pStyle w:val="31"/>
              <w:spacing w:before="65" w:line="314" w:lineRule="auto"/>
              <w:ind w:left="384" w:right="71" w:hanging="311"/>
              <w:rPr>
                <w:highlight w:val="none"/>
              </w:rPr>
            </w:pPr>
            <w:r>
              <w:rPr>
                <w:spacing w:val="8"/>
                <w:highlight w:val="none"/>
              </w:rPr>
              <w:t>项目经理任职资</w:t>
            </w:r>
            <w:r>
              <w:rPr>
                <w:spacing w:val="7"/>
                <w:highlight w:val="none"/>
              </w:rPr>
              <w:t>格与业绩</w:t>
            </w:r>
          </w:p>
        </w:tc>
        <w:tc>
          <w:tcPr>
            <w:tcW w:w="673" w:type="dxa"/>
            <w:vAlign w:val="top"/>
          </w:tcPr>
          <w:p w14:paraId="3BB9F9C8">
            <w:pPr>
              <w:spacing w:line="296" w:lineRule="auto"/>
              <w:rPr>
                <w:rFonts w:ascii="Arial"/>
                <w:sz w:val="21"/>
                <w:highlight w:val="none"/>
              </w:rPr>
            </w:pPr>
          </w:p>
          <w:p w14:paraId="29DFF13E">
            <w:pPr>
              <w:spacing w:line="296" w:lineRule="auto"/>
              <w:rPr>
                <w:rFonts w:ascii="Arial"/>
                <w:sz w:val="21"/>
                <w:highlight w:val="none"/>
              </w:rPr>
            </w:pPr>
          </w:p>
          <w:p w14:paraId="6688C2E0">
            <w:pPr>
              <w:spacing w:line="296" w:lineRule="auto"/>
              <w:rPr>
                <w:rFonts w:ascii="Arial"/>
                <w:sz w:val="21"/>
                <w:highlight w:val="none"/>
              </w:rPr>
            </w:pPr>
          </w:p>
          <w:p w14:paraId="36CFFFC3">
            <w:pPr>
              <w:pStyle w:val="31"/>
              <w:spacing w:before="65" w:line="228" w:lineRule="auto"/>
              <w:ind w:left="120"/>
              <w:rPr>
                <w:highlight w:val="none"/>
              </w:rPr>
            </w:pPr>
            <w:r>
              <w:rPr>
                <w:spacing w:val="-5"/>
                <w:highlight w:val="none"/>
              </w:rPr>
              <w:t>15</w:t>
            </w:r>
            <w:r>
              <w:rPr>
                <w:spacing w:val="-35"/>
                <w:highlight w:val="none"/>
              </w:rPr>
              <w:t xml:space="preserve"> </w:t>
            </w:r>
            <w:r>
              <w:rPr>
                <w:spacing w:val="-5"/>
                <w:highlight w:val="none"/>
              </w:rPr>
              <w:t>分</w:t>
            </w:r>
          </w:p>
        </w:tc>
        <w:tc>
          <w:tcPr>
            <w:tcW w:w="4435" w:type="dxa"/>
            <w:tcBorders>
              <w:top w:val="single" w:color="000000" w:sz="4" w:space="0"/>
              <w:bottom w:val="single" w:color="000000" w:sz="4" w:space="0"/>
              <w:right w:val="single" w:color="000000" w:sz="10" w:space="0"/>
            </w:tcBorders>
            <w:vAlign w:val="top"/>
          </w:tcPr>
          <w:p w14:paraId="407A953F">
            <w:pPr>
              <w:pStyle w:val="31"/>
              <w:spacing w:before="108" w:line="228" w:lineRule="auto"/>
              <w:ind w:left="33"/>
              <w:rPr>
                <w:highlight w:val="none"/>
              </w:rPr>
            </w:pPr>
            <w:r>
              <w:rPr>
                <w:spacing w:val="8"/>
                <w:highlight w:val="none"/>
              </w:rPr>
              <w:t>满足资格审查条件最低要求，得 9 分；</w:t>
            </w:r>
          </w:p>
          <w:p w14:paraId="39DDADEA">
            <w:pPr>
              <w:pStyle w:val="31"/>
              <w:spacing w:before="95" w:line="313" w:lineRule="auto"/>
              <w:ind w:left="33" w:right="194" w:firstLine="5"/>
              <w:rPr>
                <w:highlight w:val="none"/>
              </w:rPr>
            </w:pPr>
            <w:r>
              <w:rPr>
                <w:spacing w:val="9"/>
                <w:highlight w:val="none"/>
              </w:rPr>
              <w:t>具有一项公路</w:t>
            </w:r>
            <w:r>
              <w:rPr>
                <w:rFonts w:hint="eastAsia"/>
                <w:spacing w:val="9"/>
                <w:highlight w:val="none"/>
                <w:lang w:val="en-US" w:eastAsia="zh-CN"/>
              </w:rPr>
              <w:t>小修保养</w:t>
            </w:r>
            <w:r>
              <w:rPr>
                <w:spacing w:val="9"/>
                <w:highlight w:val="none"/>
              </w:rPr>
              <w:t>或养护工程的项目经理</w:t>
            </w:r>
            <w:r>
              <w:rPr>
                <w:spacing w:val="4"/>
                <w:highlight w:val="none"/>
              </w:rPr>
              <w:t>业绩加 6</w:t>
            </w:r>
            <w:r>
              <w:rPr>
                <w:spacing w:val="27"/>
                <w:highlight w:val="none"/>
              </w:rPr>
              <w:t xml:space="preserve"> </w:t>
            </w:r>
            <w:r>
              <w:rPr>
                <w:spacing w:val="4"/>
                <w:highlight w:val="none"/>
              </w:rPr>
              <w:t>分，最多加</w:t>
            </w:r>
            <w:r>
              <w:rPr>
                <w:spacing w:val="15"/>
                <w:highlight w:val="none"/>
              </w:rPr>
              <w:t xml:space="preserve"> </w:t>
            </w:r>
            <w:r>
              <w:rPr>
                <w:spacing w:val="4"/>
                <w:highlight w:val="none"/>
              </w:rPr>
              <w:t>6</w:t>
            </w:r>
            <w:r>
              <w:rPr>
                <w:spacing w:val="17"/>
                <w:highlight w:val="none"/>
              </w:rPr>
              <w:t xml:space="preserve"> </w:t>
            </w:r>
            <w:r>
              <w:rPr>
                <w:spacing w:val="4"/>
                <w:highlight w:val="none"/>
              </w:rPr>
              <w:t>分。</w:t>
            </w:r>
          </w:p>
          <w:p w14:paraId="365052C7">
            <w:pPr>
              <w:pStyle w:val="31"/>
              <w:spacing w:line="277" w:lineRule="auto"/>
              <w:ind w:left="33" w:right="18"/>
              <w:rPr>
                <w:highlight w:val="none"/>
              </w:rPr>
            </w:pPr>
            <w:r>
              <w:rPr>
                <w:spacing w:val="8"/>
                <w:highlight w:val="none"/>
              </w:rPr>
              <w:t>注：项目经理业绩需按招标文件要求提供相</w:t>
            </w:r>
            <w:r>
              <w:rPr>
                <w:spacing w:val="7"/>
                <w:highlight w:val="none"/>
              </w:rPr>
              <w:t>关业</w:t>
            </w:r>
            <w:r>
              <w:rPr>
                <w:spacing w:val="8"/>
                <w:highlight w:val="none"/>
              </w:rPr>
              <w:t>绩证明材料，未按要求提供证明材料的业绩</w:t>
            </w:r>
            <w:r>
              <w:rPr>
                <w:spacing w:val="7"/>
                <w:highlight w:val="none"/>
              </w:rPr>
              <w:t>不予</w:t>
            </w:r>
            <w:r>
              <w:rPr>
                <w:spacing w:val="3"/>
                <w:highlight w:val="none"/>
              </w:rPr>
              <w:t>认定。</w:t>
            </w:r>
          </w:p>
        </w:tc>
      </w:tr>
      <w:tr w14:paraId="494DA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4" w:hRule="atLeast"/>
        </w:trPr>
        <w:tc>
          <w:tcPr>
            <w:tcW w:w="891" w:type="dxa"/>
            <w:vMerge w:val="continue"/>
            <w:tcBorders>
              <w:top w:val="nil"/>
              <w:left w:val="single" w:color="000000" w:sz="10" w:space="0"/>
            </w:tcBorders>
            <w:vAlign w:val="top"/>
          </w:tcPr>
          <w:p w14:paraId="557B46D9">
            <w:pPr>
              <w:rPr>
                <w:rFonts w:ascii="Arial"/>
                <w:sz w:val="21"/>
                <w:highlight w:val="none"/>
              </w:rPr>
            </w:pPr>
          </w:p>
        </w:tc>
        <w:tc>
          <w:tcPr>
            <w:tcW w:w="848" w:type="dxa"/>
            <w:vMerge w:val="continue"/>
            <w:tcBorders>
              <w:top w:val="nil"/>
            </w:tcBorders>
            <w:vAlign w:val="top"/>
          </w:tcPr>
          <w:p w14:paraId="73083CEB">
            <w:pPr>
              <w:rPr>
                <w:rFonts w:ascii="Arial"/>
                <w:sz w:val="21"/>
                <w:highlight w:val="none"/>
              </w:rPr>
            </w:pPr>
          </w:p>
        </w:tc>
        <w:tc>
          <w:tcPr>
            <w:tcW w:w="990" w:type="dxa"/>
            <w:vMerge w:val="continue"/>
            <w:tcBorders>
              <w:top w:val="nil"/>
            </w:tcBorders>
            <w:vAlign w:val="top"/>
          </w:tcPr>
          <w:p w14:paraId="4EA0E4FD">
            <w:pPr>
              <w:rPr>
                <w:rFonts w:ascii="Arial"/>
                <w:sz w:val="21"/>
                <w:highlight w:val="none"/>
              </w:rPr>
            </w:pPr>
          </w:p>
        </w:tc>
        <w:tc>
          <w:tcPr>
            <w:tcW w:w="1607" w:type="dxa"/>
            <w:vAlign w:val="top"/>
          </w:tcPr>
          <w:p w14:paraId="3BAA5B76">
            <w:pPr>
              <w:spacing w:line="241" w:lineRule="auto"/>
              <w:rPr>
                <w:rFonts w:ascii="Arial"/>
                <w:sz w:val="21"/>
                <w:highlight w:val="none"/>
              </w:rPr>
            </w:pPr>
          </w:p>
          <w:p w14:paraId="628C574D">
            <w:pPr>
              <w:spacing w:line="241" w:lineRule="auto"/>
              <w:rPr>
                <w:rFonts w:ascii="Arial"/>
                <w:sz w:val="21"/>
                <w:highlight w:val="none"/>
              </w:rPr>
            </w:pPr>
          </w:p>
          <w:p w14:paraId="4F17763B">
            <w:pPr>
              <w:spacing w:line="242" w:lineRule="auto"/>
              <w:rPr>
                <w:rFonts w:ascii="Arial"/>
                <w:sz w:val="21"/>
                <w:highlight w:val="none"/>
              </w:rPr>
            </w:pPr>
          </w:p>
          <w:p w14:paraId="251C233F">
            <w:pPr>
              <w:pStyle w:val="31"/>
              <w:spacing w:before="65" w:line="314" w:lineRule="auto"/>
              <w:ind w:left="384" w:right="71" w:hanging="311"/>
              <w:rPr>
                <w:highlight w:val="none"/>
              </w:rPr>
            </w:pPr>
            <w:r>
              <w:rPr>
                <w:spacing w:val="8"/>
                <w:highlight w:val="none"/>
              </w:rPr>
              <w:t>项目总工任职资</w:t>
            </w:r>
            <w:r>
              <w:rPr>
                <w:spacing w:val="7"/>
                <w:highlight w:val="none"/>
              </w:rPr>
              <w:t>格与业绩</w:t>
            </w:r>
          </w:p>
        </w:tc>
        <w:tc>
          <w:tcPr>
            <w:tcW w:w="673" w:type="dxa"/>
            <w:vAlign w:val="top"/>
          </w:tcPr>
          <w:p w14:paraId="00CF7BF2">
            <w:pPr>
              <w:spacing w:line="298" w:lineRule="auto"/>
              <w:rPr>
                <w:rFonts w:ascii="Arial"/>
                <w:sz w:val="21"/>
                <w:highlight w:val="none"/>
              </w:rPr>
            </w:pPr>
          </w:p>
          <w:p w14:paraId="3F52E500">
            <w:pPr>
              <w:spacing w:line="298" w:lineRule="auto"/>
              <w:rPr>
                <w:rFonts w:ascii="Arial"/>
                <w:sz w:val="21"/>
                <w:highlight w:val="none"/>
              </w:rPr>
            </w:pPr>
          </w:p>
          <w:p w14:paraId="45470993">
            <w:pPr>
              <w:spacing w:line="299" w:lineRule="auto"/>
              <w:rPr>
                <w:rFonts w:ascii="Arial"/>
                <w:sz w:val="21"/>
                <w:highlight w:val="none"/>
              </w:rPr>
            </w:pPr>
          </w:p>
          <w:p w14:paraId="1F6BA820">
            <w:pPr>
              <w:pStyle w:val="31"/>
              <w:spacing w:before="65" w:line="228" w:lineRule="auto"/>
              <w:ind w:left="120"/>
              <w:rPr>
                <w:highlight w:val="none"/>
              </w:rPr>
            </w:pPr>
            <w:r>
              <w:rPr>
                <w:spacing w:val="-5"/>
                <w:highlight w:val="none"/>
              </w:rPr>
              <w:t>10</w:t>
            </w:r>
            <w:r>
              <w:rPr>
                <w:spacing w:val="-35"/>
                <w:highlight w:val="none"/>
              </w:rPr>
              <w:t xml:space="preserve"> </w:t>
            </w:r>
            <w:r>
              <w:rPr>
                <w:spacing w:val="-5"/>
                <w:highlight w:val="none"/>
              </w:rPr>
              <w:t>分</w:t>
            </w:r>
          </w:p>
        </w:tc>
        <w:tc>
          <w:tcPr>
            <w:tcW w:w="4435" w:type="dxa"/>
            <w:tcBorders>
              <w:top w:val="single" w:color="000000" w:sz="4" w:space="0"/>
              <w:bottom w:val="single" w:color="000000" w:sz="10" w:space="0"/>
              <w:right w:val="single" w:color="000000" w:sz="10" w:space="0"/>
            </w:tcBorders>
            <w:vAlign w:val="top"/>
          </w:tcPr>
          <w:p w14:paraId="0AB9E1B6">
            <w:pPr>
              <w:pStyle w:val="31"/>
              <w:spacing w:before="112" w:line="228" w:lineRule="auto"/>
              <w:ind w:left="33"/>
              <w:rPr>
                <w:highlight w:val="none"/>
              </w:rPr>
            </w:pPr>
            <w:r>
              <w:rPr>
                <w:spacing w:val="8"/>
                <w:highlight w:val="none"/>
              </w:rPr>
              <w:t>满足资格审查条件最低要求，得 6 分；</w:t>
            </w:r>
          </w:p>
          <w:p w14:paraId="0AD4FA90">
            <w:pPr>
              <w:pStyle w:val="31"/>
              <w:spacing w:before="95" w:line="313" w:lineRule="auto"/>
              <w:ind w:left="33" w:right="194" w:firstLine="5"/>
              <w:rPr>
                <w:highlight w:val="none"/>
              </w:rPr>
            </w:pPr>
            <w:r>
              <w:rPr>
                <w:spacing w:val="9"/>
                <w:highlight w:val="none"/>
              </w:rPr>
              <w:t>具有一项公路</w:t>
            </w:r>
            <w:r>
              <w:rPr>
                <w:rFonts w:hint="eastAsia"/>
                <w:spacing w:val="9"/>
                <w:highlight w:val="none"/>
                <w:lang w:val="en-US" w:eastAsia="zh-CN"/>
              </w:rPr>
              <w:t>小修</w:t>
            </w:r>
            <w:r>
              <w:rPr>
                <w:spacing w:val="9"/>
                <w:highlight w:val="none"/>
              </w:rPr>
              <w:t>养护或养护工程的项目总工</w:t>
            </w:r>
            <w:r>
              <w:rPr>
                <w:spacing w:val="5"/>
                <w:highlight w:val="none"/>
              </w:rPr>
              <w:t>业绩加 4</w:t>
            </w:r>
            <w:r>
              <w:rPr>
                <w:spacing w:val="24"/>
                <w:highlight w:val="none"/>
              </w:rPr>
              <w:t xml:space="preserve"> </w:t>
            </w:r>
            <w:r>
              <w:rPr>
                <w:spacing w:val="5"/>
                <w:highlight w:val="none"/>
              </w:rPr>
              <w:t>分，最多加 4</w:t>
            </w:r>
            <w:r>
              <w:rPr>
                <w:spacing w:val="17"/>
                <w:highlight w:val="none"/>
              </w:rPr>
              <w:t xml:space="preserve"> </w:t>
            </w:r>
            <w:r>
              <w:rPr>
                <w:spacing w:val="5"/>
                <w:highlight w:val="none"/>
              </w:rPr>
              <w:t>分。</w:t>
            </w:r>
          </w:p>
          <w:p w14:paraId="5DA5ABF6">
            <w:pPr>
              <w:pStyle w:val="31"/>
              <w:spacing w:line="283" w:lineRule="auto"/>
              <w:ind w:left="33" w:right="18"/>
              <w:rPr>
                <w:highlight w:val="none"/>
              </w:rPr>
            </w:pPr>
            <w:r>
              <w:rPr>
                <w:spacing w:val="8"/>
                <w:highlight w:val="none"/>
              </w:rPr>
              <w:t>注：项目总工业绩需按招标文件要求提供相</w:t>
            </w:r>
            <w:r>
              <w:rPr>
                <w:spacing w:val="7"/>
                <w:highlight w:val="none"/>
              </w:rPr>
              <w:t>关业</w:t>
            </w:r>
            <w:r>
              <w:rPr>
                <w:spacing w:val="8"/>
                <w:highlight w:val="none"/>
              </w:rPr>
              <w:t>绩证明材料，未按要求提供证明材料的业绩</w:t>
            </w:r>
            <w:r>
              <w:rPr>
                <w:spacing w:val="7"/>
                <w:highlight w:val="none"/>
              </w:rPr>
              <w:t>不予</w:t>
            </w:r>
            <w:r>
              <w:rPr>
                <w:spacing w:val="3"/>
                <w:highlight w:val="none"/>
              </w:rPr>
              <w:t>认定。</w:t>
            </w:r>
          </w:p>
        </w:tc>
      </w:tr>
    </w:tbl>
    <w:p w14:paraId="3A6B2401">
      <w:pPr>
        <w:pStyle w:val="6"/>
        <w:rPr>
          <w:highlight w:val="none"/>
        </w:rPr>
      </w:pPr>
    </w:p>
    <w:p w14:paraId="73FC7D16">
      <w:pPr>
        <w:rPr>
          <w:highlight w:val="none"/>
        </w:rPr>
        <w:sectPr>
          <w:footerReference r:id="rId6" w:type="default"/>
          <w:pgSz w:w="11906" w:h="16839"/>
          <w:pgMar w:top="1431" w:right="1231" w:bottom="1202" w:left="1204" w:header="0" w:footer="930" w:gutter="0"/>
          <w:cols w:space="720" w:num="1"/>
        </w:sectPr>
      </w:pPr>
    </w:p>
    <w:p w14:paraId="7781102A">
      <w:pPr>
        <w:spacing w:line="91" w:lineRule="auto"/>
        <w:rPr>
          <w:rFonts w:ascii="Arial"/>
          <w:sz w:val="2"/>
          <w:highlight w:val="none"/>
        </w:rPr>
      </w:pPr>
    </w:p>
    <w:tbl>
      <w:tblPr>
        <w:tblStyle w:val="32"/>
        <w:tblW w:w="944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408"/>
        <w:gridCol w:w="440"/>
        <w:gridCol w:w="990"/>
        <w:gridCol w:w="1607"/>
        <w:gridCol w:w="673"/>
        <w:gridCol w:w="4435"/>
      </w:tblGrid>
      <w:tr w14:paraId="22A7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009" w:type="dxa"/>
            <w:gridSpan w:val="6"/>
            <w:tcBorders>
              <w:top w:val="single" w:color="000000" w:sz="10" w:space="0"/>
              <w:left w:val="single" w:color="000000" w:sz="10" w:space="0"/>
            </w:tcBorders>
            <w:vAlign w:val="top"/>
          </w:tcPr>
          <w:p w14:paraId="6ED63B90">
            <w:pPr>
              <w:pStyle w:val="31"/>
              <w:spacing w:before="69" w:line="228" w:lineRule="auto"/>
              <w:ind w:left="1552"/>
              <w:rPr>
                <w:highlight w:val="none"/>
              </w:rPr>
            </w:pPr>
            <w:r>
              <w:rPr>
                <w:b/>
                <w:bCs/>
                <w:spacing w:val="7"/>
                <w:highlight w:val="none"/>
              </w:rPr>
              <w:t>评分因素与权重分值</w:t>
            </w:r>
          </w:p>
        </w:tc>
        <w:tc>
          <w:tcPr>
            <w:tcW w:w="4435" w:type="dxa"/>
            <w:vMerge w:val="restart"/>
            <w:tcBorders>
              <w:top w:val="single" w:color="000000" w:sz="10" w:space="0"/>
              <w:bottom w:val="nil"/>
              <w:right w:val="single" w:color="000000" w:sz="10" w:space="0"/>
            </w:tcBorders>
            <w:vAlign w:val="top"/>
          </w:tcPr>
          <w:p w14:paraId="1CFC5CA4">
            <w:pPr>
              <w:spacing w:line="277" w:lineRule="auto"/>
              <w:rPr>
                <w:rFonts w:ascii="Arial"/>
                <w:sz w:val="21"/>
                <w:highlight w:val="none"/>
              </w:rPr>
            </w:pPr>
          </w:p>
          <w:p w14:paraId="0A14AB47">
            <w:pPr>
              <w:pStyle w:val="31"/>
              <w:spacing w:before="65" w:line="228" w:lineRule="auto"/>
              <w:ind w:left="1799"/>
              <w:rPr>
                <w:highlight w:val="none"/>
              </w:rPr>
            </w:pPr>
            <w:r>
              <w:rPr>
                <w:b/>
                <w:bCs/>
                <w:spacing w:val="6"/>
                <w:highlight w:val="none"/>
              </w:rPr>
              <w:t>评分标准</w:t>
            </w:r>
          </w:p>
        </w:tc>
      </w:tr>
      <w:tr w14:paraId="2AD2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91" w:type="dxa"/>
            <w:tcBorders>
              <w:left w:val="single" w:color="000000" w:sz="10" w:space="0"/>
            </w:tcBorders>
            <w:vAlign w:val="top"/>
          </w:tcPr>
          <w:p w14:paraId="2D03249A">
            <w:pPr>
              <w:pStyle w:val="31"/>
              <w:spacing w:before="165" w:line="228" w:lineRule="auto"/>
              <w:ind w:left="121"/>
              <w:rPr>
                <w:highlight w:val="none"/>
              </w:rPr>
            </w:pPr>
            <w:r>
              <w:rPr>
                <w:b/>
                <w:bCs/>
                <w:spacing w:val="5"/>
                <w:highlight w:val="none"/>
              </w:rPr>
              <w:t>条款号</w:t>
            </w:r>
          </w:p>
        </w:tc>
        <w:tc>
          <w:tcPr>
            <w:tcW w:w="848" w:type="dxa"/>
            <w:gridSpan w:val="2"/>
            <w:vAlign w:val="top"/>
          </w:tcPr>
          <w:p w14:paraId="229B09E8">
            <w:pPr>
              <w:pStyle w:val="31"/>
              <w:spacing w:before="31" w:line="228" w:lineRule="auto"/>
              <w:ind w:left="207"/>
              <w:rPr>
                <w:highlight w:val="none"/>
              </w:rPr>
            </w:pPr>
            <w:r>
              <w:rPr>
                <w:b/>
                <w:bCs/>
                <w:spacing w:val="4"/>
                <w:highlight w:val="none"/>
              </w:rPr>
              <w:t>评分</w:t>
            </w:r>
          </w:p>
          <w:p w14:paraId="3B943B9A">
            <w:pPr>
              <w:pStyle w:val="31"/>
              <w:spacing w:before="23" w:line="213" w:lineRule="auto"/>
              <w:ind w:left="225"/>
              <w:rPr>
                <w:highlight w:val="none"/>
              </w:rPr>
            </w:pPr>
            <w:r>
              <w:rPr>
                <w:b/>
                <w:bCs/>
                <w:spacing w:val="-5"/>
                <w:highlight w:val="none"/>
              </w:rPr>
              <w:t>因素</w:t>
            </w:r>
          </w:p>
        </w:tc>
        <w:tc>
          <w:tcPr>
            <w:tcW w:w="990" w:type="dxa"/>
            <w:vAlign w:val="top"/>
          </w:tcPr>
          <w:p w14:paraId="7A9BE444">
            <w:pPr>
              <w:pStyle w:val="31"/>
              <w:spacing w:before="30" w:line="228" w:lineRule="auto"/>
              <w:ind w:left="72"/>
              <w:rPr>
                <w:highlight w:val="none"/>
              </w:rPr>
            </w:pPr>
            <w:r>
              <w:rPr>
                <w:b/>
                <w:bCs/>
                <w:spacing w:val="6"/>
                <w:highlight w:val="none"/>
              </w:rPr>
              <w:t>评分因素</w:t>
            </w:r>
          </w:p>
          <w:p w14:paraId="09738ACE">
            <w:pPr>
              <w:pStyle w:val="31"/>
              <w:spacing w:before="24" w:line="213" w:lineRule="auto"/>
              <w:ind w:left="72"/>
              <w:rPr>
                <w:highlight w:val="none"/>
              </w:rPr>
            </w:pPr>
            <w:r>
              <w:rPr>
                <w:b/>
                <w:bCs/>
                <w:spacing w:val="6"/>
                <w:highlight w:val="none"/>
              </w:rPr>
              <w:t>权重分值</w:t>
            </w:r>
          </w:p>
        </w:tc>
        <w:tc>
          <w:tcPr>
            <w:tcW w:w="1607" w:type="dxa"/>
            <w:vAlign w:val="top"/>
          </w:tcPr>
          <w:p w14:paraId="5F167D67">
            <w:pPr>
              <w:pStyle w:val="31"/>
              <w:spacing w:before="30" w:line="232" w:lineRule="auto"/>
              <w:ind w:left="704" w:right="68" w:hanging="634"/>
              <w:rPr>
                <w:highlight w:val="none"/>
              </w:rPr>
            </w:pPr>
            <w:r>
              <w:rPr>
                <w:b/>
                <w:bCs/>
                <w:spacing w:val="6"/>
                <w:highlight w:val="none"/>
              </w:rPr>
              <w:t>各评分因素细分</w:t>
            </w:r>
            <w:r>
              <w:rPr>
                <w:b/>
                <w:bCs/>
                <w:spacing w:val="-3"/>
                <w:highlight w:val="none"/>
              </w:rPr>
              <w:t>项</w:t>
            </w:r>
          </w:p>
        </w:tc>
        <w:tc>
          <w:tcPr>
            <w:tcW w:w="673" w:type="dxa"/>
            <w:vAlign w:val="top"/>
          </w:tcPr>
          <w:p w14:paraId="2FBD337D">
            <w:pPr>
              <w:pStyle w:val="31"/>
              <w:spacing w:before="165" w:line="228" w:lineRule="auto"/>
              <w:ind w:left="133"/>
              <w:rPr>
                <w:highlight w:val="none"/>
              </w:rPr>
            </w:pPr>
            <w:r>
              <w:rPr>
                <w:b/>
                <w:bCs/>
                <w:spacing w:val="2"/>
                <w:highlight w:val="none"/>
              </w:rPr>
              <w:t>分值</w:t>
            </w:r>
          </w:p>
        </w:tc>
        <w:tc>
          <w:tcPr>
            <w:tcW w:w="4435" w:type="dxa"/>
            <w:vMerge w:val="continue"/>
            <w:tcBorders>
              <w:top w:val="nil"/>
              <w:right w:val="single" w:color="000000" w:sz="10" w:space="0"/>
            </w:tcBorders>
            <w:vAlign w:val="top"/>
          </w:tcPr>
          <w:p w14:paraId="763301C0">
            <w:pPr>
              <w:rPr>
                <w:rFonts w:ascii="Arial"/>
                <w:sz w:val="21"/>
                <w:highlight w:val="none"/>
              </w:rPr>
            </w:pPr>
          </w:p>
        </w:tc>
      </w:tr>
      <w:tr w14:paraId="59D01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2" w:hRule="atLeast"/>
        </w:trPr>
        <w:tc>
          <w:tcPr>
            <w:tcW w:w="891" w:type="dxa"/>
            <w:tcBorders>
              <w:left w:val="single" w:color="000000" w:sz="10" w:space="0"/>
            </w:tcBorders>
            <w:vAlign w:val="top"/>
          </w:tcPr>
          <w:p w14:paraId="18BD8851">
            <w:pPr>
              <w:spacing w:line="248" w:lineRule="auto"/>
              <w:rPr>
                <w:rFonts w:ascii="Arial"/>
                <w:sz w:val="21"/>
                <w:highlight w:val="none"/>
              </w:rPr>
            </w:pPr>
          </w:p>
          <w:p w14:paraId="588F5AF5">
            <w:pPr>
              <w:spacing w:line="248" w:lineRule="auto"/>
              <w:rPr>
                <w:rFonts w:ascii="Arial"/>
                <w:sz w:val="21"/>
                <w:highlight w:val="none"/>
              </w:rPr>
            </w:pPr>
          </w:p>
          <w:p w14:paraId="11C6F100">
            <w:pPr>
              <w:spacing w:line="248" w:lineRule="auto"/>
              <w:rPr>
                <w:rFonts w:ascii="Arial"/>
                <w:sz w:val="21"/>
                <w:highlight w:val="none"/>
              </w:rPr>
            </w:pPr>
          </w:p>
          <w:p w14:paraId="582D1918">
            <w:pPr>
              <w:spacing w:line="248" w:lineRule="auto"/>
              <w:rPr>
                <w:rFonts w:ascii="Arial"/>
                <w:sz w:val="21"/>
                <w:highlight w:val="none"/>
              </w:rPr>
            </w:pPr>
          </w:p>
          <w:p w14:paraId="48BCAC77">
            <w:pPr>
              <w:spacing w:line="248" w:lineRule="auto"/>
              <w:rPr>
                <w:rFonts w:ascii="Arial"/>
                <w:sz w:val="21"/>
                <w:highlight w:val="none"/>
              </w:rPr>
            </w:pPr>
          </w:p>
          <w:p w14:paraId="48C8BC62">
            <w:pPr>
              <w:spacing w:line="248" w:lineRule="auto"/>
              <w:rPr>
                <w:rFonts w:ascii="Arial"/>
                <w:sz w:val="21"/>
                <w:highlight w:val="none"/>
              </w:rPr>
            </w:pPr>
          </w:p>
          <w:p w14:paraId="787CDA6E">
            <w:pPr>
              <w:spacing w:line="248" w:lineRule="auto"/>
              <w:rPr>
                <w:rFonts w:ascii="Arial"/>
                <w:sz w:val="21"/>
                <w:highlight w:val="none"/>
              </w:rPr>
            </w:pPr>
          </w:p>
          <w:p w14:paraId="1A51AFBE">
            <w:pPr>
              <w:spacing w:line="248" w:lineRule="auto"/>
              <w:rPr>
                <w:rFonts w:ascii="Arial"/>
                <w:sz w:val="21"/>
                <w:highlight w:val="none"/>
              </w:rPr>
            </w:pPr>
          </w:p>
          <w:p w14:paraId="45B05122">
            <w:pPr>
              <w:spacing w:line="248" w:lineRule="auto"/>
              <w:rPr>
                <w:rFonts w:ascii="Arial"/>
                <w:sz w:val="21"/>
                <w:highlight w:val="none"/>
              </w:rPr>
            </w:pPr>
          </w:p>
          <w:p w14:paraId="5AAFC4D2">
            <w:pPr>
              <w:spacing w:line="249" w:lineRule="auto"/>
              <w:rPr>
                <w:rFonts w:ascii="Arial"/>
                <w:sz w:val="21"/>
                <w:highlight w:val="none"/>
              </w:rPr>
            </w:pPr>
          </w:p>
          <w:p w14:paraId="34FF7698">
            <w:pPr>
              <w:spacing w:line="249" w:lineRule="auto"/>
              <w:rPr>
                <w:rFonts w:ascii="Arial"/>
                <w:sz w:val="21"/>
                <w:highlight w:val="none"/>
              </w:rPr>
            </w:pPr>
          </w:p>
          <w:p w14:paraId="34C0A03A">
            <w:pPr>
              <w:pStyle w:val="31"/>
              <w:spacing w:before="65" w:line="267" w:lineRule="exact"/>
              <w:ind w:left="177"/>
              <w:rPr>
                <w:highlight w:val="none"/>
              </w:rPr>
            </w:pPr>
            <w:r>
              <w:rPr>
                <w:spacing w:val="2"/>
                <w:position w:val="1"/>
                <w:highlight w:val="none"/>
              </w:rPr>
              <w:t>2.2.2</w:t>
            </w:r>
          </w:p>
          <w:p w14:paraId="2DA0AA55">
            <w:pPr>
              <w:pStyle w:val="31"/>
              <w:spacing w:before="72"/>
              <w:ind w:left="185"/>
              <w:rPr>
                <w:highlight w:val="none"/>
              </w:rPr>
            </w:pPr>
            <w:r>
              <w:rPr>
                <w:spacing w:val="-2"/>
                <w:highlight w:val="none"/>
              </w:rPr>
              <w:t>（3）</w:t>
            </w:r>
          </w:p>
        </w:tc>
        <w:tc>
          <w:tcPr>
            <w:tcW w:w="408" w:type="dxa"/>
            <w:textDirection w:val="tbRlV"/>
            <w:vAlign w:val="top"/>
          </w:tcPr>
          <w:p w14:paraId="2E34C93C">
            <w:pPr>
              <w:pStyle w:val="31"/>
              <w:spacing w:before="108" w:line="216" w:lineRule="auto"/>
              <w:ind w:left="2715"/>
              <w:rPr>
                <w:highlight w:val="none"/>
              </w:rPr>
            </w:pPr>
            <w:r>
              <w:rPr>
                <w:spacing w:val="8"/>
                <w:highlight w:val="none"/>
              </w:rPr>
              <w:t>其</w:t>
            </w:r>
            <w:r>
              <w:rPr>
                <w:spacing w:val="-34"/>
                <w:highlight w:val="none"/>
              </w:rPr>
              <w:t xml:space="preserve"> </w:t>
            </w:r>
            <w:r>
              <w:rPr>
                <w:spacing w:val="8"/>
                <w:highlight w:val="none"/>
              </w:rPr>
              <w:t>他</w:t>
            </w:r>
            <w:r>
              <w:rPr>
                <w:spacing w:val="-37"/>
                <w:highlight w:val="none"/>
              </w:rPr>
              <w:t xml:space="preserve"> </w:t>
            </w:r>
            <w:r>
              <w:rPr>
                <w:spacing w:val="8"/>
                <w:highlight w:val="none"/>
              </w:rPr>
              <w:t>因</w:t>
            </w:r>
            <w:r>
              <w:rPr>
                <w:spacing w:val="-35"/>
                <w:highlight w:val="none"/>
              </w:rPr>
              <w:t xml:space="preserve"> </w:t>
            </w:r>
            <w:r>
              <w:rPr>
                <w:spacing w:val="8"/>
                <w:highlight w:val="none"/>
              </w:rPr>
              <w:t>素</w:t>
            </w:r>
          </w:p>
        </w:tc>
        <w:tc>
          <w:tcPr>
            <w:tcW w:w="440" w:type="dxa"/>
            <w:textDirection w:val="tbRlV"/>
            <w:vAlign w:val="top"/>
          </w:tcPr>
          <w:p w14:paraId="15F03A45">
            <w:pPr>
              <w:pStyle w:val="31"/>
              <w:spacing w:before="123" w:line="217" w:lineRule="auto"/>
              <w:ind w:left="2715"/>
              <w:rPr>
                <w:highlight w:val="none"/>
              </w:rPr>
            </w:pPr>
            <w:r>
              <w:rPr>
                <w:spacing w:val="8"/>
                <w:highlight w:val="none"/>
              </w:rPr>
              <w:t>企</w:t>
            </w:r>
            <w:r>
              <w:rPr>
                <w:spacing w:val="-34"/>
                <w:highlight w:val="none"/>
              </w:rPr>
              <w:t xml:space="preserve"> </w:t>
            </w:r>
            <w:r>
              <w:rPr>
                <w:spacing w:val="8"/>
                <w:highlight w:val="none"/>
              </w:rPr>
              <w:t>业</w:t>
            </w:r>
            <w:r>
              <w:rPr>
                <w:spacing w:val="-37"/>
                <w:highlight w:val="none"/>
              </w:rPr>
              <w:t xml:space="preserve"> </w:t>
            </w:r>
            <w:r>
              <w:rPr>
                <w:spacing w:val="8"/>
                <w:highlight w:val="none"/>
              </w:rPr>
              <w:t>业</w:t>
            </w:r>
            <w:r>
              <w:rPr>
                <w:spacing w:val="-35"/>
                <w:highlight w:val="none"/>
              </w:rPr>
              <w:t xml:space="preserve"> </w:t>
            </w:r>
            <w:r>
              <w:rPr>
                <w:spacing w:val="8"/>
                <w:highlight w:val="none"/>
              </w:rPr>
              <w:t>绩</w:t>
            </w:r>
          </w:p>
        </w:tc>
        <w:tc>
          <w:tcPr>
            <w:tcW w:w="990" w:type="dxa"/>
            <w:vAlign w:val="top"/>
          </w:tcPr>
          <w:p w14:paraId="7FA8FC74">
            <w:pPr>
              <w:spacing w:line="253" w:lineRule="auto"/>
              <w:rPr>
                <w:rFonts w:ascii="Arial"/>
                <w:sz w:val="21"/>
                <w:highlight w:val="none"/>
              </w:rPr>
            </w:pPr>
          </w:p>
          <w:p w14:paraId="4AAD56FC">
            <w:pPr>
              <w:spacing w:line="253" w:lineRule="auto"/>
              <w:rPr>
                <w:rFonts w:ascii="Arial"/>
                <w:sz w:val="21"/>
                <w:highlight w:val="none"/>
              </w:rPr>
            </w:pPr>
          </w:p>
          <w:p w14:paraId="45F9742A">
            <w:pPr>
              <w:spacing w:line="253" w:lineRule="auto"/>
              <w:rPr>
                <w:rFonts w:ascii="Arial"/>
                <w:sz w:val="21"/>
                <w:highlight w:val="none"/>
              </w:rPr>
            </w:pPr>
          </w:p>
          <w:p w14:paraId="65025EA5">
            <w:pPr>
              <w:spacing w:line="253" w:lineRule="auto"/>
              <w:rPr>
                <w:rFonts w:ascii="Arial"/>
                <w:sz w:val="21"/>
                <w:highlight w:val="none"/>
              </w:rPr>
            </w:pPr>
          </w:p>
          <w:p w14:paraId="346D2B31">
            <w:pPr>
              <w:spacing w:line="253" w:lineRule="auto"/>
              <w:rPr>
                <w:rFonts w:ascii="Arial"/>
                <w:sz w:val="21"/>
                <w:highlight w:val="none"/>
              </w:rPr>
            </w:pPr>
          </w:p>
          <w:p w14:paraId="2F7EC08B">
            <w:pPr>
              <w:spacing w:line="253" w:lineRule="auto"/>
              <w:rPr>
                <w:rFonts w:ascii="Arial"/>
                <w:sz w:val="21"/>
                <w:highlight w:val="none"/>
              </w:rPr>
            </w:pPr>
          </w:p>
          <w:p w14:paraId="4183609D">
            <w:pPr>
              <w:spacing w:line="253" w:lineRule="auto"/>
              <w:rPr>
                <w:rFonts w:ascii="Arial"/>
                <w:sz w:val="21"/>
                <w:highlight w:val="none"/>
              </w:rPr>
            </w:pPr>
          </w:p>
          <w:p w14:paraId="1CB5042C">
            <w:pPr>
              <w:spacing w:line="253" w:lineRule="auto"/>
              <w:rPr>
                <w:rFonts w:ascii="Arial"/>
                <w:sz w:val="21"/>
                <w:highlight w:val="none"/>
              </w:rPr>
            </w:pPr>
          </w:p>
          <w:p w14:paraId="3FB0ABA7">
            <w:pPr>
              <w:spacing w:line="254" w:lineRule="auto"/>
              <w:rPr>
                <w:rFonts w:ascii="Arial"/>
                <w:sz w:val="21"/>
                <w:highlight w:val="none"/>
              </w:rPr>
            </w:pPr>
          </w:p>
          <w:p w14:paraId="1DAE71FA">
            <w:pPr>
              <w:spacing w:line="254" w:lineRule="auto"/>
              <w:rPr>
                <w:rFonts w:ascii="Arial"/>
                <w:sz w:val="21"/>
                <w:highlight w:val="none"/>
              </w:rPr>
            </w:pPr>
          </w:p>
          <w:p w14:paraId="08AA3E9E">
            <w:pPr>
              <w:spacing w:line="254" w:lineRule="auto"/>
              <w:rPr>
                <w:rFonts w:ascii="Arial"/>
                <w:sz w:val="21"/>
                <w:highlight w:val="none"/>
              </w:rPr>
            </w:pPr>
          </w:p>
          <w:p w14:paraId="7B09657B">
            <w:pPr>
              <w:spacing w:line="254" w:lineRule="auto"/>
              <w:rPr>
                <w:rFonts w:ascii="Arial"/>
                <w:sz w:val="21"/>
                <w:highlight w:val="none"/>
              </w:rPr>
            </w:pPr>
          </w:p>
          <w:p w14:paraId="74672C66">
            <w:pPr>
              <w:pStyle w:val="31"/>
              <w:spacing w:before="65" w:line="228" w:lineRule="auto"/>
              <w:ind w:left="260"/>
              <w:rPr>
                <w:highlight w:val="none"/>
              </w:rPr>
            </w:pPr>
            <w:r>
              <w:rPr>
                <w:spacing w:val="-1"/>
                <w:highlight w:val="none"/>
              </w:rPr>
              <w:t>20</w:t>
            </w:r>
            <w:r>
              <w:rPr>
                <w:spacing w:val="-37"/>
                <w:highlight w:val="none"/>
              </w:rPr>
              <w:t xml:space="preserve"> </w:t>
            </w:r>
            <w:r>
              <w:rPr>
                <w:spacing w:val="-1"/>
                <w:highlight w:val="none"/>
              </w:rPr>
              <w:t>分</w:t>
            </w:r>
          </w:p>
        </w:tc>
        <w:tc>
          <w:tcPr>
            <w:tcW w:w="1607" w:type="dxa"/>
            <w:vAlign w:val="top"/>
          </w:tcPr>
          <w:p w14:paraId="4B6D791C">
            <w:pPr>
              <w:spacing w:line="255" w:lineRule="auto"/>
              <w:rPr>
                <w:rFonts w:ascii="Arial"/>
                <w:sz w:val="21"/>
                <w:highlight w:val="none"/>
              </w:rPr>
            </w:pPr>
          </w:p>
          <w:p w14:paraId="514DC04E">
            <w:pPr>
              <w:spacing w:line="255" w:lineRule="auto"/>
              <w:rPr>
                <w:rFonts w:ascii="Arial"/>
                <w:sz w:val="21"/>
                <w:highlight w:val="none"/>
              </w:rPr>
            </w:pPr>
          </w:p>
          <w:p w14:paraId="1587BBA9">
            <w:pPr>
              <w:spacing w:line="255" w:lineRule="auto"/>
              <w:rPr>
                <w:rFonts w:ascii="Arial"/>
                <w:sz w:val="21"/>
                <w:highlight w:val="none"/>
              </w:rPr>
            </w:pPr>
          </w:p>
          <w:p w14:paraId="2DFD9612">
            <w:pPr>
              <w:spacing w:line="256" w:lineRule="auto"/>
              <w:rPr>
                <w:rFonts w:ascii="Arial"/>
                <w:sz w:val="21"/>
                <w:highlight w:val="none"/>
              </w:rPr>
            </w:pPr>
          </w:p>
          <w:p w14:paraId="797468F3">
            <w:pPr>
              <w:spacing w:line="256" w:lineRule="auto"/>
              <w:rPr>
                <w:rFonts w:ascii="Arial"/>
                <w:sz w:val="21"/>
                <w:highlight w:val="none"/>
              </w:rPr>
            </w:pPr>
          </w:p>
          <w:p w14:paraId="50CE2ED7">
            <w:pPr>
              <w:spacing w:line="256" w:lineRule="auto"/>
              <w:rPr>
                <w:rFonts w:ascii="Arial"/>
                <w:sz w:val="21"/>
                <w:highlight w:val="none"/>
              </w:rPr>
            </w:pPr>
          </w:p>
          <w:p w14:paraId="65E252A0">
            <w:pPr>
              <w:spacing w:line="256" w:lineRule="auto"/>
              <w:rPr>
                <w:rFonts w:ascii="Arial"/>
                <w:sz w:val="21"/>
                <w:highlight w:val="none"/>
              </w:rPr>
            </w:pPr>
          </w:p>
          <w:p w14:paraId="1254C6D2">
            <w:pPr>
              <w:spacing w:line="256" w:lineRule="auto"/>
              <w:rPr>
                <w:rFonts w:ascii="Arial"/>
                <w:sz w:val="21"/>
                <w:highlight w:val="none"/>
              </w:rPr>
            </w:pPr>
          </w:p>
          <w:p w14:paraId="6AEBEB8A">
            <w:pPr>
              <w:spacing w:line="256" w:lineRule="auto"/>
              <w:rPr>
                <w:rFonts w:ascii="Arial"/>
                <w:sz w:val="21"/>
                <w:highlight w:val="none"/>
              </w:rPr>
            </w:pPr>
          </w:p>
          <w:p w14:paraId="225E45DC">
            <w:pPr>
              <w:spacing w:line="256" w:lineRule="auto"/>
              <w:rPr>
                <w:rFonts w:ascii="Arial"/>
                <w:sz w:val="21"/>
                <w:highlight w:val="none"/>
              </w:rPr>
            </w:pPr>
          </w:p>
          <w:p w14:paraId="6760D874">
            <w:pPr>
              <w:spacing w:line="256" w:lineRule="auto"/>
              <w:rPr>
                <w:rFonts w:ascii="Arial"/>
                <w:sz w:val="21"/>
                <w:highlight w:val="none"/>
              </w:rPr>
            </w:pPr>
          </w:p>
          <w:p w14:paraId="353828FD">
            <w:pPr>
              <w:spacing w:line="256" w:lineRule="auto"/>
              <w:rPr>
                <w:rFonts w:ascii="Arial"/>
                <w:sz w:val="21"/>
                <w:highlight w:val="none"/>
              </w:rPr>
            </w:pPr>
          </w:p>
          <w:p w14:paraId="324C2CAF">
            <w:pPr>
              <w:pStyle w:val="31"/>
              <w:spacing w:before="65" w:line="228" w:lineRule="auto"/>
              <w:ind w:left="72"/>
              <w:rPr>
                <w:highlight w:val="none"/>
              </w:rPr>
            </w:pPr>
            <w:r>
              <w:rPr>
                <w:spacing w:val="8"/>
                <w:highlight w:val="none"/>
              </w:rPr>
              <w:t>投标人企业业绩</w:t>
            </w:r>
          </w:p>
        </w:tc>
        <w:tc>
          <w:tcPr>
            <w:tcW w:w="673" w:type="dxa"/>
            <w:vAlign w:val="top"/>
          </w:tcPr>
          <w:p w14:paraId="4BE5C451">
            <w:pPr>
              <w:spacing w:line="255" w:lineRule="auto"/>
              <w:rPr>
                <w:rFonts w:ascii="Arial"/>
                <w:sz w:val="21"/>
                <w:highlight w:val="none"/>
              </w:rPr>
            </w:pPr>
          </w:p>
          <w:p w14:paraId="2A66A4CB">
            <w:pPr>
              <w:spacing w:line="255" w:lineRule="auto"/>
              <w:rPr>
                <w:rFonts w:ascii="Arial"/>
                <w:sz w:val="21"/>
                <w:highlight w:val="none"/>
              </w:rPr>
            </w:pPr>
          </w:p>
          <w:p w14:paraId="2BC75EC7">
            <w:pPr>
              <w:spacing w:line="255" w:lineRule="auto"/>
              <w:rPr>
                <w:rFonts w:ascii="Arial"/>
                <w:sz w:val="21"/>
                <w:highlight w:val="none"/>
              </w:rPr>
            </w:pPr>
          </w:p>
          <w:p w14:paraId="72785EFA">
            <w:pPr>
              <w:spacing w:line="256" w:lineRule="auto"/>
              <w:rPr>
                <w:rFonts w:ascii="Arial"/>
                <w:sz w:val="21"/>
                <w:highlight w:val="none"/>
              </w:rPr>
            </w:pPr>
          </w:p>
          <w:p w14:paraId="4FAEA489">
            <w:pPr>
              <w:spacing w:line="256" w:lineRule="auto"/>
              <w:rPr>
                <w:rFonts w:ascii="Arial"/>
                <w:sz w:val="21"/>
                <w:highlight w:val="none"/>
              </w:rPr>
            </w:pPr>
          </w:p>
          <w:p w14:paraId="339C8FFA">
            <w:pPr>
              <w:spacing w:line="256" w:lineRule="auto"/>
              <w:rPr>
                <w:rFonts w:ascii="Arial"/>
                <w:sz w:val="21"/>
                <w:highlight w:val="none"/>
              </w:rPr>
            </w:pPr>
          </w:p>
          <w:p w14:paraId="49A6A56C">
            <w:pPr>
              <w:spacing w:line="256" w:lineRule="auto"/>
              <w:rPr>
                <w:rFonts w:ascii="Arial"/>
                <w:sz w:val="21"/>
                <w:highlight w:val="none"/>
              </w:rPr>
            </w:pPr>
          </w:p>
          <w:p w14:paraId="20EAC8DB">
            <w:pPr>
              <w:spacing w:line="256" w:lineRule="auto"/>
              <w:rPr>
                <w:rFonts w:ascii="Arial"/>
                <w:sz w:val="21"/>
                <w:highlight w:val="none"/>
              </w:rPr>
            </w:pPr>
          </w:p>
          <w:p w14:paraId="2C3A495E">
            <w:pPr>
              <w:spacing w:line="256" w:lineRule="auto"/>
              <w:rPr>
                <w:rFonts w:ascii="Arial"/>
                <w:sz w:val="21"/>
                <w:highlight w:val="none"/>
              </w:rPr>
            </w:pPr>
          </w:p>
          <w:p w14:paraId="5675DD8A">
            <w:pPr>
              <w:spacing w:line="256" w:lineRule="auto"/>
              <w:rPr>
                <w:rFonts w:ascii="Arial"/>
                <w:sz w:val="21"/>
                <w:highlight w:val="none"/>
              </w:rPr>
            </w:pPr>
          </w:p>
          <w:p w14:paraId="3B63438A">
            <w:pPr>
              <w:spacing w:line="256" w:lineRule="auto"/>
              <w:rPr>
                <w:rFonts w:ascii="Arial"/>
                <w:sz w:val="21"/>
                <w:highlight w:val="none"/>
              </w:rPr>
            </w:pPr>
          </w:p>
          <w:p w14:paraId="07E861F7">
            <w:pPr>
              <w:spacing w:line="256" w:lineRule="auto"/>
              <w:rPr>
                <w:rFonts w:ascii="Arial"/>
                <w:sz w:val="21"/>
                <w:highlight w:val="none"/>
              </w:rPr>
            </w:pPr>
          </w:p>
          <w:p w14:paraId="3543A17F">
            <w:pPr>
              <w:pStyle w:val="31"/>
              <w:spacing w:before="65" w:line="228" w:lineRule="auto"/>
              <w:ind w:left="107"/>
              <w:rPr>
                <w:highlight w:val="none"/>
              </w:rPr>
            </w:pPr>
            <w:r>
              <w:rPr>
                <w:spacing w:val="-1"/>
                <w:highlight w:val="none"/>
              </w:rPr>
              <w:t>20</w:t>
            </w:r>
            <w:r>
              <w:rPr>
                <w:spacing w:val="-35"/>
                <w:highlight w:val="none"/>
              </w:rPr>
              <w:t xml:space="preserve"> </w:t>
            </w:r>
            <w:r>
              <w:rPr>
                <w:spacing w:val="-1"/>
                <w:highlight w:val="none"/>
              </w:rPr>
              <w:t>分</w:t>
            </w:r>
          </w:p>
        </w:tc>
        <w:tc>
          <w:tcPr>
            <w:tcW w:w="4435" w:type="dxa"/>
            <w:tcBorders>
              <w:bottom w:val="single" w:color="000000" w:sz="10" w:space="0"/>
              <w:right w:val="single" w:color="000000" w:sz="10" w:space="0"/>
            </w:tcBorders>
            <w:vAlign w:val="top"/>
          </w:tcPr>
          <w:p w14:paraId="20A8449D">
            <w:pPr>
              <w:pStyle w:val="31"/>
              <w:spacing w:before="92" w:line="228" w:lineRule="auto"/>
              <w:ind w:left="33"/>
              <w:rPr>
                <w:highlight w:val="none"/>
              </w:rPr>
            </w:pPr>
            <w:r>
              <w:rPr>
                <w:spacing w:val="6"/>
                <w:highlight w:val="none"/>
              </w:rPr>
              <w:t>满足资格审查条件最低要求，得</w:t>
            </w:r>
            <w:r>
              <w:rPr>
                <w:spacing w:val="-7"/>
                <w:highlight w:val="none"/>
              </w:rPr>
              <w:t xml:space="preserve"> </w:t>
            </w:r>
            <w:r>
              <w:rPr>
                <w:spacing w:val="6"/>
                <w:highlight w:val="none"/>
              </w:rPr>
              <w:t>12 分；</w:t>
            </w:r>
          </w:p>
          <w:p w14:paraId="587899F1">
            <w:pPr>
              <w:pStyle w:val="31"/>
              <w:spacing w:before="93" w:line="314" w:lineRule="auto"/>
              <w:ind w:left="33" w:right="18" w:firstLine="2"/>
              <w:rPr>
                <w:highlight w:val="none"/>
              </w:rPr>
            </w:pPr>
            <w:r>
              <w:rPr>
                <w:spacing w:val="2"/>
                <w:highlight w:val="none"/>
              </w:rPr>
              <w:t>2021年</w:t>
            </w:r>
            <w:r>
              <w:rPr>
                <w:spacing w:val="-24"/>
                <w:highlight w:val="none"/>
              </w:rPr>
              <w:t xml:space="preserve"> </w:t>
            </w:r>
            <w:r>
              <w:rPr>
                <w:spacing w:val="2"/>
                <w:highlight w:val="none"/>
              </w:rPr>
              <w:t>1</w:t>
            </w:r>
            <w:r>
              <w:rPr>
                <w:spacing w:val="-33"/>
                <w:highlight w:val="none"/>
              </w:rPr>
              <w:t xml:space="preserve"> </w:t>
            </w:r>
            <w:r>
              <w:rPr>
                <w:spacing w:val="2"/>
                <w:highlight w:val="none"/>
              </w:rPr>
              <w:t>月</w:t>
            </w:r>
            <w:r>
              <w:rPr>
                <w:spacing w:val="-24"/>
                <w:highlight w:val="none"/>
              </w:rPr>
              <w:t xml:space="preserve"> </w:t>
            </w:r>
            <w:r>
              <w:rPr>
                <w:spacing w:val="2"/>
                <w:highlight w:val="none"/>
              </w:rPr>
              <w:t>1 日至投标截止时间，投标</w:t>
            </w:r>
            <w:r>
              <w:rPr>
                <w:spacing w:val="1"/>
                <w:highlight w:val="none"/>
              </w:rPr>
              <w:t>人完成一</w:t>
            </w:r>
            <w:r>
              <w:rPr>
                <w:spacing w:val="18"/>
                <w:highlight w:val="none"/>
              </w:rPr>
              <w:t>项公路</w:t>
            </w:r>
            <w:r>
              <w:rPr>
                <w:rFonts w:hint="eastAsia"/>
                <w:spacing w:val="18"/>
                <w:highlight w:val="none"/>
                <w:lang w:val="en-US" w:eastAsia="zh-CN"/>
              </w:rPr>
              <w:t>小修保养</w:t>
            </w:r>
            <w:r>
              <w:rPr>
                <w:spacing w:val="18"/>
                <w:highlight w:val="none"/>
              </w:rPr>
              <w:t>或养护工程的项目的施工业绩</w:t>
            </w:r>
            <w:r>
              <w:rPr>
                <w:spacing w:val="3"/>
                <w:highlight w:val="none"/>
              </w:rPr>
              <w:t>加</w:t>
            </w:r>
            <w:r>
              <w:rPr>
                <w:spacing w:val="-41"/>
                <w:highlight w:val="none"/>
              </w:rPr>
              <w:t xml:space="preserve"> </w:t>
            </w:r>
            <w:r>
              <w:rPr>
                <w:spacing w:val="3"/>
                <w:highlight w:val="none"/>
              </w:rPr>
              <w:t>4</w:t>
            </w:r>
            <w:r>
              <w:rPr>
                <w:spacing w:val="-36"/>
                <w:highlight w:val="none"/>
              </w:rPr>
              <w:t xml:space="preserve"> </w:t>
            </w:r>
            <w:r>
              <w:rPr>
                <w:spacing w:val="3"/>
                <w:highlight w:val="none"/>
              </w:rPr>
              <w:t>分，最多加</w:t>
            </w:r>
            <w:r>
              <w:rPr>
                <w:spacing w:val="-38"/>
                <w:highlight w:val="none"/>
              </w:rPr>
              <w:t xml:space="preserve"> </w:t>
            </w:r>
            <w:r>
              <w:rPr>
                <w:spacing w:val="3"/>
                <w:highlight w:val="none"/>
              </w:rPr>
              <w:t>8</w:t>
            </w:r>
            <w:r>
              <w:rPr>
                <w:spacing w:val="-36"/>
                <w:highlight w:val="none"/>
              </w:rPr>
              <w:t xml:space="preserve"> </w:t>
            </w:r>
            <w:r>
              <w:rPr>
                <w:spacing w:val="3"/>
                <w:highlight w:val="none"/>
              </w:rPr>
              <w:t>分。</w:t>
            </w:r>
          </w:p>
          <w:p w14:paraId="59DDD1F0">
            <w:pPr>
              <w:pStyle w:val="31"/>
              <w:spacing w:before="1" w:line="231" w:lineRule="auto"/>
              <w:ind w:left="33"/>
              <w:rPr>
                <w:highlight w:val="none"/>
              </w:rPr>
            </w:pPr>
            <w:r>
              <w:rPr>
                <w:highlight w:val="none"/>
              </w:rPr>
              <w:t>注：</w:t>
            </w:r>
          </w:p>
          <w:p w14:paraId="402A86A9">
            <w:pPr>
              <w:pStyle w:val="31"/>
              <w:spacing w:before="86" w:line="314" w:lineRule="auto"/>
              <w:ind w:left="33" w:right="18" w:firstLine="16"/>
              <w:jc w:val="both"/>
              <w:rPr>
                <w:highlight w:val="none"/>
              </w:rPr>
            </w:pPr>
            <w:r>
              <w:rPr>
                <w:spacing w:val="11"/>
                <w:highlight w:val="none"/>
              </w:rPr>
              <w:t>1.（1）合同协议书复印件和该项目发包人（甲</w:t>
            </w:r>
            <w:r>
              <w:rPr>
                <w:spacing w:val="10"/>
                <w:highlight w:val="none"/>
              </w:rPr>
              <w:t>方）</w:t>
            </w:r>
            <w:r>
              <w:rPr>
                <w:spacing w:val="66"/>
                <w:highlight w:val="none"/>
              </w:rPr>
              <w:t xml:space="preserve"> </w:t>
            </w:r>
            <w:r>
              <w:rPr>
                <w:spacing w:val="10"/>
                <w:highlight w:val="none"/>
              </w:rPr>
              <w:t>出具的完工证明（应写明完工时间）复印</w:t>
            </w:r>
            <w:r>
              <w:rPr>
                <w:highlight w:val="none"/>
              </w:rPr>
              <w:t>件；</w:t>
            </w:r>
          </w:p>
          <w:p w14:paraId="34312DBD">
            <w:pPr>
              <w:pStyle w:val="31"/>
              <w:spacing w:line="314" w:lineRule="auto"/>
              <w:ind w:left="33" w:right="18" w:firstLine="10"/>
              <w:jc w:val="both"/>
              <w:rPr>
                <w:highlight w:val="none"/>
              </w:rPr>
            </w:pPr>
            <w:r>
              <w:rPr>
                <w:spacing w:val="12"/>
                <w:highlight w:val="none"/>
              </w:rPr>
              <w:t>（2）交通运输部“全国公路建设市场监督管理</w:t>
            </w:r>
            <w:r>
              <w:rPr>
                <w:spacing w:val="11"/>
                <w:highlight w:val="none"/>
              </w:rPr>
              <w:t>系统</w:t>
            </w:r>
            <w:r>
              <w:rPr>
                <w:spacing w:val="47"/>
                <w:highlight w:val="none"/>
              </w:rPr>
              <w:t xml:space="preserve"> </w:t>
            </w:r>
            <w:r>
              <w:rPr>
                <w:spacing w:val="11"/>
                <w:highlight w:val="none"/>
              </w:rPr>
              <w:t>”或省级交通运输主管部门“公路建设市场信用信息管理系统</w:t>
            </w:r>
            <w:r>
              <w:rPr>
                <w:spacing w:val="47"/>
                <w:highlight w:val="none"/>
              </w:rPr>
              <w:t xml:space="preserve"> </w:t>
            </w:r>
            <w:r>
              <w:rPr>
                <w:spacing w:val="11"/>
                <w:highlight w:val="none"/>
              </w:rPr>
              <w:t>”中查询到的相关项目网</w:t>
            </w:r>
            <w:r>
              <w:rPr>
                <w:spacing w:val="7"/>
                <w:highlight w:val="none"/>
              </w:rPr>
              <w:t>页截图复印件。</w:t>
            </w:r>
          </w:p>
          <w:p w14:paraId="364B356C">
            <w:pPr>
              <w:pStyle w:val="31"/>
              <w:spacing w:line="314" w:lineRule="auto"/>
              <w:ind w:left="33" w:right="18" w:firstLine="3"/>
              <w:jc w:val="both"/>
              <w:rPr>
                <w:highlight w:val="none"/>
              </w:rPr>
            </w:pPr>
            <w:r>
              <w:rPr>
                <w:spacing w:val="7"/>
                <w:highlight w:val="none"/>
              </w:rPr>
              <w:t>如投标人填报业绩不符合上述要求，或业绩无相</w:t>
            </w:r>
            <w:r>
              <w:rPr>
                <w:spacing w:val="8"/>
                <w:highlight w:val="none"/>
              </w:rPr>
              <w:t>应证明材料，或所提供的证明材料中不能查</w:t>
            </w:r>
            <w:r>
              <w:rPr>
                <w:spacing w:val="7"/>
                <w:highlight w:val="none"/>
              </w:rPr>
              <w:t>找出</w:t>
            </w:r>
            <w:r>
              <w:rPr>
                <w:spacing w:val="8"/>
                <w:highlight w:val="none"/>
              </w:rPr>
              <w:t>满足评标办法中所要求的加分数据，则该业</w:t>
            </w:r>
            <w:r>
              <w:rPr>
                <w:spacing w:val="7"/>
                <w:highlight w:val="none"/>
              </w:rPr>
              <w:t>绩不</w:t>
            </w:r>
            <w:r>
              <w:rPr>
                <w:spacing w:val="5"/>
                <w:highlight w:val="none"/>
              </w:rPr>
              <w:t>予认定。</w:t>
            </w:r>
          </w:p>
          <w:p w14:paraId="6F4A20D3">
            <w:pPr>
              <w:pStyle w:val="31"/>
              <w:spacing w:before="2" w:line="282" w:lineRule="auto"/>
              <w:ind w:left="38" w:right="18" w:hanging="2"/>
              <w:jc w:val="both"/>
              <w:rPr>
                <w:highlight w:val="none"/>
              </w:rPr>
            </w:pPr>
            <w:r>
              <w:rPr>
                <w:spacing w:val="17"/>
                <w:highlight w:val="none"/>
              </w:rPr>
              <w:t>2.企业业绩需按招标文件要求提供相关业绩证</w:t>
            </w:r>
            <w:r>
              <w:rPr>
                <w:spacing w:val="18"/>
                <w:highlight w:val="none"/>
              </w:rPr>
              <w:t>明材料，未按要求提供证明材料的业绩不予认</w:t>
            </w:r>
            <w:r>
              <w:rPr>
                <w:spacing w:val="-3"/>
                <w:highlight w:val="none"/>
              </w:rPr>
              <w:t>定。</w:t>
            </w:r>
          </w:p>
        </w:tc>
      </w:tr>
    </w:tbl>
    <w:p w14:paraId="11284406">
      <w:pPr>
        <w:pStyle w:val="6"/>
        <w:rPr>
          <w:highlight w:val="none"/>
        </w:rPr>
      </w:pPr>
    </w:p>
    <w:p w14:paraId="6E833E10">
      <w:pPr>
        <w:rPr>
          <w:highlight w:val="none"/>
        </w:rPr>
        <w:sectPr>
          <w:footerReference r:id="rId7" w:type="default"/>
          <w:pgSz w:w="11906" w:h="16839"/>
          <w:pgMar w:top="1431" w:right="1231" w:bottom="1202" w:left="1204" w:header="0" w:footer="930" w:gutter="0"/>
          <w:cols w:space="720" w:num="1"/>
        </w:sectPr>
      </w:pPr>
    </w:p>
    <w:p w14:paraId="2526908A">
      <w:pPr>
        <w:spacing w:line="91" w:lineRule="auto"/>
        <w:rPr>
          <w:rFonts w:ascii="Arial"/>
          <w:sz w:val="2"/>
          <w:highlight w:val="none"/>
        </w:rPr>
      </w:pPr>
    </w:p>
    <w:tbl>
      <w:tblPr>
        <w:tblStyle w:val="32"/>
        <w:tblW w:w="944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1"/>
        <w:gridCol w:w="408"/>
        <w:gridCol w:w="440"/>
        <w:gridCol w:w="990"/>
        <w:gridCol w:w="1607"/>
        <w:gridCol w:w="673"/>
        <w:gridCol w:w="4435"/>
      </w:tblGrid>
      <w:tr w14:paraId="1783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009" w:type="dxa"/>
            <w:gridSpan w:val="6"/>
            <w:tcBorders>
              <w:top w:val="single" w:color="000000" w:sz="10" w:space="0"/>
              <w:left w:val="single" w:color="000000" w:sz="10" w:space="0"/>
            </w:tcBorders>
            <w:vAlign w:val="top"/>
          </w:tcPr>
          <w:p w14:paraId="417DB5A4">
            <w:pPr>
              <w:pStyle w:val="31"/>
              <w:spacing w:before="69" w:line="228" w:lineRule="auto"/>
              <w:ind w:left="1552"/>
              <w:rPr>
                <w:highlight w:val="none"/>
              </w:rPr>
            </w:pPr>
            <w:r>
              <w:rPr>
                <w:b/>
                <w:bCs/>
                <w:spacing w:val="7"/>
                <w:highlight w:val="none"/>
              </w:rPr>
              <w:t>评分因素与权重分值</w:t>
            </w:r>
          </w:p>
        </w:tc>
        <w:tc>
          <w:tcPr>
            <w:tcW w:w="4435" w:type="dxa"/>
            <w:vMerge w:val="restart"/>
            <w:tcBorders>
              <w:top w:val="single" w:color="000000" w:sz="10" w:space="0"/>
              <w:bottom w:val="nil"/>
              <w:right w:val="single" w:color="000000" w:sz="10" w:space="0"/>
            </w:tcBorders>
            <w:vAlign w:val="top"/>
          </w:tcPr>
          <w:p w14:paraId="2A3AD2A4">
            <w:pPr>
              <w:spacing w:line="277" w:lineRule="auto"/>
              <w:rPr>
                <w:rFonts w:ascii="Arial"/>
                <w:sz w:val="21"/>
                <w:highlight w:val="none"/>
              </w:rPr>
            </w:pPr>
          </w:p>
          <w:p w14:paraId="791FC759">
            <w:pPr>
              <w:pStyle w:val="31"/>
              <w:spacing w:before="65" w:line="228" w:lineRule="auto"/>
              <w:ind w:left="1799"/>
              <w:rPr>
                <w:highlight w:val="none"/>
              </w:rPr>
            </w:pPr>
            <w:r>
              <w:rPr>
                <w:b/>
                <w:bCs/>
                <w:spacing w:val="6"/>
                <w:highlight w:val="none"/>
              </w:rPr>
              <w:t>评分标准</w:t>
            </w:r>
          </w:p>
        </w:tc>
      </w:tr>
      <w:tr w14:paraId="6E9B9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91" w:type="dxa"/>
            <w:tcBorders>
              <w:left w:val="single" w:color="000000" w:sz="10" w:space="0"/>
            </w:tcBorders>
            <w:vAlign w:val="top"/>
          </w:tcPr>
          <w:p w14:paraId="758FA7D5">
            <w:pPr>
              <w:pStyle w:val="31"/>
              <w:spacing w:before="164" w:line="228" w:lineRule="auto"/>
              <w:ind w:left="121"/>
              <w:rPr>
                <w:highlight w:val="none"/>
              </w:rPr>
            </w:pPr>
            <w:r>
              <w:rPr>
                <w:b/>
                <w:bCs/>
                <w:spacing w:val="5"/>
                <w:highlight w:val="none"/>
              </w:rPr>
              <w:t>条款号</w:t>
            </w:r>
          </w:p>
        </w:tc>
        <w:tc>
          <w:tcPr>
            <w:tcW w:w="848" w:type="dxa"/>
            <w:gridSpan w:val="2"/>
            <w:vAlign w:val="top"/>
          </w:tcPr>
          <w:p w14:paraId="6E677D17">
            <w:pPr>
              <w:pStyle w:val="31"/>
              <w:spacing w:before="30" w:line="228" w:lineRule="auto"/>
              <w:ind w:left="207"/>
              <w:rPr>
                <w:highlight w:val="none"/>
              </w:rPr>
            </w:pPr>
            <w:r>
              <w:rPr>
                <w:b/>
                <w:bCs/>
                <w:spacing w:val="4"/>
                <w:highlight w:val="none"/>
              </w:rPr>
              <w:t>评分</w:t>
            </w:r>
          </w:p>
          <w:p w14:paraId="0D8020A0">
            <w:pPr>
              <w:pStyle w:val="31"/>
              <w:spacing w:before="23" w:line="216" w:lineRule="auto"/>
              <w:ind w:left="225"/>
              <w:rPr>
                <w:highlight w:val="none"/>
              </w:rPr>
            </w:pPr>
            <w:r>
              <w:rPr>
                <w:b/>
                <w:bCs/>
                <w:spacing w:val="-5"/>
                <w:highlight w:val="none"/>
              </w:rPr>
              <w:t>因素</w:t>
            </w:r>
          </w:p>
        </w:tc>
        <w:tc>
          <w:tcPr>
            <w:tcW w:w="990" w:type="dxa"/>
            <w:vAlign w:val="top"/>
          </w:tcPr>
          <w:p w14:paraId="000CAD70">
            <w:pPr>
              <w:pStyle w:val="31"/>
              <w:spacing w:before="29" w:line="228" w:lineRule="auto"/>
              <w:ind w:left="72"/>
              <w:rPr>
                <w:highlight w:val="none"/>
              </w:rPr>
            </w:pPr>
            <w:r>
              <w:rPr>
                <w:b/>
                <w:bCs/>
                <w:spacing w:val="6"/>
                <w:highlight w:val="none"/>
              </w:rPr>
              <w:t>评分因素</w:t>
            </w:r>
          </w:p>
          <w:p w14:paraId="18C86D16">
            <w:pPr>
              <w:pStyle w:val="31"/>
              <w:spacing w:before="24" w:line="216" w:lineRule="auto"/>
              <w:ind w:left="72"/>
              <w:rPr>
                <w:highlight w:val="none"/>
              </w:rPr>
            </w:pPr>
            <w:r>
              <w:rPr>
                <w:b/>
                <w:bCs/>
                <w:spacing w:val="6"/>
                <w:highlight w:val="none"/>
              </w:rPr>
              <w:t>权重分值</w:t>
            </w:r>
          </w:p>
        </w:tc>
        <w:tc>
          <w:tcPr>
            <w:tcW w:w="1607" w:type="dxa"/>
            <w:vAlign w:val="top"/>
          </w:tcPr>
          <w:p w14:paraId="0939FCC9">
            <w:pPr>
              <w:pStyle w:val="31"/>
              <w:spacing w:before="30" w:line="233" w:lineRule="auto"/>
              <w:ind w:left="704" w:right="68" w:hanging="634"/>
              <w:rPr>
                <w:highlight w:val="none"/>
              </w:rPr>
            </w:pPr>
            <w:r>
              <w:rPr>
                <w:b/>
                <w:bCs/>
                <w:spacing w:val="6"/>
                <w:highlight w:val="none"/>
              </w:rPr>
              <w:t>各评分因素细分</w:t>
            </w:r>
            <w:r>
              <w:rPr>
                <w:b/>
                <w:bCs/>
                <w:spacing w:val="-3"/>
                <w:highlight w:val="none"/>
              </w:rPr>
              <w:t>项</w:t>
            </w:r>
          </w:p>
        </w:tc>
        <w:tc>
          <w:tcPr>
            <w:tcW w:w="673" w:type="dxa"/>
            <w:vAlign w:val="top"/>
          </w:tcPr>
          <w:p w14:paraId="5E1878C8">
            <w:pPr>
              <w:pStyle w:val="31"/>
              <w:spacing w:before="164" w:line="228" w:lineRule="auto"/>
              <w:ind w:left="133"/>
              <w:rPr>
                <w:highlight w:val="none"/>
              </w:rPr>
            </w:pPr>
            <w:r>
              <w:rPr>
                <w:b/>
                <w:bCs/>
                <w:spacing w:val="2"/>
                <w:highlight w:val="none"/>
              </w:rPr>
              <w:t>分值</w:t>
            </w:r>
          </w:p>
        </w:tc>
        <w:tc>
          <w:tcPr>
            <w:tcW w:w="4435" w:type="dxa"/>
            <w:vMerge w:val="continue"/>
            <w:tcBorders>
              <w:top w:val="nil"/>
              <w:right w:val="single" w:color="000000" w:sz="10" w:space="0"/>
            </w:tcBorders>
            <w:vAlign w:val="top"/>
          </w:tcPr>
          <w:p w14:paraId="35184949">
            <w:pPr>
              <w:rPr>
                <w:rFonts w:ascii="Arial"/>
                <w:sz w:val="21"/>
                <w:highlight w:val="none"/>
              </w:rPr>
            </w:pPr>
          </w:p>
        </w:tc>
      </w:tr>
      <w:tr w14:paraId="525D4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7" w:hRule="atLeast"/>
        </w:trPr>
        <w:tc>
          <w:tcPr>
            <w:tcW w:w="891" w:type="dxa"/>
            <w:tcBorders>
              <w:left w:val="single" w:color="000000" w:sz="10" w:space="0"/>
            </w:tcBorders>
            <w:vAlign w:val="top"/>
          </w:tcPr>
          <w:p w14:paraId="779193C7">
            <w:pPr>
              <w:rPr>
                <w:rFonts w:ascii="Arial"/>
                <w:sz w:val="21"/>
                <w:highlight w:val="none"/>
              </w:rPr>
            </w:pPr>
          </w:p>
        </w:tc>
        <w:tc>
          <w:tcPr>
            <w:tcW w:w="408" w:type="dxa"/>
            <w:vAlign w:val="top"/>
          </w:tcPr>
          <w:p w14:paraId="520DED99">
            <w:pPr>
              <w:rPr>
                <w:rFonts w:ascii="Arial"/>
                <w:sz w:val="21"/>
                <w:highlight w:val="none"/>
              </w:rPr>
            </w:pPr>
          </w:p>
        </w:tc>
        <w:tc>
          <w:tcPr>
            <w:tcW w:w="440" w:type="dxa"/>
            <w:textDirection w:val="tbRlV"/>
            <w:vAlign w:val="top"/>
          </w:tcPr>
          <w:p w14:paraId="78E3906F">
            <w:pPr>
              <w:pStyle w:val="31"/>
              <w:spacing w:before="96" w:line="216" w:lineRule="auto"/>
              <w:ind w:left="3224"/>
              <w:rPr>
                <w:highlight w:val="none"/>
              </w:rPr>
            </w:pPr>
            <w:r>
              <w:rPr>
                <w:spacing w:val="8"/>
                <w:highlight w:val="none"/>
              </w:rPr>
              <w:t>履</w:t>
            </w:r>
            <w:r>
              <w:rPr>
                <w:spacing w:val="-36"/>
                <w:highlight w:val="none"/>
              </w:rPr>
              <w:t xml:space="preserve"> </w:t>
            </w:r>
            <w:r>
              <w:rPr>
                <w:spacing w:val="8"/>
                <w:highlight w:val="none"/>
              </w:rPr>
              <w:t>约</w:t>
            </w:r>
            <w:r>
              <w:rPr>
                <w:spacing w:val="-38"/>
                <w:highlight w:val="none"/>
              </w:rPr>
              <w:t xml:space="preserve"> </w:t>
            </w:r>
            <w:r>
              <w:rPr>
                <w:spacing w:val="8"/>
                <w:highlight w:val="none"/>
              </w:rPr>
              <w:t>信</w:t>
            </w:r>
            <w:r>
              <w:rPr>
                <w:spacing w:val="-35"/>
                <w:highlight w:val="none"/>
              </w:rPr>
              <w:t xml:space="preserve"> </w:t>
            </w:r>
            <w:r>
              <w:rPr>
                <w:spacing w:val="8"/>
                <w:highlight w:val="none"/>
              </w:rPr>
              <w:t>誉</w:t>
            </w:r>
          </w:p>
        </w:tc>
        <w:tc>
          <w:tcPr>
            <w:tcW w:w="990" w:type="dxa"/>
            <w:vAlign w:val="top"/>
          </w:tcPr>
          <w:p w14:paraId="50A3CE0C">
            <w:pPr>
              <w:spacing w:line="253" w:lineRule="auto"/>
              <w:rPr>
                <w:rFonts w:ascii="Arial"/>
                <w:sz w:val="21"/>
                <w:highlight w:val="none"/>
              </w:rPr>
            </w:pPr>
          </w:p>
          <w:p w14:paraId="6A632D6D">
            <w:pPr>
              <w:spacing w:line="253" w:lineRule="auto"/>
              <w:rPr>
                <w:rFonts w:ascii="Arial"/>
                <w:sz w:val="21"/>
                <w:highlight w:val="none"/>
              </w:rPr>
            </w:pPr>
          </w:p>
          <w:p w14:paraId="15E250AD">
            <w:pPr>
              <w:spacing w:line="253" w:lineRule="auto"/>
              <w:rPr>
                <w:rFonts w:ascii="Arial"/>
                <w:sz w:val="21"/>
                <w:highlight w:val="none"/>
              </w:rPr>
            </w:pPr>
          </w:p>
          <w:p w14:paraId="11A0474B">
            <w:pPr>
              <w:spacing w:line="253" w:lineRule="auto"/>
              <w:rPr>
                <w:rFonts w:ascii="Arial"/>
                <w:sz w:val="21"/>
                <w:highlight w:val="none"/>
              </w:rPr>
            </w:pPr>
          </w:p>
          <w:p w14:paraId="4FCE3920">
            <w:pPr>
              <w:spacing w:line="253" w:lineRule="auto"/>
              <w:rPr>
                <w:rFonts w:ascii="Arial"/>
                <w:sz w:val="21"/>
                <w:highlight w:val="none"/>
              </w:rPr>
            </w:pPr>
          </w:p>
          <w:p w14:paraId="6EB85A0C">
            <w:pPr>
              <w:spacing w:line="253" w:lineRule="auto"/>
              <w:rPr>
                <w:rFonts w:ascii="Arial"/>
                <w:sz w:val="21"/>
                <w:highlight w:val="none"/>
              </w:rPr>
            </w:pPr>
          </w:p>
          <w:p w14:paraId="6417EA66">
            <w:pPr>
              <w:spacing w:line="253" w:lineRule="auto"/>
              <w:rPr>
                <w:rFonts w:ascii="Arial"/>
                <w:sz w:val="21"/>
                <w:highlight w:val="none"/>
              </w:rPr>
            </w:pPr>
          </w:p>
          <w:p w14:paraId="058ED6C1">
            <w:pPr>
              <w:spacing w:line="253" w:lineRule="auto"/>
              <w:rPr>
                <w:rFonts w:ascii="Arial"/>
                <w:sz w:val="21"/>
                <w:highlight w:val="none"/>
              </w:rPr>
            </w:pPr>
          </w:p>
          <w:p w14:paraId="02BC0223">
            <w:pPr>
              <w:spacing w:line="253" w:lineRule="auto"/>
              <w:rPr>
                <w:rFonts w:ascii="Arial"/>
                <w:sz w:val="21"/>
                <w:highlight w:val="none"/>
              </w:rPr>
            </w:pPr>
          </w:p>
          <w:p w14:paraId="3D29EF3F">
            <w:pPr>
              <w:spacing w:line="253" w:lineRule="auto"/>
              <w:rPr>
                <w:rFonts w:ascii="Arial"/>
                <w:sz w:val="21"/>
                <w:highlight w:val="none"/>
              </w:rPr>
            </w:pPr>
          </w:p>
          <w:p w14:paraId="419449D0">
            <w:pPr>
              <w:spacing w:line="253" w:lineRule="auto"/>
              <w:rPr>
                <w:rFonts w:ascii="Arial"/>
                <w:sz w:val="21"/>
                <w:highlight w:val="none"/>
              </w:rPr>
            </w:pPr>
          </w:p>
          <w:p w14:paraId="467CADB0">
            <w:pPr>
              <w:spacing w:line="254" w:lineRule="auto"/>
              <w:rPr>
                <w:rFonts w:ascii="Arial"/>
                <w:sz w:val="21"/>
                <w:highlight w:val="none"/>
              </w:rPr>
            </w:pPr>
          </w:p>
          <w:p w14:paraId="2F80695A">
            <w:pPr>
              <w:spacing w:line="254" w:lineRule="auto"/>
              <w:rPr>
                <w:rFonts w:ascii="Arial"/>
                <w:sz w:val="21"/>
                <w:highlight w:val="none"/>
              </w:rPr>
            </w:pPr>
          </w:p>
          <w:p w14:paraId="58978801">
            <w:pPr>
              <w:spacing w:line="254" w:lineRule="auto"/>
              <w:rPr>
                <w:rFonts w:ascii="Arial"/>
                <w:sz w:val="21"/>
                <w:highlight w:val="none"/>
              </w:rPr>
            </w:pPr>
          </w:p>
          <w:p w14:paraId="3D6C13E0">
            <w:pPr>
              <w:pStyle w:val="31"/>
              <w:spacing w:before="65" w:line="228" w:lineRule="auto"/>
              <w:ind w:left="273"/>
              <w:rPr>
                <w:highlight w:val="none"/>
              </w:rPr>
            </w:pPr>
            <w:r>
              <w:rPr>
                <w:spacing w:val="-5"/>
                <w:highlight w:val="none"/>
              </w:rPr>
              <w:t>15</w:t>
            </w:r>
            <w:r>
              <w:rPr>
                <w:spacing w:val="-38"/>
                <w:highlight w:val="none"/>
              </w:rPr>
              <w:t xml:space="preserve"> </w:t>
            </w:r>
            <w:r>
              <w:rPr>
                <w:spacing w:val="-5"/>
                <w:highlight w:val="none"/>
              </w:rPr>
              <w:t>分</w:t>
            </w:r>
          </w:p>
        </w:tc>
        <w:tc>
          <w:tcPr>
            <w:tcW w:w="1607" w:type="dxa"/>
            <w:vAlign w:val="top"/>
          </w:tcPr>
          <w:p w14:paraId="60048EF4">
            <w:pPr>
              <w:spacing w:line="243" w:lineRule="auto"/>
              <w:rPr>
                <w:rFonts w:ascii="Arial"/>
                <w:sz w:val="21"/>
                <w:highlight w:val="none"/>
              </w:rPr>
            </w:pPr>
          </w:p>
          <w:p w14:paraId="20D38ABD">
            <w:pPr>
              <w:spacing w:line="243" w:lineRule="auto"/>
              <w:rPr>
                <w:rFonts w:ascii="Arial"/>
                <w:sz w:val="21"/>
                <w:highlight w:val="none"/>
              </w:rPr>
            </w:pPr>
          </w:p>
          <w:p w14:paraId="58E1C497">
            <w:pPr>
              <w:spacing w:line="243" w:lineRule="auto"/>
              <w:rPr>
                <w:rFonts w:ascii="Arial"/>
                <w:sz w:val="21"/>
                <w:highlight w:val="none"/>
              </w:rPr>
            </w:pPr>
          </w:p>
          <w:p w14:paraId="673F086D">
            <w:pPr>
              <w:spacing w:line="243" w:lineRule="auto"/>
              <w:rPr>
                <w:rFonts w:ascii="Arial"/>
                <w:sz w:val="21"/>
                <w:highlight w:val="none"/>
              </w:rPr>
            </w:pPr>
          </w:p>
          <w:p w14:paraId="1518A2DD">
            <w:pPr>
              <w:spacing w:line="243" w:lineRule="auto"/>
              <w:rPr>
                <w:rFonts w:ascii="Arial"/>
                <w:sz w:val="21"/>
                <w:highlight w:val="none"/>
              </w:rPr>
            </w:pPr>
          </w:p>
          <w:p w14:paraId="5876BE58">
            <w:pPr>
              <w:spacing w:line="243" w:lineRule="auto"/>
              <w:rPr>
                <w:rFonts w:ascii="Arial"/>
                <w:sz w:val="21"/>
                <w:highlight w:val="none"/>
              </w:rPr>
            </w:pPr>
          </w:p>
          <w:p w14:paraId="22FC98E0">
            <w:pPr>
              <w:spacing w:line="243" w:lineRule="auto"/>
              <w:rPr>
                <w:rFonts w:ascii="Arial"/>
                <w:sz w:val="21"/>
                <w:highlight w:val="none"/>
              </w:rPr>
            </w:pPr>
          </w:p>
          <w:p w14:paraId="6A3C88CA">
            <w:pPr>
              <w:spacing w:line="243" w:lineRule="auto"/>
              <w:rPr>
                <w:rFonts w:ascii="Arial"/>
                <w:sz w:val="21"/>
                <w:highlight w:val="none"/>
              </w:rPr>
            </w:pPr>
          </w:p>
          <w:p w14:paraId="1400C136">
            <w:pPr>
              <w:spacing w:line="243" w:lineRule="auto"/>
              <w:rPr>
                <w:rFonts w:ascii="Arial"/>
                <w:sz w:val="21"/>
                <w:highlight w:val="none"/>
              </w:rPr>
            </w:pPr>
          </w:p>
          <w:p w14:paraId="3C476EB3">
            <w:pPr>
              <w:spacing w:line="243" w:lineRule="auto"/>
              <w:rPr>
                <w:rFonts w:ascii="Arial"/>
                <w:sz w:val="21"/>
                <w:highlight w:val="none"/>
              </w:rPr>
            </w:pPr>
          </w:p>
          <w:p w14:paraId="070583AB">
            <w:pPr>
              <w:spacing w:line="243" w:lineRule="auto"/>
              <w:rPr>
                <w:rFonts w:ascii="Arial"/>
                <w:sz w:val="21"/>
                <w:highlight w:val="none"/>
              </w:rPr>
            </w:pPr>
          </w:p>
          <w:p w14:paraId="4F461A98">
            <w:pPr>
              <w:spacing w:line="243" w:lineRule="auto"/>
              <w:rPr>
                <w:rFonts w:ascii="Arial"/>
                <w:sz w:val="21"/>
                <w:highlight w:val="none"/>
              </w:rPr>
            </w:pPr>
          </w:p>
          <w:p w14:paraId="34435F27">
            <w:pPr>
              <w:spacing w:line="244" w:lineRule="auto"/>
              <w:rPr>
                <w:rFonts w:ascii="Arial"/>
                <w:sz w:val="21"/>
                <w:highlight w:val="none"/>
              </w:rPr>
            </w:pPr>
          </w:p>
          <w:p w14:paraId="0513FF54">
            <w:pPr>
              <w:spacing w:line="244" w:lineRule="auto"/>
              <w:rPr>
                <w:rFonts w:ascii="Arial"/>
                <w:sz w:val="21"/>
                <w:highlight w:val="none"/>
              </w:rPr>
            </w:pPr>
          </w:p>
          <w:p w14:paraId="42B495EC">
            <w:pPr>
              <w:pStyle w:val="31"/>
              <w:spacing w:before="65" w:line="314" w:lineRule="auto"/>
              <w:ind w:left="702" w:right="71" w:hanging="630"/>
              <w:rPr>
                <w:highlight w:val="none"/>
              </w:rPr>
            </w:pPr>
            <w:r>
              <w:rPr>
                <w:spacing w:val="8"/>
                <w:highlight w:val="none"/>
              </w:rPr>
              <w:t>投标人的信誉情</w:t>
            </w:r>
            <w:r>
              <w:rPr>
                <w:highlight w:val="none"/>
              </w:rPr>
              <w:t>况</w:t>
            </w:r>
          </w:p>
        </w:tc>
        <w:tc>
          <w:tcPr>
            <w:tcW w:w="673" w:type="dxa"/>
            <w:tcBorders>
              <w:bottom w:val="single" w:color="000000" w:sz="4" w:space="0"/>
            </w:tcBorders>
            <w:vAlign w:val="top"/>
          </w:tcPr>
          <w:p w14:paraId="4B8A038B">
            <w:pPr>
              <w:spacing w:line="255" w:lineRule="auto"/>
              <w:rPr>
                <w:rFonts w:ascii="Arial"/>
                <w:sz w:val="21"/>
                <w:highlight w:val="none"/>
              </w:rPr>
            </w:pPr>
          </w:p>
          <w:p w14:paraId="4DFFDE80">
            <w:pPr>
              <w:spacing w:line="255" w:lineRule="auto"/>
              <w:rPr>
                <w:rFonts w:ascii="Arial"/>
                <w:sz w:val="21"/>
                <w:highlight w:val="none"/>
              </w:rPr>
            </w:pPr>
          </w:p>
          <w:p w14:paraId="2793845B">
            <w:pPr>
              <w:spacing w:line="255" w:lineRule="auto"/>
              <w:rPr>
                <w:rFonts w:ascii="Arial"/>
                <w:sz w:val="21"/>
                <w:highlight w:val="none"/>
              </w:rPr>
            </w:pPr>
          </w:p>
          <w:p w14:paraId="4041EDC9">
            <w:pPr>
              <w:spacing w:line="255" w:lineRule="auto"/>
              <w:rPr>
                <w:rFonts w:ascii="Arial"/>
                <w:sz w:val="21"/>
                <w:highlight w:val="none"/>
              </w:rPr>
            </w:pPr>
          </w:p>
          <w:p w14:paraId="55F2CB0F">
            <w:pPr>
              <w:spacing w:line="255" w:lineRule="auto"/>
              <w:rPr>
                <w:rFonts w:ascii="Arial"/>
                <w:sz w:val="21"/>
                <w:highlight w:val="none"/>
              </w:rPr>
            </w:pPr>
          </w:p>
          <w:p w14:paraId="685D96FA">
            <w:pPr>
              <w:spacing w:line="255" w:lineRule="auto"/>
              <w:rPr>
                <w:rFonts w:ascii="Arial"/>
                <w:sz w:val="21"/>
                <w:highlight w:val="none"/>
              </w:rPr>
            </w:pPr>
          </w:p>
          <w:p w14:paraId="52B13B4D">
            <w:pPr>
              <w:spacing w:line="255" w:lineRule="auto"/>
              <w:rPr>
                <w:rFonts w:ascii="Arial"/>
                <w:sz w:val="21"/>
                <w:highlight w:val="none"/>
              </w:rPr>
            </w:pPr>
          </w:p>
          <w:p w14:paraId="4C235DBA">
            <w:pPr>
              <w:spacing w:line="255" w:lineRule="auto"/>
              <w:rPr>
                <w:rFonts w:ascii="Arial"/>
                <w:sz w:val="21"/>
                <w:highlight w:val="none"/>
              </w:rPr>
            </w:pPr>
          </w:p>
          <w:p w14:paraId="0FADE6C8">
            <w:pPr>
              <w:spacing w:line="255" w:lineRule="auto"/>
              <w:rPr>
                <w:rFonts w:ascii="Arial"/>
                <w:sz w:val="21"/>
                <w:highlight w:val="none"/>
              </w:rPr>
            </w:pPr>
          </w:p>
          <w:p w14:paraId="52966537">
            <w:pPr>
              <w:spacing w:line="255" w:lineRule="auto"/>
              <w:rPr>
                <w:rFonts w:ascii="Arial"/>
                <w:sz w:val="21"/>
                <w:highlight w:val="none"/>
              </w:rPr>
            </w:pPr>
          </w:p>
          <w:p w14:paraId="56687EE5">
            <w:pPr>
              <w:spacing w:line="255" w:lineRule="auto"/>
              <w:rPr>
                <w:rFonts w:ascii="Arial"/>
                <w:sz w:val="21"/>
                <w:highlight w:val="none"/>
              </w:rPr>
            </w:pPr>
          </w:p>
          <w:p w14:paraId="17FA596B">
            <w:pPr>
              <w:spacing w:line="255" w:lineRule="auto"/>
              <w:rPr>
                <w:rFonts w:ascii="Arial"/>
                <w:sz w:val="21"/>
                <w:highlight w:val="none"/>
              </w:rPr>
            </w:pPr>
          </w:p>
          <w:p w14:paraId="7060A7B0">
            <w:pPr>
              <w:spacing w:line="255" w:lineRule="auto"/>
              <w:rPr>
                <w:rFonts w:ascii="Arial"/>
                <w:sz w:val="21"/>
                <w:highlight w:val="none"/>
              </w:rPr>
            </w:pPr>
          </w:p>
          <w:p w14:paraId="43A59498">
            <w:pPr>
              <w:spacing w:line="256" w:lineRule="auto"/>
              <w:rPr>
                <w:rFonts w:ascii="Arial"/>
                <w:sz w:val="21"/>
                <w:highlight w:val="none"/>
              </w:rPr>
            </w:pPr>
          </w:p>
          <w:p w14:paraId="146ABB7E">
            <w:pPr>
              <w:pStyle w:val="31"/>
              <w:spacing w:before="65" w:line="268" w:lineRule="exact"/>
              <w:ind w:left="252"/>
              <w:rPr>
                <w:highlight w:val="none"/>
              </w:rPr>
            </w:pPr>
            <w:r>
              <w:rPr>
                <w:spacing w:val="-7"/>
                <w:position w:val="1"/>
                <w:highlight w:val="none"/>
              </w:rPr>
              <w:t>15</w:t>
            </w:r>
          </w:p>
        </w:tc>
        <w:tc>
          <w:tcPr>
            <w:tcW w:w="4435" w:type="dxa"/>
            <w:tcBorders>
              <w:right w:val="single" w:color="000000" w:sz="10" w:space="0"/>
            </w:tcBorders>
            <w:vAlign w:val="top"/>
          </w:tcPr>
          <w:p w14:paraId="61ED5382">
            <w:pPr>
              <w:pStyle w:val="31"/>
              <w:spacing w:before="89" w:line="226" w:lineRule="auto"/>
              <w:ind w:left="33"/>
              <w:rPr>
                <w:highlight w:val="none"/>
              </w:rPr>
            </w:pPr>
            <w:r>
              <w:rPr>
                <w:spacing w:val="3"/>
                <w:highlight w:val="none"/>
              </w:rPr>
              <w:t xml:space="preserve">信用评价 </w:t>
            </w:r>
            <w:r>
              <w:rPr>
                <w:highlight w:val="none"/>
              </w:rPr>
              <w:t>AA</w:t>
            </w:r>
            <w:r>
              <w:rPr>
                <w:spacing w:val="20"/>
                <w:highlight w:val="none"/>
              </w:rPr>
              <w:t xml:space="preserve"> </w:t>
            </w:r>
            <w:r>
              <w:rPr>
                <w:spacing w:val="3"/>
                <w:highlight w:val="none"/>
              </w:rPr>
              <w:t>级得</w:t>
            </w:r>
            <w:r>
              <w:rPr>
                <w:spacing w:val="31"/>
                <w:highlight w:val="none"/>
              </w:rPr>
              <w:t xml:space="preserve"> </w:t>
            </w:r>
            <w:r>
              <w:rPr>
                <w:spacing w:val="3"/>
                <w:highlight w:val="none"/>
              </w:rPr>
              <w:t>15</w:t>
            </w:r>
            <w:r>
              <w:rPr>
                <w:spacing w:val="15"/>
                <w:highlight w:val="none"/>
              </w:rPr>
              <w:t xml:space="preserve"> </w:t>
            </w:r>
            <w:r>
              <w:rPr>
                <w:spacing w:val="3"/>
                <w:highlight w:val="none"/>
              </w:rPr>
              <w:t>分；</w:t>
            </w:r>
          </w:p>
          <w:p w14:paraId="678C9742">
            <w:pPr>
              <w:pStyle w:val="31"/>
              <w:spacing w:before="95" w:line="226" w:lineRule="auto"/>
              <w:ind w:left="33"/>
              <w:rPr>
                <w:highlight w:val="none"/>
              </w:rPr>
            </w:pPr>
            <w:r>
              <w:rPr>
                <w:spacing w:val="2"/>
                <w:highlight w:val="none"/>
              </w:rPr>
              <w:t>信用评价 A</w:t>
            </w:r>
            <w:r>
              <w:rPr>
                <w:spacing w:val="23"/>
                <w:highlight w:val="none"/>
              </w:rPr>
              <w:t xml:space="preserve"> </w:t>
            </w:r>
            <w:r>
              <w:rPr>
                <w:spacing w:val="2"/>
                <w:highlight w:val="none"/>
              </w:rPr>
              <w:t>级得</w:t>
            </w:r>
            <w:r>
              <w:rPr>
                <w:spacing w:val="32"/>
                <w:highlight w:val="none"/>
              </w:rPr>
              <w:t xml:space="preserve"> </w:t>
            </w:r>
            <w:r>
              <w:rPr>
                <w:spacing w:val="2"/>
                <w:highlight w:val="none"/>
              </w:rPr>
              <w:t>12</w:t>
            </w:r>
            <w:r>
              <w:rPr>
                <w:spacing w:val="15"/>
                <w:highlight w:val="none"/>
              </w:rPr>
              <w:t xml:space="preserve"> </w:t>
            </w:r>
            <w:r>
              <w:rPr>
                <w:spacing w:val="2"/>
                <w:highlight w:val="none"/>
              </w:rPr>
              <w:t>分；</w:t>
            </w:r>
          </w:p>
          <w:p w14:paraId="110FF80B">
            <w:pPr>
              <w:pStyle w:val="31"/>
              <w:spacing w:before="93" w:line="226" w:lineRule="auto"/>
              <w:ind w:left="33"/>
              <w:rPr>
                <w:highlight w:val="none"/>
              </w:rPr>
            </w:pPr>
            <w:r>
              <w:rPr>
                <w:spacing w:val="3"/>
                <w:highlight w:val="none"/>
              </w:rPr>
              <w:t>信用评价 B</w:t>
            </w:r>
            <w:r>
              <w:rPr>
                <w:spacing w:val="23"/>
                <w:highlight w:val="none"/>
              </w:rPr>
              <w:t xml:space="preserve"> </w:t>
            </w:r>
            <w:r>
              <w:rPr>
                <w:spacing w:val="3"/>
                <w:highlight w:val="none"/>
              </w:rPr>
              <w:t>级得</w:t>
            </w:r>
            <w:r>
              <w:rPr>
                <w:spacing w:val="17"/>
                <w:highlight w:val="none"/>
              </w:rPr>
              <w:t xml:space="preserve"> </w:t>
            </w:r>
            <w:r>
              <w:rPr>
                <w:spacing w:val="3"/>
                <w:highlight w:val="none"/>
              </w:rPr>
              <w:t>9</w:t>
            </w:r>
            <w:r>
              <w:rPr>
                <w:spacing w:val="18"/>
                <w:highlight w:val="none"/>
              </w:rPr>
              <w:t xml:space="preserve"> </w:t>
            </w:r>
            <w:r>
              <w:rPr>
                <w:spacing w:val="3"/>
                <w:highlight w:val="none"/>
              </w:rPr>
              <w:t>分；</w:t>
            </w:r>
          </w:p>
          <w:p w14:paraId="563D08D3">
            <w:pPr>
              <w:pStyle w:val="31"/>
              <w:spacing w:before="96" w:line="226" w:lineRule="auto"/>
              <w:ind w:left="33"/>
              <w:rPr>
                <w:highlight w:val="none"/>
              </w:rPr>
            </w:pPr>
            <w:r>
              <w:rPr>
                <w:spacing w:val="3"/>
                <w:highlight w:val="none"/>
              </w:rPr>
              <w:t>信用评价 C</w:t>
            </w:r>
            <w:r>
              <w:rPr>
                <w:spacing w:val="23"/>
                <w:highlight w:val="none"/>
              </w:rPr>
              <w:t xml:space="preserve"> </w:t>
            </w:r>
            <w:r>
              <w:rPr>
                <w:spacing w:val="3"/>
                <w:highlight w:val="none"/>
              </w:rPr>
              <w:t>级得</w:t>
            </w:r>
            <w:r>
              <w:rPr>
                <w:spacing w:val="17"/>
                <w:highlight w:val="none"/>
              </w:rPr>
              <w:t xml:space="preserve"> </w:t>
            </w:r>
            <w:r>
              <w:rPr>
                <w:spacing w:val="3"/>
                <w:highlight w:val="none"/>
              </w:rPr>
              <w:t>6</w:t>
            </w:r>
            <w:r>
              <w:rPr>
                <w:spacing w:val="18"/>
                <w:highlight w:val="none"/>
              </w:rPr>
              <w:t xml:space="preserve"> </w:t>
            </w:r>
            <w:r>
              <w:rPr>
                <w:spacing w:val="3"/>
                <w:highlight w:val="none"/>
              </w:rPr>
              <w:t>分；</w:t>
            </w:r>
          </w:p>
          <w:p w14:paraId="4E0CCAC4">
            <w:pPr>
              <w:pStyle w:val="31"/>
              <w:spacing w:before="96" w:line="226" w:lineRule="auto"/>
              <w:ind w:left="33"/>
              <w:rPr>
                <w:highlight w:val="none"/>
              </w:rPr>
            </w:pPr>
            <w:r>
              <w:rPr>
                <w:spacing w:val="3"/>
                <w:highlight w:val="none"/>
              </w:rPr>
              <w:t>信用评价 D</w:t>
            </w:r>
            <w:r>
              <w:rPr>
                <w:spacing w:val="17"/>
                <w:highlight w:val="none"/>
              </w:rPr>
              <w:t xml:space="preserve"> </w:t>
            </w:r>
            <w:r>
              <w:rPr>
                <w:spacing w:val="3"/>
                <w:highlight w:val="none"/>
              </w:rPr>
              <w:t>级</w:t>
            </w:r>
            <w:r>
              <w:rPr>
                <w:spacing w:val="17"/>
                <w:highlight w:val="none"/>
              </w:rPr>
              <w:t xml:space="preserve"> </w:t>
            </w:r>
            <w:r>
              <w:rPr>
                <w:spacing w:val="3"/>
                <w:highlight w:val="none"/>
              </w:rPr>
              <w:t>0</w:t>
            </w:r>
            <w:r>
              <w:rPr>
                <w:spacing w:val="15"/>
                <w:highlight w:val="none"/>
              </w:rPr>
              <w:t xml:space="preserve"> </w:t>
            </w:r>
            <w:r>
              <w:rPr>
                <w:spacing w:val="3"/>
                <w:highlight w:val="none"/>
              </w:rPr>
              <w:t>分。</w:t>
            </w:r>
          </w:p>
          <w:p w14:paraId="3D8052A0">
            <w:pPr>
              <w:pStyle w:val="31"/>
              <w:spacing w:before="92" w:line="315" w:lineRule="auto"/>
              <w:ind w:left="43" w:right="196" w:hanging="10"/>
              <w:rPr>
                <w:highlight w:val="none"/>
              </w:rPr>
            </w:pPr>
            <w:r>
              <w:rPr>
                <w:spacing w:val="9"/>
                <w:highlight w:val="none"/>
              </w:rPr>
              <w:t>注：投标人的信用评价等级按照以下原则认定</w:t>
            </w:r>
            <w:r>
              <w:rPr>
                <w:spacing w:val="8"/>
                <w:highlight w:val="none"/>
              </w:rPr>
              <w:t>（如不具备前一条，则依次应用下一条</w:t>
            </w:r>
            <w:r>
              <w:rPr>
                <w:spacing w:val="6"/>
                <w:highlight w:val="none"/>
              </w:rPr>
              <w:t>）：</w:t>
            </w:r>
          </w:p>
          <w:p w14:paraId="5CE07558">
            <w:pPr>
              <w:pStyle w:val="31"/>
              <w:spacing w:before="3" w:line="313" w:lineRule="auto"/>
              <w:ind w:left="35" w:right="18" w:firstLine="8"/>
              <w:rPr>
                <w:highlight w:val="none"/>
              </w:rPr>
            </w:pPr>
            <w:r>
              <w:rPr>
                <w:spacing w:val="5"/>
                <w:highlight w:val="none"/>
              </w:rPr>
              <w:t>（1）采用吉林省公路管理局</w:t>
            </w:r>
            <w:r>
              <w:rPr>
                <w:spacing w:val="-20"/>
                <w:highlight w:val="none"/>
              </w:rPr>
              <w:t xml:space="preserve"> </w:t>
            </w:r>
            <w:r>
              <w:rPr>
                <w:spacing w:val="5"/>
                <w:highlight w:val="none"/>
              </w:rPr>
              <w:t>2024</w:t>
            </w:r>
            <w:r>
              <w:rPr>
                <w:spacing w:val="-39"/>
                <w:highlight w:val="none"/>
              </w:rPr>
              <w:t xml:space="preserve"> </w:t>
            </w:r>
            <w:r>
              <w:rPr>
                <w:spacing w:val="5"/>
                <w:highlight w:val="none"/>
              </w:rPr>
              <w:t>年度普通干线</w:t>
            </w:r>
            <w:r>
              <w:rPr>
                <w:spacing w:val="9"/>
                <w:highlight w:val="none"/>
              </w:rPr>
              <w:t>公路日常养护企业信用评价公告中投标人评价</w:t>
            </w:r>
            <w:r>
              <w:rPr>
                <w:spacing w:val="2"/>
                <w:highlight w:val="none"/>
              </w:rPr>
              <w:t>等级。</w:t>
            </w:r>
          </w:p>
          <w:p w14:paraId="03BCB5E1">
            <w:pPr>
              <w:pStyle w:val="31"/>
              <w:spacing w:before="3" w:line="313" w:lineRule="auto"/>
              <w:ind w:left="38" w:right="18" w:firstLine="5"/>
              <w:rPr>
                <w:highlight w:val="none"/>
              </w:rPr>
            </w:pPr>
            <w:r>
              <w:rPr>
                <w:spacing w:val="5"/>
                <w:highlight w:val="none"/>
              </w:rPr>
              <w:t>（2）采用吉林省公路管理局</w:t>
            </w:r>
            <w:r>
              <w:rPr>
                <w:spacing w:val="-20"/>
                <w:highlight w:val="none"/>
              </w:rPr>
              <w:t xml:space="preserve"> </w:t>
            </w:r>
            <w:r>
              <w:rPr>
                <w:spacing w:val="5"/>
                <w:highlight w:val="none"/>
              </w:rPr>
              <w:t>2024</w:t>
            </w:r>
            <w:r>
              <w:rPr>
                <w:spacing w:val="-39"/>
                <w:highlight w:val="none"/>
              </w:rPr>
              <w:t xml:space="preserve"> </w:t>
            </w:r>
            <w:r>
              <w:rPr>
                <w:spacing w:val="5"/>
                <w:highlight w:val="none"/>
              </w:rPr>
              <w:t>年度普通干线</w:t>
            </w:r>
            <w:r>
              <w:rPr>
                <w:spacing w:val="9"/>
                <w:highlight w:val="none"/>
              </w:rPr>
              <w:t>公路养护工程企业信用评价公告及调整结果公</w:t>
            </w:r>
            <w:r>
              <w:rPr>
                <w:spacing w:val="7"/>
                <w:highlight w:val="none"/>
              </w:rPr>
              <w:t>告中投标人评价等级。</w:t>
            </w:r>
          </w:p>
          <w:p w14:paraId="2D71B4FA">
            <w:pPr>
              <w:pStyle w:val="31"/>
              <w:spacing w:before="2" w:line="313" w:lineRule="auto"/>
              <w:ind w:left="33" w:right="18" w:firstLine="10"/>
              <w:rPr>
                <w:highlight w:val="none"/>
              </w:rPr>
            </w:pPr>
            <w:r>
              <w:rPr>
                <w:spacing w:val="5"/>
                <w:highlight w:val="none"/>
              </w:rPr>
              <w:t>（3）采用投标人在交通运输部关于公布</w:t>
            </w:r>
            <w:r>
              <w:rPr>
                <w:spacing w:val="-20"/>
                <w:highlight w:val="none"/>
              </w:rPr>
              <w:t xml:space="preserve"> </w:t>
            </w:r>
            <w:r>
              <w:rPr>
                <w:spacing w:val="5"/>
                <w:highlight w:val="none"/>
              </w:rPr>
              <w:t>2024</w:t>
            </w:r>
            <w:r>
              <w:rPr>
                <w:spacing w:val="-39"/>
                <w:highlight w:val="none"/>
              </w:rPr>
              <w:t xml:space="preserve"> </w:t>
            </w:r>
            <w:r>
              <w:rPr>
                <w:spacing w:val="5"/>
                <w:highlight w:val="none"/>
              </w:rPr>
              <w:t>年</w:t>
            </w:r>
            <w:r>
              <w:rPr>
                <w:spacing w:val="9"/>
                <w:highlight w:val="none"/>
              </w:rPr>
              <w:t>度公路建设市场全国综合信用评价结果的公告</w:t>
            </w:r>
            <w:r>
              <w:rPr>
                <w:spacing w:val="7"/>
                <w:highlight w:val="none"/>
              </w:rPr>
              <w:t>中</w:t>
            </w:r>
            <w:r>
              <w:rPr>
                <w:spacing w:val="-20"/>
                <w:highlight w:val="none"/>
              </w:rPr>
              <w:t xml:space="preserve"> </w:t>
            </w:r>
            <w:r>
              <w:rPr>
                <w:spacing w:val="7"/>
                <w:highlight w:val="none"/>
              </w:rPr>
              <w:t>2024</w:t>
            </w:r>
            <w:r>
              <w:rPr>
                <w:spacing w:val="-40"/>
                <w:highlight w:val="none"/>
              </w:rPr>
              <w:t xml:space="preserve"> </w:t>
            </w:r>
            <w:r>
              <w:rPr>
                <w:spacing w:val="7"/>
                <w:highlight w:val="none"/>
              </w:rPr>
              <w:t>年度公路施工企业全国综合信用评价结</w:t>
            </w:r>
            <w:r>
              <w:rPr>
                <w:spacing w:val="8"/>
                <w:highlight w:val="none"/>
              </w:rPr>
              <w:t>果汇总表中的投标人评价等级。</w:t>
            </w:r>
          </w:p>
          <w:p w14:paraId="2BA29B07">
            <w:pPr>
              <w:pStyle w:val="31"/>
              <w:spacing w:line="295" w:lineRule="auto"/>
              <w:ind w:left="33" w:right="18" w:firstLine="10"/>
              <w:rPr>
                <w:highlight w:val="none"/>
              </w:rPr>
            </w:pPr>
            <w:r>
              <w:rPr>
                <w:spacing w:val="8"/>
                <w:highlight w:val="none"/>
              </w:rPr>
              <w:t>（4）无以上信用评价等级的，根据“全国公路</w:t>
            </w:r>
            <w:r>
              <w:rPr>
                <w:spacing w:val="6"/>
                <w:highlight w:val="none"/>
              </w:rPr>
              <w:t>建设市场监督管理系统--不良行为记录</w:t>
            </w:r>
            <w:r>
              <w:rPr>
                <w:spacing w:val="-65"/>
                <w:highlight w:val="none"/>
              </w:rPr>
              <w:t xml:space="preserve"> </w:t>
            </w:r>
            <w:r>
              <w:rPr>
                <w:spacing w:val="6"/>
                <w:highlight w:val="none"/>
              </w:rPr>
              <w:t>”查询结</w:t>
            </w:r>
            <w:r>
              <w:rPr>
                <w:spacing w:val="9"/>
                <w:highlight w:val="none"/>
              </w:rPr>
              <w:t>果，若无不良信用记录，按 A 级对待，</w:t>
            </w:r>
            <w:r>
              <w:rPr>
                <w:spacing w:val="8"/>
                <w:highlight w:val="none"/>
              </w:rPr>
              <w:t>如有不</w:t>
            </w:r>
            <w:r>
              <w:rPr>
                <w:spacing w:val="9"/>
                <w:highlight w:val="none"/>
              </w:rPr>
              <w:t>良信用记录，视其严重程度按 B 级或以</w:t>
            </w:r>
            <w:r>
              <w:rPr>
                <w:spacing w:val="8"/>
                <w:highlight w:val="none"/>
              </w:rPr>
              <w:t>下等级</w:t>
            </w:r>
            <w:r>
              <w:rPr>
                <w:spacing w:val="3"/>
                <w:highlight w:val="none"/>
              </w:rPr>
              <w:t>对待。</w:t>
            </w:r>
          </w:p>
        </w:tc>
      </w:tr>
      <w:tr w14:paraId="73B8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5" w:hRule="atLeast"/>
        </w:trPr>
        <w:tc>
          <w:tcPr>
            <w:tcW w:w="9444" w:type="dxa"/>
            <w:gridSpan w:val="7"/>
            <w:tcBorders>
              <w:left w:val="single" w:color="000000" w:sz="10" w:space="0"/>
              <w:right w:val="single" w:color="000000" w:sz="10" w:space="0"/>
            </w:tcBorders>
            <w:vAlign w:val="top"/>
          </w:tcPr>
          <w:p w14:paraId="7832E964">
            <w:pPr>
              <w:pStyle w:val="31"/>
              <w:spacing w:before="35" w:line="228" w:lineRule="auto"/>
              <w:ind w:left="38"/>
              <w:rPr>
                <w:highlight w:val="none"/>
              </w:rPr>
            </w:pPr>
            <w:r>
              <w:rPr>
                <w:spacing w:val="6"/>
                <w:highlight w:val="none"/>
              </w:rPr>
              <w:t>需要补充的其他内容：</w:t>
            </w:r>
          </w:p>
          <w:p w14:paraId="3BE8CF90">
            <w:pPr>
              <w:pStyle w:val="31"/>
              <w:spacing w:before="160" w:line="378" w:lineRule="auto"/>
              <w:ind w:left="27" w:right="18" w:firstLine="429"/>
              <w:rPr>
                <w:highlight w:val="none"/>
              </w:rPr>
            </w:pPr>
            <w:r>
              <w:rPr>
                <w:spacing w:val="7"/>
                <w:highlight w:val="none"/>
              </w:rPr>
              <w:t>（一）投标文件的技术方案部分采用“暗标</w:t>
            </w:r>
            <w:r>
              <w:rPr>
                <w:spacing w:val="-59"/>
                <w:highlight w:val="none"/>
              </w:rPr>
              <w:t xml:space="preserve"> </w:t>
            </w:r>
            <w:r>
              <w:rPr>
                <w:spacing w:val="7"/>
                <w:highlight w:val="none"/>
              </w:rPr>
              <w:t>”形式，如果技术方案出现能识别投标人的内容，经评</w:t>
            </w:r>
            <w:r>
              <w:rPr>
                <w:spacing w:val="8"/>
                <w:highlight w:val="none"/>
              </w:rPr>
              <w:t>标委员会确定后，将否决其投标。</w:t>
            </w:r>
          </w:p>
          <w:p w14:paraId="34EF56FA">
            <w:pPr>
              <w:pStyle w:val="31"/>
              <w:spacing w:line="227" w:lineRule="auto"/>
              <w:ind w:left="456"/>
              <w:rPr>
                <w:highlight w:val="none"/>
              </w:rPr>
            </w:pPr>
            <w:r>
              <w:rPr>
                <w:spacing w:val="9"/>
                <w:highlight w:val="none"/>
              </w:rPr>
              <w:t>（二）如同一标段出现多名投标人的商务和技术得分相等时，则按照以下优先顺序进行排序：</w:t>
            </w:r>
          </w:p>
          <w:p w14:paraId="6E6429FC">
            <w:pPr>
              <w:pStyle w:val="31"/>
              <w:spacing w:before="161" w:line="227" w:lineRule="auto"/>
              <w:ind w:left="462"/>
              <w:rPr>
                <w:highlight w:val="none"/>
              </w:rPr>
            </w:pPr>
            <w:r>
              <w:rPr>
                <w:spacing w:val="6"/>
                <w:highlight w:val="none"/>
              </w:rPr>
              <w:t>1. 履约信誉得分较高的投标人；</w:t>
            </w:r>
          </w:p>
          <w:p w14:paraId="26839661">
            <w:pPr>
              <w:pStyle w:val="31"/>
              <w:spacing w:before="161" w:line="228" w:lineRule="auto"/>
              <w:ind w:left="449"/>
              <w:rPr>
                <w:highlight w:val="none"/>
              </w:rPr>
            </w:pPr>
            <w:r>
              <w:rPr>
                <w:spacing w:val="7"/>
                <w:highlight w:val="none"/>
              </w:rPr>
              <w:t>2. 技术方案得分较高的投标人；</w:t>
            </w:r>
          </w:p>
          <w:p w14:paraId="44B53534">
            <w:pPr>
              <w:pStyle w:val="31"/>
              <w:spacing w:before="164" w:line="228" w:lineRule="auto"/>
              <w:ind w:left="450"/>
              <w:rPr>
                <w:highlight w:val="none"/>
              </w:rPr>
            </w:pPr>
            <w:r>
              <w:rPr>
                <w:spacing w:val="7"/>
                <w:highlight w:val="none"/>
              </w:rPr>
              <w:t>3. 主要人员得分较高的投标人。</w:t>
            </w:r>
          </w:p>
          <w:p w14:paraId="42E2B096">
            <w:pPr>
              <w:pStyle w:val="31"/>
              <w:spacing w:before="160" w:line="377" w:lineRule="auto"/>
              <w:ind w:left="25" w:right="18" w:firstLine="421"/>
              <w:rPr>
                <w:highlight w:val="none"/>
              </w:rPr>
            </w:pPr>
            <w:r>
              <w:rPr>
                <w:spacing w:val="8"/>
                <w:highlight w:val="none"/>
              </w:rPr>
              <w:t>若以上各项评分因素得分都相等，则通过评委会投票表决，推荐票数多的投标人商务和技术得分排</w:t>
            </w:r>
            <w:r>
              <w:rPr>
                <w:spacing w:val="5"/>
                <w:highlight w:val="none"/>
              </w:rPr>
              <w:t>序在先。</w:t>
            </w:r>
          </w:p>
          <w:p w14:paraId="7DFD9894">
            <w:pPr>
              <w:pStyle w:val="31"/>
              <w:spacing w:before="2" w:line="367" w:lineRule="auto"/>
              <w:ind w:left="24" w:right="18" w:firstLine="431"/>
              <w:jc w:val="both"/>
              <w:rPr>
                <w:highlight w:val="none"/>
              </w:rPr>
            </w:pPr>
            <w:r>
              <w:rPr>
                <w:spacing w:val="8"/>
                <w:highlight w:val="none"/>
              </w:rPr>
              <w:t>（三）各评分因素（履约信誉评分项除外）得分一般不得低于</w:t>
            </w:r>
            <w:r>
              <w:rPr>
                <w:spacing w:val="7"/>
                <w:highlight w:val="none"/>
              </w:rPr>
              <w:t>其权重分值的 60%，且各评分因素得</w:t>
            </w:r>
            <w:r>
              <w:rPr>
                <w:spacing w:val="8"/>
                <w:highlight w:val="none"/>
              </w:rPr>
              <w:t>分应以评标委员会各成员的打分平均值确定，评标委员会成员总数为七人以上时，该平均值以去掉一个最高分和一个最低分后计算。评标委员会成员对某一项评分因素的评分低于权重分值 60%的，应在</w:t>
            </w:r>
            <w:r>
              <w:rPr>
                <w:spacing w:val="7"/>
                <w:highlight w:val="none"/>
              </w:rPr>
              <w:t>评标</w:t>
            </w:r>
            <w:r>
              <w:rPr>
                <w:spacing w:val="9"/>
                <w:highlight w:val="none"/>
              </w:rPr>
              <w:t>报告中作出说明。所有评分分值均保留至小数点后两位，小数点后第三位四舍五入。</w:t>
            </w:r>
          </w:p>
        </w:tc>
      </w:tr>
    </w:tbl>
    <w:p w14:paraId="3C2F4459">
      <w:pPr>
        <w:pStyle w:val="24"/>
        <w:tabs>
          <w:tab w:val="left" w:pos="426"/>
        </w:tabs>
        <w:spacing w:line="420" w:lineRule="exact"/>
        <w:jc w:val="left"/>
        <w:outlineLvl w:val="2"/>
        <w:rPr>
          <w:rFonts w:hint="eastAsia" w:asciiTheme="minorEastAsia" w:hAnsiTheme="minorEastAsia" w:eastAsiaTheme="minorEastAsia"/>
          <w:bCs w:val="0"/>
          <w:sz w:val="21"/>
          <w:szCs w:val="21"/>
          <w:highlight w:val="none"/>
        </w:rPr>
      </w:pPr>
      <w:r>
        <w:rPr>
          <w:rFonts w:asciiTheme="minorEastAsia" w:hAnsiTheme="minorEastAsia" w:eastAsiaTheme="minorEastAsia"/>
          <w:bCs w:val="0"/>
          <w:sz w:val="21"/>
          <w:szCs w:val="21"/>
          <w:highlight w:val="none"/>
        </w:rPr>
        <w:t>6.</w:t>
      </w:r>
      <w:r>
        <w:rPr>
          <w:rFonts w:hint="eastAsia" w:asciiTheme="minorEastAsia" w:hAnsiTheme="minorEastAsia" w:eastAsiaTheme="minorEastAsia"/>
          <w:bCs w:val="0"/>
          <w:sz w:val="21"/>
          <w:szCs w:val="21"/>
          <w:highlight w:val="none"/>
        </w:rPr>
        <w:t>公开时间</w:t>
      </w:r>
    </w:p>
    <w:p w14:paraId="7C5DF028">
      <w:pPr>
        <w:adjustRightInd w:val="0"/>
        <w:snapToGrid w:val="0"/>
        <w:ind w:firstLine="420" w:firstLineChars="200"/>
        <w:rPr>
          <w:rFonts w:hint="eastAsia" w:asciiTheme="minorEastAsia" w:hAnsiTheme="minorEastAsia" w:eastAsiaTheme="minorEastAsia"/>
          <w:szCs w:val="21"/>
          <w:highlight w:val="none"/>
        </w:rPr>
      </w:pPr>
      <w:bookmarkStart w:id="22" w:name="_Toc444693693"/>
      <w:bookmarkStart w:id="23" w:name="_Toc356741794"/>
      <w:bookmarkStart w:id="24" w:name="_Toc257655333"/>
      <w:bookmarkStart w:id="25" w:name="_Toc361838108"/>
      <w:r>
        <w:rPr>
          <w:rFonts w:hint="eastAsia" w:ascii="宋体" w:hAnsi="宋体" w:cs="宋体"/>
          <w:highlight w:val="none"/>
        </w:rPr>
        <w:t>本次项目招标文件关键内容信息公开至投标截止之日前10天。</w:t>
      </w:r>
    </w:p>
    <w:p w14:paraId="3AD328F7">
      <w:pPr>
        <w:pStyle w:val="24"/>
        <w:tabs>
          <w:tab w:val="left" w:pos="426"/>
        </w:tabs>
        <w:spacing w:line="360" w:lineRule="exact"/>
        <w:ind w:firstLine="422"/>
        <w:jc w:val="left"/>
        <w:outlineLvl w:val="2"/>
        <w:rPr>
          <w:rFonts w:hint="eastAsia" w:asciiTheme="minorEastAsia" w:hAnsiTheme="minorEastAsia" w:eastAsiaTheme="minorEastAsia"/>
          <w:bCs w:val="0"/>
          <w:sz w:val="21"/>
          <w:szCs w:val="21"/>
          <w:highlight w:val="none"/>
        </w:rPr>
      </w:pPr>
      <w:r>
        <w:rPr>
          <w:rFonts w:hint="eastAsia" w:asciiTheme="minorEastAsia" w:hAnsiTheme="minorEastAsia" w:eastAsiaTheme="minorEastAsia"/>
          <w:bCs w:val="0"/>
          <w:sz w:val="21"/>
          <w:szCs w:val="21"/>
          <w:highlight w:val="none"/>
        </w:rPr>
        <w:t>7.</w:t>
      </w:r>
      <w:bookmarkEnd w:id="22"/>
      <w:bookmarkEnd w:id="23"/>
      <w:bookmarkEnd w:id="24"/>
      <w:bookmarkEnd w:id="25"/>
      <w:bookmarkStart w:id="26" w:name="_Toc460960729"/>
      <w:bookmarkStart w:id="27" w:name="_Toc458772805"/>
      <w:bookmarkStart w:id="28" w:name="_Toc444517394"/>
      <w:r>
        <w:rPr>
          <w:rFonts w:hint="eastAsia" w:asciiTheme="minorEastAsia" w:hAnsiTheme="minorEastAsia" w:eastAsiaTheme="minorEastAsia"/>
          <w:bCs w:val="0"/>
          <w:sz w:val="21"/>
          <w:szCs w:val="21"/>
          <w:highlight w:val="none"/>
        </w:rPr>
        <w:t>联系方式</w:t>
      </w:r>
      <w:bookmarkEnd w:id="26"/>
      <w:bookmarkEnd w:id="27"/>
      <w:bookmarkEnd w:id="28"/>
    </w:p>
    <w:tbl>
      <w:tblPr>
        <w:tblStyle w:val="13"/>
        <w:tblW w:w="9529" w:type="dxa"/>
        <w:tblInd w:w="0" w:type="dxa"/>
        <w:tblLayout w:type="fixed"/>
        <w:tblCellMar>
          <w:top w:w="0" w:type="dxa"/>
          <w:left w:w="108" w:type="dxa"/>
          <w:bottom w:w="0" w:type="dxa"/>
          <w:right w:w="108" w:type="dxa"/>
        </w:tblCellMar>
      </w:tblPr>
      <w:tblGrid>
        <w:gridCol w:w="4317"/>
        <w:gridCol w:w="5212"/>
      </w:tblGrid>
      <w:tr w14:paraId="2C5CB971">
        <w:tblPrEx>
          <w:tblCellMar>
            <w:top w:w="0" w:type="dxa"/>
            <w:left w:w="108" w:type="dxa"/>
            <w:bottom w:w="0" w:type="dxa"/>
            <w:right w:w="108" w:type="dxa"/>
          </w:tblCellMar>
        </w:tblPrEx>
        <w:trPr>
          <w:trHeight w:val="551" w:hRule="atLeast"/>
        </w:trPr>
        <w:tc>
          <w:tcPr>
            <w:tcW w:w="4317" w:type="dxa"/>
          </w:tcPr>
          <w:p w14:paraId="42F6985A">
            <w:pPr>
              <w:ind w:left="1050" w:hanging="1050" w:hangingChars="500"/>
              <w:rPr>
                <w:rFonts w:hint="eastAsia" w:asciiTheme="minorEastAsia" w:hAnsiTheme="minorEastAsia" w:eastAsiaTheme="minorEastAsia"/>
                <w:szCs w:val="21"/>
                <w:highlight w:val="none"/>
              </w:rPr>
            </w:pPr>
            <w:r>
              <w:rPr>
                <w:rFonts w:hint="eastAsia" w:asciiTheme="minorEastAsia" w:hAnsiTheme="minorEastAsia" w:eastAsiaTheme="minorEastAsia"/>
                <w:kern w:val="0"/>
                <w:szCs w:val="21"/>
                <w:highlight w:val="none"/>
              </w:rPr>
              <w:t>委托</w:t>
            </w:r>
            <w:r>
              <w:rPr>
                <w:rFonts w:asciiTheme="minorEastAsia" w:hAnsiTheme="minorEastAsia" w:eastAsiaTheme="minorEastAsia"/>
                <w:szCs w:val="21"/>
                <w:highlight w:val="none"/>
              </w:rPr>
              <w:t xml:space="preserve">招标人: </w:t>
            </w:r>
            <w:r>
              <w:rPr>
                <w:rFonts w:ascii="宋体" w:hAnsi="宋体" w:eastAsia="宋体" w:cs="宋体"/>
                <w:spacing w:val="9"/>
                <w:sz w:val="20"/>
                <w:szCs w:val="20"/>
                <w:highlight w:val="none"/>
              </w:rPr>
              <w:t>通榆县交通运输局</w:t>
            </w:r>
          </w:p>
        </w:tc>
        <w:tc>
          <w:tcPr>
            <w:tcW w:w="5212" w:type="dxa"/>
          </w:tcPr>
          <w:p w14:paraId="4E40F0A5">
            <w:pPr>
              <w:autoSpaceDE w:val="0"/>
              <w:autoSpaceDN w:val="0"/>
              <w:adjustRightInd w:val="0"/>
              <w:rPr>
                <w:rFonts w:hint="eastAsia"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招标代理机构</w:t>
            </w:r>
            <w:r>
              <w:rPr>
                <w:rFonts w:hint="eastAsia" w:cs="宋体" w:asciiTheme="minorEastAsia" w:hAnsiTheme="minorEastAsia" w:eastAsiaTheme="minorEastAsia"/>
                <w:b/>
                <w:kern w:val="0"/>
                <w:szCs w:val="21"/>
                <w:highlight w:val="none"/>
              </w:rPr>
              <w:t xml:space="preserve">: </w:t>
            </w:r>
            <w:r>
              <w:rPr>
                <w:rFonts w:hint="eastAsia" w:ascii="宋体" w:hAnsi="宋体" w:eastAsia="宋体" w:cs="宋体"/>
                <w:spacing w:val="9"/>
                <w:sz w:val="20"/>
                <w:szCs w:val="20"/>
                <w:highlight w:val="none"/>
                <w:lang w:eastAsia="zh-CN"/>
              </w:rPr>
              <w:t>吉林省中朗项目管理咨询有限公司</w:t>
            </w:r>
          </w:p>
        </w:tc>
      </w:tr>
      <w:tr w14:paraId="23A6129A">
        <w:tblPrEx>
          <w:tblCellMar>
            <w:top w:w="0" w:type="dxa"/>
            <w:left w:w="108" w:type="dxa"/>
            <w:bottom w:w="0" w:type="dxa"/>
            <w:right w:w="108" w:type="dxa"/>
          </w:tblCellMar>
        </w:tblPrEx>
        <w:tc>
          <w:tcPr>
            <w:tcW w:w="4317" w:type="dxa"/>
          </w:tcPr>
          <w:p w14:paraId="7C42F32C">
            <w:pPr>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 xml:space="preserve">地    址: </w:t>
            </w:r>
            <w:r>
              <w:rPr>
                <w:rFonts w:ascii="宋体" w:hAnsi="宋体" w:eastAsia="宋体" w:cs="宋体"/>
                <w:spacing w:val="5"/>
                <w:sz w:val="20"/>
                <w:szCs w:val="20"/>
                <w:highlight w:val="none"/>
              </w:rPr>
              <w:t>通榆县向海大街</w:t>
            </w:r>
            <w:r>
              <w:rPr>
                <w:rFonts w:ascii="宋体" w:hAnsi="宋体" w:eastAsia="宋体" w:cs="宋体"/>
                <w:spacing w:val="-13"/>
                <w:sz w:val="20"/>
                <w:szCs w:val="20"/>
                <w:highlight w:val="none"/>
              </w:rPr>
              <w:t xml:space="preserve"> </w:t>
            </w:r>
            <w:r>
              <w:rPr>
                <w:rFonts w:ascii="宋体" w:hAnsi="宋体" w:eastAsia="宋体" w:cs="宋体"/>
                <w:spacing w:val="5"/>
                <w:sz w:val="20"/>
                <w:szCs w:val="20"/>
                <w:highlight w:val="none"/>
              </w:rPr>
              <w:t>1130</w:t>
            </w:r>
            <w:r>
              <w:rPr>
                <w:rFonts w:ascii="宋体" w:hAnsi="宋体" w:eastAsia="宋体" w:cs="宋体"/>
                <w:spacing w:val="-33"/>
                <w:sz w:val="20"/>
                <w:szCs w:val="20"/>
                <w:highlight w:val="none"/>
              </w:rPr>
              <w:t xml:space="preserve"> </w:t>
            </w:r>
            <w:r>
              <w:rPr>
                <w:rFonts w:ascii="宋体" w:hAnsi="宋体" w:eastAsia="宋体" w:cs="宋体"/>
                <w:spacing w:val="5"/>
                <w:sz w:val="20"/>
                <w:szCs w:val="20"/>
                <w:highlight w:val="none"/>
              </w:rPr>
              <w:t>号</w:t>
            </w:r>
          </w:p>
        </w:tc>
        <w:tc>
          <w:tcPr>
            <w:tcW w:w="5212" w:type="dxa"/>
          </w:tcPr>
          <w:p w14:paraId="2F77D7FF">
            <w:pPr>
              <w:autoSpaceDE w:val="0"/>
              <w:autoSpaceDN w:val="0"/>
              <w:adjustRightInd w:val="0"/>
              <w:rPr>
                <w:rFonts w:hint="eastAsia"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地    址: </w:t>
            </w:r>
            <w:r>
              <w:rPr>
                <w:rFonts w:hint="eastAsia" w:ascii="宋体" w:hAnsi="宋体" w:eastAsia="宋体" w:cs="宋体"/>
                <w:spacing w:val="8"/>
                <w:sz w:val="20"/>
                <w:szCs w:val="20"/>
                <w:highlight w:val="none"/>
              </w:rPr>
              <w:t>长春市东北亚国际金融中心8号楼</w:t>
            </w:r>
          </w:p>
        </w:tc>
      </w:tr>
      <w:tr w14:paraId="20F961AB">
        <w:tblPrEx>
          <w:tblCellMar>
            <w:top w:w="0" w:type="dxa"/>
            <w:left w:w="108" w:type="dxa"/>
            <w:bottom w:w="0" w:type="dxa"/>
            <w:right w:w="108" w:type="dxa"/>
          </w:tblCellMar>
        </w:tblPrEx>
        <w:tc>
          <w:tcPr>
            <w:tcW w:w="4317" w:type="dxa"/>
          </w:tcPr>
          <w:p w14:paraId="352463EE">
            <w:pPr>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 xml:space="preserve">邮    编: </w:t>
            </w:r>
            <w:r>
              <w:rPr>
                <w:rFonts w:asciiTheme="minorEastAsia" w:hAnsiTheme="minorEastAsia" w:eastAsiaTheme="minorEastAsia"/>
                <w:kern w:val="0"/>
                <w:szCs w:val="21"/>
                <w:highlight w:val="none"/>
              </w:rPr>
              <w:t>13</w:t>
            </w:r>
            <w:r>
              <w:rPr>
                <w:rFonts w:hint="eastAsia" w:asciiTheme="minorEastAsia" w:hAnsiTheme="minorEastAsia" w:eastAsiaTheme="minorEastAsia"/>
                <w:kern w:val="0"/>
                <w:szCs w:val="21"/>
                <w:highlight w:val="none"/>
              </w:rPr>
              <w:t>7</w:t>
            </w:r>
            <w:r>
              <w:rPr>
                <w:rFonts w:hint="eastAsia" w:asciiTheme="minorEastAsia" w:hAnsiTheme="minorEastAsia" w:eastAsiaTheme="minorEastAsia"/>
                <w:kern w:val="0"/>
                <w:szCs w:val="21"/>
                <w:highlight w:val="none"/>
                <w:lang w:val="en-US" w:eastAsia="zh-CN"/>
              </w:rPr>
              <w:t>2</w:t>
            </w:r>
            <w:r>
              <w:rPr>
                <w:rFonts w:asciiTheme="minorEastAsia" w:hAnsiTheme="minorEastAsia" w:eastAsiaTheme="minorEastAsia"/>
                <w:kern w:val="0"/>
                <w:szCs w:val="21"/>
                <w:highlight w:val="none"/>
              </w:rPr>
              <w:t>00</w:t>
            </w:r>
          </w:p>
        </w:tc>
        <w:tc>
          <w:tcPr>
            <w:tcW w:w="5212" w:type="dxa"/>
          </w:tcPr>
          <w:p w14:paraId="501A6DF6">
            <w:pPr>
              <w:autoSpaceDE w:val="0"/>
              <w:autoSpaceDN w:val="0"/>
              <w:adjustRightInd w:val="0"/>
              <w:rPr>
                <w:rFonts w:hint="default"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 xml:space="preserve">邮    编: </w:t>
            </w:r>
            <w:r>
              <w:rPr>
                <w:rFonts w:hint="eastAsia" w:cs="宋体" w:asciiTheme="minorEastAsia" w:hAnsiTheme="minorEastAsia" w:eastAsiaTheme="minorEastAsia"/>
                <w:szCs w:val="21"/>
                <w:highlight w:val="none"/>
                <w:lang w:val="en-US" w:eastAsia="zh-CN"/>
              </w:rPr>
              <w:t>130000</w:t>
            </w:r>
          </w:p>
        </w:tc>
      </w:tr>
      <w:tr w14:paraId="59D933E1">
        <w:tblPrEx>
          <w:tblCellMar>
            <w:top w:w="0" w:type="dxa"/>
            <w:left w:w="108" w:type="dxa"/>
            <w:bottom w:w="0" w:type="dxa"/>
            <w:right w:w="108" w:type="dxa"/>
          </w:tblCellMar>
        </w:tblPrEx>
        <w:trPr>
          <w:trHeight w:val="371" w:hRule="atLeast"/>
        </w:trPr>
        <w:tc>
          <w:tcPr>
            <w:tcW w:w="4317" w:type="dxa"/>
          </w:tcPr>
          <w:p w14:paraId="1A2494CC">
            <w:pPr>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联</w:t>
            </w: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系</w:t>
            </w: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人: </w:t>
            </w:r>
            <w:r>
              <w:rPr>
                <w:rFonts w:ascii="宋体" w:hAnsi="宋体" w:eastAsia="宋体" w:cs="宋体"/>
                <w:spacing w:val="8"/>
                <w:sz w:val="20"/>
                <w:szCs w:val="20"/>
                <w:highlight w:val="none"/>
              </w:rPr>
              <w:t>孙世军</w:t>
            </w:r>
          </w:p>
        </w:tc>
        <w:tc>
          <w:tcPr>
            <w:tcW w:w="5212" w:type="dxa"/>
          </w:tcPr>
          <w:p w14:paraId="086D0804">
            <w:pPr>
              <w:autoSpaceDE w:val="0"/>
              <w:autoSpaceDN w:val="0"/>
              <w:adjustRightInd w:val="0"/>
              <w:rPr>
                <w:rFonts w:hint="eastAsia"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 xml:space="preserve">联 系 人: </w:t>
            </w:r>
            <w:r>
              <w:rPr>
                <w:rFonts w:hint="eastAsia" w:cs="宋体" w:asciiTheme="minorEastAsia" w:hAnsiTheme="minorEastAsia" w:eastAsiaTheme="minorEastAsia"/>
                <w:szCs w:val="21"/>
                <w:highlight w:val="none"/>
                <w:lang w:val="en-US" w:eastAsia="zh-CN"/>
              </w:rPr>
              <w:t>王爽</w:t>
            </w:r>
          </w:p>
        </w:tc>
      </w:tr>
      <w:tr w14:paraId="62C2D17C">
        <w:tblPrEx>
          <w:tblCellMar>
            <w:top w:w="0" w:type="dxa"/>
            <w:left w:w="108" w:type="dxa"/>
            <w:bottom w:w="0" w:type="dxa"/>
            <w:right w:w="108" w:type="dxa"/>
          </w:tblCellMar>
        </w:tblPrEx>
        <w:tc>
          <w:tcPr>
            <w:tcW w:w="4317" w:type="dxa"/>
          </w:tcPr>
          <w:p w14:paraId="7CA821F1">
            <w:pPr>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 xml:space="preserve">电    话: </w:t>
            </w:r>
            <w:r>
              <w:rPr>
                <w:rFonts w:ascii="宋体" w:hAnsi="宋体" w:eastAsia="宋体" w:cs="宋体"/>
                <w:spacing w:val="3"/>
                <w:sz w:val="20"/>
                <w:szCs w:val="20"/>
                <w:highlight w:val="none"/>
              </w:rPr>
              <w:t>0436-4224302</w:t>
            </w:r>
          </w:p>
        </w:tc>
        <w:tc>
          <w:tcPr>
            <w:tcW w:w="5212" w:type="dxa"/>
          </w:tcPr>
          <w:p w14:paraId="592B0745">
            <w:pPr>
              <w:autoSpaceDE w:val="0"/>
              <w:autoSpaceDN w:val="0"/>
              <w:adjustRightInd w:val="0"/>
              <w:rPr>
                <w:rFonts w:hint="eastAsia"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电    话: </w:t>
            </w:r>
            <w:r>
              <w:rPr>
                <w:rFonts w:ascii="宋体" w:hAnsi="宋体" w:eastAsia="宋体" w:cs="宋体"/>
                <w:spacing w:val="3"/>
                <w:sz w:val="20"/>
                <w:szCs w:val="20"/>
                <w:highlight w:val="none"/>
              </w:rPr>
              <w:t>0431-</w:t>
            </w:r>
            <w:r>
              <w:rPr>
                <w:rFonts w:hint="eastAsia" w:ascii="宋体" w:hAnsi="宋体" w:eastAsia="宋体" w:cs="宋体"/>
                <w:spacing w:val="3"/>
                <w:sz w:val="20"/>
                <w:szCs w:val="20"/>
                <w:highlight w:val="none"/>
                <w:lang w:eastAsia="zh-CN"/>
              </w:rPr>
              <w:t>80545000</w:t>
            </w:r>
          </w:p>
        </w:tc>
      </w:tr>
    </w:tbl>
    <w:p w14:paraId="6EC37E8A">
      <w:pPr>
        <w:spacing w:line="440" w:lineRule="exact"/>
        <w:ind w:firstLine="420"/>
        <w:jc w:val="right"/>
        <w:rPr>
          <w:rFonts w:hint="eastAsia" w:asciiTheme="minorEastAsia" w:hAnsiTheme="minorEastAsia" w:eastAsiaTheme="minorEastAsia"/>
          <w:szCs w:val="21"/>
          <w:highlight w:val="none"/>
        </w:rPr>
      </w:pPr>
    </w:p>
    <w:sectPr>
      <w:pgSz w:w="11906" w:h="16838"/>
      <w:pgMar w:top="1247"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55452">
    <w:pPr>
      <w:spacing w:line="264" w:lineRule="exact"/>
      <w:ind w:left="4661"/>
      <w:rPr>
        <w:rFonts w:ascii="黑体" w:hAnsi="黑体" w:eastAsia="黑体" w:cs="黑体"/>
        <w:sz w:val="20"/>
        <w:szCs w:val="20"/>
      </w:rPr>
    </w:pPr>
    <w:r>
      <w:rPr>
        <w:rFonts w:ascii="黑体" w:hAnsi="黑体" w:eastAsia="黑体" w:cs="黑体"/>
        <w:spacing w:val="-5"/>
        <w:position w:val="1"/>
        <w:sz w:val="20"/>
        <w:szCs w:val="20"/>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0549">
    <w:pPr>
      <w:spacing w:line="242" w:lineRule="auto"/>
      <w:ind w:left="4730"/>
      <w:rPr>
        <w:rFonts w:ascii="黑体" w:hAnsi="黑体" w:eastAsia="黑体" w:cs="黑体"/>
        <w:sz w:val="20"/>
        <w:szCs w:val="20"/>
      </w:rPr>
    </w:pPr>
    <w:r>
      <w:rPr>
        <w:rFonts w:ascii="黑体" w:hAnsi="黑体" w:eastAsia="黑体" w:cs="黑体"/>
        <w:spacing w:val="1"/>
        <w:sz w:val="20"/>
        <w:szCs w:val="20"/>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D37F">
    <w:pPr>
      <w:spacing w:line="239" w:lineRule="auto"/>
      <w:ind w:left="4732"/>
      <w:rPr>
        <w:rFonts w:ascii="黑体" w:hAnsi="黑体" w:eastAsia="黑体" w:cs="黑体"/>
        <w:sz w:val="20"/>
        <w:szCs w:val="20"/>
      </w:rPr>
    </w:pPr>
    <w:r>
      <w:rPr>
        <w:rFonts w:ascii="黑体" w:hAnsi="黑体" w:eastAsia="黑体" w:cs="黑体"/>
        <w:sz w:val="20"/>
        <w:szCs w:val="20"/>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213A">
    <w:pPr>
      <w:spacing w:line="242" w:lineRule="auto"/>
      <w:ind w:left="4652"/>
      <w:rPr>
        <w:rFonts w:ascii="黑体" w:hAnsi="黑体" w:eastAsia="黑体" w:cs="黑体"/>
        <w:sz w:val="20"/>
        <w:szCs w:val="20"/>
      </w:rPr>
    </w:pPr>
    <w:r>
      <w:rPr>
        <w:rFonts w:ascii="黑体" w:hAnsi="黑体" w:eastAsia="黑体" w:cs="黑体"/>
        <w:sz w:val="20"/>
        <w:szCs w:val="20"/>
      </w:rPr>
      <w:t>31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110B5">
    <w:pPr>
      <w:spacing w:line="242" w:lineRule="auto"/>
      <w:ind w:left="4652"/>
      <w:rPr>
        <w:rFonts w:ascii="黑体" w:hAnsi="黑体" w:eastAsia="黑体" w:cs="黑体"/>
        <w:sz w:val="20"/>
        <w:szCs w:val="20"/>
      </w:rPr>
    </w:pPr>
    <w:r>
      <w:rPr>
        <w:rFonts w:ascii="黑体" w:hAnsi="黑体" w:eastAsia="黑体" w:cs="黑体"/>
        <w:sz w:val="20"/>
        <w:szCs w:val="20"/>
      </w:rPr>
      <w:t>32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19"/>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TRmOWYwYzQ5NzRiNjQzYTA0MTRlNzdkOTg3YzMifQ=="/>
  </w:docVars>
  <w:rsids>
    <w:rsidRoot w:val="004D17A3"/>
    <w:rsid w:val="00010836"/>
    <w:rsid w:val="00016D6D"/>
    <w:rsid w:val="00020B7B"/>
    <w:rsid w:val="000365D1"/>
    <w:rsid w:val="00062733"/>
    <w:rsid w:val="000643D4"/>
    <w:rsid w:val="00076FA0"/>
    <w:rsid w:val="000D105E"/>
    <w:rsid w:val="000E0E68"/>
    <w:rsid w:val="000E6CB0"/>
    <w:rsid w:val="000F3A50"/>
    <w:rsid w:val="0010332F"/>
    <w:rsid w:val="0011017C"/>
    <w:rsid w:val="001146AD"/>
    <w:rsid w:val="00115036"/>
    <w:rsid w:val="00161E51"/>
    <w:rsid w:val="001636FF"/>
    <w:rsid w:val="001674D1"/>
    <w:rsid w:val="00177352"/>
    <w:rsid w:val="00181E32"/>
    <w:rsid w:val="001910D5"/>
    <w:rsid w:val="00197F11"/>
    <w:rsid w:val="001A2B09"/>
    <w:rsid w:val="001A6B5B"/>
    <w:rsid w:val="001C545C"/>
    <w:rsid w:val="001D4265"/>
    <w:rsid w:val="001F0909"/>
    <w:rsid w:val="00207FF3"/>
    <w:rsid w:val="002462B4"/>
    <w:rsid w:val="00273563"/>
    <w:rsid w:val="002749F0"/>
    <w:rsid w:val="00276EB4"/>
    <w:rsid w:val="00281A85"/>
    <w:rsid w:val="00287238"/>
    <w:rsid w:val="00293684"/>
    <w:rsid w:val="002964A6"/>
    <w:rsid w:val="002B19A0"/>
    <w:rsid w:val="002B1ADE"/>
    <w:rsid w:val="002B37F3"/>
    <w:rsid w:val="002B707B"/>
    <w:rsid w:val="002C7435"/>
    <w:rsid w:val="002D3BE5"/>
    <w:rsid w:val="002E24C0"/>
    <w:rsid w:val="0030060B"/>
    <w:rsid w:val="003154F6"/>
    <w:rsid w:val="00324C4C"/>
    <w:rsid w:val="003539C1"/>
    <w:rsid w:val="00355D85"/>
    <w:rsid w:val="0036589D"/>
    <w:rsid w:val="003661D1"/>
    <w:rsid w:val="00381098"/>
    <w:rsid w:val="00392D0F"/>
    <w:rsid w:val="00394662"/>
    <w:rsid w:val="003C3FF4"/>
    <w:rsid w:val="003C4E9F"/>
    <w:rsid w:val="003D29A7"/>
    <w:rsid w:val="003D58C1"/>
    <w:rsid w:val="003E499B"/>
    <w:rsid w:val="003F5406"/>
    <w:rsid w:val="003F5455"/>
    <w:rsid w:val="00402FC8"/>
    <w:rsid w:val="004121F4"/>
    <w:rsid w:val="00416B53"/>
    <w:rsid w:val="0042770A"/>
    <w:rsid w:val="00427AC4"/>
    <w:rsid w:val="004341EE"/>
    <w:rsid w:val="00446F9C"/>
    <w:rsid w:val="00456F9C"/>
    <w:rsid w:val="004621FD"/>
    <w:rsid w:val="00473B3B"/>
    <w:rsid w:val="00476701"/>
    <w:rsid w:val="00487A4D"/>
    <w:rsid w:val="004A3ADA"/>
    <w:rsid w:val="004B443C"/>
    <w:rsid w:val="004D17A3"/>
    <w:rsid w:val="004D240D"/>
    <w:rsid w:val="004D3C2D"/>
    <w:rsid w:val="004D41A8"/>
    <w:rsid w:val="00505F43"/>
    <w:rsid w:val="00517996"/>
    <w:rsid w:val="005355D8"/>
    <w:rsid w:val="00537D33"/>
    <w:rsid w:val="00542BB3"/>
    <w:rsid w:val="00547201"/>
    <w:rsid w:val="005521EB"/>
    <w:rsid w:val="00556512"/>
    <w:rsid w:val="0057462B"/>
    <w:rsid w:val="00582265"/>
    <w:rsid w:val="00594413"/>
    <w:rsid w:val="005A2EF3"/>
    <w:rsid w:val="005A4F70"/>
    <w:rsid w:val="005A537B"/>
    <w:rsid w:val="005B6FF4"/>
    <w:rsid w:val="005C4E5A"/>
    <w:rsid w:val="005E30E2"/>
    <w:rsid w:val="00601E2F"/>
    <w:rsid w:val="00607255"/>
    <w:rsid w:val="0061467B"/>
    <w:rsid w:val="00651881"/>
    <w:rsid w:val="00673910"/>
    <w:rsid w:val="00694218"/>
    <w:rsid w:val="006C64BE"/>
    <w:rsid w:val="006D4598"/>
    <w:rsid w:val="00705FCB"/>
    <w:rsid w:val="00707EFF"/>
    <w:rsid w:val="00713029"/>
    <w:rsid w:val="0072095A"/>
    <w:rsid w:val="00730F3B"/>
    <w:rsid w:val="00733494"/>
    <w:rsid w:val="00743915"/>
    <w:rsid w:val="00762640"/>
    <w:rsid w:val="00772E27"/>
    <w:rsid w:val="00781441"/>
    <w:rsid w:val="007860D3"/>
    <w:rsid w:val="007936FB"/>
    <w:rsid w:val="007A6549"/>
    <w:rsid w:val="007B30E5"/>
    <w:rsid w:val="007C434E"/>
    <w:rsid w:val="007D7768"/>
    <w:rsid w:val="007F3AF6"/>
    <w:rsid w:val="0081266B"/>
    <w:rsid w:val="008152C1"/>
    <w:rsid w:val="00835BF9"/>
    <w:rsid w:val="008B3BDD"/>
    <w:rsid w:val="008B6810"/>
    <w:rsid w:val="008D3A54"/>
    <w:rsid w:val="008E3C11"/>
    <w:rsid w:val="008E69F6"/>
    <w:rsid w:val="008F33A0"/>
    <w:rsid w:val="00910033"/>
    <w:rsid w:val="0091320F"/>
    <w:rsid w:val="00915529"/>
    <w:rsid w:val="00922F24"/>
    <w:rsid w:val="00941C86"/>
    <w:rsid w:val="009442FD"/>
    <w:rsid w:val="00945227"/>
    <w:rsid w:val="00957137"/>
    <w:rsid w:val="00965AE7"/>
    <w:rsid w:val="00990B85"/>
    <w:rsid w:val="009926AD"/>
    <w:rsid w:val="009B4702"/>
    <w:rsid w:val="009C15CE"/>
    <w:rsid w:val="009C1858"/>
    <w:rsid w:val="009C6666"/>
    <w:rsid w:val="009D1B61"/>
    <w:rsid w:val="009D5DE8"/>
    <w:rsid w:val="009E3581"/>
    <w:rsid w:val="009E392F"/>
    <w:rsid w:val="009E57C8"/>
    <w:rsid w:val="009E5D12"/>
    <w:rsid w:val="009E65C3"/>
    <w:rsid w:val="009F06E5"/>
    <w:rsid w:val="00A015F2"/>
    <w:rsid w:val="00A03683"/>
    <w:rsid w:val="00A14725"/>
    <w:rsid w:val="00A200C0"/>
    <w:rsid w:val="00A23CAF"/>
    <w:rsid w:val="00A43E35"/>
    <w:rsid w:val="00A51CA7"/>
    <w:rsid w:val="00A52479"/>
    <w:rsid w:val="00A62AA1"/>
    <w:rsid w:val="00A77DD4"/>
    <w:rsid w:val="00A81141"/>
    <w:rsid w:val="00AA0273"/>
    <w:rsid w:val="00AA324F"/>
    <w:rsid w:val="00AA5DF3"/>
    <w:rsid w:val="00AB51B2"/>
    <w:rsid w:val="00AD1819"/>
    <w:rsid w:val="00B141A1"/>
    <w:rsid w:val="00B14463"/>
    <w:rsid w:val="00B2526D"/>
    <w:rsid w:val="00B34929"/>
    <w:rsid w:val="00B34DFD"/>
    <w:rsid w:val="00B576D6"/>
    <w:rsid w:val="00B577BA"/>
    <w:rsid w:val="00B74540"/>
    <w:rsid w:val="00B80E4E"/>
    <w:rsid w:val="00BA3898"/>
    <w:rsid w:val="00BB1719"/>
    <w:rsid w:val="00BC2332"/>
    <w:rsid w:val="00BC3EF1"/>
    <w:rsid w:val="00BD3C6E"/>
    <w:rsid w:val="00BE13FD"/>
    <w:rsid w:val="00C07D20"/>
    <w:rsid w:val="00C207CE"/>
    <w:rsid w:val="00C233E4"/>
    <w:rsid w:val="00C26FF4"/>
    <w:rsid w:val="00C44C77"/>
    <w:rsid w:val="00C5211A"/>
    <w:rsid w:val="00C544B6"/>
    <w:rsid w:val="00C72E01"/>
    <w:rsid w:val="00C83CE9"/>
    <w:rsid w:val="00C85322"/>
    <w:rsid w:val="00C96897"/>
    <w:rsid w:val="00CB1995"/>
    <w:rsid w:val="00CC1F75"/>
    <w:rsid w:val="00CE6994"/>
    <w:rsid w:val="00CF0D1E"/>
    <w:rsid w:val="00CF6A20"/>
    <w:rsid w:val="00D01C5C"/>
    <w:rsid w:val="00D07E0C"/>
    <w:rsid w:val="00D35617"/>
    <w:rsid w:val="00D5070A"/>
    <w:rsid w:val="00D77AB9"/>
    <w:rsid w:val="00D84986"/>
    <w:rsid w:val="00D96550"/>
    <w:rsid w:val="00D9727E"/>
    <w:rsid w:val="00DA1976"/>
    <w:rsid w:val="00DA6B7E"/>
    <w:rsid w:val="00DB2792"/>
    <w:rsid w:val="00DE78CC"/>
    <w:rsid w:val="00DF7C3B"/>
    <w:rsid w:val="00E02FBF"/>
    <w:rsid w:val="00E10277"/>
    <w:rsid w:val="00E21F0A"/>
    <w:rsid w:val="00E60B23"/>
    <w:rsid w:val="00E81704"/>
    <w:rsid w:val="00EA178E"/>
    <w:rsid w:val="00EA56B2"/>
    <w:rsid w:val="00F12C99"/>
    <w:rsid w:val="00F15510"/>
    <w:rsid w:val="00F65AC3"/>
    <w:rsid w:val="00F734F1"/>
    <w:rsid w:val="00F74FFB"/>
    <w:rsid w:val="00F83431"/>
    <w:rsid w:val="00F91EC0"/>
    <w:rsid w:val="00FA56CF"/>
    <w:rsid w:val="00FA599C"/>
    <w:rsid w:val="00FA7EEF"/>
    <w:rsid w:val="00FE2B04"/>
    <w:rsid w:val="015920E6"/>
    <w:rsid w:val="01AB6F95"/>
    <w:rsid w:val="03DF3CCC"/>
    <w:rsid w:val="0632345F"/>
    <w:rsid w:val="075B6233"/>
    <w:rsid w:val="08305232"/>
    <w:rsid w:val="0B8F4C1E"/>
    <w:rsid w:val="0BDE2351"/>
    <w:rsid w:val="0C1532A2"/>
    <w:rsid w:val="0D1E20CB"/>
    <w:rsid w:val="0DB43C2D"/>
    <w:rsid w:val="0DEC388F"/>
    <w:rsid w:val="0E3D7B4A"/>
    <w:rsid w:val="0F185C18"/>
    <w:rsid w:val="0F33229E"/>
    <w:rsid w:val="0F4448B4"/>
    <w:rsid w:val="11D4752A"/>
    <w:rsid w:val="127C7468"/>
    <w:rsid w:val="129C789B"/>
    <w:rsid w:val="13E75A29"/>
    <w:rsid w:val="13F83D3F"/>
    <w:rsid w:val="17282396"/>
    <w:rsid w:val="17D70C12"/>
    <w:rsid w:val="18FD7128"/>
    <w:rsid w:val="1B8E2031"/>
    <w:rsid w:val="1EDC7E88"/>
    <w:rsid w:val="1EEC4D1A"/>
    <w:rsid w:val="201A57A0"/>
    <w:rsid w:val="206517E0"/>
    <w:rsid w:val="21E1782D"/>
    <w:rsid w:val="23A271DC"/>
    <w:rsid w:val="25594181"/>
    <w:rsid w:val="27151681"/>
    <w:rsid w:val="2A1E0DB4"/>
    <w:rsid w:val="2A34525B"/>
    <w:rsid w:val="2C066C0F"/>
    <w:rsid w:val="2D6F3433"/>
    <w:rsid w:val="2EA02816"/>
    <w:rsid w:val="2F56315D"/>
    <w:rsid w:val="31CB6449"/>
    <w:rsid w:val="320D3AD1"/>
    <w:rsid w:val="34FA0950"/>
    <w:rsid w:val="36730588"/>
    <w:rsid w:val="37417818"/>
    <w:rsid w:val="39B36249"/>
    <w:rsid w:val="3BDC0FD0"/>
    <w:rsid w:val="3D7B35D9"/>
    <w:rsid w:val="3E30071D"/>
    <w:rsid w:val="3E4467E0"/>
    <w:rsid w:val="41256B04"/>
    <w:rsid w:val="43CD0789"/>
    <w:rsid w:val="43E73439"/>
    <w:rsid w:val="442353A2"/>
    <w:rsid w:val="442B3FEE"/>
    <w:rsid w:val="44970B97"/>
    <w:rsid w:val="45EA49A6"/>
    <w:rsid w:val="46B860DA"/>
    <w:rsid w:val="48687B38"/>
    <w:rsid w:val="4A5C300D"/>
    <w:rsid w:val="4CA53043"/>
    <w:rsid w:val="4CB81DAE"/>
    <w:rsid w:val="4D4242A1"/>
    <w:rsid w:val="4D7839F9"/>
    <w:rsid w:val="51F212CC"/>
    <w:rsid w:val="533258B8"/>
    <w:rsid w:val="5372722B"/>
    <w:rsid w:val="53AD4232"/>
    <w:rsid w:val="54667232"/>
    <w:rsid w:val="546E58AD"/>
    <w:rsid w:val="573D60EA"/>
    <w:rsid w:val="58971A72"/>
    <w:rsid w:val="595F5990"/>
    <w:rsid w:val="5CEC6477"/>
    <w:rsid w:val="5ED816D9"/>
    <w:rsid w:val="61474220"/>
    <w:rsid w:val="616634B4"/>
    <w:rsid w:val="618D4E00"/>
    <w:rsid w:val="638634BC"/>
    <w:rsid w:val="64D62DD1"/>
    <w:rsid w:val="652C06A2"/>
    <w:rsid w:val="66522B3B"/>
    <w:rsid w:val="667C5DC1"/>
    <w:rsid w:val="6758648D"/>
    <w:rsid w:val="687E1BC5"/>
    <w:rsid w:val="68A45BD5"/>
    <w:rsid w:val="68F1115C"/>
    <w:rsid w:val="69B80C17"/>
    <w:rsid w:val="6A1D7656"/>
    <w:rsid w:val="6A985279"/>
    <w:rsid w:val="6BA228CA"/>
    <w:rsid w:val="6D0F2740"/>
    <w:rsid w:val="6FC74AA4"/>
    <w:rsid w:val="700B3125"/>
    <w:rsid w:val="700F492C"/>
    <w:rsid w:val="702806CC"/>
    <w:rsid w:val="71F17EEC"/>
    <w:rsid w:val="737214E2"/>
    <w:rsid w:val="7536075E"/>
    <w:rsid w:val="76BB5862"/>
    <w:rsid w:val="77097B14"/>
    <w:rsid w:val="773D3C1F"/>
    <w:rsid w:val="7B2C1B85"/>
    <w:rsid w:val="7C1C4019"/>
    <w:rsid w:val="7C42130E"/>
    <w:rsid w:val="7C6446A6"/>
    <w:rsid w:val="7CB913BA"/>
    <w:rsid w:val="7D8C5932"/>
    <w:rsid w:val="7E512E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1" w:semiHidden="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0"/>
    <w:autoRedefine/>
    <w:qFormat/>
    <w:locked/>
    <w:uiPriority w:val="1"/>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autoRedefine/>
    <w:qFormat/>
    <w:locked/>
    <w:uiPriority w:val="1"/>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0"/>
    <w:autoRedefine/>
    <w:qFormat/>
    <w:uiPriority w:val="99"/>
    <w:pPr>
      <w:keepNext/>
      <w:keepLines/>
      <w:spacing w:before="260" w:after="260" w:line="416" w:lineRule="auto"/>
      <w:outlineLvl w:val="2"/>
    </w:pPr>
    <w:rPr>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6">
    <w:name w:val="Body Text"/>
    <w:basedOn w:val="1"/>
    <w:qFormat/>
    <w:uiPriority w:val="1"/>
    <w:pPr>
      <w:widowControl w:val="0"/>
      <w:jc w:val="both"/>
    </w:pPr>
    <w:rPr>
      <w:rFonts w:ascii="Times New Roman" w:hAnsi="Times New Roman" w:eastAsia="宋体" w:cs="Times New Roman"/>
      <w:kern w:val="2"/>
      <w:sz w:val="28"/>
      <w:szCs w:val="24"/>
      <w:lang w:val="en-US" w:eastAsia="zh-CN" w:bidi="ar-SA"/>
    </w:rPr>
  </w:style>
  <w:style w:type="paragraph" w:styleId="7">
    <w:name w:val="footer"/>
    <w:basedOn w:val="1"/>
    <w:link w:val="22"/>
    <w:autoRedefine/>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link w:val="2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footnote text"/>
    <w:basedOn w:val="1"/>
    <w:link w:val="25"/>
    <w:autoRedefine/>
    <w:qFormat/>
    <w:uiPriority w:val="0"/>
    <w:pPr>
      <w:snapToGrid w:val="0"/>
      <w:jc w:val="left"/>
    </w:pPr>
    <w:rPr>
      <w:kern w:val="0"/>
      <w:sz w:val="18"/>
      <w:szCs w:val="18"/>
    </w:rPr>
  </w:style>
  <w:style w:type="paragraph" w:styleId="10">
    <w:name w:val="Body Text Indent 3"/>
    <w:basedOn w:val="1"/>
    <w:link w:val="23"/>
    <w:autoRedefine/>
    <w:qFormat/>
    <w:uiPriority w:val="99"/>
    <w:pPr>
      <w:spacing w:line="420" w:lineRule="exact"/>
      <w:ind w:firstLine="420" w:firstLineChars="200"/>
    </w:pPr>
    <w:rPr>
      <w:rFonts w:ascii="Times New Roman" w:hAnsi="Times New Roman"/>
      <w:szCs w:val="24"/>
    </w:rPr>
  </w:style>
  <w:style w:type="paragraph" w:styleId="11">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2">
    <w:name w:val="Title"/>
    <w:next w:val="1"/>
    <w:qFormat/>
    <w:locked/>
    <w:uiPriority w:val="99"/>
    <w:pPr>
      <w:widowControl/>
      <w:spacing w:before="240" w:after="60"/>
      <w:jc w:val="center"/>
      <w:outlineLvl w:val="0"/>
    </w:pPr>
    <w:rPr>
      <w:rFonts w:ascii="Arial" w:hAnsi="Arial" w:eastAsia="宋体" w:cs="Times New Roman"/>
      <w:b/>
      <w:bCs/>
      <w:kern w:val="0"/>
      <w:sz w:val="44"/>
      <w:szCs w:val="32"/>
      <w:lang w:val="en-US" w:eastAsia="zh-CN" w:bidi="ar-SA"/>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99"/>
  </w:style>
  <w:style w:type="character" w:styleId="17">
    <w:name w:val="footnote reference"/>
    <w:autoRedefine/>
    <w:qFormat/>
    <w:uiPriority w:val="0"/>
    <w:rPr>
      <w:rFonts w:cs="Times New Roman"/>
      <w:vertAlign w:val="superscript"/>
    </w:rPr>
  </w:style>
  <w:style w:type="paragraph" w:styleId="18">
    <w:name w:val="Quote"/>
    <w:basedOn w:val="1"/>
    <w:next w:val="1"/>
    <w:qFormat/>
    <w:uiPriority w:val="0"/>
    <w:pPr>
      <w:widowControl w:val="0"/>
      <w:jc w:val="both"/>
    </w:pPr>
    <w:rPr>
      <w:rFonts w:ascii="Times New Roman" w:hAnsi="Times New Roman" w:eastAsia="宋体" w:cs="Times New Roman"/>
      <w:i/>
      <w:iCs/>
      <w:color w:val="000000"/>
      <w:kern w:val="2"/>
      <w:sz w:val="21"/>
      <w:szCs w:val="22"/>
      <w:lang w:val="en-US" w:eastAsia="zh-CN" w:bidi="ar-SA"/>
    </w:rPr>
  </w:style>
  <w:style w:type="paragraph" w:customStyle="1" w:styleId="19">
    <w:name w:val="首行缩进"/>
    <w:basedOn w:val="1"/>
    <w:autoRedefine/>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20">
    <w:name w:val="标题 3 字符"/>
    <w:link w:val="4"/>
    <w:autoRedefine/>
    <w:qFormat/>
    <w:locked/>
    <w:uiPriority w:val="99"/>
    <w:rPr>
      <w:rFonts w:ascii="Calibri" w:hAnsi="Calibri" w:cs="Times New Roman"/>
      <w:b/>
      <w:bCs/>
      <w:sz w:val="32"/>
      <w:szCs w:val="32"/>
    </w:rPr>
  </w:style>
  <w:style w:type="character" w:customStyle="1" w:styleId="21">
    <w:name w:val="页眉 字符"/>
    <w:link w:val="8"/>
    <w:autoRedefine/>
    <w:qFormat/>
    <w:locked/>
    <w:uiPriority w:val="99"/>
    <w:rPr>
      <w:rFonts w:cs="Times New Roman"/>
      <w:kern w:val="2"/>
      <w:sz w:val="18"/>
      <w:szCs w:val="18"/>
    </w:rPr>
  </w:style>
  <w:style w:type="character" w:customStyle="1" w:styleId="22">
    <w:name w:val="页脚 字符"/>
    <w:link w:val="7"/>
    <w:autoRedefine/>
    <w:qFormat/>
    <w:locked/>
    <w:uiPriority w:val="99"/>
    <w:rPr>
      <w:rFonts w:cs="Times New Roman"/>
      <w:kern w:val="2"/>
      <w:sz w:val="18"/>
      <w:szCs w:val="18"/>
    </w:rPr>
  </w:style>
  <w:style w:type="character" w:customStyle="1" w:styleId="23">
    <w:name w:val="正文文本缩进 3 字符"/>
    <w:link w:val="10"/>
    <w:autoRedefine/>
    <w:qFormat/>
    <w:locked/>
    <w:uiPriority w:val="99"/>
    <w:rPr>
      <w:rFonts w:cs="Times New Roman"/>
      <w:kern w:val="2"/>
      <w:sz w:val="24"/>
      <w:szCs w:val="24"/>
    </w:rPr>
  </w:style>
  <w:style w:type="paragraph" w:customStyle="1" w:styleId="24">
    <w:name w:val="样式3"/>
    <w:basedOn w:val="1"/>
    <w:autoRedefine/>
    <w:qFormat/>
    <w:uiPriority w:val="99"/>
    <w:pPr>
      <w:keepNext/>
      <w:keepLines/>
      <w:spacing w:line="400" w:lineRule="exact"/>
      <w:outlineLvl w:val="0"/>
    </w:pPr>
    <w:rPr>
      <w:rFonts w:ascii="Times New Roman" w:hAnsi="Times New Roman"/>
      <w:b/>
      <w:bCs/>
      <w:kern w:val="44"/>
      <w:sz w:val="28"/>
      <w:szCs w:val="44"/>
    </w:rPr>
  </w:style>
  <w:style w:type="character" w:customStyle="1" w:styleId="25">
    <w:name w:val="脚注文本 字符"/>
    <w:link w:val="9"/>
    <w:autoRedefine/>
    <w:qFormat/>
    <w:locked/>
    <w:uiPriority w:val="0"/>
    <w:rPr>
      <w:rFonts w:ascii="Calibri" w:hAnsi="Calibri" w:cs="Times New Roman"/>
      <w:sz w:val="18"/>
      <w:szCs w:val="18"/>
    </w:rPr>
  </w:style>
  <w:style w:type="paragraph" w:styleId="26">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
    <w:name w:val="正文文本 (14)"/>
    <w:basedOn w:val="1"/>
    <w:link w:val="29"/>
    <w:autoRedefine/>
    <w:qFormat/>
    <w:uiPriority w:val="0"/>
    <w:pPr>
      <w:shd w:val="clear" w:color="auto" w:fill="FFFFFF"/>
      <w:spacing w:before="300" w:line="300" w:lineRule="exact"/>
      <w:jc w:val="distribute"/>
    </w:pPr>
    <w:rPr>
      <w:rFonts w:ascii="宋体" w:hAnsi="宋体"/>
      <w:kern w:val="0"/>
      <w:sz w:val="18"/>
      <w:szCs w:val="18"/>
    </w:rPr>
  </w:style>
  <w:style w:type="character" w:customStyle="1" w:styleId="29">
    <w:name w:val="正文文本 (14)_"/>
    <w:link w:val="28"/>
    <w:autoRedefine/>
    <w:qFormat/>
    <w:uiPriority w:val="0"/>
    <w:rPr>
      <w:rFonts w:ascii="宋体" w:hAnsi="宋体" w:eastAsia="宋体"/>
      <w:sz w:val="18"/>
      <w:szCs w:val="18"/>
      <w:shd w:val="clear" w:color="auto" w:fill="FFFFFF"/>
    </w:rPr>
  </w:style>
  <w:style w:type="character" w:customStyle="1" w:styleId="30">
    <w:name w:val="标题 1 字符"/>
    <w:basedOn w:val="15"/>
    <w:link w:val="2"/>
    <w:autoRedefine/>
    <w:qFormat/>
    <w:uiPriority w:val="1"/>
    <w:rPr>
      <w:rFonts w:ascii="Times New Roman" w:hAnsi="Times New Roman" w:eastAsia="宋体"/>
      <w:b/>
      <w:bCs/>
      <w:kern w:val="44"/>
      <w:sz w:val="44"/>
      <w:szCs w:val="44"/>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4778</Words>
  <Characters>5107</Characters>
  <Lines>401</Lines>
  <Paragraphs>364</Paragraphs>
  <TotalTime>0</TotalTime>
  <ScaleCrop>false</ScaleCrop>
  <LinksUpToDate>false</LinksUpToDate>
  <CharactersWithSpaces>5326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2017-02-06T08:34:00Z</dcterms:created>
  <dc:creator>think</dc:creator>
  <cp:lastModifiedBy>坦荡1400257139</cp:lastModifiedBy>
  <cp:lastPrinted>2025-04-25T00:49:00Z</cp:lastPrinted>
  <dcterms:modified xsi:type="dcterms:W3CDTF">2026-05-20T01:02:40Z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3FD365DDA1B54F78957298E3A74E0B65_13</vt:lpwstr>
  </property>
  <property fmtid="{D5CDD505-2E9C-101B-9397-08002B2CF9AE}" pid="4" name="KSOTemplateDocerSaveRecord">
    <vt:lpwstr>eyJoZGlkIjoiNzIwYTE2MGRjODc4MGM1ZTNiNDVlZDlkZGZmYTcyN2QiLCJ1c2VySWQiOiIxNTc0NTg4OCJ9</vt:lpwstr>
  </property>
</Properties>
</file>