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53156">
      <w:pPr>
        <w:adjustRightInd w:val="0"/>
        <w:snapToGrid w:val="0"/>
        <w:spacing w:before="120" w:beforeLines="50" w:after="120" w:afterLines="50"/>
        <w:ind w:firstLine="240" w:firstLineChars="100"/>
        <w:jc w:val="center"/>
        <w:rPr>
          <w:rFonts w:hint="eastAsia" w:ascii="黑体" w:hAnsi="黑体" w:eastAsia="黑体"/>
          <w:bCs/>
          <w:sz w:val="24"/>
          <w:szCs w:val="24"/>
          <w:highlight w:val="none"/>
        </w:rPr>
      </w:pPr>
      <w:bookmarkStart w:id="0" w:name="OLE_LINK2"/>
      <w:bookmarkStart w:id="1" w:name="OLE_LINK1"/>
      <w:bookmarkStart w:id="2" w:name="_Toc197967117"/>
      <w:bookmarkStart w:id="3" w:name="_Toc197960544"/>
      <w:bookmarkStart w:id="4" w:name="_Toc197950681"/>
      <w:bookmarkStart w:id="5" w:name="_Toc197951555"/>
      <w:bookmarkStart w:id="6" w:name="_Toc197951587"/>
      <w:bookmarkStart w:id="7" w:name="_Toc197950802"/>
      <w:bookmarkStart w:id="8" w:name="_Toc197960492"/>
      <w:bookmarkStart w:id="9" w:name="_Toc197965596"/>
      <w:bookmarkStart w:id="10" w:name="_Toc197967265"/>
      <w:r>
        <w:rPr>
          <w:rFonts w:hint="eastAsia" w:ascii="黑体" w:hAnsi="黑体" w:eastAsia="黑体"/>
          <w:bCs/>
          <w:sz w:val="24"/>
          <w:szCs w:val="24"/>
          <w:highlight w:val="none"/>
        </w:rPr>
        <w:t>延边州2024年国道丹阿公路园池至崇善(南夕)段路面改造工程施工</w:t>
      </w:r>
    </w:p>
    <w:p w14:paraId="2329435A">
      <w:pPr>
        <w:adjustRightInd w:val="0"/>
        <w:snapToGrid w:val="0"/>
        <w:spacing w:before="120" w:beforeLines="50" w:after="120" w:afterLines="50"/>
        <w:ind w:firstLine="240" w:firstLineChars="100"/>
        <w:jc w:val="center"/>
        <w:rPr>
          <w:rFonts w:hint="eastAsia" w:ascii="黑体" w:hAnsi="黑体" w:eastAsia="黑体"/>
          <w:bCs/>
          <w:sz w:val="24"/>
          <w:szCs w:val="24"/>
          <w:highlight w:val="none"/>
        </w:rPr>
      </w:pPr>
      <w:r>
        <w:rPr>
          <w:rFonts w:hint="eastAsia" w:ascii="黑体" w:hAnsi="黑体" w:eastAsia="黑体"/>
          <w:bCs/>
          <w:sz w:val="24"/>
          <w:szCs w:val="24"/>
          <w:highlight w:val="none"/>
        </w:rPr>
        <w:t>招标文件关键内容信息公开</w:t>
      </w:r>
    </w:p>
    <w:p w14:paraId="744895AD">
      <w:pPr>
        <w:adjustRightInd w:val="0"/>
        <w:snapToGrid w:val="0"/>
        <w:spacing w:before="120" w:beforeLines="50" w:after="120" w:afterLines="50" w:line="400" w:lineRule="exact"/>
        <w:rPr>
          <w:rFonts w:hint="eastAsia" w:ascii="黑体" w:hAnsi="黑体" w:eastAsia="黑体"/>
          <w:bCs/>
          <w:sz w:val="24"/>
          <w:szCs w:val="24"/>
          <w:highlight w:val="none"/>
        </w:rPr>
      </w:pPr>
      <w:bookmarkStart w:id="11" w:name="_Toc436994093"/>
      <w:r>
        <w:rPr>
          <w:rFonts w:ascii="黑体" w:hAnsi="黑体" w:eastAsia="黑体"/>
          <w:bCs/>
          <w:sz w:val="24"/>
          <w:szCs w:val="24"/>
          <w:highlight w:val="none"/>
        </w:rPr>
        <w:t>1.招标条件</w:t>
      </w:r>
      <w:bookmarkEnd w:id="11"/>
    </w:p>
    <w:p w14:paraId="1FA30D4E">
      <w:pPr>
        <w:adjustRightInd w:val="0"/>
        <w:snapToGrid w:val="0"/>
        <w:spacing w:line="400" w:lineRule="exact"/>
        <w:ind w:firstLine="420" w:firstLineChars="200"/>
        <w:rPr>
          <w:rFonts w:hint="eastAsia" w:ascii="宋体" w:hAnsi="宋体"/>
          <w:bCs/>
          <w:szCs w:val="21"/>
          <w:highlight w:val="none"/>
        </w:rPr>
      </w:pPr>
      <w:bookmarkStart w:id="12" w:name="_Hlk186113543"/>
      <w:r>
        <w:rPr>
          <w:rFonts w:hint="eastAsia" w:ascii="宋体" w:hAnsi="宋体"/>
          <w:bCs/>
          <w:szCs w:val="21"/>
          <w:highlight w:val="none"/>
        </w:rPr>
        <w:t>本招标项目</w:t>
      </w:r>
      <w:r>
        <w:rPr>
          <w:rFonts w:hint="eastAsia" w:ascii="黑体" w:hAnsi="黑体" w:eastAsia="黑体"/>
          <w:bCs/>
          <w:kern w:val="0"/>
          <w:szCs w:val="21"/>
          <w:highlight w:val="none"/>
          <w:u w:val="single"/>
          <w:lang w:val="zh-CN"/>
        </w:rPr>
        <w:t>延边州2024年国道丹阿公路园池至崇善(南夕)段路面改造工程</w:t>
      </w:r>
      <w:r>
        <w:rPr>
          <w:rFonts w:hint="eastAsia" w:ascii="宋体" w:hAnsi="宋体"/>
          <w:bCs/>
          <w:kern w:val="0"/>
          <w:szCs w:val="21"/>
          <w:highlight w:val="none"/>
          <w:lang w:val="zh-CN"/>
        </w:rPr>
        <w:t>已列入养护计划，施工图设计</w:t>
      </w:r>
      <w:r>
        <w:rPr>
          <w:rFonts w:hint="eastAsia" w:ascii="宋体" w:hAnsi="宋体"/>
          <w:bCs/>
          <w:szCs w:val="21"/>
          <w:highlight w:val="none"/>
        </w:rPr>
        <w:t>已由吉林省公路管理局以</w:t>
      </w:r>
      <w:bookmarkStart w:id="13" w:name="OLE_LINK89"/>
      <w:bookmarkStart w:id="14" w:name="_Hlk186123500"/>
      <w:r>
        <w:rPr>
          <w:rFonts w:hint="eastAsia" w:ascii="宋体" w:hAnsi="宋体"/>
          <w:bCs/>
          <w:szCs w:val="21"/>
          <w:highlight w:val="none"/>
        </w:rPr>
        <w:t>吉公路技〔2024〕183</w:t>
      </w:r>
      <w:bookmarkEnd w:id="13"/>
      <w:r>
        <w:rPr>
          <w:rFonts w:hint="eastAsia" w:ascii="宋体" w:hAnsi="宋体"/>
          <w:bCs/>
          <w:szCs w:val="21"/>
          <w:highlight w:val="none"/>
        </w:rPr>
        <w:t>号</w:t>
      </w:r>
      <w:bookmarkEnd w:id="14"/>
      <w:r>
        <w:rPr>
          <w:rFonts w:hint="eastAsia" w:ascii="宋体" w:hAnsi="宋体"/>
          <w:bCs/>
          <w:szCs w:val="21"/>
          <w:highlight w:val="none"/>
        </w:rPr>
        <w:t>文件批准，项目业主（招标人）为</w:t>
      </w:r>
      <w:r>
        <w:rPr>
          <w:rFonts w:hint="eastAsia" w:ascii="黑体" w:hAnsi="黑体" w:eastAsia="黑体"/>
          <w:bCs/>
          <w:kern w:val="0"/>
          <w:szCs w:val="21"/>
          <w:highlight w:val="none"/>
          <w:u w:val="single"/>
          <w:lang w:val="zh-CN"/>
        </w:rPr>
        <w:t>延边州公路养护工程项目管理办公室</w:t>
      </w:r>
      <w:r>
        <w:rPr>
          <w:rFonts w:hint="eastAsia" w:ascii="宋体" w:hAnsi="宋体"/>
          <w:bCs/>
          <w:szCs w:val="21"/>
          <w:highlight w:val="none"/>
        </w:rPr>
        <w:t>，建设资金来自成品油价格和税费改革税收中央转移支付资金，出资比例为100%。项目已具备招标条件，现对该项目的施工进行公开招标</w:t>
      </w:r>
      <w:r>
        <w:rPr>
          <w:rFonts w:ascii="宋体" w:hAnsi="宋体"/>
          <w:bCs/>
          <w:szCs w:val="21"/>
          <w:highlight w:val="none"/>
        </w:rPr>
        <w:t>。</w:t>
      </w:r>
    </w:p>
    <w:bookmarkEnd w:id="12"/>
    <w:p w14:paraId="4D421BC3">
      <w:pPr>
        <w:adjustRightInd w:val="0"/>
        <w:snapToGrid w:val="0"/>
        <w:spacing w:before="120" w:beforeLines="50" w:after="120" w:afterLines="50" w:line="400" w:lineRule="exact"/>
        <w:rPr>
          <w:rFonts w:hint="eastAsia" w:ascii="黑体" w:hAnsi="黑体" w:eastAsia="黑体"/>
          <w:bCs/>
          <w:sz w:val="24"/>
          <w:szCs w:val="24"/>
          <w:highlight w:val="none"/>
        </w:rPr>
      </w:pPr>
      <w:bookmarkStart w:id="15" w:name="_Toc436994094"/>
      <w:bookmarkStart w:id="16" w:name="OLE_LINK65"/>
      <w:r>
        <w:rPr>
          <w:rFonts w:ascii="黑体" w:hAnsi="黑体" w:eastAsia="黑体"/>
          <w:bCs/>
          <w:sz w:val="24"/>
          <w:szCs w:val="24"/>
          <w:highlight w:val="none"/>
        </w:rPr>
        <w:t>2.项目概况与招标范围</w:t>
      </w:r>
      <w:bookmarkEnd w:id="15"/>
    </w:p>
    <w:p w14:paraId="7C2FEB0B">
      <w:pPr>
        <w:adjustRightInd w:val="0"/>
        <w:snapToGrid w:val="0"/>
        <w:spacing w:line="400" w:lineRule="exact"/>
        <w:ind w:firstLine="420" w:firstLineChars="200"/>
        <w:jc w:val="left"/>
        <w:rPr>
          <w:rFonts w:hint="eastAsia" w:ascii="宋体" w:hAnsi="宋体"/>
          <w:bCs/>
          <w:szCs w:val="21"/>
          <w:highlight w:val="none"/>
        </w:rPr>
      </w:pPr>
      <w:bookmarkStart w:id="17" w:name="_Hlk186113577"/>
      <w:bookmarkStart w:id="18" w:name="_Toc436994095"/>
      <w:bookmarkStart w:id="19" w:name="_Toc257655328"/>
      <w:r>
        <w:rPr>
          <w:rFonts w:hint="eastAsia" w:ascii="宋体" w:hAnsi="宋体"/>
          <w:bCs/>
          <w:szCs w:val="21"/>
          <w:highlight w:val="none"/>
        </w:rPr>
        <w:t>2.1建设地点：吉林省和龙市境内。</w:t>
      </w:r>
    </w:p>
    <w:p w14:paraId="6EBBBB8C">
      <w:pPr>
        <w:adjustRightInd w:val="0"/>
        <w:snapToGrid w:val="0"/>
        <w:spacing w:line="400" w:lineRule="exact"/>
        <w:ind w:firstLine="420" w:firstLineChars="200"/>
        <w:jc w:val="left"/>
        <w:rPr>
          <w:rFonts w:hint="eastAsia" w:ascii="宋体" w:hAnsi="宋体"/>
          <w:bCs/>
          <w:szCs w:val="21"/>
          <w:highlight w:val="none"/>
        </w:rPr>
      </w:pPr>
      <w:r>
        <w:rPr>
          <w:rFonts w:hint="eastAsia" w:ascii="宋体" w:hAnsi="宋体"/>
          <w:bCs/>
          <w:szCs w:val="21"/>
          <w:highlight w:val="none"/>
        </w:rPr>
        <w:t>2.2建设规模：</w:t>
      </w:r>
      <w:bookmarkStart w:id="20" w:name="OLE_LINK3"/>
      <w:bookmarkStart w:id="21" w:name="_Hlk186123473"/>
      <w:r>
        <w:rPr>
          <w:rFonts w:hint="eastAsia" w:ascii="宋体" w:hAnsi="宋体"/>
          <w:bCs/>
          <w:szCs w:val="21"/>
          <w:highlight w:val="none"/>
        </w:rPr>
        <w:t>延边州2024年国道丹阿公路</w:t>
      </w:r>
      <w:bookmarkStart w:id="22" w:name="OLE_LINK6"/>
      <w:r>
        <w:rPr>
          <w:rFonts w:hint="eastAsia" w:ascii="宋体" w:hAnsi="宋体"/>
          <w:bCs/>
          <w:szCs w:val="21"/>
          <w:highlight w:val="none"/>
        </w:rPr>
        <w:t>园池至崇善(南夕)段</w:t>
      </w:r>
      <w:bookmarkEnd w:id="22"/>
      <w:r>
        <w:rPr>
          <w:rFonts w:hint="eastAsia" w:ascii="宋体" w:hAnsi="宋体"/>
          <w:bCs/>
          <w:szCs w:val="21"/>
          <w:highlight w:val="none"/>
        </w:rPr>
        <w:t>路面改造工程</w:t>
      </w:r>
      <w:bookmarkEnd w:id="20"/>
      <w:r>
        <w:rPr>
          <w:rFonts w:hint="eastAsia" w:ascii="宋体" w:hAnsi="宋体"/>
          <w:bCs/>
          <w:szCs w:val="21"/>
          <w:highlight w:val="none"/>
        </w:rPr>
        <w:t>，全长71.213公里（K1034+728～K1105+940.503）。路线起点位于园池（长白山管委会与延边州交界处），终点位于南夕村东南侧，三级公路标准，主要工程内容为</w:t>
      </w:r>
      <w:bookmarkStart w:id="23" w:name="OLE_LINK57"/>
      <w:r>
        <w:rPr>
          <w:rFonts w:hint="eastAsia" w:ascii="宋体" w:hAnsi="宋体"/>
          <w:bCs/>
          <w:szCs w:val="21"/>
          <w:highlight w:val="none"/>
        </w:rPr>
        <w:t>既有路面</w:t>
      </w:r>
      <w:bookmarkEnd w:id="23"/>
      <w:r>
        <w:rPr>
          <w:rFonts w:hint="eastAsia" w:ascii="宋体" w:hAnsi="宋体"/>
          <w:bCs/>
          <w:szCs w:val="21"/>
          <w:highlight w:val="none"/>
        </w:rPr>
        <w:t>改造及安全设施。</w:t>
      </w:r>
    </w:p>
    <w:bookmarkEnd w:id="17"/>
    <w:bookmarkEnd w:id="21"/>
    <w:p w14:paraId="721C9D36">
      <w:pPr>
        <w:adjustRightInd w:val="0"/>
        <w:snapToGrid w:val="0"/>
        <w:spacing w:line="400" w:lineRule="exact"/>
        <w:ind w:firstLine="420" w:firstLineChars="200"/>
        <w:jc w:val="left"/>
        <w:rPr>
          <w:rFonts w:hint="eastAsia" w:ascii="宋体" w:hAnsi="宋体"/>
          <w:bCs/>
          <w:szCs w:val="21"/>
          <w:highlight w:val="none"/>
        </w:rPr>
      </w:pPr>
      <w:r>
        <w:rPr>
          <w:rFonts w:hint="eastAsia" w:ascii="宋体" w:hAnsi="宋体"/>
          <w:bCs/>
          <w:szCs w:val="21"/>
          <w:highlight w:val="none"/>
        </w:rPr>
        <w:t>2.3招标范围：</w:t>
      </w:r>
      <w:bookmarkEnd w:id="18"/>
      <w:bookmarkEnd w:id="19"/>
      <w:bookmarkStart w:id="24" w:name="_Toc455238557"/>
      <w:r>
        <w:rPr>
          <w:rFonts w:hint="eastAsia" w:ascii="宋体" w:hAnsi="宋体"/>
          <w:szCs w:val="21"/>
          <w:highlight w:val="none"/>
        </w:rPr>
        <w:t>经批复的施工图设计范围内所有工程的施工</w:t>
      </w:r>
      <w:r>
        <w:rPr>
          <w:rFonts w:hint="eastAsia" w:ascii="宋体" w:hAnsi="宋体" w:cs="仿宋_GB2312"/>
          <w:bCs/>
          <w:szCs w:val="21"/>
          <w:highlight w:val="none"/>
          <w:lang w:val="zh-CN"/>
        </w:rPr>
        <w:t>。</w:t>
      </w:r>
    </w:p>
    <w:p w14:paraId="37C30F2A">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 xml:space="preserve">2.4 </w:t>
      </w:r>
      <w:bookmarkStart w:id="25" w:name="_Hlk186033389"/>
      <w:r>
        <w:rPr>
          <w:rFonts w:hint="eastAsia" w:ascii="宋体" w:hAnsi="宋体"/>
          <w:bCs/>
          <w:szCs w:val="21"/>
          <w:highlight w:val="none"/>
        </w:rPr>
        <w:t>标段划分：</w:t>
      </w:r>
      <w:bookmarkStart w:id="26" w:name="_Hlk186123575"/>
      <w:r>
        <w:rPr>
          <w:rFonts w:hint="eastAsia" w:ascii="宋体" w:hAnsi="宋体"/>
          <w:bCs/>
          <w:szCs w:val="21"/>
          <w:highlight w:val="none"/>
        </w:rPr>
        <w:t>本次招标划分为3个标段，具体如下：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35"/>
        <w:gridCol w:w="3011"/>
        <w:gridCol w:w="1284"/>
        <w:gridCol w:w="4165"/>
      </w:tblGrid>
      <w:tr w14:paraId="58A8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jc w:val="center"/>
        </w:trPr>
        <w:tc>
          <w:tcPr>
            <w:tcW w:w="637" w:type="pct"/>
            <w:tcBorders>
              <w:top w:val="single" w:color="auto" w:sz="4" w:space="0"/>
              <w:left w:val="single" w:color="auto" w:sz="4" w:space="0"/>
              <w:bottom w:val="single" w:color="auto" w:sz="4" w:space="0"/>
              <w:right w:val="single" w:color="auto" w:sz="4" w:space="0"/>
            </w:tcBorders>
            <w:vAlign w:val="center"/>
          </w:tcPr>
          <w:p w14:paraId="37FF17C8">
            <w:pPr>
              <w:adjustRightInd w:val="0"/>
              <w:snapToGrid w:val="0"/>
              <w:spacing w:line="300" w:lineRule="exact"/>
              <w:jc w:val="center"/>
              <w:rPr>
                <w:rFonts w:hint="eastAsia" w:ascii="宋体" w:hAnsi="宋体"/>
                <w:bCs/>
                <w:szCs w:val="21"/>
                <w:highlight w:val="none"/>
              </w:rPr>
            </w:pPr>
            <w:r>
              <w:rPr>
                <w:rFonts w:hint="eastAsia" w:ascii="宋体" w:hAnsi="宋体"/>
                <w:bCs/>
                <w:szCs w:val="21"/>
                <w:highlight w:val="none"/>
              </w:rPr>
              <w:t>标段</w:t>
            </w:r>
          </w:p>
        </w:tc>
        <w:tc>
          <w:tcPr>
            <w:tcW w:w="1553" w:type="pct"/>
            <w:tcBorders>
              <w:top w:val="single" w:color="auto" w:sz="4" w:space="0"/>
              <w:left w:val="single" w:color="auto" w:sz="4" w:space="0"/>
              <w:bottom w:val="single" w:color="auto" w:sz="4" w:space="0"/>
              <w:right w:val="single" w:color="auto" w:sz="4" w:space="0"/>
            </w:tcBorders>
            <w:vAlign w:val="center"/>
          </w:tcPr>
          <w:p w14:paraId="50403417">
            <w:pPr>
              <w:adjustRightInd w:val="0"/>
              <w:snapToGrid w:val="0"/>
              <w:spacing w:line="300" w:lineRule="exact"/>
              <w:jc w:val="center"/>
              <w:rPr>
                <w:rFonts w:hint="eastAsia" w:ascii="宋体" w:hAnsi="宋体"/>
                <w:bCs/>
                <w:szCs w:val="21"/>
                <w:highlight w:val="none"/>
              </w:rPr>
            </w:pPr>
            <w:r>
              <w:rPr>
                <w:rFonts w:hint="eastAsia" w:ascii="宋体" w:hAnsi="宋体"/>
                <w:bCs/>
                <w:szCs w:val="21"/>
                <w:highlight w:val="none"/>
              </w:rPr>
              <w:t>段落</w:t>
            </w:r>
          </w:p>
        </w:tc>
        <w:tc>
          <w:tcPr>
            <w:tcW w:w="662" w:type="pct"/>
            <w:tcBorders>
              <w:top w:val="single" w:color="auto" w:sz="4" w:space="0"/>
              <w:left w:val="single" w:color="auto" w:sz="4" w:space="0"/>
              <w:bottom w:val="single" w:color="auto" w:sz="4" w:space="0"/>
              <w:right w:val="single" w:color="auto" w:sz="4" w:space="0"/>
            </w:tcBorders>
            <w:vAlign w:val="center"/>
          </w:tcPr>
          <w:p w14:paraId="593DAC85">
            <w:pPr>
              <w:adjustRightInd w:val="0"/>
              <w:snapToGrid w:val="0"/>
              <w:spacing w:line="300" w:lineRule="exact"/>
              <w:jc w:val="center"/>
              <w:rPr>
                <w:rFonts w:hint="eastAsia" w:ascii="宋体" w:hAnsi="宋体"/>
                <w:bCs/>
                <w:szCs w:val="21"/>
                <w:highlight w:val="none"/>
              </w:rPr>
            </w:pPr>
            <w:r>
              <w:rPr>
                <w:rFonts w:hint="eastAsia" w:ascii="宋体" w:hAnsi="宋体"/>
                <w:bCs/>
                <w:szCs w:val="21"/>
                <w:highlight w:val="none"/>
              </w:rPr>
              <w:t>长度（KM</w:t>
            </w:r>
            <w:r>
              <w:rPr>
                <w:rFonts w:ascii="宋体" w:hAnsi="宋体"/>
                <w:bCs/>
                <w:szCs w:val="21"/>
                <w:highlight w:val="none"/>
              </w:rPr>
              <w:t>）</w:t>
            </w:r>
          </w:p>
        </w:tc>
        <w:tc>
          <w:tcPr>
            <w:tcW w:w="2148" w:type="pct"/>
            <w:tcBorders>
              <w:top w:val="single" w:color="auto" w:sz="4" w:space="0"/>
              <w:left w:val="single" w:color="auto" w:sz="4" w:space="0"/>
              <w:bottom w:val="single" w:color="auto" w:sz="4" w:space="0"/>
              <w:right w:val="single" w:color="auto" w:sz="4" w:space="0"/>
            </w:tcBorders>
            <w:vAlign w:val="center"/>
          </w:tcPr>
          <w:p w14:paraId="31046AFB">
            <w:pPr>
              <w:adjustRightInd w:val="0"/>
              <w:snapToGrid w:val="0"/>
              <w:spacing w:line="300" w:lineRule="exact"/>
              <w:jc w:val="center"/>
              <w:rPr>
                <w:rFonts w:hint="eastAsia" w:ascii="宋体" w:hAnsi="宋体"/>
                <w:bCs/>
                <w:szCs w:val="21"/>
                <w:highlight w:val="none"/>
              </w:rPr>
            </w:pPr>
            <w:r>
              <w:rPr>
                <w:rFonts w:hint="eastAsia" w:ascii="宋体" w:hAnsi="宋体"/>
                <w:bCs/>
                <w:szCs w:val="21"/>
                <w:highlight w:val="none"/>
              </w:rPr>
              <w:t>主要工程内容</w:t>
            </w:r>
          </w:p>
        </w:tc>
      </w:tr>
      <w:tr w14:paraId="01C1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7" w:type="pct"/>
            <w:tcBorders>
              <w:top w:val="single" w:color="auto" w:sz="4" w:space="0"/>
              <w:left w:val="single" w:color="000000" w:sz="4" w:space="0"/>
              <w:bottom w:val="single" w:color="auto" w:sz="4" w:space="0"/>
              <w:right w:val="single" w:color="000000" w:sz="4" w:space="0"/>
            </w:tcBorders>
            <w:vAlign w:val="center"/>
          </w:tcPr>
          <w:p w14:paraId="4D2BB73D">
            <w:pPr>
              <w:adjustRightInd w:val="0"/>
              <w:snapToGrid w:val="0"/>
              <w:spacing w:line="340" w:lineRule="exact"/>
              <w:jc w:val="center"/>
              <w:rPr>
                <w:rFonts w:hint="eastAsia" w:ascii="黑体" w:hAnsi="黑体" w:eastAsia="黑体"/>
                <w:bCs/>
                <w:szCs w:val="21"/>
                <w:highlight w:val="none"/>
              </w:rPr>
            </w:pPr>
            <w:bookmarkStart w:id="27" w:name="OLE_LINK4"/>
            <w:r>
              <w:rPr>
                <w:rFonts w:hint="eastAsia" w:ascii="黑体" w:hAnsi="黑体" w:eastAsia="黑体"/>
                <w:bCs/>
                <w:szCs w:val="21"/>
                <w:highlight w:val="none"/>
              </w:rPr>
              <w:t>YB25YH01</w:t>
            </w:r>
            <w:bookmarkEnd w:id="27"/>
          </w:p>
        </w:tc>
        <w:tc>
          <w:tcPr>
            <w:tcW w:w="1553" w:type="pct"/>
            <w:tcBorders>
              <w:top w:val="single" w:color="auto" w:sz="4" w:space="0"/>
              <w:left w:val="single" w:color="000000" w:sz="4" w:space="0"/>
              <w:bottom w:val="single" w:color="auto" w:sz="4" w:space="0"/>
              <w:right w:val="single" w:color="000000" w:sz="4" w:space="0"/>
            </w:tcBorders>
            <w:vAlign w:val="center"/>
          </w:tcPr>
          <w:p w14:paraId="21218B0F">
            <w:pPr>
              <w:adjustRightInd w:val="0"/>
              <w:snapToGrid w:val="0"/>
              <w:spacing w:line="340" w:lineRule="exact"/>
              <w:jc w:val="center"/>
              <w:rPr>
                <w:rFonts w:hint="eastAsia" w:ascii="宋体" w:hAnsi="宋体"/>
                <w:bCs/>
                <w:szCs w:val="21"/>
                <w:highlight w:val="none"/>
              </w:rPr>
            </w:pPr>
            <w:bookmarkStart w:id="28" w:name="OLE_LINK13"/>
            <w:r>
              <w:rPr>
                <w:rFonts w:hint="eastAsia" w:ascii="宋体" w:hAnsi="宋体"/>
                <w:bCs/>
                <w:szCs w:val="21"/>
                <w:highlight w:val="none"/>
              </w:rPr>
              <w:t>K1034+728～</w:t>
            </w:r>
            <w:bookmarkStart w:id="29" w:name="OLE_LINK56"/>
            <w:r>
              <w:rPr>
                <w:rFonts w:hint="eastAsia" w:ascii="宋体" w:hAnsi="宋体"/>
                <w:bCs/>
                <w:szCs w:val="21"/>
                <w:highlight w:val="none"/>
                <w:lang w:val="en-US" w:eastAsia="zh-CN"/>
              </w:rPr>
              <w:t>K</w:t>
            </w:r>
            <w:r>
              <w:rPr>
                <w:rFonts w:ascii="宋体" w:hAnsi="宋体"/>
                <w:bCs/>
                <w:szCs w:val="21"/>
                <w:highlight w:val="none"/>
              </w:rPr>
              <w:t>1071+000</w:t>
            </w:r>
            <w:bookmarkEnd w:id="28"/>
            <w:bookmarkEnd w:id="29"/>
          </w:p>
        </w:tc>
        <w:tc>
          <w:tcPr>
            <w:tcW w:w="662" w:type="pct"/>
            <w:tcBorders>
              <w:top w:val="single" w:color="auto" w:sz="4" w:space="0"/>
              <w:left w:val="single" w:color="000000" w:sz="4" w:space="0"/>
              <w:bottom w:val="single" w:color="auto" w:sz="4" w:space="0"/>
              <w:right w:val="single" w:color="000000" w:sz="4" w:space="0"/>
            </w:tcBorders>
            <w:vAlign w:val="center"/>
          </w:tcPr>
          <w:p w14:paraId="44F33796">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36.272</w:t>
            </w:r>
          </w:p>
        </w:tc>
        <w:tc>
          <w:tcPr>
            <w:tcW w:w="2148" w:type="pct"/>
            <w:tcBorders>
              <w:top w:val="single" w:color="auto" w:sz="4" w:space="0"/>
              <w:left w:val="single" w:color="000000" w:sz="4" w:space="0"/>
              <w:bottom w:val="single" w:color="auto" w:sz="4" w:space="0"/>
              <w:right w:val="single" w:color="000000" w:sz="4" w:space="0"/>
            </w:tcBorders>
            <w:vAlign w:val="center"/>
          </w:tcPr>
          <w:p w14:paraId="4EB7CD7F">
            <w:pPr>
              <w:adjustRightInd w:val="0"/>
              <w:snapToGrid w:val="0"/>
              <w:spacing w:line="340" w:lineRule="exact"/>
              <w:rPr>
                <w:rFonts w:hint="eastAsia" w:ascii="宋体" w:hAnsi="宋体"/>
                <w:bCs/>
                <w:szCs w:val="21"/>
                <w:highlight w:val="none"/>
              </w:rPr>
            </w:pPr>
            <w:bookmarkStart w:id="30" w:name="OLE_LINK60"/>
            <w:r>
              <w:rPr>
                <w:rFonts w:hint="eastAsia" w:ascii="宋体" w:hAnsi="宋体"/>
                <w:bCs/>
                <w:szCs w:val="21"/>
                <w:highlight w:val="none"/>
              </w:rPr>
              <w:t>既有路面改造:临时工程、路基工程、路面工程、桥涵工程、绿化及环境保护工程。</w:t>
            </w:r>
            <w:bookmarkEnd w:id="30"/>
            <w:bookmarkStart w:id="31" w:name="_Hlk186101553"/>
          </w:p>
        </w:tc>
      </w:tr>
      <w:bookmarkEnd w:id="31"/>
      <w:tr w14:paraId="679B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7" w:type="pct"/>
            <w:tcBorders>
              <w:top w:val="single" w:color="auto" w:sz="4" w:space="0"/>
              <w:left w:val="single" w:color="000000" w:sz="4" w:space="0"/>
              <w:bottom w:val="single" w:color="auto" w:sz="4" w:space="0"/>
              <w:right w:val="single" w:color="000000" w:sz="4" w:space="0"/>
            </w:tcBorders>
            <w:vAlign w:val="center"/>
          </w:tcPr>
          <w:p w14:paraId="77DDFE6E">
            <w:pPr>
              <w:adjustRightInd w:val="0"/>
              <w:snapToGrid w:val="0"/>
              <w:spacing w:line="340" w:lineRule="exact"/>
              <w:jc w:val="center"/>
              <w:rPr>
                <w:rFonts w:hint="eastAsia" w:ascii="黑体" w:hAnsi="黑体" w:eastAsia="黑体"/>
                <w:bCs/>
                <w:szCs w:val="21"/>
                <w:highlight w:val="none"/>
              </w:rPr>
            </w:pPr>
            <w:bookmarkStart w:id="32" w:name="OLE_LINK54"/>
            <w:r>
              <w:rPr>
                <w:rFonts w:hint="eastAsia" w:ascii="黑体" w:hAnsi="黑体" w:eastAsia="黑体"/>
                <w:bCs/>
                <w:szCs w:val="21"/>
                <w:highlight w:val="none"/>
              </w:rPr>
              <w:t>YB25YH02</w:t>
            </w:r>
            <w:bookmarkEnd w:id="32"/>
          </w:p>
        </w:tc>
        <w:tc>
          <w:tcPr>
            <w:tcW w:w="1553" w:type="pct"/>
            <w:tcBorders>
              <w:top w:val="single" w:color="auto" w:sz="4" w:space="0"/>
              <w:left w:val="single" w:color="000000" w:sz="4" w:space="0"/>
              <w:bottom w:val="single" w:color="auto" w:sz="4" w:space="0"/>
              <w:right w:val="single" w:color="000000" w:sz="4" w:space="0"/>
            </w:tcBorders>
            <w:vAlign w:val="center"/>
          </w:tcPr>
          <w:p w14:paraId="562977DA">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lang w:val="en-US" w:eastAsia="zh-CN"/>
              </w:rPr>
              <w:t>K</w:t>
            </w:r>
            <w:bookmarkStart w:id="105" w:name="_GoBack"/>
            <w:bookmarkEnd w:id="105"/>
            <w:r>
              <w:rPr>
                <w:rFonts w:ascii="宋体" w:hAnsi="宋体"/>
                <w:bCs/>
                <w:szCs w:val="21"/>
                <w:highlight w:val="none"/>
              </w:rPr>
              <w:t>1071+000</w:t>
            </w:r>
            <w:r>
              <w:rPr>
                <w:rFonts w:hint="eastAsia" w:ascii="宋体" w:hAnsi="宋体"/>
                <w:bCs/>
                <w:szCs w:val="21"/>
                <w:highlight w:val="none"/>
              </w:rPr>
              <w:t>～K1105+940.503</w:t>
            </w:r>
          </w:p>
        </w:tc>
        <w:tc>
          <w:tcPr>
            <w:tcW w:w="662" w:type="pct"/>
            <w:tcBorders>
              <w:top w:val="single" w:color="auto" w:sz="4" w:space="0"/>
              <w:left w:val="single" w:color="000000" w:sz="4" w:space="0"/>
              <w:bottom w:val="single" w:color="auto" w:sz="4" w:space="0"/>
              <w:right w:val="single" w:color="000000" w:sz="4" w:space="0"/>
            </w:tcBorders>
            <w:vAlign w:val="center"/>
          </w:tcPr>
          <w:p w14:paraId="4A6E2729">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34.941</w:t>
            </w:r>
          </w:p>
        </w:tc>
        <w:tc>
          <w:tcPr>
            <w:tcW w:w="2148" w:type="pct"/>
            <w:tcBorders>
              <w:top w:val="single" w:color="auto" w:sz="4" w:space="0"/>
              <w:left w:val="single" w:color="000000" w:sz="4" w:space="0"/>
              <w:bottom w:val="single" w:color="auto" w:sz="4" w:space="0"/>
              <w:right w:val="single" w:color="000000" w:sz="4" w:space="0"/>
            </w:tcBorders>
            <w:vAlign w:val="center"/>
          </w:tcPr>
          <w:p w14:paraId="1403647D">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既有路面改造:</w:t>
            </w:r>
            <w:bookmarkStart w:id="33" w:name="OLE_LINK61"/>
            <w:r>
              <w:rPr>
                <w:rFonts w:hint="eastAsia" w:ascii="宋体" w:hAnsi="宋体"/>
                <w:bCs/>
                <w:szCs w:val="21"/>
                <w:highlight w:val="none"/>
              </w:rPr>
              <w:t>临时工程、</w:t>
            </w:r>
            <w:bookmarkEnd w:id="33"/>
            <w:r>
              <w:rPr>
                <w:rFonts w:hint="eastAsia" w:ascii="宋体" w:hAnsi="宋体"/>
                <w:bCs/>
                <w:szCs w:val="21"/>
                <w:highlight w:val="none"/>
              </w:rPr>
              <w:t>路基工程、路面工程、桥涵工程、绿化及环境保护工程。</w:t>
            </w:r>
          </w:p>
        </w:tc>
      </w:tr>
      <w:tr w14:paraId="74B0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7" w:type="pct"/>
            <w:tcBorders>
              <w:top w:val="single" w:color="auto" w:sz="4" w:space="0"/>
              <w:left w:val="single" w:color="000000" w:sz="4" w:space="0"/>
              <w:bottom w:val="single" w:color="auto" w:sz="4" w:space="0"/>
              <w:right w:val="single" w:color="000000" w:sz="4" w:space="0"/>
            </w:tcBorders>
            <w:vAlign w:val="center"/>
          </w:tcPr>
          <w:p w14:paraId="5028B3BA">
            <w:pPr>
              <w:adjustRightInd w:val="0"/>
              <w:snapToGrid w:val="0"/>
              <w:spacing w:line="340" w:lineRule="exact"/>
              <w:jc w:val="center"/>
              <w:rPr>
                <w:rFonts w:hint="eastAsia" w:ascii="黑体" w:hAnsi="黑体" w:eastAsia="黑体"/>
                <w:bCs/>
                <w:szCs w:val="21"/>
                <w:highlight w:val="none"/>
              </w:rPr>
            </w:pPr>
            <w:bookmarkStart w:id="34" w:name="OLE_LINK15"/>
            <w:r>
              <w:rPr>
                <w:rFonts w:hint="eastAsia" w:ascii="黑体" w:hAnsi="黑体" w:eastAsia="黑体"/>
                <w:bCs/>
                <w:szCs w:val="21"/>
                <w:highlight w:val="none"/>
              </w:rPr>
              <w:t>YB25JT01</w:t>
            </w:r>
            <w:bookmarkEnd w:id="34"/>
          </w:p>
        </w:tc>
        <w:tc>
          <w:tcPr>
            <w:tcW w:w="1553" w:type="pct"/>
            <w:tcBorders>
              <w:top w:val="single" w:color="auto" w:sz="4" w:space="0"/>
              <w:left w:val="single" w:color="000000" w:sz="4" w:space="0"/>
              <w:bottom w:val="single" w:color="auto" w:sz="4" w:space="0"/>
              <w:right w:val="single" w:color="000000" w:sz="4" w:space="0"/>
            </w:tcBorders>
            <w:vAlign w:val="center"/>
          </w:tcPr>
          <w:p w14:paraId="4483B459">
            <w:pPr>
              <w:adjustRightInd w:val="0"/>
              <w:snapToGrid w:val="0"/>
              <w:spacing w:line="340" w:lineRule="exact"/>
              <w:jc w:val="center"/>
              <w:rPr>
                <w:rFonts w:hint="eastAsia" w:ascii="宋体" w:hAnsi="宋体"/>
                <w:bCs/>
                <w:szCs w:val="21"/>
                <w:highlight w:val="none"/>
              </w:rPr>
            </w:pPr>
            <w:bookmarkStart w:id="35" w:name="OLE_LINK22"/>
            <w:r>
              <w:rPr>
                <w:rFonts w:hint="eastAsia" w:ascii="宋体" w:hAnsi="宋体"/>
                <w:bCs/>
                <w:szCs w:val="21"/>
                <w:highlight w:val="none"/>
              </w:rPr>
              <w:t>K1034+728～K1105+940.503</w:t>
            </w:r>
            <w:bookmarkEnd w:id="35"/>
          </w:p>
        </w:tc>
        <w:tc>
          <w:tcPr>
            <w:tcW w:w="662" w:type="pct"/>
            <w:tcBorders>
              <w:top w:val="single" w:color="auto" w:sz="4" w:space="0"/>
              <w:left w:val="single" w:color="000000" w:sz="4" w:space="0"/>
              <w:bottom w:val="single" w:color="auto" w:sz="4" w:space="0"/>
              <w:right w:val="single" w:color="000000" w:sz="4" w:space="0"/>
            </w:tcBorders>
            <w:vAlign w:val="center"/>
          </w:tcPr>
          <w:p w14:paraId="27628BEC">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71.213</w:t>
            </w:r>
          </w:p>
        </w:tc>
        <w:tc>
          <w:tcPr>
            <w:tcW w:w="2148" w:type="pct"/>
            <w:tcBorders>
              <w:top w:val="single" w:color="auto" w:sz="4" w:space="0"/>
              <w:left w:val="single" w:color="000000" w:sz="4" w:space="0"/>
              <w:bottom w:val="single" w:color="auto" w:sz="4" w:space="0"/>
              <w:right w:val="single" w:color="000000" w:sz="4" w:space="0"/>
            </w:tcBorders>
            <w:vAlign w:val="center"/>
          </w:tcPr>
          <w:p w14:paraId="00C73104">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交通安全设施：临时工程，标志、标线、护栏等。</w:t>
            </w:r>
          </w:p>
        </w:tc>
      </w:tr>
    </w:tbl>
    <w:p w14:paraId="3B08FCC9">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2.</w:t>
      </w:r>
      <w:bookmarkEnd w:id="25"/>
      <w:r>
        <w:rPr>
          <w:rFonts w:hint="eastAsia" w:ascii="宋体" w:hAnsi="宋体"/>
          <w:bCs/>
          <w:szCs w:val="21"/>
          <w:highlight w:val="none"/>
        </w:rPr>
        <w:t>5计划工期：</w:t>
      </w:r>
      <w:bookmarkStart w:id="36" w:name="_Hlk170805445"/>
      <w:r>
        <w:rPr>
          <w:rFonts w:hint="eastAsia" w:ascii="黑体" w:hAnsi="黑体" w:eastAsia="黑体"/>
          <w:bCs/>
          <w:szCs w:val="21"/>
          <w:highlight w:val="none"/>
        </w:rPr>
        <w:t>2025年4月1日～2025年9月15日，共167日历天</w:t>
      </w:r>
      <w:r>
        <w:rPr>
          <w:rFonts w:hint="eastAsia" w:ascii="宋体" w:hAnsi="宋体"/>
          <w:bCs/>
          <w:szCs w:val="21"/>
          <w:highlight w:val="none"/>
        </w:rPr>
        <w:t>。</w:t>
      </w:r>
      <w:bookmarkEnd w:id="36"/>
    </w:p>
    <w:bookmarkEnd w:id="26"/>
    <w:p w14:paraId="62D67EDD">
      <w:pPr>
        <w:adjustRightInd w:val="0"/>
        <w:snapToGrid w:val="0"/>
        <w:spacing w:before="120" w:beforeLines="50" w:after="120" w:afterLines="50" w:line="400" w:lineRule="exact"/>
        <w:rPr>
          <w:rFonts w:hint="eastAsia" w:ascii="黑体" w:hAnsi="黑体" w:eastAsia="黑体"/>
          <w:bCs/>
          <w:sz w:val="24"/>
          <w:szCs w:val="24"/>
          <w:highlight w:val="none"/>
        </w:rPr>
      </w:pPr>
      <w:r>
        <w:rPr>
          <w:rFonts w:hint="eastAsia" w:ascii="黑体" w:hAnsi="黑体" w:eastAsia="黑体"/>
          <w:bCs/>
          <w:sz w:val="24"/>
          <w:szCs w:val="24"/>
          <w:highlight w:val="none"/>
        </w:rPr>
        <w:t>3</w:t>
      </w:r>
      <w:r>
        <w:rPr>
          <w:rFonts w:ascii="黑体" w:hAnsi="黑体" w:eastAsia="黑体"/>
          <w:bCs/>
          <w:sz w:val="24"/>
          <w:szCs w:val="24"/>
          <w:highlight w:val="none"/>
        </w:rPr>
        <w:t>．投标人资格</w:t>
      </w:r>
      <w:r>
        <w:rPr>
          <w:rFonts w:hint="eastAsia" w:ascii="黑体" w:hAnsi="黑体" w:eastAsia="黑体"/>
          <w:bCs/>
          <w:sz w:val="24"/>
          <w:szCs w:val="24"/>
          <w:highlight w:val="none"/>
        </w:rPr>
        <w:t>要求</w:t>
      </w:r>
      <w:bookmarkEnd w:id="24"/>
    </w:p>
    <w:p w14:paraId="103CBDBB">
      <w:pPr>
        <w:adjustRightInd w:val="0"/>
        <w:snapToGrid w:val="0"/>
        <w:spacing w:line="400" w:lineRule="exact"/>
        <w:ind w:firstLine="420" w:firstLineChars="200"/>
        <w:rPr>
          <w:rFonts w:hint="eastAsia" w:ascii="宋体" w:hAnsi="宋体"/>
          <w:bCs/>
          <w:szCs w:val="21"/>
          <w:highlight w:val="none"/>
        </w:rPr>
      </w:pPr>
      <w:bookmarkStart w:id="37" w:name="_Toc452639674"/>
      <w:bookmarkStart w:id="38" w:name="_Toc452639770"/>
      <w:bookmarkStart w:id="39" w:name="_Toc455238559"/>
      <w:r>
        <w:rPr>
          <w:rFonts w:hint="eastAsia" w:ascii="宋体" w:hAnsi="宋体"/>
          <w:bCs/>
          <w:szCs w:val="21"/>
          <w:highlight w:val="none"/>
        </w:rPr>
        <w:t>3.1本次招标要求投标人须同时具备交通运输主管部门颁发的以下公路养护作业单位资质，并在人员、设备、资金等方面具有相应的施工能力。</w:t>
      </w:r>
      <w:bookmarkStart w:id="40" w:name="_Hlk186034259"/>
    </w:p>
    <w:p w14:paraId="6FA755EE">
      <w:pPr>
        <w:adjustRightInd w:val="0"/>
        <w:snapToGrid w:val="0"/>
        <w:spacing w:line="400" w:lineRule="exact"/>
        <w:ind w:firstLine="420" w:firstLineChars="200"/>
        <w:rPr>
          <w:rFonts w:hint="eastAsia" w:ascii="宋体" w:hAnsi="宋体"/>
          <w:bCs/>
          <w:szCs w:val="21"/>
          <w:highlight w:val="none"/>
        </w:rPr>
      </w:pPr>
      <w:bookmarkStart w:id="41" w:name="OLE_LINK63"/>
      <w:bookmarkStart w:id="42" w:name="_Hlk186123649"/>
      <w:r>
        <w:rPr>
          <w:rFonts w:hint="eastAsia" w:ascii="黑体" w:hAnsi="黑体" w:eastAsia="黑体"/>
          <w:bCs/>
          <w:szCs w:val="21"/>
          <w:highlight w:val="none"/>
        </w:rPr>
        <w:t>YB25YH01、YB25YH02标段</w:t>
      </w:r>
      <w:bookmarkEnd w:id="41"/>
      <w:r>
        <w:rPr>
          <w:rFonts w:hint="eastAsia" w:ascii="黑体" w:hAnsi="黑体" w:eastAsia="黑体"/>
          <w:bCs/>
          <w:szCs w:val="21"/>
          <w:highlight w:val="none"/>
        </w:rPr>
        <w:t>：</w:t>
      </w:r>
      <w:r>
        <w:rPr>
          <w:rFonts w:hint="eastAsia" w:ascii="宋体" w:hAnsi="宋体"/>
          <w:bCs/>
          <w:szCs w:val="21"/>
          <w:highlight w:val="none"/>
        </w:rPr>
        <w:t>路基路面养护乙级（或甲级）资质及桥梁养护乙级（或甲级）资质。</w:t>
      </w:r>
    </w:p>
    <w:p w14:paraId="32BE24A8">
      <w:pPr>
        <w:adjustRightInd w:val="0"/>
        <w:snapToGrid w:val="0"/>
        <w:spacing w:line="400" w:lineRule="exact"/>
        <w:ind w:firstLine="420" w:firstLineChars="200"/>
        <w:rPr>
          <w:rFonts w:hint="eastAsia" w:ascii="宋体" w:hAnsi="宋体"/>
          <w:szCs w:val="21"/>
          <w:highlight w:val="none"/>
        </w:rPr>
      </w:pPr>
      <w:bookmarkStart w:id="43" w:name="OLE_LINK71"/>
      <w:r>
        <w:rPr>
          <w:rFonts w:hint="eastAsia" w:ascii="黑体" w:hAnsi="黑体" w:eastAsia="黑体"/>
          <w:bCs/>
          <w:szCs w:val="21"/>
          <w:highlight w:val="none"/>
        </w:rPr>
        <w:t>YB25JT01标段：</w:t>
      </w:r>
      <w:bookmarkEnd w:id="43"/>
      <w:r>
        <w:rPr>
          <w:rFonts w:hint="eastAsia" w:ascii="宋体" w:hAnsi="宋体"/>
          <w:szCs w:val="21"/>
          <w:highlight w:val="none"/>
        </w:rPr>
        <w:t>交通安全设施养护资质（可以承担二级及以下公路交通安全设施的各类养护工程）或交通安全设施养护资质（可以承担各等级公路交通安全设施的各类养护工程）。</w:t>
      </w:r>
    </w:p>
    <w:bookmarkEnd w:id="42"/>
    <w:p w14:paraId="6BE629E4">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3.2</w:t>
      </w:r>
      <w:bookmarkStart w:id="44" w:name="_Hlk186123879"/>
      <w:r>
        <w:rPr>
          <w:rFonts w:hint="eastAsia" w:ascii="宋体" w:hAnsi="宋体"/>
          <w:bCs/>
          <w:szCs w:val="21"/>
          <w:highlight w:val="none"/>
        </w:rPr>
        <w:t>本次招标YB25YH01、YB25YH02标段接受联合体投标，YB25JT01标段不接受联合体投标。联合体投标的，应满足以下联合体要求：</w:t>
      </w:r>
    </w:p>
    <w:p w14:paraId="2662B57F">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（1）联合体所有成员数量不得超过2家；</w:t>
      </w:r>
    </w:p>
    <w:p w14:paraId="42CCF1B0">
      <w:pPr>
        <w:adjustRightInd w:val="0"/>
        <w:snapToGrid w:val="0"/>
        <w:spacing w:line="400" w:lineRule="exact"/>
        <w:ind w:firstLine="420" w:firstLineChars="200"/>
        <w:rPr>
          <w:rFonts w:hint="eastAsia" w:ascii="宋体" w:hAnsi="宋体" w:cs="宋体"/>
          <w:bCs/>
          <w:szCs w:val="21"/>
          <w:highlight w:val="none"/>
        </w:rPr>
      </w:pPr>
      <w:r>
        <w:rPr>
          <w:rFonts w:hint="eastAsia" w:ascii="宋体" w:hAnsi="宋体"/>
          <w:bCs/>
          <w:szCs w:val="21"/>
          <w:highlight w:val="none"/>
        </w:rPr>
        <w:t>（2）</w:t>
      </w:r>
      <w:r>
        <w:rPr>
          <w:rFonts w:hint="eastAsia" w:ascii="宋体" w:hAnsi="宋体"/>
          <w:szCs w:val="21"/>
          <w:highlight w:val="none"/>
        </w:rPr>
        <w:t>联合体牵头人应具有交通运输主管部门颁发的路基路面养护乙级（或甲级）资质，并至少承担路基路面养护施工</w:t>
      </w:r>
      <w:r>
        <w:rPr>
          <w:rFonts w:hint="eastAsia" w:ascii="宋体" w:hAnsi="宋体" w:cs="宋体"/>
          <w:bCs/>
          <w:szCs w:val="21"/>
          <w:highlight w:val="none"/>
        </w:rPr>
        <w:t>；</w:t>
      </w:r>
    </w:p>
    <w:bookmarkEnd w:id="44"/>
    <w:p w14:paraId="0E566BE0">
      <w:pPr>
        <w:adjustRightInd w:val="0"/>
        <w:snapToGrid w:val="0"/>
        <w:spacing w:line="400" w:lineRule="exact"/>
        <w:ind w:firstLine="420" w:firstLineChars="200"/>
        <w:rPr>
          <w:rFonts w:hint="eastAsia" w:ascii="宋体" w:hAnsi="宋体"/>
          <w:color w:val="FF0000"/>
          <w:szCs w:val="21"/>
          <w:highlight w:val="none"/>
        </w:rPr>
      </w:pPr>
      <w:r>
        <w:rPr>
          <w:rFonts w:hint="eastAsia" w:ascii="宋体" w:hAnsi="宋体"/>
          <w:szCs w:val="21"/>
          <w:highlight w:val="none"/>
        </w:rPr>
        <w:t>（3）符合招标文件对联合体的其他要求。</w:t>
      </w:r>
    </w:p>
    <w:p w14:paraId="43F715EA">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3.3每个投标人（包括联合体各成员）</w:t>
      </w:r>
      <w:r>
        <w:rPr>
          <w:rFonts w:hint="eastAsia" w:ascii="黑体" w:hAnsi="黑体" w:eastAsia="黑体"/>
          <w:bCs/>
          <w:szCs w:val="21"/>
          <w:highlight w:val="none"/>
        </w:rPr>
        <w:t>可对本次招标所有标段进行投标</w:t>
      </w:r>
      <w:r>
        <w:rPr>
          <w:rFonts w:hint="eastAsia" w:ascii="宋体" w:hAnsi="宋体"/>
          <w:bCs/>
          <w:szCs w:val="21"/>
          <w:highlight w:val="none"/>
        </w:rPr>
        <w:t>，每个投标人（包括联合体各成员）</w:t>
      </w:r>
      <w:r>
        <w:rPr>
          <w:rFonts w:hint="eastAsia" w:ascii="黑体" w:hAnsi="黑体" w:eastAsia="黑体"/>
          <w:bCs/>
          <w:szCs w:val="21"/>
          <w:highlight w:val="none"/>
        </w:rPr>
        <w:t>允许中1个标段</w:t>
      </w:r>
      <w:r>
        <w:rPr>
          <w:rFonts w:hint="eastAsia" w:ascii="宋体" w:hAnsi="宋体"/>
          <w:bCs/>
          <w:szCs w:val="21"/>
          <w:highlight w:val="none"/>
        </w:rPr>
        <w:t xml:space="preserve">，被推荐为评标顺序在前标段的中标候选人（包括联合体各方），将不再参与后续标段的中标候选人推荐。评标顺序为YB25YH01标段→YB25YH02标段→YB25JT01标段。  </w:t>
      </w:r>
    </w:p>
    <w:bookmarkEnd w:id="40"/>
    <w:p w14:paraId="3D8BCFD6">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3</w:t>
      </w:r>
      <w:r>
        <w:rPr>
          <w:rFonts w:ascii="宋体" w:hAnsi="宋体"/>
          <w:bCs/>
          <w:szCs w:val="21"/>
          <w:highlight w:val="none"/>
        </w:rPr>
        <w:t>.</w:t>
      </w:r>
      <w:r>
        <w:rPr>
          <w:rFonts w:hint="eastAsia" w:ascii="宋体" w:hAnsi="宋体"/>
          <w:bCs/>
          <w:szCs w:val="21"/>
          <w:highlight w:val="none"/>
        </w:rPr>
        <w:t>4与招标人存在利害关系可能影响招标公正性的单位，不得参加投标。单位负责人为同一人或存在控股、管理关系的不同单位，不得同时参加同一标段投标，否则，相关投标均无效。</w:t>
      </w:r>
    </w:p>
    <w:p w14:paraId="37B112AB">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3.5在“信用中国”网站（https://www.creditchina.gov.cn/）中被列入失信被执行人名单的投标人，不得参加投标。</w:t>
      </w:r>
    </w:p>
    <w:bookmarkEnd w:id="37"/>
    <w:bookmarkEnd w:id="38"/>
    <w:bookmarkEnd w:id="39"/>
    <w:p w14:paraId="3CD1E45D">
      <w:pPr>
        <w:adjustRightInd w:val="0"/>
        <w:snapToGrid w:val="0"/>
        <w:spacing w:before="120" w:beforeLines="50" w:after="120" w:afterLines="50" w:line="400" w:lineRule="exact"/>
        <w:rPr>
          <w:rFonts w:hint="eastAsia" w:ascii="黑体" w:hAnsi="黑体" w:eastAsia="黑体"/>
          <w:bCs/>
          <w:sz w:val="24"/>
          <w:szCs w:val="24"/>
          <w:highlight w:val="none"/>
        </w:rPr>
      </w:pPr>
      <w:bookmarkStart w:id="45" w:name="_Toc327432500"/>
      <w:bookmarkStart w:id="46" w:name="_Toc184704556"/>
      <w:r>
        <w:rPr>
          <w:rFonts w:hint="eastAsia" w:ascii="黑体" w:hAnsi="黑体" w:eastAsia="黑体"/>
          <w:bCs/>
          <w:sz w:val="24"/>
          <w:szCs w:val="24"/>
          <w:highlight w:val="none"/>
        </w:rPr>
        <w:t>4．评标办法及相关事宜</w:t>
      </w:r>
    </w:p>
    <w:p w14:paraId="5B3299E0">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4</w:t>
      </w:r>
      <w:r>
        <w:rPr>
          <w:rFonts w:ascii="宋体" w:hAnsi="宋体"/>
          <w:bCs/>
          <w:szCs w:val="21"/>
          <w:highlight w:val="none"/>
        </w:rPr>
        <w:t>.1</w:t>
      </w:r>
      <w:r>
        <w:rPr>
          <w:rFonts w:hint="eastAsia" w:ascii="宋体" w:hAnsi="宋体"/>
          <w:bCs/>
          <w:szCs w:val="21"/>
          <w:highlight w:val="none"/>
        </w:rPr>
        <w:t>评标办法采用</w:t>
      </w:r>
      <w:r>
        <w:rPr>
          <w:rFonts w:hint="eastAsia" w:ascii="黑体" w:hAnsi="黑体" w:eastAsia="黑体"/>
          <w:bCs/>
          <w:szCs w:val="21"/>
          <w:highlight w:val="none"/>
        </w:rPr>
        <w:t>双信封形式的技术评分最低标价法</w:t>
      </w:r>
      <w:r>
        <w:rPr>
          <w:rFonts w:hint="eastAsia" w:ascii="宋体" w:hAnsi="宋体"/>
          <w:bCs/>
          <w:szCs w:val="21"/>
          <w:highlight w:val="none"/>
        </w:rPr>
        <w:t>。</w:t>
      </w:r>
    </w:p>
    <w:p w14:paraId="22A550B4">
      <w:pPr>
        <w:adjustRightInd w:val="0"/>
        <w:snapToGrid w:val="0"/>
        <w:spacing w:before="120" w:beforeLines="50" w:after="120" w:afterLines="50" w:line="400" w:lineRule="exact"/>
        <w:rPr>
          <w:rFonts w:hint="eastAsia" w:ascii="黑体" w:hAnsi="黑体" w:eastAsia="黑体"/>
          <w:bCs/>
          <w:sz w:val="24"/>
          <w:szCs w:val="24"/>
          <w:highlight w:val="none"/>
        </w:rPr>
      </w:pPr>
      <w:r>
        <w:rPr>
          <w:rFonts w:hint="eastAsia" w:ascii="黑体" w:hAnsi="黑体" w:eastAsia="黑体"/>
          <w:bCs/>
          <w:sz w:val="24"/>
          <w:szCs w:val="24"/>
          <w:highlight w:val="none"/>
        </w:rPr>
        <w:t>5.</w:t>
      </w:r>
      <w:bookmarkEnd w:id="45"/>
      <w:r>
        <w:rPr>
          <w:rFonts w:hint="eastAsia" w:ascii="黑体" w:hAnsi="黑体" w:eastAsia="黑体"/>
          <w:bCs/>
          <w:sz w:val="24"/>
          <w:szCs w:val="24"/>
          <w:highlight w:val="none"/>
        </w:rPr>
        <w:t>电子化招投标</w:t>
      </w:r>
    </w:p>
    <w:p w14:paraId="62DD7061">
      <w:pPr>
        <w:widowControl/>
        <w:shd w:val="clear" w:color="auto" w:fill="FFFFFF"/>
        <w:adjustRightInd w:val="0"/>
        <w:spacing w:line="400" w:lineRule="exact"/>
        <w:ind w:firstLine="420" w:firstLineChars="200"/>
        <w:jc w:val="left"/>
        <w:rPr>
          <w:rFonts w:hint="eastAsia" w:ascii="宋体" w:hAnsi="宋体" w:cs="宋体"/>
          <w:bCs/>
          <w:color w:val="363D45"/>
          <w:szCs w:val="21"/>
          <w:highlight w:val="none"/>
        </w:rPr>
      </w:pPr>
      <w:r>
        <w:rPr>
          <w:rFonts w:hint="eastAsia" w:ascii="宋体" w:hAnsi="宋体" w:cs="宋体"/>
          <w:bCs/>
          <w:color w:val="363D45"/>
          <w:szCs w:val="21"/>
          <w:highlight w:val="none"/>
        </w:rPr>
        <w:t>5.1</w:t>
      </w:r>
      <w:r>
        <w:rPr>
          <w:rFonts w:hint="eastAsia" w:ascii="黑体" w:hAnsi="黑体" w:eastAsia="黑体" w:cs="宋体"/>
          <w:bCs/>
          <w:color w:val="363D45"/>
          <w:szCs w:val="21"/>
          <w:highlight w:val="none"/>
        </w:rPr>
        <w:t>本次招标全程实行电子化招投标</w:t>
      </w:r>
      <w:r>
        <w:rPr>
          <w:rFonts w:hint="eastAsia" w:ascii="宋体" w:hAnsi="宋体" w:cs="宋体"/>
          <w:bCs/>
          <w:color w:val="363D45"/>
          <w:szCs w:val="21"/>
          <w:highlight w:val="none"/>
        </w:rPr>
        <w:t>。</w:t>
      </w:r>
      <w:bookmarkEnd w:id="46"/>
      <w:bookmarkStart w:id="47" w:name="_Toc184704557"/>
    </w:p>
    <w:p w14:paraId="3FE24FC8">
      <w:pPr>
        <w:adjustRightInd w:val="0"/>
        <w:snapToGrid w:val="0"/>
        <w:spacing w:before="120" w:beforeLines="50" w:after="120" w:afterLines="50" w:line="400" w:lineRule="exact"/>
        <w:rPr>
          <w:rFonts w:hint="eastAsia" w:ascii="黑体" w:hAnsi="黑体" w:eastAsia="黑体"/>
          <w:bCs/>
          <w:sz w:val="24"/>
          <w:szCs w:val="24"/>
          <w:highlight w:val="none"/>
        </w:rPr>
      </w:pPr>
      <w:r>
        <w:rPr>
          <w:rFonts w:hint="eastAsia" w:ascii="黑体" w:hAnsi="黑体" w:eastAsia="黑体"/>
          <w:bCs/>
          <w:sz w:val="24"/>
          <w:szCs w:val="24"/>
          <w:highlight w:val="none"/>
        </w:rPr>
        <w:t>6．招标文件的获取</w:t>
      </w:r>
      <w:bookmarkEnd w:id="47"/>
    </w:p>
    <w:p w14:paraId="681B8FFC">
      <w:pPr>
        <w:adjustRightInd w:val="0"/>
        <w:snapToGrid w:val="0"/>
        <w:spacing w:line="400" w:lineRule="exact"/>
        <w:ind w:firstLine="420" w:firstLineChars="200"/>
        <w:rPr>
          <w:rFonts w:hint="eastAsia" w:ascii="宋体" w:hAnsi="宋体"/>
          <w:bCs/>
          <w:szCs w:val="21"/>
          <w:highlight w:val="none"/>
        </w:rPr>
      </w:pPr>
      <w:bookmarkStart w:id="48" w:name="_Hlk170804672"/>
      <w:r>
        <w:rPr>
          <w:rFonts w:hint="eastAsia" w:ascii="宋体" w:hAnsi="宋体"/>
          <w:bCs/>
          <w:szCs w:val="21"/>
          <w:highlight w:val="none"/>
        </w:rPr>
        <w:t>6.1</w:t>
      </w:r>
      <w:bookmarkStart w:id="49" w:name="_Hlk170804693"/>
      <w:r>
        <w:rPr>
          <w:rFonts w:hint="eastAsia" w:ascii="宋体" w:hAnsi="宋体"/>
          <w:bCs/>
          <w:szCs w:val="21"/>
          <w:highlight w:val="none"/>
        </w:rPr>
        <w:t>凡有意参加投标者，请于</w:t>
      </w:r>
      <w:r>
        <w:rPr>
          <w:rFonts w:hint="eastAsia" w:ascii="黑体" w:hAnsi="黑体" w:eastAsia="黑体"/>
          <w:bCs/>
          <w:szCs w:val="21"/>
          <w:highlight w:val="none"/>
          <w:u w:val="single"/>
        </w:rPr>
        <w:t>20</w:t>
      </w:r>
      <w:r>
        <w:rPr>
          <w:rFonts w:ascii="黑体" w:hAnsi="黑体" w:eastAsia="黑体"/>
          <w:bCs/>
          <w:szCs w:val="21"/>
          <w:highlight w:val="none"/>
          <w:u w:val="single"/>
        </w:rPr>
        <w:t>2</w:t>
      </w:r>
      <w:r>
        <w:rPr>
          <w:rFonts w:hint="eastAsia" w:ascii="黑体" w:hAnsi="黑体" w:eastAsia="黑体"/>
          <w:bCs/>
          <w:szCs w:val="21"/>
          <w:highlight w:val="none"/>
          <w:u w:val="single"/>
        </w:rPr>
        <w:t>5年1月3日至2025年1月9日</w:t>
      </w:r>
      <w:r>
        <w:rPr>
          <w:rFonts w:hint="eastAsia" w:ascii="宋体" w:hAnsi="宋体"/>
          <w:bCs/>
          <w:szCs w:val="21"/>
          <w:highlight w:val="none"/>
        </w:rPr>
        <w:t>，登录吉林省公共资源交易一体化平台（https://www.ggzyyth.jl.cn/TPBidder）免费下载招标文件。</w:t>
      </w:r>
      <w:bookmarkEnd w:id="49"/>
      <w:bookmarkStart w:id="50" w:name="OLE_LINK24"/>
      <w:r>
        <w:rPr>
          <w:rFonts w:hint="eastAsia" w:ascii="黑体" w:hAnsi="黑体" w:eastAsia="黑体"/>
          <w:bCs/>
          <w:szCs w:val="21"/>
          <w:highlight w:val="none"/>
        </w:rPr>
        <w:t>参加多个标段投标的投标人必须分别获取相应标段的招标文件，按标段分别递交投标保证金</w:t>
      </w:r>
      <w:bookmarkEnd w:id="50"/>
      <w:r>
        <w:rPr>
          <w:rFonts w:hint="eastAsia" w:ascii="黑体" w:hAnsi="黑体" w:eastAsia="黑体"/>
          <w:bCs/>
          <w:szCs w:val="21"/>
          <w:highlight w:val="none"/>
        </w:rPr>
        <w:t>，并对每个标段单独递交投标文件</w:t>
      </w:r>
      <w:r>
        <w:rPr>
          <w:rFonts w:hint="eastAsia" w:ascii="宋体" w:hAnsi="宋体"/>
          <w:bCs/>
          <w:szCs w:val="21"/>
          <w:highlight w:val="none"/>
        </w:rPr>
        <w:t>。</w:t>
      </w:r>
    </w:p>
    <w:bookmarkEnd w:id="48"/>
    <w:p w14:paraId="48420948">
      <w:pPr>
        <w:adjustRightInd w:val="0"/>
        <w:snapToGrid w:val="0"/>
        <w:spacing w:before="120" w:beforeLines="50" w:after="120" w:afterLines="50" w:line="400" w:lineRule="exact"/>
        <w:rPr>
          <w:rFonts w:hint="eastAsia" w:ascii="黑体" w:hAnsi="黑体" w:eastAsia="黑体"/>
          <w:bCs/>
          <w:sz w:val="24"/>
          <w:szCs w:val="24"/>
          <w:highlight w:val="none"/>
        </w:rPr>
      </w:pPr>
      <w:bookmarkStart w:id="51" w:name="_Toc184704558"/>
      <w:r>
        <w:rPr>
          <w:rFonts w:hint="eastAsia" w:ascii="黑体" w:hAnsi="黑体" w:eastAsia="黑体"/>
          <w:bCs/>
          <w:sz w:val="24"/>
          <w:szCs w:val="24"/>
          <w:highlight w:val="none"/>
        </w:rPr>
        <w:t>7．</w:t>
      </w:r>
      <w:bookmarkEnd w:id="51"/>
      <w:r>
        <w:rPr>
          <w:rFonts w:hint="eastAsia" w:ascii="黑体" w:hAnsi="黑体" w:eastAsia="黑体"/>
          <w:bCs/>
          <w:sz w:val="24"/>
          <w:szCs w:val="24"/>
          <w:highlight w:val="none"/>
        </w:rPr>
        <w:t>投标文件的递交及相关事宜</w:t>
      </w:r>
    </w:p>
    <w:p w14:paraId="286AEB78">
      <w:pPr>
        <w:adjustRightInd w:val="0"/>
        <w:snapToGrid w:val="0"/>
        <w:spacing w:line="400" w:lineRule="exact"/>
        <w:ind w:firstLine="420" w:firstLineChars="200"/>
        <w:rPr>
          <w:rFonts w:hint="eastAsia" w:ascii="宋体" w:hAnsi="宋体"/>
          <w:bCs/>
          <w:szCs w:val="21"/>
          <w:highlight w:val="none"/>
        </w:rPr>
      </w:pPr>
      <w:bookmarkStart w:id="52" w:name="_Hlk186359074"/>
      <w:r>
        <w:rPr>
          <w:rFonts w:hint="eastAsia" w:ascii="宋体" w:hAnsi="宋体"/>
          <w:bCs/>
          <w:szCs w:val="21"/>
          <w:highlight w:val="none"/>
        </w:rPr>
        <w:t>7.1招标人不组织工程现场踏勘和投标预备会。</w:t>
      </w:r>
    </w:p>
    <w:p w14:paraId="28D82C0B">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7.2投标文件递交的截止时间（投标截止时间，下同）为</w:t>
      </w:r>
      <w:r>
        <w:rPr>
          <w:rFonts w:hint="eastAsia" w:ascii="黑体" w:hAnsi="黑体" w:eastAsia="黑体"/>
          <w:bCs/>
          <w:szCs w:val="21"/>
          <w:highlight w:val="none"/>
          <w:u w:val="single"/>
        </w:rPr>
        <w:t>2025年1月23日9时00分</w:t>
      </w:r>
      <w:r>
        <w:rPr>
          <w:rFonts w:hint="eastAsia" w:ascii="宋体" w:hAnsi="宋体"/>
          <w:bCs/>
          <w:szCs w:val="21"/>
          <w:highlight w:val="none"/>
        </w:rPr>
        <w:t>，投标人应在投标截止时间前将加密的电子投标文件上传至“吉林省公共资源交易一体化平台”。逾期上传的电子投标文件，电子招标投标交易平台将予以拒收。</w:t>
      </w:r>
    </w:p>
    <w:p w14:paraId="081E667C">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7.3投标文件第一个信封（商务及技术文件）开标时间：同投标截止时间，开标地点：吉林省公共资源交易中心四楼开标室；</w:t>
      </w:r>
      <w:r>
        <w:rPr>
          <w:rFonts w:ascii="黑体" w:hAnsi="黑体" w:eastAsia="黑体"/>
          <w:bCs/>
          <w:szCs w:val="21"/>
          <w:highlight w:val="none"/>
        </w:rPr>
        <w:t>投标文件第二个信封（</w:t>
      </w:r>
      <w:r>
        <w:rPr>
          <w:rFonts w:hint="eastAsia" w:ascii="黑体" w:hAnsi="黑体" w:eastAsia="黑体"/>
          <w:bCs/>
          <w:szCs w:val="21"/>
          <w:highlight w:val="none"/>
        </w:rPr>
        <w:t>报价文件</w:t>
      </w:r>
      <w:r>
        <w:rPr>
          <w:rFonts w:ascii="黑体" w:hAnsi="黑体" w:eastAsia="黑体"/>
          <w:bCs/>
          <w:szCs w:val="21"/>
          <w:highlight w:val="none"/>
        </w:rPr>
        <w:t>）开标时间：</w:t>
      </w:r>
      <w:r>
        <w:rPr>
          <w:rFonts w:hint="eastAsia" w:ascii="黑体" w:hAnsi="黑体" w:eastAsia="黑体"/>
          <w:bCs/>
          <w:szCs w:val="21"/>
          <w:highlight w:val="none"/>
          <w:u w:val="single"/>
        </w:rPr>
        <w:t>2025年1月23日</w:t>
      </w:r>
      <w:r>
        <w:rPr>
          <w:rFonts w:ascii="黑体" w:hAnsi="黑体" w:eastAsia="黑体"/>
          <w:bCs/>
          <w:szCs w:val="21"/>
          <w:highlight w:val="none"/>
          <w:u w:val="single"/>
        </w:rPr>
        <w:t>14</w:t>
      </w:r>
      <w:r>
        <w:rPr>
          <w:rFonts w:hint="eastAsia" w:ascii="黑体" w:hAnsi="黑体" w:eastAsia="黑体"/>
          <w:bCs/>
          <w:szCs w:val="21"/>
          <w:highlight w:val="none"/>
          <w:u w:val="single"/>
        </w:rPr>
        <w:t>时</w:t>
      </w:r>
      <w:r>
        <w:rPr>
          <w:rFonts w:ascii="黑体" w:hAnsi="黑体" w:eastAsia="黑体"/>
          <w:bCs/>
          <w:szCs w:val="21"/>
          <w:highlight w:val="none"/>
          <w:u w:val="single"/>
        </w:rPr>
        <w:t>0</w:t>
      </w:r>
      <w:r>
        <w:rPr>
          <w:rFonts w:hint="eastAsia" w:ascii="黑体" w:hAnsi="黑体" w:eastAsia="黑体"/>
          <w:bCs/>
          <w:szCs w:val="21"/>
          <w:highlight w:val="none"/>
          <w:u w:val="single"/>
        </w:rPr>
        <w:t>0分</w:t>
      </w:r>
      <w:r>
        <w:rPr>
          <w:rFonts w:hint="eastAsia" w:ascii="宋体" w:hAnsi="宋体"/>
          <w:bCs/>
          <w:szCs w:val="21"/>
          <w:highlight w:val="none"/>
        </w:rPr>
        <w:t>，开标地点：吉林省公共资源交易中心四楼开标室。</w:t>
      </w:r>
    </w:p>
    <w:bookmarkEnd w:id="52"/>
    <w:p w14:paraId="0576E310">
      <w:pPr>
        <w:adjustRightInd w:val="0"/>
        <w:snapToGrid w:val="0"/>
        <w:spacing w:before="120" w:beforeLines="50" w:after="120" w:afterLines="50" w:line="400" w:lineRule="exact"/>
        <w:rPr>
          <w:rFonts w:hint="eastAsia" w:ascii="黑体" w:hAnsi="黑体" w:eastAsia="黑体"/>
          <w:bCs/>
          <w:sz w:val="24"/>
          <w:szCs w:val="24"/>
          <w:highlight w:val="none"/>
        </w:rPr>
      </w:pPr>
      <w:bookmarkStart w:id="53" w:name="_Toc184704559"/>
      <w:r>
        <w:rPr>
          <w:rFonts w:hint="eastAsia" w:ascii="黑体" w:hAnsi="黑体" w:eastAsia="黑体"/>
          <w:bCs/>
          <w:sz w:val="24"/>
          <w:szCs w:val="24"/>
          <w:highlight w:val="none"/>
        </w:rPr>
        <w:t>8．发布公告的媒介</w:t>
      </w:r>
      <w:bookmarkEnd w:id="53"/>
    </w:p>
    <w:p w14:paraId="3CF18CFE">
      <w:pPr>
        <w:adjustRightInd w:val="0"/>
        <w:snapToGrid w:val="0"/>
        <w:spacing w:line="400" w:lineRule="exact"/>
        <w:ind w:firstLine="420" w:firstLineChars="200"/>
        <w:rPr>
          <w:rFonts w:hint="eastAsia" w:ascii="宋体" w:hAnsi="宋体"/>
          <w:bCs/>
          <w:szCs w:val="21"/>
          <w:highlight w:val="none"/>
        </w:rPr>
      </w:pPr>
      <w:bookmarkStart w:id="54" w:name="_Toc184704560"/>
      <w:r>
        <w:rPr>
          <w:rFonts w:hint="eastAsia" w:ascii="宋体" w:hAnsi="宋体"/>
          <w:bCs/>
          <w:szCs w:val="21"/>
          <w:highlight w:val="none"/>
        </w:rPr>
        <w:t>8.1本次招标公告同时在中国招标投标公共服务平台、吉林省公共资源交易中心网（同步推送到吉林省公共资源交易公共服务平台）、吉林省公路管理局网站上发布。</w:t>
      </w:r>
    </w:p>
    <w:bookmarkEnd w:id="16"/>
    <w:bookmarkEnd w:id="54"/>
    <w:p w14:paraId="763BF558">
      <w:pPr>
        <w:widowControl/>
        <w:adjustRightInd w:val="0"/>
        <w:snapToGrid w:val="0"/>
        <w:spacing w:before="120" w:beforeLines="50" w:after="120" w:afterLines="50"/>
        <w:jc w:val="right"/>
        <w:rPr>
          <w:rFonts w:hint="eastAsia" w:ascii="宋体" w:hAnsi="宋体"/>
          <w:bCs/>
          <w:szCs w:val="21"/>
          <w:highlight w:val="none"/>
        </w:rPr>
      </w:pPr>
    </w:p>
    <w:p w14:paraId="75402122">
      <w:pPr>
        <w:widowControl/>
        <w:adjustRightInd w:val="0"/>
        <w:snapToGrid w:val="0"/>
        <w:spacing w:before="120" w:beforeLines="50" w:after="120" w:afterLines="50"/>
        <w:jc w:val="left"/>
        <w:rPr>
          <w:rFonts w:hint="eastAsia" w:ascii="宋体" w:hAnsi="宋体"/>
          <w:bCs/>
          <w:szCs w:val="21"/>
          <w:highlight w:val="none"/>
        </w:rPr>
      </w:pPr>
    </w:p>
    <w:bookmarkEnd w:id="0"/>
    <w:bookmarkEnd w:id="1"/>
    <w:p w14:paraId="38441268">
      <w:pPr>
        <w:widowControl/>
        <w:adjustRightInd w:val="0"/>
        <w:snapToGrid w:val="0"/>
        <w:spacing w:before="120" w:beforeLines="50" w:after="120" w:afterLines="50"/>
        <w:jc w:val="right"/>
        <w:rPr>
          <w:rFonts w:hint="eastAsia" w:ascii="宋体" w:hAnsi="宋体"/>
          <w:bCs/>
          <w:szCs w:val="21"/>
          <w:highlight w:val="none"/>
        </w:rPr>
      </w:pPr>
      <w:r>
        <w:rPr>
          <w:rFonts w:ascii="宋体" w:hAnsi="宋体"/>
          <w:bCs/>
          <w:szCs w:val="21"/>
          <w:highlight w:val="none"/>
        </w:rPr>
        <w:br w:type="page"/>
      </w:r>
    </w:p>
    <w:p w14:paraId="2A3F0456">
      <w:pPr>
        <w:adjustRightInd w:val="0"/>
        <w:snapToGrid w:val="0"/>
        <w:spacing w:line="0" w:lineRule="atLeast"/>
        <w:ind w:firstLine="100" w:firstLineChars="100"/>
        <w:jc w:val="left"/>
        <w:rPr>
          <w:rFonts w:ascii="Times New Roman" w:hAnsi="Times New Roman" w:eastAsia="黑体"/>
          <w:bCs/>
          <w:sz w:val="10"/>
          <w:szCs w:val="10"/>
          <w:highlight w:val="none"/>
        </w:rPr>
      </w:pPr>
    </w:p>
    <w:bookmarkEnd w:id="2"/>
    <w:bookmarkEnd w:id="3"/>
    <w:bookmarkEnd w:id="4"/>
    <w:bookmarkEnd w:id="5"/>
    <w:bookmarkEnd w:id="6"/>
    <w:bookmarkEnd w:id="7"/>
    <w:bookmarkEnd w:id="8"/>
    <w:bookmarkEnd w:id="9"/>
    <w:bookmarkEnd w:id="10"/>
    <w:p w14:paraId="6DC6FF45">
      <w:pPr>
        <w:pStyle w:val="4"/>
        <w:adjustRightInd w:val="0"/>
        <w:snapToGrid w:val="0"/>
        <w:spacing w:before="0" w:after="0" w:line="240" w:lineRule="auto"/>
        <w:rPr>
          <w:rFonts w:hint="eastAsia" w:ascii="宋体" w:hAnsi="宋体"/>
          <w:b w:val="0"/>
          <w:highlight w:val="none"/>
        </w:rPr>
      </w:pPr>
      <w:bookmarkStart w:id="55" w:name="_Toc197965597"/>
      <w:bookmarkStart w:id="56" w:name="_Toc197960545"/>
      <w:bookmarkStart w:id="57" w:name="_Toc197967266"/>
      <w:bookmarkStart w:id="58" w:name="_Toc197967118"/>
      <w:bookmarkStart w:id="59" w:name="_Toc197950803"/>
      <w:bookmarkStart w:id="60" w:name="_Toc197960493"/>
      <w:bookmarkStart w:id="61" w:name="_Toc197950682"/>
      <w:bookmarkStart w:id="62" w:name="_Toc197951588"/>
      <w:bookmarkStart w:id="63" w:name="_Toc186183895"/>
      <w:bookmarkStart w:id="64" w:name="_Toc513907883"/>
      <w:r>
        <w:rPr>
          <w:rFonts w:hint="eastAsia" w:ascii="黑体" w:hAnsi="黑体" w:eastAsia="黑体"/>
          <w:b w:val="0"/>
          <w:sz w:val="24"/>
          <w:szCs w:val="24"/>
          <w:highlight w:val="none"/>
          <w:lang w:val="en-US" w:eastAsia="zh-CN"/>
        </w:rPr>
        <w:t>9.</w:t>
      </w:r>
      <w:r>
        <w:rPr>
          <w:rFonts w:ascii="黑体" w:hAnsi="黑体" w:eastAsia="黑体"/>
          <w:b w:val="0"/>
          <w:sz w:val="24"/>
          <w:szCs w:val="24"/>
          <w:highlight w:val="none"/>
        </w:rPr>
        <w:t>投标人须知前附表</w:t>
      </w:r>
      <w:bookmarkEnd w:id="55"/>
      <w:bookmarkEnd w:id="56"/>
      <w:bookmarkEnd w:id="57"/>
      <w:bookmarkEnd w:id="58"/>
      <w:bookmarkEnd w:id="59"/>
      <w:bookmarkEnd w:id="60"/>
      <w:bookmarkEnd w:id="61"/>
      <w:bookmarkEnd w:id="62"/>
      <w:r>
        <w:rPr>
          <w:rStyle w:val="65"/>
          <w:rFonts w:ascii="宋体" w:hAnsi="宋体"/>
          <w:b w:val="0"/>
          <w:sz w:val="30"/>
          <w:szCs w:val="30"/>
          <w:highlight w:val="none"/>
        </w:rPr>
        <w:footnoteReference w:id="0"/>
      </w:r>
      <w:bookmarkEnd w:id="63"/>
      <w:bookmarkEnd w:id="64"/>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71"/>
        <w:gridCol w:w="1611"/>
        <w:gridCol w:w="7113"/>
      </w:tblGrid>
      <w:tr w14:paraId="13D8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blHeader/>
          <w:jc w:val="center"/>
        </w:trPr>
        <w:tc>
          <w:tcPr>
            <w:tcW w:w="501" w:type="pct"/>
            <w:vAlign w:val="center"/>
          </w:tcPr>
          <w:p w14:paraId="063BF939">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条款号</w:t>
            </w:r>
          </w:p>
        </w:tc>
        <w:tc>
          <w:tcPr>
            <w:tcW w:w="831" w:type="pct"/>
            <w:vAlign w:val="center"/>
          </w:tcPr>
          <w:p w14:paraId="45D4BCA0">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条款名称</w:t>
            </w:r>
          </w:p>
        </w:tc>
        <w:tc>
          <w:tcPr>
            <w:tcW w:w="3668" w:type="pct"/>
            <w:vAlign w:val="center"/>
          </w:tcPr>
          <w:p w14:paraId="0D551374">
            <w:pPr>
              <w:adjustRightInd w:val="0"/>
              <w:snapToGrid w:val="0"/>
              <w:spacing w:line="340" w:lineRule="exact"/>
              <w:jc w:val="center"/>
              <w:rPr>
                <w:rFonts w:hint="eastAsia" w:ascii="宋体" w:hAnsi="宋体"/>
                <w:bCs/>
                <w:szCs w:val="21"/>
                <w:highlight w:val="none"/>
              </w:rPr>
            </w:pPr>
            <w:r>
              <w:rPr>
                <w:rFonts w:ascii="Times New Roman" w:hAnsi="宋体"/>
                <w:bCs/>
                <w:szCs w:val="21"/>
                <w:highlight w:val="none"/>
              </w:rPr>
              <w:t>编列内容</w:t>
            </w:r>
          </w:p>
        </w:tc>
      </w:tr>
      <w:tr w14:paraId="44D7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629DED11">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1.1.2</w:t>
            </w:r>
          </w:p>
        </w:tc>
        <w:tc>
          <w:tcPr>
            <w:tcW w:w="831" w:type="pct"/>
            <w:vAlign w:val="center"/>
          </w:tcPr>
          <w:p w14:paraId="5F9C8190">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招标人</w:t>
            </w:r>
          </w:p>
        </w:tc>
        <w:tc>
          <w:tcPr>
            <w:tcW w:w="3668" w:type="pct"/>
            <w:vAlign w:val="center"/>
          </w:tcPr>
          <w:p w14:paraId="4A0F37A9">
            <w:pPr>
              <w:snapToGrid w:val="0"/>
              <w:spacing w:line="340" w:lineRule="exact"/>
              <w:ind w:firstLine="210" w:firstLineChars="100"/>
              <w:rPr>
                <w:rFonts w:hint="eastAsia" w:ascii="宋体" w:hAnsi="宋体"/>
                <w:bCs/>
                <w:color w:val="000000"/>
                <w:szCs w:val="21"/>
                <w:highlight w:val="none"/>
              </w:rPr>
            </w:pPr>
            <w:r>
              <w:rPr>
                <w:rFonts w:hint="eastAsia" w:ascii="宋体" w:hAnsi="宋体"/>
                <w:bCs/>
                <w:szCs w:val="21"/>
                <w:highlight w:val="none"/>
              </w:rPr>
              <w:t>见招标文件第一章“招标公告”</w:t>
            </w:r>
          </w:p>
        </w:tc>
      </w:tr>
      <w:tr w14:paraId="5BE6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0BB108AC">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1.1.3</w:t>
            </w:r>
          </w:p>
        </w:tc>
        <w:tc>
          <w:tcPr>
            <w:tcW w:w="831" w:type="pct"/>
            <w:vAlign w:val="center"/>
          </w:tcPr>
          <w:p w14:paraId="21A66C87">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招标</w:t>
            </w:r>
          </w:p>
          <w:p w14:paraId="089E39CF">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代理机构</w:t>
            </w:r>
          </w:p>
        </w:tc>
        <w:tc>
          <w:tcPr>
            <w:tcW w:w="3668" w:type="pct"/>
            <w:vAlign w:val="center"/>
          </w:tcPr>
          <w:p w14:paraId="1FDC278F">
            <w:pPr>
              <w:snapToGrid w:val="0"/>
              <w:spacing w:line="340" w:lineRule="exact"/>
              <w:ind w:firstLine="210" w:firstLineChars="100"/>
              <w:rPr>
                <w:bCs/>
                <w:szCs w:val="21"/>
                <w:highlight w:val="none"/>
              </w:rPr>
            </w:pPr>
            <w:r>
              <w:rPr>
                <w:rFonts w:hint="eastAsia" w:ascii="宋体" w:hAnsi="宋体"/>
                <w:bCs/>
                <w:szCs w:val="21"/>
                <w:highlight w:val="none"/>
              </w:rPr>
              <w:t>见招标文件第一章“招标公告”</w:t>
            </w:r>
          </w:p>
        </w:tc>
      </w:tr>
      <w:tr w14:paraId="3AD6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2D763E9D">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1.1.4</w:t>
            </w:r>
          </w:p>
        </w:tc>
        <w:tc>
          <w:tcPr>
            <w:tcW w:w="831" w:type="pct"/>
            <w:vAlign w:val="center"/>
          </w:tcPr>
          <w:p w14:paraId="2C4CEB85">
            <w:pPr>
              <w:adjustRightInd w:val="0"/>
              <w:snapToGrid w:val="0"/>
              <w:spacing w:line="340" w:lineRule="exact"/>
              <w:jc w:val="center"/>
              <w:rPr>
                <w:rFonts w:ascii="Times New Roman" w:hAnsi="Times New Roman"/>
                <w:bCs/>
                <w:szCs w:val="21"/>
                <w:highlight w:val="none"/>
              </w:rPr>
            </w:pPr>
            <w:r>
              <w:rPr>
                <w:rFonts w:hint="eastAsia" w:ascii="宋体" w:hAnsi="宋体"/>
                <w:bCs/>
                <w:szCs w:val="21"/>
                <w:highlight w:val="none"/>
              </w:rPr>
              <w:t>招标</w:t>
            </w:r>
            <w:r>
              <w:rPr>
                <w:rFonts w:ascii="宋体" w:hAnsi="宋体"/>
                <w:bCs/>
                <w:szCs w:val="21"/>
                <w:highlight w:val="none"/>
              </w:rPr>
              <w:t>项目名称</w:t>
            </w:r>
          </w:p>
        </w:tc>
        <w:tc>
          <w:tcPr>
            <w:tcW w:w="3668" w:type="pct"/>
            <w:vAlign w:val="center"/>
          </w:tcPr>
          <w:p w14:paraId="1DF42908">
            <w:pPr>
              <w:adjustRightInd w:val="0"/>
              <w:snapToGrid w:val="0"/>
              <w:spacing w:line="340" w:lineRule="exact"/>
              <w:ind w:firstLine="210" w:firstLineChars="100"/>
              <w:rPr>
                <w:rFonts w:hint="eastAsia" w:ascii="黑体" w:hAnsi="黑体" w:eastAsia="黑体"/>
                <w:bCs/>
                <w:kern w:val="0"/>
                <w:szCs w:val="21"/>
                <w:highlight w:val="none"/>
                <w:lang w:val="zh-CN"/>
              </w:rPr>
            </w:pPr>
            <w:r>
              <w:rPr>
                <w:rFonts w:hint="eastAsia" w:ascii="黑体" w:hAnsi="黑体" w:eastAsia="黑体"/>
                <w:bCs/>
                <w:szCs w:val="21"/>
                <w:highlight w:val="none"/>
                <w:lang w:val="zh-CN"/>
              </w:rPr>
              <w:t>延边州2024年国道丹阿公路园池至崇善(南夕)段路面改造工程</w:t>
            </w:r>
          </w:p>
        </w:tc>
      </w:tr>
      <w:tr w14:paraId="3C52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5F282A8C">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1.1.5</w:t>
            </w:r>
          </w:p>
        </w:tc>
        <w:tc>
          <w:tcPr>
            <w:tcW w:w="831" w:type="pct"/>
            <w:vAlign w:val="center"/>
          </w:tcPr>
          <w:p w14:paraId="22F51474">
            <w:pPr>
              <w:adjustRightInd w:val="0"/>
              <w:snapToGrid w:val="0"/>
              <w:spacing w:line="340" w:lineRule="exact"/>
              <w:jc w:val="center"/>
              <w:rPr>
                <w:rFonts w:ascii="Times New Roman" w:hAnsi="Times New Roman"/>
                <w:bCs/>
                <w:szCs w:val="21"/>
                <w:highlight w:val="none"/>
              </w:rPr>
            </w:pPr>
            <w:r>
              <w:rPr>
                <w:rFonts w:hint="eastAsia" w:ascii="宋体" w:hAnsi="宋体"/>
                <w:bCs/>
                <w:szCs w:val="21"/>
                <w:highlight w:val="none"/>
              </w:rPr>
              <w:t>标段</w:t>
            </w:r>
            <w:r>
              <w:rPr>
                <w:rFonts w:ascii="宋体" w:hAnsi="宋体"/>
                <w:bCs/>
                <w:szCs w:val="21"/>
                <w:highlight w:val="none"/>
              </w:rPr>
              <w:t>建设地点</w:t>
            </w:r>
          </w:p>
        </w:tc>
        <w:tc>
          <w:tcPr>
            <w:tcW w:w="3668" w:type="pct"/>
            <w:vAlign w:val="center"/>
          </w:tcPr>
          <w:p w14:paraId="2F1E6695">
            <w:pPr>
              <w:autoSpaceDE w:val="0"/>
              <w:autoSpaceDN w:val="0"/>
              <w:adjustRightInd w:val="0"/>
              <w:snapToGrid w:val="0"/>
              <w:spacing w:line="340" w:lineRule="exact"/>
              <w:ind w:firstLine="210" w:firstLineChars="100"/>
              <w:rPr>
                <w:rFonts w:hint="eastAsia" w:ascii="宋体" w:hAnsi="宋体"/>
                <w:bCs/>
                <w:kern w:val="0"/>
                <w:szCs w:val="21"/>
                <w:highlight w:val="none"/>
              </w:rPr>
            </w:pPr>
            <w:r>
              <w:rPr>
                <w:rFonts w:hint="eastAsia" w:ascii="宋体" w:hAnsi="宋体"/>
                <w:bCs/>
                <w:szCs w:val="21"/>
                <w:highlight w:val="none"/>
              </w:rPr>
              <w:t>见招标文件第一章“招标公告”</w:t>
            </w:r>
          </w:p>
        </w:tc>
      </w:tr>
      <w:tr w14:paraId="12B6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354A1F04">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1.2.1</w:t>
            </w:r>
          </w:p>
        </w:tc>
        <w:tc>
          <w:tcPr>
            <w:tcW w:w="831" w:type="pct"/>
            <w:vAlign w:val="center"/>
          </w:tcPr>
          <w:p w14:paraId="77949EC3">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资金来源</w:t>
            </w:r>
          </w:p>
          <w:p w14:paraId="1B9B9587">
            <w:pPr>
              <w:adjustRightInd w:val="0"/>
              <w:snapToGrid w:val="0"/>
              <w:spacing w:line="340" w:lineRule="exact"/>
              <w:jc w:val="center"/>
              <w:rPr>
                <w:rFonts w:ascii="Times New Roman" w:hAnsi="Times New Roman"/>
                <w:bCs/>
                <w:szCs w:val="21"/>
                <w:highlight w:val="none"/>
              </w:rPr>
            </w:pPr>
            <w:r>
              <w:rPr>
                <w:rFonts w:hint="eastAsia" w:ascii="宋体" w:hAnsi="宋体"/>
                <w:bCs/>
                <w:szCs w:val="21"/>
                <w:highlight w:val="none"/>
              </w:rPr>
              <w:t>及比例</w:t>
            </w:r>
          </w:p>
        </w:tc>
        <w:tc>
          <w:tcPr>
            <w:tcW w:w="3668" w:type="pct"/>
            <w:vAlign w:val="center"/>
          </w:tcPr>
          <w:p w14:paraId="3AC42B18">
            <w:pPr>
              <w:autoSpaceDE w:val="0"/>
              <w:autoSpaceDN w:val="0"/>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见招标文件第一章“招标公告”</w:t>
            </w:r>
          </w:p>
        </w:tc>
      </w:tr>
      <w:tr w14:paraId="2F84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6BAD2510">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1.2.3</w:t>
            </w:r>
          </w:p>
        </w:tc>
        <w:tc>
          <w:tcPr>
            <w:tcW w:w="831" w:type="pct"/>
            <w:vAlign w:val="center"/>
          </w:tcPr>
          <w:p w14:paraId="6C73BBD0">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资金</w:t>
            </w:r>
          </w:p>
          <w:p w14:paraId="2EF91512">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落实情况</w:t>
            </w:r>
          </w:p>
        </w:tc>
        <w:tc>
          <w:tcPr>
            <w:tcW w:w="3668" w:type="pct"/>
            <w:vAlign w:val="center"/>
          </w:tcPr>
          <w:p w14:paraId="24AA2CC8">
            <w:pPr>
              <w:pStyle w:val="34"/>
              <w:pBdr>
                <w:bottom w:val="none" w:color="auto" w:sz="0" w:space="0"/>
              </w:pBdr>
              <w:tabs>
                <w:tab w:val="clear" w:pos="4153"/>
                <w:tab w:val="clear" w:pos="8306"/>
              </w:tabs>
              <w:autoSpaceDE w:val="0"/>
              <w:autoSpaceDN w:val="0"/>
              <w:adjustRightInd w:val="0"/>
              <w:spacing w:line="340" w:lineRule="exact"/>
              <w:ind w:firstLine="210" w:firstLineChars="100"/>
              <w:jc w:val="both"/>
              <w:rPr>
                <w:rFonts w:hint="eastAsia" w:ascii="宋体" w:hAnsi="宋体"/>
                <w:bCs/>
                <w:kern w:val="2"/>
                <w:sz w:val="21"/>
                <w:szCs w:val="21"/>
                <w:highlight w:val="none"/>
              </w:rPr>
            </w:pPr>
            <w:r>
              <w:rPr>
                <w:rFonts w:ascii="宋体" w:hAnsi="宋体"/>
                <w:bCs/>
                <w:kern w:val="2"/>
                <w:sz w:val="21"/>
                <w:szCs w:val="21"/>
                <w:highlight w:val="none"/>
              </w:rPr>
              <w:t>已落实</w:t>
            </w:r>
          </w:p>
        </w:tc>
      </w:tr>
      <w:tr w14:paraId="7DF7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111E7BE9">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1.3.1</w:t>
            </w:r>
          </w:p>
        </w:tc>
        <w:tc>
          <w:tcPr>
            <w:tcW w:w="831" w:type="pct"/>
            <w:vAlign w:val="center"/>
          </w:tcPr>
          <w:p w14:paraId="598464DF">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招标范围</w:t>
            </w:r>
          </w:p>
        </w:tc>
        <w:tc>
          <w:tcPr>
            <w:tcW w:w="3668" w:type="pct"/>
            <w:vAlign w:val="center"/>
          </w:tcPr>
          <w:p w14:paraId="471EA6F0">
            <w:pPr>
              <w:pStyle w:val="34"/>
              <w:pBdr>
                <w:bottom w:val="none" w:color="auto" w:sz="0" w:space="0"/>
              </w:pBdr>
              <w:tabs>
                <w:tab w:val="clear" w:pos="4153"/>
                <w:tab w:val="clear" w:pos="8306"/>
              </w:tabs>
              <w:autoSpaceDE w:val="0"/>
              <w:autoSpaceDN w:val="0"/>
              <w:adjustRightInd w:val="0"/>
              <w:spacing w:line="340" w:lineRule="exact"/>
              <w:ind w:firstLine="210" w:firstLineChars="100"/>
              <w:jc w:val="both"/>
              <w:rPr>
                <w:rFonts w:hint="eastAsia" w:ascii="黑体" w:hAnsi="黑体" w:eastAsia="黑体"/>
                <w:bCs/>
                <w:sz w:val="21"/>
                <w:szCs w:val="21"/>
                <w:highlight w:val="none"/>
              </w:rPr>
            </w:pPr>
            <w:r>
              <w:rPr>
                <w:rFonts w:hint="eastAsia" w:ascii="宋体" w:hAnsi="宋体"/>
                <w:bCs/>
                <w:kern w:val="2"/>
                <w:sz w:val="21"/>
                <w:szCs w:val="21"/>
                <w:highlight w:val="none"/>
              </w:rPr>
              <w:t>见招标文件第一章“招标公告”</w:t>
            </w:r>
          </w:p>
        </w:tc>
      </w:tr>
      <w:tr w14:paraId="1DC1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0C0F457C">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1.3.2</w:t>
            </w:r>
          </w:p>
        </w:tc>
        <w:tc>
          <w:tcPr>
            <w:tcW w:w="831" w:type="pct"/>
            <w:vAlign w:val="center"/>
          </w:tcPr>
          <w:p w14:paraId="40E96E0E">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计划工期</w:t>
            </w:r>
          </w:p>
        </w:tc>
        <w:tc>
          <w:tcPr>
            <w:tcW w:w="3668" w:type="pct"/>
            <w:vAlign w:val="center"/>
          </w:tcPr>
          <w:p w14:paraId="01CC82C8">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见招标文件第一章“招标公告”</w:t>
            </w:r>
          </w:p>
        </w:tc>
      </w:tr>
      <w:tr w14:paraId="163D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2FA9DA6E">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1.3.3</w:t>
            </w:r>
          </w:p>
        </w:tc>
        <w:tc>
          <w:tcPr>
            <w:tcW w:w="831" w:type="pct"/>
            <w:vAlign w:val="center"/>
          </w:tcPr>
          <w:p w14:paraId="222D67A8">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质量要求</w:t>
            </w:r>
          </w:p>
        </w:tc>
        <w:tc>
          <w:tcPr>
            <w:tcW w:w="3668" w:type="pct"/>
            <w:vAlign w:val="center"/>
          </w:tcPr>
          <w:p w14:paraId="4FCA12BC">
            <w:pPr>
              <w:autoSpaceDE w:val="0"/>
              <w:autoSpaceDN w:val="0"/>
              <w:adjustRightInd w:val="0"/>
              <w:snapToGrid w:val="0"/>
              <w:spacing w:line="340" w:lineRule="exact"/>
              <w:ind w:firstLine="210" w:firstLineChars="100"/>
              <w:rPr>
                <w:rFonts w:hint="eastAsia" w:ascii="宋体" w:hAnsi="宋体"/>
                <w:bCs/>
                <w:kern w:val="0"/>
                <w:szCs w:val="21"/>
                <w:highlight w:val="none"/>
                <w:lang w:val="zh-CN"/>
              </w:rPr>
            </w:pPr>
            <w:r>
              <w:rPr>
                <w:rFonts w:ascii="宋体" w:hAnsi="宋体"/>
                <w:bCs/>
                <w:szCs w:val="21"/>
                <w:highlight w:val="none"/>
              </w:rPr>
              <w:t>竣工验收的质量评定</w:t>
            </w:r>
            <w:r>
              <w:rPr>
                <w:rFonts w:hint="eastAsia" w:ascii="宋体" w:hAnsi="宋体"/>
                <w:bCs/>
                <w:szCs w:val="21"/>
                <w:highlight w:val="none"/>
              </w:rPr>
              <w:t>优良</w:t>
            </w:r>
          </w:p>
        </w:tc>
      </w:tr>
      <w:tr w14:paraId="26CF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55BABEC3">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1.3.</w:t>
            </w:r>
            <w:r>
              <w:rPr>
                <w:rFonts w:hint="eastAsia" w:ascii="宋体" w:hAnsi="宋体"/>
                <w:bCs/>
                <w:szCs w:val="21"/>
                <w:highlight w:val="none"/>
              </w:rPr>
              <w:t>4</w:t>
            </w:r>
          </w:p>
        </w:tc>
        <w:tc>
          <w:tcPr>
            <w:tcW w:w="831" w:type="pct"/>
            <w:vAlign w:val="center"/>
          </w:tcPr>
          <w:p w14:paraId="78351AEC">
            <w:pPr>
              <w:adjustRightInd w:val="0"/>
              <w:snapToGrid w:val="0"/>
              <w:spacing w:line="340" w:lineRule="exact"/>
              <w:jc w:val="center"/>
              <w:rPr>
                <w:rFonts w:ascii="Times New Roman" w:hAnsi="Times New Roman"/>
                <w:bCs/>
                <w:szCs w:val="21"/>
                <w:highlight w:val="none"/>
              </w:rPr>
            </w:pPr>
            <w:r>
              <w:rPr>
                <w:rFonts w:hint="eastAsia" w:ascii="Times New Roman" w:hAnsi="宋体"/>
                <w:bCs/>
                <w:szCs w:val="21"/>
                <w:highlight w:val="none"/>
              </w:rPr>
              <w:t>安全目标</w:t>
            </w:r>
          </w:p>
        </w:tc>
        <w:tc>
          <w:tcPr>
            <w:tcW w:w="3668" w:type="pct"/>
            <w:vAlign w:val="center"/>
          </w:tcPr>
          <w:p w14:paraId="2856D901">
            <w:pPr>
              <w:autoSpaceDE w:val="0"/>
              <w:autoSpaceDN w:val="0"/>
              <w:adjustRightInd w:val="0"/>
              <w:snapToGrid w:val="0"/>
              <w:spacing w:line="340" w:lineRule="exact"/>
              <w:ind w:firstLine="210" w:firstLineChars="100"/>
              <w:rPr>
                <w:rFonts w:hint="eastAsia" w:ascii="宋体" w:hAnsi="宋体"/>
                <w:bCs/>
                <w:kern w:val="0"/>
                <w:szCs w:val="21"/>
                <w:highlight w:val="none"/>
                <w:lang w:val="zh-CN"/>
              </w:rPr>
            </w:pPr>
            <w:r>
              <w:rPr>
                <w:rFonts w:hint="eastAsia" w:ascii="宋体" w:hAnsi="宋体"/>
                <w:bCs/>
                <w:szCs w:val="21"/>
                <w:highlight w:val="none"/>
              </w:rPr>
              <w:t>施工期间不发生一般及以上等级生产安全事故</w:t>
            </w:r>
          </w:p>
        </w:tc>
      </w:tr>
      <w:tr w14:paraId="63FD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0CDA0D16">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1.4.1</w:t>
            </w:r>
          </w:p>
        </w:tc>
        <w:tc>
          <w:tcPr>
            <w:tcW w:w="831" w:type="pct"/>
            <w:vAlign w:val="center"/>
          </w:tcPr>
          <w:p w14:paraId="2434B3D3">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投标人资质条件、能力和信誉</w:t>
            </w:r>
          </w:p>
        </w:tc>
        <w:tc>
          <w:tcPr>
            <w:tcW w:w="3668" w:type="pct"/>
            <w:vAlign w:val="center"/>
          </w:tcPr>
          <w:p w14:paraId="38828EDE">
            <w:pPr>
              <w:adjustRightInd w:val="0"/>
              <w:snapToGrid w:val="0"/>
              <w:spacing w:line="340" w:lineRule="exact"/>
              <w:ind w:firstLine="210" w:firstLineChars="100"/>
              <w:rPr>
                <w:rFonts w:hint="eastAsia" w:ascii="宋体" w:hAnsi="宋体"/>
                <w:bCs/>
                <w:kern w:val="0"/>
                <w:szCs w:val="21"/>
                <w:highlight w:val="none"/>
                <w:lang w:val="zh-CN"/>
              </w:rPr>
            </w:pPr>
            <w:r>
              <w:rPr>
                <w:rFonts w:hint="eastAsia" w:ascii="宋体" w:hAnsi="宋体"/>
                <w:bCs/>
                <w:kern w:val="0"/>
                <w:szCs w:val="21"/>
                <w:highlight w:val="none"/>
                <w:lang w:val="zh-CN"/>
              </w:rPr>
              <w:t>资质要求：见附录1</w:t>
            </w:r>
          </w:p>
          <w:p w14:paraId="03AFA0B6">
            <w:pPr>
              <w:adjustRightInd w:val="0"/>
              <w:snapToGrid w:val="0"/>
              <w:spacing w:line="340" w:lineRule="exact"/>
              <w:ind w:firstLine="210" w:firstLineChars="100"/>
              <w:rPr>
                <w:rFonts w:hint="eastAsia" w:ascii="宋体" w:hAnsi="宋体"/>
                <w:bCs/>
                <w:kern w:val="0"/>
                <w:szCs w:val="21"/>
                <w:highlight w:val="none"/>
                <w:lang w:val="zh-CN"/>
              </w:rPr>
            </w:pPr>
            <w:r>
              <w:rPr>
                <w:rFonts w:hint="eastAsia" w:ascii="宋体" w:hAnsi="宋体"/>
                <w:bCs/>
                <w:kern w:val="0"/>
                <w:szCs w:val="21"/>
                <w:highlight w:val="none"/>
                <w:lang w:val="zh-CN"/>
              </w:rPr>
              <w:t>财务要求：见附录2</w:t>
            </w:r>
          </w:p>
          <w:p w14:paraId="03B5133A">
            <w:pPr>
              <w:adjustRightInd w:val="0"/>
              <w:snapToGrid w:val="0"/>
              <w:spacing w:line="340" w:lineRule="exact"/>
              <w:ind w:firstLine="210" w:firstLineChars="100"/>
              <w:rPr>
                <w:rFonts w:hint="eastAsia" w:ascii="宋体" w:hAnsi="宋体"/>
                <w:bCs/>
                <w:kern w:val="0"/>
                <w:szCs w:val="21"/>
                <w:highlight w:val="none"/>
                <w:lang w:val="zh-CN"/>
              </w:rPr>
            </w:pPr>
            <w:r>
              <w:rPr>
                <w:rFonts w:hint="eastAsia" w:ascii="宋体" w:hAnsi="宋体"/>
                <w:bCs/>
                <w:kern w:val="0"/>
                <w:szCs w:val="21"/>
                <w:highlight w:val="none"/>
                <w:lang w:val="zh-CN"/>
              </w:rPr>
              <w:t>业绩要求：见附录3</w:t>
            </w:r>
          </w:p>
          <w:p w14:paraId="54AF58E2">
            <w:pPr>
              <w:adjustRightInd w:val="0"/>
              <w:snapToGrid w:val="0"/>
              <w:spacing w:line="340" w:lineRule="exact"/>
              <w:ind w:firstLine="210" w:firstLineChars="100"/>
              <w:rPr>
                <w:rFonts w:hint="eastAsia" w:ascii="宋体" w:hAnsi="宋体"/>
                <w:bCs/>
                <w:kern w:val="0"/>
                <w:szCs w:val="21"/>
                <w:highlight w:val="none"/>
                <w:lang w:val="zh-CN"/>
              </w:rPr>
            </w:pPr>
            <w:r>
              <w:rPr>
                <w:rFonts w:hint="eastAsia" w:ascii="宋体" w:hAnsi="宋体"/>
                <w:bCs/>
                <w:kern w:val="0"/>
                <w:szCs w:val="21"/>
                <w:highlight w:val="none"/>
                <w:lang w:val="zh-CN"/>
              </w:rPr>
              <w:t>信誉要求：见附录4</w:t>
            </w:r>
          </w:p>
          <w:p w14:paraId="65F1B482">
            <w:pPr>
              <w:adjustRightInd w:val="0"/>
              <w:snapToGrid w:val="0"/>
              <w:spacing w:line="340" w:lineRule="exact"/>
              <w:ind w:firstLine="210" w:firstLineChars="100"/>
              <w:rPr>
                <w:rFonts w:hint="eastAsia" w:ascii="宋体" w:hAnsi="宋体"/>
                <w:bCs/>
                <w:kern w:val="0"/>
                <w:szCs w:val="21"/>
                <w:highlight w:val="none"/>
                <w:lang w:val="zh-CN"/>
              </w:rPr>
            </w:pPr>
            <w:r>
              <w:rPr>
                <w:rFonts w:hint="eastAsia" w:ascii="宋体" w:hAnsi="宋体"/>
                <w:bCs/>
                <w:kern w:val="0"/>
                <w:szCs w:val="21"/>
                <w:highlight w:val="none"/>
                <w:lang w:val="zh-CN"/>
              </w:rPr>
              <w:t>项目经理和项目总工资格要求：见附录5</w:t>
            </w:r>
          </w:p>
          <w:p w14:paraId="0EB8D62C">
            <w:pPr>
              <w:adjustRightInd w:val="0"/>
              <w:snapToGrid w:val="0"/>
              <w:spacing w:line="340" w:lineRule="exact"/>
              <w:ind w:firstLine="210" w:firstLineChars="100"/>
              <w:rPr>
                <w:rFonts w:hint="eastAsia" w:ascii="宋体" w:hAnsi="宋体"/>
                <w:bCs/>
                <w:kern w:val="0"/>
                <w:szCs w:val="21"/>
                <w:highlight w:val="none"/>
                <w:lang w:val="zh-CN"/>
              </w:rPr>
            </w:pPr>
            <w:r>
              <w:rPr>
                <w:rFonts w:hint="eastAsia" w:ascii="宋体" w:hAnsi="宋体"/>
                <w:bCs/>
                <w:kern w:val="0"/>
                <w:szCs w:val="21"/>
                <w:highlight w:val="none"/>
                <w:lang w:val="zh-CN"/>
              </w:rPr>
              <w:t>其他要求：无</w:t>
            </w:r>
          </w:p>
        </w:tc>
      </w:tr>
      <w:tr w14:paraId="052E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7F520F2A">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1.4.2</w:t>
            </w:r>
          </w:p>
        </w:tc>
        <w:tc>
          <w:tcPr>
            <w:tcW w:w="831" w:type="pct"/>
            <w:vAlign w:val="center"/>
          </w:tcPr>
          <w:p w14:paraId="0A1CA79C">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是否接受</w:t>
            </w:r>
            <w:r>
              <w:rPr>
                <w:rFonts w:hint="eastAsia" w:ascii="Times New Roman" w:hAnsi="宋体"/>
                <w:bCs/>
                <w:szCs w:val="21"/>
                <w:highlight w:val="none"/>
              </w:rPr>
              <w:br w:type="textWrapping"/>
            </w:r>
            <w:r>
              <w:rPr>
                <w:rFonts w:ascii="Times New Roman" w:hAnsi="宋体"/>
                <w:bCs/>
                <w:szCs w:val="21"/>
                <w:highlight w:val="none"/>
              </w:rPr>
              <w:t>联合体投标</w:t>
            </w:r>
          </w:p>
        </w:tc>
        <w:tc>
          <w:tcPr>
            <w:tcW w:w="3668" w:type="pct"/>
            <w:vAlign w:val="center"/>
          </w:tcPr>
          <w:p w14:paraId="43F0A457">
            <w:pPr>
              <w:snapToGrid w:val="0"/>
              <w:spacing w:line="340" w:lineRule="exact"/>
              <w:rPr>
                <w:rFonts w:hint="eastAsia" w:ascii="宋体" w:hAnsi="宋体"/>
                <w:bCs/>
                <w:szCs w:val="21"/>
                <w:highlight w:val="none"/>
              </w:rPr>
            </w:pPr>
            <w:r>
              <w:rPr>
                <w:rFonts w:hint="eastAsia" w:ascii="宋体" w:hAnsi="宋体"/>
                <w:bCs/>
                <w:szCs w:val="21"/>
                <w:highlight w:val="none"/>
              </w:rPr>
              <w:t>YB25YH01、YB25YH02标段：接受，应满足下列要求：见招标文件第一章“招标公告”</w:t>
            </w:r>
          </w:p>
          <w:p w14:paraId="0856CE23">
            <w:pPr>
              <w:snapToGrid w:val="0"/>
              <w:spacing w:line="340" w:lineRule="exact"/>
              <w:rPr>
                <w:rFonts w:hint="eastAsia" w:ascii="宋体" w:hAnsi="宋体"/>
                <w:bCs/>
                <w:kern w:val="0"/>
                <w:szCs w:val="21"/>
                <w:highlight w:val="none"/>
                <w:lang w:val="zh-CN"/>
              </w:rPr>
            </w:pPr>
            <w:r>
              <w:rPr>
                <w:rFonts w:hint="eastAsia" w:ascii="宋体" w:hAnsi="宋体"/>
                <w:bCs/>
                <w:szCs w:val="21"/>
                <w:highlight w:val="none"/>
              </w:rPr>
              <w:t>YB25JT01标段：不接受</w:t>
            </w:r>
          </w:p>
        </w:tc>
      </w:tr>
      <w:tr w14:paraId="1B49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6F6C69D7">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1.4.3</w:t>
            </w:r>
          </w:p>
        </w:tc>
        <w:tc>
          <w:tcPr>
            <w:tcW w:w="831" w:type="pct"/>
            <w:vAlign w:val="center"/>
          </w:tcPr>
          <w:p w14:paraId="2D254FE6">
            <w:pPr>
              <w:adjustRightInd w:val="0"/>
              <w:snapToGrid w:val="0"/>
              <w:spacing w:line="340" w:lineRule="exact"/>
              <w:jc w:val="center"/>
              <w:rPr>
                <w:rFonts w:hint="eastAsia" w:ascii="Times New Roman" w:hAnsi="宋体"/>
                <w:bCs/>
                <w:kern w:val="0"/>
                <w:szCs w:val="21"/>
                <w:highlight w:val="none"/>
                <w:lang w:val="zh-CN"/>
              </w:rPr>
            </w:pPr>
            <w:r>
              <w:rPr>
                <w:rFonts w:ascii="Times New Roman" w:hAnsi="宋体"/>
                <w:bCs/>
                <w:kern w:val="0"/>
                <w:szCs w:val="21"/>
                <w:highlight w:val="none"/>
                <w:lang w:val="zh-CN"/>
              </w:rPr>
              <w:t>投标人不得</w:t>
            </w:r>
          </w:p>
          <w:p w14:paraId="0B76E886">
            <w:pPr>
              <w:adjustRightInd w:val="0"/>
              <w:snapToGrid w:val="0"/>
              <w:spacing w:line="340" w:lineRule="exact"/>
              <w:jc w:val="center"/>
              <w:rPr>
                <w:rFonts w:hint="eastAsia" w:ascii="Times New Roman" w:hAnsi="宋体"/>
                <w:bCs/>
                <w:kern w:val="0"/>
                <w:szCs w:val="21"/>
                <w:highlight w:val="none"/>
                <w:lang w:val="zh-CN"/>
              </w:rPr>
            </w:pPr>
            <w:r>
              <w:rPr>
                <w:rFonts w:ascii="Times New Roman" w:hAnsi="宋体"/>
                <w:bCs/>
                <w:kern w:val="0"/>
                <w:szCs w:val="21"/>
                <w:highlight w:val="none"/>
                <w:lang w:val="zh-CN"/>
              </w:rPr>
              <w:t>存在的</w:t>
            </w:r>
            <w:r>
              <w:rPr>
                <w:rFonts w:hint="eastAsia" w:ascii="Times New Roman" w:hAnsi="宋体"/>
                <w:bCs/>
                <w:kern w:val="0"/>
                <w:szCs w:val="21"/>
                <w:highlight w:val="none"/>
                <w:lang w:val="zh-CN"/>
              </w:rPr>
              <w:t>其他</w:t>
            </w:r>
          </w:p>
          <w:p w14:paraId="6BC31878">
            <w:pPr>
              <w:adjustRightInd w:val="0"/>
              <w:snapToGrid w:val="0"/>
              <w:spacing w:line="340" w:lineRule="exact"/>
              <w:jc w:val="center"/>
              <w:rPr>
                <w:rFonts w:ascii="Times New Roman" w:hAnsi="Times New Roman"/>
                <w:bCs/>
                <w:szCs w:val="21"/>
                <w:highlight w:val="none"/>
              </w:rPr>
            </w:pPr>
            <w:r>
              <w:rPr>
                <w:rFonts w:hint="eastAsia" w:ascii="Times New Roman" w:hAnsi="宋体"/>
                <w:bCs/>
                <w:kern w:val="0"/>
                <w:szCs w:val="21"/>
                <w:highlight w:val="none"/>
                <w:lang w:val="zh-CN"/>
              </w:rPr>
              <w:t>关联情况</w:t>
            </w:r>
          </w:p>
        </w:tc>
        <w:tc>
          <w:tcPr>
            <w:tcW w:w="3668" w:type="pct"/>
            <w:vAlign w:val="center"/>
          </w:tcPr>
          <w:p w14:paraId="368EB1D9">
            <w:pPr>
              <w:adjustRightInd w:val="0"/>
              <w:snapToGrid w:val="0"/>
              <w:spacing w:line="340" w:lineRule="exact"/>
              <w:ind w:firstLine="210" w:firstLineChars="100"/>
              <w:rPr>
                <w:rFonts w:hint="eastAsia" w:ascii="宋体" w:hAnsi="宋体"/>
                <w:bCs/>
                <w:kern w:val="0"/>
                <w:szCs w:val="21"/>
                <w:highlight w:val="none"/>
                <w:lang w:val="zh-CN"/>
              </w:rPr>
            </w:pPr>
            <w:r>
              <w:rPr>
                <w:rFonts w:hint="eastAsia" w:ascii="宋体" w:hAnsi="宋体"/>
                <w:bCs/>
                <w:kern w:val="0"/>
                <w:szCs w:val="21"/>
                <w:highlight w:val="none"/>
                <w:lang w:val="zh-CN"/>
              </w:rPr>
              <w:t>/</w:t>
            </w:r>
          </w:p>
        </w:tc>
      </w:tr>
      <w:tr w14:paraId="586B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74AD72C2">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1.4.4</w:t>
            </w:r>
          </w:p>
        </w:tc>
        <w:tc>
          <w:tcPr>
            <w:tcW w:w="831" w:type="pct"/>
            <w:vAlign w:val="center"/>
          </w:tcPr>
          <w:p w14:paraId="3D186334">
            <w:pPr>
              <w:adjustRightInd w:val="0"/>
              <w:snapToGrid w:val="0"/>
              <w:spacing w:line="340" w:lineRule="exact"/>
              <w:jc w:val="center"/>
              <w:rPr>
                <w:bCs/>
                <w:szCs w:val="21"/>
                <w:highlight w:val="none"/>
              </w:rPr>
            </w:pPr>
            <w:r>
              <w:rPr>
                <w:rFonts w:hint="eastAsia"/>
                <w:bCs/>
                <w:szCs w:val="21"/>
                <w:highlight w:val="none"/>
              </w:rPr>
              <w:t>投标人不得存在的其他不良状况或不良信用</w:t>
            </w:r>
          </w:p>
        </w:tc>
        <w:tc>
          <w:tcPr>
            <w:tcW w:w="3668" w:type="pct"/>
            <w:vAlign w:val="center"/>
          </w:tcPr>
          <w:p w14:paraId="6BA29CED">
            <w:pPr>
              <w:adjustRightInd w:val="0"/>
              <w:snapToGrid w:val="0"/>
              <w:spacing w:line="340" w:lineRule="exact"/>
              <w:ind w:firstLine="210" w:firstLineChars="100"/>
              <w:rPr>
                <w:rFonts w:hint="eastAsia" w:ascii="宋体" w:hAnsi="宋体"/>
                <w:bCs/>
                <w:kern w:val="0"/>
                <w:szCs w:val="21"/>
                <w:highlight w:val="none"/>
              </w:rPr>
            </w:pPr>
            <w:r>
              <w:rPr>
                <w:rFonts w:hint="eastAsia" w:ascii="宋体" w:hAnsi="宋体"/>
                <w:bCs/>
                <w:kern w:val="0"/>
                <w:szCs w:val="21"/>
                <w:highlight w:val="none"/>
                <w:lang w:val="zh-CN"/>
              </w:rPr>
              <w:t>/</w:t>
            </w:r>
          </w:p>
        </w:tc>
      </w:tr>
      <w:tr w14:paraId="22D1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6149A0EF">
            <w:pPr>
              <w:adjustRightInd w:val="0"/>
              <w:snapToGrid w:val="0"/>
              <w:spacing w:line="340" w:lineRule="exact"/>
              <w:jc w:val="center"/>
              <w:rPr>
                <w:rFonts w:hint="eastAsia" w:ascii="楷体" w:hAnsi="楷体" w:eastAsia="楷体" w:cs="宋体"/>
                <w:bCs/>
                <w:szCs w:val="21"/>
                <w:highlight w:val="none"/>
              </w:rPr>
            </w:pPr>
            <w:r>
              <w:rPr>
                <w:rFonts w:ascii="楷体" w:hAnsi="楷体" w:eastAsia="楷体" w:cs="宋体"/>
                <w:bCs/>
                <w:szCs w:val="21"/>
                <w:highlight w:val="none"/>
              </w:rPr>
              <w:t>1.4.4</w:t>
            </w:r>
            <w:r>
              <w:rPr>
                <w:rFonts w:hint="eastAsia" w:ascii="楷体" w:hAnsi="楷体" w:eastAsia="楷体" w:cs="宋体"/>
                <w:bCs/>
                <w:szCs w:val="21"/>
                <w:highlight w:val="none"/>
              </w:rPr>
              <w:t>（</w:t>
            </w:r>
            <w:r>
              <w:rPr>
                <w:rFonts w:ascii="楷体" w:hAnsi="楷体" w:eastAsia="楷体" w:cs="宋体"/>
                <w:bCs/>
                <w:szCs w:val="21"/>
                <w:highlight w:val="none"/>
              </w:rPr>
              <w:t>5</w:t>
            </w:r>
            <w:r>
              <w:rPr>
                <w:rFonts w:hint="eastAsia" w:ascii="楷体" w:hAnsi="楷体" w:eastAsia="楷体" w:cs="宋体"/>
                <w:bCs/>
                <w:szCs w:val="21"/>
                <w:highlight w:val="none"/>
              </w:rPr>
              <w:t>）</w:t>
            </w:r>
          </w:p>
        </w:tc>
        <w:tc>
          <w:tcPr>
            <w:tcW w:w="831" w:type="pct"/>
            <w:vAlign w:val="center"/>
          </w:tcPr>
          <w:p w14:paraId="60AFD228">
            <w:pPr>
              <w:adjustRightInd w:val="0"/>
              <w:snapToGrid w:val="0"/>
              <w:spacing w:line="340" w:lineRule="exact"/>
              <w:jc w:val="center"/>
              <w:rPr>
                <w:rFonts w:hint="eastAsia" w:ascii="楷体" w:hAnsi="楷体" w:eastAsia="楷体"/>
                <w:bCs/>
                <w:color w:val="000000"/>
                <w:szCs w:val="21"/>
                <w:highlight w:val="none"/>
              </w:rPr>
            </w:pPr>
            <w:r>
              <w:rPr>
                <w:rFonts w:hint="eastAsia" w:ascii="楷体" w:hAnsi="楷体" w:eastAsia="楷体" w:cs="宋体"/>
                <w:bCs/>
                <w:szCs w:val="21"/>
                <w:highlight w:val="none"/>
              </w:rPr>
              <w:t>失信被执行人</w:t>
            </w:r>
          </w:p>
        </w:tc>
        <w:tc>
          <w:tcPr>
            <w:tcW w:w="3668" w:type="pct"/>
            <w:vAlign w:val="center"/>
          </w:tcPr>
          <w:p w14:paraId="541E207F">
            <w:pPr>
              <w:adjustRightInd w:val="0"/>
              <w:snapToGrid w:val="0"/>
              <w:spacing w:line="340" w:lineRule="exact"/>
              <w:ind w:firstLine="210" w:firstLineChars="100"/>
              <w:rPr>
                <w:rFonts w:hint="eastAsia" w:ascii="楷体" w:hAnsi="楷体" w:eastAsia="楷体"/>
                <w:bCs/>
                <w:color w:val="000000"/>
                <w:szCs w:val="21"/>
                <w:highlight w:val="none"/>
              </w:rPr>
            </w:pPr>
            <w:r>
              <w:rPr>
                <w:rFonts w:hint="eastAsia" w:ascii="楷体" w:hAnsi="楷体" w:eastAsia="楷体"/>
                <w:bCs/>
                <w:szCs w:val="21"/>
                <w:highlight w:val="none"/>
              </w:rPr>
              <w:t>本目细化为：在“信用中国”网站（https://www.creditchina.gov.cn/）中被列入失信被执行人名单；</w:t>
            </w:r>
          </w:p>
        </w:tc>
      </w:tr>
      <w:tr w14:paraId="43BA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03FD0E3B">
            <w:pPr>
              <w:adjustRightInd w:val="0"/>
              <w:snapToGrid w:val="0"/>
              <w:spacing w:line="340" w:lineRule="exact"/>
              <w:jc w:val="center"/>
              <w:rPr>
                <w:rFonts w:hint="eastAsia" w:ascii="宋体" w:hAnsi="宋体"/>
                <w:bCs/>
                <w:szCs w:val="21"/>
                <w:highlight w:val="none"/>
              </w:rPr>
            </w:pPr>
            <w:r>
              <w:rPr>
                <w:rFonts w:hint="eastAsia" w:ascii="楷体" w:hAnsi="楷体" w:eastAsia="楷体" w:cs="宋体"/>
                <w:bCs/>
                <w:szCs w:val="21"/>
                <w:highlight w:val="none"/>
              </w:rPr>
              <w:t>1.4.4（6）</w:t>
            </w:r>
          </w:p>
        </w:tc>
        <w:tc>
          <w:tcPr>
            <w:tcW w:w="831" w:type="pct"/>
            <w:vAlign w:val="center"/>
          </w:tcPr>
          <w:p w14:paraId="1E17AC00">
            <w:pPr>
              <w:adjustRightInd w:val="0"/>
              <w:snapToGrid w:val="0"/>
              <w:spacing w:line="340" w:lineRule="exact"/>
              <w:jc w:val="center"/>
              <w:rPr>
                <w:rFonts w:hint="eastAsia" w:ascii="宋体" w:hAnsi="宋体"/>
                <w:bCs/>
                <w:szCs w:val="21"/>
                <w:highlight w:val="none"/>
              </w:rPr>
            </w:pPr>
            <w:r>
              <w:rPr>
                <w:rFonts w:hint="eastAsia" w:ascii="楷体" w:hAnsi="楷体" w:eastAsia="楷体"/>
                <w:bCs/>
                <w:color w:val="000000"/>
                <w:szCs w:val="21"/>
                <w:highlight w:val="none"/>
              </w:rPr>
              <w:t>行贿犯罪行为</w:t>
            </w:r>
          </w:p>
        </w:tc>
        <w:tc>
          <w:tcPr>
            <w:tcW w:w="3668" w:type="pct"/>
            <w:vAlign w:val="center"/>
          </w:tcPr>
          <w:p w14:paraId="0D2E492E">
            <w:pPr>
              <w:adjustRightInd w:val="0"/>
              <w:snapToGrid w:val="0"/>
              <w:spacing w:line="340" w:lineRule="exact"/>
              <w:ind w:firstLine="210" w:firstLineChars="100"/>
              <w:rPr>
                <w:rFonts w:hint="eastAsia" w:ascii="宋体" w:hAnsi="宋体"/>
                <w:bCs/>
                <w:szCs w:val="21"/>
                <w:highlight w:val="none"/>
              </w:rPr>
            </w:pPr>
            <w:r>
              <w:rPr>
                <w:rFonts w:hint="eastAsia" w:ascii="楷体" w:hAnsi="楷体" w:eastAsia="楷体"/>
                <w:bCs/>
                <w:color w:val="000000"/>
                <w:szCs w:val="21"/>
                <w:highlight w:val="none"/>
              </w:rPr>
              <w:t>本目细化为：投标人或其法定代表人、拟委任的项目经理在近三年内有行贿犯罪行为的；</w:t>
            </w:r>
          </w:p>
        </w:tc>
      </w:tr>
      <w:tr w14:paraId="12A4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0C4C91A0">
            <w:pPr>
              <w:adjustRightInd w:val="0"/>
              <w:snapToGrid w:val="0"/>
              <w:spacing w:line="340" w:lineRule="exact"/>
              <w:jc w:val="center"/>
              <w:rPr>
                <w:rFonts w:hint="eastAsia" w:ascii="楷体" w:hAnsi="楷体" w:eastAsia="楷体" w:cs="宋体"/>
                <w:bCs/>
                <w:szCs w:val="21"/>
                <w:highlight w:val="none"/>
              </w:rPr>
            </w:pPr>
            <w:r>
              <w:rPr>
                <w:rFonts w:hint="eastAsia" w:ascii="楷体" w:hAnsi="楷体" w:eastAsia="楷体" w:cs="宋体"/>
                <w:bCs/>
                <w:szCs w:val="21"/>
                <w:highlight w:val="none"/>
              </w:rPr>
              <w:t>1</w:t>
            </w:r>
            <w:r>
              <w:rPr>
                <w:rFonts w:ascii="楷体" w:hAnsi="楷体" w:eastAsia="楷体" w:cs="宋体"/>
                <w:bCs/>
                <w:szCs w:val="21"/>
                <w:highlight w:val="none"/>
              </w:rPr>
              <w:t>.4.5</w:t>
            </w:r>
          </w:p>
        </w:tc>
        <w:tc>
          <w:tcPr>
            <w:tcW w:w="831" w:type="pct"/>
            <w:vAlign w:val="center"/>
          </w:tcPr>
          <w:p w14:paraId="707B5461">
            <w:pPr>
              <w:adjustRightInd w:val="0"/>
              <w:snapToGrid w:val="0"/>
              <w:spacing w:line="340" w:lineRule="exact"/>
              <w:jc w:val="center"/>
              <w:rPr>
                <w:rFonts w:hint="eastAsia" w:ascii="楷体" w:hAnsi="楷体" w:eastAsia="楷体"/>
                <w:bCs/>
                <w:color w:val="000000"/>
                <w:szCs w:val="21"/>
                <w:highlight w:val="none"/>
              </w:rPr>
            </w:pPr>
            <w:r>
              <w:rPr>
                <w:rFonts w:ascii="楷体" w:hAnsi="楷体" w:eastAsia="楷体"/>
                <w:bCs/>
                <w:color w:val="000000"/>
                <w:szCs w:val="21"/>
                <w:highlight w:val="none"/>
              </w:rPr>
              <w:t>公路工程施工资质企业名录</w:t>
            </w:r>
          </w:p>
        </w:tc>
        <w:tc>
          <w:tcPr>
            <w:tcW w:w="3668" w:type="pct"/>
            <w:vAlign w:val="center"/>
          </w:tcPr>
          <w:p w14:paraId="0900F6C8">
            <w:pPr>
              <w:adjustRightInd w:val="0"/>
              <w:snapToGrid w:val="0"/>
              <w:spacing w:line="340" w:lineRule="exact"/>
              <w:ind w:firstLine="210" w:firstLineChars="100"/>
              <w:rPr>
                <w:rFonts w:hint="eastAsia" w:ascii="楷体" w:hAnsi="楷体" w:eastAsia="楷体"/>
                <w:bCs/>
                <w:color w:val="000000"/>
                <w:szCs w:val="21"/>
                <w:highlight w:val="none"/>
              </w:rPr>
            </w:pPr>
            <w:r>
              <w:rPr>
                <w:rFonts w:hint="eastAsia" w:ascii="楷体" w:hAnsi="楷体" w:eastAsia="楷体"/>
                <w:bCs/>
                <w:color w:val="000000"/>
                <w:szCs w:val="21"/>
                <w:highlight w:val="none"/>
              </w:rPr>
              <w:t>本项修改为：</w:t>
            </w:r>
          </w:p>
          <w:p w14:paraId="4661025A">
            <w:pPr>
              <w:adjustRightInd w:val="0"/>
              <w:snapToGrid w:val="0"/>
              <w:spacing w:line="340" w:lineRule="exact"/>
              <w:ind w:firstLine="210" w:firstLineChars="100"/>
              <w:rPr>
                <w:rFonts w:hint="eastAsia" w:ascii="楷体" w:hAnsi="楷体" w:eastAsia="楷体"/>
                <w:bCs/>
                <w:color w:val="000000"/>
                <w:szCs w:val="21"/>
                <w:highlight w:val="none"/>
              </w:rPr>
            </w:pPr>
            <w:r>
              <w:rPr>
                <w:rFonts w:hint="eastAsia" w:ascii="楷体" w:hAnsi="楷体" w:eastAsia="楷体"/>
                <w:bCs/>
                <w:color w:val="000000"/>
                <w:szCs w:val="21"/>
                <w:highlight w:val="none"/>
              </w:rPr>
              <w:t>1.4.5投标人（包括联合体各成员）不需要进入交通运输部“全国公路建设市场监督管理查询系统（https://hwdms.mot.gov.cn）”中的公路工程施工资质企业名录。</w:t>
            </w:r>
          </w:p>
        </w:tc>
      </w:tr>
      <w:tr w14:paraId="4E5A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Merge w:val="restart"/>
            <w:vAlign w:val="center"/>
          </w:tcPr>
          <w:p w14:paraId="2165801A">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1.10.2</w:t>
            </w:r>
          </w:p>
        </w:tc>
        <w:tc>
          <w:tcPr>
            <w:tcW w:w="831" w:type="pct"/>
            <w:vMerge w:val="restart"/>
            <w:vAlign w:val="center"/>
          </w:tcPr>
          <w:p w14:paraId="4DF0213D">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投标人</w:t>
            </w:r>
            <w:r>
              <w:rPr>
                <w:rFonts w:hint="eastAsia" w:ascii="宋体" w:hAnsi="宋体"/>
                <w:bCs/>
                <w:szCs w:val="21"/>
                <w:highlight w:val="none"/>
              </w:rPr>
              <w:t>在投标预备会提出问题</w:t>
            </w:r>
          </w:p>
        </w:tc>
        <w:tc>
          <w:tcPr>
            <w:tcW w:w="3668" w:type="pct"/>
            <w:vAlign w:val="center"/>
          </w:tcPr>
          <w:p w14:paraId="1037F90E">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时间：/</w:t>
            </w:r>
          </w:p>
        </w:tc>
      </w:tr>
      <w:tr w14:paraId="3D26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Merge w:val="continue"/>
            <w:vAlign w:val="center"/>
          </w:tcPr>
          <w:p w14:paraId="77F0DEB7">
            <w:pPr>
              <w:adjustRightInd w:val="0"/>
              <w:snapToGrid w:val="0"/>
              <w:spacing w:line="340" w:lineRule="exact"/>
              <w:jc w:val="center"/>
              <w:rPr>
                <w:rFonts w:hint="eastAsia" w:ascii="宋体" w:hAnsi="宋体"/>
                <w:bCs/>
                <w:szCs w:val="21"/>
                <w:highlight w:val="none"/>
              </w:rPr>
            </w:pPr>
          </w:p>
        </w:tc>
        <w:tc>
          <w:tcPr>
            <w:tcW w:w="831" w:type="pct"/>
            <w:vMerge w:val="continue"/>
            <w:vAlign w:val="center"/>
          </w:tcPr>
          <w:p w14:paraId="6E9CFD53">
            <w:pPr>
              <w:adjustRightInd w:val="0"/>
              <w:snapToGrid w:val="0"/>
              <w:spacing w:line="340" w:lineRule="exact"/>
              <w:jc w:val="center"/>
              <w:rPr>
                <w:rFonts w:hint="eastAsia" w:ascii="宋体" w:hAnsi="宋体"/>
                <w:bCs/>
                <w:szCs w:val="21"/>
                <w:highlight w:val="none"/>
              </w:rPr>
            </w:pPr>
          </w:p>
        </w:tc>
        <w:tc>
          <w:tcPr>
            <w:tcW w:w="3668" w:type="pct"/>
            <w:vAlign w:val="center"/>
          </w:tcPr>
          <w:p w14:paraId="17AF5A42">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形式：/</w:t>
            </w:r>
          </w:p>
        </w:tc>
      </w:tr>
      <w:tr w14:paraId="5296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00AEBAE3">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w:t>
            </w:r>
            <w:r>
              <w:rPr>
                <w:rFonts w:hint="eastAsia" w:ascii="宋体" w:hAnsi="宋体"/>
                <w:bCs/>
                <w:szCs w:val="21"/>
                <w:highlight w:val="none"/>
              </w:rPr>
              <w:t>.</w:t>
            </w:r>
            <w:r>
              <w:rPr>
                <w:rFonts w:ascii="宋体" w:hAnsi="宋体"/>
                <w:bCs/>
                <w:szCs w:val="21"/>
                <w:highlight w:val="none"/>
              </w:rPr>
              <w:t>11</w:t>
            </w:r>
            <w:r>
              <w:rPr>
                <w:rFonts w:hint="eastAsia" w:ascii="宋体" w:hAnsi="宋体"/>
                <w:bCs/>
                <w:szCs w:val="21"/>
                <w:highlight w:val="none"/>
              </w:rPr>
              <w:t>.1</w:t>
            </w:r>
          </w:p>
        </w:tc>
        <w:tc>
          <w:tcPr>
            <w:tcW w:w="831" w:type="pct"/>
            <w:vAlign w:val="center"/>
          </w:tcPr>
          <w:p w14:paraId="4A443EB3">
            <w:pPr>
              <w:adjustRightInd w:val="0"/>
              <w:snapToGrid w:val="0"/>
              <w:spacing w:line="340" w:lineRule="exact"/>
              <w:jc w:val="center"/>
              <w:rPr>
                <w:rFonts w:hint="eastAsia" w:ascii="宋体" w:hAnsi="宋体"/>
                <w:bCs/>
                <w:szCs w:val="21"/>
                <w:highlight w:val="none"/>
              </w:rPr>
            </w:pPr>
            <w:r>
              <w:rPr>
                <w:rFonts w:hint="eastAsia" w:ascii="宋体" w:hAnsi="宋体" w:cs="宋体"/>
                <w:bCs/>
                <w:szCs w:val="21"/>
                <w:highlight w:val="none"/>
              </w:rPr>
              <w:t>分包</w:t>
            </w:r>
          </w:p>
        </w:tc>
        <w:tc>
          <w:tcPr>
            <w:tcW w:w="3668" w:type="pct"/>
            <w:vAlign w:val="center"/>
          </w:tcPr>
          <w:p w14:paraId="372647A0">
            <w:pPr>
              <w:autoSpaceDE w:val="0"/>
              <w:autoSpaceDN w:val="0"/>
              <w:adjustRightInd w:val="0"/>
              <w:snapToGrid w:val="0"/>
              <w:spacing w:line="340" w:lineRule="exact"/>
              <w:ind w:firstLine="210" w:firstLineChars="100"/>
              <w:rPr>
                <w:rFonts w:hint="eastAsia" w:ascii="宋体" w:hAnsi="宋体"/>
                <w:bCs/>
                <w:kern w:val="0"/>
                <w:szCs w:val="21"/>
                <w:highlight w:val="none"/>
              </w:rPr>
            </w:pPr>
            <w:r>
              <w:rPr>
                <w:rFonts w:hint="eastAsia" w:ascii="宋体" w:hAnsi="宋体"/>
                <w:bCs/>
                <w:kern w:val="0"/>
                <w:szCs w:val="21"/>
                <w:highlight w:val="none"/>
              </w:rPr>
              <w:t>不允许</w:t>
            </w:r>
          </w:p>
        </w:tc>
      </w:tr>
      <w:tr w14:paraId="36C4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73EAC31A">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2.1</w:t>
            </w:r>
          </w:p>
        </w:tc>
        <w:tc>
          <w:tcPr>
            <w:tcW w:w="831" w:type="pct"/>
            <w:vAlign w:val="center"/>
          </w:tcPr>
          <w:p w14:paraId="104BBB61">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构成招标文件的其他材料</w:t>
            </w:r>
          </w:p>
        </w:tc>
        <w:tc>
          <w:tcPr>
            <w:tcW w:w="3668" w:type="pct"/>
            <w:vAlign w:val="center"/>
          </w:tcPr>
          <w:p w14:paraId="44602053">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工程量固化清单电子文件</w:t>
            </w:r>
          </w:p>
        </w:tc>
      </w:tr>
      <w:tr w14:paraId="7B29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Merge w:val="restart"/>
            <w:vAlign w:val="center"/>
          </w:tcPr>
          <w:p w14:paraId="3C571B2D">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2.2.1</w:t>
            </w:r>
          </w:p>
        </w:tc>
        <w:tc>
          <w:tcPr>
            <w:tcW w:w="831" w:type="pct"/>
            <w:vMerge w:val="restart"/>
            <w:vAlign w:val="center"/>
          </w:tcPr>
          <w:p w14:paraId="74BA6F5A">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投标人要求澄清招标文件</w:t>
            </w:r>
          </w:p>
        </w:tc>
        <w:tc>
          <w:tcPr>
            <w:tcW w:w="3668" w:type="pct"/>
            <w:vAlign w:val="center"/>
          </w:tcPr>
          <w:p w14:paraId="2F4EC004">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时间：递交投标文件截止之日10天前</w:t>
            </w:r>
          </w:p>
        </w:tc>
      </w:tr>
      <w:tr w14:paraId="2CD4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Merge w:val="continue"/>
            <w:vAlign w:val="center"/>
          </w:tcPr>
          <w:p w14:paraId="727FC582">
            <w:pPr>
              <w:adjustRightInd w:val="0"/>
              <w:snapToGrid w:val="0"/>
              <w:spacing w:line="340" w:lineRule="exact"/>
              <w:jc w:val="center"/>
              <w:rPr>
                <w:rFonts w:hint="eastAsia" w:ascii="宋体" w:hAnsi="宋体"/>
                <w:bCs/>
                <w:szCs w:val="21"/>
                <w:highlight w:val="none"/>
              </w:rPr>
            </w:pPr>
          </w:p>
        </w:tc>
        <w:tc>
          <w:tcPr>
            <w:tcW w:w="831" w:type="pct"/>
            <w:vMerge w:val="continue"/>
            <w:vAlign w:val="center"/>
          </w:tcPr>
          <w:p w14:paraId="2AC8FA26">
            <w:pPr>
              <w:adjustRightInd w:val="0"/>
              <w:snapToGrid w:val="0"/>
              <w:spacing w:line="340" w:lineRule="exact"/>
              <w:jc w:val="center"/>
              <w:rPr>
                <w:rFonts w:hint="eastAsia" w:ascii="Times New Roman" w:hAnsi="宋体"/>
                <w:bCs/>
                <w:szCs w:val="21"/>
                <w:highlight w:val="none"/>
              </w:rPr>
            </w:pPr>
          </w:p>
        </w:tc>
        <w:tc>
          <w:tcPr>
            <w:tcW w:w="3668" w:type="pct"/>
            <w:vAlign w:val="center"/>
          </w:tcPr>
          <w:p w14:paraId="7B314943">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形式：</w:t>
            </w:r>
            <w:r>
              <w:rPr>
                <w:rFonts w:hint="eastAsia"/>
                <w:bCs/>
                <w:szCs w:val="21"/>
                <w:highlight w:val="none"/>
              </w:rPr>
              <w:t>使用 CA 数字证书登录“电子交易平台”，在“投标答疑”菜单以书面形式要求招标人对招标文件予以澄清</w:t>
            </w:r>
          </w:p>
        </w:tc>
      </w:tr>
      <w:tr w14:paraId="4FF2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6E046250">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2.2.2</w:t>
            </w:r>
          </w:p>
        </w:tc>
        <w:tc>
          <w:tcPr>
            <w:tcW w:w="831" w:type="pct"/>
            <w:vAlign w:val="center"/>
          </w:tcPr>
          <w:p w14:paraId="393C806A">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招标文件澄清发出的形式</w:t>
            </w:r>
          </w:p>
        </w:tc>
        <w:tc>
          <w:tcPr>
            <w:tcW w:w="3668" w:type="pct"/>
            <w:vAlign w:val="center"/>
          </w:tcPr>
          <w:p w14:paraId="611724F8">
            <w:pPr>
              <w:adjustRightInd w:val="0"/>
              <w:snapToGrid w:val="0"/>
              <w:spacing w:line="340" w:lineRule="exact"/>
              <w:ind w:firstLine="210" w:firstLineChars="100"/>
              <w:jc w:val="left"/>
              <w:rPr>
                <w:rFonts w:hint="eastAsia" w:ascii="宋体" w:hAnsi="宋体" w:cs="Consolas"/>
                <w:bCs/>
                <w:iCs/>
                <w:szCs w:val="21"/>
                <w:highlight w:val="none"/>
              </w:rPr>
            </w:pPr>
            <w:r>
              <w:rPr>
                <w:rFonts w:hint="eastAsia" w:ascii="宋体" w:hAnsi="宋体"/>
                <w:bCs/>
                <w:iCs/>
                <w:szCs w:val="21"/>
                <w:highlight w:val="none"/>
              </w:rPr>
              <w:t>通过“电子交易平台”发出招标文件澄清</w:t>
            </w:r>
          </w:p>
        </w:tc>
      </w:tr>
      <w:tr w14:paraId="310C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163695DE">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2.3.</w:t>
            </w:r>
            <w:r>
              <w:rPr>
                <w:rFonts w:hint="eastAsia" w:ascii="宋体" w:hAnsi="宋体"/>
                <w:bCs/>
                <w:szCs w:val="21"/>
                <w:highlight w:val="none"/>
              </w:rPr>
              <w:t>1</w:t>
            </w:r>
          </w:p>
        </w:tc>
        <w:tc>
          <w:tcPr>
            <w:tcW w:w="831" w:type="pct"/>
            <w:vAlign w:val="center"/>
          </w:tcPr>
          <w:p w14:paraId="47203213">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招标文件修改发出的形式</w:t>
            </w:r>
          </w:p>
        </w:tc>
        <w:tc>
          <w:tcPr>
            <w:tcW w:w="3668" w:type="pct"/>
            <w:vAlign w:val="center"/>
          </w:tcPr>
          <w:p w14:paraId="392DE73B">
            <w:pPr>
              <w:adjustRightInd w:val="0"/>
              <w:snapToGrid w:val="0"/>
              <w:spacing w:line="340" w:lineRule="exact"/>
              <w:ind w:firstLine="210" w:firstLineChars="100"/>
              <w:rPr>
                <w:rFonts w:ascii="Consolas" w:hAnsi="Consolas" w:cs="Consolas"/>
                <w:bCs/>
                <w:i/>
                <w:szCs w:val="21"/>
                <w:highlight w:val="none"/>
              </w:rPr>
            </w:pPr>
            <w:r>
              <w:rPr>
                <w:rFonts w:hint="eastAsia" w:ascii="宋体" w:hAnsi="宋体"/>
                <w:bCs/>
                <w:iCs/>
                <w:szCs w:val="21"/>
                <w:highlight w:val="none"/>
              </w:rPr>
              <w:t>通过“电子交易平台”发出招标文件修改</w:t>
            </w:r>
          </w:p>
        </w:tc>
      </w:tr>
      <w:tr w14:paraId="59FD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Merge w:val="restart"/>
            <w:vAlign w:val="center"/>
          </w:tcPr>
          <w:p w14:paraId="4D130CBF">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2.3.2</w:t>
            </w:r>
          </w:p>
        </w:tc>
        <w:tc>
          <w:tcPr>
            <w:tcW w:w="831" w:type="pct"/>
            <w:vMerge w:val="restart"/>
            <w:vAlign w:val="center"/>
          </w:tcPr>
          <w:p w14:paraId="6EDCD7B2">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投标人确认收到招标文件</w:t>
            </w:r>
            <w:r>
              <w:rPr>
                <w:rFonts w:hint="eastAsia" w:ascii="宋体" w:hAnsi="宋体"/>
                <w:bCs/>
                <w:szCs w:val="21"/>
                <w:highlight w:val="none"/>
              </w:rPr>
              <w:t>修改</w:t>
            </w:r>
          </w:p>
        </w:tc>
        <w:tc>
          <w:tcPr>
            <w:tcW w:w="3668" w:type="pct"/>
            <w:vAlign w:val="center"/>
          </w:tcPr>
          <w:p w14:paraId="294BBF7A">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时间：收到修改后24小时内（以发出时间为准）</w:t>
            </w:r>
          </w:p>
        </w:tc>
      </w:tr>
      <w:tr w14:paraId="5012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Merge w:val="continue"/>
            <w:vAlign w:val="center"/>
          </w:tcPr>
          <w:p w14:paraId="6AB9EC4B">
            <w:pPr>
              <w:adjustRightInd w:val="0"/>
              <w:snapToGrid w:val="0"/>
              <w:spacing w:line="340" w:lineRule="exact"/>
              <w:jc w:val="center"/>
              <w:rPr>
                <w:rFonts w:hint="eastAsia" w:ascii="宋体" w:hAnsi="宋体"/>
                <w:bCs/>
                <w:szCs w:val="21"/>
                <w:highlight w:val="none"/>
              </w:rPr>
            </w:pPr>
          </w:p>
        </w:tc>
        <w:tc>
          <w:tcPr>
            <w:tcW w:w="831" w:type="pct"/>
            <w:vMerge w:val="continue"/>
            <w:vAlign w:val="center"/>
          </w:tcPr>
          <w:p w14:paraId="79AAE61D">
            <w:pPr>
              <w:adjustRightInd w:val="0"/>
              <w:snapToGrid w:val="0"/>
              <w:spacing w:line="340" w:lineRule="exact"/>
              <w:jc w:val="center"/>
              <w:rPr>
                <w:rFonts w:hint="eastAsia" w:ascii="宋体" w:hAnsi="宋体"/>
                <w:bCs/>
                <w:szCs w:val="21"/>
                <w:highlight w:val="none"/>
              </w:rPr>
            </w:pPr>
          </w:p>
        </w:tc>
        <w:tc>
          <w:tcPr>
            <w:tcW w:w="3668" w:type="pct"/>
            <w:vAlign w:val="center"/>
          </w:tcPr>
          <w:p w14:paraId="2C4AE3D1">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形式：通过“电子交易平台”确认</w:t>
            </w:r>
          </w:p>
        </w:tc>
      </w:tr>
      <w:tr w14:paraId="2A0B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74461E88">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3.1</w:t>
            </w:r>
            <w:r>
              <w:rPr>
                <w:rFonts w:hint="eastAsia" w:ascii="宋体" w:hAnsi="宋体"/>
                <w:bCs/>
                <w:szCs w:val="21"/>
                <w:highlight w:val="none"/>
              </w:rPr>
              <w:t>.1</w:t>
            </w:r>
          </w:p>
        </w:tc>
        <w:tc>
          <w:tcPr>
            <w:tcW w:w="831" w:type="pct"/>
            <w:vAlign w:val="center"/>
          </w:tcPr>
          <w:p w14:paraId="410E2D62">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投标文件</w:t>
            </w:r>
            <w:r>
              <w:rPr>
                <w:rFonts w:ascii="宋体" w:hAnsi="宋体"/>
                <w:bCs/>
                <w:szCs w:val="21"/>
                <w:highlight w:val="none"/>
              </w:rPr>
              <w:br w:type="textWrapping"/>
            </w:r>
            <w:r>
              <w:rPr>
                <w:rFonts w:hint="eastAsia" w:ascii="宋体" w:hAnsi="宋体"/>
                <w:bCs/>
                <w:szCs w:val="21"/>
                <w:highlight w:val="none"/>
              </w:rPr>
              <w:t>密封形式</w:t>
            </w:r>
          </w:p>
        </w:tc>
        <w:tc>
          <w:tcPr>
            <w:tcW w:w="3668" w:type="pct"/>
            <w:vAlign w:val="center"/>
          </w:tcPr>
          <w:p w14:paraId="57EFEAAE">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双信封</w:t>
            </w:r>
          </w:p>
        </w:tc>
      </w:tr>
      <w:tr w14:paraId="267A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04EB4493">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3.1.1</w:t>
            </w:r>
          </w:p>
        </w:tc>
        <w:tc>
          <w:tcPr>
            <w:tcW w:w="831" w:type="pct"/>
            <w:vAlign w:val="center"/>
          </w:tcPr>
          <w:p w14:paraId="50B2661C">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构成投标文件的其他</w:t>
            </w:r>
            <w:r>
              <w:rPr>
                <w:rFonts w:hint="eastAsia" w:ascii="宋体" w:hAnsi="宋体"/>
                <w:bCs/>
                <w:szCs w:val="21"/>
                <w:highlight w:val="none"/>
              </w:rPr>
              <w:t>资料</w:t>
            </w:r>
          </w:p>
        </w:tc>
        <w:tc>
          <w:tcPr>
            <w:tcW w:w="3668" w:type="pct"/>
            <w:vAlign w:val="center"/>
          </w:tcPr>
          <w:p w14:paraId="67042E8A">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lang w:val="zh-CN"/>
              </w:rPr>
              <w:t>详见第九章“投标文件格式”。</w:t>
            </w:r>
          </w:p>
        </w:tc>
      </w:tr>
      <w:tr w14:paraId="3420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Merge w:val="restart"/>
            <w:vAlign w:val="center"/>
          </w:tcPr>
          <w:p w14:paraId="3DDB8645">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3.2.1</w:t>
            </w:r>
          </w:p>
        </w:tc>
        <w:tc>
          <w:tcPr>
            <w:tcW w:w="831" w:type="pct"/>
            <w:vAlign w:val="center"/>
          </w:tcPr>
          <w:p w14:paraId="29BAED38">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增值税税金</w:t>
            </w:r>
          </w:p>
          <w:p w14:paraId="032B4342">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的计算方法</w:t>
            </w:r>
          </w:p>
        </w:tc>
        <w:tc>
          <w:tcPr>
            <w:tcW w:w="3668" w:type="pct"/>
            <w:vAlign w:val="center"/>
          </w:tcPr>
          <w:p w14:paraId="2DBFDA26">
            <w:pPr>
              <w:adjustRightInd w:val="0"/>
              <w:snapToGrid w:val="0"/>
              <w:spacing w:line="340" w:lineRule="exact"/>
              <w:ind w:firstLine="210" w:firstLineChars="100"/>
              <w:rPr>
                <w:rFonts w:hint="eastAsia" w:ascii="宋体" w:hAnsi="宋体"/>
                <w:bCs/>
                <w:szCs w:val="21"/>
                <w:highlight w:val="none"/>
                <w:lang w:val="zh-CN"/>
              </w:rPr>
            </w:pPr>
            <w:r>
              <w:rPr>
                <w:rFonts w:hint="eastAsia" w:ascii="宋体" w:hAnsi="宋体"/>
                <w:bCs/>
                <w:szCs w:val="21"/>
                <w:highlight w:val="none"/>
                <w:lang w:val="zh-CN"/>
              </w:rPr>
              <w:t>/</w:t>
            </w:r>
          </w:p>
        </w:tc>
      </w:tr>
      <w:tr w14:paraId="0244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Merge w:val="continue"/>
            <w:vAlign w:val="center"/>
          </w:tcPr>
          <w:p w14:paraId="64946895">
            <w:pPr>
              <w:adjustRightInd w:val="0"/>
              <w:snapToGrid w:val="0"/>
              <w:spacing w:line="340" w:lineRule="exact"/>
              <w:jc w:val="center"/>
              <w:rPr>
                <w:rFonts w:hint="eastAsia" w:ascii="宋体" w:hAnsi="宋体"/>
                <w:bCs/>
                <w:szCs w:val="21"/>
                <w:highlight w:val="none"/>
              </w:rPr>
            </w:pPr>
          </w:p>
        </w:tc>
        <w:tc>
          <w:tcPr>
            <w:tcW w:w="831" w:type="pct"/>
            <w:vAlign w:val="center"/>
          </w:tcPr>
          <w:p w14:paraId="2C7D1537">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工程量清单</w:t>
            </w:r>
            <w:r>
              <w:rPr>
                <w:rFonts w:ascii="宋体" w:hAnsi="宋体"/>
                <w:bCs/>
                <w:szCs w:val="21"/>
                <w:highlight w:val="none"/>
              </w:rPr>
              <w:br w:type="textWrapping"/>
            </w:r>
            <w:r>
              <w:rPr>
                <w:rFonts w:hint="eastAsia" w:ascii="宋体" w:hAnsi="宋体"/>
                <w:bCs/>
                <w:szCs w:val="21"/>
                <w:highlight w:val="none"/>
              </w:rPr>
              <w:t>的填写方式</w:t>
            </w:r>
          </w:p>
        </w:tc>
        <w:tc>
          <w:tcPr>
            <w:tcW w:w="3668" w:type="pct"/>
            <w:vAlign w:val="center"/>
          </w:tcPr>
          <w:p w14:paraId="55A3A6D6">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投标人按照招标人提供的工程量固化清单电子文件填写工程量清单。</w:t>
            </w:r>
          </w:p>
        </w:tc>
      </w:tr>
      <w:tr w14:paraId="75F8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0F7E6E00">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3.2.3</w:t>
            </w:r>
          </w:p>
        </w:tc>
        <w:tc>
          <w:tcPr>
            <w:tcW w:w="831" w:type="pct"/>
            <w:vAlign w:val="center"/>
          </w:tcPr>
          <w:p w14:paraId="004EB70B">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报价方式</w:t>
            </w:r>
          </w:p>
        </w:tc>
        <w:tc>
          <w:tcPr>
            <w:tcW w:w="3668" w:type="pct"/>
            <w:vAlign w:val="center"/>
          </w:tcPr>
          <w:p w14:paraId="66D0DE96">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单价</w:t>
            </w:r>
          </w:p>
        </w:tc>
      </w:tr>
      <w:tr w14:paraId="1249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47119A81">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3.2.6</w:t>
            </w:r>
          </w:p>
        </w:tc>
        <w:tc>
          <w:tcPr>
            <w:tcW w:w="831" w:type="pct"/>
            <w:vAlign w:val="center"/>
          </w:tcPr>
          <w:p w14:paraId="09611C83">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是否接受</w:t>
            </w:r>
          </w:p>
          <w:p w14:paraId="6D8F724D">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调价函</w:t>
            </w:r>
          </w:p>
        </w:tc>
        <w:tc>
          <w:tcPr>
            <w:tcW w:w="3668" w:type="pct"/>
            <w:tcBorders>
              <w:bottom w:val="single" w:color="auto" w:sz="4" w:space="0"/>
            </w:tcBorders>
            <w:vAlign w:val="center"/>
          </w:tcPr>
          <w:p w14:paraId="3320F453">
            <w:pPr>
              <w:pStyle w:val="34"/>
              <w:pBdr>
                <w:bottom w:val="none" w:color="auto" w:sz="0" w:space="0"/>
              </w:pBdr>
              <w:tabs>
                <w:tab w:val="clear" w:pos="4153"/>
                <w:tab w:val="clear" w:pos="8306"/>
              </w:tabs>
              <w:adjustRightInd w:val="0"/>
              <w:spacing w:line="340" w:lineRule="exact"/>
              <w:ind w:firstLine="210" w:firstLineChars="100"/>
              <w:jc w:val="both"/>
              <w:rPr>
                <w:rFonts w:hint="eastAsia" w:ascii="宋体" w:hAnsi="宋体"/>
                <w:bCs/>
                <w:kern w:val="2"/>
                <w:sz w:val="21"/>
                <w:szCs w:val="21"/>
                <w:highlight w:val="none"/>
              </w:rPr>
            </w:pPr>
            <w:r>
              <w:rPr>
                <w:rFonts w:ascii="宋体" w:hAnsi="宋体"/>
                <w:bCs/>
                <w:kern w:val="2"/>
                <w:sz w:val="21"/>
                <w:szCs w:val="21"/>
                <w:highlight w:val="none"/>
              </w:rPr>
              <w:t>否</w:t>
            </w:r>
          </w:p>
        </w:tc>
      </w:tr>
      <w:tr w14:paraId="6132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3A1C30DC">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3.2.8</w:t>
            </w:r>
          </w:p>
        </w:tc>
        <w:tc>
          <w:tcPr>
            <w:tcW w:w="831" w:type="pct"/>
            <w:vAlign w:val="center"/>
          </w:tcPr>
          <w:p w14:paraId="668B32C6">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最高投标限价</w:t>
            </w:r>
          </w:p>
        </w:tc>
        <w:tc>
          <w:tcPr>
            <w:tcW w:w="3668" w:type="pct"/>
            <w:shd w:val="clear" w:color="auto" w:fill="auto"/>
            <w:vAlign w:val="center"/>
          </w:tcPr>
          <w:p w14:paraId="0C0D18C1">
            <w:pPr>
              <w:widowControl/>
              <w:jc w:val="left"/>
              <w:rPr>
                <w:rFonts w:hint="eastAsia" w:ascii="黑体" w:hAnsi="黑体" w:eastAsia="黑体"/>
                <w:bCs/>
                <w:szCs w:val="21"/>
                <w:highlight w:val="none"/>
              </w:rPr>
            </w:pPr>
            <w:r>
              <w:rPr>
                <w:rFonts w:hint="eastAsia" w:ascii="黑体" w:hAnsi="黑体" w:eastAsia="黑体"/>
                <w:bCs/>
                <w:szCs w:val="21"/>
                <w:highlight w:val="none"/>
              </w:rPr>
              <w:t>YB25YH01标段：最高投标限价30,385,791 元</w:t>
            </w:r>
          </w:p>
          <w:p w14:paraId="6FAC560D">
            <w:pPr>
              <w:widowControl/>
              <w:spacing w:line="340" w:lineRule="exact"/>
              <w:jc w:val="left"/>
              <w:rPr>
                <w:rFonts w:hint="eastAsia" w:ascii="黑体" w:hAnsi="黑体" w:eastAsia="黑体"/>
                <w:bCs/>
                <w:szCs w:val="21"/>
                <w:highlight w:val="none"/>
              </w:rPr>
            </w:pPr>
            <w:r>
              <w:rPr>
                <w:rFonts w:hint="eastAsia" w:ascii="黑体" w:hAnsi="黑体" w:eastAsia="黑体"/>
                <w:bCs/>
                <w:szCs w:val="21"/>
                <w:highlight w:val="none"/>
              </w:rPr>
              <w:t>YB25YH02标段：最高投标限价27,589,536 元</w:t>
            </w:r>
          </w:p>
          <w:p w14:paraId="0527C161">
            <w:pPr>
              <w:widowControl/>
              <w:adjustRightInd w:val="0"/>
              <w:snapToGrid w:val="0"/>
              <w:spacing w:line="340" w:lineRule="exact"/>
              <w:jc w:val="left"/>
              <w:rPr>
                <w:rFonts w:hint="eastAsia" w:ascii="黑体" w:hAnsi="黑体" w:eastAsia="黑体"/>
                <w:sz w:val="18"/>
                <w:szCs w:val="18"/>
                <w:highlight w:val="none"/>
              </w:rPr>
            </w:pPr>
            <w:bookmarkStart w:id="65" w:name="OLE_LINK67"/>
            <w:r>
              <w:rPr>
                <w:rFonts w:hint="eastAsia" w:ascii="黑体" w:hAnsi="黑体" w:eastAsia="黑体"/>
                <w:bCs/>
                <w:szCs w:val="21"/>
                <w:highlight w:val="none"/>
              </w:rPr>
              <w:t>YB25JT01标段</w:t>
            </w:r>
            <w:bookmarkEnd w:id="65"/>
            <w:r>
              <w:rPr>
                <w:rFonts w:hint="eastAsia" w:ascii="黑体" w:hAnsi="黑体" w:eastAsia="黑体"/>
                <w:bCs/>
                <w:szCs w:val="21"/>
                <w:highlight w:val="none"/>
              </w:rPr>
              <w:t>：最高投标限价7,188,492元</w:t>
            </w:r>
          </w:p>
        </w:tc>
      </w:tr>
      <w:tr w14:paraId="3AF3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666033DA">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3.2.9</w:t>
            </w:r>
          </w:p>
        </w:tc>
        <w:tc>
          <w:tcPr>
            <w:tcW w:w="831" w:type="pct"/>
            <w:vAlign w:val="center"/>
          </w:tcPr>
          <w:p w14:paraId="13B2321A">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投标报价的</w:t>
            </w:r>
            <w:r>
              <w:rPr>
                <w:rFonts w:ascii="宋体" w:hAnsi="宋体"/>
                <w:bCs/>
                <w:szCs w:val="21"/>
                <w:highlight w:val="none"/>
              </w:rPr>
              <w:br w:type="textWrapping"/>
            </w:r>
            <w:r>
              <w:rPr>
                <w:rFonts w:hint="eastAsia" w:ascii="宋体" w:hAnsi="宋体"/>
                <w:bCs/>
                <w:szCs w:val="21"/>
                <w:highlight w:val="none"/>
              </w:rPr>
              <w:t>其他要求</w:t>
            </w:r>
          </w:p>
        </w:tc>
        <w:tc>
          <w:tcPr>
            <w:tcW w:w="3668" w:type="pct"/>
            <w:vAlign w:val="center"/>
          </w:tcPr>
          <w:p w14:paraId="3638C53F">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w:t>
            </w:r>
          </w:p>
        </w:tc>
      </w:tr>
      <w:tr w14:paraId="1443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34E8A6C8">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3.4.</w:t>
            </w:r>
            <w:r>
              <w:rPr>
                <w:rFonts w:hint="eastAsia" w:ascii="宋体" w:hAnsi="宋体"/>
                <w:bCs/>
                <w:szCs w:val="21"/>
                <w:highlight w:val="none"/>
              </w:rPr>
              <w:t>1</w:t>
            </w:r>
          </w:p>
        </w:tc>
        <w:tc>
          <w:tcPr>
            <w:tcW w:w="831" w:type="pct"/>
            <w:vAlign w:val="center"/>
          </w:tcPr>
          <w:p w14:paraId="5C53207E">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投标保证金</w:t>
            </w:r>
          </w:p>
          <w:p w14:paraId="7C1279CE">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的递交</w:t>
            </w:r>
          </w:p>
        </w:tc>
        <w:tc>
          <w:tcPr>
            <w:tcW w:w="3668" w:type="pct"/>
            <w:vAlign w:val="center"/>
          </w:tcPr>
          <w:p w14:paraId="5D2F96F8">
            <w:pPr>
              <w:snapToGrid w:val="0"/>
              <w:spacing w:line="340" w:lineRule="exact"/>
              <w:ind w:firstLine="210" w:firstLineChars="100"/>
              <w:rPr>
                <w:rFonts w:hint="eastAsia" w:ascii="宋体" w:hAnsi="宋体"/>
                <w:bCs/>
                <w:szCs w:val="21"/>
                <w:highlight w:val="none"/>
              </w:rPr>
            </w:pPr>
            <w:r>
              <w:rPr>
                <w:rFonts w:hint="eastAsia" w:ascii="宋体" w:hAnsi="宋体"/>
                <w:bCs/>
                <w:kern w:val="0"/>
                <w:szCs w:val="21"/>
                <w:highlight w:val="none"/>
                <w:lang w:val="zh-CN"/>
              </w:rPr>
              <w:t>投标保证金的金额</w:t>
            </w:r>
            <w:r>
              <w:rPr>
                <w:rFonts w:hint="eastAsia" w:ascii="宋体" w:hAnsi="宋体"/>
                <w:bCs/>
                <w:szCs w:val="21"/>
                <w:highlight w:val="none"/>
              </w:rPr>
              <w:t>：</w:t>
            </w:r>
          </w:p>
          <w:p w14:paraId="7550A5FF">
            <w:pPr>
              <w:snapToGrid w:val="0"/>
              <w:spacing w:line="340" w:lineRule="exact"/>
              <w:ind w:firstLine="210" w:firstLineChars="100"/>
              <w:rPr>
                <w:rFonts w:hint="eastAsia" w:ascii="宋体" w:hAnsi="宋体"/>
                <w:bCs/>
                <w:szCs w:val="21"/>
                <w:highlight w:val="none"/>
              </w:rPr>
            </w:pPr>
            <w:bookmarkStart w:id="66" w:name="OLE_LINK66"/>
            <w:r>
              <w:rPr>
                <w:rFonts w:hint="eastAsia" w:ascii="宋体" w:hAnsi="宋体"/>
                <w:bCs/>
                <w:szCs w:val="21"/>
                <w:highlight w:val="none"/>
              </w:rPr>
              <w:t>YB25YH01标段</w:t>
            </w:r>
            <w:bookmarkEnd w:id="66"/>
            <w:r>
              <w:rPr>
                <w:rFonts w:hint="eastAsia" w:ascii="宋体" w:hAnsi="宋体"/>
                <w:bCs/>
                <w:szCs w:val="21"/>
                <w:highlight w:val="none"/>
              </w:rPr>
              <w:t>：20万元</w:t>
            </w:r>
          </w:p>
          <w:p w14:paraId="67D12C0B">
            <w:pPr>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YB25YH02标段：20万元</w:t>
            </w:r>
          </w:p>
          <w:p w14:paraId="7E6ACAFB">
            <w:pPr>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YB25JT01标段：5万元</w:t>
            </w:r>
          </w:p>
          <w:p w14:paraId="062F9CE0">
            <w:pPr>
              <w:adjustRightInd w:val="0"/>
              <w:snapToGrid w:val="0"/>
              <w:spacing w:line="340" w:lineRule="exact"/>
              <w:ind w:left="21" w:leftChars="10" w:firstLine="210" w:firstLineChars="100"/>
              <w:jc w:val="left"/>
              <w:rPr>
                <w:rFonts w:hint="eastAsia" w:ascii="宋体" w:hAnsi="宋体"/>
                <w:bCs/>
                <w:szCs w:val="21"/>
                <w:highlight w:val="none"/>
              </w:rPr>
            </w:pPr>
            <w:r>
              <w:rPr>
                <w:rFonts w:hint="eastAsia" w:ascii="宋体" w:hAnsi="宋体"/>
                <w:bCs/>
                <w:szCs w:val="21"/>
                <w:highlight w:val="none"/>
              </w:rPr>
              <w:t>投标保证金的形式：现金、支票或</w:t>
            </w:r>
            <w:r>
              <w:rPr>
                <w:rFonts w:ascii="宋体" w:hAnsi="宋体"/>
                <w:bCs/>
                <w:szCs w:val="21"/>
                <w:highlight w:val="none"/>
              </w:rPr>
              <w:t>吉林省公共资源一体化交易平台办理的电子保函。</w:t>
            </w:r>
          </w:p>
          <w:p w14:paraId="6BA1DFC4">
            <w:pPr>
              <w:adjustRightInd w:val="0"/>
              <w:snapToGrid w:val="0"/>
              <w:spacing w:line="340" w:lineRule="exact"/>
              <w:ind w:left="21" w:leftChars="10" w:firstLine="420" w:firstLineChars="200"/>
              <w:jc w:val="left"/>
              <w:rPr>
                <w:rFonts w:hint="eastAsia" w:ascii="宋体" w:hAnsi="宋体"/>
                <w:bCs/>
                <w:szCs w:val="21"/>
                <w:highlight w:val="none"/>
              </w:rPr>
            </w:pPr>
            <w:r>
              <w:rPr>
                <w:rFonts w:ascii="宋体" w:hAnsi="宋体"/>
                <w:bCs/>
                <w:szCs w:val="21"/>
                <w:highlight w:val="none"/>
              </w:rPr>
              <w:fldChar w:fldCharType="begin"/>
            </w:r>
            <w:r>
              <w:rPr>
                <w:rFonts w:ascii="宋体" w:hAnsi="宋体"/>
                <w:bCs/>
                <w:szCs w:val="21"/>
                <w:highlight w:val="none"/>
              </w:rPr>
              <w:instrText xml:space="preserve"> </w:instrText>
            </w:r>
            <w:r>
              <w:rPr>
                <w:rFonts w:hint="eastAsia" w:ascii="宋体" w:hAnsi="宋体"/>
                <w:bCs/>
                <w:szCs w:val="21"/>
                <w:highlight w:val="none"/>
              </w:rPr>
              <w:instrText xml:space="preserve">= 1 \* GB3</w:instrText>
            </w:r>
            <w:r>
              <w:rPr>
                <w:rFonts w:ascii="宋体" w:hAnsi="宋体"/>
                <w:bCs/>
                <w:szCs w:val="21"/>
                <w:highlight w:val="none"/>
              </w:rPr>
              <w:instrText xml:space="preserve"> </w:instrText>
            </w:r>
            <w:r>
              <w:rPr>
                <w:rFonts w:ascii="宋体" w:hAnsi="宋体"/>
                <w:bCs/>
                <w:szCs w:val="21"/>
                <w:highlight w:val="none"/>
              </w:rPr>
              <w:fldChar w:fldCharType="separate"/>
            </w:r>
            <w:r>
              <w:rPr>
                <w:rFonts w:hint="eastAsia" w:ascii="宋体" w:hAnsi="宋体"/>
                <w:bCs/>
                <w:szCs w:val="21"/>
                <w:highlight w:val="none"/>
              </w:rPr>
              <w:t>①</w:t>
            </w:r>
            <w:r>
              <w:rPr>
                <w:rFonts w:ascii="宋体" w:hAnsi="宋体"/>
                <w:bCs/>
                <w:szCs w:val="21"/>
                <w:highlight w:val="none"/>
              </w:rPr>
              <w:fldChar w:fldCharType="end"/>
            </w:r>
            <w:r>
              <w:rPr>
                <w:rFonts w:hint="eastAsia" w:ascii="宋体" w:hAnsi="宋体"/>
                <w:bCs/>
                <w:szCs w:val="21"/>
                <w:highlight w:val="none"/>
              </w:rPr>
              <w:t>采用现金或支票形式的：应由投标人的基本账户一次性汇入招标人指定账户。投标人</w:t>
            </w:r>
            <w:r>
              <w:rPr>
                <w:rFonts w:ascii="宋体" w:hAnsi="宋体"/>
                <w:bCs/>
                <w:szCs w:val="21"/>
                <w:highlight w:val="none"/>
              </w:rPr>
              <w:t>应保证</w:t>
            </w:r>
            <w:r>
              <w:rPr>
                <w:rFonts w:hint="eastAsia" w:ascii="宋体" w:hAnsi="宋体"/>
                <w:bCs/>
                <w:szCs w:val="21"/>
                <w:highlight w:val="none"/>
              </w:rPr>
              <w:t>上述款项</w:t>
            </w:r>
            <w:r>
              <w:rPr>
                <w:rFonts w:ascii="宋体" w:hAnsi="宋体"/>
                <w:bCs/>
                <w:szCs w:val="21"/>
                <w:highlight w:val="none"/>
              </w:rPr>
              <w:t>在</w:t>
            </w:r>
            <w:r>
              <w:rPr>
                <w:rFonts w:hint="eastAsia" w:ascii="宋体" w:hAnsi="宋体"/>
                <w:bCs/>
                <w:szCs w:val="21"/>
                <w:highlight w:val="none"/>
              </w:rPr>
              <w:t>投标截止时间前</w:t>
            </w:r>
            <w:r>
              <w:rPr>
                <w:rFonts w:ascii="宋体" w:hAnsi="宋体"/>
                <w:bCs/>
                <w:szCs w:val="21"/>
                <w:highlight w:val="none"/>
              </w:rPr>
              <w:t>到达</w:t>
            </w:r>
            <w:r>
              <w:rPr>
                <w:rFonts w:hint="eastAsia" w:ascii="宋体" w:hAnsi="宋体"/>
                <w:bCs/>
                <w:szCs w:val="21"/>
                <w:highlight w:val="none"/>
              </w:rPr>
              <w:t>招</w:t>
            </w:r>
            <w:r>
              <w:rPr>
                <w:rFonts w:ascii="宋体" w:hAnsi="宋体"/>
                <w:bCs/>
                <w:szCs w:val="21"/>
                <w:highlight w:val="none"/>
              </w:rPr>
              <w:t>标人指定账户，否则视为</w:t>
            </w:r>
            <w:r>
              <w:rPr>
                <w:rFonts w:hint="eastAsia" w:ascii="宋体" w:hAnsi="宋体"/>
                <w:bCs/>
                <w:szCs w:val="21"/>
                <w:highlight w:val="none"/>
              </w:rPr>
              <w:t>投</w:t>
            </w:r>
            <w:r>
              <w:rPr>
                <w:rFonts w:ascii="宋体" w:hAnsi="宋体"/>
                <w:bCs/>
                <w:szCs w:val="21"/>
                <w:highlight w:val="none"/>
              </w:rPr>
              <w:t>标保证金无效。</w:t>
            </w:r>
          </w:p>
          <w:p w14:paraId="3C124A5B">
            <w:pPr>
              <w:spacing w:line="340" w:lineRule="exact"/>
              <w:ind w:left="21" w:leftChars="10" w:firstLine="420" w:firstLineChars="200"/>
              <w:jc w:val="left"/>
              <w:rPr>
                <w:rFonts w:hint="eastAsia" w:ascii="宋体" w:hAnsi="宋体"/>
                <w:bCs/>
                <w:szCs w:val="21"/>
                <w:highlight w:val="none"/>
              </w:rPr>
            </w:pPr>
            <w:r>
              <w:rPr>
                <w:rFonts w:hint="eastAsia" w:ascii="宋体" w:hAnsi="宋体"/>
                <w:bCs/>
                <w:szCs w:val="21"/>
                <w:highlight w:val="none"/>
              </w:rPr>
              <w:t>招标人指定的银行及账号如下：</w:t>
            </w:r>
          </w:p>
          <w:p w14:paraId="24BB4B1E">
            <w:pPr>
              <w:spacing w:line="340" w:lineRule="exact"/>
              <w:ind w:left="21" w:leftChars="10" w:firstLine="420" w:firstLineChars="200"/>
              <w:jc w:val="left"/>
              <w:rPr>
                <w:rFonts w:hint="eastAsia" w:ascii="宋体" w:hAnsi="宋体"/>
                <w:bCs/>
                <w:szCs w:val="21"/>
                <w:highlight w:val="none"/>
              </w:rPr>
            </w:pPr>
            <w:r>
              <w:rPr>
                <w:rFonts w:hint="eastAsia" w:ascii="宋体" w:hAnsi="宋体"/>
                <w:bCs/>
                <w:szCs w:val="21"/>
                <w:highlight w:val="none"/>
              </w:rPr>
              <w:t xml:space="preserve">开户名称：吉林省伟邦公路技术有限公司 </w:t>
            </w:r>
          </w:p>
          <w:p w14:paraId="403D915E">
            <w:pPr>
              <w:spacing w:line="340" w:lineRule="exact"/>
              <w:ind w:left="21" w:leftChars="10" w:firstLine="420" w:firstLineChars="200"/>
              <w:jc w:val="left"/>
              <w:rPr>
                <w:rFonts w:hint="eastAsia" w:ascii="宋体" w:hAnsi="宋体"/>
                <w:bCs/>
                <w:szCs w:val="21"/>
                <w:highlight w:val="none"/>
              </w:rPr>
            </w:pPr>
            <w:r>
              <w:rPr>
                <w:rFonts w:hint="eastAsia" w:ascii="宋体" w:hAnsi="宋体"/>
                <w:bCs/>
                <w:szCs w:val="21"/>
                <w:highlight w:val="none"/>
              </w:rPr>
              <w:t xml:space="preserve">开户银行：建设银行九台支行 </w:t>
            </w:r>
          </w:p>
          <w:p w14:paraId="14FEAA54">
            <w:pPr>
              <w:spacing w:line="340" w:lineRule="exact"/>
              <w:ind w:left="441" w:leftChars="210"/>
              <w:jc w:val="left"/>
              <w:rPr>
                <w:rFonts w:hint="eastAsia" w:ascii="宋体" w:hAnsi="宋体"/>
                <w:bCs/>
                <w:szCs w:val="21"/>
                <w:highlight w:val="none"/>
              </w:rPr>
            </w:pPr>
            <w:r>
              <w:rPr>
                <w:rFonts w:hint="eastAsia" w:ascii="宋体" w:hAnsi="宋体"/>
                <w:bCs/>
                <w:szCs w:val="21"/>
                <w:highlight w:val="none"/>
              </w:rPr>
              <w:t>银行账号：22001390100055001391</w:t>
            </w:r>
            <w:r>
              <w:rPr>
                <w:rFonts w:ascii="宋体" w:hAnsi="宋体"/>
                <w:bCs/>
                <w:szCs w:val="21"/>
                <w:highlight w:val="none"/>
              </w:rPr>
              <w:cr/>
            </w:r>
            <w:r>
              <w:rPr>
                <w:rFonts w:hint="eastAsia" w:ascii="宋体" w:hAnsi="宋体"/>
                <w:bCs/>
                <w:szCs w:val="21"/>
                <w:highlight w:val="none"/>
              </w:rPr>
              <w:t>银行转账业务备注栏填写：</w:t>
            </w:r>
            <w:r>
              <w:rPr>
                <w:rFonts w:hint="eastAsia" w:ascii="黑体" w:hAnsi="黑体" w:eastAsia="黑体"/>
                <w:bCs/>
                <w:szCs w:val="21"/>
                <w:highlight w:val="none"/>
              </w:rPr>
              <w:t>“延边丹阿线施工招标</w:t>
            </w:r>
            <w:r>
              <w:rPr>
                <w:rFonts w:hint="eastAsia" w:ascii="黑体" w:hAnsi="黑体" w:eastAsia="黑体"/>
                <w:bCs/>
                <w:szCs w:val="21"/>
                <w:highlight w:val="none"/>
                <w:u w:val="single"/>
              </w:rPr>
              <w:t xml:space="preserve">  </w:t>
            </w:r>
            <w:r>
              <w:rPr>
                <w:rFonts w:hint="eastAsia" w:ascii="黑体" w:hAnsi="黑体" w:eastAsia="黑体"/>
                <w:bCs/>
                <w:szCs w:val="21"/>
                <w:highlight w:val="none"/>
              </w:rPr>
              <w:t>标段投标保证金”</w:t>
            </w:r>
            <w:r>
              <w:rPr>
                <w:rFonts w:hint="eastAsia" w:ascii="宋体" w:hAnsi="宋体"/>
                <w:bCs/>
                <w:szCs w:val="21"/>
                <w:highlight w:val="none"/>
              </w:rPr>
              <w:t>。</w:t>
            </w:r>
          </w:p>
          <w:p w14:paraId="53663D1F">
            <w:pPr>
              <w:widowControl/>
              <w:spacing w:line="340" w:lineRule="exact"/>
              <w:ind w:left="21" w:leftChars="10" w:firstLine="420" w:firstLineChars="200"/>
              <w:jc w:val="left"/>
              <w:rPr>
                <w:rFonts w:hint="eastAsia" w:ascii="宋体" w:hAnsi="宋体"/>
                <w:bCs/>
                <w:kern w:val="0"/>
                <w:szCs w:val="21"/>
                <w:highlight w:val="none"/>
                <w:lang w:val="zh-CN"/>
              </w:rPr>
            </w:pPr>
            <w:r>
              <w:rPr>
                <w:rFonts w:ascii="宋体" w:hAnsi="宋体"/>
                <w:bCs/>
                <w:szCs w:val="21"/>
                <w:highlight w:val="none"/>
              </w:rPr>
              <w:fldChar w:fldCharType="begin"/>
            </w:r>
            <w:r>
              <w:rPr>
                <w:rFonts w:ascii="宋体" w:hAnsi="宋体"/>
                <w:bCs/>
                <w:szCs w:val="21"/>
                <w:highlight w:val="none"/>
              </w:rPr>
              <w:instrText xml:space="preserve"> </w:instrText>
            </w:r>
            <w:r>
              <w:rPr>
                <w:rFonts w:hint="eastAsia" w:ascii="宋体" w:hAnsi="宋体"/>
                <w:bCs/>
                <w:szCs w:val="21"/>
                <w:highlight w:val="none"/>
              </w:rPr>
              <w:instrText xml:space="preserve">= 2 \* GB3</w:instrText>
            </w:r>
            <w:r>
              <w:rPr>
                <w:rFonts w:ascii="宋体" w:hAnsi="宋体"/>
                <w:bCs/>
                <w:szCs w:val="21"/>
                <w:highlight w:val="none"/>
              </w:rPr>
              <w:instrText xml:space="preserve"> </w:instrText>
            </w:r>
            <w:r>
              <w:rPr>
                <w:rFonts w:ascii="宋体" w:hAnsi="宋体"/>
                <w:bCs/>
                <w:szCs w:val="21"/>
                <w:highlight w:val="none"/>
              </w:rPr>
              <w:fldChar w:fldCharType="separate"/>
            </w:r>
            <w:r>
              <w:rPr>
                <w:rFonts w:hint="eastAsia" w:ascii="宋体" w:hAnsi="宋体"/>
                <w:bCs/>
                <w:szCs w:val="21"/>
                <w:highlight w:val="none"/>
              </w:rPr>
              <w:t>②</w:t>
            </w:r>
            <w:r>
              <w:rPr>
                <w:rFonts w:ascii="宋体" w:hAnsi="宋体"/>
                <w:bCs/>
                <w:szCs w:val="21"/>
                <w:highlight w:val="none"/>
              </w:rPr>
              <w:fldChar w:fldCharType="end"/>
            </w:r>
            <w:r>
              <w:rPr>
                <w:rFonts w:hint="eastAsia" w:ascii="宋体" w:hAnsi="宋体"/>
                <w:bCs/>
                <w:szCs w:val="21"/>
                <w:highlight w:val="none"/>
              </w:rPr>
              <w:t>采用</w:t>
            </w:r>
            <w:r>
              <w:rPr>
                <w:rFonts w:ascii="宋体" w:hAnsi="宋体"/>
                <w:bCs/>
                <w:szCs w:val="21"/>
                <w:highlight w:val="none"/>
              </w:rPr>
              <w:t>吉林省公共资源一体化交易平台办理的电子保函</w:t>
            </w:r>
            <w:r>
              <w:rPr>
                <w:rFonts w:hint="eastAsia" w:ascii="宋体" w:hAnsi="宋体"/>
                <w:bCs/>
                <w:szCs w:val="21"/>
                <w:highlight w:val="none"/>
              </w:rPr>
              <w:t>，</w:t>
            </w:r>
            <w:r>
              <w:rPr>
                <w:rFonts w:hint="eastAsia" w:ascii="宋体" w:hAnsi="宋体"/>
                <w:bCs/>
                <w:color w:val="333333"/>
                <w:szCs w:val="21"/>
                <w:highlight w:val="none"/>
                <w:shd w:val="clear" w:color="auto" w:fill="FFFFFF"/>
              </w:rPr>
              <w:t>投标单位登录吉林省公共资源一体化交易平台，在系统“电子保函申请”菜单下，点击“立即申请”按钮，进入电子保函申请页面申请电子保函，电子保函当前以系统开具为准。</w:t>
            </w:r>
          </w:p>
        </w:tc>
      </w:tr>
      <w:tr w14:paraId="22D3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01167052">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3.4.</w:t>
            </w:r>
            <w:r>
              <w:rPr>
                <w:rFonts w:hint="eastAsia" w:ascii="宋体" w:hAnsi="宋体"/>
                <w:bCs/>
                <w:szCs w:val="21"/>
                <w:highlight w:val="none"/>
              </w:rPr>
              <w:t>3</w:t>
            </w:r>
          </w:p>
        </w:tc>
        <w:tc>
          <w:tcPr>
            <w:tcW w:w="831" w:type="pct"/>
            <w:vAlign w:val="center"/>
          </w:tcPr>
          <w:p w14:paraId="54DFB7D4">
            <w:pPr>
              <w:adjustRightInd w:val="0"/>
              <w:snapToGrid w:val="0"/>
              <w:spacing w:line="340" w:lineRule="exact"/>
              <w:jc w:val="center"/>
              <w:rPr>
                <w:rFonts w:hint="eastAsia" w:ascii="宋体" w:hAnsi="宋体"/>
                <w:bCs/>
                <w:szCs w:val="21"/>
                <w:highlight w:val="none"/>
              </w:rPr>
            </w:pPr>
            <w:r>
              <w:rPr>
                <w:bCs/>
                <w:szCs w:val="21"/>
                <w:highlight w:val="none"/>
              </w:rPr>
              <w:t>投标保证金的</w:t>
            </w:r>
            <w:r>
              <w:rPr>
                <w:rFonts w:hint="eastAsia"/>
                <w:bCs/>
                <w:szCs w:val="21"/>
                <w:highlight w:val="none"/>
              </w:rPr>
              <w:br w:type="textWrapping"/>
            </w:r>
            <w:r>
              <w:rPr>
                <w:bCs/>
                <w:szCs w:val="21"/>
                <w:highlight w:val="none"/>
              </w:rPr>
              <w:t>利息计算原则</w:t>
            </w:r>
          </w:p>
        </w:tc>
        <w:tc>
          <w:tcPr>
            <w:tcW w:w="3668" w:type="pct"/>
            <w:vAlign w:val="center"/>
          </w:tcPr>
          <w:p w14:paraId="259C2925">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（1）</w:t>
            </w:r>
            <w:r>
              <w:rPr>
                <w:rFonts w:ascii="宋体" w:hAnsi="宋体"/>
                <w:bCs/>
                <w:szCs w:val="21"/>
                <w:highlight w:val="none"/>
              </w:rPr>
              <w:t>计算利息的起始日期为投标截止当日，终止日期为招标人退还投标保证金日期的前一日；</w:t>
            </w:r>
          </w:p>
          <w:p w14:paraId="72E3294F">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（2）</w:t>
            </w:r>
            <w:r>
              <w:rPr>
                <w:rFonts w:ascii="宋体" w:hAnsi="宋体"/>
                <w:bCs/>
                <w:szCs w:val="21"/>
                <w:highlight w:val="none"/>
              </w:rPr>
              <w:t>投标保证金的利息按照第（1）款所述计息时间段内招标人指定汇入银行公告的活期存款利率计付，并扣除招标人汇款手续费；</w:t>
            </w:r>
          </w:p>
          <w:p w14:paraId="0FB4B6BC">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（3）</w:t>
            </w:r>
            <w:r>
              <w:rPr>
                <w:rFonts w:ascii="宋体" w:hAnsi="宋体"/>
                <w:bCs/>
                <w:szCs w:val="21"/>
                <w:highlight w:val="none"/>
              </w:rPr>
              <w:t>利息金额计算至分位，分以下尾数四舍五入。</w:t>
            </w:r>
          </w:p>
        </w:tc>
      </w:tr>
      <w:tr w14:paraId="095F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14D9D589">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3.4.4</w:t>
            </w:r>
          </w:p>
        </w:tc>
        <w:tc>
          <w:tcPr>
            <w:tcW w:w="831" w:type="pct"/>
            <w:vAlign w:val="center"/>
          </w:tcPr>
          <w:p w14:paraId="03E194E8">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其他可以</w:t>
            </w:r>
            <w:r>
              <w:rPr>
                <w:rFonts w:ascii="宋体" w:hAnsi="宋体"/>
                <w:bCs/>
                <w:szCs w:val="21"/>
                <w:highlight w:val="none"/>
              </w:rPr>
              <w:br w:type="textWrapping"/>
            </w:r>
            <w:r>
              <w:rPr>
                <w:rFonts w:hint="eastAsia" w:ascii="宋体" w:hAnsi="宋体"/>
                <w:bCs/>
                <w:szCs w:val="21"/>
                <w:highlight w:val="none"/>
              </w:rPr>
              <w:t>不予退还</w:t>
            </w:r>
            <w:r>
              <w:rPr>
                <w:rFonts w:ascii="宋体" w:hAnsi="宋体"/>
                <w:bCs/>
                <w:szCs w:val="21"/>
                <w:highlight w:val="none"/>
              </w:rPr>
              <w:br w:type="textWrapping"/>
            </w:r>
            <w:r>
              <w:rPr>
                <w:rFonts w:hint="eastAsia" w:ascii="宋体" w:hAnsi="宋体"/>
                <w:bCs/>
                <w:szCs w:val="21"/>
                <w:highlight w:val="none"/>
              </w:rPr>
              <w:t>投标保证金情形</w:t>
            </w:r>
          </w:p>
        </w:tc>
        <w:tc>
          <w:tcPr>
            <w:tcW w:w="3668" w:type="pct"/>
            <w:vAlign w:val="center"/>
          </w:tcPr>
          <w:p w14:paraId="001A3B3D">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w:t>
            </w:r>
          </w:p>
        </w:tc>
      </w:tr>
      <w:tr w14:paraId="459E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245CCCF7">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3.5</w:t>
            </w:r>
          </w:p>
        </w:tc>
        <w:tc>
          <w:tcPr>
            <w:tcW w:w="831" w:type="pct"/>
            <w:vAlign w:val="center"/>
          </w:tcPr>
          <w:p w14:paraId="172FD359">
            <w:pPr>
              <w:autoSpaceDE w:val="0"/>
              <w:autoSpaceDN w:val="0"/>
              <w:adjustRightInd w:val="0"/>
              <w:snapToGrid w:val="0"/>
              <w:spacing w:line="340" w:lineRule="exact"/>
              <w:jc w:val="center"/>
              <w:rPr>
                <w:rFonts w:hint="eastAsia" w:ascii="宋体" w:hAnsi="宋体"/>
                <w:bCs/>
                <w:szCs w:val="21"/>
                <w:highlight w:val="none"/>
              </w:rPr>
            </w:pPr>
            <w:r>
              <w:rPr>
                <w:rFonts w:hint="eastAsia" w:ascii="Times New Roman" w:hAnsi="宋体"/>
                <w:bCs/>
                <w:szCs w:val="21"/>
                <w:highlight w:val="none"/>
              </w:rPr>
              <w:t>资格审查资料</w:t>
            </w:r>
            <w:r>
              <w:rPr>
                <w:rFonts w:ascii="Times New Roman" w:hAnsi="宋体"/>
                <w:bCs/>
                <w:szCs w:val="21"/>
                <w:highlight w:val="none"/>
              </w:rPr>
              <w:br w:type="textWrapping"/>
            </w:r>
            <w:r>
              <w:rPr>
                <w:rFonts w:hint="eastAsia" w:ascii="Times New Roman" w:hAnsi="宋体"/>
                <w:bCs/>
                <w:szCs w:val="21"/>
                <w:highlight w:val="none"/>
              </w:rPr>
              <w:t>的特殊要求</w:t>
            </w:r>
          </w:p>
        </w:tc>
        <w:tc>
          <w:tcPr>
            <w:tcW w:w="3668" w:type="pct"/>
            <w:vAlign w:val="center"/>
          </w:tcPr>
          <w:p w14:paraId="20CBCDB2">
            <w:pPr>
              <w:tabs>
                <w:tab w:val="left" w:pos="620"/>
              </w:tabs>
              <w:autoSpaceDE w:val="0"/>
              <w:autoSpaceDN w:val="0"/>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有，具体要求：投标人须按招标文件第九章“投标文件格式”中规定的表格内容填写资格审查表，并按资格审查表下方的具体要求提供资格审查资料，以证明其满足本章第1.4款规定的资质、财务、业绩、信誉、人员等要求。</w:t>
            </w:r>
            <w:r>
              <w:rPr>
                <w:rFonts w:hint="eastAsia" w:ascii="黑体" w:hAnsi="黑体" w:eastAsia="黑体"/>
                <w:bCs/>
                <w:szCs w:val="21"/>
                <w:highlight w:val="none"/>
              </w:rPr>
              <w:t>招标文件中要求投标人提供的各类证照复印件均指彩色扫描件，其他资料的复印件可为黑白扫描件或彩色扫描件。</w:t>
            </w:r>
          </w:p>
        </w:tc>
      </w:tr>
      <w:tr w14:paraId="4899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7BC4A740">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3.5.2</w:t>
            </w:r>
          </w:p>
        </w:tc>
        <w:tc>
          <w:tcPr>
            <w:tcW w:w="831" w:type="pct"/>
            <w:vAlign w:val="center"/>
          </w:tcPr>
          <w:p w14:paraId="204001A1">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近年财务状况</w:t>
            </w:r>
          </w:p>
          <w:p w14:paraId="42512DD9">
            <w:pPr>
              <w:adjustRightInd w:val="0"/>
              <w:snapToGrid w:val="0"/>
              <w:spacing w:line="340" w:lineRule="exact"/>
              <w:jc w:val="center"/>
              <w:rPr>
                <w:rFonts w:ascii="Times New Roman" w:hAnsi="Times New Roman"/>
                <w:bCs/>
                <w:szCs w:val="21"/>
                <w:highlight w:val="none"/>
              </w:rPr>
            </w:pPr>
            <w:r>
              <w:rPr>
                <w:rFonts w:hint="eastAsia" w:ascii="宋体" w:hAnsi="宋体"/>
                <w:bCs/>
                <w:szCs w:val="21"/>
                <w:highlight w:val="none"/>
              </w:rPr>
              <w:t>所附证明材料</w:t>
            </w:r>
          </w:p>
        </w:tc>
        <w:tc>
          <w:tcPr>
            <w:tcW w:w="3668" w:type="pct"/>
            <w:vAlign w:val="center"/>
          </w:tcPr>
          <w:p w14:paraId="3F58B161">
            <w:pPr>
              <w:autoSpaceDE w:val="0"/>
              <w:autoSpaceDN w:val="0"/>
              <w:adjustRightInd w:val="0"/>
              <w:snapToGrid w:val="0"/>
              <w:spacing w:line="340" w:lineRule="exact"/>
              <w:ind w:firstLine="210" w:firstLineChars="100"/>
              <w:rPr>
                <w:rFonts w:hint="eastAsia" w:ascii="宋体" w:hAnsi="宋体"/>
                <w:bCs/>
                <w:szCs w:val="21"/>
                <w:highlight w:val="none"/>
              </w:rPr>
            </w:pPr>
            <w:r>
              <w:rPr>
                <w:rFonts w:hint="eastAsia" w:ascii="宋体" w:hAnsi="宋体"/>
                <w:bCs/>
                <w:kern w:val="0"/>
                <w:szCs w:val="21"/>
                <w:highlight w:val="none"/>
                <w:lang w:val="zh-CN"/>
              </w:rPr>
              <w:t>此处应附投标人（包括联合体各方）近三年（2022年～投标截止时间）具有良好的商业信誉和健全的财务会计制度的</w:t>
            </w:r>
            <w:r>
              <w:rPr>
                <w:rFonts w:hint="eastAsia" w:ascii="黑体" w:hAnsi="黑体" w:eastAsia="黑体"/>
                <w:bCs/>
                <w:kern w:val="0"/>
                <w:szCs w:val="21"/>
                <w:highlight w:val="none"/>
                <w:lang w:val="zh-CN"/>
              </w:rPr>
              <w:t>财务状况承诺函并加盖投标人（包括联合体各方）单位公章</w:t>
            </w:r>
            <w:r>
              <w:rPr>
                <w:rFonts w:hint="eastAsia" w:ascii="宋体" w:hAnsi="宋体"/>
                <w:bCs/>
                <w:kern w:val="0"/>
                <w:szCs w:val="21"/>
                <w:highlight w:val="none"/>
                <w:lang w:val="zh-CN"/>
              </w:rPr>
              <w:t>。除财务状况承诺函外，投标人无须再提供任何财务证明材料。</w:t>
            </w:r>
          </w:p>
        </w:tc>
      </w:tr>
      <w:tr w14:paraId="6ABA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4850001B">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3.5.3</w:t>
            </w:r>
          </w:p>
        </w:tc>
        <w:tc>
          <w:tcPr>
            <w:tcW w:w="831" w:type="pct"/>
            <w:vAlign w:val="center"/>
          </w:tcPr>
          <w:p w14:paraId="4020E0ED">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近年完成的</w:t>
            </w:r>
            <w:r>
              <w:rPr>
                <w:rFonts w:hint="eastAsia" w:ascii="Times New Roman" w:hAnsi="宋体"/>
                <w:bCs/>
                <w:szCs w:val="21"/>
                <w:highlight w:val="none"/>
              </w:rPr>
              <w:br w:type="textWrapping"/>
            </w:r>
            <w:r>
              <w:rPr>
                <w:rFonts w:ascii="Times New Roman" w:hAnsi="宋体"/>
                <w:bCs/>
                <w:szCs w:val="21"/>
                <w:highlight w:val="none"/>
              </w:rPr>
              <w:t>类似项目</w:t>
            </w:r>
            <w:r>
              <w:rPr>
                <w:rFonts w:hint="eastAsia" w:ascii="Times New Roman" w:hAnsi="宋体"/>
                <w:bCs/>
                <w:szCs w:val="21"/>
                <w:highlight w:val="none"/>
              </w:rPr>
              <w:t>情况的时间要求</w:t>
            </w:r>
          </w:p>
        </w:tc>
        <w:tc>
          <w:tcPr>
            <w:tcW w:w="3668" w:type="pct"/>
            <w:vAlign w:val="center"/>
          </w:tcPr>
          <w:p w14:paraId="4861CB20">
            <w:pPr>
              <w:autoSpaceDE w:val="0"/>
              <w:autoSpaceDN w:val="0"/>
              <w:adjustRightInd w:val="0"/>
              <w:snapToGrid w:val="0"/>
              <w:spacing w:line="340" w:lineRule="exact"/>
              <w:ind w:firstLine="210" w:firstLineChars="100"/>
              <w:rPr>
                <w:rFonts w:hint="eastAsia" w:ascii="宋体" w:hAnsi="宋体"/>
                <w:bCs/>
                <w:kern w:val="0"/>
                <w:szCs w:val="21"/>
                <w:highlight w:val="none"/>
                <w:lang w:val="zh-CN"/>
              </w:rPr>
            </w:pPr>
            <w:r>
              <w:rPr>
                <w:rFonts w:hint="eastAsia" w:ascii="宋体" w:hAnsi="宋体"/>
                <w:bCs/>
                <w:kern w:val="0"/>
                <w:szCs w:val="21"/>
                <w:highlight w:val="none"/>
              </w:rPr>
              <w:t>2020年1月1日至投标截止时间（两阶段验收工程以交工时间为准，一阶段验收工程以竣工验收时间为准）。</w:t>
            </w:r>
          </w:p>
        </w:tc>
      </w:tr>
      <w:tr w14:paraId="33A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0A45AB12">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3.6.1</w:t>
            </w:r>
          </w:p>
        </w:tc>
        <w:tc>
          <w:tcPr>
            <w:tcW w:w="831" w:type="pct"/>
            <w:vAlign w:val="center"/>
          </w:tcPr>
          <w:p w14:paraId="2DC094FA">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是否允许递交</w:t>
            </w:r>
          </w:p>
          <w:p w14:paraId="50200094">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备选投标方案</w:t>
            </w:r>
          </w:p>
        </w:tc>
        <w:tc>
          <w:tcPr>
            <w:tcW w:w="3668" w:type="pct"/>
            <w:vAlign w:val="center"/>
          </w:tcPr>
          <w:p w14:paraId="76C30BB9">
            <w:pPr>
              <w:adjustRightInd w:val="0"/>
              <w:snapToGrid w:val="0"/>
              <w:spacing w:line="340" w:lineRule="exact"/>
              <w:ind w:firstLine="210" w:firstLineChars="100"/>
              <w:rPr>
                <w:rFonts w:hint="eastAsia" w:ascii="宋体" w:hAnsi="宋体"/>
                <w:bCs/>
                <w:szCs w:val="21"/>
                <w:highlight w:val="none"/>
              </w:rPr>
            </w:pPr>
            <w:r>
              <w:rPr>
                <w:rFonts w:ascii="宋体" w:hAnsi="宋体"/>
                <w:bCs/>
                <w:szCs w:val="21"/>
                <w:highlight w:val="none"/>
              </w:rPr>
              <w:t>不允许</w:t>
            </w:r>
          </w:p>
        </w:tc>
      </w:tr>
      <w:tr w14:paraId="2AA9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7658B4A2">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3.7.3</w:t>
            </w:r>
          </w:p>
        </w:tc>
        <w:tc>
          <w:tcPr>
            <w:tcW w:w="831" w:type="pct"/>
            <w:vAlign w:val="center"/>
          </w:tcPr>
          <w:p w14:paraId="3151906D">
            <w:pPr>
              <w:adjustRightInd w:val="0"/>
              <w:snapToGrid w:val="0"/>
              <w:spacing w:line="340" w:lineRule="exact"/>
              <w:jc w:val="center"/>
              <w:rPr>
                <w:rFonts w:ascii="Times New Roman" w:hAnsi="Times New Roman"/>
                <w:bCs/>
                <w:szCs w:val="21"/>
                <w:highlight w:val="none"/>
              </w:rPr>
            </w:pPr>
            <w:r>
              <w:rPr>
                <w:rFonts w:hint="eastAsia" w:ascii="宋体" w:hAnsi="宋体"/>
                <w:bCs/>
                <w:szCs w:val="21"/>
                <w:highlight w:val="none"/>
              </w:rPr>
              <w:t>投标文件的制作应满足规定</w:t>
            </w:r>
          </w:p>
        </w:tc>
        <w:tc>
          <w:tcPr>
            <w:tcW w:w="3668" w:type="pct"/>
            <w:vAlign w:val="center"/>
          </w:tcPr>
          <w:p w14:paraId="34ECA1BD">
            <w:pPr>
              <w:adjustRightInd w:val="0"/>
              <w:snapToGrid w:val="0"/>
              <w:spacing w:line="340" w:lineRule="exact"/>
              <w:ind w:firstLine="210" w:firstLineChars="100"/>
              <w:rPr>
                <w:rFonts w:hint="eastAsia" w:ascii="楷体" w:hAnsi="楷体" w:eastAsia="楷体"/>
                <w:bCs/>
                <w:szCs w:val="21"/>
                <w:highlight w:val="none"/>
              </w:rPr>
            </w:pPr>
            <w:r>
              <w:rPr>
                <w:rFonts w:hint="eastAsia" w:ascii="楷体" w:hAnsi="楷体" w:eastAsia="楷体"/>
                <w:bCs/>
                <w:szCs w:val="21"/>
                <w:highlight w:val="none"/>
              </w:rPr>
              <w:t>本项第（3）目修改如下：</w:t>
            </w:r>
          </w:p>
          <w:p w14:paraId="7505A48D">
            <w:pPr>
              <w:adjustRightInd w:val="0"/>
              <w:snapToGrid w:val="0"/>
              <w:spacing w:line="340" w:lineRule="exact"/>
              <w:ind w:firstLine="210" w:firstLineChars="100"/>
              <w:rPr>
                <w:rFonts w:hint="eastAsia" w:ascii="楷体" w:hAnsi="楷体" w:eastAsia="楷体"/>
                <w:bCs/>
                <w:szCs w:val="21"/>
                <w:highlight w:val="none"/>
              </w:rPr>
            </w:pPr>
            <w:r>
              <w:rPr>
                <w:rFonts w:hint="eastAsia" w:ascii="楷体" w:hAnsi="楷体" w:eastAsia="楷体"/>
                <w:bCs/>
                <w:szCs w:val="21"/>
                <w:highlight w:val="none"/>
              </w:rPr>
              <w:t>（3）投标文件中证明资料的“复印件”均为“原件的扫描件”。</w:t>
            </w:r>
          </w:p>
          <w:p w14:paraId="7486ADB4">
            <w:pPr>
              <w:adjustRightInd w:val="0"/>
              <w:snapToGrid w:val="0"/>
              <w:spacing w:line="340" w:lineRule="exact"/>
              <w:ind w:firstLine="210" w:firstLineChars="100"/>
              <w:rPr>
                <w:rFonts w:hint="eastAsia" w:ascii="楷体" w:hAnsi="楷体" w:eastAsia="楷体"/>
                <w:bCs/>
                <w:szCs w:val="21"/>
                <w:highlight w:val="none"/>
              </w:rPr>
            </w:pPr>
            <w:r>
              <w:rPr>
                <w:rFonts w:hint="eastAsia" w:ascii="楷体" w:hAnsi="楷体" w:eastAsia="楷体"/>
                <w:bCs/>
                <w:szCs w:val="21"/>
                <w:highlight w:val="none"/>
              </w:rPr>
              <w:t>本项第（5）目修改如下：</w:t>
            </w:r>
          </w:p>
          <w:p w14:paraId="6DC2D596">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（5）第九章“投标文件格式”中</w:t>
            </w:r>
            <w:r>
              <w:rPr>
                <w:rFonts w:hint="eastAsia" w:ascii="楷体" w:hAnsi="楷体" w:eastAsia="楷体"/>
                <w:bCs/>
                <w:szCs w:val="21"/>
                <w:highlight w:val="none"/>
              </w:rPr>
              <w:t>封面、投标函</w:t>
            </w:r>
            <w:r>
              <w:rPr>
                <w:rFonts w:hint="eastAsia" w:ascii="宋体" w:hAnsi="宋体"/>
                <w:bCs/>
                <w:szCs w:val="21"/>
                <w:highlight w:val="none"/>
              </w:rPr>
              <w:t>要求盖单位章和（或）签字的地方，投标人均应使用CA数字证书加盖投标人的单位电子印章和（或）法定代表人的个人电子印章或电子签名章</w:t>
            </w:r>
            <w:r>
              <w:rPr>
                <w:rFonts w:hint="eastAsia" w:ascii="楷体" w:hAnsi="楷体" w:eastAsia="楷体"/>
                <w:bCs/>
                <w:szCs w:val="21"/>
                <w:highlight w:val="none"/>
              </w:rPr>
              <w:t>（投标人仅须在投标函上加盖投标人的单位电子印章，或加盖法定代表人的个人电子印章或电子签名章）</w:t>
            </w:r>
            <w:r>
              <w:rPr>
                <w:rFonts w:hint="eastAsia" w:ascii="宋体" w:hAnsi="宋体"/>
                <w:bCs/>
                <w:szCs w:val="21"/>
                <w:highlight w:val="none"/>
              </w:rPr>
              <w:t>。联合体投标的，由联合体牵头人按上述规定加盖联合体牵头人单位电子印章和（或）法定代表人的个人电子印章或电子签名章；</w:t>
            </w:r>
          </w:p>
          <w:p w14:paraId="6688DDCA">
            <w:pPr>
              <w:adjustRightInd w:val="0"/>
              <w:snapToGrid w:val="0"/>
              <w:spacing w:line="340" w:lineRule="exact"/>
              <w:ind w:firstLine="210" w:firstLineChars="100"/>
              <w:rPr>
                <w:rFonts w:hint="eastAsia" w:ascii="楷体" w:hAnsi="楷体" w:eastAsia="楷体"/>
                <w:bCs/>
                <w:szCs w:val="21"/>
                <w:highlight w:val="none"/>
              </w:rPr>
            </w:pPr>
            <w:r>
              <w:rPr>
                <w:rFonts w:hint="eastAsia" w:ascii="楷体" w:hAnsi="楷体" w:eastAsia="楷体"/>
                <w:bCs/>
                <w:szCs w:val="21"/>
                <w:highlight w:val="none"/>
              </w:rPr>
              <w:t>第九章“投标文件格式”中授权委托书、法定代表人身份证明要求盖单位章和签字的地方，均应加盖投标人单位章和由相关人员亲笔签字后，上传原件的彩色扫描件。联合体投标的，投标文件由联合体牵头人按上述规定执行；</w:t>
            </w:r>
          </w:p>
          <w:p w14:paraId="2BB189CB">
            <w:pPr>
              <w:adjustRightInd w:val="0"/>
              <w:snapToGrid w:val="0"/>
              <w:spacing w:line="340" w:lineRule="exact"/>
              <w:ind w:firstLine="210" w:firstLineChars="100"/>
              <w:rPr>
                <w:rFonts w:hint="eastAsia" w:ascii="楷体" w:hAnsi="楷体" w:eastAsia="楷体"/>
                <w:bCs/>
                <w:szCs w:val="21"/>
                <w:highlight w:val="none"/>
              </w:rPr>
            </w:pPr>
            <w:r>
              <w:rPr>
                <w:rFonts w:hint="eastAsia" w:ascii="楷体" w:hAnsi="楷体" w:eastAsia="楷体"/>
                <w:bCs/>
                <w:szCs w:val="21"/>
                <w:highlight w:val="none"/>
              </w:rPr>
              <w:t>第九章“投标文件格式”中联合体协议书要求盖单位章和签字的地方，均应加盖相关单位章和由相关人员亲笔签字后，在投标文件中提供原件的彩色扫描件。</w:t>
            </w:r>
          </w:p>
          <w:p w14:paraId="211E838F">
            <w:pPr>
              <w:snapToGrid w:val="0"/>
              <w:spacing w:line="340" w:lineRule="exact"/>
              <w:ind w:firstLine="420" w:firstLineChars="200"/>
              <w:rPr>
                <w:rFonts w:hint="eastAsia" w:ascii="宋体" w:hAnsi="宋体"/>
                <w:bCs/>
                <w:szCs w:val="21"/>
                <w:highlight w:val="none"/>
              </w:rPr>
            </w:pPr>
            <w:r>
              <w:rPr>
                <w:rFonts w:ascii="楷体" w:hAnsi="楷体" w:eastAsia="楷体"/>
                <w:bCs/>
                <w:szCs w:val="21"/>
                <w:highlight w:val="none"/>
              </w:rPr>
              <w:t>投标文件制作完成后，投标人应使用 CA 数字证书对投标文件进行文件加密，形成加密的投标文件。</w:t>
            </w:r>
          </w:p>
        </w:tc>
      </w:tr>
      <w:tr w14:paraId="0846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508D0BCC">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4.2.3</w:t>
            </w:r>
          </w:p>
        </w:tc>
        <w:tc>
          <w:tcPr>
            <w:tcW w:w="831" w:type="pct"/>
            <w:vAlign w:val="center"/>
          </w:tcPr>
          <w:p w14:paraId="4E0A73F0">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是否退还</w:t>
            </w:r>
            <w:r>
              <w:rPr>
                <w:rFonts w:hint="eastAsia" w:ascii="Times New Roman" w:hAnsi="宋体"/>
                <w:bCs/>
                <w:szCs w:val="21"/>
                <w:highlight w:val="none"/>
              </w:rPr>
              <w:br w:type="textWrapping"/>
            </w:r>
            <w:r>
              <w:rPr>
                <w:rFonts w:ascii="Times New Roman" w:hAnsi="宋体"/>
                <w:bCs/>
                <w:szCs w:val="21"/>
                <w:highlight w:val="none"/>
              </w:rPr>
              <w:t>投标文件</w:t>
            </w:r>
          </w:p>
        </w:tc>
        <w:tc>
          <w:tcPr>
            <w:tcW w:w="3668" w:type="pct"/>
            <w:vAlign w:val="center"/>
          </w:tcPr>
          <w:p w14:paraId="020EAE6F">
            <w:pPr>
              <w:snapToGrid w:val="0"/>
              <w:spacing w:line="340" w:lineRule="exact"/>
              <w:ind w:firstLine="210" w:firstLineChars="100"/>
              <w:rPr>
                <w:rFonts w:hint="eastAsia" w:ascii="宋体" w:hAnsi="宋体"/>
                <w:bCs/>
                <w:color w:val="000000"/>
                <w:szCs w:val="21"/>
                <w:highlight w:val="none"/>
              </w:rPr>
            </w:pPr>
            <w:r>
              <w:rPr>
                <w:rFonts w:hint="eastAsia" w:ascii="宋体" w:hAnsi="宋体"/>
                <w:bCs/>
                <w:szCs w:val="21"/>
                <w:highlight w:val="none"/>
              </w:rPr>
              <w:t>否</w:t>
            </w:r>
          </w:p>
        </w:tc>
      </w:tr>
      <w:tr w14:paraId="4803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15FDC2AF">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5.1</w:t>
            </w:r>
          </w:p>
        </w:tc>
        <w:tc>
          <w:tcPr>
            <w:tcW w:w="831" w:type="pct"/>
            <w:vAlign w:val="center"/>
          </w:tcPr>
          <w:p w14:paraId="43226F5C">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开标时间和</w:t>
            </w:r>
          </w:p>
          <w:p w14:paraId="1B16E511">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地点</w:t>
            </w:r>
          </w:p>
        </w:tc>
        <w:tc>
          <w:tcPr>
            <w:tcW w:w="3668" w:type="pct"/>
            <w:vAlign w:val="center"/>
          </w:tcPr>
          <w:p w14:paraId="585E87A7">
            <w:pPr>
              <w:adjustRightInd w:val="0"/>
              <w:snapToGrid w:val="0"/>
              <w:spacing w:line="340" w:lineRule="exact"/>
              <w:ind w:firstLine="210" w:firstLineChars="100"/>
              <w:rPr>
                <w:rFonts w:hint="eastAsia" w:ascii="宋体" w:hAnsi="宋体"/>
                <w:bCs/>
                <w:szCs w:val="21"/>
                <w:highlight w:val="none"/>
              </w:rPr>
            </w:pPr>
            <w:r>
              <w:rPr>
                <w:rFonts w:ascii="宋体" w:hAnsi="宋体"/>
                <w:bCs/>
                <w:szCs w:val="21"/>
                <w:highlight w:val="none"/>
              </w:rPr>
              <w:t>投标文件第一个信封（商务及技术文件）开标时间：同投标截止时间</w:t>
            </w:r>
          </w:p>
          <w:p w14:paraId="3D8700A3">
            <w:pPr>
              <w:adjustRightInd w:val="0"/>
              <w:snapToGrid w:val="0"/>
              <w:spacing w:line="340" w:lineRule="exact"/>
              <w:ind w:firstLine="210" w:firstLineChars="100"/>
              <w:rPr>
                <w:rFonts w:hint="eastAsia" w:ascii="宋体" w:hAnsi="宋体"/>
                <w:bCs/>
                <w:szCs w:val="21"/>
                <w:highlight w:val="none"/>
              </w:rPr>
            </w:pPr>
            <w:r>
              <w:rPr>
                <w:rFonts w:ascii="宋体" w:hAnsi="宋体"/>
                <w:bCs/>
                <w:szCs w:val="21"/>
                <w:highlight w:val="none"/>
              </w:rPr>
              <w:t>投标文件第一个信封（商务及技术文件）</w:t>
            </w:r>
            <w:r>
              <w:rPr>
                <w:rFonts w:ascii="宋体" w:hAnsi="宋体"/>
                <w:bCs/>
                <w:spacing w:val="-4"/>
                <w:szCs w:val="21"/>
                <w:highlight w:val="none"/>
              </w:rPr>
              <w:t>开标地点：</w:t>
            </w:r>
            <w:r>
              <w:rPr>
                <w:rFonts w:hint="eastAsia" w:ascii="宋体" w:hAnsi="宋体"/>
                <w:bCs/>
                <w:spacing w:val="-4"/>
                <w:szCs w:val="21"/>
                <w:highlight w:val="none"/>
              </w:rPr>
              <w:t>见第一章“招标公告”</w:t>
            </w:r>
          </w:p>
          <w:p w14:paraId="7F30476D">
            <w:pPr>
              <w:adjustRightInd w:val="0"/>
              <w:snapToGrid w:val="0"/>
              <w:spacing w:line="340" w:lineRule="exact"/>
              <w:ind w:firstLine="210" w:firstLineChars="100"/>
              <w:rPr>
                <w:rFonts w:hint="eastAsia" w:ascii="宋体" w:hAnsi="宋体"/>
                <w:bCs/>
                <w:szCs w:val="21"/>
                <w:highlight w:val="none"/>
              </w:rPr>
            </w:pPr>
            <w:r>
              <w:rPr>
                <w:rFonts w:ascii="宋体" w:hAnsi="宋体"/>
                <w:bCs/>
                <w:szCs w:val="21"/>
                <w:highlight w:val="none"/>
              </w:rPr>
              <w:t>投标文件第二个信封（</w:t>
            </w:r>
            <w:r>
              <w:rPr>
                <w:rFonts w:hint="eastAsia" w:ascii="宋体" w:hAnsi="宋体"/>
                <w:bCs/>
                <w:szCs w:val="21"/>
                <w:highlight w:val="none"/>
              </w:rPr>
              <w:t>报价文件</w:t>
            </w:r>
            <w:r>
              <w:rPr>
                <w:rFonts w:ascii="宋体" w:hAnsi="宋体"/>
                <w:bCs/>
                <w:szCs w:val="21"/>
                <w:highlight w:val="none"/>
              </w:rPr>
              <w:t>）开标时间：</w:t>
            </w:r>
            <w:r>
              <w:rPr>
                <w:rFonts w:hint="eastAsia" w:ascii="宋体" w:hAnsi="宋体"/>
                <w:bCs/>
                <w:szCs w:val="21"/>
                <w:highlight w:val="none"/>
              </w:rPr>
              <w:t>见第一章“招标公告”</w:t>
            </w:r>
          </w:p>
          <w:p w14:paraId="7A31151C">
            <w:pPr>
              <w:adjustRightInd w:val="0"/>
              <w:snapToGrid w:val="0"/>
              <w:spacing w:line="340" w:lineRule="exact"/>
              <w:ind w:firstLine="210" w:firstLineChars="100"/>
              <w:rPr>
                <w:rFonts w:hint="eastAsia" w:ascii="宋体" w:hAnsi="宋体"/>
                <w:bCs/>
                <w:spacing w:val="-4"/>
                <w:szCs w:val="21"/>
                <w:highlight w:val="none"/>
              </w:rPr>
            </w:pPr>
            <w:r>
              <w:rPr>
                <w:rFonts w:ascii="宋体" w:hAnsi="宋体"/>
                <w:bCs/>
                <w:szCs w:val="21"/>
                <w:highlight w:val="none"/>
              </w:rPr>
              <w:t>投标文件第</w:t>
            </w:r>
            <w:r>
              <w:rPr>
                <w:rFonts w:hint="eastAsia" w:ascii="宋体" w:hAnsi="宋体"/>
                <w:bCs/>
                <w:szCs w:val="21"/>
                <w:highlight w:val="none"/>
              </w:rPr>
              <w:t>二</w:t>
            </w:r>
            <w:r>
              <w:rPr>
                <w:rFonts w:ascii="宋体" w:hAnsi="宋体"/>
                <w:bCs/>
                <w:szCs w:val="21"/>
                <w:highlight w:val="none"/>
              </w:rPr>
              <w:t>个信封（</w:t>
            </w:r>
            <w:r>
              <w:rPr>
                <w:rFonts w:hint="eastAsia" w:ascii="宋体" w:hAnsi="宋体"/>
                <w:bCs/>
                <w:szCs w:val="21"/>
                <w:highlight w:val="none"/>
              </w:rPr>
              <w:t>报价文件</w:t>
            </w:r>
            <w:r>
              <w:rPr>
                <w:rFonts w:ascii="宋体" w:hAnsi="宋体"/>
                <w:bCs/>
                <w:szCs w:val="21"/>
                <w:highlight w:val="none"/>
              </w:rPr>
              <w:t>）</w:t>
            </w:r>
            <w:r>
              <w:rPr>
                <w:rFonts w:ascii="宋体" w:hAnsi="宋体"/>
                <w:bCs/>
                <w:spacing w:val="-4"/>
                <w:szCs w:val="21"/>
                <w:highlight w:val="none"/>
              </w:rPr>
              <w:t>开标地点</w:t>
            </w:r>
            <w:r>
              <w:rPr>
                <w:rFonts w:hint="eastAsia" w:ascii="宋体" w:hAnsi="宋体"/>
                <w:bCs/>
                <w:spacing w:val="-4"/>
                <w:szCs w:val="21"/>
                <w:highlight w:val="none"/>
              </w:rPr>
              <w:t>：</w:t>
            </w:r>
            <w:r>
              <w:rPr>
                <w:rFonts w:hint="eastAsia" w:ascii="宋体" w:hAnsi="宋体"/>
                <w:bCs/>
                <w:szCs w:val="21"/>
                <w:highlight w:val="none"/>
              </w:rPr>
              <w:t>见第一章“招标公告”</w:t>
            </w:r>
          </w:p>
        </w:tc>
      </w:tr>
      <w:tr w14:paraId="55F4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499E77CB">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5</w:t>
            </w:r>
            <w:r>
              <w:rPr>
                <w:rFonts w:ascii="宋体" w:hAnsi="宋体"/>
                <w:bCs/>
                <w:szCs w:val="21"/>
                <w:highlight w:val="none"/>
              </w:rPr>
              <w:t>.2.3</w:t>
            </w:r>
          </w:p>
        </w:tc>
        <w:tc>
          <w:tcPr>
            <w:tcW w:w="831" w:type="pct"/>
            <w:vAlign w:val="center"/>
          </w:tcPr>
          <w:p w14:paraId="5F667FFC">
            <w:pPr>
              <w:adjustRightInd w:val="0"/>
              <w:snapToGrid w:val="0"/>
              <w:spacing w:line="340" w:lineRule="exact"/>
              <w:jc w:val="center"/>
              <w:rPr>
                <w:rFonts w:hint="eastAsia" w:ascii="Times New Roman" w:hAnsi="宋体"/>
                <w:bCs/>
                <w:szCs w:val="21"/>
                <w:highlight w:val="none"/>
              </w:rPr>
            </w:pPr>
            <w:r>
              <w:rPr>
                <w:rFonts w:hint="eastAsia" w:ascii="Times New Roman" w:hAnsi="宋体"/>
                <w:bCs/>
                <w:szCs w:val="21"/>
                <w:highlight w:val="none"/>
              </w:rPr>
              <w:t>投标文件第二个信封（报价文件）开标</w:t>
            </w:r>
          </w:p>
        </w:tc>
        <w:tc>
          <w:tcPr>
            <w:tcW w:w="3668" w:type="pct"/>
            <w:vAlign w:val="center"/>
          </w:tcPr>
          <w:p w14:paraId="5DC004E7">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本项第（2）（4）目修改为：</w:t>
            </w:r>
          </w:p>
          <w:p w14:paraId="2A88F281">
            <w:pPr>
              <w:adjustRightInd w:val="0"/>
              <w:snapToGrid w:val="0"/>
              <w:spacing w:line="340" w:lineRule="exact"/>
              <w:ind w:firstLine="210" w:firstLineChars="100"/>
              <w:rPr>
                <w:rFonts w:hint="eastAsia" w:ascii="楷体" w:hAnsi="楷体" w:eastAsia="楷体"/>
                <w:bCs/>
                <w:szCs w:val="21"/>
                <w:highlight w:val="none"/>
              </w:rPr>
            </w:pPr>
            <w:r>
              <w:rPr>
                <w:rFonts w:hint="eastAsia" w:ascii="楷体" w:hAnsi="楷体" w:eastAsia="楷体"/>
                <w:bCs/>
                <w:szCs w:val="21"/>
                <w:highlight w:val="none"/>
              </w:rPr>
              <w:t>（2）宣布通过投标文件第一个信封（商务及技术文件）评审的投标人名单；</w:t>
            </w:r>
          </w:p>
          <w:p w14:paraId="7A48CD32">
            <w:pPr>
              <w:adjustRightInd w:val="0"/>
              <w:snapToGrid w:val="0"/>
              <w:spacing w:line="340" w:lineRule="exact"/>
              <w:ind w:firstLine="210" w:firstLineChars="100"/>
              <w:rPr>
                <w:rFonts w:hint="eastAsia" w:ascii="宋体" w:hAnsi="宋体"/>
                <w:bCs/>
                <w:szCs w:val="21"/>
                <w:highlight w:val="none"/>
              </w:rPr>
            </w:pPr>
            <w:r>
              <w:rPr>
                <w:rFonts w:hint="eastAsia" w:ascii="楷体" w:hAnsi="楷体" w:eastAsia="楷体"/>
                <w:bCs/>
                <w:szCs w:val="21"/>
                <w:highlight w:val="none"/>
              </w:rPr>
              <w:t>（4）通过投标文件第一个信封（商务及技术文件）评审的投标人代表解密加密的投标文件第二个信封（报价文件），导入并读取解密成功的投标文件第二个信封（报价文件）；</w:t>
            </w:r>
          </w:p>
        </w:tc>
      </w:tr>
      <w:tr w14:paraId="5DF0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1BD663DD">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5</w:t>
            </w:r>
            <w:r>
              <w:rPr>
                <w:rFonts w:ascii="宋体" w:hAnsi="宋体"/>
                <w:bCs/>
                <w:szCs w:val="21"/>
                <w:highlight w:val="none"/>
              </w:rPr>
              <w:t>.3.1</w:t>
            </w:r>
          </w:p>
        </w:tc>
        <w:tc>
          <w:tcPr>
            <w:tcW w:w="831" w:type="pct"/>
            <w:vAlign w:val="center"/>
          </w:tcPr>
          <w:p w14:paraId="0AC1CB03">
            <w:pPr>
              <w:adjustRightInd w:val="0"/>
              <w:snapToGrid w:val="0"/>
              <w:spacing w:line="340" w:lineRule="exact"/>
              <w:jc w:val="center"/>
              <w:rPr>
                <w:rFonts w:hint="eastAsia" w:ascii="Times New Roman" w:hAnsi="宋体"/>
                <w:bCs/>
                <w:szCs w:val="21"/>
                <w:highlight w:val="none"/>
              </w:rPr>
            </w:pPr>
            <w:r>
              <w:rPr>
                <w:rFonts w:hint="eastAsia" w:ascii="Times New Roman" w:hAnsi="宋体"/>
                <w:bCs/>
                <w:szCs w:val="21"/>
                <w:highlight w:val="none"/>
              </w:rPr>
              <w:t>开标补救措施</w:t>
            </w:r>
          </w:p>
        </w:tc>
        <w:tc>
          <w:tcPr>
            <w:tcW w:w="3668" w:type="pct"/>
            <w:vAlign w:val="center"/>
          </w:tcPr>
          <w:p w14:paraId="4795EEA2">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开标过程中因本章第5.3.2项、第5.3.3项所列原因，导致系统无法正常运行，将由“吉林省公共资源交易一体化平台”技术人员采取补救措施。</w:t>
            </w:r>
          </w:p>
        </w:tc>
      </w:tr>
      <w:tr w14:paraId="3A28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52ABFFD5">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6.1.1</w:t>
            </w:r>
          </w:p>
        </w:tc>
        <w:tc>
          <w:tcPr>
            <w:tcW w:w="831" w:type="pct"/>
            <w:vAlign w:val="center"/>
          </w:tcPr>
          <w:p w14:paraId="2B8271BC">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评标委员会</w:t>
            </w:r>
            <w:r>
              <w:rPr>
                <w:rFonts w:hint="eastAsia" w:ascii="Times New Roman" w:hAnsi="宋体"/>
                <w:bCs/>
                <w:szCs w:val="21"/>
                <w:highlight w:val="none"/>
              </w:rPr>
              <w:br w:type="textWrapping"/>
            </w:r>
            <w:r>
              <w:rPr>
                <w:rFonts w:ascii="Times New Roman" w:hAnsi="宋体"/>
                <w:bCs/>
                <w:szCs w:val="21"/>
                <w:highlight w:val="none"/>
              </w:rPr>
              <w:t>的组建</w:t>
            </w:r>
          </w:p>
        </w:tc>
        <w:tc>
          <w:tcPr>
            <w:tcW w:w="3668" w:type="pct"/>
            <w:vAlign w:val="center"/>
          </w:tcPr>
          <w:p w14:paraId="46520D97">
            <w:pPr>
              <w:adjustRightInd w:val="0"/>
              <w:snapToGrid w:val="0"/>
              <w:spacing w:line="340" w:lineRule="exact"/>
              <w:ind w:firstLine="210" w:firstLineChars="100"/>
              <w:rPr>
                <w:rFonts w:hint="eastAsia" w:ascii="宋体" w:hAnsi="宋体"/>
                <w:bCs/>
                <w:szCs w:val="21"/>
                <w:highlight w:val="none"/>
              </w:rPr>
            </w:pPr>
            <w:r>
              <w:rPr>
                <w:rFonts w:ascii="宋体" w:hAnsi="宋体"/>
                <w:bCs/>
                <w:szCs w:val="21"/>
                <w:highlight w:val="none"/>
              </w:rPr>
              <w:t>评标委员会构成：</w:t>
            </w:r>
            <w:r>
              <w:rPr>
                <w:rFonts w:hint="eastAsia" w:ascii="宋体" w:hAnsi="宋体"/>
                <w:bCs/>
                <w:szCs w:val="21"/>
                <w:highlight w:val="none"/>
              </w:rPr>
              <w:t>7</w:t>
            </w:r>
            <w:r>
              <w:rPr>
                <w:rFonts w:ascii="宋体" w:hAnsi="宋体"/>
                <w:bCs/>
                <w:szCs w:val="21"/>
                <w:highlight w:val="none"/>
              </w:rPr>
              <w:t>人，其中招标人代表</w:t>
            </w:r>
            <w:r>
              <w:rPr>
                <w:rFonts w:hint="eastAsia" w:ascii="宋体" w:hAnsi="宋体"/>
                <w:bCs/>
                <w:szCs w:val="21"/>
                <w:highlight w:val="none"/>
              </w:rPr>
              <w:t>2</w:t>
            </w:r>
            <w:r>
              <w:rPr>
                <w:rFonts w:ascii="宋体" w:hAnsi="宋体"/>
                <w:bCs/>
                <w:szCs w:val="21"/>
                <w:highlight w:val="none"/>
              </w:rPr>
              <w:t>人，专家</w:t>
            </w:r>
            <w:r>
              <w:rPr>
                <w:rFonts w:hint="eastAsia" w:ascii="宋体" w:hAnsi="宋体"/>
                <w:bCs/>
                <w:szCs w:val="21"/>
                <w:highlight w:val="none"/>
              </w:rPr>
              <w:t>5</w:t>
            </w:r>
            <w:r>
              <w:rPr>
                <w:rFonts w:ascii="宋体" w:hAnsi="宋体"/>
                <w:bCs/>
                <w:szCs w:val="21"/>
                <w:highlight w:val="none"/>
              </w:rPr>
              <w:t>人；</w:t>
            </w:r>
          </w:p>
          <w:p w14:paraId="54E040F5">
            <w:pPr>
              <w:adjustRightInd w:val="0"/>
              <w:snapToGrid w:val="0"/>
              <w:spacing w:line="340" w:lineRule="exact"/>
              <w:ind w:firstLine="210" w:firstLineChars="100"/>
              <w:rPr>
                <w:rFonts w:hint="eastAsia" w:ascii="宋体" w:hAnsi="宋体"/>
                <w:bCs/>
                <w:szCs w:val="21"/>
                <w:highlight w:val="none"/>
              </w:rPr>
            </w:pPr>
            <w:r>
              <w:rPr>
                <w:rFonts w:ascii="宋体" w:hAnsi="宋体"/>
                <w:bCs/>
                <w:szCs w:val="21"/>
                <w:highlight w:val="none"/>
              </w:rPr>
              <w:t>评标专家确定方式</w:t>
            </w:r>
            <w:r>
              <w:rPr>
                <w:rFonts w:hint="eastAsia" w:ascii="宋体" w:hAnsi="宋体"/>
                <w:bCs/>
                <w:szCs w:val="21"/>
                <w:highlight w:val="none"/>
              </w:rPr>
              <w:t>：依法从相应评标专家库中随机抽取。</w:t>
            </w:r>
          </w:p>
        </w:tc>
      </w:tr>
      <w:tr w14:paraId="7A92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4A84C447">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6.3.2</w:t>
            </w:r>
          </w:p>
        </w:tc>
        <w:tc>
          <w:tcPr>
            <w:tcW w:w="831" w:type="pct"/>
            <w:vAlign w:val="center"/>
          </w:tcPr>
          <w:p w14:paraId="626AC1F7">
            <w:pPr>
              <w:adjustRightInd w:val="0"/>
              <w:snapToGrid w:val="0"/>
              <w:spacing w:line="340" w:lineRule="exact"/>
              <w:jc w:val="center"/>
              <w:rPr>
                <w:rFonts w:hint="eastAsia" w:ascii="Times New Roman" w:hAnsi="宋体"/>
                <w:bCs/>
                <w:szCs w:val="21"/>
                <w:highlight w:val="none"/>
              </w:rPr>
            </w:pPr>
            <w:r>
              <w:rPr>
                <w:rFonts w:hint="eastAsia" w:ascii="Times New Roman" w:hAnsi="宋体"/>
                <w:bCs/>
                <w:szCs w:val="21"/>
                <w:highlight w:val="none"/>
              </w:rPr>
              <w:t>评标委员会</w:t>
            </w:r>
            <w:r>
              <w:rPr>
                <w:rFonts w:ascii="Times New Roman" w:hAnsi="宋体"/>
                <w:bCs/>
                <w:szCs w:val="21"/>
                <w:highlight w:val="none"/>
              </w:rPr>
              <w:br w:type="textWrapping"/>
            </w:r>
            <w:r>
              <w:rPr>
                <w:rFonts w:hint="eastAsia" w:ascii="Times New Roman" w:hAnsi="宋体"/>
                <w:bCs/>
                <w:szCs w:val="21"/>
                <w:highlight w:val="none"/>
              </w:rPr>
              <w:t>推荐中标候选人的人数</w:t>
            </w:r>
          </w:p>
        </w:tc>
        <w:tc>
          <w:tcPr>
            <w:tcW w:w="3668" w:type="pct"/>
            <w:vAlign w:val="center"/>
          </w:tcPr>
          <w:p w14:paraId="34A00955">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1名</w:t>
            </w:r>
          </w:p>
        </w:tc>
      </w:tr>
      <w:tr w14:paraId="677C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6C8B8FF7">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7.1</w:t>
            </w:r>
          </w:p>
        </w:tc>
        <w:tc>
          <w:tcPr>
            <w:tcW w:w="831" w:type="pct"/>
            <w:vAlign w:val="center"/>
          </w:tcPr>
          <w:p w14:paraId="411EE88C">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中标候选人</w:t>
            </w:r>
          </w:p>
          <w:p w14:paraId="59CC1966">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公示媒介及</w:t>
            </w:r>
          </w:p>
          <w:p w14:paraId="05F75665">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期限</w:t>
            </w:r>
          </w:p>
        </w:tc>
        <w:tc>
          <w:tcPr>
            <w:tcW w:w="3668" w:type="pct"/>
            <w:vAlign w:val="center"/>
          </w:tcPr>
          <w:p w14:paraId="7CBA0939">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公示媒介：中国招标投标公共服务平台、吉林省公共资源交易中心网（同步推送到吉林省公共资源交易公共服务平台）、吉林省公路管理局网站</w:t>
            </w:r>
          </w:p>
          <w:p w14:paraId="0800DA2E">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公示期限：不少于3日</w:t>
            </w:r>
          </w:p>
          <w:p w14:paraId="23BEBD9A">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公示的其他内容：《投标文件关键内容摘录表》中公示的其他内容。</w:t>
            </w:r>
          </w:p>
        </w:tc>
      </w:tr>
      <w:tr w14:paraId="2AFC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2D813EEE">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7.4</w:t>
            </w:r>
          </w:p>
        </w:tc>
        <w:tc>
          <w:tcPr>
            <w:tcW w:w="831" w:type="pct"/>
            <w:vAlign w:val="center"/>
          </w:tcPr>
          <w:p w14:paraId="52580C79">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是否授权评标委员会确定中标人</w:t>
            </w:r>
          </w:p>
        </w:tc>
        <w:tc>
          <w:tcPr>
            <w:tcW w:w="3668" w:type="pct"/>
            <w:vAlign w:val="center"/>
          </w:tcPr>
          <w:p w14:paraId="16E359E6">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否</w:t>
            </w:r>
          </w:p>
        </w:tc>
      </w:tr>
      <w:tr w14:paraId="13B0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3A2D8363">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7</w:t>
            </w:r>
            <w:r>
              <w:rPr>
                <w:rFonts w:ascii="宋体" w:hAnsi="宋体"/>
                <w:bCs/>
                <w:szCs w:val="21"/>
                <w:highlight w:val="none"/>
              </w:rPr>
              <w:t>.5</w:t>
            </w:r>
          </w:p>
        </w:tc>
        <w:tc>
          <w:tcPr>
            <w:tcW w:w="831" w:type="pct"/>
            <w:vAlign w:val="center"/>
          </w:tcPr>
          <w:p w14:paraId="740FF4F4">
            <w:pPr>
              <w:adjustRightInd w:val="0"/>
              <w:snapToGrid w:val="0"/>
              <w:spacing w:line="340" w:lineRule="exact"/>
              <w:jc w:val="center"/>
              <w:rPr>
                <w:bCs/>
                <w:szCs w:val="21"/>
                <w:highlight w:val="none"/>
              </w:rPr>
            </w:pPr>
            <w:r>
              <w:rPr>
                <w:rFonts w:hint="eastAsia"/>
                <w:bCs/>
                <w:szCs w:val="21"/>
                <w:highlight w:val="none"/>
              </w:rPr>
              <w:t>中标通知书和</w:t>
            </w:r>
          </w:p>
          <w:p w14:paraId="23353538">
            <w:pPr>
              <w:adjustRightInd w:val="0"/>
              <w:snapToGrid w:val="0"/>
              <w:spacing w:line="340" w:lineRule="exact"/>
              <w:jc w:val="center"/>
              <w:rPr>
                <w:bCs/>
                <w:szCs w:val="21"/>
                <w:highlight w:val="none"/>
              </w:rPr>
            </w:pPr>
            <w:r>
              <w:rPr>
                <w:rFonts w:hint="eastAsia"/>
                <w:bCs/>
                <w:szCs w:val="21"/>
                <w:highlight w:val="none"/>
              </w:rPr>
              <w:t>中标结果通知</w:t>
            </w:r>
          </w:p>
          <w:p w14:paraId="7F164501">
            <w:pPr>
              <w:adjustRightInd w:val="0"/>
              <w:snapToGrid w:val="0"/>
              <w:spacing w:line="340" w:lineRule="exact"/>
              <w:jc w:val="center"/>
              <w:rPr>
                <w:rFonts w:hint="eastAsia" w:ascii="宋体" w:hAnsi="宋体"/>
                <w:bCs/>
                <w:szCs w:val="21"/>
                <w:highlight w:val="none"/>
              </w:rPr>
            </w:pPr>
            <w:r>
              <w:rPr>
                <w:rFonts w:hint="eastAsia"/>
                <w:bCs/>
                <w:szCs w:val="21"/>
                <w:highlight w:val="none"/>
              </w:rPr>
              <w:t>发出的形式</w:t>
            </w:r>
          </w:p>
        </w:tc>
        <w:tc>
          <w:tcPr>
            <w:tcW w:w="3668" w:type="pct"/>
            <w:vAlign w:val="center"/>
          </w:tcPr>
          <w:p w14:paraId="1462219D">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招标人以书面形式向中标人发出中标通知书，同时将中标结果公告发布到本章7.6款所列媒介的形式通知未中标的投标人。</w:t>
            </w:r>
          </w:p>
        </w:tc>
      </w:tr>
      <w:tr w14:paraId="2A65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330DACFC">
            <w:pPr>
              <w:adjustRightInd w:val="0"/>
              <w:snapToGrid w:val="0"/>
              <w:spacing w:line="340" w:lineRule="exact"/>
              <w:jc w:val="center"/>
              <w:rPr>
                <w:rFonts w:hint="eastAsia" w:ascii="宋体" w:hAnsi="宋体"/>
                <w:bCs/>
                <w:szCs w:val="21"/>
                <w:highlight w:val="none"/>
                <w:u w:val="wave"/>
              </w:rPr>
            </w:pPr>
            <w:r>
              <w:rPr>
                <w:rFonts w:hint="eastAsia" w:ascii="宋体" w:hAnsi="宋体"/>
                <w:bCs/>
                <w:szCs w:val="21"/>
                <w:highlight w:val="none"/>
              </w:rPr>
              <w:t>7.6</w:t>
            </w:r>
          </w:p>
        </w:tc>
        <w:tc>
          <w:tcPr>
            <w:tcW w:w="831" w:type="pct"/>
            <w:vAlign w:val="center"/>
          </w:tcPr>
          <w:p w14:paraId="2EB21843">
            <w:pPr>
              <w:adjustRightInd w:val="0"/>
              <w:snapToGrid w:val="0"/>
              <w:spacing w:line="340" w:lineRule="exact"/>
              <w:jc w:val="center"/>
              <w:rPr>
                <w:rFonts w:hint="eastAsia" w:ascii="宋体" w:hAnsi="宋体"/>
                <w:bCs/>
                <w:szCs w:val="21"/>
                <w:highlight w:val="none"/>
                <w:u w:val="wave"/>
              </w:rPr>
            </w:pPr>
            <w:r>
              <w:rPr>
                <w:rFonts w:hint="eastAsia" w:ascii="宋体" w:hAnsi="宋体"/>
                <w:bCs/>
                <w:szCs w:val="21"/>
                <w:highlight w:val="none"/>
              </w:rPr>
              <w:t>中标结果公告</w:t>
            </w:r>
            <w:r>
              <w:rPr>
                <w:rFonts w:ascii="宋体" w:hAnsi="宋体"/>
                <w:bCs/>
                <w:szCs w:val="21"/>
                <w:highlight w:val="none"/>
              </w:rPr>
              <w:br w:type="textWrapping"/>
            </w:r>
            <w:r>
              <w:rPr>
                <w:rFonts w:hint="eastAsia" w:ascii="宋体" w:hAnsi="宋体"/>
                <w:bCs/>
                <w:szCs w:val="21"/>
                <w:highlight w:val="none"/>
              </w:rPr>
              <w:t>媒介及期限</w:t>
            </w:r>
          </w:p>
        </w:tc>
        <w:tc>
          <w:tcPr>
            <w:tcW w:w="3668" w:type="pct"/>
            <w:vAlign w:val="center"/>
          </w:tcPr>
          <w:p w14:paraId="01599E95">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公告媒介：中国招标投标公共服务平台、吉林省公共资源交易中心网（同步推送到吉林省公共资源交易公共服务平台）、吉林省公路管理局网站。</w:t>
            </w:r>
          </w:p>
          <w:p w14:paraId="66255E3E">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公告期限：不少于3日</w:t>
            </w:r>
          </w:p>
          <w:p w14:paraId="429D5F7E">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公告的其他内容：/</w:t>
            </w:r>
          </w:p>
        </w:tc>
      </w:tr>
      <w:tr w14:paraId="5576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0AE60A47">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7.7.1</w:t>
            </w:r>
          </w:p>
        </w:tc>
        <w:tc>
          <w:tcPr>
            <w:tcW w:w="831" w:type="pct"/>
            <w:vAlign w:val="center"/>
          </w:tcPr>
          <w:p w14:paraId="3624F9DE">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履约保证金</w:t>
            </w:r>
          </w:p>
        </w:tc>
        <w:tc>
          <w:tcPr>
            <w:tcW w:w="3668" w:type="pct"/>
            <w:vAlign w:val="center"/>
          </w:tcPr>
          <w:p w14:paraId="43929CB4">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履约保证金形式：现金、支票、银行保函、担保机构保函或招标人认可的其他形式。</w:t>
            </w:r>
          </w:p>
          <w:p w14:paraId="6A92842C">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履约保证金金额：5%签约合同价。</w:t>
            </w:r>
          </w:p>
          <w:p w14:paraId="11E58393">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注意：</w:t>
            </w:r>
          </w:p>
          <w:p w14:paraId="2CF54DFC">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（1）采用现金或支票形式时，应由中标人的基本账户转入发包人指定账户。</w:t>
            </w:r>
          </w:p>
          <w:p w14:paraId="59BD7D22">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（2）采用银行保函时，出具保函的银行级别：“工商银行、农业银行、中国银行、建设银行、交通银行、中国邮政储蓄银行”六大国有商业银行或全国性股份制商业银行的支行及以上级别。</w:t>
            </w:r>
          </w:p>
        </w:tc>
      </w:tr>
      <w:tr w14:paraId="3568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3BE25274">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8.5.1</w:t>
            </w:r>
          </w:p>
        </w:tc>
        <w:tc>
          <w:tcPr>
            <w:tcW w:w="831" w:type="pct"/>
            <w:vAlign w:val="center"/>
          </w:tcPr>
          <w:p w14:paraId="7481EF33">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监督部门</w:t>
            </w:r>
          </w:p>
        </w:tc>
        <w:tc>
          <w:tcPr>
            <w:tcW w:w="3668" w:type="pct"/>
            <w:vAlign w:val="center"/>
          </w:tcPr>
          <w:p w14:paraId="37C2672C">
            <w:pPr>
              <w:adjustRightInd w:val="0"/>
              <w:snapToGrid w:val="0"/>
              <w:spacing w:line="340" w:lineRule="exact"/>
              <w:ind w:firstLine="210" w:firstLineChars="100"/>
              <w:rPr>
                <w:rFonts w:hint="eastAsia" w:ascii="黑体" w:hAnsi="黑体" w:eastAsia="黑体"/>
                <w:bCs/>
                <w:szCs w:val="21"/>
                <w:highlight w:val="none"/>
              </w:rPr>
            </w:pPr>
            <w:r>
              <w:rPr>
                <w:rFonts w:hint="eastAsia" w:ascii="黑体" w:hAnsi="黑体" w:eastAsia="黑体"/>
                <w:bCs/>
                <w:szCs w:val="21"/>
                <w:highlight w:val="none"/>
              </w:rPr>
              <w:t>监督部门：吉林省公路管理局</w:t>
            </w:r>
          </w:p>
          <w:p w14:paraId="37FCCF56">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地　　址：长春市解放大路2518号交通大厦</w:t>
            </w:r>
          </w:p>
          <w:p w14:paraId="78AAF39A">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电　　话：</w:t>
            </w:r>
            <w:r>
              <w:rPr>
                <w:rFonts w:ascii="宋体" w:hAnsi="宋体"/>
                <w:bCs/>
                <w:szCs w:val="21"/>
                <w:highlight w:val="none"/>
              </w:rPr>
              <w:t>0431-8565324</w:t>
            </w:r>
            <w:r>
              <w:rPr>
                <w:rFonts w:hint="eastAsia" w:ascii="宋体" w:hAnsi="宋体"/>
                <w:bCs/>
                <w:szCs w:val="21"/>
                <w:highlight w:val="none"/>
              </w:rPr>
              <w:t>9</w:t>
            </w:r>
          </w:p>
          <w:p w14:paraId="51504139">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传    真：/</w:t>
            </w:r>
          </w:p>
          <w:p w14:paraId="0EE2FF4D">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邮政编码：</w:t>
            </w:r>
            <w:r>
              <w:rPr>
                <w:rFonts w:ascii="宋体" w:hAnsi="宋体"/>
                <w:bCs/>
                <w:szCs w:val="21"/>
                <w:highlight w:val="none"/>
              </w:rPr>
              <w:t>13</w:t>
            </w:r>
            <w:r>
              <w:rPr>
                <w:rFonts w:hint="eastAsia" w:ascii="宋体" w:hAnsi="宋体"/>
                <w:bCs/>
                <w:szCs w:val="21"/>
                <w:highlight w:val="none"/>
              </w:rPr>
              <w:t>002</w:t>
            </w:r>
            <w:r>
              <w:rPr>
                <w:rFonts w:ascii="宋体" w:hAnsi="宋体"/>
                <w:bCs/>
                <w:szCs w:val="21"/>
                <w:highlight w:val="none"/>
              </w:rPr>
              <w:t>1</w:t>
            </w:r>
          </w:p>
        </w:tc>
      </w:tr>
      <w:tr w14:paraId="77D3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1568B714">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9</w:t>
            </w:r>
          </w:p>
        </w:tc>
        <w:tc>
          <w:tcPr>
            <w:tcW w:w="831" w:type="pct"/>
            <w:vAlign w:val="center"/>
          </w:tcPr>
          <w:p w14:paraId="6D443D40">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是否采用电子招标投标</w:t>
            </w:r>
          </w:p>
        </w:tc>
        <w:tc>
          <w:tcPr>
            <w:tcW w:w="3668" w:type="pct"/>
            <w:vAlign w:val="center"/>
          </w:tcPr>
          <w:p w14:paraId="6DEEA8EC">
            <w:pPr>
              <w:adjustRightInd w:val="0"/>
              <w:snapToGrid w:val="0"/>
              <w:spacing w:line="340" w:lineRule="exact"/>
              <w:ind w:firstLine="210" w:firstLineChars="100"/>
              <w:rPr>
                <w:rFonts w:hint="eastAsia" w:ascii="宋体" w:hAnsi="宋体" w:cs="宋体"/>
                <w:bCs/>
                <w:kern w:val="0"/>
                <w:szCs w:val="21"/>
                <w:highlight w:val="none"/>
              </w:rPr>
            </w:pPr>
            <w:r>
              <w:rPr>
                <w:rFonts w:hint="eastAsia" w:ascii="宋体" w:hAnsi="宋体" w:cs="宋体"/>
                <w:bCs/>
                <w:kern w:val="0"/>
                <w:szCs w:val="21"/>
                <w:highlight w:val="none"/>
              </w:rPr>
              <w:t>是</w:t>
            </w:r>
          </w:p>
        </w:tc>
      </w:tr>
      <w:tr w14:paraId="0388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00" w:type="pct"/>
            <w:gridSpan w:val="3"/>
            <w:vAlign w:val="center"/>
          </w:tcPr>
          <w:p w14:paraId="5971F31F">
            <w:pPr>
              <w:adjustRightInd w:val="0"/>
              <w:snapToGrid w:val="0"/>
              <w:spacing w:line="340" w:lineRule="exact"/>
              <w:ind w:firstLine="210" w:firstLineChars="100"/>
              <w:rPr>
                <w:rFonts w:hint="eastAsia" w:ascii="宋体" w:hAnsi="宋体" w:cs="宋体"/>
                <w:bCs/>
                <w:kern w:val="0"/>
                <w:szCs w:val="21"/>
                <w:highlight w:val="none"/>
              </w:rPr>
            </w:pPr>
            <w:r>
              <w:rPr>
                <w:rFonts w:hint="eastAsia" w:ascii="宋体" w:hAnsi="宋体" w:cs="宋体"/>
                <w:bCs/>
                <w:kern w:val="0"/>
                <w:szCs w:val="21"/>
                <w:highlight w:val="none"/>
              </w:rPr>
              <w:t>需要补充的其他内容</w:t>
            </w:r>
          </w:p>
        </w:tc>
      </w:tr>
      <w:tr w14:paraId="553B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6FD69E66">
            <w:pPr>
              <w:adjustRightInd w:val="0"/>
              <w:snapToGrid w:val="0"/>
              <w:spacing w:line="340" w:lineRule="exact"/>
              <w:jc w:val="center"/>
              <w:rPr>
                <w:rFonts w:hint="eastAsia" w:ascii="楷体" w:hAnsi="楷体" w:eastAsia="楷体"/>
                <w:bCs/>
                <w:szCs w:val="21"/>
                <w:highlight w:val="none"/>
              </w:rPr>
            </w:pPr>
            <w:bookmarkStart w:id="67" w:name="_Hlk186357574"/>
            <w:r>
              <w:rPr>
                <w:rFonts w:hint="eastAsia" w:ascii="楷体" w:hAnsi="楷体" w:eastAsia="楷体"/>
                <w:bCs/>
                <w:szCs w:val="21"/>
                <w:highlight w:val="none"/>
              </w:rPr>
              <w:t>10.2</w:t>
            </w:r>
          </w:p>
        </w:tc>
        <w:tc>
          <w:tcPr>
            <w:tcW w:w="831" w:type="pct"/>
            <w:vAlign w:val="center"/>
          </w:tcPr>
          <w:p w14:paraId="17879EB3">
            <w:pPr>
              <w:adjustRightInd w:val="0"/>
              <w:snapToGrid w:val="0"/>
              <w:spacing w:line="340" w:lineRule="exact"/>
              <w:jc w:val="center"/>
              <w:rPr>
                <w:rFonts w:hint="eastAsia" w:ascii="楷体" w:hAnsi="楷体" w:eastAsia="楷体"/>
                <w:bCs/>
                <w:szCs w:val="21"/>
                <w:highlight w:val="none"/>
              </w:rPr>
            </w:pPr>
            <w:r>
              <w:rPr>
                <w:rFonts w:hint="eastAsia" w:ascii="楷体" w:hAnsi="楷体" w:eastAsia="楷体" w:cs="宋体"/>
                <w:bCs/>
                <w:szCs w:val="21"/>
                <w:highlight w:val="none"/>
              </w:rPr>
              <w:t>一体化平台</w:t>
            </w:r>
          </w:p>
        </w:tc>
        <w:tc>
          <w:tcPr>
            <w:tcW w:w="3668" w:type="pct"/>
            <w:vAlign w:val="center"/>
          </w:tcPr>
          <w:p w14:paraId="108F6FB2">
            <w:pPr>
              <w:widowControl/>
              <w:shd w:val="clear" w:color="auto" w:fill="FFFFFF"/>
              <w:adjustRightInd w:val="0"/>
              <w:spacing w:line="340" w:lineRule="exact"/>
              <w:ind w:firstLine="420" w:firstLineChars="200"/>
              <w:jc w:val="left"/>
              <w:rPr>
                <w:rFonts w:hint="eastAsia" w:ascii="华文楷体" w:hAnsi="华文楷体" w:eastAsia="华文楷体" w:cs="宋体"/>
                <w:bCs/>
                <w:color w:val="363D45"/>
                <w:kern w:val="0"/>
                <w:szCs w:val="21"/>
                <w:highlight w:val="none"/>
              </w:rPr>
            </w:pPr>
            <w:r>
              <w:rPr>
                <w:rFonts w:hint="eastAsia" w:ascii="华文楷体" w:hAnsi="华文楷体" w:eastAsia="华文楷体" w:cs="宋体"/>
                <w:bCs/>
                <w:color w:val="363D45"/>
                <w:szCs w:val="21"/>
                <w:highlight w:val="none"/>
              </w:rPr>
              <w:t>（1）本次招投标使用公共资源交易一体化平台系统，具体要求详见《关于做好全省公共资源交易一体化平台全面运行工作的通知》（吉政数联〔2022〕5号）文件。</w:t>
            </w:r>
          </w:p>
          <w:p w14:paraId="69BCBA7C">
            <w:pPr>
              <w:widowControl/>
              <w:shd w:val="clear" w:color="auto" w:fill="FFFFFF"/>
              <w:adjustRightInd w:val="0"/>
              <w:spacing w:line="340" w:lineRule="exact"/>
              <w:ind w:firstLine="420" w:firstLineChars="200"/>
              <w:jc w:val="left"/>
              <w:rPr>
                <w:rFonts w:hint="eastAsia" w:ascii="华文楷体" w:hAnsi="华文楷体" w:eastAsia="华文楷体" w:cs="宋体"/>
                <w:bCs/>
                <w:color w:val="363D45"/>
                <w:szCs w:val="21"/>
                <w:highlight w:val="none"/>
              </w:rPr>
            </w:pPr>
            <w:r>
              <w:rPr>
                <w:rFonts w:hint="eastAsia" w:ascii="华文楷体" w:hAnsi="华文楷体" w:eastAsia="华文楷体" w:cs="宋体"/>
                <w:bCs/>
                <w:color w:val="363D45"/>
                <w:szCs w:val="21"/>
                <w:highlight w:val="none"/>
              </w:rPr>
              <w:t>（2）招投标交易主体及有关方面登录公共资源交易公共服务平台（https://www.ggzyyth.jl.cn/EpointSSO/memberLogin）完善主体信息后，再登录一体化平台系统（https://www.ggzyyth.jl.cn/TPBidder）开展交易活动。</w:t>
            </w:r>
          </w:p>
          <w:p w14:paraId="084B0815">
            <w:pPr>
              <w:widowControl/>
              <w:shd w:val="clear" w:color="auto" w:fill="FFFFFF"/>
              <w:adjustRightInd w:val="0"/>
              <w:spacing w:line="340" w:lineRule="exact"/>
              <w:ind w:firstLine="420" w:firstLineChars="200"/>
              <w:jc w:val="left"/>
              <w:rPr>
                <w:rFonts w:hint="eastAsia" w:ascii="华文楷体" w:hAnsi="华文楷体" w:eastAsia="华文楷体"/>
                <w:bCs/>
                <w:szCs w:val="21"/>
                <w:highlight w:val="none"/>
              </w:rPr>
            </w:pPr>
            <w:r>
              <w:rPr>
                <w:rFonts w:hint="eastAsia" w:ascii="华文楷体" w:hAnsi="华文楷体" w:eastAsia="华文楷体" w:cs="宋体"/>
                <w:bCs/>
                <w:color w:val="363D45"/>
                <w:szCs w:val="21"/>
                <w:highlight w:val="none"/>
              </w:rPr>
              <w:t>（3）</w:t>
            </w:r>
            <w:r>
              <w:rPr>
                <w:rFonts w:hint="eastAsia" w:ascii="华文楷体" w:hAnsi="华文楷体" w:eastAsia="华文楷体"/>
                <w:bCs/>
                <w:szCs w:val="21"/>
                <w:highlight w:val="none"/>
              </w:rPr>
              <w:t>一体化平台实现数字证书（CA锁，含电子签章）全省互用。已办理过CA锁的交易主体，CA锁未到期限的，在办理一体化平台业务时，无需重新办理，只需在一体化平台上进行绑定激活，即可使用。拟新办CA锁的交易主体，可在任一平台及场所办理一体化平台数字证书CA锁。一体化平台技术咨询服务电话：0431-82752720。</w:t>
            </w:r>
          </w:p>
          <w:p w14:paraId="48E00561">
            <w:pPr>
              <w:widowControl/>
              <w:shd w:val="clear" w:color="auto" w:fill="FFFFFF"/>
              <w:adjustRightInd w:val="0"/>
              <w:spacing w:line="340" w:lineRule="exact"/>
              <w:ind w:firstLine="420" w:firstLineChars="200"/>
              <w:jc w:val="left"/>
              <w:rPr>
                <w:rFonts w:hint="eastAsia" w:ascii="华文楷体" w:hAnsi="华文楷体" w:eastAsia="华文楷体"/>
                <w:bCs/>
                <w:szCs w:val="21"/>
                <w:highlight w:val="none"/>
              </w:rPr>
            </w:pPr>
            <w:r>
              <w:rPr>
                <w:rFonts w:hint="eastAsia" w:ascii="华文楷体" w:hAnsi="华文楷体" w:eastAsia="华文楷体" w:cs="宋体"/>
                <w:bCs/>
                <w:color w:val="363D45"/>
                <w:szCs w:val="21"/>
                <w:highlight w:val="none"/>
              </w:rPr>
              <w:t>（4）投标人在“</w:t>
            </w:r>
            <w:r>
              <w:rPr>
                <w:rFonts w:hint="eastAsia" w:ascii="黑体" w:hAnsi="黑体" w:eastAsia="黑体" w:cs="宋体"/>
                <w:bCs/>
                <w:color w:val="363D45"/>
                <w:szCs w:val="21"/>
                <w:highlight w:val="none"/>
              </w:rPr>
              <w:t>吉林省公路建设场信用信息服务系统”</w:t>
            </w:r>
            <w:r>
              <w:rPr>
                <w:rFonts w:hint="eastAsia" w:ascii="华文楷体" w:hAnsi="华文楷体" w:eastAsia="华文楷体" w:cs="宋体"/>
                <w:bCs/>
                <w:color w:val="363D45"/>
                <w:szCs w:val="21"/>
                <w:highlight w:val="none"/>
              </w:rPr>
              <w:t>（以下简称“省公路信息系统”）完成注册及信息填报，具体操作流程详见“吉林省交通运输厅关于征集公路养护项目从业企业信息有关情况的公告”。</w:t>
            </w:r>
            <w:r>
              <w:rPr>
                <w:rFonts w:hint="eastAsia" w:ascii="黑体" w:hAnsi="黑体" w:eastAsia="黑体" w:cs="宋体"/>
                <w:bCs/>
                <w:color w:val="363D45"/>
                <w:szCs w:val="21"/>
                <w:highlight w:val="none"/>
              </w:rPr>
              <w:t>投标人宜在投标截止时间15天前完成省公路信息系统注册及信息填报，</w:t>
            </w:r>
            <w:r>
              <w:rPr>
                <w:rFonts w:hint="eastAsia" w:ascii="华文楷体" w:hAnsi="华文楷体" w:eastAsia="华文楷体" w:cs="宋体"/>
                <w:bCs/>
                <w:color w:val="363D45"/>
                <w:szCs w:val="21"/>
                <w:highlight w:val="none"/>
              </w:rPr>
              <w:t>咨询电话17390034503。</w:t>
            </w:r>
          </w:p>
        </w:tc>
      </w:tr>
      <w:tr w14:paraId="5CB7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0315922E">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10.3</w:t>
            </w:r>
          </w:p>
        </w:tc>
        <w:tc>
          <w:tcPr>
            <w:tcW w:w="831" w:type="pct"/>
            <w:vAlign w:val="center"/>
          </w:tcPr>
          <w:p w14:paraId="6D959D3D">
            <w:pPr>
              <w:adjustRightInd w:val="0"/>
              <w:snapToGrid w:val="0"/>
              <w:spacing w:line="340" w:lineRule="exact"/>
              <w:jc w:val="center"/>
              <w:rPr>
                <w:rFonts w:hint="eastAsia" w:ascii="楷体" w:hAnsi="楷体" w:eastAsia="楷体"/>
                <w:bCs/>
                <w:szCs w:val="21"/>
                <w:highlight w:val="none"/>
              </w:rPr>
            </w:pPr>
            <w:r>
              <w:rPr>
                <w:rFonts w:hint="eastAsia" w:ascii="楷体" w:hAnsi="楷体" w:eastAsia="楷体" w:cs="宋体"/>
                <w:bCs/>
                <w:szCs w:val="21"/>
                <w:highlight w:val="none"/>
              </w:rPr>
              <w:t>变更修改和澄清等信息</w:t>
            </w:r>
          </w:p>
        </w:tc>
        <w:tc>
          <w:tcPr>
            <w:tcW w:w="3668" w:type="pct"/>
            <w:vAlign w:val="center"/>
          </w:tcPr>
          <w:p w14:paraId="1FBE25A6">
            <w:pPr>
              <w:adjustRightInd w:val="0"/>
              <w:snapToGrid w:val="0"/>
              <w:spacing w:line="340" w:lineRule="exact"/>
              <w:ind w:firstLine="420" w:firstLineChars="200"/>
              <w:rPr>
                <w:rFonts w:hint="eastAsia" w:ascii="华文楷体" w:hAnsi="华文楷体" w:eastAsia="华文楷体" w:cs="宋体"/>
                <w:bCs/>
                <w:color w:val="363D45"/>
                <w:szCs w:val="21"/>
                <w:highlight w:val="none"/>
              </w:rPr>
            </w:pPr>
            <w:bookmarkStart w:id="68" w:name="_Hlk170804702"/>
            <w:r>
              <w:rPr>
                <w:rFonts w:hint="eastAsia" w:ascii="华文楷体" w:hAnsi="华文楷体" w:eastAsia="华文楷体"/>
                <w:bCs/>
                <w:szCs w:val="21"/>
                <w:highlight w:val="none"/>
              </w:rPr>
              <w:t>本项目的变更、招标文件修改和澄清等信息将在吉林省公共资源交易一体化平台（https://www.ggzyyth.jl.cn/TPBidder）上发布，请潜在投标人在参与本项目活动期间随时关注网站信息，否则出现一切后果由投标人自负。</w:t>
            </w:r>
            <w:bookmarkEnd w:id="68"/>
          </w:p>
        </w:tc>
      </w:tr>
      <w:tr w14:paraId="5AD8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3512B7DB">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10.4</w:t>
            </w:r>
          </w:p>
        </w:tc>
        <w:tc>
          <w:tcPr>
            <w:tcW w:w="831" w:type="pct"/>
            <w:vAlign w:val="center"/>
          </w:tcPr>
          <w:p w14:paraId="2A240F06">
            <w:pPr>
              <w:adjustRightInd w:val="0"/>
              <w:snapToGrid w:val="0"/>
              <w:spacing w:line="340" w:lineRule="exact"/>
              <w:jc w:val="center"/>
              <w:rPr>
                <w:rFonts w:hint="eastAsia" w:ascii="宋体" w:hAnsi="宋体"/>
                <w:bCs/>
                <w:szCs w:val="21"/>
                <w:highlight w:val="none"/>
              </w:rPr>
            </w:pPr>
            <w:r>
              <w:rPr>
                <w:rFonts w:hint="eastAsia" w:ascii="楷体" w:hAnsi="楷体" w:eastAsia="楷体"/>
                <w:bCs/>
                <w:szCs w:val="21"/>
                <w:highlight w:val="none"/>
              </w:rPr>
              <w:t>视频开标</w:t>
            </w:r>
          </w:p>
        </w:tc>
        <w:tc>
          <w:tcPr>
            <w:tcW w:w="3668" w:type="pct"/>
            <w:vAlign w:val="center"/>
          </w:tcPr>
          <w:p w14:paraId="44611114">
            <w:pPr>
              <w:adjustRightInd w:val="0"/>
              <w:snapToGrid w:val="0"/>
              <w:spacing w:line="340" w:lineRule="exact"/>
              <w:ind w:firstLine="210" w:firstLineChars="100"/>
              <w:rPr>
                <w:rFonts w:hint="eastAsia" w:ascii="华文楷体" w:hAnsi="华文楷体" w:eastAsia="华文楷体" w:cs="宋体"/>
                <w:bCs/>
                <w:kern w:val="0"/>
                <w:szCs w:val="21"/>
                <w:highlight w:val="none"/>
              </w:rPr>
            </w:pPr>
            <w:r>
              <w:rPr>
                <w:rFonts w:hint="eastAsia" w:ascii="华文楷体" w:hAnsi="华文楷体" w:eastAsia="华文楷体"/>
                <w:bCs/>
                <w:szCs w:val="21"/>
                <w:highlight w:val="none"/>
              </w:rPr>
              <w:t>本项目采用腾讯会议直播形式进行开标活动，</w:t>
            </w:r>
            <w:r>
              <w:rPr>
                <w:rFonts w:hint="eastAsia" w:ascii="黑体" w:hAnsi="黑体" w:eastAsia="黑体"/>
                <w:bCs/>
                <w:szCs w:val="21"/>
                <w:highlight w:val="none"/>
              </w:rPr>
              <w:t>腾讯会议号：</w:t>
            </w:r>
            <w:r>
              <w:rPr>
                <w:rFonts w:hint="eastAsia" w:ascii="黑体" w:hAnsi="黑体" w:eastAsia="黑体"/>
                <w:szCs w:val="21"/>
                <w:highlight w:val="none"/>
              </w:rPr>
              <w:t>721-664-414</w:t>
            </w:r>
            <w:r>
              <w:rPr>
                <w:rFonts w:hint="eastAsia" w:ascii="黑体" w:hAnsi="黑体" w:eastAsia="黑体"/>
                <w:bCs/>
                <w:szCs w:val="21"/>
                <w:highlight w:val="none"/>
              </w:rPr>
              <w:t>，</w:t>
            </w:r>
            <w:r>
              <w:rPr>
                <w:rFonts w:hint="eastAsia" w:ascii="华文楷体" w:hAnsi="华文楷体" w:eastAsia="华文楷体"/>
                <w:bCs/>
                <w:szCs w:val="21"/>
                <w:highlight w:val="none"/>
              </w:rPr>
              <w:t>请投标人自行下载、安装腾讯会议软件。投标人开标前进入本项目视频会议直播，进入视频会议人员应为投标人法定代表人（或其委托代理人），并将进入会议人员姓名修改为</w:t>
            </w:r>
            <w:r>
              <w:rPr>
                <w:rFonts w:hint="eastAsia" w:ascii="黑体" w:hAnsi="黑体" w:eastAsia="黑体"/>
                <w:bCs/>
                <w:szCs w:val="21"/>
                <w:highlight w:val="none"/>
              </w:rPr>
              <w:t>“投标人全称+法定代表人（或其委托代理人）姓名”</w:t>
            </w:r>
            <w:r>
              <w:rPr>
                <w:rFonts w:hint="eastAsia" w:ascii="华文楷体" w:hAnsi="华文楷体" w:eastAsia="华文楷体"/>
                <w:bCs/>
                <w:szCs w:val="21"/>
                <w:highlight w:val="none"/>
              </w:rPr>
              <w:t>。投标人未参加视频开标会议的，或未完全参加视频开标会议全过程的，视为认同开标会议结果。</w:t>
            </w:r>
          </w:p>
        </w:tc>
      </w:tr>
      <w:tr w14:paraId="6241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4FF1EC54">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1</w:t>
            </w:r>
            <w:r>
              <w:rPr>
                <w:rFonts w:ascii="宋体" w:hAnsi="宋体"/>
                <w:bCs/>
                <w:szCs w:val="21"/>
                <w:highlight w:val="none"/>
              </w:rPr>
              <w:t>0.</w:t>
            </w:r>
            <w:r>
              <w:rPr>
                <w:rFonts w:hint="eastAsia" w:ascii="宋体" w:hAnsi="宋体"/>
                <w:bCs/>
                <w:szCs w:val="21"/>
                <w:highlight w:val="none"/>
              </w:rPr>
              <w:t>5</w:t>
            </w:r>
          </w:p>
        </w:tc>
        <w:tc>
          <w:tcPr>
            <w:tcW w:w="831" w:type="pct"/>
            <w:vAlign w:val="center"/>
          </w:tcPr>
          <w:p w14:paraId="0F0436D9">
            <w:pPr>
              <w:adjustRightInd w:val="0"/>
              <w:snapToGrid w:val="0"/>
              <w:spacing w:line="340" w:lineRule="exact"/>
              <w:jc w:val="center"/>
              <w:rPr>
                <w:rFonts w:hint="eastAsia" w:ascii="宋体" w:hAnsi="宋体"/>
                <w:bCs/>
                <w:szCs w:val="21"/>
                <w:highlight w:val="none"/>
              </w:rPr>
            </w:pPr>
            <w:r>
              <w:rPr>
                <w:rFonts w:hint="eastAsia" w:ascii="楷体" w:hAnsi="楷体" w:eastAsia="楷体" w:cs="宋体"/>
                <w:bCs/>
                <w:szCs w:val="21"/>
                <w:highlight w:val="none"/>
              </w:rPr>
              <w:t>远程开标</w:t>
            </w:r>
          </w:p>
        </w:tc>
        <w:tc>
          <w:tcPr>
            <w:tcW w:w="3668" w:type="pct"/>
            <w:vAlign w:val="center"/>
          </w:tcPr>
          <w:p w14:paraId="2FB8DEA0">
            <w:pPr>
              <w:adjustRightInd w:val="0"/>
              <w:snapToGrid w:val="0"/>
              <w:spacing w:line="340" w:lineRule="exact"/>
              <w:ind w:firstLine="210" w:firstLineChars="100"/>
              <w:rPr>
                <w:rFonts w:hint="eastAsia" w:ascii="华文楷体" w:hAnsi="华文楷体" w:eastAsia="华文楷体" w:cs="宋体"/>
                <w:bCs/>
                <w:kern w:val="0"/>
                <w:szCs w:val="21"/>
                <w:highlight w:val="none"/>
              </w:rPr>
            </w:pPr>
            <w:r>
              <w:rPr>
                <w:rFonts w:hint="eastAsia" w:ascii="华文楷体" w:hAnsi="华文楷体" w:eastAsia="华文楷体"/>
                <w:bCs/>
                <w:szCs w:val="21"/>
                <w:highlight w:val="none"/>
              </w:rPr>
              <w:t>本项目实施网上远程开标，投标人通过一体化平台系统进行远程投标文件解密。开标前，投标人应在准备解密的电脑端提前安装好CA驱动并且能正常登录系统。开标时在代理机构工作人员公布投标人名单后，按顺序进行解密，由投标人选择对应的项目，进入“开标远程解密”菜单，点击远程解密并输入CA 密码，成功解密后状态会显示“已解密”。</w:t>
            </w:r>
            <w:r>
              <w:rPr>
                <w:rFonts w:hint="eastAsia" w:ascii="黑体" w:hAnsi="黑体" w:eastAsia="黑体"/>
                <w:bCs/>
                <w:szCs w:val="21"/>
                <w:highlight w:val="none"/>
              </w:rPr>
              <w:t>投标文件解密时需插上生成投标文件的CA 锁进行解密，且正确输入密码，投标人未在规定的时间内完成解密的视为无效投标。</w:t>
            </w:r>
            <w:r>
              <w:rPr>
                <w:rFonts w:hint="eastAsia" w:ascii="华文楷体" w:hAnsi="华文楷体" w:eastAsia="华文楷体"/>
                <w:bCs/>
                <w:szCs w:val="21"/>
                <w:highlight w:val="none"/>
              </w:rPr>
              <w:t>投标人由于数字证书遗失、损坏、更换、续期等自身原因情况导致投标文件无法解密，由投标人自行承担责任。</w:t>
            </w:r>
          </w:p>
        </w:tc>
      </w:tr>
      <w:tr w14:paraId="3F56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0E2D0F4F">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10.6</w:t>
            </w:r>
          </w:p>
        </w:tc>
        <w:tc>
          <w:tcPr>
            <w:tcW w:w="831" w:type="pct"/>
            <w:vAlign w:val="center"/>
          </w:tcPr>
          <w:p w14:paraId="71B101D1">
            <w:pPr>
              <w:adjustRightInd w:val="0"/>
              <w:snapToGrid w:val="0"/>
              <w:spacing w:line="340" w:lineRule="exact"/>
              <w:jc w:val="center"/>
              <w:rPr>
                <w:rFonts w:hint="eastAsia" w:ascii="楷体" w:hAnsi="楷体" w:eastAsia="楷体" w:cs="宋体"/>
                <w:bCs/>
                <w:szCs w:val="21"/>
                <w:highlight w:val="none"/>
              </w:rPr>
            </w:pPr>
            <w:r>
              <w:rPr>
                <w:rFonts w:hint="eastAsia" w:ascii="楷体" w:hAnsi="楷体" w:eastAsia="楷体" w:cs="宋体"/>
                <w:bCs/>
                <w:szCs w:val="21"/>
                <w:highlight w:val="none"/>
              </w:rPr>
              <w:t>关键内容公开</w:t>
            </w:r>
          </w:p>
        </w:tc>
        <w:tc>
          <w:tcPr>
            <w:tcW w:w="3668" w:type="pct"/>
            <w:vAlign w:val="center"/>
          </w:tcPr>
          <w:p w14:paraId="2E9FB101">
            <w:pPr>
              <w:adjustRightInd w:val="0"/>
              <w:snapToGrid w:val="0"/>
              <w:spacing w:line="340" w:lineRule="exact"/>
              <w:ind w:firstLine="420" w:firstLineChars="200"/>
              <w:rPr>
                <w:rFonts w:hint="eastAsia" w:ascii="华文楷体" w:hAnsi="华文楷体" w:eastAsia="华文楷体"/>
                <w:bCs/>
                <w:szCs w:val="21"/>
                <w:highlight w:val="none"/>
              </w:rPr>
            </w:pPr>
            <w:r>
              <w:rPr>
                <w:rFonts w:hint="eastAsia" w:ascii="华文楷体" w:hAnsi="华文楷体" w:eastAsia="华文楷体"/>
                <w:bCs/>
                <w:szCs w:val="21"/>
                <w:highlight w:val="none"/>
              </w:rPr>
              <w:t>本次招标文件的</w:t>
            </w:r>
            <w:bookmarkStart w:id="69" w:name="OLE_LINK9"/>
            <w:r>
              <w:rPr>
                <w:rFonts w:hint="eastAsia" w:ascii="华文楷体" w:hAnsi="华文楷体" w:eastAsia="华文楷体"/>
                <w:bCs/>
                <w:szCs w:val="21"/>
                <w:highlight w:val="none"/>
              </w:rPr>
              <w:t>关键内容</w:t>
            </w:r>
            <w:bookmarkEnd w:id="69"/>
            <w:r>
              <w:rPr>
                <w:rFonts w:hint="eastAsia" w:ascii="华文楷体" w:hAnsi="华文楷体" w:eastAsia="华文楷体"/>
                <w:bCs/>
                <w:szCs w:val="21"/>
                <w:highlight w:val="none"/>
              </w:rPr>
              <w:t>在吉林省公路管理局网站上公开。</w:t>
            </w:r>
          </w:p>
        </w:tc>
      </w:tr>
      <w:tr w14:paraId="65E5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04A60DC5">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10.7</w:t>
            </w:r>
          </w:p>
        </w:tc>
        <w:tc>
          <w:tcPr>
            <w:tcW w:w="831" w:type="pct"/>
            <w:vAlign w:val="center"/>
          </w:tcPr>
          <w:p w14:paraId="716AE9A6">
            <w:pPr>
              <w:adjustRightInd w:val="0"/>
              <w:snapToGrid w:val="0"/>
              <w:spacing w:line="340" w:lineRule="exact"/>
              <w:jc w:val="center"/>
              <w:rPr>
                <w:rFonts w:hint="eastAsia" w:ascii="宋体" w:hAnsi="宋体"/>
                <w:bCs/>
                <w:szCs w:val="21"/>
                <w:highlight w:val="none"/>
              </w:rPr>
            </w:pPr>
            <w:r>
              <w:rPr>
                <w:rFonts w:hint="eastAsia" w:ascii="楷体" w:hAnsi="楷体" w:eastAsia="楷体" w:cs="宋体"/>
                <w:bCs/>
                <w:szCs w:val="21"/>
                <w:highlight w:val="none"/>
              </w:rPr>
              <w:t>词语定义</w:t>
            </w:r>
          </w:p>
        </w:tc>
        <w:tc>
          <w:tcPr>
            <w:tcW w:w="3668" w:type="pct"/>
            <w:vAlign w:val="center"/>
          </w:tcPr>
          <w:p w14:paraId="02F58603">
            <w:pPr>
              <w:adjustRightInd w:val="0"/>
              <w:snapToGrid w:val="0"/>
              <w:spacing w:line="340" w:lineRule="exact"/>
              <w:ind w:firstLine="210" w:firstLineChars="100"/>
              <w:rPr>
                <w:rFonts w:hint="eastAsia" w:ascii="华文楷体" w:hAnsi="华文楷体" w:eastAsia="华文楷体" w:cs="宋体"/>
                <w:bCs/>
                <w:kern w:val="0"/>
                <w:szCs w:val="21"/>
                <w:highlight w:val="none"/>
                <w:lang w:val="zh-CN"/>
              </w:rPr>
            </w:pPr>
            <w:r>
              <w:rPr>
                <w:rFonts w:hint="eastAsia" w:ascii="华文楷体" w:hAnsi="华文楷体" w:eastAsia="华文楷体"/>
                <w:bCs/>
                <w:szCs w:val="21"/>
                <w:highlight w:val="none"/>
              </w:rPr>
              <w:t>（1）本文件中</w:t>
            </w:r>
            <w:r>
              <w:rPr>
                <w:rFonts w:hint="eastAsia" w:ascii="华文楷体" w:hAnsi="华文楷体" w:eastAsia="华文楷体" w:cs="宋体"/>
                <w:bCs/>
                <w:kern w:val="0"/>
                <w:szCs w:val="21"/>
                <w:highlight w:val="none"/>
                <w:lang w:val="zh-CN"/>
              </w:rPr>
              <w:t>所称的</w:t>
            </w:r>
            <w:r>
              <w:rPr>
                <w:rFonts w:hint="eastAsia" w:ascii="华文楷体" w:hAnsi="华文楷体" w:eastAsia="华文楷体"/>
                <w:bCs/>
                <w:szCs w:val="21"/>
                <w:highlight w:val="none"/>
              </w:rPr>
              <w:t>“以上”、“以下”、“以内”</w:t>
            </w:r>
            <w:r>
              <w:rPr>
                <w:rFonts w:hint="eastAsia" w:ascii="华文楷体" w:hAnsi="华文楷体" w:eastAsia="华文楷体" w:cs="宋体"/>
                <w:bCs/>
                <w:kern w:val="0"/>
                <w:szCs w:val="21"/>
                <w:highlight w:val="none"/>
                <w:lang w:val="zh-CN"/>
              </w:rPr>
              <w:t>，包括本数；所称的</w:t>
            </w:r>
            <w:r>
              <w:rPr>
                <w:rFonts w:hint="eastAsia" w:ascii="华文楷体" w:hAnsi="华文楷体" w:eastAsia="华文楷体"/>
                <w:bCs/>
                <w:szCs w:val="21"/>
                <w:highlight w:val="none"/>
              </w:rPr>
              <w:t>“以外”</w:t>
            </w:r>
            <w:r>
              <w:rPr>
                <w:rFonts w:hint="eastAsia" w:ascii="华文楷体" w:hAnsi="华文楷体" w:eastAsia="华文楷体" w:cs="宋体"/>
                <w:bCs/>
                <w:kern w:val="0"/>
                <w:szCs w:val="21"/>
                <w:highlight w:val="none"/>
                <w:lang w:val="zh-CN"/>
              </w:rPr>
              <w:t>，不包括本数。</w:t>
            </w:r>
          </w:p>
          <w:p w14:paraId="2022C9C7">
            <w:pPr>
              <w:adjustRightInd w:val="0"/>
              <w:snapToGrid w:val="0"/>
              <w:spacing w:line="340" w:lineRule="exact"/>
              <w:ind w:firstLine="210" w:firstLineChars="100"/>
              <w:rPr>
                <w:rFonts w:hint="eastAsia" w:ascii="华文楷体" w:hAnsi="华文楷体" w:eastAsia="华文楷体" w:cs="宋体"/>
                <w:bCs/>
                <w:kern w:val="0"/>
                <w:szCs w:val="21"/>
                <w:highlight w:val="none"/>
                <w:lang w:val="zh-CN"/>
              </w:rPr>
            </w:pPr>
            <w:r>
              <w:rPr>
                <w:rFonts w:hint="eastAsia" w:ascii="华文楷体" w:hAnsi="华文楷体" w:eastAsia="华文楷体"/>
                <w:bCs/>
                <w:szCs w:val="21"/>
                <w:highlight w:val="none"/>
              </w:rPr>
              <w:t>（2）除有特殊说明外，本文件中</w:t>
            </w:r>
            <w:r>
              <w:rPr>
                <w:rFonts w:hint="eastAsia" w:ascii="华文楷体" w:hAnsi="华文楷体" w:eastAsia="华文楷体" w:cs="宋体"/>
                <w:bCs/>
                <w:kern w:val="0"/>
                <w:szCs w:val="21"/>
                <w:highlight w:val="none"/>
                <w:lang w:val="zh-CN"/>
              </w:rPr>
              <w:t>所称的“近3年”或“近5年”等，是指自投标截止时间所在年度起逆推3年或5年。如：投标截止时间所在年度为202</w:t>
            </w:r>
            <w:r>
              <w:rPr>
                <w:rFonts w:hint="eastAsia" w:ascii="华文楷体" w:hAnsi="华文楷体" w:eastAsia="华文楷体" w:cs="宋体"/>
                <w:bCs/>
                <w:kern w:val="0"/>
                <w:szCs w:val="21"/>
                <w:highlight w:val="none"/>
              </w:rPr>
              <w:t>5</w:t>
            </w:r>
            <w:r>
              <w:rPr>
                <w:rFonts w:hint="eastAsia" w:ascii="华文楷体" w:hAnsi="华文楷体" w:eastAsia="华文楷体" w:cs="宋体"/>
                <w:bCs/>
                <w:kern w:val="0"/>
                <w:szCs w:val="21"/>
                <w:highlight w:val="none"/>
                <w:lang w:val="zh-CN"/>
              </w:rPr>
              <w:t>年，“近</w:t>
            </w:r>
            <w:r>
              <w:rPr>
                <w:rFonts w:ascii="华文楷体" w:hAnsi="华文楷体" w:eastAsia="华文楷体" w:cs="宋体"/>
                <w:bCs/>
                <w:kern w:val="0"/>
                <w:szCs w:val="21"/>
                <w:highlight w:val="none"/>
              </w:rPr>
              <w:t>3</w:t>
            </w:r>
            <w:r>
              <w:rPr>
                <w:rFonts w:hint="eastAsia" w:ascii="华文楷体" w:hAnsi="华文楷体" w:eastAsia="华文楷体" w:cs="宋体"/>
                <w:bCs/>
                <w:kern w:val="0"/>
                <w:szCs w:val="21"/>
                <w:highlight w:val="none"/>
                <w:lang w:val="zh-CN"/>
              </w:rPr>
              <w:t>年”的年限从202</w:t>
            </w:r>
            <w:r>
              <w:rPr>
                <w:rFonts w:hint="eastAsia" w:ascii="华文楷体" w:hAnsi="华文楷体" w:eastAsia="华文楷体" w:cs="宋体"/>
                <w:bCs/>
                <w:kern w:val="0"/>
                <w:szCs w:val="21"/>
                <w:highlight w:val="none"/>
              </w:rPr>
              <w:t>2</w:t>
            </w:r>
            <w:r>
              <w:rPr>
                <w:rFonts w:hint="eastAsia" w:ascii="华文楷体" w:hAnsi="华文楷体" w:eastAsia="华文楷体" w:cs="宋体"/>
                <w:bCs/>
                <w:kern w:val="0"/>
                <w:szCs w:val="21"/>
                <w:highlight w:val="none"/>
                <w:lang w:val="zh-CN"/>
              </w:rPr>
              <w:t>年1月1日算起</w:t>
            </w:r>
            <w:r>
              <w:rPr>
                <w:rFonts w:ascii="华文楷体" w:hAnsi="华文楷体" w:eastAsia="华文楷体" w:cs="宋体"/>
                <w:bCs/>
                <w:kern w:val="0"/>
                <w:szCs w:val="21"/>
                <w:highlight w:val="none"/>
              </w:rPr>
              <w:t>,</w:t>
            </w:r>
            <w:r>
              <w:rPr>
                <w:rFonts w:hint="eastAsia" w:ascii="华文楷体" w:hAnsi="华文楷体" w:eastAsia="华文楷体" w:cs="宋体"/>
                <w:bCs/>
                <w:kern w:val="0"/>
                <w:szCs w:val="21"/>
                <w:highlight w:val="none"/>
                <w:lang w:val="zh-CN"/>
              </w:rPr>
              <w:t>“近</w:t>
            </w:r>
            <w:r>
              <w:rPr>
                <w:rFonts w:ascii="华文楷体" w:hAnsi="华文楷体" w:eastAsia="华文楷体" w:cs="宋体"/>
                <w:bCs/>
                <w:kern w:val="0"/>
                <w:szCs w:val="21"/>
                <w:highlight w:val="none"/>
              </w:rPr>
              <w:t>5</w:t>
            </w:r>
            <w:r>
              <w:rPr>
                <w:rFonts w:hint="eastAsia" w:ascii="华文楷体" w:hAnsi="华文楷体" w:eastAsia="华文楷体" w:cs="宋体"/>
                <w:bCs/>
                <w:kern w:val="0"/>
                <w:szCs w:val="21"/>
                <w:highlight w:val="none"/>
                <w:lang w:val="zh-CN"/>
              </w:rPr>
              <w:t>年”的年限从2020年1月1日算起。</w:t>
            </w:r>
          </w:p>
          <w:p w14:paraId="2D927027">
            <w:pPr>
              <w:adjustRightInd w:val="0"/>
              <w:snapToGrid w:val="0"/>
              <w:spacing w:line="340" w:lineRule="exact"/>
              <w:ind w:firstLine="210" w:firstLineChars="100"/>
              <w:rPr>
                <w:rFonts w:hint="eastAsia" w:ascii="华文楷体" w:hAnsi="华文楷体" w:eastAsia="华文楷体" w:cs="宋体"/>
                <w:bCs/>
                <w:kern w:val="0"/>
                <w:szCs w:val="21"/>
                <w:highlight w:val="none"/>
              </w:rPr>
            </w:pPr>
            <w:r>
              <w:rPr>
                <w:rFonts w:hint="eastAsia" w:ascii="华文楷体" w:hAnsi="华文楷体" w:eastAsia="华文楷体" w:cs="宋体"/>
                <w:bCs/>
                <w:kern w:val="0"/>
                <w:szCs w:val="21"/>
                <w:highlight w:val="none"/>
                <w:lang w:val="zh-CN"/>
              </w:rPr>
              <w:t>（3）“电子交易平台”指“吉林省公共资源交易一体化平台”。</w:t>
            </w:r>
          </w:p>
        </w:tc>
      </w:tr>
      <w:tr w14:paraId="5BD2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2C1036D9">
            <w:pPr>
              <w:adjustRightInd w:val="0"/>
              <w:snapToGrid w:val="0"/>
              <w:spacing w:line="340" w:lineRule="exact"/>
              <w:jc w:val="center"/>
              <w:rPr>
                <w:rFonts w:hint="eastAsia" w:ascii="宋体" w:hAnsi="宋体"/>
                <w:bCs/>
                <w:szCs w:val="21"/>
                <w:highlight w:val="none"/>
              </w:rPr>
            </w:pPr>
            <w:r>
              <w:rPr>
                <w:rFonts w:hint="eastAsia" w:ascii="宋体" w:hAnsi="宋体" w:cs="宋体"/>
                <w:bCs/>
                <w:szCs w:val="21"/>
                <w:highlight w:val="none"/>
              </w:rPr>
              <w:t>10.8</w:t>
            </w:r>
          </w:p>
        </w:tc>
        <w:tc>
          <w:tcPr>
            <w:tcW w:w="831" w:type="pct"/>
            <w:vAlign w:val="center"/>
          </w:tcPr>
          <w:p w14:paraId="0514F123">
            <w:pPr>
              <w:adjustRightInd w:val="0"/>
              <w:snapToGrid w:val="0"/>
              <w:spacing w:line="340" w:lineRule="exact"/>
              <w:jc w:val="center"/>
              <w:rPr>
                <w:rFonts w:hint="eastAsia" w:ascii="宋体" w:hAnsi="宋体"/>
                <w:bCs/>
                <w:szCs w:val="21"/>
                <w:highlight w:val="none"/>
              </w:rPr>
            </w:pPr>
            <w:r>
              <w:rPr>
                <w:rFonts w:hint="eastAsia" w:ascii="楷体" w:hAnsi="楷体" w:eastAsia="楷体" w:cs="宋体"/>
                <w:bCs/>
                <w:szCs w:val="21"/>
                <w:highlight w:val="none"/>
              </w:rPr>
              <w:t>中标人提供纸质投标文件</w:t>
            </w:r>
          </w:p>
        </w:tc>
        <w:tc>
          <w:tcPr>
            <w:tcW w:w="3668" w:type="pct"/>
            <w:vAlign w:val="center"/>
          </w:tcPr>
          <w:p w14:paraId="57B553A6">
            <w:pPr>
              <w:adjustRightInd w:val="0"/>
              <w:snapToGrid w:val="0"/>
              <w:spacing w:line="340" w:lineRule="exact"/>
              <w:ind w:firstLine="210" w:firstLineChars="100"/>
              <w:rPr>
                <w:rFonts w:hint="eastAsia" w:ascii="华文楷体" w:hAnsi="华文楷体" w:eastAsia="华文楷体"/>
                <w:bCs/>
                <w:color w:val="000000"/>
                <w:szCs w:val="21"/>
                <w:highlight w:val="none"/>
              </w:rPr>
            </w:pPr>
            <w:r>
              <w:rPr>
                <w:rFonts w:hint="eastAsia" w:ascii="华文楷体" w:hAnsi="华文楷体" w:eastAsia="华文楷体"/>
                <w:bCs/>
                <w:color w:val="000000"/>
                <w:szCs w:val="21"/>
                <w:highlight w:val="none"/>
              </w:rPr>
              <w:t>如投标人中标，须再提供纸质投标文件正本一份，副本一份；中标人提供的纸质投标文件需与投标时提供的电子投标文件保持一致，如有不一致，以电子投标文件为准。</w:t>
            </w:r>
          </w:p>
          <w:p w14:paraId="0F737813">
            <w:pPr>
              <w:adjustRightInd w:val="0"/>
              <w:snapToGrid w:val="0"/>
              <w:spacing w:line="340" w:lineRule="exact"/>
              <w:ind w:firstLine="210" w:firstLineChars="100"/>
              <w:rPr>
                <w:rFonts w:hint="eastAsia" w:ascii="华文楷体" w:hAnsi="华文楷体" w:eastAsia="华文楷体" w:cs="宋体"/>
                <w:bCs/>
                <w:kern w:val="0"/>
                <w:szCs w:val="21"/>
                <w:highlight w:val="none"/>
              </w:rPr>
            </w:pPr>
            <w:r>
              <w:rPr>
                <w:rFonts w:hint="eastAsia" w:ascii="华文楷体" w:hAnsi="华文楷体" w:eastAsia="华文楷体"/>
                <w:bCs/>
                <w:color w:val="000000"/>
                <w:szCs w:val="21"/>
                <w:highlight w:val="none"/>
              </w:rPr>
              <w:t>中标人递交的纸质投标文件应是电子投标文件的打印件，正本应按招标文件要求加盖投标人单位公章，纸质投标文件应标注页码，且不得采用活页夹装订。</w:t>
            </w:r>
          </w:p>
        </w:tc>
      </w:tr>
      <w:tr w14:paraId="030B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2AD84BBC">
            <w:pPr>
              <w:adjustRightInd w:val="0"/>
              <w:snapToGrid w:val="0"/>
              <w:spacing w:line="340" w:lineRule="exact"/>
              <w:jc w:val="center"/>
              <w:rPr>
                <w:rFonts w:hint="eastAsia" w:ascii="宋体" w:hAnsi="宋体"/>
                <w:bCs/>
                <w:szCs w:val="21"/>
                <w:highlight w:val="none"/>
              </w:rPr>
            </w:pPr>
            <w:r>
              <w:rPr>
                <w:rFonts w:hint="eastAsia" w:ascii="宋体" w:hAnsi="宋体"/>
                <w:bCs/>
                <w:spacing w:val="1"/>
                <w:kern w:val="0"/>
                <w:szCs w:val="21"/>
                <w:highlight w:val="none"/>
              </w:rPr>
              <w:t>10.9</w:t>
            </w:r>
          </w:p>
        </w:tc>
        <w:tc>
          <w:tcPr>
            <w:tcW w:w="831" w:type="pct"/>
            <w:vAlign w:val="center"/>
          </w:tcPr>
          <w:p w14:paraId="46DE3C4B">
            <w:pPr>
              <w:adjustRightInd w:val="0"/>
              <w:snapToGrid w:val="0"/>
              <w:spacing w:line="340" w:lineRule="exact"/>
              <w:jc w:val="center"/>
              <w:rPr>
                <w:rFonts w:hint="eastAsia" w:ascii="宋体" w:hAnsi="宋体"/>
                <w:bCs/>
                <w:szCs w:val="21"/>
                <w:highlight w:val="none"/>
              </w:rPr>
            </w:pPr>
            <w:r>
              <w:rPr>
                <w:rFonts w:hint="eastAsia" w:ascii="楷体" w:hAnsi="楷体" w:eastAsia="楷体"/>
                <w:bCs/>
                <w:szCs w:val="21"/>
                <w:highlight w:val="none"/>
              </w:rPr>
              <w:t>招标代理服务费</w:t>
            </w:r>
          </w:p>
        </w:tc>
        <w:tc>
          <w:tcPr>
            <w:tcW w:w="3668" w:type="pct"/>
            <w:vAlign w:val="center"/>
          </w:tcPr>
          <w:p w14:paraId="0CA111DC">
            <w:pPr>
              <w:adjustRightInd w:val="0"/>
              <w:snapToGrid w:val="0"/>
              <w:spacing w:line="340" w:lineRule="exact"/>
              <w:ind w:firstLine="420" w:firstLineChars="200"/>
              <w:rPr>
                <w:rFonts w:hint="eastAsia" w:ascii="华文楷体" w:hAnsi="华文楷体" w:eastAsia="华文楷体"/>
                <w:bCs/>
                <w:szCs w:val="21"/>
                <w:highlight w:val="none"/>
              </w:rPr>
            </w:pPr>
          </w:p>
          <w:p w14:paraId="404AECC7">
            <w:pPr>
              <w:adjustRightInd w:val="0"/>
              <w:snapToGrid w:val="0"/>
              <w:spacing w:line="340" w:lineRule="exact"/>
              <w:rPr>
                <w:rFonts w:hint="eastAsia" w:ascii="华文楷体" w:hAnsi="华文楷体" w:eastAsia="华文楷体"/>
                <w:szCs w:val="21"/>
                <w:highlight w:val="none"/>
              </w:rPr>
            </w:pPr>
            <w:r>
              <w:rPr>
                <w:rFonts w:hint="eastAsia" w:ascii="华文楷体" w:hAnsi="华文楷体" w:eastAsia="华文楷体"/>
                <w:szCs w:val="21"/>
                <w:highlight w:val="none"/>
                <w:lang w:bidi="ar"/>
              </w:rPr>
              <w:t>招标代理服务费：中标金额1000万元以上的按照以下费率的60%计算。</w:t>
            </w:r>
          </w:p>
          <w:tbl>
            <w:tblPr>
              <w:tblStyle w:val="55"/>
              <w:tblW w:w="5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tblGrid>
            <w:tr w14:paraId="1C88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670" w:type="dxa"/>
                  <w:gridSpan w:val="2"/>
                  <w:tcBorders>
                    <w:top w:val="single" w:color="auto" w:sz="4" w:space="0"/>
                    <w:left w:val="single" w:color="auto" w:sz="4" w:space="0"/>
                    <w:bottom w:val="single" w:color="auto" w:sz="4" w:space="0"/>
                    <w:right w:val="single" w:color="auto" w:sz="4" w:space="0"/>
                  </w:tcBorders>
                  <w:vAlign w:val="center"/>
                </w:tcPr>
                <w:p w14:paraId="4DC51379">
                  <w:pPr>
                    <w:adjustRightInd w:val="0"/>
                    <w:spacing w:line="340" w:lineRule="exact"/>
                    <w:jc w:val="center"/>
                    <w:rPr>
                      <w:rFonts w:hint="eastAsia" w:ascii="华文楷体" w:hAnsi="华文楷体" w:eastAsia="华文楷体"/>
                      <w:szCs w:val="21"/>
                      <w:highlight w:val="none"/>
                    </w:rPr>
                  </w:pPr>
                  <w:r>
                    <w:rPr>
                      <w:rFonts w:hint="eastAsia" w:ascii="华文楷体" w:hAnsi="华文楷体" w:eastAsia="华文楷体"/>
                      <w:szCs w:val="21"/>
                      <w:highlight w:val="none"/>
                    </w:rPr>
                    <w:t>招标代理服务收费</w:t>
                  </w:r>
                </w:p>
              </w:tc>
            </w:tr>
            <w:tr w14:paraId="731C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835" w:type="dxa"/>
                  <w:tcBorders>
                    <w:top w:val="single" w:color="auto" w:sz="4" w:space="0"/>
                    <w:left w:val="single" w:color="auto" w:sz="4" w:space="0"/>
                    <w:bottom w:val="single" w:color="auto" w:sz="4" w:space="0"/>
                    <w:right w:val="single" w:color="auto" w:sz="4" w:space="0"/>
                  </w:tcBorders>
                  <w:vAlign w:val="center"/>
                </w:tcPr>
                <w:p w14:paraId="4B6B9288">
                  <w:pPr>
                    <w:adjustRightInd w:val="0"/>
                    <w:spacing w:line="340" w:lineRule="exact"/>
                    <w:jc w:val="center"/>
                    <w:rPr>
                      <w:rFonts w:hint="eastAsia" w:ascii="华文楷体" w:hAnsi="华文楷体" w:eastAsia="华文楷体"/>
                      <w:szCs w:val="21"/>
                      <w:highlight w:val="none"/>
                    </w:rPr>
                  </w:pPr>
                  <w:r>
                    <w:rPr>
                      <w:rFonts w:hint="eastAsia" w:ascii="华文楷体" w:hAnsi="华文楷体" w:eastAsia="华文楷体"/>
                      <w:szCs w:val="21"/>
                      <w:highlight w:val="none"/>
                    </w:rPr>
                    <w:t>中标金额</w:t>
                  </w:r>
                </w:p>
              </w:tc>
              <w:tc>
                <w:tcPr>
                  <w:tcW w:w="2835" w:type="dxa"/>
                  <w:tcBorders>
                    <w:top w:val="single" w:color="auto" w:sz="4" w:space="0"/>
                    <w:left w:val="single" w:color="auto" w:sz="4" w:space="0"/>
                    <w:bottom w:val="single" w:color="auto" w:sz="4" w:space="0"/>
                    <w:right w:val="single" w:color="auto" w:sz="4" w:space="0"/>
                  </w:tcBorders>
                  <w:vAlign w:val="center"/>
                </w:tcPr>
                <w:p w14:paraId="78E13788">
                  <w:pPr>
                    <w:adjustRightInd w:val="0"/>
                    <w:spacing w:line="340" w:lineRule="exact"/>
                    <w:jc w:val="center"/>
                    <w:rPr>
                      <w:rFonts w:hint="eastAsia" w:ascii="华文楷体" w:hAnsi="华文楷体" w:eastAsia="华文楷体"/>
                      <w:szCs w:val="21"/>
                      <w:highlight w:val="none"/>
                    </w:rPr>
                  </w:pPr>
                  <w:r>
                    <w:rPr>
                      <w:rFonts w:hint="eastAsia" w:ascii="华文楷体" w:hAnsi="华文楷体" w:eastAsia="华文楷体"/>
                      <w:szCs w:val="21"/>
                      <w:highlight w:val="none"/>
                    </w:rPr>
                    <w:t>费率</w:t>
                  </w:r>
                </w:p>
              </w:tc>
            </w:tr>
            <w:tr w14:paraId="53C9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835" w:type="dxa"/>
                  <w:tcBorders>
                    <w:top w:val="single" w:color="auto" w:sz="4" w:space="0"/>
                    <w:left w:val="single" w:color="auto" w:sz="4" w:space="0"/>
                    <w:bottom w:val="single" w:color="auto" w:sz="4" w:space="0"/>
                    <w:right w:val="single" w:color="auto" w:sz="4" w:space="0"/>
                  </w:tcBorders>
                  <w:vAlign w:val="center"/>
                </w:tcPr>
                <w:p w14:paraId="1F7EBC6D">
                  <w:pPr>
                    <w:adjustRightInd w:val="0"/>
                    <w:spacing w:line="340" w:lineRule="exact"/>
                    <w:jc w:val="center"/>
                    <w:rPr>
                      <w:rFonts w:hint="eastAsia" w:ascii="华文楷体" w:hAnsi="华文楷体" w:eastAsia="华文楷体"/>
                      <w:szCs w:val="21"/>
                      <w:highlight w:val="none"/>
                    </w:rPr>
                  </w:pPr>
                  <w:r>
                    <w:rPr>
                      <w:rFonts w:hint="eastAsia" w:ascii="华文楷体" w:hAnsi="华文楷体" w:eastAsia="华文楷体"/>
                      <w:szCs w:val="21"/>
                      <w:highlight w:val="none"/>
                    </w:rPr>
                    <w:t>100万元以下</w:t>
                  </w:r>
                </w:p>
              </w:tc>
              <w:tc>
                <w:tcPr>
                  <w:tcW w:w="2835" w:type="dxa"/>
                  <w:tcBorders>
                    <w:top w:val="single" w:color="auto" w:sz="4" w:space="0"/>
                    <w:left w:val="single" w:color="auto" w:sz="4" w:space="0"/>
                    <w:bottom w:val="single" w:color="auto" w:sz="4" w:space="0"/>
                    <w:right w:val="single" w:color="auto" w:sz="4" w:space="0"/>
                  </w:tcBorders>
                  <w:vAlign w:val="center"/>
                </w:tcPr>
                <w:p w14:paraId="5C0F58AB">
                  <w:pPr>
                    <w:adjustRightInd w:val="0"/>
                    <w:spacing w:line="340" w:lineRule="exact"/>
                    <w:jc w:val="center"/>
                    <w:rPr>
                      <w:rFonts w:hint="eastAsia" w:ascii="华文楷体" w:hAnsi="华文楷体" w:eastAsia="华文楷体"/>
                      <w:szCs w:val="21"/>
                      <w:highlight w:val="none"/>
                    </w:rPr>
                  </w:pPr>
                  <w:r>
                    <w:rPr>
                      <w:rFonts w:hint="eastAsia" w:ascii="华文楷体" w:hAnsi="华文楷体" w:eastAsia="华文楷体"/>
                      <w:szCs w:val="21"/>
                      <w:highlight w:val="none"/>
                    </w:rPr>
                    <w:t>1.0%</w:t>
                  </w:r>
                </w:p>
              </w:tc>
            </w:tr>
            <w:tr w14:paraId="261B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835" w:type="dxa"/>
                  <w:tcBorders>
                    <w:top w:val="single" w:color="auto" w:sz="4" w:space="0"/>
                    <w:left w:val="single" w:color="auto" w:sz="4" w:space="0"/>
                    <w:bottom w:val="single" w:color="auto" w:sz="4" w:space="0"/>
                    <w:right w:val="single" w:color="auto" w:sz="4" w:space="0"/>
                  </w:tcBorders>
                  <w:vAlign w:val="center"/>
                </w:tcPr>
                <w:p w14:paraId="750E3A8A">
                  <w:pPr>
                    <w:adjustRightInd w:val="0"/>
                    <w:spacing w:line="340" w:lineRule="exact"/>
                    <w:jc w:val="center"/>
                    <w:rPr>
                      <w:rFonts w:hint="eastAsia" w:ascii="华文楷体" w:hAnsi="华文楷体" w:eastAsia="华文楷体"/>
                      <w:szCs w:val="21"/>
                      <w:highlight w:val="none"/>
                    </w:rPr>
                  </w:pPr>
                  <w:r>
                    <w:rPr>
                      <w:rFonts w:hint="eastAsia" w:ascii="华文楷体" w:hAnsi="华文楷体" w:eastAsia="华文楷体"/>
                      <w:szCs w:val="21"/>
                      <w:highlight w:val="none"/>
                    </w:rPr>
                    <w:t>100～500万元</w:t>
                  </w:r>
                </w:p>
              </w:tc>
              <w:tc>
                <w:tcPr>
                  <w:tcW w:w="2835" w:type="dxa"/>
                  <w:tcBorders>
                    <w:top w:val="single" w:color="auto" w:sz="4" w:space="0"/>
                    <w:left w:val="single" w:color="auto" w:sz="4" w:space="0"/>
                    <w:bottom w:val="single" w:color="auto" w:sz="4" w:space="0"/>
                    <w:right w:val="single" w:color="auto" w:sz="4" w:space="0"/>
                  </w:tcBorders>
                  <w:vAlign w:val="center"/>
                </w:tcPr>
                <w:p w14:paraId="3DE8C6B4">
                  <w:pPr>
                    <w:adjustRightInd w:val="0"/>
                    <w:spacing w:line="340" w:lineRule="exact"/>
                    <w:jc w:val="center"/>
                    <w:rPr>
                      <w:rFonts w:hint="eastAsia" w:ascii="华文楷体" w:hAnsi="华文楷体" w:eastAsia="华文楷体"/>
                      <w:szCs w:val="21"/>
                      <w:highlight w:val="none"/>
                    </w:rPr>
                  </w:pPr>
                  <w:r>
                    <w:rPr>
                      <w:rFonts w:hint="eastAsia" w:ascii="华文楷体" w:hAnsi="华文楷体" w:eastAsia="华文楷体"/>
                      <w:szCs w:val="21"/>
                      <w:highlight w:val="none"/>
                    </w:rPr>
                    <w:t>0.7%</w:t>
                  </w:r>
                </w:p>
              </w:tc>
            </w:tr>
            <w:tr w14:paraId="49E3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835" w:type="dxa"/>
                  <w:tcBorders>
                    <w:top w:val="single" w:color="auto" w:sz="4" w:space="0"/>
                    <w:left w:val="single" w:color="auto" w:sz="4" w:space="0"/>
                    <w:bottom w:val="single" w:color="auto" w:sz="4" w:space="0"/>
                    <w:right w:val="single" w:color="auto" w:sz="4" w:space="0"/>
                  </w:tcBorders>
                  <w:vAlign w:val="center"/>
                </w:tcPr>
                <w:p w14:paraId="131E371B">
                  <w:pPr>
                    <w:adjustRightInd w:val="0"/>
                    <w:spacing w:line="340" w:lineRule="exact"/>
                    <w:jc w:val="center"/>
                    <w:rPr>
                      <w:rFonts w:hint="eastAsia" w:ascii="华文楷体" w:hAnsi="华文楷体" w:eastAsia="华文楷体"/>
                      <w:szCs w:val="21"/>
                      <w:highlight w:val="none"/>
                    </w:rPr>
                  </w:pPr>
                  <w:r>
                    <w:rPr>
                      <w:rFonts w:hint="eastAsia" w:ascii="华文楷体" w:hAnsi="华文楷体" w:eastAsia="华文楷体"/>
                      <w:szCs w:val="21"/>
                      <w:highlight w:val="none"/>
                    </w:rPr>
                    <w:t>500～1000万元</w:t>
                  </w:r>
                </w:p>
              </w:tc>
              <w:tc>
                <w:tcPr>
                  <w:tcW w:w="2835" w:type="dxa"/>
                  <w:tcBorders>
                    <w:top w:val="single" w:color="auto" w:sz="4" w:space="0"/>
                    <w:left w:val="single" w:color="auto" w:sz="4" w:space="0"/>
                    <w:bottom w:val="single" w:color="auto" w:sz="4" w:space="0"/>
                    <w:right w:val="single" w:color="auto" w:sz="4" w:space="0"/>
                  </w:tcBorders>
                  <w:vAlign w:val="center"/>
                </w:tcPr>
                <w:p w14:paraId="0934CE85">
                  <w:pPr>
                    <w:adjustRightInd w:val="0"/>
                    <w:spacing w:line="340" w:lineRule="exact"/>
                    <w:jc w:val="center"/>
                    <w:rPr>
                      <w:rFonts w:hint="eastAsia" w:ascii="华文楷体" w:hAnsi="华文楷体" w:eastAsia="华文楷体"/>
                      <w:szCs w:val="21"/>
                      <w:highlight w:val="none"/>
                    </w:rPr>
                  </w:pPr>
                  <w:r>
                    <w:rPr>
                      <w:rFonts w:hint="eastAsia" w:ascii="华文楷体" w:hAnsi="华文楷体" w:eastAsia="华文楷体"/>
                      <w:szCs w:val="21"/>
                      <w:highlight w:val="none"/>
                    </w:rPr>
                    <w:t>0.55%</w:t>
                  </w:r>
                </w:p>
              </w:tc>
            </w:tr>
            <w:tr w14:paraId="1E96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835" w:type="dxa"/>
                  <w:tcBorders>
                    <w:top w:val="single" w:color="auto" w:sz="4" w:space="0"/>
                    <w:left w:val="single" w:color="auto" w:sz="4" w:space="0"/>
                    <w:bottom w:val="single" w:color="auto" w:sz="4" w:space="0"/>
                    <w:right w:val="single" w:color="auto" w:sz="4" w:space="0"/>
                  </w:tcBorders>
                  <w:vAlign w:val="center"/>
                </w:tcPr>
                <w:p w14:paraId="357D63AC">
                  <w:pPr>
                    <w:adjustRightInd w:val="0"/>
                    <w:spacing w:line="340" w:lineRule="exact"/>
                    <w:jc w:val="center"/>
                    <w:rPr>
                      <w:rFonts w:hint="eastAsia" w:ascii="华文楷体" w:hAnsi="华文楷体" w:eastAsia="华文楷体"/>
                      <w:szCs w:val="21"/>
                      <w:highlight w:val="none"/>
                    </w:rPr>
                  </w:pPr>
                  <w:r>
                    <w:rPr>
                      <w:rFonts w:hint="eastAsia" w:ascii="华文楷体" w:hAnsi="华文楷体" w:eastAsia="华文楷体"/>
                      <w:szCs w:val="21"/>
                      <w:highlight w:val="none"/>
                    </w:rPr>
                    <w:t>1000～5000万元</w:t>
                  </w:r>
                </w:p>
              </w:tc>
              <w:tc>
                <w:tcPr>
                  <w:tcW w:w="2835" w:type="dxa"/>
                  <w:tcBorders>
                    <w:top w:val="single" w:color="auto" w:sz="4" w:space="0"/>
                    <w:left w:val="single" w:color="auto" w:sz="4" w:space="0"/>
                    <w:bottom w:val="single" w:color="auto" w:sz="4" w:space="0"/>
                    <w:right w:val="single" w:color="auto" w:sz="4" w:space="0"/>
                  </w:tcBorders>
                  <w:vAlign w:val="center"/>
                </w:tcPr>
                <w:p w14:paraId="26657DC6">
                  <w:pPr>
                    <w:adjustRightInd w:val="0"/>
                    <w:spacing w:line="340" w:lineRule="exact"/>
                    <w:jc w:val="center"/>
                    <w:rPr>
                      <w:rFonts w:hint="eastAsia" w:ascii="华文楷体" w:hAnsi="华文楷体" w:eastAsia="华文楷体"/>
                      <w:szCs w:val="21"/>
                      <w:highlight w:val="none"/>
                    </w:rPr>
                  </w:pPr>
                  <w:r>
                    <w:rPr>
                      <w:rFonts w:hint="eastAsia" w:ascii="华文楷体" w:hAnsi="华文楷体" w:eastAsia="华文楷体"/>
                      <w:szCs w:val="21"/>
                      <w:highlight w:val="none"/>
                    </w:rPr>
                    <w:t>0.35%</w:t>
                  </w:r>
                </w:p>
              </w:tc>
            </w:tr>
            <w:tr w14:paraId="60C8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835" w:type="dxa"/>
                  <w:tcBorders>
                    <w:top w:val="single" w:color="auto" w:sz="4" w:space="0"/>
                    <w:left w:val="single" w:color="auto" w:sz="4" w:space="0"/>
                    <w:bottom w:val="single" w:color="auto" w:sz="4" w:space="0"/>
                    <w:right w:val="single" w:color="auto" w:sz="4" w:space="0"/>
                  </w:tcBorders>
                  <w:vAlign w:val="center"/>
                </w:tcPr>
                <w:p w14:paraId="1E729754">
                  <w:pPr>
                    <w:adjustRightInd w:val="0"/>
                    <w:spacing w:line="340" w:lineRule="exact"/>
                    <w:jc w:val="center"/>
                    <w:rPr>
                      <w:rFonts w:hint="eastAsia" w:ascii="华文楷体" w:hAnsi="华文楷体" w:eastAsia="华文楷体"/>
                      <w:szCs w:val="21"/>
                      <w:highlight w:val="none"/>
                    </w:rPr>
                  </w:pPr>
                  <w:r>
                    <w:rPr>
                      <w:rFonts w:hint="eastAsia" w:ascii="华文楷体" w:hAnsi="华文楷体" w:eastAsia="华文楷体"/>
                      <w:szCs w:val="21"/>
                      <w:highlight w:val="none"/>
                    </w:rPr>
                    <w:t>5000～1亿元</w:t>
                  </w:r>
                </w:p>
              </w:tc>
              <w:tc>
                <w:tcPr>
                  <w:tcW w:w="2835" w:type="dxa"/>
                  <w:tcBorders>
                    <w:top w:val="single" w:color="auto" w:sz="4" w:space="0"/>
                    <w:left w:val="single" w:color="auto" w:sz="4" w:space="0"/>
                    <w:bottom w:val="single" w:color="auto" w:sz="4" w:space="0"/>
                    <w:right w:val="single" w:color="auto" w:sz="4" w:space="0"/>
                  </w:tcBorders>
                  <w:vAlign w:val="center"/>
                </w:tcPr>
                <w:p w14:paraId="2D243314">
                  <w:pPr>
                    <w:adjustRightInd w:val="0"/>
                    <w:spacing w:line="340" w:lineRule="exact"/>
                    <w:jc w:val="center"/>
                    <w:rPr>
                      <w:rFonts w:hint="eastAsia" w:ascii="华文楷体" w:hAnsi="华文楷体" w:eastAsia="华文楷体"/>
                      <w:szCs w:val="21"/>
                      <w:highlight w:val="none"/>
                    </w:rPr>
                  </w:pPr>
                  <w:r>
                    <w:rPr>
                      <w:rFonts w:hint="eastAsia" w:ascii="华文楷体" w:hAnsi="华文楷体" w:eastAsia="华文楷体"/>
                      <w:szCs w:val="21"/>
                      <w:highlight w:val="none"/>
                    </w:rPr>
                    <w:t>0.20%</w:t>
                  </w:r>
                </w:p>
              </w:tc>
            </w:tr>
            <w:tr w14:paraId="5296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835" w:type="dxa"/>
                  <w:tcBorders>
                    <w:top w:val="single" w:color="auto" w:sz="4" w:space="0"/>
                    <w:left w:val="single" w:color="auto" w:sz="4" w:space="0"/>
                    <w:bottom w:val="single" w:color="auto" w:sz="4" w:space="0"/>
                    <w:right w:val="single" w:color="auto" w:sz="4" w:space="0"/>
                  </w:tcBorders>
                  <w:vAlign w:val="center"/>
                </w:tcPr>
                <w:p w14:paraId="01BCE1C1">
                  <w:pPr>
                    <w:adjustRightInd w:val="0"/>
                    <w:spacing w:line="340" w:lineRule="exact"/>
                    <w:jc w:val="center"/>
                    <w:rPr>
                      <w:rFonts w:hint="eastAsia" w:ascii="华文楷体" w:hAnsi="华文楷体" w:eastAsia="华文楷体"/>
                      <w:szCs w:val="21"/>
                      <w:highlight w:val="none"/>
                    </w:rPr>
                  </w:pPr>
                  <w:r>
                    <w:rPr>
                      <w:rFonts w:hint="eastAsia" w:ascii="华文楷体" w:hAnsi="华文楷体" w:eastAsia="华文楷体"/>
                      <w:szCs w:val="21"/>
                      <w:highlight w:val="none"/>
                    </w:rPr>
                    <w:t>1～5亿元</w:t>
                  </w:r>
                </w:p>
              </w:tc>
              <w:tc>
                <w:tcPr>
                  <w:tcW w:w="2835" w:type="dxa"/>
                  <w:tcBorders>
                    <w:top w:val="single" w:color="auto" w:sz="4" w:space="0"/>
                    <w:left w:val="single" w:color="auto" w:sz="4" w:space="0"/>
                    <w:bottom w:val="single" w:color="auto" w:sz="4" w:space="0"/>
                    <w:right w:val="single" w:color="auto" w:sz="4" w:space="0"/>
                  </w:tcBorders>
                  <w:vAlign w:val="center"/>
                </w:tcPr>
                <w:p w14:paraId="462D4AAE">
                  <w:pPr>
                    <w:adjustRightInd w:val="0"/>
                    <w:spacing w:line="340" w:lineRule="exact"/>
                    <w:jc w:val="center"/>
                    <w:rPr>
                      <w:rFonts w:hint="eastAsia" w:ascii="华文楷体" w:hAnsi="华文楷体" w:eastAsia="华文楷体"/>
                      <w:szCs w:val="21"/>
                      <w:highlight w:val="none"/>
                    </w:rPr>
                  </w:pPr>
                  <w:r>
                    <w:rPr>
                      <w:rFonts w:hint="eastAsia" w:ascii="华文楷体" w:hAnsi="华文楷体" w:eastAsia="华文楷体"/>
                      <w:szCs w:val="21"/>
                      <w:highlight w:val="none"/>
                    </w:rPr>
                    <w:t>0.05%</w:t>
                  </w:r>
                </w:p>
              </w:tc>
            </w:tr>
          </w:tbl>
          <w:p w14:paraId="790E9A62">
            <w:pPr>
              <w:adjustRightInd w:val="0"/>
              <w:spacing w:line="340" w:lineRule="exact"/>
              <w:jc w:val="left"/>
              <w:rPr>
                <w:rFonts w:hint="eastAsia" w:ascii="华文楷体" w:hAnsi="华文楷体" w:eastAsia="华文楷体"/>
                <w:szCs w:val="21"/>
                <w:highlight w:val="none"/>
              </w:rPr>
            </w:pPr>
            <w:r>
              <w:rPr>
                <w:rFonts w:hint="eastAsia" w:ascii="华文楷体" w:hAnsi="华文楷体" w:eastAsia="华文楷体"/>
                <w:szCs w:val="21"/>
                <w:highlight w:val="none"/>
              </w:rPr>
              <w:t>招标代理服务收费按差额定率累进法计算。例：如中标金额为6000万元，投标人应支付的招标代理费如下：</w:t>
            </w:r>
          </w:p>
          <w:p w14:paraId="40459238">
            <w:pPr>
              <w:spacing w:line="340" w:lineRule="exact"/>
              <w:ind w:firstLine="210" w:firstLineChars="100"/>
              <w:rPr>
                <w:rFonts w:hint="eastAsia" w:ascii="华文楷体" w:hAnsi="华文楷体" w:eastAsia="华文楷体"/>
                <w:szCs w:val="21"/>
                <w:highlight w:val="none"/>
              </w:rPr>
            </w:pPr>
            <w:r>
              <w:rPr>
                <w:rFonts w:hint="eastAsia" w:ascii="华文楷体" w:hAnsi="华文楷体" w:eastAsia="华文楷体"/>
                <w:szCs w:val="21"/>
                <w:highlight w:val="none"/>
              </w:rPr>
              <w:t xml:space="preserve">100万元×1.00% ＝ 1.00万元 </w:t>
            </w:r>
          </w:p>
          <w:p w14:paraId="48075405">
            <w:pPr>
              <w:spacing w:line="340" w:lineRule="exact"/>
              <w:rPr>
                <w:rFonts w:hint="eastAsia" w:ascii="华文楷体" w:hAnsi="华文楷体" w:eastAsia="华文楷体"/>
                <w:szCs w:val="21"/>
                <w:highlight w:val="none"/>
              </w:rPr>
            </w:pPr>
            <w:r>
              <w:rPr>
                <w:rFonts w:hint="eastAsia" w:ascii="华文楷体" w:hAnsi="华文楷体" w:eastAsia="华文楷体"/>
                <w:szCs w:val="21"/>
                <w:highlight w:val="none"/>
              </w:rPr>
              <w:t xml:space="preserve">（500-100）万元×0.70% ＝ 2.80万元 </w:t>
            </w:r>
          </w:p>
          <w:p w14:paraId="5C2F3050">
            <w:pPr>
              <w:spacing w:line="340" w:lineRule="exact"/>
              <w:rPr>
                <w:rFonts w:hint="eastAsia" w:ascii="华文楷体" w:hAnsi="华文楷体" w:eastAsia="华文楷体"/>
                <w:szCs w:val="21"/>
                <w:highlight w:val="none"/>
              </w:rPr>
            </w:pPr>
            <w:r>
              <w:rPr>
                <w:rFonts w:hint="eastAsia" w:ascii="华文楷体" w:hAnsi="华文楷体" w:eastAsia="华文楷体"/>
                <w:szCs w:val="21"/>
                <w:highlight w:val="none"/>
              </w:rPr>
              <w:t xml:space="preserve">（1000-500）万元×0.55% ＝ 2.75万元 </w:t>
            </w:r>
          </w:p>
          <w:p w14:paraId="195D4781">
            <w:pPr>
              <w:spacing w:line="340" w:lineRule="exact"/>
              <w:rPr>
                <w:rFonts w:hint="eastAsia" w:ascii="华文楷体" w:hAnsi="华文楷体" w:eastAsia="华文楷体"/>
                <w:szCs w:val="21"/>
                <w:highlight w:val="none"/>
              </w:rPr>
            </w:pPr>
            <w:r>
              <w:rPr>
                <w:rFonts w:hint="eastAsia" w:ascii="华文楷体" w:hAnsi="华文楷体" w:eastAsia="华文楷体"/>
                <w:szCs w:val="21"/>
                <w:highlight w:val="none"/>
              </w:rPr>
              <w:t xml:space="preserve">（5000-1000）万元×0.35% ＝ 14.00万元 </w:t>
            </w:r>
          </w:p>
          <w:p w14:paraId="2A8CDC8F">
            <w:pPr>
              <w:spacing w:line="340" w:lineRule="exact"/>
              <w:rPr>
                <w:rFonts w:hint="eastAsia" w:ascii="华文楷体" w:hAnsi="华文楷体" w:eastAsia="华文楷体"/>
                <w:szCs w:val="21"/>
                <w:highlight w:val="none"/>
              </w:rPr>
            </w:pPr>
            <w:r>
              <w:rPr>
                <w:rFonts w:hint="eastAsia" w:ascii="华文楷体" w:hAnsi="华文楷体" w:eastAsia="华文楷体"/>
                <w:szCs w:val="21"/>
                <w:highlight w:val="none"/>
              </w:rPr>
              <w:t xml:space="preserve">（6000-5000）万元×0.20% ＝ 2万元 </w:t>
            </w:r>
          </w:p>
          <w:p w14:paraId="487F8B8A">
            <w:pPr>
              <w:adjustRightInd w:val="0"/>
              <w:snapToGrid w:val="0"/>
              <w:spacing w:line="340" w:lineRule="exact"/>
              <w:ind w:firstLine="210" w:firstLineChars="100"/>
              <w:rPr>
                <w:rFonts w:hint="eastAsia" w:ascii="华文楷体" w:hAnsi="华文楷体" w:eastAsia="华文楷体"/>
                <w:bCs/>
                <w:szCs w:val="21"/>
                <w:highlight w:val="none"/>
              </w:rPr>
            </w:pPr>
            <w:r>
              <w:rPr>
                <w:rFonts w:hint="eastAsia" w:ascii="华文楷体" w:hAnsi="华文楷体" w:eastAsia="华文楷体"/>
                <w:szCs w:val="21"/>
                <w:highlight w:val="none"/>
              </w:rPr>
              <w:t>则投标人应支付的招标代理费＝（1+2.8+2.75+14+2）*60%=13.53万元</w:t>
            </w:r>
          </w:p>
          <w:p w14:paraId="39E4FC85">
            <w:pPr>
              <w:adjustRightInd w:val="0"/>
              <w:snapToGrid w:val="0"/>
              <w:spacing w:line="340" w:lineRule="exact"/>
              <w:ind w:firstLine="420" w:firstLineChars="200"/>
              <w:rPr>
                <w:rFonts w:hint="eastAsia" w:ascii="华文楷体" w:hAnsi="华文楷体" w:eastAsia="华文楷体"/>
                <w:szCs w:val="21"/>
                <w:highlight w:val="none"/>
              </w:rPr>
            </w:pPr>
            <w:r>
              <w:rPr>
                <w:rFonts w:hint="eastAsia" w:ascii="华文楷体" w:hAnsi="华文楷体" w:eastAsia="华文楷体"/>
                <w:szCs w:val="21"/>
                <w:highlight w:val="none"/>
              </w:rPr>
              <w:t>用于本项目的招标代理服务费由中标人支付，投标人应将此费用计入投标报价内，但不得单独报价。</w:t>
            </w:r>
          </w:p>
          <w:p w14:paraId="4D325539">
            <w:pPr>
              <w:widowControl/>
              <w:adjustRightInd w:val="0"/>
              <w:snapToGrid w:val="0"/>
              <w:spacing w:line="340" w:lineRule="exact"/>
              <w:ind w:firstLine="420" w:firstLineChars="200"/>
              <w:rPr>
                <w:rFonts w:hint="eastAsia" w:ascii="华文楷体" w:hAnsi="华文楷体" w:eastAsia="华文楷体"/>
                <w:bCs/>
                <w:szCs w:val="21"/>
                <w:highlight w:val="none"/>
              </w:rPr>
            </w:pPr>
            <w:r>
              <w:rPr>
                <w:rFonts w:hint="eastAsia" w:ascii="华文楷体" w:hAnsi="华文楷体" w:eastAsia="华文楷体"/>
                <w:bCs/>
                <w:szCs w:val="21"/>
                <w:highlight w:val="none"/>
              </w:rPr>
              <w:t>支付形式：网银转账或招标代理机构认可的其他形式</w:t>
            </w:r>
          </w:p>
          <w:p w14:paraId="1EFC4819">
            <w:pPr>
              <w:widowControl/>
              <w:adjustRightInd w:val="0"/>
              <w:snapToGrid w:val="0"/>
              <w:spacing w:line="340" w:lineRule="exact"/>
              <w:ind w:firstLine="420" w:firstLineChars="200"/>
              <w:rPr>
                <w:rFonts w:hint="eastAsia" w:ascii="华文楷体" w:hAnsi="华文楷体" w:eastAsia="华文楷体"/>
                <w:bCs/>
                <w:szCs w:val="21"/>
                <w:highlight w:val="none"/>
              </w:rPr>
            </w:pPr>
            <w:r>
              <w:rPr>
                <w:rFonts w:hint="eastAsia" w:ascii="华文楷体" w:hAnsi="华文楷体" w:eastAsia="华文楷体"/>
                <w:bCs/>
                <w:szCs w:val="21"/>
                <w:highlight w:val="none"/>
              </w:rPr>
              <w:t>招标代理机构的开户银行及账号如下：</w:t>
            </w:r>
          </w:p>
          <w:p w14:paraId="0D1D51F5">
            <w:pPr>
              <w:spacing w:line="340" w:lineRule="exact"/>
              <w:ind w:left="21" w:leftChars="10" w:firstLine="420" w:firstLineChars="200"/>
              <w:jc w:val="left"/>
              <w:rPr>
                <w:rFonts w:hint="eastAsia" w:ascii="黑体" w:hAnsi="黑体" w:eastAsia="黑体"/>
                <w:bCs/>
                <w:szCs w:val="21"/>
                <w:highlight w:val="none"/>
              </w:rPr>
            </w:pPr>
            <w:r>
              <w:rPr>
                <w:rFonts w:hint="eastAsia" w:ascii="黑体" w:hAnsi="黑体" w:eastAsia="黑体"/>
                <w:bCs/>
                <w:szCs w:val="21"/>
                <w:highlight w:val="none"/>
              </w:rPr>
              <w:t xml:space="preserve">开户名称：吉林省伟邦公路技术有限公司 </w:t>
            </w:r>
          </w:p>
          <w:p w14:paraId="38DDD981">
            <w:pPr>
              <w:spacing w:line="340" w:lineRule="exact"/>
              <w:ind w:left="21" w:leftChars="10" w:firstLine="420" w:firstLineChars="200"/>
              <w:jc w:val="left"/>
              <w:rPr>
                <w:rFonts w:hint="eastAsia" w:ascii="黑体" w:hAnsi="黑体" w:eastAsia="黑体"/>
                <w:bCs/>
                <w:szCs w:val="21"/>
                <w:highlight w:val="none"/>
              </w:rPr>
            </w:pPr>
            <w:r>
              <w:rPr>
                <w:rFonts w:hint="eastAsia" w:ascii="黑体" w:hAnsi="黑体" w:eastAsia="黑体"/>
                <w:bCs/>
                <w:szCs w:val="21"/>
                <w:highlight w:val="none"/>
              </w:rPr>
              <w:t xml:space="preserve">开户银行：建设银行九台支行 </w:t>
            </w:r>
          </w:p>
          <w:p w14:paraId="56BBF0A5">
            <w:pPr>
              <w:widowControl/>
              <w:adjustRightInd w:val="0"/>
              <w:snapToGrid w:val="0"/>
              <w:spacing w:line="340" w:lineRule="exact"/>
              <w:ind w:firstLine="420" w:firstLineChars="200"/>
              <w:rPr>
                <w:rFonts w:hint="eastAsia" w:ascii="华文楷体" w:hAnsi="华文楷体" w:eastAsia="华文楷体" w:cs="宋体"/>
                <w:bCs/>
                <w:kern w:val="0"/>
                <w:szCs w:val="21"/>
                <w:highlight w:val="none"/>
              </w:rPr>
            </w:pPr>
            <w:r>
              <w:rPr>
                <w:rFonts w:hint="eastAsia" w:ascii="黑体" w:hAnsi="黑体" w:eastAsia="黑体"/>
                <w:bCs/>
                <w:szCs w:val="21"/>
                <w:highlight w:val="none"/>
              </w:rPr>
              <w:t>银行账号：22001390100055001391</w:t>
            </w:r>
          </w:p>
        </w:tc>
      </w:tr>
      <w:tr w14:paraId="46C5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7933F55B">
            <w:pPr>
              <w:adjustRightInd w:val="0"/>
              <w:snapToGrid w:val="0"/>
              <w:spacing w:line="340" w:lineRule="exact"/>
              <w:jc w:val="center"/>
              <w:rPr>
                <w:rFonts w:hint="eastAsia" w:ascii="宋体" w:hAnsi="宋体"/>
                <w:bCs/>
                <w:szCs w:val="21"/>
                <w:highlight w:val="none"/>
              </w:rPr>
            </w:pPr>
            <w:r>
              <w:rPr>
                <w:rFonts w:hint="eastAsia" w:ascii="宋体" w:hAnsi="宋体" w:cs="宋体"/>
                <w:bCs/>
                <w:szCs w:val="21"/>
                <w:highlight w:val="none"/>
              </w:rPr>
              <w:t>1</w:t>
            </w:r>
            <w:r>
              <w:rPr>
                <w:rFonts w:ascii="宋体" w:hAnsi="宋体" w:cs="宋体"/>
                <w:bCs/>
                <w:szCs w:val="21"/>
                <w:highlight w:val="none"/>
              </w:rPr>
              <w:t>0.</w:t>
            </w:r>
            <w:r>
              <w:rPr>
                <w:rFonts w:hint="eastAsia" w:ascii="宋体" w:hAnsi="宋体" w:cs="宋体"/>
                <w:bCs/>
                <w:szCs w:val="21"/>
                <w:highlight w:val="none"/>
              </w:rPr>
              <w:t>10</w:t>
            </w:r>
          </w:p>
        </w:tc>
        <w:tc>
          <w:tcPr>
            <w:tcW w:w="831" w:type="pct"/>
            <w:vAlign w:val="center"/>
          </w:tcPr>
          <w:p w14:paraId="59588FBB">
            <w:pPr>
              <w:adjustRightInd w:val="0"/>
              <w:snapToGrid w:val="0"/>
              <w:spacing w:line="340" w:lineRule="exact"/>
              <w:jc w:val="center"/>
              <w:rPr>
                <w:rFonts w:hint="eastAsia" w:ascii="楷体" w:hAnsi="楷体" w:eastAsia="楷体" w:cs="宋体"/>
                <w:bCs/>
                <w:szCs w:val="21"/>
                <w:highlight w:val="none"/>
              </w:rPr>
            </w:pPr>
            <w:r>
              <w:rPr>
                <w:rFonts w:hint="eastAsia" w:ascii="楷体" w:hAnsi="楷体" w:eastAsia="楷体" w:cs="宋体"/>
                <w:bCs/>
                <w:szCs w:val="21"/>
                <w:highlight w:val="none"/>
              </w:rPr>
              <w:t>驻地建设标准化</w:t>
            </w:r>
          </w:p>
        </w:tc>
        <w:tc>
          <w:tcPr>
            <w:tcW w:w="3668" w:type="pct"/>
            <w:vAlign w:val="center"/>
          </w:tcPr>
          <w:p w14:paraId="358EEA73">
            <w:pPr>
              <w:adjustRightInd w:val="0"/>
              <w:snapToGrid w:val="0"/>
              <w:spacing w:line="340" w:lineRule="exact"/>
              <w:rPr>
                <w:rFonts w:hint="eastAsia" w:ascii="宋体" w:hAnsi="宋体" w:cs="宋体"/>
                <w:bCs/>
                <w:kern w:val="0"/>
                <w:szCs w:val="21"/>
                <w:highlight w:val="none"/>
              </w:rPr>
            </w:pPr>
            <w:r>
              <w:rPr>
                <w:rFonts w:hint="eastAsia" w:ascii="楷体" w:hAnsi="楷体" w:eastAsia="楷体"/>
                <w:bCs/>
                <w:color w:val="000000"/>
                <w:szCs w:val="21"/>
                <w:highlight w:val="none"/>
              </w:rPr>
              <w:t>驻地建设执行《吉林省普通干线公路重点养护工程驻地建设标准化指南》</w:t>
            </w:r>
          </w:p>
        </w:tc>
      </w:tr>
      <w:tr w14:paraId="6DF3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501" w:type="pct"/>
            <w:vAlign w:val="center"/>
          </w:tcPr>
          <w:p w14:paraId="5F62EB23">
            <w:pPr>
              <w:adjustRightInd w:val="0"/>
              <w:snapToGrid w:val="0"/>
              <w:spacing w:line="340" w:lineRule="exact"/>
              <w:jc w:val="center"/>
              <w:rPr>
                <w:rFonts w:hint="eastAsia" w:ascii="宋体" w:hAnsi="宋体" w:cs="宋体"/>
                <w:bCs/>
                <w:szCs w:val="21"/>
                <w:highlight w:val="none"/>
              </w:rPr>
            </w:pPr>
            <w:r>
              <w:rPr>
                <w:rFonts w:hint="eastAsia" w:ascii="宋体" w:hAnsi="宋体" w:cs="宋体"/>
                <w:bCs/>
                <w:szCs w:val="21"/>
                <w:highlight w:val="none"/>
              </w:rPr>
              <w:t>1</w:t>
            </w:r>
            <w:r>
              <w:rPr>
                <w:rFonts w:ascii="宋体" w:hAnsi="宋体" w:cs="宋体"/>
                <w:bCs/>
                <w:szCs w:val="21"/>
                <w:highlight w:val="none"/>
              </w:rPr>
              <w:t>0.</w:t>
            </w:r>
            <w:r>
              <w:rPr>
                <w:rFonts w:hint="eastAsia" w:ascii="宋体" w:hAnsi="宋体" w:cs="宋体"/>
                <w:bCs/>
                <w:szCs w:val="21"/>
                <w:highlight w:val="none"/>
              </w:rPr>
              <w:t>11</w:t>
            </w:r>
          </w:p>
        </w:tc>
        <w:tc>
          <w:tcPr>
            <w:tcW w:w="831" w:type="pct"/>
            <w:vAlign w:val="center"/>
          </w:tcPr>
          <w:p w14:paraId="70E38A6F">
            <w:pPr>
              <w:adjustRightInd w:val="0"/>
              <w:snapToGrid w:val="0"/>
              <w:spacing w:line="340" w:lineRule="exact"/>
              <w:jc w:val="center"/>
              <w:rPr>
                <w:rFonts w:hint="eastAsia" w:ascii="楷体" w:hAnsi="楷体" w:eastAsia="楷体" w:cs="宋体"/>
                <w:bCs/>
                <w:szCs w:val="21"/>
                <w:highlight w:val="none"/>
              </w:rPr>
            </w:pPr>
            <w:r>
              <w:rPr>
                <w:rFonts w:hint="eastAsia" w:ascii="楷体" w:hAnsi="楷体" w:eastAsia="楷体" w:cs="宋体"/>
                <w:bCs/>
                <w:szCs w:val="21"/>
                <w:highlight w:val="none"/>
              </w:rPr>
              <w:t>其他</w:t>
            </w:r>
          </w:p>
        </w:tc>
        <w:tc>
          <w:tcPr>
            <w:tcW w:w="3668" w:type="pct"/>
            <w:vAlign w:val="center"/>
          </w:tcPr>
          <w:p w14:paraId="6442B3AA">
            <w:pPr>
              <w:adjustRightInd w:val="0"/>
              <w:snapToGrid w:val="0"/>
              <w:spacing w:line="340" w:lineRule="exact"/>
              <w:rPr>
                <w:rFonts w:hint="eastAsia" w:ascii="楷体" w:hAnsi="楷体" w:eastAsia="楷体"/>
                <w:bCs/>
                <w:color w:val="000000"/>
                <w:szCs w:val="21"/>
                <w:highlight w:val="none"/>
              </w:rPr>
            </w:pPr>
            <w:r>
              <w:rPr>
                <w:rFonts w:hint="eastAsia" w:ascii="楷体" w:hAnsi="楷体" w:eastAsia="楷体"/>
                <w:bCs/>
                <w:color w:val="000000"/>
                <w:szCs w:val="21"/>
                <w:highlight w:val="none"/>
              </w:rPr>
              <w:t>本文件中的“全国公路建设市场信用信息管理系统”均应为“全国公路建设市场监督管理系统”。</w:t>
            </w:r>
          </w:p>
        </w:tc>
      </w:tr>
      <w:bookmarkEnd w:id="67"/>
    </w:tbl>
    <w:p w14:paraId="3F82E9D2">
      <w:pPr>
        <w:widowControl/>
        <w:adjustRightInd w:val="0"/>
        <w:jc w:val="left"/>
        <w:rPr>
          <w:rFonts w:ascii="Times New Roman" w:hAnsi="Times New Roman"/>
          <w:bCs/>
          <w:highlight w:val="none"/>
        </w:rPr>
      </w:pPr>
      <w:bookmarkStart w:id="70" w:name="_Toc436994103"/>
      <w:bookmarkStart w:id="71" w:name="_Toc197960494"/>
      <w:bookmarkStart w:id="72" w:name="_Toc197967267"/>
      <w:bookmarkStart w:id="73" w:name="_Toc197950683"/>
      <w:bookmarkStart w:id="74" w:name="_Toc197965598"/>
      <w:bookmarkStart w:id="75" w:name="_Toc197967119"/>
      <w:bookmarkStart w:id="76" w:name="_Toc197950804"/>
      <w:bookmarkStart w:id="77" w:name="_Toc197960546"/>
      <w:bookmarkStart w:id="78" w:name="_Toc197951589"/>
      <w:r>
        <w:rPr>
          <w:rFonts w:ascii="Times New Roman" w:hAnsi="Times New Roman"/>
          <w:bCs/>
          <w:highlight w:val="none"/>
        </w:rPr>
        <w:br w:type="page"/>
      </w:r>
    </w:p>
    <w:p w14:paraId="1C50FF4C">
      <w:pPr>
        <w:pStyle w:val="5"/>
        <w:adjustRightInd w:val="0"/>
        <w:snapToGrid w:val="0"/>
        <w:spacing w:beforeLines="50" w:after="0"/>
        <w:ind w:firstLine="280" w:firstLineChars="100"/>
        <w:jc w:val="center"/>
        <w:rPr>
          <w:rFonts w:hint="eastAsia" w:ascii="黑体" w:hAnsi="黑体"/>
          <w:sz w:val="28"/>
          <w:highlight w:val="none"/>
          <w:lang w:val="zh-CN"/>
        </w:rPr>
      </w:pPr>
      <w:r>
        <w:rPr>
          <w:rFonts w:hint="eastAsia" w:ascii="黑体" w:hAnsi="黑体"/>
          <w:sz w:val="28"/>
          <w:highlight w:val="none"/>
          <w:lang w:val="zh-CN"/>
        </w:rPr>
        <w:t>附录1资格审查条件（资质最低要求）</w:t>
      </w:r>
    </w:p>
    <w:p w14:paraId="57601C11">
      <w:pPr>
        <w:rPr>
          <w:bCs/>
          <w:highlight w:val="none"/>
          <w:lang w:val="zh-CN"/>
        </w:rPr>
      </w:pPr>
    </w:p>
    <w:tbl>
      <w:tblPr>
        <w:tblStyle w:val="55"/>
        <w:tblW w:w="494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49"/>
      </w:tblGrid>
      <w:tr w14:paraId="52740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4" w:hRule="atLeast"/>
        </w:trPr>
        <w:tc>
          <w:tcPr>
            <w:tcW w:w="5000" w:type="pct"/>
            <w:vAlign w:val="center"/>
          </w:tcPr>
          <w:p w14:paraId="6A5ED090">
            <w:pPr>
              <w:adjustRightInd w:val="0"/>
              <w:snapToGrid w:val="0"/>
              <w:spacing w:before="120" w:beforeLines="50"/>
              <w:jc w:val="center"/>
              <w:rPr>
                <w:rFonts w:hint="eastAsia" w:ascii="宋体" w:hAnsi="宋体"/>
                <w:bCs/>
                <w:color w:val="000000"/>
                <w:szCs w:val="21"/>
                <w:highlight w:val="none"/>
              </w:rPr>
            </w:pPr>
            <w:r>
              <w:rPr>
                <w:rFonts w:hint="eastAsia" w:ascii="宋体" w:hAnsi="宋体"/>
                <w:bCs/>
                <w:color w:val="000000"/>
                <w:szCs w:val="21"/>
                <w:highlight w:val="none"/>
              </w:rPr>
              <w:t>施工企业资质等级要求</w:t>
            </w:r>
          </w:p>
        </w:tc>
      </w:tr>
      <w:tr w14:paraId="30F80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5000" w:type="pct"/>
            <w:vAlign w:val="center"/>
          </w:tcPr>
          <w:p w14:paraId="3F033CD1">
            <w:pPr>
              <w:rPr>
                <w:rFonts w:hint="eastAsia" w:ascii="宋体" w:hAnsi="宋体"/>
                <w:bCs/>
                <w:highlight w:val="none"/>
              </w:rPr>
            </w:pPr>
            <w:r>
              <w:rPr>
                <w:rFonts w:hint="eastAsia" w:ascii="宋体" w:hAnsi="宋体"/>
                <w:bCs/>
                <w:highlight w:val="none"/>
              </w:rPr>
              <w:t>投标人须同时具备</w:t>
            </w:r>
            <w:r>
              <w:rPr>
                <w:rFonts w:hint="eastAsia" w:ascii="宋体" w:hAnsi="宋体"/>
                <w:bCs/>
                <w:szCs w:val="21"/>
                <w:highlight w:val="none"/>
              </w:rPr>
              <w:t>交通运输主管部门颁发的</w:t>
            </w:r>
            <w:r>
              <w:rPr>
                <w:rFonts w:hint="eastAsia" w:ascii="宋体" w:hAnsi="宋体"/>
                <w:bCs/>
                <w:highlight w:val="none"/>
              </w:rPr>
              <w:t>以下资质：</w:t>
            </w:r>
          </w:p>
          <w:p w14:paraId="5AFEAF11">
            <w:pPr>
              <w:adjustRightInd w:val="0"/>
              <w:snapToGrid w:val="0"/>
              <w:spacing w:line="400" w:lineRule="exact"/>
              <w:ind w:firstLine="420" w:firstLineChars="200"/>
              <w:rPr>
                <w:rFonts w:hint="eastAsia" w:ascii="宋体" w:hAnsi="宋体"/>
                <w:bCs/>
                <w:szCs w:val="21"/>
                <w:highlight w:val="none"/>
              </w:rPr>
            </w:pPr>
            <w:r>
              <w:rPr>
                <w:rFonts w:hint="eastAsia" w:ascii="黑体" w:hAnsi="黑体" w:eastAsia="黑体"/>
                <w:bCs/>
                <w:szCs w:val="21"/>
                <w:highlight w:val="none"/>
              </w:rPr>
              <w:t>YB25YH01标段：</w:t>
            </w:r>
            <w:r>
              <w:rPr>
                <w:rFonts w:hint="eastAsia" w:ascii="宋体" w:hAnsi="宋体"/>
                <w:bCs/>
                <w:szCs w:val="21"/>
                <w:highlight w:val="none"/>
              </w:rPr>
              <w:t>路基路面养护乙级（或甲级）资质及桥梁养护乙级（或甲级）资质。</w:t>
            </w:r>
          </w:p>
          <w:p w14:paraId="40FEA5ED">
            <w:pPr>
              <w:adjustRightInd w:val="0"/>
              <w:snapToGrid w:val="0"/>
              <w:spacing w:line="400" w:lineRule="exact"/>
              <w:ind w:firstLine="420" w:firstLineChars="200"/>
              <w:rPr>
                <w:rFonts w:hint="eastAsia" w:ascii="宋体" w:hAnsi="宋体"/>
                <w:bCs/>
                <w:szCs w:val="21"/>
                <w:highlight w:val="none"/>
              </w:rPr>
            </w:pPr>
            <w:r>
              <w:rPr>
                <w:rFonts w:hint="eastAsia" w:ascii="黑体" w:hAnsi="黑体" w:eastAsia="黑体"/>
                <w:bCs/>
                <w:szCs w:val="21"/>
                <w:highlight w:val="none"/>
              </w:rPr>
              <w:t>YB25YH02标段：</w:t>
            </w:r>
            <w:r>
              <w:rPr>
                <w:rFonts w:hint="eastAsia" w:ascii="宋体" w:hAnsi="宋体"/>
                <w:bCs/>
                <w:szCs w:val="21"/>
                <w:highlight w:val="none"/>
              </w:rPr>
              <w:t>路基路面养护乙级（或甲级）资质及桥梁养护乙级（或甲级）资质。</w:t>
            </w:r>
          </w:p>
          <w:p w14:paraId="4884FD59">
            <w:pPr>
              <w:adjustRightInd w:val="0"/>
              <w:snapToGrid w:val="0"/>
              <w:spacing w:line="400" w:lineRule="exact"/>
              <w:ind w:firstLine="420" w:firstLineChars="200"/>
              <w:rPr>
                <w:rFonts w:hint="eastAsia" w:ascii="宋体" w:hAnsi="宋体"/>
                <w:bCs/>
                <w:szCs w:val="21"/>
                <w:highlight w:val="none"/>
              </w:rPr>
            </w:pPr>
            <w:r>
              <w:rPr>
                <w:rFonts w:hint="eastAsia" w:ascii="黑体" w:hAnsi="黑体" w:eastAsia="黑体"/>
                <w:bCs/>
                <w:szCs w:val="21"/>
                <w:highlight w:val="none"/>
              </w:rPr>
              <w:t>YB25JT01标段：</w:t>
            </w:r>
            <w:r>
              <w:rPr>
                <w:rFonts w:hint="eastAsia" w:ascii="宋体" w:hAnsi="宋体"/>
                <w:szCs w:val="21"/>
                <w:highlight w:val="none"/>
              </w:rPr>
              <w:t>交通安全设施养护资质（可以承担二级及以下公路交通安全设施的各类养护工程）或交通安全设施养护资质（可以承担各等级公路交通安全设施的各类养护工程）。</w:t>
            </w:r>
          </w:p>
        </w:tc>
      </w:tr>
    </w:tbl>
    <w:p w14:paraId="0A5D0E6B">
      <w:pPr>
        <w:pStyle w:val="5"/>
        <w:adjustRightInd w:val="0"/>
        <w:snapToGrid w:val="0"/>
        <w:spacing w:beforeLines="50" w:after="0"/>
        <w:ind w:firstLine="280" w:firstLineChars="100"/>
        <w:jc w:val="center"/>
        <w:rPr>
          <w:rFonts w:hint="eastAsia" w:ascii="黑体" w:hAnsi="黑体"/>
          <w:sz w:val="28"/>
          <w:highlight w:val="none"/>
          <w:lang w:val="zh-CN"/>
        </w:rPr>
      </w:pPr>
    </w:p>
    <w:p w14:paraId="36C5775C">
      <w:pPr>
        <w:pStyle w:val="5"/>
        <w:adjustRightInd w:val="0"/>
        <w:snapToGrid w:val="0"/>
        <w:spacing w:beforeLines="50" w:after="0"/>
        <w:ind w:firstLine="280" w:firstLineChars="100"/>
        <w:jc w:val="center"/>
        <w:rPr>
          <w:rFonts w:hint="eastAsia" w:ascii="黑体" w:hAnsi="黑体"/>
          <w:sz w:val="28"/>
          <w:highlight w:val="none"/>
          <w:lang w:val="zh-CN"/>
        </w:rPr>
      </w:pPr>
      <w:r>
        <w:rPr>
          <w:rFonts w:hint="eastAsia" w:ascii="黑体" w:hAnsi="黑体"/>
          <w:sz w:val="28"/>
          <w:highlight w:val="none"/>
          <w:lang w:val="zh-CN"/>
        </w:rPr>
        <w:t>附录2资格审查条件（财务最低要求）</w:t>
      </w:r>
    </w:p>
    <w:tbl>
      <w:tblPr>
        <w:tblStyle w:val="55"/>
        <w:tblW w:w="494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49"/>
      </w:tblGrid>
      <w:tr w14:paraId="78044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7" w:hRule="atLeast"/>
        </w:trPr>
        <w:tc>
          <w:tcPr>
            <w:tcW w:w="5000" w:type="pct"/>
            <w:vAlign w:val="center"/>
          </w:tcPr>
          <w:p w14:paraId="5080CB4E">
            <w:pPr>
              <w:adjustRightInd w:val="0"/>
              <w:snapToGrid w:val="0"/>
              <w:spacing w:before="120" w:beforeLines="50"/>
              <w:jc w:val="center"/>
              <w:rPr>
                <w:rFonts w:hint="eastAsia" w:ascii="宋体" w:hAnsi="宋体"/>
                <w:bCs/>
                <w:color w:val="000000"/>
                <w:szCs w:val="21"/>
                <w:highlight w:val="none"/>
              </w:rPr>
            </w:pPr>
            <w:r>
              <w:rPr>
                <w:rFonts w:hint="eastAsia" w:ascii="宋体" w:hAnsi="宋体"/>
                <w:bCs/>
                <w:color w:val="000000"/>
                <w:szCs w:val="21"/>
                <w:highlight w:val="none"/>
              </w:rPr>
              <w:t>财务要求</w:t>
            </w:r>
          </w:p>
        </w:tc>
      </w:tr>
      <w:tr w14:paraId="2923A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000" w:type="pct"/>
            <w:vAlign w:val="center"/>
          </w:tcPr>
          <w:p w14:paraId="5680E024">
            <w:pPr>
              <w:pStyle w:val="17"/>
              <w:adjustRightInd w:val="0"/>
              <w:snapToGrid w:val="0"/>
              <w:spacing w:before="120" w:beforeLines="50" w:line="340" w:lineRule="exact"/>
              <w:ind w:firstLine="420" w:firstLineChars="200"/>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投标人（包括联合体各方）近三年（2022年～投标截止时间）应当具有良好的商业信誉和健全的财务会计制度。</w:t>
            </w:r>
          </w:p>
        </w:tc>
      </w:tr>
    </w:tbl>
    <w:p w14:paraId="4B146374">
      <w:pPr>
        <w:pStyle w:val="5"/>
        <w:adjustRightInd w:val="0"/>
        <w:snapToGrid w:val="0"/>
        <w:spacing w:beforeLines="50" w:after="0"/>
        <w:ind w:firstLine="280" w:firstLineChars="100"/>
        <w:jc w:val="center"/>
        <w:rPr>
          <w:rFonts w:hint="eastAsia" w:ascii="黑体" w:hAnsi="黑体"/>
          <w:sz w:val="28"/>
          <w:highlight w:val="none"/>
          <w:lang w:val="zh-CN"/>
        </w:rPr>
      </w:pPr>
    </w:p>
    <w:p w14:paraId="57E1E00A">
      <w:pPr>
        <w:pStyle w:val="5"/>
        <w:adjustRightInd w:val="0"/>
        <w:snapToGrid w:val="0"/>
        <w:spacing w:beforeLines="50" w:after="0"/>
        <w:ind w:firstLine="280" w:firstLineChars="100"/>
        <w:jc w:val="center"/>
        <w:rPr>
          <w:rFonts w:hint="eastAsia" w:ascii="黑体" w:hAnsi="黑体"/>
          <w:sz w:val="28"/>
          <w:highlight w:val="none"/>
          <w:lang w:val="zh-CN"/>
        </w:rPr>
      </w:pPr>
      <w:r>
        <w:rPr>
          <w:rFonts w:hint="eastAsia" w:ascii="黑体" w:hAnsi="黑体"/>
          <w:sz w:val="28"/>
          <w:highlight w:val="none"/>
          <w:lang w:val="zh-CN"/>
        </w:rPr>
        <w:t>附录3资格审查条件（业绩最低要求）</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764C4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5" w:hRule="atLeast"/>
          <w:jc w:val="center"/>
        </w:trPr>
        <w:tc>
          <w:tcPr>
            <w:tcW w:w="5000" w:type="pct"/>
            <w:vAlign w:val="center"/>
          </w:tcPr>
          <w:p w14:paraId="0F5CCDB5">
            <w:pPr>
              <w:adjustRightInd w:val="0"/>
              <w:snapToGrid w:val="0"/>
              <w:spacing w:before="120" w:beforeLines="50"/>
              <w:jc w:val="center"/>
              <w:rPr>
                <w:rFonts w:hint="eastAsia" w:ascii="楷体" w:hAnsi="楷体" w:eastAsia="楷体_GB2312"/>
                <w:bCs/>
                <w:color w:val="000000"/>
                <w:szCs w:val="21"/>
                <w:highlight w:val="none"/>
              </w:rPr>
            </w:pPr>
            <w:r>
              <w:rPr>
                <w:rFonts w:hint="eastAsia" w:ascii="宋体" w:hAnsi="宋体"/>
                <w:bCs/>
                <w:color w:val="000000"/>
                <w:szCs w:val="21"/>
                <w:highlight w:val="none"/>
              </w:rPr>
              <w:t>业绩要求</w:t>
            </w:r>
          </w:p>
        </w:tc>
      </w:tr>
      <w:tr w14:paraId="191AF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000" w:type="pct"/>
            <w:vAlign w:val="center"/>
          </w:tcPr>
          <w:p w14:paraId="671B305B">
            <w:pPr>
              <w:adjustRightInd w:val="0"/>
              <w:snapToGrid w:val="0"/>
              <w:spacing w:before="120" w:beforeLines="50" w:after="120" w:afterLines="50"/>
              <w:ind w:firstLine="420" w:firstLineChars="200"/>
              <w:rPr>
                <w:rFonts w:hint="eastAsia" w:ascii="楷体" w:hAnsi="楷体" w:eastAsia="楷体" w:cs="宋体"/>
                <w:bCs/>
                <w:color w:val="000000"/>
                <w:kern w:val="0"/>
                <w:szCs w:val="21"/>
                <w:highlight w:val="none"/>
              </w:rPr>
            </w:pPr>
            <w:r>
              <w:rPr>
                <w:rFonts w:hint="eastAsia" w:ascii="宋体" w:hAnsi="宋体" w:eastAsia="楷体"/>
                <w:bCs/>
                <w:szCs w:val="21"/>
                <w:highlight w:val="none"/>
              </w:rPr>
              <w:t>/</w:t>
            </w:r>
          </w:p>
        </w:tc>
      </w:tr>
    </w:tbl>
    <w:p w14:paraId="28A5D910">
      <w:pPr>
        <w:pStyle w:val="5"/>
        <w:adjustRightInd w:val="0"/>
        <w:snapToGrid w:val="0"/>
        <w:spacing w:beforeLines="50" w:after="0"/>
        <w:ind w:firstLine="280" w:firstLineChars="100"/>
        <w:jc w:val="center"/>
        <w:rPr>
          <w:rFonts w:hint="eastAsia" w:ascii="黑体" w:hAnsi="黑体"/>
          <w:sz w:val="28"/>
          <w:highlight w:val="none"/>
          <w:lang w:val="zh-CN"/>
        </w:rPr>
      </w:pPr>
      <w:r>
        <w:rPr>
          <w:rFonts w:ascii="黑体" w:hAnsi="黑体"/>
          <w:sz w:val="28"/>
          <w:highlight w:val="none"/>
          <w:lang w:val="zh-CN"/>
        </w:rPr>
        <w:br w:type="page"/>
      </w:r>
    </w:p>
    <w:p w14:paraId="3AED6EFC">
      <w:pPr>
        <w:pStyle w:val="5"/>
        <w:adjustRightInd w:val="0"/>
        <w:snapToGrid w:val="0"/>
        <w:spacing w:beforeLines="50" w:after="0"/>
        <w:ind w:firstLine="280" w:firstLineChars="100"/>
        <w:jc w:val="center"/>
        <w:rPr>
          <w:rFonts w:hint="eastAsia" w:ascii="黑体" w:hAnsi="黑体"/>
          <w:sz w:val="28"/>
          <w:highlight w:val="none"/>
          <w:lang w:val="zh-CN"/>
        </w:rPr>
      </w:pPr>
      <w:r>
        <w:rPr>
          <w:rFonts w:hint="eastAsia" w:ascii="黑体" w:hAnsi="黑体"/>
          <w:sz w:val="28"/>
          <w:highlight w:val="none"/>
          <w:lang w:val="zh-CN"/>
        </w:rPr>
        <w:t>附录4资格审查条件（信誉最低要求）</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1D9F6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trPr>
        <w:tc>
          <w:tcPr>
            <w:tcW w:w="5000" w:type="pct"/>
            <w:vAlign w:val="center"/>
          </w:tcPr>
          <w:p w14:paraId="41C780A7">
            <w:pPr>
              <w:adjustRightInd w:val="0"/>
              <w:snapToGrid w:val="0"/>
              <w:spacing w:before="120" w:beforeLines="50"/>
              <w:jc w:val="center"/>
              <w:rPr>
                <w:rFonts w:hint="eastAsia" w:ascii="宋体" w:hAnsi="宋体"/>
                <w:bCs/>
                <w:color w:val="000000"/>
                <w:szCs w:val="21"/>
                <w:highlight w:val="none"/>
              </w:rPr>
            </w:pPr>
            <w:r>
              <w:rPr>
                <w:rFonts w:hint="eastAsia" w:ascii="宋体" w:hAnsi="宋体"/>
                <w:bCs/>
                <w:color w:val="000000"/>
                <w:szCs w:val="21"/>
                <w:highlight w:val="none"/>
              </w:rPr>
              <w:t>信誉要求</w:t>
            </w:r>
          </w:p>
        </w:tc>
      </w:tr>
      <w:tr w14:paraId="704B2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00" w:type="pct"/>
            <w:vAlign w:val="center"/>
          </w:tcPr>
          <w:p w14:paraId="0870F3F1">
            <w:pPr>
              <w:adjustRightInd w:val="0"/>
              <w:snapToGrid w:val="0"/>
              <w:spacing w:before="120" w:beforeLines="50" w:line="340" w:lineRule="exact"/>
              <w:ind w:firstLine="420" w:firstLineChars="200"/>
              <w:rPr>
                <w:rFonts w:hint="eastAsia" w:ascii="宋体" w:hAnsi="宋体"/>
                <w:bCs/>
                <w:szCs w:val="21"/>
                <w:highlight w:val="none"/>
              </w:rPr>
            </w:pPr>
            <w:r>
              <w:rPr>
                <w:rFonts w:hint="eastAsia" w:ascii="宋体" w:hAnsi="宋体" w:cs="宋体"/>
                <w:bCs/>
                <w:kern w:val="0"/>
                <w:szCs w:val="21"/>
                <w:highlight w:val="none"/>
              </w:rPr>
              <w:t>投标人不是按《吉林省普通国省干线公路养护工程设计、施工企业信用评价实施细则（试行）》（吉公养管〔2017〕242号）规定招标人应拒绝其投标的企业。</w:t>
            </w:r>
          </w:p>
        </w:tc>
      </w:tr>
      <w:bookmarkEnd w:id="70"/>
    </w:tbl>
    <w:p w14:paraId="484AC406">
      <w:pPr>
        <w:pStyle w:val="5"/>
        <w:adjustRightInd w:val="0"/>
        <w:snapToGrid w:val="0"/>
        <w:spacing w:beforeLines="50" w:after="0"/>
        <w:ind w:firstLine="280" w:firstLineChars="100"/>
        <w:jc w:val="center"/>
        <w:rPr>
          <w:rFonts w:hint="eastAsia" w:ascii="黑体" w:hAnsi="黑体"/>
          <w:sz w:val="28"/>
          <w:highlight w:val="none"/>
          <w:lang w:val="zh-CN"/>
        </w:rPr>
      </w:pPr>
      <w:bookmarkStart w:id="79" w:name="_Hlk175945233"/>
    </w:p>
    <w:p w14:paraId="4DA717D0">
      <w:pPr>
        <w:pStyle w:val="5"/>
        <w:adjustRightInd w:val="0"/>
        <w:snapToGrid w:val="0"/>
        <w:spacing w:beforeLines="50" w:after="0"/>
        <w:ind w:firstLine="280" w:firstLineChars="100"/>
        <w:jc w:val="center"/>
        <w:rPr>
          <w:rFonts w:hint="eastAsia" w:ascii="黑体" w:hAnsi="黑体"/>
          <w:sz w:val="28"/>
          <w:highlight w:val="none"/>
          <w:lang w:val="zh-CN"/>
        </w:rPr>
      </w:pPr>
      <w:r>
        <w:rPr>
          <w:rFonts w:hint="eastAsia" w:ascii="黑体" w:hAnsi="黑体"/>
          <w:sz w:val="28"/>
          <w:highlight w:val="none"/>
          <w:lang w:val="zh-CN"/>
        </w:rPr>
        <w:t>附录5资格审查条件（项目经理最低要求）</w:t>
      </w:r>
    </w:p>
    <w:p w14:paraId="7EBD8FF6">
      <w:pPr>
        <w:rPr>
          <w:highlight w:val="none"/>
          <w:lang w:val="zh-CN"/>
        </w:rPr>
      </w:pPr>
      <w:r>
        <w:rPr>
          <w:rFonts w:hint="eastAsia" w:ascii="黑体" w:hAnsi="黑体" w:eastAsia="黑体"/>
          <w:bCs/>
          <w:szCs w:val="21"/>
          <w:highlight w:val="none"/>
        </w:rPr>
        <w:t>YB25YH01标段：</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7"/>
        <w:gridCol w:w="903"/>
        <w:gridCol w:w="8085"/>
      </w:tblGrid>
      <w:tr w14:paraId="35D56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40" w:type="pct"/>
            <w:vAlign w:val="center"/>
          </w:tcPr>
          <w:p w14:paraId="627F040C">
            <w:pPr>
              <w:jc w:val="center"/>
              <w:rPr>
                <w:bCs/>
                <w:highlight w:val="none"/>
              </w:rPr>
            </w:pPr>
            <w:r>
              <w:rPr>
                <w:rFonts w:hint="eastAsia"/>
                <w:bCs/>
                <w:highlight w:val="none"/>
              </w:rPr>
              <w:t>人员</w:t>
            </w:r>
          </w:p>
        </w:tc>
        <w:tc>
          <w:tcPr>
            <w:tcW w:w="458" w:type="pct"/>
            <w:vAlign w:val="center"/>
          </w:tcPr>
          <w:p w14:paraId="11CD7A93">
            <w:pPr>
              <w:jc w:val="center"/>
              <w:rPr>
                <w:bCs/>
                <w:highlight w:val="none"/>
              </w:rPr>
            </w:pPr>
            <w:r>
              <w:rPr>
                <w:rFonts w:hint="eastAsia"/>
                <w:bCs/>
                <w:highlight w:val="none"/>
              </w:rPr>
              <w:t>数量</w:t>
            </w:r>
          </w:p>
        </w:tc>
        <w:tc>
          <w:tcPr>
            <w:tcW w:w="4102" w:type="pct"/>
            <w:vAlign w:val="center"/>
          </w:tcPr>
          <w:p w14:paraId="3DCB284A">
            <w:pPr>
              <w:jc w:val="center"/>
              <w:rPr>
                <w:bCs/>
                <w:highlight w:val="none"/>
              </w:rPr>
            </w:pPr>
            <w:r>
              <w:rPr>
                <w:rFonts w:hint="eastAsia"/>
                <w:bCs/>
                <w:highlight w:val="none"/>
              </w:rPr>
              <w:t>项目经理资格最低要求</w:t>
            </w:r>
          </w:p>
        </w:tc>
      </w:tr>
      <w:tr w14:paraId="201B2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1" w:hRule="atLeast"/>
        </w:trPr>
        <w:tc>
          <w:tcPr>
            <w:tcW w:w="440" w:type="pct"/>
            <w:vAlign w:val="center"/>
          </w:tcPr>
          <w:p w14:paraId="56D901A8">
            <w:pPr>
              <w:jc w:val="center"/>
              <w:rPr>
                <w:bCs/>
                <w:highlight w:val="none"/>
              </w:rPr>
            </w:pPr>
            <w:r>
              <w:rPr>
                <w:rFonts w:hint="eastAsia"/>
                <w:bCs/>
                <w:highlight w:val="none"/>
              </w:rPr>
              <w:t>项目</w:t>
            </w:r>
          </w:p>
          <w:p w14:paraId="5E217926">
            <w:pPr>
              <w:jc w:val="center"/>
              <w:rPr>
                <w:bCs/>
                <w:highlight w:val="none"/>
              </w:rPr>
            </w:pPr>
            <w:r>
              <w:rPr>
                <w:rFonts w:hint="eastAsia"/>
                <w:bCs/>
                <w:highlight w:val="none"/>
              </w:rPr>
              <w:t>经理</w:t>
            </w:r>
          </w:p>
        </w:tc>
        <w:tc>
          <w:tcPr>
            <w:tcW w:w="458" w:type="pct"/>
            <w:vAlign w:val="center"/>
          </w:tcPr>
          <w:p w14:paraId="543329DD">
            <w:pPr>
              <w:spacing w:line="320" w:lineRule="exact"/>
              <w:jc w:val="center"/>
              <w:rPr>
                <w:rFonts w:hint="eastAsia" w:ascii="宋体" w:hAnsi="宋体"/>
                <w:bCs/>
                <w:highlight w:val="none"/>
              </w:rPr>
            </w:pPr>
            <w:r>
              <w:rPr>
                <w:rFonts w:hint="eastAsia" w:ascii="宋体" w:hAnsi="宋体"/>
                <w:bCs/>
                <w:highlight w:val="none"/>
              </w:rPr>
              <w:t>1人</w:t>
            </w:r>
          </w:p>
        </w:tc>
        <w:tc>
          <w:tcPr>
            <w:tcW w:w="4102" w:type="pct"/>
            <w:vAlign w:val="center"/>
          </w:tcPr>
          <w:p w14:paraId="45318EF4">
            <w:pPr>
              <w:spacing w:line="320" w:lineRule="exact"/>
              <w:rPr>
                <w:rFonts w:hint="eastAsia" w:ascii="宋体" w:hAnsi="宋体"/>
                <w:bCs/>
                <w:highlight w:val="none"/>
              </w:rPr>
            </w:pPr>
            <w:bookmarkStart w:id="80" w:name="_Hlk186123697"/>
            <w:r>
              <w:rPr>
                <w:rFonts w:hint="eastAsia" w:ascii="宋体" w:hAnsi="宋体"/>
                <w:bCs/>
                <w:highlight w:val="none"/>
              </w:rPr>
              <w:t>（1）投标人自有人员</w:t>
            </w:r>
            <w:r>
              <w:rPr>
                <w:rFonts w:hint="eastAsia" w:ascii="宋体" w:hAnsi="宋体"/>
                <w:bCs/>
                <w:color w:val="000000"/>
                <w:szCs w:val="21"/>
                <w:highlight w:val="none"/>
              </w:rPr>
              <w:t>（以联合体形式参与投标的，则为联合体牵头人自有人员）；</w:t>
            </w:r>
          </w:p>
          <w:p w14:paraId="3050608B">
            <w:pPr>
              <w:spacing w:line="320" w:lineRule="exact"/>
              <w:rPr>
                <w:rFonts w:hint="eastAsia" w:ascii="宋体" w:hAnsi="宋体"/>
                <w:bCs/>
                <w:highlight w:val="none"/>
              </w:rPr>
            </w:pPr>
            <w:r>
              <w:rPr>
                <w:rFonts w:hint="eastAsia" w:ascii="宋体" w:hAnsi="宋体"/>
                <w:bCs/>
                <w:highlight w:val="none"/>
              </w:rPr>
              <w:t>（2）具有建设行政主管部门颁发的</w:t>
            </w:r>
            <w:r>
              <w:rPr>
                <w:rFonts w:hint="eastAsia" w:ascii="黑体" w:hAnsi="黑体" w:eastAsia="黑体"/>
                <w:bCs/>
                <w:highlight w:val="none"/>
              </w:rPr>
              <w:t>“公路工程”专业《一级建造师注册证书》</w:t>
            </w:r>
            <w:r>
              <w:rPr>
                <w:rFonts w:hint="eastAsia" w:ascii="宋体" w:hAnsi="宋体"/>
                <w:bCs/>
                <w:highlight w:val="none"/>
              </w:rPr>
              <w:t>，且现注册单位为投标人；</w:t>
            </w:r>
          </w:p>
          <w:p w14:paraId="16947D8E">
            <w:pPr>
              <w:spacing w:line="320" w:lineRule="exact"/>
              <w:rPr>
                <w:rFonts w:hint="eastAsia" w:ascii="宋体" w:hAnsi="宋体"/>
                <w:bCs/>
                <w:highlight w:val="none"/>
              </w:rPr>
            </w:pPr>
            <w:r>
              <w:rPr>
                <w:rFonts w:hint="eastAsia" w:ascii="宋体" w:hAnsi="宋体"/>
                <w:bCs/>
                <w:highlight w:val="none"/>
              </w:rPr>
              <w:t>（3）</w:t>
            </w:r>
            <w:r>
              <w:rPr>
                <w:rFonts w:ascii="宋体" w:hAnsi="宋体"/>
                <w:bCs/>
                <w:highlight w:val="none"/>
              </w:rPr>
              <w:t>具有</w:t>
            </w:r>
            <w:r>
              <w:rPr>
                <w:rFonts w:hint="eastAsia" w:ascii="宋体" w:hAnsi="宋体"/>
                <w:bCs/>
                <w:highlight w:val="none"/>
              </w:rPr>
              <w:t>交通运输主管部门</w:t>
            </w:r>
            <w:r>
              <w:rPr>
                <w:rFonts w:ascii="宋体" w:hAnsi="宋体"/>
                <w:bCs/>
                <w:highlight w:val="none"/>
              </w:rPr>
              <w:t>颁发的有效的</w:t>
            </w:r>
            <w:r>
              <w:rPr>
                <w:rFonts w:hint="eastAsia" w:ascii="宋体" w:hAnsi="宋体"/>
                <w:bCs/>
                <w:highlight w:val="none"/>
              </w:rPr>
              <w:t>B类</w:t>
            </w:r>
            <w:r>
              <w:rPr>
                <w:rFonts w:ascii="宋体" w:hAnsi="宋体"/>
                <w:bCs/>
                <w:highlight w:val="none"/>
              </w:rPr>
              <w:t>安全生产考核合格证书</w:t>
            </w:r>
            <w:r>
              <w:rPr>
                <w:rFonts w:hint="eastAsia" w:ascii="宋体" w:hAnsi="宋体"/>
                <w:bCs/>
                <w:highlight w:val="none"/>
              </w:rPr>
              <w:t>；</w:t>
            </w:r>
          </w:p>
          <w:bookmarkEnd w:id="80"/>
          <w:p w14:paraId="59A167E2">
            <w:pPr>
              <w:spacing w:line="320" w:lineRule="exact"/>
              <w:rPr>
                <w:bCs/>
                <w:highlight w:val="none"/>
              </w:rPr>
            </w:pPr>
            <w:r>
              <w:rPr>
                <w:rFonts w:hint="eastAsia" w:ascii="宋体" w:hAnsi="宋体"/>
                <w:bCs/>
                <w:highlight w:val="none"/>
              </w:rPr>
              <w:t>（4）无在岗项目(指目前未在其他项目上任职，或虽在其他项目上任职但本项目中标后能够从该项目撤离)。</w:t>
            </w:r>
          </w:p>
        </w:tc>
      </w:tr>
    </w:tbl>
    <w:p w14:paraId="02A667D2">
      <w:pPr>
        <w:spacing w:line="300" w:lineRule="exact"/>
        <w:rPr>
          <w:bCs/>
          <w:highlight w:val="none"/>
        </w:rPr>
      </w:pPr>
    </w:p>
    <w:p w14:paraId="3D14A755">
      <w:pPr>
        <w:rPr>
          <w:highlight w:val="none"/>
          <w:lang w:val="zh-CN"/>
        </w:rPr>
      </w:pPr>
      <w:r>
        <w:rPr>
          <w:rFonts w:hint="eastAsia" w:ascii="黑体" w:hAnsi="黑体" w:eastAsia="黑体"/>
          <w:bCs/>
          <w:szCs w:val="21"/>
          <w:highlight w:val="none"/>
        </w:rPr>
        <w:t>YB25YH02标段、YB25JT01标段：</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7"/>
        <w:gridCol w:w="903"/>
        <w:gridCol w:w="8085"/>
      </w:tblGrid>
      <w:tr w14:paraId="0D887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40" w:type="pct"/>
            <w:vAlign w:val="center"/>
          </w:tcPr>
          <w:p w14:paraId="5C6431FB">
            <w:pPr>
              <w:jc w:val="center"/>
              <w:rPr>
                <w:bCs/>
                <w:highlight w:val="none"/>
              </w:rPr>
            </w:pPr>
            <w:r>
              <w:rPr>
                <w:rFonts w:hint="eastAsia"/>
                <w:bCs/>
                <w:highlight w:val="none"/>
              </w:rPr>
              <w:t>人员</w:t>
            </w:r>
          </w:p>
        </w:tc>
        <w:tc>
          <w:tcPr>
            <w:tcW w:w="458" w:type="pct"/>
            <w:vAlign w:val="center"/>
          </w:tcPr>
          <w:p w14:paraId="0ADE5CAD">
            <w:pPr>
              <w:jc w:val="center"/>
              <w:rPr>
                <w:bCs/>
                <w:highlight w:val="none"/>
              </w:rPr>
            </w:pPr>
            <w:r>
              <w:rPr>
                <w:rFonts w:hint="eastAsia"/>
                <w:bCs/>
                <w:highlight w:val="none"/>
              </w:rPr>
              <w:t>数量</w:t>
            </w:r>
          </w:p>
        </w:tc>
        <w:tc>
          <w:tcPr>
            <w:tcW w:w="4102" w:type="pct"/>
            <w:vAlign w:val="center"/>
          </w:tcPr>
          <w:p w14:paraId="0F96214E">
            <w:pPr>
              <w:jc w:val="center"/>
              <w:rPr>
                <w:bCs/>
                <w:highlight w:val="none"/>
              </w:rPr>
            </w:pPr>
            <w:r>
              <w:rPr>
                <w:rFonts w:hint="eastAsia"/>
                <w:bCs/>
                <w:highlight w:val="none"/>
              </w:rPr>
              <w:t>项目经理资格最低要求</w:t>
            </w:r>
          </w:p>
        </w:tc>
      </w:tr>
      <w:tr w14:paraId="42970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1" w:hRule="atLeast"/>
        </w:trPr>
        <w:tc>
          <w:tcPr>
            <w:tcW w:w="440" w:type="pct"/>
            <w:vAlign w:val="center"/>
          </w:tcPr>
          <w:p w14:paraId="47AE526D">
            <w:pPr>
              <w:jc w:val="center"/>
              <w:rPr>
                <w:bCs/>
                <w:highlight w:val="none"/>
              </w:rPr>
            </w:pPr>
            <w:r>
              <w:rPr>
                <w:rFonts w:hint="eastAsia"/>
                <w:bCs/>
                <w:highlight w:val="none"/>
              </w:rPr>
              <w:t>项目</w:t>
            </w:r>
          </w:p>
          <w:p w14:paraId="059D0A00">
            <w:pPr>
              <w:jc w:val="center"/>
              <w:rPr>
                <w:bCs/>
                <w:highlight w:val="none"/>
              </w:rPr>
            </w:pPr>
            <w:r>
              <w:rPr>
                <w:rFonts w:hint="eastAsia"/>
                <w:bCs/>
                <w:highlight w:val="none"/>
              </w:rPr>
              <w:t>经理</w:t>
            </w:r>
          </w:p>
        </w:tc>
        <w:tc>
          <w:tcPr>
            <w:tcW w:w="458" w:type="pct"/>
            <w:vAlign w:val="center"/>
          </w:tcPr>
          <w:p w14:paraId="749552C7">
            <w:pPr>
              <w:spacing w:line="320" w:lineRule="exact"/>
              <w:jc w:val="center"/>
              <w:rPr>
                <w:rFonts w:hint="eastAsia" w:ascii="宋体" w:hAnsi="宋体"/>
                <w:bCs/>
                <w:highlight w:val="none"/>
              </w:rPr>
            </w:pPr>
            <w:r>
              <w:rPr>
                <w:rFonts w:hint="eastAsia" w:ascii="宋体" w:hAnsi="宋体"/>
                <w:bCs/>
                <w:highlight w:val="none"/>
              </w:rPr>
              <w:t>1人</w:t>
            </w:r>
          </w:p>
        </w:tc>
        <w:tc>
          <w:tcPr>
            <w:tcW w:w="4102" w:type="pct"/>
            <w:vAlign w:val="center"/>
          </w:tcPr>
          <w:p w14:paraId="1F957FA6">
            <w:pPr>
              <w:spacing w:line="320" w:lineRule="exact"/>
              <w:rPr>
                <w:rFonts w:hint="eastAsia" w:ascii="宋体" w:hAnsi="宋体"/>
                <w:bCs/>
                <w:highlight w:val="none"/>
              </w:rPr>
            </w:pPr>
            <w:r>
              <w:rPr>
                <w:rFonts w:hint="eastAsia" w:ascii="宋体" w:hAnsi="宋体"/>
                <w:bCs/>
                <w:highlight w:val="none"/>
              </w:rPr>
              <w:t>（1）投标人自有人员</w:t>
            </w:r>
            <w:r>
              <w:rPr>
                <w:rFonts w:hint="eastAsia" w:ascii="宋体" w:hAnsi="宋体"/>
                <w:bCs/>
                <w:color w:val="000000"/>
                <w:szCs w:val="21"/>
                <w:highlight w:val="none"/>
              </w:rPr>
              <w:t>（以联合体形式参与投标的，则为联合体牵头人自有人员）；</w:t>
            </w:r>
          </w:p>
          <w:p w14:paraId="454ED7C0">
            <w:pPr>
              <w:spacing w:line="320" w:lineRule="exact"/>
              <w:rPr>
                <w:rFonts w:hint="eastAsia" w:ascii="宋体" w:hAnsi="宋体"/>
                <w:bCs/>
                <w:szCs w:val="21"/>
                <w:highlight w:val="none"/>
              </w:rPr>
            </w:pPr>
            <w:r>
              <w:rPr>
                <w:rFonts w:hint="eastAsia" w:ascii="宋体" w:hAnsi="宋体"/>
                <w:bCs/>
                <w:szCs w:val="21"/>
                <w:highlight w:val="none"/>
              </w:rPr>
              <w:t>（2）</w:t>
            </w:r>
            <w:r>
              <w:rPr>
                <w:rFonts w:hint="eastAsia" w:ascii="宋体" w:hAnsi="宋体"/>
                <w:bCs/>
                <w:highlight w:val="none"/>
              </w:rPr>
              <w:t>具有公路工程相关专业工程师职称</w:t>
            </w:r>
            <w:r>
              <w:rPr>
                <w:rFonts w:hint="eastAsia" w:ascii="宋体" w:hAnsi="宋体"/>
                <w:bCs/>
                <w:szCs w:val="21"/>
                <w:highlight w:val="none"/>
              </w:rPr>
              <w:t>；</w:t>
            </w:r>
          </w:p>
          <w:p w14:paraId="7CB7AF6C">
            <w:pPr>
              <w:spacing w:line="320" w:lineRule="exact"/>
              <w:rPr>
                <w:rFonts w:hint="eastAsia" w:ascii="宋体" w:hAnsi="宋体"/>
                <w:bCs/>
                <w:highlight w:val="none"/>
              </w:rPr>
            </w:pPr>
            <w:r>
              <w:rPr>
                <w:rFonts w:hint="eastAsia" w:ascii="宋体" w:hAnsi="宋体"/>
                <w:bCs/>
                <w:highlight w:val="none"/>
              </w:rPr>
              <w:t>（3）具有建设行政主管部门颁发的</w:t>
            </w:r>
            <w:r>
              <w:rPr>
                <w:rFonts w:hint="eastAsia" w:ascii="黑体" w:hAnsi="黑体" w:eastAsia="黑体"/>
                <w:bCs/>
                <w:highlight w:val="none"/>
              </w:rPr>
              <w:t>“公路工程”专业《二级建造师注册证书》</w:t>
            </w:r>
            <w:r>
              <w:rPr>
                <w:rFonts w:hint="eastAsia" w:ascii="宋体" w:hAnsi="宋体"/>
                <w:bCs/>
                <w:highlight w:val="none"/>
              </w:rPr>
              <w:t>，且现注册单位为投标人；</w:t>
            </w:r>
          </w:p>
          <w:p w14:paraId="2DD1B7CC">
            <w:pPr>
              <w:spacing w:line="320" w:lineRule="exact"/>
              <w:rPr>
                <w:rFonts w:hint="eastAsia" w:ascii="宋体" w:hAnsi="宋体"/>
                <w:bCs/>
                <w:highlight w:val="none"/>
              </w:rPr>
            </w:pPr>
            <w:r>
              <w:rPr>
                <w:rFonts w:hint="eastAsia" w:ascii="宋体" w:hAnsi="宋体"/>
                <w:bCs/>
                <w:highlight w:val="none"/>
              </w:rPr>
              <w:t>（4）</w:t>
            </w:r>
            <w:r>
              <w:rPr>
                <w:rFonts w:ascii="宋体" w:hAnsi="宋体"/>
                <w:bCs/>
                <w:highlight w:val="none"/>
              </w:rPr>
              <w:t>具有</w:t>
            </w:r>
            <w:r>
              <w:rPr>
                <w:rFonts w:hint="eastAsia" w:ascii="宋体" w:hAnsi="宋体"/>
                <w:bCs/>
                <w:highlight w:val="none"/>
              </w:rPr>
              <w:t>交通运输主管部门</w:t>
            </w:r>
            <w:r>
              <w:rPr>
                <w:rFonts w:ascii="宋体" w:hAnsi="宋体"/>
                <w:bCs/>
                <w:highlight w:val="none"/>
              </w:rPr>
              <w:t>颁发的有效的</w:t>
            </w:r>
            <w:r>
              <w:rPr>
                <w:rFonts w:hint="eastAsia" w:ascii="宋体" w:hAnsi="宋体"/>
                <w:bCs/>
                <w:highlight w:val="none"/>
              </w:rPr>
              <w:t>B类</w:t>
            </w:r>
            <w:r>
              <w:rPr>
                <w:rFonts w:ascii="宋体" w:hAnsi="宋体"/>
                <w:bCs/>
                <w:highlight w:val="none"/>
              </w:rPr>
              <w:t>安全生产考核合格证书</w:t>
            </w:r>
            <w:r>
              <w:rPr>
                <w:rFonts w:hint="eastAsia" w:ascii="宋体" w:hAnsi="宋体"/>
                <w:bCs/>
                <w:highlight w:val="none"/>
              </w:rPr>
              <w:t>；</w:t>
            </w:r>
          </w:p>
          <w:p w14:paraId="6184E6CC">
            <w:pPr>
              <w:spacing w:line="320" w:lineRule="exact"/>
              <w:rPr>
                <w:bCs/>
                <w:highlight w:val="none"/>
              </w:rPr>
            </w:pPr>
            <w:r>
              <w:rPr>
                <w:rFonts w:hint="eastAsia" w:ascii="宋体" w:hAnsi="宋体"/>
                <w:bCs/>
                <w:highlight w:val="none"/>
              </w:rPr>
              <w:t>（5）无在岗项目(指目前未在其他项目上任职，或虽在其他项目上任职但本项目中标后能够从该项目撤离)。</w:t>
            </w:r>
          </w:p>
        </w:tc>
      </w:tr>
    </w:tbl>
    <w:p w14:paraId="51D09D4A">
      <w:pPr>
        <w:spacing w:line="300" w:lineRule="exact"/>
        <w:rPr>
          <w:bCs/>
          <w:highlight w:val="none"/>
        </w:rPr>
      </w:pPr>
    </w:p>
    <w:p w14:paraId="640F614D">
      <w:pPr>
        <w:spacing w:line="300" w:lineRule="exact"/>
        <w:rPr>
          <w:bCs/>
          <w:highlight w:val="none"/>
        </w:rPr>
      </w:pPr>
    </w:p>
    <w:p w14:paraId="41D7D027">
      <w:pPr>
        <w:spacing w:line="300" w:lineRule="exact"/>
        <w:rPr>
          <w:bCs/>
          <w:highlight w:val="none"/>
        </w:rPr>
      </w:pPr>
      <w:r>
        <w:rPr>
          <w:rFonts w:hint="eastAsia"/>
          <w:bCs/>
          <w:highlight w:val="none"/>
        </w:rPr>
        <w:t>注：①项目经理和项目总工不得兼职。</w:t>
      </w:r>
    </w:p>
    <w:p w14:paraId="0F593C77">
      <w:pPr>
        <w:spacing w:line="300" w:lineRule="exact"/>
        <w:ind w:firstLine="420" w:firstLineChars="200"/>
        <w:rPr>
          <w:bCs/>
          <w:highlight w:val="none"/>
          <w:lang w:val="zh-CN"/>
        </w:rPr>
      </w:pPr>
      <w:r>
        <w:rPr>
          <w:rFonts w:hint="eastAsia"/>
          <w:bCs/>
          <w:szCs w:val="21"/>
          <w:highlight w:val="none"/>
        </w:rPr>
        <w:t>②</w:t>
      </w:r>
      <w:r>
        <w:rPr>
          <w:rFonts w:hint="eastAsia"/>
          <w:bCs/>
          <w:highlight w:val="none"/>
        </w:rPr>
        <w:t>“投标人自有人员”指投标人为其申报社会保险登记，并为其缴纳社会保险费的人员。</w:t>
      </w:r>
      <w:r>
        <w:rPr>
          <w:rFonts w:hint="eastAsia"/>
          <w:bCs/>
          <w:highlight w:val="none"/>
          <w:lang w:val="zh-CN"/>
        </w:rPr>
        <w:t>如果投标人属事业法人单位，则由投标人的上级行政主管部门出具拟委任的项目经理是投标人单位职工的有效书面证明材料。</w:t>
      </w:r>
    </w:p>
    <w:p w14:paraId="6D7161F7">
      <w:pPr>
        <w:spacing w:line="300" w:lineRule="exact"/>
        <w:ind w:firstLine="420" w:firstLineChars="200"/>
        <w:rPr>
          <w:bCs/>
          <w:highlight w:val="none"/>
          <w:lang w:val="zh-CN"/>
        </w:rPr>
      </w:pPr>
      <w:r>
        <w:rPr>
          <w:rFonts w:hint="eastAsia"/>
          <w:bCs/>
          <w:highlight w:val="none"/>
          <w:lang w:val="zh-CN"/>
        </w:rPr>
        <w:t>③公路工程相关专业职称包括公路工程、桥梁工程、公路与桥梁工程、交通土建、隧道（地下结构）工程、交通工程、土木工程等专业职称。如职称证中无专业，则在投标文件中必须附毕业证书，且毕业证上的专业为公路工程、桥梁工程、公路与桥梁工程、交通土建、隧道（地下结构）工程、交通工程、土木工程等专业。</w:t>
      </w:r>
    </w:p>
    <w:p w14:paraId="31C83E89">
      <w:pPr>
        <w:pStyle w:val="26"/>
        <w:ind w:left="1260" w:hanging="420"/>
        <w:rPr>
          <w:bCs/>
          <w:highlight w:val="none"/>
          <w:lang w:val="zh-CN"/>
        </w:rPr>
      </w:pPr>
    </w:p>
    <w:p w14:paraId="4EBA10A1">
      <w:pPr>
        <w:pStyle w:val="26"/>
        <w:ind w:left="1260" w:hanging="420"/>
        <w:rPr>
          <w:bCs/>
          <w:highlight w:val="none"/>
          <w:lang w:val="zh-CN"/>
        </w:rPr>
      </w:pPr>
    </w:p>
    <w:p w14:paraId="18A2782D">
      <w:pPr>
        <w:pStyle w:val="26"/>
        <w:ind w:left="1260" w:hanging="420"/>
        <w:rPr>
          <w:bCs/>
          <w:highlight w:val="none"/>
          <w:lang w:val="zh-CN"/>
        </w:rPr>
      </w:pPr>
    </w:p>
    <w:p w14:paraId="267851D6">
      <w:pPr>
        <w:pStyle w:val="26"/>
        <w:ind w:left="1260" w:hanging="420"/>
        <w:rPr>
          <w:bCs/>
          <w:highlight w:val="none"/>
          <w:lang w:val="zh-CN"/>
        </w:rPr>
      </w:pPr>
    </w:p>
    <w:p w14:paraId="175CBA33">
      <w:pPr>
        <w:pStyle w:val="26"/>
        <w:ind w:left="1260" w:hanging="420"/>
        <w:rPr>
          <w:bCs/>
          <w:highlight w:val="none"/>
          <w:lang w:val="zh-CN"/>
        </w:rPr>
      </w:pPr>
    </w:p>
    <w:p w14:paraId="0A86EFB1">
      <w:pPr>
        <w:pStyle w:val="26"/>
        <w:ind w:left="1260" w:hanging="420"/>
        <w:rPr>
          <w:bCs/>
          <w:highlight w:val="none"/>
          <w:lang w:val="zh-CN"/>
        </w:rPr>
      </w:pPr>
    </w:p>
    <w:p w14:paraId="0089A5D8">
      <w:pPr>
        <w:pStyle w:val="26"/>
        <w:ind w:left="1260" w:hanging="420"/>
        <w:rPr>
          <w:bCs/>
          <w:highlight w:val="none"/>
          <w:lang w:val="zh-CN"/>
        </w:rPr>
      </w:pPr>
    </w:p>
    <w:p w14:paraId="52A33C72">
      <w:pPr>
        <w:pStyle w:val="26"/>
        <w:ind w:left="1260" w:hanging="420"/>
        <w:rPr>
          <w:bCs/>
          <w:highlight w:val="none"/>
          <w:lang w:val="zh-CN"/>
        </w:rPr>
      </w:pPr>
    </w:p>
    <w:p w14:paraId="0CAD977A">
      <w:pPr>
        <w:pStyle w:val="5"/>
        <w:adjustRightInd w:val="0"/>
        <w:snapToGrid w:val="0"/>
        <w:spacing w:beforeLines="50" w:after="0"/>
        <w:ind w:firstLine="280" w:firstLineChars="100"/>
        <w:jc w:val="center"/>
        <w:rPr>
          <w:rFonts w:hint="eastAsia" w:ascii="黑体" w:hAnsi="黑体"/>
          <w:sz w:val="28"/>
          <w:highlight w:val="none"/>
          <w:lang w:val="zh-CN"/>
        </w:rPr>
      </w:pPr>
      <w:r>
        <w:rPr>
          <w:rFonts w:hint="eastAsia" w:ascii="黑体" w:hAnsi="黑体"/>
          <w:sz w:val="28"/>
          <w:highlight w:val="none"/>
          <w:lang w:val="zh-CN"/>
        </w:rPr>
        <w:t>附录6资格审查条件（项目总工最低要求）</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7"/>
        <w:gridCol w:w="922"/>
        <w:gridCol w:w="8076"/>
      </w:tblGrid>
      <w:tr w14:paraId="1699F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5" w:type="pct"/>
            <w:vAlign w:val="center"/>
          </w:tcPr>
          <w:p w14:paraId="7A98E4F4">
            <w:pPr>
              <w:jc w:val="center"/>
              <w:rPr>
                <w:bCs/>
                <w:highlight w:val="none"/>
              </w:rPr>
            </w:pPr>
            <w:r>
              <w:rPr>
                <w:rFonts w:hint="eastAsia"/>
                <w:bCs/>
                <w:highlight w:val="none"/>
              </w:rPr>
              <w:t>人员</w:t>
            </w:r>
          </w:p>
        </w:tc>
        <w:tc>
          <w:tcPr>
            <w:tcW w:w="468" w:type="pct"/>
            <w:vAlign w:val="center"/>
          </w:tcPr>
          <w:p w14:paraId="2E14E11B">
            <w:pPr>
              <w:jc w:val="center"/>
              <w:rPr>
                <w:bCs/>
                <w:highlight w:val="none"/>
              </w:rPr>
            </w:pPr>
            <w:r>
              <w:rPr>
                <w:rFonts w:hint="eastAsia"/>
                <w:bCs/>
                <w:highlight w:val="none"/>
              </w:rPr>
              <w:t>数量</w:t>
            </w:r>
          </w:p>
        </w:tc>
        <w:tc>
          <w:tcPr>
            <w:tcW w:w="4097" w:type="pct"/>
            <w:vAlign w:val="center"/>
          </w:tcPr>
          <w:p w14:paraId="56946956">
            <w:pPr>
              <w:jc w:val="center"/>
              <w:rPr>
                <w:bCs/>
                <w:highlight w:val="none"/>
              </w:rPr>
            </w:pPr>
            <w:r>
              <w:rPr>
                <w:rFonts w:hint="eastAsia"/>
                <w:bCs/>
                <w:highlight w:val="none"/>
              </w:rPr>
              <w:t>项目总工资格最低要求</w:t>
            </w:r>
          </w:p>
        </w:tc>
      </w:tr>
      <w:tr w14:paraId="55FC6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1" w:hRule="atLeast"/>
        </w:trPr>
        <w:tc>
          <w:tcPr>
            <w:tcW w:w="435" w:type="pct"/>
            <w:vAlign w:val="center"/>
          </w:tcPr>
          <w:p w14:paraId="2C76E3C8">
            <w:pPr>
              <w:jc w:val="center"/>
              <w:rPr>
                <w:bCs/>
                <w:highlight w:val="none"/>
              </w:rPr>
            </w:pPr>
            <w:r>
              <w:rPr>
                <w:rFonts w:hint="eastAsia"/>
                <w:bCs/>
                <w:highlight w:val="none"/>
              </w:rPr>
              <w:t>项目</w:t>
            </w:r>
          </w:p>
          <w:p w14:paraId="680D29E0">
            <w:pPr>
              <w:jc w:val="center"/>
              <w:rPr>
                <w:bCs/>
                <w:highlight w:val="none"/>
              </w:rPr>
            </w:pPr>
            <w:r>
              <w:rPr>
                <w:rFonts w:hint="eastAsia"/>
                <w:bCs/>
                <w:highlight w:val="none"/>
              </w:rPr>
              <w:t>总工</w:t>
            </w:r>
          </w:p>
        </w:tc>
        <w:tc>
          <w:tcPr>
            <w:tcW w:w="468" w:type="pct"/>
            <w:vAlign w:val="center"/>
          </w:tcPr>
          <w:p w14:paraId="694FD168">
            <w:pPr>
              <w:spacing w:line="320" w:lineRule="exact"/>
              <w:jc w:val="center"/>
              <w:rPr>
                <w:bCs/>
                <w:highlight w:val="none"/>
              </w:rPr>
            </w:pPr>
            <w:r>
              <w:rPr>
                <w:rFonts w:hint="eastAsia"/>
                <w:bCs/>
                <w:highlight w:val="none"/>
              </w:rPr>
              <w:t>1人</w:t>
            </w:r>
          </w:p>
        </w:tc>
        <w:tc>
          <w:tcPr>
            <w:tcW w:w="4097" w:type="pct"/>
            <w:vAlign w:val="center"/>
          </w:tcPr>
          <w:p w14:paraId="5C0C5562">
            <w:pPr>
              <w:spacing w:line="320" w:lineRule="exact"/>
              <w:rPr>
                <w:rFonts w:hint="eastAsia" w:ascii="宋体" w:hAnsi="宋体"/>
                <w:bCs/>
                <w:highlight w:val="none"/>
              </w:rPr>
            </w:pPr>
            <w:bookmarkStart w:id="81" w:name="_Hlk186123833"/>
            <w:r>
              <w:rPr>
                <w:rFonts w:hint="eastAsia"/>
                <w:bCs/>
                <w:highlight w:val="none"/>
              </w:rPr>
              <w:t>（</w:t>
            </w:r>
            <w:r>
              <w:rPr>
                <w:rFonts w:hint="eastAsia" w:ascii="宋体" w:hAnsi="宋体"/>
                <w:bCs/>
                <w:highlight w:val="none"/>
              </w:rPr>
              <w:t>1）投标人自有人员</w:t>
            </w:r>
            <w:r>
              <w:rPr>
                <w:rFonts w:hint="eastAsia" w:ascii="宋体" w:hAnsi="宋体"/>
                <w:bCs/>
                <w:color w:val="000000"/>
                <w:szCs w:val="21"/>
                <w:highlight w:val="none"/>
              </w:rPr>
              <w:t>（以联合体形式参与投标的，则为联合体牵头人自有人员）；</w:t>
            </w:r>
          </w:p>
          <w:p w14:paraId="603476BA">
            <w:pPr>
              <w:spacing w:line="320" w:lineRule="exact"/>
              <w:rPr>
                <w:rFonts w:hint="eastAsia" w:ascii="宋体" w:hAnsi="宋体"/>
                <w:bCs/>
                <w:highlight w:val="none"/>
              </w:rPr>
            </w:pPr>
            <w:r>
              <w:rPr>
                <w:rFonts w:hint="eastAsia" w:ascii="宋体" w:hAnsi="宋体"/>
                <w:bCs/>
                <w:highlight w:val="none"/>
              </w:rPr>
              <w:t>（2）具有公路工程相关专业工程师职称；</w:t>
            </w:r>
          </w:p>
          <w:bookmarkEnd w:id="81"/>
          <w:p w14:paraId="57BBAD83">
            <w:pPr>
              <w:spacing w:line="320" w:lineRule="exact"/>
              <w:rPr>
                <w:bCs/>
                <w:szCs w:val="21"/>
                <w:highlight w:val="none"/>
              </w:rPr>
            </w:pPr>
            <w:r>
              <w:rPr>
                <w:rFonts w:hint="eastAsia" w:ascii="宋体" w:hAnsi="宋体"/>
                <w:bCs/>
                <w:szCs w:val="21"/>
                <w:highlight w:val="none"/>
              </w:rPr>
              <w:t>（3）</w:t>
            </w:r>
            <w:r>
              <w:rPr>
                <w:rFonts w:hint="eastAsia" w:ascii="宋体" w:hAnsi="宋体"/>
                <w:bCs/>
                <w:highlight w:val="none"/>
              </w:rPr>
              <w:t>无在岗项目(指目前未在其他项目上任职，或虽在其他项目上任职但本项目中标后能够从该项目撤离)。</w:t>
            </w:r>
          </w:p>
        </w:tc>
      </w:tr>
    </w:tbl>
    <w:p w14:paraId="4E61F90F">
      <w:pPr>
        <w:spacing w:line="340" w:lineRule="exact"/>
        <w:rPr>
          <w:bCs/>
          <w:highlight w:val="none"/>
        </w:rPr>
      </w:pPr>
      <w:r>
        <w:rPr>
          <w:rFonts w:hint="eastAsia"/>
          <w:bCs/>
          <w:highlight w:val="none"/>
        </w:rPr>
        <w:t>注：①项目经理和项目总工不得兼职。</w:t>
      </w:r>
    </w:p>
    <w:p w14:paraId="1F9CA478">
      <w:pPr>
        <w:spacing w:line="340" w:lineRule="exact"/>
        <w:ind w:firstLine="420" w:firstLineChars="200"/>
        <w:rPr>
          <w:bCs/>
          <w:highlight w:val="none"/>
          <w:lang w:val="zh-CN"/>
        </w:rPr>
      </w:pPr>
      <w:r>
        <w:rPr>
          <w:rFonts w:hint="eastAsia"/>
          <w:bCs/>
          <w:szCs w:val="21"/>
          <w:highlight w:val="none"/>
        </w:rPr>
        <w:t>②</w:t>
      </w:r>
      <w:r>
        <w:rPr>
          <w:rFonts w:hint="eastAsia"/>
          <w:bCs/>
          <w:highlight w:val="none"/>
        </w:rPr>
        <w:t>“投标人自有人员”指投标人为其申报社会保险登记，并为其缴纳社会保险费的人员。</w:t>
      </w:r>
      <w:r>
        <w:rPr>
          <w:rFonts w:hint="eastAsia"/>
          <w:bCs/>
          <w:highlight w:val="none"/>
          <w:lang w:val="zh-CN"/>
        </w:rPr>
        <w:t>如果投标人属事业法人单位，则由投标人的上级行政主管部门出具拟委任的项目总工是投标人单位职工的有效书面证明材料。</w:t>
      </w:r>
    </w:p>
    <w:p w14:paraId="575E5846">
      <w:pPr>
        <w:spacing w:line="340" w:lineRule="exact"/>
        <w:ind w:firstLine="420" w:firstLineChars="200"/>
        <w:rPr>
          <w:bCs/>
          <w:highlight w:val="none"/>
          <w:lang w:val="zh-CN"/>
        </w:rPr>
      </w:pPr>
      <w:r>
        <w:rPr>
          <w:rFonts w:hint="eastAsia"/>
          <w:bCs/>
          <w:highlight w:val="none"/>
          <w:lang w:val="zh-CN"/>
        </w:rPr>
        <w:t>③公路工程相关专业职称包括公路工程、桥梁工程、公路与桥梁工程、交通土建、隧道（地下结构）工程、交通工程、土木工程等专业职称。如职称证中无专业，则在投标文件中必须附毕业证书，且毕业证上的专业为公路工程、桥梁工程、公路与桥梁工程、交通土建、隧道（地下结构）工程、交通工程、土木工程等专业。</w:t>
      </w:r>
    </w:p>
    <w:p w14:paraId="596D569C">
      <w:pPr>
        <w:pStyle w:val="26"/>
        <w:ind w:left="1260" w:hanging="420"/>
        <w:rPr>
          <w:bCs/>
          <w:highlight w:val="none"/>
          <w:lang w:val="zh-CN"/>
        </w:rPr>
      </w:pPr>
    </w:p>
    <w:p w14:paraId="52A08F10">
      <w:pPr>
        <w:pStyle w:val="26"/>
        <w:ind w:left="1260" w:hanging="420"/>
        <w:rPr>
          <w:bCs/>
          <w:highlight w:val="none"/>
          <w:lang w:val="zh-CN"/>
        </w:rPr>
      </w:pPr>
    </w:p>
    <w:p w14:paraId="749D4455">
      <w:pPr>
        <w:pStyle w:val="5"/>
        <w:adjustRightInd w:val="0"/>
        <w:snapToGrid w:val="0"/>
        <w:spacing w:beforeLines="50" w:after="0"/>
        <w:ind w:firstLine="280" w:firstLineChars="100"/>
        <w:jc w:val="center"/>
        <w:rPr>
          <w:rFonts w:hint="eastAsia" w:ascii="黑体" w:hAnsi="黑体"/>
          <w:sz w:val="28"/>
          <w:highlight w:val="none"/>
          <w:lang w:val="zh-CN"/>
        </w:rPr>
      </w:pPr>
      <w:r>
        <w:rPr>
          <w:rFonts w:hint="eastAsia" w:ascii="黑体" w:hAnsi="黑体"/>
          <w:sz w:val="28"/>
          <w:highlight w:val="none"/>
          <w:lang w:val="zh-CN"/>
        </w:rPr>
        <w:t>附录7资格审查条件（其他管理和技术人员最低要求）</w:t>
      </w:r>
    </w:p>
    <w:p w14:paraId="505363D1">
      <w:pPr>
        <w:rPr>
          <w:bCs/>
          <w:highlight w:val="none"/>
          <w:lang w:val="zh-CN"/>
        </w:rPr>
      </w:pP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855"/>
      </w:tblGrid>
      <w:tr w14:paraId="0AD66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5000" w:type="pct"/>
            <w:vAlign w:val="center"/>
          </w:tcPr>
          <w:p w14:paraId="2A293B58">
            <w:pPr>
              <w:spacing w:line="320" w:lineRule="exact"/>
              <w:rPr>
                <w:rFonts w:hint="eastAsia" w:ascii="宋体" w:hAnsi="宋体"/>
                <w:bCs/>
                <w:highlight w:val="none"/>
              </w:rPr>
            </w:pPr>
            <w:r>
              <w:rPr>
                <w:rFonts w:hint="eastAsia" w:ascii="宋体" w:hAnsi="宋体"/>
                <w:bCs/>
                <w:highlight w:val="none"/>
              </w:rPr>
              <w:t>资格最低要求</w:t>
            </w:r>
          </w:p>
        </w:tc>
      </w:tr>
      <w:tr w14:paraId="5D76C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5000" w:type="pct"/>
            <w:vAlign w:val="center"/>
          </w:tcPr>
          <w:p w14:paraId="5D3F38E7">
            <w:pPr>
              <w:spacing w:line="320" w:lineRule="exact"/>
              <w:rPr>
                <w:rFonts w:hint="eastAsia" w:ascii="宋体" w:hAnsi="宋体"/>
                <w:bCs/>
                <w:highlight w:val="none"/>
              </w:rPr>
            </w:pPr>
            <w:r>
              <w:rPr>
                <w:rFonts w:hint="eastAsia" w:ascii="宋体" w:hAnsi="宋体"/>
                <w:bCs/>
                <w:highlight w:val="none"/>
              </w:rPr>
              <w:t>/</w:t>
            </w:r>
          </w:p>
        </w:tc>
      </w:tr>
    </w:tbl>
    <w:p w14:paraId="317A7DBF">
      <w:pPr>
        <w:rPr>
          <w:bCs/>
          <w:highlight w:val="none"/>
        </w:rPr>
      </w:pPr>
    </w:p>
    <w:p w14:paraId="4336CDC5">
      <w:pPr>
        <w:rPr>
          <w:bCs/>
          <w:highlight w:val="none"/>
        </w:rPr>
      </w:pPr>
    </w:p>
    <w:p w14:paraId="2880E00D">
      <w:pPr>
        <w:pStyle w:val="5"/>
        <w:adjustRightInd w:val="0"/>
        <w:snapToGrid w:val="0"/>
        <w:spacing w:beforeLines="50" w:after="0"/>
        <w:ind w:firstLine="280" w:firstLineChars="100"/>
        <w:jc w:val="center"/>
        <w:rPr>
          <w:rFonts w:hint="eastAsia" w:ascii="黑体" w:hAnsi="黑体"/>
          <w:sz w:val="28"/>
          <w:highlight w:val="none"/>
          <w:lang w:val="zh-CN"/>
        </w:rPr>
      </w:pPr>
      <w:r>
        <w:rPr>
          <w:rFonts w:hint="eastAsia" w:ascii="黑体" w:hAnsi="黑体"/>
          <w:sz w:val="28"/>
          <w:highlight w:val="none"/>
          <w:lang w:val="zh-CN"/>
        </w:rPr>
        <w:t>附录8资格审查条件（主要机械设备最低要求）</w:t>
      </w:r>
    </w:p>
    <w:p w14:paraId="73201242">
      <w:pPr>
        <w:rPr>
          <w:bCs/>
          <w:highlight w:val="none"/>
          <w:lang w:val="zh-CN"/>
        </w:rPr>
      </w:pP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855"/>
      </w:tblGrid>
      <w:tr w14:paraId="57E2A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vAlign w:val="center"/>
          </w:tcPr>
          <w:p w14:paraId="30696F61">
            <w:pPr>
              <w:spacing w:line="320" w:lineRule="exact"/>
              <w:rPr>
                <w:rFonts w:hint="eastAsia" w:ascii="宋体" w:hAnsi="宋体"/>
                <w:bCs/>
                <w:highlight w:val="none"/>
              </w:rPr>
            </w:pPr>
            <w:r>
              <w:rPr>
                <w:rFonts w:hint="eastAsia" w:ascii="宋体" w:hAnsi="宋体"/>
                <w:bCs/>
                <w:highlight w:val="none"/>
              </w:rPr>
              <w:t>资格最低要求</w:t>
            </w:r>
          </w:p>
        </w:tc>
      </w:tr>
      <w:tr w14:paraId="4145B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5000" w:type="pct"/>
            <w:vAlign w:val="center"/>
          </w:tcPr>
          <w:p w14:paraId="2DAF831D">
            <w:pPr>
              <w:spacing w:line="320" w:lineRule="exact"/>
              <w:rPr>
                <w:rFonts w:hint="eastAsia" w:ascii="宋体" w:hAnsi="宋体"/>
                <w:bCs/>
                <w:highlight w:val="none"/>
              </w:rPr>
            </w:pPr>
            <w:r>
              <w:rPr>
                <w:rFonts w:hint="eastAsia" w:ascii="宋体" w:hAnsi="宋体"/>
                <w:bCs/>
                <w:highlight w:val="none"/>
              </w:rPr>
              <w:t>/</w:t>
            </w:r>
          </w:p>
        </w:tc>
      </w:tr>
    </w:tbl>
    <w:p w14:paraId="2BD58A5C">
      <w:pPr>
        <w:rPr>
          <w:bCs/>
          <w:highlight w:val="none"/>
        </w:rPr>
      </w:pPr>
    </w:p>
    <w:p w14:paraId="3A29C377">
      <w:pPr>
        <w:pStyle w:val="5"/>
        <w:adjustRightInd w:val="0"/>
        <w:snapToGrid w:val="0"/>
        <w:spacing w:beforeLines="50" w:after="0"/>
        <w:ind w:firstLine="280" w:firstLineChars="100"/>
        <w:jc w:val="center"/>
        <w:rPr>
          <w:rFonts w:hint="eastAsia" w:ascii="黑体" w:hAnsi="黑体"/>
          <w:sz w:val="28"/>
          <w:highlight w:val="none"/>
          <w:lang w:val="zh-CN"/>
        </w:rPr>
      </w:pPr>
    </w:p>
    <w:p w14:paraId="6F3C701D">
      <w:pPr>
        <w:pStyle w:val="5"/>
        <w:adjustRightInd w:val="0"/>
        <w:snapToGrid w:val="0"/>
        <w:spacing w:beforeLines="50" w:after="0"/>
        <w:ind w:firstLine="280" w:firstLineChars="100"/>
        <w:jc w:val="center"/>
        <w:rPr>
          <w:rFonts w:hint="eastAsia" w:ascii="黑体" w:hAnsi="黑体"/>
          <w:sz w:val="28"/>
          <w:highlight w:val="none"/>
          <w:lang w:val="zh-CN"/>
        </w:rPr>
      </w:pPr>
      <w:r>
        <w:rPr>
          <w:rFonts w:hint="eastAsia" w:ascii="黑体" w:hAnsi="黑体"/>
          <w:sz w:val="28"/>
          <w:highlight w:val="none"/>
          <w:lang w:val="zh-CN"/>
        </w:rPr>
        <w:t>附录9资格审查条件（试验检测设备最低要求）</w:t>
      </w:r>
    </w:p>
    <w:p w14:paraId="7CA5F81A">
      <w:pPr>
        <w:rPr>
          <w:bCs/>
          <w:highlight w:val="none"/>
          <w:lang w:val="zh-CN"/>
        </w:rPr>
      </w:pP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855"/>
      </w:tblGrid>
      <w:tr w14:paraId="5D9AF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vAlign w:val="center"/>
          </w:tcPr>
          <w:p w14:paraId="062BE91F">
            <w:pPr>
              <w:spacing w:line="320" w:lineRule="exact"/>
              <w:rPr>
                <w:rFonts w:hint="eastAsia" w:ascii="宋体" w:hAnsi="宋体"/>
                <w:bCs/>
                <w:highlight w:val="none"/>
              </w:rPr>
            </w:pPr>
            <w:r>
              <w:rPr>
                <w:rFonts w:hint="eastAsia" w:ascii="宋体" w:hAnsi="宋体"/>
                <w:bCs/>
                <w:highlight w:val="none"/>
              </w:rPr>
              <w:t>资格最低要求</w:t>
            </w:r>
          </w:p>
        </w:tc>
      </w:tr>
      <w:tr w14:paraId="119D7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5000" w:type="pct"/>
            <w:vAlign w:val="center"/>
          </w:tcPr>
          <w:p w14:paraId="1E21CC0B">
            <w:pPr>
              <w:spacing w:line="320" w:lineRule="exact"/>
              <w:rPr>
                <w:rFonts w:hint="eastAsia" w:ascii="宋体" w:hAnsi="宋体"/>
                <w:bCs/>
                <w:highlight w:val="none"/>
              </w:rPr>
            </w:pPr>
            <w:r>
              <w:rPr>
                <w:rFonts w:hint="eastAsia" w:ascii="宋体" w:hAnsi="宋体"/>
                <w:bCs/>
                <w:highlight w:val="none"/>
              </w:rPr>
              <w:t>/</w:t>
            </w:r>
          </w:p>
        </w:tc>
      </w:tr>
    </w:tbl>
    <w:p w14:paraId="6031FA51">
      <w:pPr>
        <w:rPr>
          <w:bCs/>
          <w:highlight w:val="none"/>
        </w:rPr>
      </w:pPr>
    </w:p>
    <w:p w14:paraId="785CEAAF">
      <w:pPr>
        <w:rPr>
          <w:bCs/>
          <w:highlight w:val="none"/>
        </w:rPr>
      </w:pPr>
    </w:p>
    <w:p w14:paraId="603A10AA">
      <w:pPr>
        <w:pStyle w:val="5"/>
        <w:adjustRightInd w:val="0"/>
        <w:snapToGrid w:val="0"/>
        <w:spacing w:beforeLines="50" w:after="0"/>
        <w:ind w:firstLine="280" w:firstLineChars="100"/>
        <w:jc w:val="center"/>
        <w:rPr>
          <w:rFonts w:hint="eastAsia" w:ascii="黑体" w:hAnsi="黑体"/>
          <w:sz w:val="28"/>
          <w:highlight w:val="none"/>
          <w:lang w:val="zh-CN"/>
        </w:rPr>
      </w:pPr>
    </w:p>
    <w:p w14:paraId="0A6931F6">
      <w:pPr>
        <w:rPr>
          <w:highlight w:val="none"/>
          <w:lang w:val="zh-CN"/>
        </w:rPr>
      </w:pPr>
    </w:p>
    <w:p w14:paraId="3B1107A0">
      <w:pPr>
        <w:rPr>
          <w:highlight w:val="none"/>
          <w:lang w:val="zh-CN"/>
        </w:rPr>
      </w:pPr>
    </w:p>
    <w:bookmarkEnd w:id="71"/>
    <w:bookmarkEnd w:id="72"/>
    <w:bookmarkEnd w:id="73"/>
    <w:bookmarkEnd w:id="74"/>
    <w:bookmarkEnd w:id="75"/>
    <w:bookmarkEnd w:id="76"/>
    <w:bookmarkEnd w:id="77"/>
    <w:bookmarkEnd w:id="78"/>
    <w:bookmarkEnd w:id="79"/>
    <w:p w14:paraId="2C3ADC2A">
      <w:pPr>
        <w:pStyle w:val="4"/>
        <w:adjustRightInd w:val="0"/>
        <w:snapToGrid w:val="0"/>
        <w:spacing w:before="0" w:after="0" w:line="240" w:lineRule="auto"/>
        <w:rPr>
          <w:rFonts w:hint="eastAsia" w:ascii="宋体" w:hAnsi="宋体"/>
          <w:b w:val="0"/>
          <w:highlight w:val="none"/>
        </w:rPr>
      </w:pPr>
      <w:bookmarkStart w:id="82" w:name="_Toc186183898"/>
      <w:bookmarkStart w:id="83" w:name="_Toc197967273"/>
      <w:bookmarkStart w:id="84" w:name="_Toc355768878"/>
      <w:bookmarkStart w:id="85" w:name="_Toc197950684"/>
      <w:bookmarkStart w:id="86" w:name="_Toc197960547"/>
      <w:bookmarkStart w:id="87" w:name="_Toc197967127"/>
      <w:bookmarkStart w:id="88" w:name="_Toc197951590"/>
      <w:bookmarkStart w:id="89" w:name="_Toc197965611"/>
      <w:bookmarkStart w:id="90" w:name="_Toc258182506"/>
      <w:bookmarkStart w:id="91" w:name="_Toc197960495"/>
      <w:bookmarkStart w:id="92" w:name="_Toc197950805"/>
      <w:bookmarkStart w:id="93" w:name="_Toc197951556"/>
      <w:r>
        <w:rPr>
          <w:rFonts w:hint="eastAsia" w:ascii="黑体" w:hAnsi="黑体" w:eastAsia="黑体"/>
          <w:b w:val="0"/>
          <w:sz w:val="24"/>
          <w:szCs w:val="24"/>
          <w:highlight w:val="none"/>
          <w:lang w:val="en-US" w:eastAsia="zh-CN"/>
        </w:rPr>
        <w:t>10.</w:t>
      </w:r>
      <w:r>
        <w:rPr>
          <w:rFonts w:ascii="黑体" w:hAnsi="黑体" w:eastAsia="黑体"/>
          <w:b w:val="0"/>
          <w:sz w:val="24"/>
          <w:szCs w:val="24"/>
          <w:highlight w:val="none"/>
        </w:rPr>
        <w:t>评标办法前附表</w:t>
      </w:r>
      <w:r>
        <w:rPr>
          <w:rFonts w:ascii="宋体" w:hAnsi="宋体"/>
          <w:b w:val="0"/>
          <w:sz w:val="30"/>
          <w:szCs w:val="30"/>
          <w:highlight w:val="none"/>
          <w:vertAlign w:val="superscript"/>
        </w:rPr>
        <w:footnoteReference w:id="1"/>
      </w:r>
      <w:bookmarkEnd w:id="82"/>
      <w:bookmarkStart w:id="94" w:name="_Hlk175945297"/>
    </w:p>
    <w:tbl>
      <w:tblPr>
        <w:tblStyle w:val="55"/>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389"/>
        <w:gridCol w:w="7383"/>
      </w:tblGrid>
      <w:tr w14:paraId="3379B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5" w:hRule="atLeast"/>
          <w:tblHeader/>
          <w:jc w:val="center"/>
        </w:trPr>
        <w:tc>
          <w:tcPr>
            <w:tcW w:w="2245" w:type="dxa"/>
            <w:gridSpan w:val="2"/>
            <w:shd w:val="clear" w:color="auto" w:fill="auto"/>
            <w:vAlign w:val="center"/>
          </w:tcPr>
          <w:p w14:paraId="691D0E3F">
            <w:pPr>
              <w:jc w:val="center"/>
              <w:rPr>
                <w:bCs/>
                <w:highlight w:val="none"/>
              </w:rPr>
            </w:pPr>
            <w:r>
              <w:rPr>
                <w:bCs/>
                <w:highlight w:val="none"/>
              </w:rPr>
              <w:t>条款号</w:t>
            </w:r>
          </w:p>
        </w:tc>
        <w:tc>
          <w:tcPr>
            <w:tcW w:w="7383" w:type="dxa"/>
            <w:shd w:val="clear" w:color="auto" w:fill="auto"/>
            <w:vAlign w:val="center"/>
          </w:tcPr>
          <w:p w14:paraId="1AB882AC">
            <w:pPr>
              <w:jc w:val="center"/>
              <w:rPr>
                <w:bCs/>
                <w:highlight w:val="none"/>
              </w:rPr>
            </w:pPr>
            <w:r>
              <w:rPr>
                <w:bCs/>
                <w:highlight w:val="none"/>
              </w:rPr>
              <w:t>评审因素与评审标准</w:t>
            </w:r>
          </w:p>
        </w:tc>
      </w:tr>
      <w:tr w14:paraId="6AA68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shd w:val="clear" w:color="auto" w:fill="auto"/>
            <w:vAlign w:val="center"/>
          </w:tcPr>
          <w:p w14:paraId="5F613162">
            <w:pPr>
              <w:autoSpaceDE w:val="0"/>
              <w:autoSpaceDN w:val="0"/>
              <w:adjustRightInd w:val="0"/>
              <w:snapToGrid w:val="0"/>
              <w:spacing w:line="300" w:lineRule="auto"/>
              <w:ind w:firstLine="420" w:firstLineChars="200"/>
              <w:rPr>
                <w:rFonts w:hint="eastAsia" w:ascii="宋体" w:hAnsi="宋体"/>
                <w:bCs/>
                <w:szCs w:val="21"/>
                <w:highlight w:val="none"/>
              </w:rPr>
            </w:pPr>
            <w:r>
              <w:rPr>
                <w:rFonts w:hint="eastAsia" w:ascii="宋体" w:hAnsi="宋体"/>
                <w:bCs/>
                <w:szCs w:val="21"/>
                <w:highlight w:val="none"/>
              </w:rPr>
              <w:t>1</w:t>
            </w:r>
          </w:p>
        </w:tc>
        <w:tc>
          <w:tcPr>
            <w:tcW w:w="1389" w:type="dxa"/>
            <w:shd w:val="clear" w:color="auto" w:fill="auto"/>
            <w:vAlign w:val="center"/>
          </w:tcPr>
          <w:p w14:paraId="2EB05B16">
            <w:pPr>
              <w:adjustRightInd w:val="0"/>
              <w:snapToGrid w:val="0"/>
              <w:spacing w:line="300" w:lineRule="auto"/>
              <w:ind w:firstLine="210" w:firstLineChars="100"/>
              <w:rPr>
                <w:rFonts w:hint="eastAsia" w:ascii="宋体" w:hAnsi="宋体"/>
                <w:bCs/>
                <w:szCs w:val="21"/>
                <w:highlight w:val="none"/>
              </w:rPr>
            </w:pPr>
            <w:r>
              <w:rPr>
                <w:rFonts w:hint="eastAsia" w:ascii="宋体" w:hAnsi="宋体"/>
                <w:bCs/>
                <w:szCs w:val="21"/>
                <w:highlight w:val="none"/>
              </w:rPr>
              <w:t>评标方法</w:t>
            </w:r>
          </w:p>
        </w:tc>
        <w:tc>
          <w:tcPr>
            <w:tcW w:w="7383" w:type="dxa"/>
            <w:shd w:val="clear" w:color="auto" w:fill="auto"/>
            <w:vAlign w:val="center"/>
          </w:tcPr>
          <w:p w14:paraId="35756FEC">
            <w:pPr>
              <w:adjustRightInd w:val="0"/>
              <w:snapToGrid w:val="0"/>
              <w:spacing w:line="360" w:lineRule="exact"/>
              <w:ind w:firstLine="420" w:firstLineChars="200"/>
              <w:jc w:val="left"/>
              <w:rPr>
                <w:rFonts w:hint="eastAsia" w:ascii="宋体" w:hAnsi="宋体"/>
                <w:bCs/>
                <w:szCs w:val="21"/>
                <w:highlight w:val="none"/>
              </w:rPr>
            </w:pPr>
            <w:r>
              <w:rPr>
                <w:rFonts w:hint="eastAsia" w:ascii="黑体" w:hAnsi="黑体" w:eastAsia="黑体"/>
                <w:bCs/>
                <w:szCs w:val="21"/>
                <w:highlight w:val="none"/>
              </w:rPr>
              <w:t>本次评标采用技术评分最低标价法</w:t>
            </w:r>
            <w:r>
              <w:rPr>
                <w:rFonts w:hint="eastAsia" w:ascii="宋体" w:hAnsi="宋体"/>
                <w:bCs/>
                <w:szCs w:val="21"/>
                <w:highlight w:val="none"/>
              </w:rPr>
              <w:t>。评标委员会对满足招标文件实质性要求投标文件的施工组织设计、主要人员、企业业绩、履约信誉等因素进行评分，按照得分由高到低排序，对排名在招标文件规定数量以内的投标人的报价文件进行评审，按照评标价由低到高的顺序推荐中标候选人，但投标报价低于其成本的除外。评标价相等时，投标文件第一个信封（商务及技术文件）排序在前的投标人优先。</w:t>
            </w:r>
          </w:p>
          <w:p w14:paraId="5AC5A061">
            <w:pPr>
              <w:adjustRightInd w:val="0"/>
              <w:snapToGrid w:val="0"/>
              <w:spacing w:line="400" w:lineRule="exact"/>
              <w:ind w:firstLine="420" w:firstLineChars="200"/>
              <w:rPr>
                <w:rFonts w:hint="eastAsia" w:ascii="楷体" w:hAnsi="楷体" w:eastAsia="楷体"/>
                <w:bCs/>
                <w:szCs w:val="21"/>
                <w:highlight w:val="none"/>
              </w:rPr>
            </w:pPr>
            <w:bookmarkStart w:id="95" w:name="_Hlk186124453"/>
            <w:r>
              <w:rPr>
                <w:rFonts w:hint="eastAsia" w:ascii="宋体" w:hAnsi="宋体"/>
                <w:bCs/>
                <w:szCs w:val="21"/>
                <w:highlight w:val="none"/>
              </w:rPr>
              <w:t>每个投标人（包括联合体各成员）</w:t>
            </w:r>
            <w:r>
              <w:rPr>
                <w:rFonts w:hint="eastAsia" w:ascii="黑体" w:hAnsi="黑体" w:eastAsia="黑体"/>
                <w:bCs/>
                <w:szCs w:val="21"/>
                <w:highlight w:val="none"/>
              </w:rPr>
              <w:t>可对本次招标所有标段进行投标</w:t>
            </w:r>
            <w:r>
              <w:rPr>
                <w:rFonts w:hint="eastAsia" w:ascii="宋体" w:hAnsi="宋体"/>
                <w:bCs/>
                <w:szCs w:val="21"/>
                <w:highlight w:val="none"/>
              </w:rPr>
              <w:t>，每个投标人（包括联合体各成员）</w:t>
            </w:r>
            <w:r>
              <w:rPr>
                <w:rFonts w:hint="eastAsia" w:ascii="黑体" w:hAnsi="黑体" w:eastAsia="黑体"/>
                <w:bCs/>
                <w:szCs w:val="21"/>
                <w:highlight w:val="none"/>
              </w:rPr>
              <w:t>允许中1个标段</w:t>
            </w:r>
            <w:r>
              <w:rPr>
                <w:rFonts w:hint="eastAsia" w:ascii="宋体" w:hAnsi="宋体"/>
                <w:bCs/>
                <w:szCs w:val="21"/>
                <w:highlight w:val="none"/>
              </w:rPr>
              <w:t xml:space="preserve">，被推荐为评标顺序在前标段的中标候选人（包括联合体各方），将不再参与后续标段的中标候选人推荐。评标顺序为YB25YH01标段→YB25YH02标段→YB25JT01标段。 </w:t>
            </w:r>
            <w:bookmarkEnd w:id="95"/>
            <w:r>
              <w:rPr>
                <w:rFonts w:hint="eastAsia" w:ascii="宋体" w:hAnsi="宋体"/>
                <w:bCs/>
                <w:szCs w:val="21"/>
                <w:highlight w:val="none"/>
              </w:rPr>
              <w:t xml:space="preserve"> </w:t>
            </w:r>
          </w:p>
        </w:tc>
      </w:tr>
      <w:tr w14:paraId="4A36F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03" w:hRule="atLeast"/>
          <w:jc w:val="center"/>
        </w:trPr>
        <w:tc>
          <w:tcPr>
            <w:tcW w:w="856" w:type="dxa"/>
            <w:tcBorders>
              <w:bottom w:val="single" w:color="auto" w:sz="4" w:space="0"/>
            </w:tcBorders>
            <w:shd w:val="clear" w:color="auto" w:fill="auto"/>
            <w:vAlign w:val="center"/>
          </w:tcPr>
          <w:p w14:paraId="10A92BD2">
            <w:pPr>
              <w:autoSpaceDE w:val="0"/>
              <w:autoSpaceDN w:val="0"/>
              <w:adjustRightInd w:val="0"/>
              <w:snapToGrid w:val="0"/>
              <w:spacing w:line="300" w:lineRule="auto"/>
              <w:ind w:firstLine="210" w:firstLineChars="100"/>
              <w:rPr>
                <w:rFonts w:hint="eastAsia" w:ascii="宋体" w:hAnsi="宋体"/>
                <w:bCs/>
                <w:szCs w:val="21"/>
                <w:highlight w:val="none"/>
              </w:rPr>
            </w:pPr>
            <w:r>
              <w:rPr>
                <w:rFonts w:ascii="宋体" w:hAnsi="宋体"/>
                <w:bCs/>
                <w:szCs w:val="21"/>
                <w:highlight w:val="none"/>
              </w:rPr>
              <w:t>2.1.1</w:t>
            </w:r>
          </w:p>
          <w:p w14:paraId="4502D2DB">
            <w:pPr>
              <w:autoSpaceDE w:val="0"/>
              <w:autoSpaceDN w:val="0"/>
              <w:adjustRightInd w:val="0"/>
              <w:snapToGrid w:val="0"/>
              <w:spacing w:line="300" w:lineRule="auto"/>
              <w:ind w:firstLine="210" w:firstLineChars="100"/>
              <w:rPr>
                <w:rFonts w:hint="eastAsia" w:ascii="宋体" w:hAnsi="宋体"/>
                <w:bCs/>
                <w:szCs w:val="21"/>
                <w:highlight w:val="none"/>
              </w:rPr>
            </w:pPr>
            <w:r>
              <w:rPr>
                <w:rFonts w:ascii="宋体" w:hAnsi="宋体"/>
                <w:bCs/>
                <w:szCs w:val="21"/>
                <w:highlight w:val="none"/>
              </w:rPr>
              <w:t>2.1.3</w:t>
            </w:r>
          </w:p>
        </w:tc>
        <w:tc>
          <w:tcPr>
            <w:tcW w:w="1389" w:type="dxa"/>
            <w:tcBorders>
              <w:bottom w:val="single" w:color="auto" w:sz="4" w:space="0"/>
            </w:tcBorders>
            <w:shd w:val="clear" w:color="auto" w:fill="auto"/>
            <w:vAlign w:val="center"/>
          </w:tcPr>
          <w:p w14:paraId="186004E9">
            <w:pPr>
              <w:adjustRightInd w:val="0"/>
              <w:snapToGrid w:val="0"/>
              <w:spacing w:line="300" w:lineRule="auto"/>
              <w:ind w:firstLine="210" w:firstLineChars="100"/>
              <w:rPr>
                <w:rFonts w:hint="eastAsia" w:ascii="宋体" w:hAnsi="宋体"/>
                <w:bCs/>
                <w:szCs w:val="21"/>
                <w:highlight w:val="none"/>
              </w:rPr>
            </w:pPr>
            <w:r>
              <w:rPr>
                <w:rFonts w:hint="eastAsia" w:ascii="宋体" w:hAnsi="宋体"/>
                <w:bCs/>
                <w:szCs w:val="21"/>
                <w:highlight w:val="none"/>
              </w:rPr>
              <w:t>形式评审与</w:t>
            </w:r>
          </w:p>
          <w:p w14:paraId="36A920F5">
            <w:pPr>
              <w:adjustRightInd w:val="0"/>
              <w:snapToGrid w:val="0"/>
              <w:spacing w:line="300" w:lineRule="auto"/>
              <w:ind w:firstLine="210" w:firstLineChars="100"/>
              <w:rPr>
                <w:rFonts w:hint="eastAsia" w:ascii="宋体" w:hAnsi="宋体"/>
                <w:bCs/>
                <w:szCs w:val="21"/>
                <w:highlight w:val="none"/>
              </w:rPr>
            </w:pPr>
            <w:r>
              <w:rPr>
                <w:rFonts w:hint="eastAsia" w:ascii="宋体" w:hAnsi="宋体"/>
                <w:bCs/>
                <w:szCs w:val="21"/>
                <w:highlight w:val="none"/>
              </w:rPr>
              <w:t>响应性评审</w:t>
            </w:r>
          </w:p>
          <w:p w14:paraId="11622755">
            <w:pPr>
              <w:adjustRightInd w:val="0"/>
              <w:snapToGrid w:val="0"/>
              <w:spacing w:line="300" w:lineRule="auto"/>
              <w:ind w:firstLine="420" w:firstLineChars="200"/>
              <w:rPr>
                <w:rFonts w:hint="eastAsia" w:ascii="宋体" w:hAnsi="宋体"/>
                <w:bCs/>
                <w:szCs w:val="21"/>
                <w:highlight w:val="none"/>
              </w:rPr>
            </w:pPr>
            <w:r>
              <w:rPr>
                <w:rFonts w:hint="eastAsia" w:ascii="宋体" w:hAnsi="宋体"/>
                <w:bCs/>
                <w:szCs w:val="21"/>
                <w:highlight w:val="none"/>
              </w:rPr>
              <w:t>标准</w:t>
            </w:r>
          </w:p>
        </w:tc>
        <w:tc>
          <w:tcPr>
            <w:tcW w:w="7383" w:type="dxa"/>
            <w:tcBorders>
              <w:bottom w:val="single" w:color="auto" w:sz="4" w:space="0"/>
            </w:tcBorders>
            <w:shd w:val="clear" w:color="auto" w:fill="auto"/>
          </w:tcPr>
          <w:p w14:paraId="7D8B9090">
            <w:pPr>
              <w:spacing w:before="120" w:beforeLines="50" w:line="360" w:lineRule="exact"/>
              <w:ind w:firstLine="210" w:firstLineChars="100"/>
              <w:rPr>
                <w:rFonts w:hint="eastAsia" w:ascii="黑体" w:hAnsi="黑体" w:eastAsia="黑体"/>
                <w:bCs/>
                <w:highlight w:val="none"/>
              </w:rPr>
            </w:pPr>
            <w:r>
              <w:rPr>
                <w:rFonts w:hint="eastAsia" w:ascii="黑体" w:hAnsi="黑体" w:eastAsia="黑体"/>
                <w:bCs/>
                <w:highlight w:val="none"/>
              </w:rPr>
              <w:t>第一个信封（商务及技术文件）评审标准：</w:t>
            </w:r>
          </w:p>
          <w:p w14:paraId="6E35D65A">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投标文件按照招标文件规定的格式、内容填写，字迹清晰可辨：</w:t>
            </w:r>
          </w:p>
          <w:p w14:paraId="226D2638">
            <w:pPr>
              <w:spacing w:line="360" w:lineRule="exact"/>
              <w:ind w:firstLine="420" w:firstLineChars="200"/>
              <w:rPr>
                <w:rFonts w:hint="eastAsia" w:ascii="宋体" w:hAnsi="宋体"/>
                <w:bCs/>
                <w:szCs w:val="21"/>
                <w:highlight w:val="none"/>
              </w:rPr>
            </w:pPr>
            <w:r>
              <w:rPr>
                <w:rFonts w:hint="eastAsia" w:ascii="宋体" w:hAnsi="宋体"/>
                <w:bCs/>
                <w:szCs w:val="21"/>
                <w:highlight w:val="none"/>
              </w:rPr>
              <w:t>a.投标函按招标文件规定填报了项目名称、标段号、补遗书编号（如有）、工期、工程质量要求及安全目标；</w:t>
            </w:r>
          </w:p>
          <w:p w14:paraId="505FFEFF">
            <w:pPr>
              <w:spacing w:line="360" w:lineRule="exact"/>
              <w:ind w:firstLine="420" w:firstLineChars="200"/>
              <w:rPr>
                <w:rFonts w:hint="eastAsia" w:ascii="宋体" w:hAnsi="宋体"/>
                <w:bCs/>
                <w:szCs w:val="21"/>
                <w:highlight w:val="none"/>
              </w:rPr>
            </w:pPr>
            <w:r>
              <w:rPr>
                <w:rFonts w:hint="eastAsia" w:ascii="宋体" w:hAnsi="宋体"/>
                <w:bCs/>
                <w:szCs w:val="21"/>
                <w:highlight w:val="none"/>
              </w:rPr>
              <w:t>b.投标函附录的所有数据均符合招标文件规定；</w:t>
            </w:r>
          </w:p>
          <w:p w14:paraId="0DC64F83">
            <w:pPr>
              <w:spacing w:line="360" w:lineRule="exact"/>
              <w:ind w:firstLine="420" w:firstLineChars="200"/>
              <w:rPr>
                <w:rFonts w:hint="eastAsia" w:ascii="宋体" w:hAnsi="宋体"/>
                <w:bCs/>
                <w:szCs w:val="21"/>
                <w:highlight w:val="none"/>
              </w:rPr>
            </w:pPr>
            <w:r>
              <w:rPr>
                <w:rFonts w:hint="eastAsia" w:ascii="宋体" w:hAnsi="宋体"/>
                <w:bCs/>
                <w:szCs w:val="21"/>
                <w:highlight w:val="none"/>
              </w:rPr>
              <w:t xml:space="preserve">c.投标文件组成齐全完整，内容均按规定填写。 </w:t>
            </w:r>
          </w:p>
          <w:p w14:paraId="0BE50406">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投标文件上法定代表人或其授权代理人的签字、投标人的单位章盖章齐全，符合招标文件规定。</w:t>
            </w:r>
          </w:p>
          <w:p w14:paraId="58398DC9">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投标人按照招标文件的规定提供了投标保证金：</w:t>
            </w:r>
          </w:p>
          <w:p w14:paraId="330145A4">
            <w:pPr>
              <w:spacing w:line="360" w:lineRule="exact"/>
              <w:ind w:firstLine="420" w:firstLineChars="200"/>
              <w:rPr>
                <w:rFonts w:hint="eastAsia" w:ascii="宋体" w:hAnsi="宋体"/>
                <w:bCs/>
                <w:szCs w:val="21"/>
                <w:highlight w:val="none"/>
              </w:rPr>
            </w:pPr>
            <w:r>
              <w:rPr>
                <w:rFonts w:hint="eastAsia" w:ascii="宋体" w:hAnsi="宋体"/>
                <w:bCs/>
                <w:szCs w:val="21"/>
                <w:highlight w:val="none"/>
              </w:rPr>
              <w:t>a.投标保证金金额符合招标文件规定的金额，且投标保证金有效期不少于投标有效期；</w:t>
            </w:r>
          </w:p>
          <w:p w14:paraId="52D97473">
            <w:pPr>
              <w:spacing w:line="360" w:lineRule="exact"/>
              <w:ind w:firstLine="420" w:firstLineChars="200"/>
              <w:rPr>
                <w:rFonts w:hint="eastAsia" w:ascii="宋体" w:hAnsi="宋体"/>
                <w:bCs/>
                <w:szCs w:val="21"/>
                <w:highlight w:val="none"/>
              </w:rPr>
            </w:pPr>
            <w:r>
              <w:rPr>
                <w:rFonts w:hint="eastAsia" w:ascii="宋体" w:hAnsi="宋体"/>
                <w:bCs/>
                <w:szCs w:val="21"/>
                <w:highlight w:val="none"/>
              </w:rPr>
              <w:t>b.若投标保证金采用现金或支票形式提交，投标人应在递交投标文件截止时间之前，将投标保证金由投标人的基本账户转入招标人指定账户；</w:t>
            </w:r>
          </w:p>
          <w:p w14:paraId="7B5551BD">
            <w:pPr>
              <w:spacing w:line="360" w:lineRule="exact"/>
              <w:ind w:firstLine="420" w:firstLineChars="200"/>
              <w:rPr>
                <w:rFonts w:hint="eastAsia" w:ascii="宋体" w:hAnsi="宋体"/>
                <w:bCs/>
                <w:szCs w:val="21"/>
                <w:highlight w:val="none"/>
              </w:rPr>
            </w:pPr>
            <w:r>
              <w:rPr>
                <w:rFonts w:hint="eastAsia" w:ascii="宋体" w:hAnsi="宋体"/>
                <w:bCs/>
                <w:szCs w:val="21"/>
                <w:highlight w:val="none"/>
              </w:rPr>
              <w:t>c.若投标保证金采用保函或保单形式提交，必须为按招标文件要求在吉林省公共资源交易一体化平台办理的电子保函或电子保单。</w:t>
            </w:r>
          </w:p>
          <w:p w14:paraId="5A711920">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投标人法定代表人授权委托代理人签署投标文件的，按招标文件要求提交了授权委托书的彩色扫描件。</w:t>
            </w:r>
          </w:p>
          <w:p w14:paraId="3FDDC10F">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投标人法定代表人亲自签署投标文件的，按招标文件要求提供了法定代表人身份证明的彩色扫描件。</w:t>
            </w:r>
          </w:p>
          <w:p w14:paraId="040167EF">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YB25YH01、YB25YH02标段：投标人以联合体形式投标时，联合体满足招标文件的要求：投标人按照招标文件提供的格式签订了联合体协议书，明确各方承担连带责任，并明确了联合体牵头人。</w:t>
            </w:r>
          </w:p>
          <w:p w14:paraId="106228E4">
            <w:pPr>
              <w:spacing w:line="360" w:lineRule="exact"/>
              <w:ind w:left="210" w:firstLine="420" w:firstLineChars="200"/>
              <w:rPr>
                <w:rFonts w:hint="eastAsia" w:ascii="宋体" w:hAnsi="宋体"/>
                <w:bCs/>
                <w:szCs w:val="21"/>
                <w:highlight w:val="none"/>
              </w:rPr>
            </w:pPr>
            <w:bookmarkStart w:id="96" w:name="OLE_LINK72"/>
            <w:r>
              <w:rPr>
                <w:rFonts w:hint="eastAsia" w:ascii="宋体" w:hAnsi="宋体"/>
                <w:bCs/>
                <w:szCs w:val="21"/>
                <w:highlight w:val="none"/>
              </w:rPr>
              <w:t>YB25JT01标段：</w:t>
            </w:r>
            <w:bookmarkEnd w:id="96"/>
            <w:r>
              <w:rPr>
                <w:rFonts w:hint="eastAsia" w:ascii="宋体" w:hAnsi="宋体"/>
                <w:bCs/>
                <w:szCs w:val="21"/>
                <w:highlight w:val="none"/>
              </w:rPr>
              <w:t>投标人未以联合体形式投标。</w:t>
            </w:r>
          </w:p>
          <w:p w14:paraId="079335B1">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投标人未提出分包计划。</w:t>
            </w:r>
          </w:p>
          <w:p w14:paraId="357F69C5">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投标文件中未出现有关投标报价的内容。</w:t>
            </w:r>
          </w:p>
          <w:p w14:paraId="74097352">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投标文件载明的招标项目完成期限未超过招标文件规定的时限。</w:t>
            </w:r>
          </w:p>
          <w:p w14:paraId="2999F8F1">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投标文件对招标文件的实质性要求和条件作出响应。</w:t>
            </w:r>
          </w:p>
          <w:p w14:paraId="12EFFB9D">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权利义务符合招标文件规定：</w:t>
            </w:r>
          </w:p>
          <w:p w14:paraId="1B946325">
            <w:pPr>
              <w:spacing w:line="360" w:lineRule="exact"/>
              <w:ind w:firstLine="420" w:firstLineChars="200"/>
              <w:rPr>
                <w:rFonts w:hint="eastAsia" w:ascii="宋体" w:hAnsi="宋体"/>
                <w:bCs/>
                <w:szCs w:val="21"/>
                <w:highlight w:val="none"/>
              </w:rPr>
            </w:pPr>
            <w:r>
              <w:rPr>
                <w:rFonts w:hint="eastAsia" w:ascii="宋体" w:hAnsi="宋体"/>
                <w:bCs/>
                <w:szCs w:val="21"/>
                <w:highlight w:val="none"/>
              </w:rPr>
              <w:t>a.投标人应接受招标文件规定的风险划分原则，未提出新的风险划分办法；</w:t>
            </w:r>
          </w:p>
          <w:p w14:paraId="26AC4342">
            <w:pPr>
              <w:spacing w:line="360" w:lineRule="exact"/>
              <w:ind w:firstLine="420" w:firstLineChars="200"/>
              <w:rPr>
                <w:rFonts w:hint="eastAsia" w:ascii="宋体" w:hAnsi="宋体"/>
                <w:bCs/>
                <w:szCs w:val="21"/>
                <w:highlight w:val="none"/>
              </w:rPr>
            </w:pPr>
            <w:r>
              <w:rPr>
                <w:rFonts w:hint="eastAsia" w:ascii="宋体" w:hAnsi="宋体"/>
                <w:bCs/>
                <w:szCs w:val="21"/>
                <w:highlight w:val="none"/>
              </w:rPr>
              <w:t>b.投标人未增加发包人的责任范围，或减少投标人义务；</w:t>
            </w:r>
          </w:p>
          <w:p w14:paraId="399CF306">
            <w:pPr>
              <w:spacing w:line="360" w:lineRule="exact"/>
              <w:ind w:firstLine="420" w:firstLineChars="200"/>
              <w:rPr>
                <w:rFonts w:hint="eastAsia" w:ascii="宋体" w:hAnsi="宋体"/>
                <w:bCs/>
                <w:szCs w:val="21"/>
                <w:highlight w:val="none"/>
              </w:rPr>
            </w:pPr>
            <w:r>
              <w:rPr>
                <w:rFonts w:hint="eastAsia" w:ascii="宋体" w:hAnsi="宋体"/>
                <w:bCs/>
                <w:szCs w:val="21"/>
                <w:highlight w:val="none"/>
              </w:rPr>
              <w:t>c.投标人未提出不同的工程验收、计量、支付办法；</w:t>
            </w:r>
          </w:p>
          <w:p w14:paraId="552401EC">
            <w:pPr>
              <w:spacing w:line="360" w:lineRule="exact"/>
              <w:ind w:firstLine="420" w:firstLineChars="200"/>
              <w:rPr>
                <w:rFonts w:hint="eastAsia" w:ascii="宋体" w:hAnsi="宋体"/>
                <w:bCs/>
                <w:szCs w:val="21"/>
                <w:highlight w:val="none"/>
              </w:rPr>
            </w:pPr>
            <w:r>
              <w:rPr>
                <w:rFonts w:hint="eastAsia" w:ascii="宋体" w:hAnsi="宋体"/>
                <w:bCs/>
                <w:szCs w:val="21"/>
                <w:highlight w:val="none"/>
              </w:rPr>
              <w:t>d.投标人对合同纠纷、事故处理办法未提出异议；</w:t>
            </w:r>
          </w:p>
          <w:p w14:paraId="616AA548">
            <w:pPr>
              <w:spacing w:line="360" w:lineRule="exact"/>
              <w:ind w:firstLine="420" w:firstLineChars="200"/>
              <w:rPr>
                <w:rFonts w:hint="eastAsia" w:ascii="宋体" w:hAnsi="宋体"/>
                <w:bCs/>
                <w:szCs w:val="21"/>
                <w:highlight w:val="none"/>
              </w:rPr>
            </w:pPr>
            <w:r>
              <w:rPr>
                <w:rFonts w:hint="eastAsia" w:ascii="宋体" w:hAnsi="宋体"/>
                <w:bCs/>
                <w:szCs w:val="21"/>
                <w:highlight w:val="none"/>
              </w:rPr>
              <w:t>e.投标人在投标活动中无欺诈行为；</w:t>
            </w:r>
          </w:p>
          <w:p w14:paraId="5353A03C">
            <w:pPr>
              <w:spacing w:line="360" w:lineRule="exact"/>
              <w:ind w:firstLine="420" w:firstLineChars="200"/>
              <w:rPr>
                <w:rFonts w:hint="eastAsia" w:ascii="宋体" w:hAnsi="宋体"/>
                <w:bCs/>
                <w:szCs w:val="21"/>
                <w:highlight w:val="none"/>
              </w:rPr>
            </w:pPr>
            <w:r>
              <w:rPr>
                <w:rFonts w:hint="eastAsia" w:ascii="宋体" w:hAnsi="宋体"/>
                <w:bCs/>
                <w:szCs w:val="21"/>
                <w:highlight w:val="none"/>
              </w:rPr>
              <w:t>f.投标人未对合同条款有重要保留。</w:t>
            </w:r>
          </w:p>
        </w:tc>
      </w:tr>
      <w:tr w14:paraId="7DC8D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7" w:hRule="atLeast"/>
          <w:jc w:val="center"/>
        </w:trPr>
        <w:tc>
          <w:tcPr>
            <w:tcW w:w="856" w:type="dxa"/>
            <w:tcBorders>
              <w:top w:val="single" w:color="auto" w:sz="4" w:space="0"/>
            </w:tcBorders>
            <w:shd w:val="clear" w:color="auto" w:fill="auto"/>
            <w:vAlign w:val="center"/>
          </w:tcPr>
          <w:p w14:paraId="39F7D7B0">
            <w:pPr>
              <w:autoSpaceDE w:val="0"/>
              <w:autoSpaceDN w:val="0"/>
              <w:adjustRightInd w:val="0"/>
              <w:snapToGrid w:val="0"/>
              <w:spacing w:line="300" w:lineRule="auto"/>
              <w:ind w:firstLine="210" w:firstLineChars="100"/>
              <w:rPr>
                <w:rFonts w:hint="eastAsia" w:ascii="宋体" w:hAnsi="宋体"/>
                <w:bCs/>
                <w:szCs w:val="21"/>
                <w:highlight w:val="none"/>
              </w:rPr>
            </w:pPr>
            <w:r>
              <w:rPr>
                <w:rFonts w:ascii="宋体" w:hAnsi="宋体"/>
                <w:bCs/>
                <w:szCs w:val="21"/>
                <w:highlight w:val="none"/>
              </w:rPr>
              <w:t>2.1.1</w:t>
            </w:r>
          </w:p>
          <w:p w14:paraId="741A5AFE">
            <w:pPr>
              <w:autoSpaceDE w:val="0"/>
              <w:autoSpaceDN w:val="0"/>
              <w:adjustRightInd w:val="0"/>
              <w:snapToGrid w:val="0"/>
              <w:spacing w:line="300" w:lineRule="auto"/>
              <w:ind w:firstLine="210" w:firstLineChars="100"/>
              <w:rPr>
                <w:rFonts w:hint="eastAsia" w:ascii="宋体" w:hAnsi="宋体"/>
                <w:bCs/>
                <w:szCs w:val="21"/>
                <w:highlight w:val="none"/>
              </w:rPr>
            </w:pPr>
            <w:r>
              <w:rPr>
                <w:rFonts w:ascii="宋体" w:hAnsi="宋体"/>
                <w:bCs/>
                <w:szCs w:val="21"/>
                <w:highlight w:val="none"/>
              </w:rPr>
              <w:t>2.1.3</w:t>
            </w:r>
          </w:p>
        </w:tc>
        <w:tc>
          <w:tcPr>
            <w:tcW w:w="1389" w:type="dxa"/>
            <w:tcBorders>
              <w:top w:val="single" w:color="auto" w:sz="4" w:space="0"/>
            </w:tcBorders>
            <w:shd w:val="clear" w:color="auto" w:fill="auto"/>
            <w:vAlign w:val="center"/>
          </w:tcPr>
          <w:p w14:paraId="3221BD3B">
            <w:pPr>
              <w:adjustRightInd w:val="0"/>
              <w:snapToGrid w:val="0"/>
              <w:spacing w:line="300" w:lineRule="auto"/>
              <w:ind w:firstLine="210" w:firstLineChars="100"/>
              <w:rPr>
                <w:rFonts w:hint="eastAsia" w:ascii="宋体" w:hAnsi="宋体"/>
                <w:bCs/>
                <w:szCs w:val="21"/>
                <w:highlight w:val="none"/>
              </w:rPr>
            </w:pPr>
            <w:r>
              <w:rPr>
                <w:rFonts w:hint="eastAsia" w:ascii="宋体" w:hAnsi="宋体"/>
                <w:bCs/>
                <w:szCs w:val="21"/>
                <w:highlight w:val="none"/>
              </w:rPr>
              <w:t>形式评审与</w:t>
            </w:r>
          </w:p>
          <w:p w14:paraId="53655D1E">
            <w:pPr>
              <w:adjustRightInd w:val="0"/>
              <w:snapToGrid w:val="0"/>
              <w:spacing w:line="300" w:lineRule="auto"/>
              <w:ind w:firstLine="210" w:firstLineChars="100"/>
              <w:rPr>
                <w:rFonts w:hint="eastAsia" w:ascii="宋体" w:hAnsi="宋体"/>
                <w:bCs/>
                <w:szCs w:val="21"/>
                <w:highlight w:val="none"/>
              </w:rPr>
            </w:pPr>
            <w:r>
              <w:rPr>
                <w:rFonts w:hint="eastAsia" w:ascii="宋体" w:hAnsi="宋体"/>
                <w:bCs/>
                <w:szCs w:val="21"/>
                <w:highlight w:val="none"/>
              </w:rPr>
              <w:t>响应性评审</w:t>
            </w:r>
          </w:p>
          <w:p w14:paraId="72B23C2F">
            <w:pPr>
              <w:adjustRightInd w:val="0"/>
              <w:snapToGrid w:val="0"/>
              <w:spacing w:line="300" w:lineRule="auto"/>
              <w:ind w:firstLine="420" w:firstLineChars="200"/>
              <w:rPr>
                <w:rFonts w:hint="eastAsia" w:ascii="宋体" w:hAnsi="宋体"/>
                <w:bCs/>
                <w:szCs w:val="21"/>
                <w:highlight w:val="none"/>
              </w:rPr>
            </w:pPr>
            <w:r>
              <w:rPr>
                <w:rFonts w:hint="eastAsia" w:ascii="宋体" w:hAnsi="宋体"/>
                <w:bCs/>
                <w:szCs w:val="21"/>
                <w:highlight w:val="none"/>
              </w:rPr>
              <w:t>标准</w:t>
            </w:r>
          </w:p>
        </w:tc>
        <w:tc>
          <w:tcPr>
            <w:tcW w:w="7383" w:type="dxa"/>
            <w:tcBorders>
              <w:top w:val="single" w:color="auto" w:sz="4" w:space="0"/>
            </w:tcBorders>
            <w:shd w:val="clear" w:color="auto" w:fill="auto"/>
          </w:tcPr>
          <w:p w14:paraId="3ABBD3AE">
            <w:pPr>
              <w:adjustRightInd w:val="0"/>
              <w:snapToGrid w:val="0"/>
              <w:spacing w:line="360" w:lineRule="exact"/>
              <w:ind w:firstLine="210" w:firstLineChars="100"/>
              <w:rPr>
                <w:rFonts w:hint="eastAsia" w:ascii="黑体" w:hAnsi="黑体" w:eastAsia="黑体"/>
                <w:bCs/>
                <w:highlight w:val="none"/>
              </w:rPr>
            </w:pPr>
            <w:r>
              <w:rPr>
                <w:rFonts w:hint="eastAsia" w:ascii="黑体" w:hAnsi="黑体" w:eastAsia="黑体"/>
                <w:bCs/>
                <w:highlight w:val="none"/>
              </w:rPr>
              <w:t>第二个信封（报价文件）评审标准：</w:t>
            </w:r>
          </w:p>
          <w:p w14:paraId="52B496BF">
            <w:pPr>
              <w:numPr>
                <w:ilvl w:val="0"/>
                <w:numId w:val="2"/>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投标文件按照招标文件规定的格式、内容填写，字迹清晰可辨：</w:t>
            </w:r>
          </w:p>
          <w:p w14:paraId="750803BC">
            <w:pPr>
              <w:adjustRightInd w:val="0"/>
              <w:snapToGrid w:val="0"/>
              <w:spacing w:line="360" w:lineRule="exact"/>
              <w:ind w:firstLine="420" w:firstLineChars="200"/>
              <w:rPr>
                <w:rFonts w:hint="eastAsia" w:ascii="宋体" w:hAnsi="宋体"/>
                <w:bCs/>
                <w:szCs w:val="21"/>
                <w:highlight w:val="none"/>
              </w:rPr>
            </w:pPr>
            <w:r>
              <w:rPr>
                <w:rFonts w:hint="eastAsia" w:ascii="宋体" w:hAnsi="宋体"/>
                <w:bCs/>
                <w:szCs w:val="21"/>
                <w:highlight w:val="none"/>
              </w:rPr>
              <w:t>a.投标函按招标文件规定填报了项目名称、标段号、补遗书编号（如有）、投标价（包括大写金额和小写金额）；</w:t>
            </w:r>
          </w:p>
          <w:p w14:paraId="4F844825">
            <w:pPr>
              <w:adjustRightInd w:val="0"/>
              <w:snapToGrid w:val="0"/>
              <w:spacing w:line="360" w:lineRule="exact"/>
              <w:ind w:firstLine="420" w:firstLineChars="200"/>
              <w:rPr>
                <w:rFonts w:hint="eastAsia" w:ascii="宋体" w:hAnsi="宋体"/>
                <w:bCs/>
                <w:szCs w:val="21"/>
                <w:highlight w:val="none"/>
              </w:rPr>
            </w:pPr>
            <w:r>
              <w:rPr>
                <w:rFonts w:hint="eastAsia" w:ascii="宋体" w:hAnsi="宋体"/>
                <w:bCs/>
                <w:szCs w:val="21"/>
                <w:highlight w:val="none"/>
              </w:rPr>
              <w:t>b.投标文件组成齐全完整，内容均按规定填写。</w:t>
            </w:r>
          </w:p>
          <w:p w14:paraId="20D08F3B">
            <w:pPr>
              <w:numPr>
                <w:ilvl w:val="0"/>
                <w:numId w:val="2"/>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投标文件上法定代表人或其委托代理人的签字、投标人的单位章盖章齐全，符合招标文件规定。</w:t>
            </w:r>
          </w:p>
          <w:p w14:paraId="7C139176">
            <w:pPr>
              <w:numPr>
                <w:ilvl w:val="0"/>
                <w:numId w:val="2"/>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投标报价未超过招标文件设定的最高投标限价。</w:t>
            </w:r>
          </w:p>
          <w:p w14:paraId="15C06391">
            <w:pPr>
              <w:numPr>
                <w:ilvl w:val="0"/>
                <w:numId w:val="2"/>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投标报价的大写金额能够确定具体数值。</w:t>
            </w:r>
          </w:p>
          <w:p w14:paraId="10B8635B">
            <w:pPr>
              <w:numPr>
                <w:ilvl w:val="0"/>
                <w:numId w:val="2"/>
              </w:numPr>
              <w:adjustRightInd w:val="0"/>
              <w:snapToGrid w:val="0"/>
              <w:spacing w:line="360" w:lineRule="exact"/>
              <w:ind w:left="0" w:firstLine="210" w:firstLineChars="100"/>
              <w:rPr>
                <w:rFonts w:hint="eastAsia" w:ascii="宋体" w:hAnsi="宋体"/>
                <w:bCs/>
                <w:highlight w:val="none"/>
              </w:rPr>
            </w:pPr>
            <w:r>
              <w:rPr>
                <w:rFonts w:hint="eastAsia" w:ascii="宋体" w:hAnsi="宋体"/>
                <w:bCs/>
                <w:szCs w:val="21"/>
                <w:highlight w:val="none"/>
              </w:rPr>
              <w:t>同一投标人同一标段未提交两个以上不同的投标报价。</w:t>
            </w:r>
          </w:p>
          <w:p w14:paraId="0CC85DF2">
            <w:pPr>
              <w:numPr>
                <w:ilvl w:val="0"/>
                <w:numId w:val="2"/>
              </w:numPr>
              <w:adjustRightInd w:val="0"/>
              <w:snapToGrid w:val="0"/>
              <w:spacing w:line="360" w:lineRule="exact"/>
              <w:ind w:left="0" w:firstLine="210" w:firstLineChars="100"/>
              <w:rPr>
                <w:rFonts w:hint="eastAsia" w:ascii="宋体" w:hAnsi="宋体"/>
                <w:bCs/>
                <w:highlight w:val="none"/>
              </w:rPr>
            </w:pPr>
            <w:r>
              <w:rPr>
                <w:rFonts w:hint="eastAsia" w:ascii="宋体" w:hAnsi="宋体"/>
                <w:bCs/>
                <w:szCs w:val="21"/>
                <w:highlight w:val="none"/>
              </w:rPr>
              <w:t>投标人填写工程量固化清单，填写完毕的工程量固化清单未对工程量固化清单电子文件中的数据、格式和运算定义进行修改；工程量固化清单中的投标报价和投标函大写金额报价一致。</w:t>
            </w:r>
          </w:p>
        </w:tc>
      </w:tr>
      <w:tr w14:paraId="344F3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50" w:hRule="atLeast"/>
          <w:jc w:val="center"/>
        </w:trPr>
        <w:tc>
          <w:tcPr>
            <w:tcW w:w="856" w:type="dxa"/>
            <w:tcBorders>
              <w:bottom w:val="single" w:color="auto" w:sz="4" w:space="0"/>
            </w:tcBorders>
            <w:shd w:val="clear" w:color="auto" w:fill="auto"/>
            <w:vAlign w:val="center"/>
          </w:tcPr>
          <w:p w14:paraId="1CCB287F">
            <w:pPr>
              <w:autoSpaceDE w:val="0"/>
              <w:autoSpaceDN w:val="0"/>
              <w:adjustRightInd w:val="0"/>
              <w:snapToGrid w:val="0"/>
              <w:spacing w:line="300" w:lineRule="auto"/>
              <w:ind w:firstLine="210" w:firstLineChars="100"/>
              <w:rPr>
                <w:rFonts w:hint="eastAsia" w:ascii="宋体" w:hAnsi="宋体"/>
                <w:bCs/>
                <w:szCs w:val="21"/>
                <w:highlight w:val="none"/>
              </w:rPr>
            </w:pPr>
            <w:r>
              <w:rPr>
                <w:rFonts w:ascii="宋体" w:hAnsi="宋体"/>
                <w:bCs/>
                <w:szCs w:val="21"/>
                <w:highlight w:val="none"/>
              </w:rPr>
              <w:t>2.1.2</w:t>
            </w:r>
          </w:p>
        </w:tc>
        <w:tc>
          <w:tcPr>
            <w:tcW w:w="1389" w:type="dxa"/>
            <w:tcBorders>
              <w:bottom w:val="single" w:color="auto" w:sz="4" w:space="0"/>
            </w:tcBorders>
            <w:shd w:val="clear" w:color="auto" w:fill="auto"/>
            <w:vAlign w:val="center"/>
          </w:tcPr>
          <w:p w14:paraId="38DD63AF">
            <w:pPr>
              <w:adjustRightInd w:val="0"/>
              <w:snapToGrid w:val="0"/>
              <w:spacing w:line="300" w:lineRule="auto"/>
              <w:jc w:val="center"/>
              <w:rPr>
                <w:rFonts w:hint="eastAsia" w:ascii="宋体" w:hAnsi="宋体"/>
                <w:bCs/>
                <w:szCs w:val="21"/>
                <w:highlight w:val="none"/>
              </w:rPr>
            </w:pPr>
            <w:r>
              <w:rPr>
                <w:rFonts w:hint="eastAsia" w:ascii="宋体" w:hAnsi="宋体"/>
                <w:bCs/>
                <w:szCs w:val="21"/>
                <w:highlight w:val="none"/>
              </w:rPr>
              <w:t>资格评审</w:t>
            </w:r>
          </w:p>
          <w:p w14:paraId="2045F85C">
            <w:pPr>
              <w:adjustRightInd w:val="0"/>
              <w:snapToGrid w:val="0"/>
              <w:spacing w:line="300" w:lineRule="auto"/>
              <w:jc w:val="center"/>
              <w:rPr>
                <w:rFonts w:hint="eastAsia" w:ascii="宋体" w:hAnsi="宋体"/>
                <w:bCs/>
                <w:szCs w:val="21"/>
                <w:highlight w:val="none"/>
              </w:rPr>
            </w:pPr>
            <w:r>
              <w:rPr>
                <w:rFonts w:hint="eastAsia" w:ascii="宋体" w:hAnsi="宋体"/>
                <w:bCs/>
                <w:szCs w:val="21"/>
                <w:highlight w:val="none"/>
              </w:rPr>
              <w:t>标准</w:t>
            </w:r>
          </w:p>
        </w:tc>
        <w:tc>
          <w:tcPr>
            <w:tcW w:w="7383" w:type="dxa"/>
            <w:tcBorders>
              <w:bottom w:val="single" w:color="auto" w:sz="4" w:space="0"/>
            </w:tcBorders>
            <w:shd w:val="clear" w:color="auto" w:fill="auto"/>
          </w:tcPr>
          <w:p w14:paraId="37559559">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投标人具备有效的营业执照、资质证书、安全生产许可证、基本账户开户许可证（或基本账户开户其他证明材料）。</w:t>
            </w:r>
          </w:p>
          <w:p w14:paraId="694F4C73">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投标人的资质等级符合招标文件规定。</w:t>
            </w:r>
          </w:p>
          <w:p w14:paraId="5C88B54F">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投标人的财务状况符合招标文件规定。</w:t>
            </w:r>
          </w:p>
          <w:p w14:paraId="3DA94760">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ascii="宋体" w:hAnsi="宋体"/>
                <w:bCs/>
                <w:szCs w:val="21"/>
                <w:highlight w:val="none"/>
              </w:rPr>
              <w:t>投标人的类似项目业绩符合招标文件规定。</w:t>
            </w:r>
          </w:p>
          <w:p w14:paraId="58466BCF">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投标人的信誉符合招标文件规定。</w:t>
            </w:r>
          </w:p>
          <w:p w14:paraId="01CBC537">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投标人的项目经理和项目总工资格、在岗情况符合招标文件规定。</w:t>
            </w:r>
          </w:p>
          <w:p w14:paraId="4BF72219">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投标人的其他要求符合招标文件规定。</w:t>
            </w:r>
          </w:p>
          <w:p w14:paraId="6FBE28C1">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投标人不存在第二章“投标人须知”第1.4.3项或第1.4.4项规定的任何一种情形。</w:t>
            </w:r>
          </w:p>
          <w:p w14:paraId="4DB5035F">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以联合体形式参与投标的，联合体各方均未再以自己名义单独或参加其他联合体在同一标段中投标；独立参与投标的，投标人未同时参加联合体在同一标段中投标。</w:t>
            </w:r>
          </w:p>
        </w:tc>
      </w:tr>
      <w:tr w14:paraId="07A77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5DED3775">
            <w:pPr>
              <w:autoSpaceDE w:val="0"/>
              <w:autoSpaceDN w:val="0"/>
              <w:adjustRightInd w:val="0"/>
              <w:snapToGrid w:val="0"/>
              <w:spacing w:line="300" w:lineRule="auto"/>
              <w:ind w:firstLine="210" w:firstLineChars="100"/>
              <w:rPr>
                <w:rFonts w:hint="eastAsia" w:ascii="宋体" w:hAnsi="宋体"/>
                <w:bCs/>
                <w:szCs w:val="21"/>
                <w:highlight w:val="none"/>
              </w:rPr>
            </w:pPr>
            <w:r>
              <w:rPr>
                <w:rFonts w:ascii="宋体" w:hAnsi="宋体"/>
                <w:bCs/>
                <w:szCs w:val="21"/>
                <w:highlight w:val="none"/>
              </w:rPr>
              <w:t>2.2.1</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70757B16">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第一个信封</w:t>
            </w:r>
          </w:p>
          <w:p w14:paraId="65FFF74C">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评分分值构成（总分</w:t>
            </w:r>
            <w:r>
              <w:rPr>
                <w:rFonts w:ascii="宋体" w:hAnsi="宋体"/>
                <w:bCs/>
                <w:szCs w:val="21"/>
                <w:highlight w:val="none"/>
              </w:rPr>
              <w:t>100</w:t>
            </w:r>
            <w:r>
              <w:rPr>
                <w:rFonts w:hint="eastAsia" w:ascii="宋体" w:hAnsi="宋体"/>
                <w:bCs/>
                <w:szCs w:val="21"/>
                <w:highlight w:val="none"/>
              </w:rPr>
              <w:t>分）</w:t>
            </w:r>
          </w:p>
        </w:tc>
        <w:tc>
          <w:tcPr>
            <w:tcW w:w="7383" w:type="dxa"/>
            <w:tcBorders>
              <w:top w:val="single" w:color="000000" w:sz="4" w:space="0"/>
              <w:left w:val="single" w:color="000000" w:sz="4" w:space="0"/>
              <w:bottom w:val="single" w:color="auto" w:sz="4" w:space="0"/>
              <w:right w:val="single" w:color="000000" w:sz="4" w:space="0"/>
            </w:tcBorders>
            <w:shd w:val="clear" w:color="auto" w:fill="auto"/>
          </w:tcPr>
          <w:p w14:paraId="63840519">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施工组织设计：40分</w:t>
            </w:r>
          </w:p>
          <w:p w14:paraId="5AC47F59">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主要人员：25分</w:t>
            </w:r>
          </w:p>
          <w:p w14:paraId="2DA376CC">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企业业绩：20分</w:t>
            </w:r>
          </w:p>
          <w:p w14:paraId="3E421189">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履约信誉：15分</w:t>
            </w:r>
          </w:p>
        </w:tc>
      </w:tr>
      <w:tr w14:paraId="3F2F8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5"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3F146B01">
            <w:pPr>
              <w:autoSpaceDE w:val="0"/>
              <w:autoSpaceDN w:val="0"/>
              <w:adjustRightInd w:val="0"/>
              <w:snapToGrid w:val="0"/>
              <w:spacing w:line="300" w:lineRule="auto"/>
              <w:ind w:firstLine="210" w:firstLineChars="100"/>
              <w:rPr>
                <w:rFonts w:hint="eastAsia" w:ascii="宋体" w:hAnsi="宋体"/>
                <w:bCs/>
                <w:szCs w:val="21"/>
                <w:highlight w:val="none"/>
              </w:rPr>
            </w:pPr>
            <w:r>
              <w:rPr>
                <w:rFonts w:hint="eastAsia" w:ascii="宋体" w:hAnsi="宋体"/>
                <w:bCs/>
                <w:szCs w:val="21"/>
                <w:highlight w:val="none"/>
              </w:rPr>
              <w:t>2.2.</w:t>
            </w:r>
            <w:r>
              <w:rPr>
                <w:rFonts w:ascii="宋体" w:hAnsi="宋体"/>
                <w:bCs/>
                <w:szCs w:val="21"/>
                <w:highlight w:val="none"/>
              </w:rPr>
              <w:t>3</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0D59D6AA">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第二个信封</w:t>
            </w:r>
          </w:p>
          <w:p w14:paraId="4A8CEE4E">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详细评审标准</w:t>
            </w:r>
          </w:p>
        </w:tc>
        <w:tc>
          <w:tcPr>
            <w:tcW w:w="7383" w:type="dxa"/>
            <w:tcBorders>
              <w:top w:val="single" w:color="000000" w:sz="4" w:space="0"/>
              <w:left w:val="single" w:color="000000" w:sz="4" w:space="0"/>
              <w:bottom w:val="single" w:color="auto" w:sz="4" w:space="0"/>
              <w:right w:val="single" w:color="000000" w:sz="4" w:space="0"/>
            </w:tcBorders>
            <w:shd w:val="clear" w:color="auto" w:fill="auto"/>
            <w:vAlign w:val="center"/>
          </w:tcPr>
          <w:p w14:paraId="1B9F092B">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评标价计算公式：评标价=投标函文字报价-暂估价-暂列金额（不含计日工总额）</w:t>
            </w:r>
          </w:p>
        </w:tc>
      </w:tr>
      <w:tr w14:paraId="3399A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8C17">
            <w:pPr>
              <w:autoSpaceDE w:val="0"/>
              <w:autoSpaceDN w:val="0"/>
              <w:adjustRightInd w:val="0"/>
              <w:snapToGrid w:val="0"/>
              <w:spacing w:line="300" w:lineRule="auto"/>
              <w:ind w:firstLine="210" w:firstLineChars="100"/>
              <w:rPr>
                <w:rFonts w:hint="eastAsia" w:ascii="宋体" w:hAnsi="宋体"/>
                <w:bCs/>
                <w:szCs w:val="21"/>
                <w:highlight w:val="none"/>
              </w:rPr>
            </w:pPr>
            <w:r>
              <w:rPr>
                <w:rFonts w:hint="eastAsia" w:ascii="宋体" w:hAnsi="宋体"/>
                <w:bCs/>
                <w:szCs w:val="21"/>
                <w:highlight w:val="none"/>
              </w:rPr>
              <w:t>3.2.4</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FCCF">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通过第一个</w:t>
            </w:r>
          </w:p>
          <w:p w14:paraId="15BA82B8">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信封详细评审的投标人数量</w:t>
            </w:r>
          </w:p>
        </w:tc>
        <w:tc>
          <w:tcPr>
            <w:tcW w:w="7383" w:type="dxa"/>
            <w:tcBorders>
              <w:top w:val="single" w:color="000000" w:sz="4" w:space="0"/>
              <w:left w:val="single" w:color="000000" w:sz="4" w:space="0"/>
              <w:bottom w:val="single" w:color="000000" w:sz="4" w:space="0"/>
              <w:right w:val="single" w:color="000000" w:sz="4" w:space="0"/>
            </w:tcBorders>
            <w:shd w:val="clear" w:color="auto" w:fill="auto"/>
          </w:tcPr>
          <w:p w14:paraId="2F358770">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按照投标人的商务和技术得分由高到低排序，选择前3名通过第一个信封详细评审。如通过第一个信封详细评审的投标人数量不足3名时，由评标委员会根据法律、法规和部门规章的相关规定确定是否继续进行评标。</w:t>
            </w:r>
          </w:p>
        </w:tc>
      </w:tr>
    </w:tbl>
    <w:p w14:paraId="29E222DF">
      <w:pPr>
        <w:rPr>
          <w:bCs/>
          <w:highlight w:val="none"/>
        </w:rPr>
      </w:pPr>
      <w:r>
        <w:rPr>
          <w:bCs/>
          <w:highlight w:val="none"/>
        </w:rPr>
        <w:br w:type="page"/>
      </w:r>
    </w:p>
    <w:p w14:paraId="63609076">
      <w:pPr>
        <w:jc w:val="right"/>
        <w:rPr>
          <w:bCs/>
          <w:szCs w:val="21"/>
          <w:highlight w:val="none"/>
        </w:rPr>
      </w:pPr>
      <w:r>
        <w:rPr>
          <w:bCs/>
          <w:highlight w:val="none"/>
        </w:rPr>
        <w:t>续上表</w:t>
      </w:r>
      <w:bookmarkEnd w:id="83"/>
      <w:bookmarkEnd w:id="84"/>
      <w:bookmarkEnd w:id="85"/>
      <w:bookmarkEnd w:id="86"/>
      <w:bookmarkEnd w:id="87"/>
      <w:bookmarkEnd w:id="88"/>
      <w:bookmarkEnd w:id="89"/>
      <w:bookmarkEnd w:id="90"/>
      <w:bookmarkEnd w:id="91"/>
      <w:bookmarkEnd w:id="92"/>
      <w:bookmarkEnd w:id="93"/>
    </w:p>
    <w:tbl>
      <w:tblPr>
        <w:tblStyle w:val="55"/>
        <w:tblW w:w="96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1002"/>
        <w:gridCol w:w="993"/>
        <w:gridCol w:w="2266"/>
        <w:gridCol w:w="709"/>
        <w:gridCol w:w="4138"/>
      </w:tblGrid>
      <w:tr w14:paraId="57F0E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0" w:hRule="atLeast"/>
          <w:tblHeader/>
        </w:trPr>
        <w:tc>
          <w:tcPr>
            <w:tcW w:w="587" w:type="dxa"/>
            <w:vMerge w:val="restart"/>
            <w:tcBorders>
              <w:top w:val="single" w:color="auto" w:sz="4" w:space="0"/>
              <w:left w:val="single" w:color="auto" w:sz="4" w:space="0"/>
              <w:right w:val="single" w:color="auto" w:sz="4" w:space="0"/>
            </w:tcBorders>
            <w:vAlign w:val="center"/>
          </w:tcPr>
          <w:p w14:paraId="0A92FBB4">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条款</w:t>
            </w:r>
          </w:p>
          <w:p w14:paraId="43CECD08">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号</w:t>
            </w:r>
          </w:p>
        </w:tc>
        <w:tc>
          <w:tcPr>
            <w:tcW w:w="4970" w:type="dxa"/>
            <w:gridSpan w:val="4"/>
            <w:tcBorders>
              <w:top w:val="single" w:color="auto" w:sz="4" w:space="0"/>
              <w:left w:val="single" w:color="auto" w:sz="4" w:space="0"/>
              <w:right w:val="single" w:color="auto" w:sz="4" w:space="0"/>
            </w:tcBorders>
            <w:vAlign w:val="center"/>
          </w:tcPr>
          <w:p w14:paraId="6F9C7EED">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评分因素与拟定权重分值</w:t>
            </w:r>
          </w:p>
        </w:tc>
        <w:tc>
          <w:tcPr>
            <w:tcW w:w="4138" w:type="dxa"/>
            <w:vMerge w:val="restart"/>
            <w:tcBorders>
              <w:top w:val="single" w:color="auto" w:sz="4" w:space="0"/>
              <w:left w:val="single" w:color="auto" w:sz="4" w:space="0"/>
              <w:right w:val="single" w:color="auto" w:sz="4" w:space="0"/>
            </w:tcBorders>
            <w:vAlign w:val="center"/>
          </w:tcPr>
          <w:p w14:paraId="61BE2DD3">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评分标准</w:t>
            </w:r>
          </w:p>
        </w:tc>
      </w:tr>
      <w:tr w14:paraId="524EB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7" w:type="dxa"/>
            <w:vMerge w:val="continue"/>
            <w:tcBorders>
              <w:left w:val="single" w:color="auto" w:sz="4" w:space="0"/>
              <w:right w:val="single" w:color="auto" w:sz="4" w:space="0"/>
            </w:tcBorders>
            <w:vAlign w:val="center"/>
          </w:tcPr>
          <w:p w14:paraId="51086DC0">
            <w:pPr>
              <w:adjustRightInd w:val="0"/>
              <w:snapToGrid w:val="0"/>
              <w:spacing w:before="24" w:beforeLines="10" w:after="24" w:afterLines="10"/>
              <w:jc w:val="center"/>
              <w:rPr>
                <w:rFonts w:hint="eastAsia" w:ascii="宋体" w:hAnsi="宋体"/>
                <w:bCs/>
                <w:highlight w:val="none"/>
              </w:rPr>
            </w:pPr>
          </w:p>
        </w:tc>
        <w:tc>
          <w:tcPr>
            <w:tcW w:w="1002" w:type="dxa"/>
            <w:tcBorders>
              <w:left w:val="single" w:color="auto" w:sz="4" w:space="0"/>
            </w:tcBorders>
            <w:vAlign w:val="center"/>
          </w:tcPr>
          <w:p w14:paraId="4B6733F1">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评分</w:t>
            </w:r>
            <w:r>
              <w:rPr>
                <w:rFonts w:ascii="宋体" w:hAnsi="宋体"/>
                <w:bCs/>
                <w:highlight w:val="none"/>
              </w:rPr>
              <w:br w:type="textWrapping"/>
            </w:r>
            <w:r>
              <w:rPr>
                <w:rFonts w:ascii="宋体" w:hAnsi="宋体"/>
                <w:bCs/>
                <w:highlight w:val="none"/>
              </w:rPr>
              <w:t>因素</w:t>
            </w:r>
          </w:p>
        </w:tc>
        <w:tc>
          <w:tcPr>
            <w:tcW w:w="993" w:type="dxa"/>
            <w:vAlign w:val="center"/>
          </w:tcPr>
          <w:p w14:paraId="5140928B">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评分因素</w:t>
            </w:r>
            <w:r>
              <w:rPr>
                <w:rFonts w:ascii="宋体" w:hAnsi="宋体"/>
                <w:bCs/>
                <w:highlight w:val="none"/>
              </w:rPr>
              <w:br w:type="textWrapping"/>
            </w:r>
            <w:r>
              <w:rPr>
                <w:rFonts w:ascii="宋体" w:hAnsi="宋体"/>
                <w:bCs/>
                <w:highlight w:val="none"/>
              </w:rPr>
              <w:t>权重分值</w:t>
            </w:r>
          </w:p>
        </w:tc>
        <w:tc>
          <w:tcPr>
            <w:tcW w:w="2266" w:type="dxa"/>
            <w:vAlign w:val="center"/>
          </w:tcPr>
          <w:p w14:paraId="3542D136">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各评分因</w:t>
            </w:r>
          </w:p>
          <w:p w14:paraId="5F60E1FA">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素细分项</w:t>
            </w:r>
          </w:p>
        </w:tc>
        <w:tc>
          <w:tcPr>
            <w:tcW w:w="709" w:type="dxa"/>
            <w:tcBorders>
              <w:right w:val="single" w:color="auto" w:sz="4" w:space="0"/>
            </w:tcBorders>
            <w:vAlign w:val="center"/>
          </w:tcPr>
          <w:p w14:paraId="22CA1A19">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分值</w:t>
            </w:r>
          </w:p>
        </w:tc>
        <w:tc>
          <w:tcPr>
            <w:tcW w:w="4138" w:type="dxa"/>
            <w:vMerge w:val="continue"/>
            <w:tcBorders>
              <w:left w:val="single" w:color="auto" w:sz="4" w:space="0"/>
              <w:right w:val="single" w:color="auto" w:sz="4" w:space="0"/>
            </w:tcBorders>
            <w:vAlign w:val="center"/>
          </w:tcPr>
          <w:p w14:paraId="3E580899">
            <w:pPr>
              <w:adjustRightInd w:val="0"/>
              <w:snapToGrid w:val="0"/>
              <w:spacing w:before="24" w:beforeLines="10" w:after="24" w:afterLines="10"/>
              <w:jc w:val="center"/>
              <w:rPr>
                <w:rFonts w:hint="eastAsia" w:ascii="宋体" w:hAnsi="宋体"/>
                <w:bCs/>
                <w:highlight w:val="none"/>
              </w:rPr>
            </w:pPr>
          </w:p>
        </w:tc>
      </w:tr>
      <w:tr w14:paraId="463CE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restart"/>
            <w:tcBorders>
              <w:left w:val="single" w:color="auto" w:sz="4" w:space="0"/>
            </w:tcBorders>
            <w:vAlign w:val="center"/>
          </w:tcPr>
          <w:p w14:paraId="30928990">
            <w:pPr>
              <w:adjustRightInd w:val="0"/>
              <w:snapToGrid w:val="0"/>
              <w:spacing w:before="24" w:beforeLines="10" w:after="24" w:afterLines="10"/>
              <w:jc w:val="center"/>
              <w:rPr>
                <w:rFonts w:hint="eastAsia" w:ascii="宋体" w:hAnsi="宋体"/>
                <w:bCs/>
                <w:highlight w:val="none"/>
              </w:rPr>
            </w:pPr>
            <w:bookmarkStart w:id="97" w:name="_Hlk186125429"/>
            <w:r>
              <w:rPr>
                <w:rFonts w:ascii="宋体" w:hAnsi="宋体"/>
                <w:bCs/>
                <w:highlight w:val="none"/>
              </w:rPr>
              <w:t>2.2.</w:t>
            </w:r>
            <w:r>
              <w:rPr>
                <w:rFonts w:hint="eastAsia" w:ascii="宋体" w:hAnsi="宋体"/>
                <w:bCs/>
                <w:highlight w:val="none"/>
              </w:rPr>
              <w:t>2</w:t>
            </w:r>
            <w:r>
              <w:rPr>
                <w:rFonts w:ascii="宋体" w:hAnsi="宋体"/>
                <w:bCs/>
                <w:highlight w:val="none"/>
              </w:rPr>
              <w:t>（1）</w:t>
            </w:r>
          </w:p>
        </w:tc>
        <w:tc>
          <w:tcPr>
            <w:tcW w:w="1002" w:type="dxa"/>
            <w:vMerge w:val="restart"/>
            <w:vAlign w:val="center"/>
          </w:tcPr>
          <w:p w14:paraId="00B41BEE">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施工组织设计</w:t>
            </w:r>
          </w:p>
        </w:tc>
        <w:tc>
          <w:tcPr>
            <w:tcW w:w="993" w:type="dxa"/>
            <w:vMerge w:val="restart"/>
            <w:vAlign w:val="center"/>
          </w:tcPr>
          <w:p w14:paraId="18A018EF">
            <w:pPr>
              <w:adjustRightInd w:val="0"/>
              <w:snapToGrid w:val="0"/>
              <w:spacing w:before="24" w:beforeLines="10" w:after="24" w:afterLines="10"/>
              <w:jc w:val="center"/>
              <w:rPr>
                <w:rFonts w:hint="eastAsia" w:ascii="宋体" w:hAnsi="宋体"/>
                <w:bCs/>
                <w:highlight w:val="none"/>
              </w:rPr>
            </w:pPr>
            <w:r>
              <w:rPr>
                <w:rFonts w:hint="eastAsia" w:ascii="宋体" w:hAnsi="宋体"/>
                <w:bCs/>
                <w:highlight w:val="none"/>
              </w:rPr>
              <w:t>40</w:t>
            </w:r>
            <w:r>
              <w:rPr>
                <w:rFonts w:ascii="宋体" w:hAnsi="宋体"/>
                <w:bCs/>
                <w:highlight w:val="none"/>
              </w:rPr>
              <w:t>分</w:t>
            </w:r>
          </w:p>
        </w:tc>
        <w:tc>
          <w:tcPr>
            <w:tcW w:w="2266" w:type="dxa"/>
            <w:vAlign w:val="center"/>
          </w:tcPr>
          <w:p w14:paraId="50E94764">
            <w:pPr>
              <w:adjustRightInd w:val="0"/>
              <w:snapToGrid w:val="0"/>
              <w:spacing w:line="320" w:lineRule="exact"/>
              <w:jc w:val="left"/>
              <w:rPr>
                <w:rFonts w:hint="eastAsia" w:ascii="宋体" w:hAnsi="宋体"/>
                <w:bCs/>
                <w:highlight w:val="none"/>
              </w:rPr>
            </w:pPr>
            <w:r>
              <w:rPr>
                <w:rFonts w:hint="eastAsia" w:ascii="宋体" w:hAnsi="宋体"/>
                <w:bCs/>
                <w:szCs w:val="21"/>
                <w:highlight w:val="none"/>
              </w:rPr>
              <w:t>关键工程的施工方案、方法与技术措施</w:t>
            </w:r>
          </w:p>
        </w:tc>
        <w:tc>
          <w:tcPr>
            <w:tcW w:w="709" w:type="dxa"/>
            <w:tcBorders>
              <w:bottom w:val="single" w:color="auto" w:sz="4" w:space="0"/>
            </w:tcBorders>
            <w:vAlign w:val="center"/>
          </w:tcPr>
          <w:p w14:paraId="2064A002">
            <w:pPr>
              <w:adjustRightInd w:val="0"/>
              <w:snapToGrid w:val="0"/>
              <w:spacing w:line="320" w:lineRule="exact"/>
              <w:jc w:val="center"/>
              <w:rPr>
                <w:rFonts w:hint="eastAsia" w:ascii="宋体" w:hAnsi="宋体"/>
                <w:bCs/>
                <w:highlight w:val="none"/>
              </w:rPr>
            </w:pPr>
            <w:r>
              <w:rPr>
                <w:rFonts w:hint="eastAsia" w:ascii="宋体" w:hAnsi="宋体" w:cs="宋体"/>
                <w:bCs/>
                <w:szCs w:val="21"/>
                <w:highlight w:val="none"/>
              </w:rPr>
              <w:t>20</w:t>
            </w:r>
          </w:p>
        </w:tc>
        <w:tc>
          <w:tcPr>
            <w:tcW w:w="4138" w:type="dxa"/>
            <w:tcBorders>
              <w:bottom w:val="single" w:color="auto" w:sz="4" w:space="0"/>
              <w:right w:val="single" w:color="auto" w:sz="4" w:space="0"/>
            </w:tcBorders>
            <w:vAlign w:val="center"/>
          </w:tcPr>
          <w:p w14:paraId="16822CE0">
            <w:pPr>
              <w:spacing w:line="320" w:lineRule="exact"/>
              <w:jc w:val="left"/>
              <w:rPr>
                <w:rFonts w:hint="eastAsia" w:ascii="宋体" w:hAnsi="宋体"/>
                <w:bCs/>
                <w:kern w:val="0"/>
                <w:szCs w:val="21"/>
                <w:highlight w:val="none"/>
              </w:rPr>
            </w:pPr>
            <w:r>
              <w:rPr>
                <w:rFonts w:hint="eastAsia" w:ascii="宋体" w:hAnsi="宋体"/>
                <w:bCs/>
                <w:kern w:val="0"/>
                <w:szCs w:val="21"/>
                <w:highlight w:val="none"/>
              </w:rPr>
              <w:t>好，16-20 分；</w:t>
            </w:r>
          </w:p>
          <w:p w14:paraId="1B004294">
            <w:pPr>
              <w:spacing w:line="320" w:lineRule="exact"/>
              <w:jc w:val="left"/>
              <w:rPr>
                <w:rFonts w:hint="eastAsia" w:ascii="宋体" w:hAnsi="宋体"/>
                <w:bCs/>
                <w:kern w:val="0"/>
                <w:szCs w:val="21"/>
                <w:highlight w:val="none"/>
              </w:rPr>
            </w:pPr>
            <w:r>
              <w:rPr>
                <w:rFonts w:hint="eastAsia" w:ascii="宋体" w:hAnsi="宋体"/>
                <w:bCs/>
                <w:kern w:val="0"/>
                <w:szCs w:val="21"/>
                <w:highlight w:val="none"/>
              </w:rPr>
              <w:t>较好，12-16分；</w:t>
            </w:r>
          </w:p>
          <w:p w14:paraId="78A3FD64">
            <w:pPr>
              <w:adjustRightInd w:val="0"/>
              <w:snapToGrid w:val="0"/>
              <w:spacing w:line="320" w:lineRule="exact"/>
              <w:rPr>
                <w:rFonts w:hint="eastAsia" w:ascii="宋体" w:hAnsi="宋体"/>
                <w:bCs/>
                <w:szCs w:val="21"/>
                <w:highlight w:val="none"/>
              </w:rPr>
            </w:pPr>
            <w:r>
              <w:rPr>
                <w:rFonts w:hint="eastAsia" w:ascii="宋体" w:hAnsi="宋体"/>
                <w:bCs/>
                <w:kern w:val="0"/>
                <w:szCs w:val="21"/>
                <w:highlight w:val="none"/>
              </w:rPr>
              <w:t>一般，12分；</w:t>
            </w:r>
          </w:p>
        </w:tc>
      </w:tr>
      <w:tr w14:paraId="30EB0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29D0FDA2">
            <w:pPr>
              <w:adjustRightInd w:val="0"/>
              <w:snapToGrid w:val="0"/>
              <w:spacing w:before="24" w:beforeLines="10" w:after="24" w:afterLines="10"/>
              <w:jc w:val="center"/>
              <w:rPr>
                <w:rFonts w:hint="eastAsia" w:ascii="宋体" w:hAnsi="宋体"/>
                <w:bCs/>
                <w:highlight w:val="none"/>
              </w:rPr>
            </w:pPr>
          </w:p>
        </w:tc>
        <w:tc>
          <w:tcPr>
            <w:tcW w:w="1002" w:type="dxa"/>
            <w:vMerge w:val="continue"/>
            <w:vAlign w:val="center"/>
          </w:tcPr>
          <w:p w14:paraId="519F04D2">
            <w:pPr>
              <w:adjustRightInd w:val="0"/>
              <w:snapToGrid w:val="0"/>
              <w:spacing w:before="24" w:beforeLines="10" w:after="24" w:afterLines="10"/>
              <w:jc w:val="center"/>
              <w:rPr>
                <w:rFonts w:hint="eastAsia" w:ascii="宋体" w:hAnsi="宋体"/>
                <w:bCs/>
                <w:highlight w:val="none"/>
              </w:rPr>
            </w:pPr>
          </w:p>
        </w:tc>
        <w:tc>
          <w:tcPr>
            <w:tcW w:w="993" w:type="dxa"/>
            <w:vMerge w:val="continue"/>
            <w:vAlign w:val="center"/>
          </w:tcPr>
          <w:p w14:paraId="5C88C561">
            <w:pPr>
              <w:adjustRightInd w:val="0"/>
              <w:snapToGrid w:val="0"/>
              <w:spacing w:before="24" w:beforeLines="10" w:after="24" w:afterLines="10"/>
              <w:jc w:val="center"/>
              <w:rPr>
                <w:rFonts w:hint="eastAsia" w:ascii="宋体" w:hAnsi="宋体"/>
                <w:bCs/>
                <w:highlight w:val="none"/>
              </w:rPr>
            </w:pPr>
          </w:p>
        </w:tc>
        <w:tc>
          <w:tcPr>
            <w:tcW w:w="2266" w:type="dxa"/>
            <w:tcBorders>
              <w:top w:val="single" w:color="auto" w:sz="4" w:space="0"/>
            </w:tcBorders>
            <w:vAlign w:val="center"/>
          </w:tcPr>
          <w:p w14:paraId="0608F2F5">
            <w:pPr>
              <w:adjustRightInd w:val="0"/>
              <w:snapToGrid w:val="0"/>
              <w:spacing w:line="320" w:lineRule="exact"/>
              <w:jc w:val="left"/>
              <w:rPr>
                <w:rFonts w:hint="eastAsia" w:ascii="宋体" w:hAnsi="宋体"/>
                <w:bCs/>
                <w:highlight w:val="none"/>
              </w:rPr>
            </w:pPr>
            <w:r>
              <w:rPr>
                <w:rFonts w:hint="eastAsia" w:ascii="宋体" w:hAnsi="宋体"/>
                <w:bCs/>
                <w:szCs w:val="21"/>
                <w:highlight w:val="none"/>
              </w:rPr>
              <w:t>工期保证体系及保证措施</w:t>
            </w:r>
          </w:p>
        </w:tc>
        <w:tc>
          <w:tcPr>
            <w:tcW w:w="709" w:type="dxa"/>
            <w:tcBorders>
              <w:bottom w:val="single" w:color="auto" w:sz="4" w:space="0"/>
            </w:tcBorders>
            <w:vAlign w:val="center"/>
          </w:tcPr>
          <w:p w14:paraId="205D56E1">
            <w:pPr>
              <w:adjustRightInd w:val="0"/>
              <w:snapToGrid w:val="0"/>
              <w:spacing w:line="320" w:lineRule="exact"/>
              <w:jc w:val="center"/>
              <w:rPr>
                <w:rFonts w:hint="eastAsia" w:ascii="宋体" w:hAnsi="宋体"/>
                <w:bCs/>
                <w:highlight w:val="none"/>
              </w:rPr>
            </w:pPr>
            <w:r>
              <w:rPr>
                <w:rFonts w:hint="eastAsia" w:ascii="宋体" w:hAnsi="宋体" w:cs="宋体"/>
                <w:bCs/>
                <w:szCs w:val="21"/>
                <w:highlight w:val="none"/>
              </w:rPr>
              <w:t>3</w:t>
            </w:r>
          </w:p>
        </w:tc>
        <w:tc>
          <w:tcPr>
            <w:tcW w:w="4138" w:type="dxa"/>
            <w:tcBorders>
              <w:right w:val="single" w:color="auto" w:sz="4" w:space="0"/>
            </w:tcBorders>
            <w:vAlign w:val="center"/>
          </w:tcPr>
          <w:p w14:paraId="56545029">
            <w:pPr>
              <w:spacing w:line="320" w:lineRule="exact"/>
              <w:jc w:val="left"/>
              <w:rPr>
                <w:rFonts w:hint="eastAsia" w:ascii="宋体" w:hAnsi="宋体"/>
                <w:bCs/>
                <w:kern w:val="0"/>
                <w:szCs w:val="21"/>
                <w:highlight w:val="none"/>
              </w:rPr>
            </w:pPr>
            <w:r>
              <w:rPr>
                <w:rFonts w:hint="eastAsia" w:ascii="宋体" w:hAnsi="宋体"/>
                <w:bCs/>
                <w:kern w:val="0"/>
                <w:szCs w:val="21"/>
                <w:highlight w:val="none"/>
              </w:rPr>
              <w:t>好，2.4-3分；</w:t>
            </w:r>
          </w:p>
          <w:p w14:paraId="7B9419AB">
            <w:pPr>
              <w:spacing w:line="320" w:lineRule="exact"/>
              <w:jc w:val="left"/>
              <w:rPr>
                <w:rFonts w:hint="eastAsia" w:ascii="宋体" w:hAnsi="宋体"/>
                <w:bCs/>
                <w:kern w:val="0"/>
                <w:szCs w:val="21"/>
                <w:highlight w:val="none"/>
              </w:rPr>
            </w:pPr>
            <w:r>
              <w:rPr>
                <w:rFonts w:hint="eastAsia" w:ascii="宋体" w:hAnsi="宋体"/>
                <w:bCs/>
                <w:kern w:val="0"/>
                <w:szCs w:val="21"/>
                <w:highlight w:val="none"/>
              </w:rPr>
              <w:t>较好，1.8-2.4分；</w:t>
            </w:r>
          </w:p>
          <w:p w14:paraId="5E0CECF3">
            <w:pPr>
              <w:adjustRightInd w:val="0"/>
              <w:snapToGrid w:val="0"/>
              <w:spacing w:line="320" w:lineRule="exact"/>
              <w:rPr>
                <w:rFonts w:hint="eastAsia" w:ascii="宋体" w:hAnsi="宋体"/>
                <w:bCs/>
                <w:szCs w:val="21"/>
                <w:highlight w:val="none"/>
              </w:rPr>
            </w:pPr>
            <w:r>
              <w:rPr>
                <w:rFonts w:hint="eastAsia" w:ascii="宋体" w:hAnsi="宋体"/>
                <w:bCs/>
                <w:kern w:val="0"/>
                <w:szCs w:val="21"/>
                <w:highlight w:val="none"/>
              </w:rPr>
              <w:t>一般，1.8分；</w:t>
            </w:r>
          </w:p>
        </w:tc>
      </w:tr>
      <w:tr w14:paraId="202DA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427EAFEC">
            <w:pPr>
              <w:adjustRightInd w:val="0"/>
              <w:snapToGrid w:val="0"/>
              <w:spacing w:before="24" w:beforeLines="10" w:after="24" w:afterLines="10"/>
              <w:jc w:val="center"/>
              <w:rPr>
                <w:rFonts w:hint="eastAsia" w:ascii="宋体" w:hAnsi="宋体"/>
                <w:bCs/>
                <w:highlight w:val="none"/>
              </w:rPr>
            </w:pPr>
          </w:p>
        </w:tc>
        <w:tc>
          <w:tcPr>
            <w:tcW w:w="1002" w:type="dxa"/>
            <w:vMerge w:val="continue"/>
            <w:vAlign w:val="center"/>
          </w:tcPr>
          <w:p w14:paraId="112FDBE3">
            <w:pPr>
              <w:adjustRightInd w:val="0"/>
              <w:snapToGrid w:val="0"/>
              <w:spacing w:before="24" w:beforeLines="10" w:after="24" w:afterLines="10"/>
              <w:jc w:val="center"/>
              <w:rPr>
                <w:rFonts w:hint="eastAsia" w:ascii="宋体" w:hAnsi="宋体"/>
                <w:bCs/>
                <w:highlight w:val="none"/>
              </w:rPr>
            </w:pPr>
          </w:p>
        </w:tc>
        <w:tc>
          <w:tcPr>
            <w:tcW w:w="993" w:type="dxa"/>
            <w:vMerge w:val="continue"/>
            <w:vAlign w:val="center"/>
          </w:tcPr>
          <w:p w14:paraId="74133D32">
            <w:pPr>
              <w:adjustRightInd w:val="0"/>
              <w:snapToGrid w:val="0"/>
              <w:spacing w:before="24" w:beforeLines="10" w:after="24" w:afterLines="10"/>
              <w:jc w:val="center"/>
              <w:rPr>
                <w:rFonts w:hint="eastAsia" w:ascii="宋体" w:hAnsi="宋体"/>
                <w:bCs/>
                <w:highlight w:val="none"/>
              </w:rPr>
            </w:pPr>
          </w:p>
        </w:tc>
        <w:tc>
          <w:tcPr>
            <w:tcW w:w="2266" w:type="dxa"/>
            <w:tcBorders>
              <w:top w:val="single" w:color="auto" w:sz="4" w:space="0"/>
            </w:tcBorders>
            <w:vAlign w:val="center"/>
          </w:tcPr>
          <w:p w14:paraId="211FAE0A">
            <w:pPr>
              <w:adjustRightInd w:val="0"/>
              <w:snapToGrid w:val="0"/>
              <w:spacing w:line="320" w:lineRule="exact"/>
              <w:jc w:val="left"/>
              <w:rPr>
                <w:rFonts w:hint="eastAsia" w:ascii="宋体" w:hAnsi="宋体"/>
                <w:bCs/>
                <w:highlight w:val="none"/>
              </w:rPr>
            </w:pPr>
            <w:r>
              <w:rPr>
                <w:rFonts w:hint="eastAsia" w:ascii="宋体" w:hAnsi="宋体"/>
                <w:bCs/>
                <w:szCs w:val="21"/>
                <w:highlight w:val="none"/>
              </w:rPr>
              <w:t>工程质量管理体系及保证措施</w:t>
            </w:r>
          </w:p>
        </w:tc>
        <w:tc>
          <w:tcPr>
            <w:tcW w:w="709" w:type="dxa"/>
            <w:tcBorders>
              <w:bottom w:val="single" w:color="auto" w:sz="4" w:space="0"/>
            </w:tcBorders>
            <w:vAlign w:val="center"/>
          </w:tcPr>
          <w:p w14:paraId="5764674F">
            <w:pPr>
              <w:adjustRightInd w:val="0"/>
              <w:snapToGrid w:val="0"/>
              <w:spacing w:line="320" w:lineRule="exact"/>
              <w:jc w:val="center"/>
              <w:rPr>
                <w:rFonts w:hint="eastAsia" w:ascii="宋体" w:hAnsi="宋体"/>
                <w:bCs/>
                <w:highlight w:val="none"/>
              </w:rPr>
            </w:pPr>
            <w:r>
              <w:rPr>
                <w:rFonts w:hint="eastAsia" w:ascii="宋体" w:hAnsi="宋体"/>
                <w:bCs/>
                <w:szCs w:val="21"/>
                <w:highlight w:val="none"/>
              </w:rPr>
              <w:t>5</w:t>
            </w:r>
          </w:p>
        </w:tc>
        <w:tc>
          <w:tcPr>
            <w:tcW w:w="4138" w:type="dxa"/>
            <w:tcBorders>
              <w:right w:val="single" w:color="auto" w:sz="4" w:space="0"/>
            </w:tcBorders>
            <w:vAlign w:val="center"/>
          </w:tcPr>
          <w:p w14:paraId="335FADED">
            <w:pPr>
              <w:spacing w:line="320" w:lineRule="exact"/>
              <w:jc w:val="left"/>
              <w:rPr>
                <w:rFonts w:hint="eastAsia" w:ascii="宋体" w:hAnsi="宋体"/>
                <w:bCs/>
                <w:kern w:val="0"/>
                <w:szCs w:val="21"/>
                <w:highlight w:val="none"/>
              </w:rPr>
            </w:pPr>
            <w:r>
              <w:rPr>
                <w:rFonts w:hint="eastAsia" w:ascii="宋体" w:hAnsi="宋体"/>
                <w:bCs/>
                <w:kern w:val="0"/>
                <w:szCs w:val="21"/>
                <w:highlight w:val="none"/>
              </w:rPr>
              <w:t>好，4-5分；</w:t>
            </w:r>
          </w:p>
          <w:p w14:paraId="78A03B48">
            <w:pPr>
              <w:spacing w:line="320" w:lineRule="exact"/>
              <w:jc w:val="left"/>
              <w:rPr>
                <w:rFonts w:hint="eastAsia" w:ascii="宋体" w:hAnsi="宋体"/>
                <w:bCs/>
                <w:kern w:val="0"/>
                <w:szCs w:val="21"/>
                <w:highlight w:val="none"/>
              </w:rPr>
            </w:pPr>
            <w:r>
              <w:rPr>
                <w:rFonts w:hint="eastAsia" w:ascii="宋体" w:hAnsi="宋体"/>
                <w:bCs/>
                <w:kern w:val="0"/>
                <w:szCs w:val="21"/>
                <w:highlight w:val="none"/>
              </w:rPr>
              <w:t>较好，3-4分；</w:t>
            </w:r>
          </w:p>
          <w:p w14:paraId="368ED27C">
            <w:pPr>
              <w:adjustRightInd w:val="0"/>
              <w:snapToGrid w:val="0"/>
              <w:spacing w:line="320" w:lineRule="exact"/>
              <w:rPr>
                <w:rFonts w:hint="eastAsia" w:ascii="宋体" w:hAnsi="宋体"/>
                <w:bCs/>
                <w:szCs w:val="21"/>
                <w:highlight w:val="none"/>
              </w:rPr>
            </w:pPr>
            <w:r>
              <w:rPr>
                <w:rFonts w:hint="eastAsia" w:ascii="宋体" w:hAnsi="宋体"/>
                <w:bCs/>
                <w:kern w:val="0"/>
                <w:szCs w:val="21"/>
                <w:highlight w:val="none"/>
              </w:rPr>
              <w:t>一般，3分；</w:t>
            </w:r>
          </w:p>
        </w:tc>
      </w:tr>
      <w:tr w14:paraId="6F01B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61470998">
            <w:pPr>
              <w:adjustRightInd w:val="0"/>
              <w:snapToGrid w:val="0"/>
              <w:spacing w:before="24" w:beforeLines="10" w:after="24" w:afterLines="10"/>
              <w:jc w:val="center"/>
              <w:rPr>
                <w:rFonts w:hint="eastAsia" w:ascii="宋体" w:hAnsi="宋体"/>
                <w:bCs/>
                <w:highlight w:val="none"/>
              </w:rPr>
            </w:pPr>
          </w:p>
        </w:tc>
        <w:tc>
          <w:tcPr>
            <w:tcW w:w="1002" w:type="dxa"/>
            <w:vMerge w:val="continue"/>
            <w:vAlign w:val="center"/>
          </w:tcPr>
          <w:p w14:paraId="7D47EE4C">
            <w:pPr>
              <w:adjustRightInd w:val="0"/>
              <w:snapToGrid w:val="0"/>
              <w:spacing w:before="24" w:beforeLines="10" w:after="24" w:afterLines="10"/>
              <w:jc w:val="center"/>
              <w:rPr>
                <w:rFonts w:hint="eastAsia" w:ascii="宋体" w:hAnsi="宋体"/>
                <w:bCs/>
                <w:highlight w:val="none"/>
              </w:rPr>
            </w:pPr>
          </w:p>
        </w:tc>
        <w:tc>
          <w:tcPr>
            <w:tcW w:w="993" w:type="dxa"/>
            <w:vMerge w:val="continue"/>
            <w:vAlign w:val="center"/>
          </w:tcPr>
          <w:p w14:paraId="4B8DD0E5">
            <w:pPr>
              <w:adjustRightInd w:val="0"/>
              <w:snapToGrid w:val="0"/>
              <w:spacing w:before="24" w:beforeLines="10" w:after="24" w:afterLines="10"/>
              <w:jc w:val="center"/>
              <w:rPr>
                <w:rFonts w:hint="eastAsia" w:ascii="宋体" w:hAnsi="宋体"/>
                <w:bCs/>
                <w:highlight w:val="none"/>
              </w:rPr>
            </w:pPr>
          </w:p>
        </w:tc>
        <w:tc>
          <w:tcPr>
            <w:tcW w:w="2266" w:type="dxa"/>
            <w:tcBorders>
              <w:top w:val="single" w:color="auto" w:sz="4" w:space="0"/>
            </w:tcBorders>
            <w:vAlign w:val="center"/>
          </w:tcPr>
          <w:p w14:paraId="1A93C1A0">
            <w:pPr>
              <w:adjustRightInd w:val="0"/>
              <w:snapToGrid w:val="0"/>
              <w:spacing w:line="320" w:lineRule="exact"/>
              <w:jc w:val="left"/>
              <w:rPr>
                <w:rFonts w:hint="eastAsia" w:ascii="宋体" w:hAnsi="宋体"/>
                <w:bCs/>
                <w:highlight w:val="none"/>
              </w:rPr>
            </w:pPr>
            <w:r>
              <w:rPr>
                <w:rFonts w:hint="eastAsia" w:ascii="宋体" w:hAnsi="宋体"/>
                <w:bCs/>
                <w:szCs w:val="21"/>
                <w:highlight w:val="none"/>
              </w:rPr>
              <w:t>安全生产管理体系及保证措施</w:t>
            </w:r>
          </w:p>
        </w:tc>
        <w:tc>
          <w:tcPr>
            <w:tcW w:w="709" w:type="dxa"/>
            <w:tcBorders>
              <w:bottom w:val="single" w:color="auto" w:sz="4" w:space="0"/>
            </w:tcBorders>
            <w:vAlign w:val="center"/>
          </w:tcPr>
          <w:p w14:paraId="3177E833">
            <w:pPr>
              <w:adjustRightInd w:val="0"/>
              <w:snapToGrid w:val="0"/>
              <w:spacing w:line="320" w:lineRule="exact"/>
              <w:jc w:val="center"/>
              <w:rPr>
                <w:rFonts w:hint="eastAsia" w:ascii="宋体" w:hAnsi="宋体"/>
                <w:bCs/>
                <w:highlight w:val="none"/>
              </w:rPr>
            </w:pPr>
            <w:r>
              <w:rPr>
                <w:rFonts w:hint="eastAsia" w:ascii="宋体" w:hAnsi="宋体"/>
                <w:bCs/>
                <w:szCs w:val="21"/>
                <w:highlight w:val="none"/>
              </w:rPr>
              <w:t>5</w:t>
            </w:r>
          </w:p>
        </w:tc>
        <w:tc>
          <w:tcPr>
            <w:tcW w:w="4138" w:type="dxa"/>
            <w:tcBorders>
              <w:right w:val="single" w:color="auto" w:sz="4" w:space="0"/>
            </w:tcBorders>
            <w:vAlign w:val="center"/>
          </w:tcPr>
          <w:p w14:paraId="67AC842F">
            <w:pPr>
              <w:spacing w:line="320" w:lineRule="exact"/>
              <w:jc w:val="left"/>
              <w:rPr>
                <w:rFonts w:hint="eastAsia" w:ascii="宋体" w:hAnsi="宋体"/>
                <w:bCs/>
                <w:kern w:val="0"/>
                <w:szCs w:val="21"/>
                <w:highlight w:val="none"/>
              </w:rPr>
            </w:pPr>
            <w:r>
              <w:rPr>
                <w:rFonts w:hint="eastAsia" w:ascii="宋体" w:hAnsi="宋体"/>
                <w:bCs/>
                <w:kern w:val="0"/>
                <w:szCs w:val="21"/>
                <w:highlight w:val="none"/>
              </w:rPr>
              <w:t>好，4-5分；</w:t>
            </w:r>
          </w:p>
          <w:p w14:paraId="6057F981">
            <w:pPr>
              <w:spacing w:line="320" w:lineRule="exact"/>
              <w:jc w:val="left"/>
              <w:rPr>
                <w:rFonts w:hint="eastAsia" w:ascii="宋体" w:hAnsi="宋体"/>
                <w:bCs/>
                <w:kern w:val="0"/>
                <w:szCs w:val="21"/>
                <w:highlight w:val="none"/>
              </w:rPr>
            </w:pPr>
            <w:r>
              <w:rPr>
                <w:rFonts w:hint="eastAsia" w:ascii="宋体" w:hAnsi="宋体"/>
                <w:bCs/>
                <w:kern w:val="0"/>
                <w:szCs w:val="21"/>
                <w:highlight w:val="none"/>
              </w:rPr>
              <w:t>较好，3-4分；</w:t>
            </w:r>
          </w:p>
          <w:p w14:paraId="6013B488">
            <w:pPr>
              <w:adjustRightInd w:val="0"/>
              <w:snapToGrid w:val="0"/>
              <w:spacing w:line="320" w:lineRule="exact"/>
              <w:rPr>
                <w:rFonts w:hint="eastAsia" w:ascii="宋体" w:hAnsi="宋体"/>
                <w:bCs/>
                <w:szCs w:val="21"/>
                <w:highlight w:val="none"/>
              </w:rPr>
            </w:pPr>
            <w:r>
              <w:rPr>
                <w:rFonts w:hint="eastAsia" w:ascii="宋体" w:hAnsi="宋体"/>
                <w:bCs/>
                <w:kern w:val="0"/>
                <w:szCs w:val="21"/>
                <w:highlight w:val="none"/>
              </w:rPr>
              <w:t>一般，3分；</w:t>
            </w:r>
          </w:p>
        </w:tc>
      </w:tr>
      <w:tr w14:paraId="6A9FB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2F7A40B4">
            <w:pPr>
              <w:adjustRightInd w:val="0"/>
              <w:snapToGrid w:val="0"/>
              <w:spacing w:before="24" w:beforeLines="10" w:after="24" w:afterLines="10"/>
              <w:jc w:val="center"/>
              <w:rPr>
                <w:rFonts w:hint="eastAsia" w:ascii="宋体" w:hAnsi="宋体"/>
                <w:bCs/>
                <w:highlight w:val="none"/>
              </w:rPr>
            </w:pPr>
          </w:p>
        </w:tc>
        <w:tc>
          <w:tcPr>
            <w:tcW w:w="1002" w:type="dxa"/>
            <w:vMerge w:val="continue"/>
            <w:vAlign w:val="center"/>
          </w:tcPr>
          <w:p w14:paraId="0010FB42">
            <w:pPr>
              <w:adjustRightInd w:val="0"/>
              <w:snapToGrid w:val="0"/>
              <w:spacing w:before="24" w:beforeLines="10" w:after="24" w:afterLines="10"/>
              <w:jc w:val="center"/>
              <w:rPr>
                <w:rFonts w:hint="eastAsia" w:ascii="宋体" w:hAnsi="宋体"/>
                <w:bCs/>
                <w:highlight w:val="none"/>
              </w:rPr>
            </w:pPr>
          </w:p>
        </w:tc>
        <w:tc>
          <w:tcPr>
            <w:tcW w:w="993" w:type="dxa"/>
            <w:vMerge w:val="continue"/>
            <w:vAlign w:val="center"/>
          </w:tcPr>
          <w:p w14:paraId="2683B97E">
            <w:pPr>
              <w:adjustRightInd w:val="0"/>
              <w:snapToGrid w:val="0"/>
              <w:spacing w:before="24" w:beforeLines="10" w:after="24" w:afterLines="10"/>
              <w:jc w:val="center"/>
              <w:rPr>
                <w:rFonts w:hint="eastAsia" w:ascii="宋体" w:hAnsi="宋体"/>
                <w:bCs/>
                <w:highlight w:val="none"/>
              </w:rPr>
            </w:pPr>
          </w:p>
        </w:tc>
        <w:tc>
          <w:tcPr>
            <w:tcW w:w="2266" w:type="dxa"/>
            <w:tcBorders>
              <w:top w:val="single" w:color="auto" w:sz="4" w:space="0"/>
            </w:tcBorders>
            <w:vAlign w:val="center"/>
          </w:tcPr>
          <w:p w14:paraId="266FD830">
            <w:pPr>
              <w:adjustRightInd w:val="0"/>
              <w:snapToGrid w:val="0"/>
              <w:spacing w:line="320" w:lineRule="exact"/>
              <w:jc w:val="left"/>
              <w:rPr>
                <w:rFonts w:hint="eastAsia" w:ascii="宋体" w:hAnsi="宋体"/>
                <w:bCs/>
                <w:highlight w:val="none"/>
              </w:rPr>
            </w:pPr>
            <w:r>
              <w:rPr>
                <w:rFonts w:hint="eastAsia" w:ascii="宋体" w:hAnsi="宋体"/>
                <w:bCs/>
                <w:szCs w:val="21"/>
                <w:highlight w:val="none"/>
              </w:rPr>
              <w:t>环境保护、水土保持、文明施工、文物保护保证体系及保证措施</w:t>
            </w:r>
          </w:p>
        </w:tc>
        <w:tc>
          <w:tcPr>
            <w:tcW w:w="709" w:type="dxa"/>
            <w:tcBorders>
              <w:bottom w:val="single" w:color="auto" w:sz="4" w:space="0"/>
            </w:tcBorders>
            <w:vAlign w:val="center"/>
          </w:tcPr>
          <w:p w14:paraId="2BC58081">
            <w:pPr>
              <w:adjustRightInd w:val="0"/>
              <w:snapToGrid w:val="0"/>
              <w:spacing w:line="320" w:lineRule="exact"/>
              <w:jc w:val="center"/>
              <w:rPr>
                <w:rFonts w:hint="eastAsia" w:ascii="宋体" w:hAnsi="宋体"/>
                <w:bCs/>
                <w:highlight w:val="none"/>
              </w:rPr>
            </w:pPr>
            <w:r>
              <w:rPr>
                <w:rFonts w:hint="eastAsia" w:ascii="宋体" w:hAnsi="宋体"/>
                <w:bCs/>
                <w:szCs w:val="21"/>
                <w:highlight w:val="none"/>
              </w:rPr>
              <w:t>5</w:t>
            </w:r>
          </w:p>
        </w:tc>
        <w:tc>
          <w:tcPr>
            <w:tcW w:w="4138" w:type="dxa"/>
            <w:tcBorders>
              <w:right w:val="single" w:color="auto" w:sz="4" w:space="0"/>
            </w:tcBorders>
            <w:vAlign w:val="center"/>
          </w:tcPr>
          <w:p w14:paraId="65E0813F">
            <w:pPr>
              <w:spacing w:line="320" w:lineRule="exact"/>
              <w:jc w:val="left"/>
              <w:rPr>
                <w:rFonts w:hint="eastAsia" w:ascii="宋体" w:hAnsi="宋体"/>
                <w:bCs/>
                <w:kern w:val="0"/>
                <w:szCs w:val="21"/>
                <w:highlight w:val="none"/>
              </w:rPr>
            </w:pPr>
            <w:r>
              <w:rPr>
                <w:rFonts w:hint="eastAsia" w:ascii="宋体" w:hAnsi="宋体"/>
                <w:bCs/>
                <w:kern w:val="0"/>
                <w:szCs w:val="21"/>
                <w:highlight w:val="none"/>
              </w:rPr>
              <w:t>好，4-5分；</w:t>
            </w:r>
          </w:p>
          <w:p w14:paraId="70CB4DF0">
            <w:pPr>
              <w:spacing w:line="320" w:lineRule="exact"/>
              <w:jc w:val="left"/>
              <w:rPr>
                <w:rFonts w:hint="eastAsia" w:ascii="宋体" w:hAnsi="宋体"/>
                <w:bCs/>
                <w:kern w:val="0"/>
                <w:szCs w:val="21"/>
                <w:highlight w:val="none"/>
              </w:rPr>
            </w:pPr>
            <w:r>
              <w:rPr>
                <w:rFonts w:hint="eastAsia" w:ascii="宋体" w:hAnsi="宋体"/>
                <w:bCs/>
                <w:kern w:val="0"/>
                <w:szCs w:val="21"/>
                <w:highlight w:val="none"/>
              </w:rPr>
              <w:t>较好，3-4分；</w:t>
            </w:r>
          </w:p>
          <w:p w14:paraId="52DFB140">
            <w:pPr>
              <w:adjustRightInd w:val="0"/>
              <w:snapToGrid w:val="0"/>
              <w:spacing w:line="320" w:lineRule="exact"/>
              <w:rPr>
                <w:rFonts w:hint="eastAsia" w:ascii="宋体" w:hAnsi="宋体"/>
                <w:bCs/>
                <w:szCs w:val="21"/>
                <w:highlight w:val="none"/>
              </w:rPr>
            </w:pPr>
            <w:r>
              <w:rPr>
                <w:rFonts w:hint="eastAsia" w:ascii="宋体" w:hAnsi="宋体"/>
                <w:bCs/>
                <w:kern w:val="0"/>
                <w:szCs w:val="21"/>
                <w:highlight w:val="none"/>
              </w:rPr>
              <w:t>一般，3分；</w:t>
            </w:r>
          </w:p>
        </w:tc>
      </w:tr>
      <w:tr w14:paraId="5A5E3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120431B4">
            <w:pPr>
              <w:adjustRightInd w:val="0"/>
              <w:snapToGrid w:val="0"/>
              <w:spacing w:before="24" w:beforeLines="10" w:after="24" w:afterLines="10"/>
              <w:jc w:val="center"/>
              <w:rPr>
                <w:rFonts w:hint="eastAsia" w:ascii="宋体" w:hAnsi="宋体"/>
                <w:bCs/>
                <w:highlight w:val="none"/>
              </w:rPr>
            </w:pPr>
          </w:p>
        </w:tc>
        <w:tc>
          <w:tcPr>
            <w:tcW w:w="1002" w:type="dxa"/>
            <w:vMerge w:val="continue"/>
            <w:vAlign w:val="center"/>
          </w:tcPr>
          <w:p w14:paraId="45F38E2C">
            <w:pPr>
              <w:adjustRightInd w:val="0"/>
              <w:snapToGrid w:val="0"/>
              <w:spacing w:before="24" w:beforeLines="10" w:after="24" w:afterLines="10"/>
              <w:jc w:val="center"/>
              <w:rPr>
                <w:rFonts w:hint="eastAsia" w:ascii="宋体" w:hAnsi="宋体"/>
                <w:bCs/>
                <w:highlight w:val="none"/>
              </w:rPr>
            </w:pPr>
          </w:p>
        </w:tc>
        <w:tc>
          <w:tcPr>
            <w:tcW w:w="993" w:type="dxa"/>
            <w:vMerge w:val="continue"/>
            <w:vAlign w:val="center"/>
          </w:tcPr>
          <w:p w14:paraId="2BA20846">
            <w:pPr>
              <w:adjustRightInd w:val="0"/>
              <w:snapToGrid w:val="0"/>
              <w:spacing w:before="24" w:beforeLines="10" w:after="24" w:afterLines="10"/>
              <w:jc w:val="center"/>
              <w:rPr>
                <w:rFonts w:hint="eastAsia" w:ascii="宋体" w:hAnsi="宋体"/>
                <w:bCs/>
                <w:highlight w:val="none"/>
              </w:rPr>
            </w:pPr>
          </w:p>
        </w:tc>
        <w:tc>
          <w:tcPr>
            <w:tcW w:w="2266" w:type="dxa"/>
            <w:tcBorders>
              <w:top w:val="single" w:color="auto" w:sz="4" w:space="0"/>
            </w:tcBorders>
            <w:vAlign w:val="center"/>
          </w:tcPr>
          <w:p w14:paraId="02243A8D">
            <w:pPr>
              <w:adjustRightInd w:val="0"/>
              <w:snapToGrid w:val="0"/>
              <w:spacing w:line="320" w:lineRule="exact"/>
              <w:jc w:val="left"/>
              <w:rPr>
                <w:rFonts w:hint="eastAsia" w:ascii="宋体" w:hAnsi="宋体"/>
                <w:bCs/>
                <w:highlight w:val="none"/>
              </w:rPr>
            </w:pPr>
            <w:r>
              <w:rPr>
                <w:rFonts w:hint="eastAsia" w:ascii="宋体" w:hAnsi="宋体"/>
                <w:bCs/>
                <w:szCs w:val="21"/>
                <w:highlight w:val="none"/>
              </w:rPr>
              <w:t>项目风险预测与防范，事故应急预案</w:t>
            </w:r>
          </w:p>
        </w:tc>
        <w:tc>
          <w:tcPr>
            <w:tcW w:w="709" w:type="dxa"/>
            <w:tcBorders>
              <w:bottom w:val="single" w:color="auto" w:sz="4" w:space="0"/>
            </w:tcBorders>
            <w:vAlign w:val="center"/>
          </w:tcPr>
          <w:p w14:paraId="42E6F3E3">
            <w:pPr>
              <w:adjustRightInd w:val="0"/>
              <w:snapToGrid w:val="0"/>
              <w:spacing w:line="320" w:lineRule="exact"/>
              <w:jc w:val="center"/>
              <w:rPr>
                <w:rFonts w:hint="eastAsia" w:ascii="宋体" w:hAnsi="宋体"/>
                <w:bCs/>
                <w:highlight w:val="none"/>
              </w:rPr>
            </w:pPr>
            <w:r>
              <w:rPr>
                <w:rFonts w:hint="eastAsia" w:ascii="宋体" w:hAnsi="宋体"/>
                <w:bCs/>
                <w:szCs w:val="21"/>
                <w:highlight w:val="none"/>
              </w:rPr>
              <w:t>2</w:t>
            </w:r>
          </w:p>
        </w:tc>
        <w:tc>
          <w:tcPr>
            <w:tcW w:w="4138" w:type="dxa"/>
            <w:tcBorders>
              <w:right w:val="single" w:color="auto" w:sz="4" w:space="0"/>
            </w:tcBorders>
            <w:vAlign w:val="center"/>
          </w:tcPr>
          <w:p w14:paraId="6BD8A1BC">
            <w:pPr>
              <w:spacing w:line="320" w:lineRule="exact"/>
              <w:jc w:val="left"/>
              <w:rPr>
                <w:rFonts w:hint="eastAsia" w:ascii="宋体" w:hAnsi="宋体"/>
                <w:bCs/>
                <w:kern w:val="0"/>
                <w:szCs w:val="21"/>
                <w:highlight w:val="none"/>
              </w:rPr>
            </w:pPr>
            <w:r>
              <w:rPr>
                <w:rFonts w:hint="eastAsia" w:ascii="宋体" w:hAnsi="宋体"/>
                <w:bCs/>
                <w:kern w:val="0"/>
                <w:szCs w:val="21"/>
                <w:highlight w:val="none"/>
              </w:rPr>
              <w:t>好，1.6-2分；</w:t>
            </w:r>
          </w:p>
          <w:p w14:paraId="70C19E7B">
            <w:pPr>
              <w:spacing w:line="320" w:lineRule="exact"/>
              <w:jc w:val="left"/>
              <w:rPr>
                <w:rFonts w:hint="eastAsia" w:ascii="宋体" w:hAnsi="宋体"/>
                <w:bCs/>
                <w:kern w:val="0"/>
                <w:szCs w:val="21"/>
                <w:highlight w:val="none"/>
              </w:rPr>
            </w:pPr>
            <w:r>
              <w:rPr>
                <w:rFonts w:hint="eastAsia" w:ascii="宋体" w:hAnsi="宋体"/>
                <w:bCs/>
                <w:kern w:val="0"/>
                <w:szCs w:val="21"/>
                <w:highlight w:val="none"/>
              </w:rPr>
              <w:t>较好，1.2-1.6分；</w:t>
            </w:r>
          </w:p>
          <w:p w14:paraId="4467BA2D">
            <w:pPr>
              <w:adjustRightInd w:val="0"/>
              <w:snapToGrid w:val="0"/>
              <w:spacing w:line="320" w:lineRule="exact"/>
              <w:rPr>
                <w:rFonts w:hint="eastAsia" w:ascii="宋体" w:hAnsi="宋体"/>
                <w:bCs/>
                <w:szCs w:val="21"/>
                <w:highlight w:val="none"/>
              </w:rPr>
            </w:pPr>
            <w:r>
              <w:rPr>
                <w:rFonts w:hint="eastAsia" w:ascii="宋体" w:hAnsi="宋体"/>
                <w:bCs/>
                <w:kern w:val="0"/>
                <w:szCs w:val="21"/>
                <w:highlight w:val="none"/>
              </w:rPr>
              <w:t>一般，1.2分；</w:t>
            </w:r>
          </w:p>
        </w:tc>
      </w:tr>
      <w:bookmarkEnd w:id="97"/>
      <w:tr w14:paraId="72EE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7" w:hRule="atLeast"/>
        </w:trPr>
        <w:tc>
          <w:tcPr>
            <w:tcW w:w="587" w:type="dxa"/>
            <w:vMerge w:val="restart"/>
            <w:vAlign w:val="center"/>
          </w:tcPr>
          <w:p w14:paraId="6A8DB936">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2.2.</w:t>
            </w:r>
            <w:r>
              <w:rPr>
                <w:rFonts w:hint="eastAsia" w:ascii="宋体" w:hAnsi="宋体"/>
                <w:bCs/>
                <w:highlight w:val="none"/>
              </w:rPr>
              <w:t>2</w:t>
            </w:r>
            <w:r>
              <w:rPr>
                <w:rFonts w:ascii="宋体" w:hAnsi="宋体"/>
                <w:bCs/>
                <w:highlight w:val="none"/>
              </w:rPr>
              <w:t>（2）</w:t>
            </w:r>
          </w:p>
        </w:tc>
        <w:tc>
          <w:tcPr>
            <w:tcW w:w="1002" w:type="dxa"/>
            <w:vMerge w:val="restart"/>
            <w:vAlign w:val="center"/>
          </w:tcPr>
          <w:p w14:paraId="5A072A80">
            <w:pPr>
              <w:adjustRightInd w:val="0"/>
              <w:snapToGrid w:val="0"/>
              <w:spacing w:before="24" w:beforeLines="10" w:after="24" w:afterLines="10"/>
              <w:jc w:val="center"/>
              <w:rPr>
                <w:rFonts w:hint="eastAsia" w:ascii="宋体" w:hAnsi="宋体"/>
                <w:bCs/>
                <w:highlight w:val="none"/>
              </w:rPr>
            </w:pPr>
            <w:r>
              <w:rPr>
                <w:rFonts w:hint="eastAsia" w:ascii="宋体" w:hAnsi="宋体"/>
                <w:bCs/>
                <w:highlight w:val="none"/>
              </w:rPr>
              <w:t>主要</w:t>
            </w:r>
            <w:r>
              <w:rPr>
                <w:rFonts w:ascii="宋体" w:hAnsi="宋体"/>
                <w:bCs/>
                <w:highlight w:val="none"/>
              </w:rPr>
              <w:br w:type="textWrapping"/>
            </w:r>
            <w:r>
              <w:rPr>
                <w:rFonts w:hint="eastAsia" w:ascii="宋体" w:hAnsi="宋体"/>
                <w:bCs/>
                <w:highlight w:val="none"/>
              </w:rPr>
              <w:t>人员</w:t>
            </w:r>
          </w:p>
        </w:tc>
        <w:tc>
          <w:tcPr>
            <w:tcW w:w="993" w:type="dxa"/>
            <w:vMerge w:val="restart"/>
            <w:vAlign w:val="center"/>
          </w:tcPr>
          <w:p w14:paraId="5FF66131">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25分</w:t>
            </w:r>
          </w:p>
        </w:tc>
        <w:tc>
          <w:tcPr>
            <w:tcW w:w="2266" w:type="dxa"/>
            <w:vAlign w:val="center"/>
          </w:tcPr>
          <w:p w14:paraId="09FB75D6">
            <w:pPr>
              <w:adjustRightInd w:val="0"/>
              <w:snapToGrid w:val="0"/>
              <w:spacing w:before="24" w:beforeLines="10" w:after="24" w:afterLines="10" w:line="340" w:lineRule="exact"/>
              <w:jc w:val="left"/>
              <w:rPr>
                <w:rFonts w:hint="eastAsia" w:ascii="宋体" w:hAnsi="宋体"/>
                <w:bCs/>
                <w:highlight w:val="none"/>
              </w:rPr>
            </w:pPr>
            <w:r>
              <w:rPr>
                <w:rFonts w:ascii="宋体" w:hAnsi="宋体"/>
                <w:bCs/>
                <w:highlight w:val="none"/>
              </w:rPr>
              <w:t>项目经理任职</w:t>
            </w:r>
            <w:r>
              <w:rPr>
                <w:rFonts w:hint="eastAsia" w:ascii="宋体" w:hAnsi="宋体"/>
                <w:bCs/>
                <w:highlight w:val="none"/>
              </w:rPr>
              <w:t>资格与业绩</w:t>
            </w:r>
          </w:p>
        </w:tc>
        <w:tc>
          <w:tcPr>
            <w:tcW w:w="709" w:type="dxa"/>
            <w:vAlign w:val="center"/>
          </w:tcPr>
          <w:p w14:paraId="0EE44ED7">
            <w:pPr>
              <w:adjustRightInd w:val="0"/>
              <w:snapToGrid w:val="0"/>
              <w:spacing w:before="24" w:beforeLines="10" w:after="24" w:afterLines="10" w:line="340" w:lineRule="exact"/>
              <w:jc w:val="center"/>
              <w:rPr>
                <w:rFonts w:hint="eastAsia" w:ascii="宋体" w:hAnsi="宋体"/>
                <w:bCs/>
                <w:highlight w:val="none"/>
              </w:rPr>
            </w:pPr>
            <w:r>
              <w:rPr>
                <w:rFonts w:hint="eastAsia" w:ascii="宋体" w:hAnsi="宋体"/>
                <w:bCs/>
                <w:highlight w:val="none"/>
              </w:rPr>
              <w:t>15</w:t>
            </w:r>
          </w:p>
        </w:tc>
        <w:tc>
          <w:tcPr>
            <w:tcW w:w="4138" w:type="dxa"/>
            <w:vAlign w:val="center"/>
          </w:tcPr>
          <w:p w14:paraId="74705C0A">
            <w:pPr>
              <w:adjustRightInd w:val="0"/>
              <w:snapToGrid w:val="0"/>
              <w:spacing w:before="24" w:beforeLines="10" w:after="24" w:afterLines="10" w:line="340" w:lineRule="exact"/>
              <w:jc w:val="left"/>
              <w:rPr>
                <w:rFonts w:hint="eastAsia" w:ascii="宋体" w:hAnsi="宋体"/>
                <w:bCs/>
                <w:highlight w:val="none"/>
              </w:rPr>
            </w:pPr>
            <w:bookmarkStart w:id="98" w:name="OLE_LINK14"/>
            <w:r>
              <w:rPr>
                <w:rFonts w:hint="eastAsia" w:ascii="黑体" w:hAnsi="黑体" w:eastAsia="黑体"/>
                <w:bCs/>
                <w:szCs w:val="21"/>
                <w:highlight w:val="none"/>
              </w:rPr>
              <w:fldChar w:fldCharType="begin"/>
            </w:r>
            <w:r>
              <w:rPr>
                <w:rFonts w:hint="eastAsia" w:ascii="黑体" w:hAnsi="黑体" w:eastAsia="黑体"/>
                <w:bCs/>
                <w:szCs w:val="21"/>
                <w:highlight w:val="none"/>
              </w:rPr>
              <w:instrText xml:space="preserve"> = 1 \* GB3 </w:instrText>
            </w:r>
            <w:r>
              <w:rPr>
                <w:rFonts w:hint="eastAsia" w:ascii="黑体" w:hAnsi="黑体" w:eastAsia="黑体"/>
                <w:bCs/>
                <w:szCs w:val="21"/>
                <w:highlight w:val="none"/>
              </w:rPr>
              <w:fldChar w:fldCharType="separate"/>
            </w:r>
            <w:r>
              <w:rPr>
                <w:rFonts w:hint="eastAsia" w:ascii="黑体" w:hAnsi="黑体" w:eastAsia="黑体"/>
                <w:bCs/>
                <w:szCs w:val="21"/>
                <w:highlight w:val="none"/>
              </w:rPr>
              <w:t>①</w:t>
            </w:r>
            <w:r>
              <w:rPr>
                <w:rFonts w:hint="eastAsia" w:ascii="黑体" w:hAnsi="黑体" w:eastAsia="黑体"/>
                <w:bCs/>
                <w:szCs w:val="21"/>
                <w:highlight w:val="none"/>
              </w:rPr>
              <w:fldChar w:fldCharType="end"/>
            </w:r>
            <w:r>
              <w:rPr>
                <w:rFonts w:hint="eastAsia" w:ascii="黑体" w:hAnsi="黑体" w:eastAsia="黑体"/>
                <w:bCs/>
                <w:szCs w:val="21"/>
                <w:highlight w:val="none"/>
              </w:rPr>
              <w:t>YB25YH01、YB25YH02标段：</w:t>
            </w:r>
            <w:r>
              <w:rPr>
                <w:rFonts w:hint="eastAsia" w:ascii="宋体" w:hAnsi="宋体"/>
                <w:bCs/>
                <w:highlight w:val="none"/>
              </w:rPr>
              <w:t>满足最低资格审查条件得9分，</w:t>
            </w:r>
            <w:r>
              <w:rPr>
                <w:rFonts w:hint="eastAsia"/>
                <w:bCs/>
                <w:color w:val="000000"/>
                <w:szCs w:val="21"/>
                <w:highlight w:val="none"/>
              </w:rPr>
              <w:t>担任过</w:t>
            </w:r>
            <w:r>
              <w:rPr>
                <w:rFonts w:hint="eastAsia" w:ascii="宋体" w:hAnsi="宋体"/>
                <w:bCs/>
                <w:highlight w:val="none"/>
              </w:rPr>
              <w:t>1项三级或以上公路沥青混凝土路面修复养护工程（大中修养护工程或路面改造工程)施工的项目经理任职经历加3分，最多加6分。</w:t>
            </w:r>
          </w:p>
          <w:p w14:paraId="14509846">
            <w:pPr>
              <w:adjustRightInd w:val="0"/>
              <w:snapToGrid w:val="0"/>
              <w:spacing w:before="24" w:beforeLines="10" w:after="24" w:afterLines="10" w:line="340" w:lineRule="exact"/>
              <w:jc w:val="left"/>
              <w:rPr>
                <w:rFonts w:hint="eastAsia" w:ascii="宋体" w:hAnsi="宋体"/>
                <w:bCs/>
                <w:szCs w:val="21"/>
                <w:highlight w:val="none"/>
              </w:rPr>
            </w:pPr>
            <w:bookmarkStart w:id="99" w:name="OLE_LINK74"/>
            <w:r>
              <w:rPr>
                <w:rFonts w:hint="eastAsia" w:ascii="黑体" w:hAnsi="黑体" w:eastAsia="黑体"/>
                <w:bCs/>
                <w:highlight w:val="none"/>
              </w:rPr>
              <w:fldChar w:fldCharType="begin"/>
            </w:r>
            <w:r>
              <w:rPr>
                <w:rFonts w:hint="eastAsia" w:ascii="黑体" w:hAnsi="黑体" w:eastAsia="黑体"/>
                <w:bCs/>
                <w:highlight w:val="none"/>
              </w:rPr>
              <w:instrText xml:space="preserve"> = 2 \* GB3 </w:instrText>
            </w:r>
            <w:r>
              <w:rPr>
                <w:rFonts w:hint="eastAsia" w:ascii="黑体" w:hAnsi="黑体" w:eastAsia="黑体"/>
                <w:bCs/>
                <w:highlight w:val="none"/>
              </w:rPr>
              <w:fldChar w:fldCharType="separate"/>
            </w:r>
            <w:r>
              <w:rPr>
                <w:rFonts w:hint="eastAsia" w:ascii="黑体" w:hAnsi="黑体" w:eastAsia="黑体"/>
                <w:bCs/>
                <w:highlight w:val="none"/>
              </w:rPr>
              <w:t>②</w:t>
            </w:r>
            <w:r>
              <w:rPr>
                <w:rFonts w:hint="eastAsia" w:ascii="黑体" w:hAnsi="黑体" w:eastAsia="黑体"/>
                <w:bCs/>
                <w:highlight w:val="none"/>
              </w:rPr>
              <w:fldChar w:fldCharType="end"/>
            </w:r>
            <w:r>
              <w:rPr>
                <w:rFonts w:hint="eastAsia" w:ascii="黑体" w:hAnsi="黑体" w:eastAsia="黑体"/>
                <w:bCs/>
                <w:szCs w:val="21"/>
                <w:highlight w:val="none"/>
              </w:rPr>
              <w:t xml:space="preserve"> YB25JT01标段：</w:t>
            </w:r>
            <w:r>
              <w:rPr>
                <w:rFonts w:hint="eastAsia" w:ascii="宋体" w:hAnsi="宋体"/>
                <w:bCs/>
                <w:highlight w:val="none"/>
              </w:rPr>
              <w:t>满足最低资格审查条件得9分，</w:t>
            </w:r>
            <w:r>
              <w:rPr>
                <w:rFonts w:hint="eastAsia"/>
                <w:bCs/>
                <w:color w:val="000000"/>
                <w:szCs w:val="21"/>
                <w:highlight w:val="none"/>
              </w:rPr>
              <w:t>担任过</w:t>
            </w:r>
            <w:r>
              <w:rPr>
                <w:rFonts w:hint="eastAsia" w:ascii="宋体" w:hAnsi="宋体"/>
                <w:bCs/>
                <w:highlight w:val="none"/>
              </w:rPr>
              <w:t>1项三级或以上公路</w:t>
            </w:r>
            <w:r>
              <w:rPr>
                <w:rFonts w:hint="eastAsia" w:ascii="宋体" w:hAnsi="宋体"/>
                <w:szCs w:val="21"/>
                <w:highlight w:val="none"/>
              </w:rPr>
              <w:t>交通安全设施工程（</w:t>
            </w:r>
            <w:r>
              <w:rPr>
                <w:rFonts w:hint="eastAsia" w:ascii="宋体" w:hAnsi="宋体"/>
                <w:highlight w:val="none"/>
              </w:rPr>
              <w:t>新建、改扩建、养护业绩均可</w:t>
            </w:r>
            <w:r>
              <w:rPr>
                <w:rFonts w:ascii="宋体" w:hAnsi="宋体"/>
                <w:highlight w:val="none"/>
              </w:rPr>
              <w:t>）</w:t>
            </w:r>
            <w:r>
              <w:rPr>
                <w:rFonts w:hint="eastAsia" w:ascii="宋体" w:hAnsi="宋体"/>
                <w:bCs/>
                <w:highlight w:val="none"/>
              </w:rPr>
              <w:t>施工的项目经理任职经历加3分，最多加6分</w:t>
            </w:r>
            <w:bookmarkEnd w:id="98"/>
            <w:r>
              <w:rPr>
                <w:rFonts w:hint="eastAsia" w:ascii="宋体" w:hAnsi="宋体"/>
                <w:bCs/>
                <w:highlight w:val="none"/>
              </w:rPr>
              <w:t>。</w:t>
            </w:r>
            <w:bookmarkEnd w:id="99"/>
          </w:p>
        </w:tc>
      </w:tr>
      <w:tr w14:paraId="6C8C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25" w:hRule="atLeast"/>
        </w:trPr>
        <w:tc>
          <w:tcPr>
            <w:tcW w:w="587" w:type="dxa"/>
            <w:vMerge w:val="continue"/>
            <w:vAlign w:val="center"/>
          </w:tcPr>
          <w:p w14:paraId="3E32E9DA">
            <w:pPr>
              <w:adjustRightInd w:val="0"/>
              <w:snapToGrid w:val="0"/>
              <w:spacing w:before="24" w:beforeLines="10" w:after="24" w:afterLines="10"/>
              <w:jc w:val="center"/>
              <w:rPr>
                <w:rFonts w:hint="eastAsia" w:ascii="宋体" w:hAnsi="宋体"/>
                <w:bCs/>
                <w:highlight w:val="none"/>
              </w:rPr>
            </w:pPr>
            <w:bookmarkStart w:id="100" w:name="_Hlk186124519"/>
          </w:p>
        </w:tc>
        <w:tc>
          <w:tcPr>
            <w:tcW w:w="1002" w:type="dxa"/>
            <w:vMerge w:val="continue"/>
            <w:vAlign w:val="center"/>
          </w:tcPr>
          <w:p w14:paraId="4242253D">
            <w:pPr>
              <w:adjustRightInd w:val="0"/>
              <w:snapToGrid w:val="0"/>
              <w:spacing w:before="24" w:beforeLines="10" w:after="24" w:afterLines="10"/>
              <w:jc w:val="center"/>
              <w:rPr>
                <w:rFonts w:hint="eastAsia" w:ascii="宋体" w:hAnsi="宋体"/>
                <w:bCs/>
                <w:highlight w:val="none"/>
              </w:rPr>
            </w:pPr>
          </w:p>
        </w:tc>
        <w:tc>
          <w:tcPr>
            <w:tcW w:w="993" w:type="dxa"/>
            <w:vMerge w:val="continue"/>
            <w:vAlign w:val="center"/>
          </w:tcPr>
          <w:p w14:paraId="7E9B7537">
            <w:pPr>
              <w:adjustRightInd w:val="0"/>
              <w:snapToGrid w:val="0"/>
              <w:spacing w:before="24" w:beforeLines="10" w:after="24" w:afterLines="10"/>
              <w:jc w:val="center"/>
              <w:rPr>
                <w:rFonts w:hint="eastAsia" w:ascii="宋体" w:hAnsi="宋体"/>
                <w:bCs/>
                <w:highlight w:val="none"/>
              </w:rPr>
            </w:pPr>
          </w:p>
        </w:tc>
        <w:tc>
          <w:tcPr>
            <w:tcW w:w="2266" w:type="dxa"/>
            <w:vAlign w:val="center"/>
          </w:tcPr>
          <w:p w14:paraId="10A608E1">
            <w:pPr>
              <w:adjustRightInd w:val="0"/>
              <w:snapToGrid w:val="0"/>
              <w:spacing w:before="24" w:beforeLines="10" w:after="24" w:afterLines="10" w:line="340" w:lineRule="exact"/>
              <w:jc w:val="left"/>
              <w:rPr>
                <w:rFonts w:hint="eastAsia" w:ascii="宋体" w:hAnsi="宋体"/>
                <w:bCs/>
                <w:highlight w:val="none"/>
              </w:rPr>
            </w:pPr>
            <w:r>
              <w:rPr>
                <w:rFonts w:ascii="宋体" w:hAnsi="宋体"/>
                <w:bCs/>
                <w:highlight w:val="none"/>
              </w:rPr>
              <w:t>项目</w:t>
            </w:r>
            <w:r>
              <w:rPr>
                <w:rFonts w:hint="eastAsia" w:ascii="宋体" w:hAnsi="宋体"/>
                <w:bCs/>
                <w:highlight w:val="none"/>
              </w:rPr>
              <w:t>总工</w:t>
            </w:r>
            <w:r>
              <w:rPr>
                <w:rFonts w:ascii="宋体" w:hAnsi="宋体"/>
                <w:bCs/>
                <w:highlight w:val="none"/>
              </w:rPr>
              <w:t>任职</w:t>
            </w:r>
            <w:r>
              <w:rPr>
                <w:rFonts w:hint="eastAsia" w:ascii="宋体" w:hAnsi="宋体"/>
                <w:bCs/>
                <w:highlight w:val="none"/>
              </w:rPr>
              <w:t>资格与业绩</w:t>
            </w:r>
          </w:p>
        </w:tc>
        <w:tc>
          <w:tcPr>
            <w:tcW w:w="709" w:type="dxa"/>
            <w:vAlign w:val="center"/>
          </w:tcPr>
          <w:p w14:paraId="4CAF474D">
            <w:pPr>
              <w:adjustRightInd w:val="0"/>
              <w:snapToGrid w:val="0"/>
              <w:spacing w:before="24" w:beforeLines="10" w:after="24" w:afterLines="10" w:line="340" w:lineRule="exact"/>
              <w:jc w:val="center"/>
              <w:rPr>
                <w:rFonts w:hint="eastAsia" w:ascii="宋体" w:hAnsi="宋体"/>
                <w:bCs/>
                <w:highlight w:val="none"/>
              </w:rPr>
            </w:pPr>
            <w:r>
              <w:rPr>
                <w:rFonts w:hint="eastAsia" w:ascii="宋体" w:hAnsi="宋体"/>
                <w:bCs/>
                <w:highlight w:val="none"/>
              </w:rPr>
              <w:t>10</w:t>
            </w:r>
          </w:p>
        </w:tc>
        <w:tc>
          <w:tcPr>
            <w:tcW w:w="4138" w:type="dxa"/>
            <w:vAlign w:val="center"/>
          </w:tcPr>
          <w:p w14:paraId="5DC96F45">
            <w:pPr>
              <w:adjustRightInd w:val="0"/>
              <w:snapToGrid w:val="0"/>
              <w:spacing w:before="24" w:beforeLines="10" w:after="24" w:afterLines="10" w:line="340" w:lineRule="exact"/>
              <w:jc w:val="left"/>
              <w:rPr>
                <w:rFonts w:hint="eastAsia" w:ascii="宋体" w:hAnsi="宋体"/>
                <w:bCs/>
                <w:highlight w:val="none"/>
              </w:rPr>
            </w:pPr>
            <w:r>
              <w:rPr>
                <w:rFonts w:hint="eastAsia" w:ascii="黑体" w:hAnsi="黑体" w:eastAsia="黑体"/>
                <w:bCs/>
                <w:szCs w:val="21"/>
                <w:highlight w:val="none"/>
              </w:rPr>
              <w:fldChar w:fldCharType="begin"/>
            </w:r>
            <w:r>
              <w:rPr>
                <w:rFonts w:hint="eastAsia" w:ascii="黑体" w:hAnsi="黑体" w:eastAsia="黑体"/>
                <w:bCs/>
                <w:szCs w:val="21"/>
                <w:highlight w:val="none"/>
              </w:rPr>
              <w:instrText xml:space="preserve"> = 1 \* GB3 </w:instrText>
            </w:r>
            <w:r>
              <w:rPr>
                <w:rFonts w:hint="eastAsia" w:ascii="黑体" w:hAnsi="黑体" w:eastAsia="黑体"/>
                <w:bCs/>
                <w:szCs w:val="21"/>
                <w:highlight w:val="none"/>
              </w:rPr>
              <w:fldChar w:fldCharType="separate"/>
            </w:r>
            <w:r>
              <w:rPr>
                <w:rFonts w:hint="eastAsia" w:ascii="黑体" w:hAnsi="黑体" w:eastAsia="黑体"/>
                <w:bCs/>
                <w:szCs w:val="21"/>
                <w:highlight w:val="none"/>
              </w:rPr>
              <w:t>①</w:t>
            </w:r>
            <w:r>
              <w:rPr>
                <w:rFonts w:hint="eastAsia" w:ascii="黑体" w:hAnsi="黑体" w:eastAsia="黑体"/>
                <w:bCs/>
                <w:szCs w:val="21"/>
                <w:highlight w:val="none"/>
              </w:rPr>
              <w:fldChar w:fldCharType="end"/>
            </w:r>
            <w:r>
              <w:rPr>
                <w:rFonts w:hint="eastAsia" w:ascii="黑体" w:hAnsi="黑体" w:eastAsia="黑体"/>
                <w:bCs/>
                <w:szCs w:val="21"/>
                <w:highlight w:val="none"/>
              </w:rPr>
              <w:t>YB25YH01、YB25YH02标段：</w:t>
            </w:r>
            <w:r>
              <w:rPr>
                <w:rFonts w:hint="eastAsia" w:ascii="宋体" w:hAnsi="宋体"/>
                <w:bCs/>
                <w:highlight w:val="none"/>
              </w:rPr>
              <w:t>满足最低资格审查条件得6分，担任过1项三级或以上公路沥青混凝土路面修复养护工程（大中修养护工程或路面改造工程)施工的项目总工任职经历加2分，最多加4分。</w:t>
            </w:r>
          </w:p>
          <w:p w14:paraId="2739B972">
            <w:pPr>
              <w:adjustRightInd w:val="0"/>
              <w:snapToGrid w:val="0"/>
              <w:spacing w:before="24" w:beforeLines="10" w:after="24" w:afterLines="10" w:line="340" w:lineRule="exact"/>
              <w:jc w:val="left"/>
              <w:rPr>
                <w:rFonts w:hint="eastAsia" w:ascii="宋体" w:hAnsi="宋体"/>
                <w:bCs/>
                <w:szCs w:val="21"/>
                <w:highlight w:val="none"/>
              </w:rPr>
            </w:pPr>
            <w:r>
              <w:rPr>
                <w:rFonts w:hint="eastAsia" w:ascii="黑体" w:hAnsi="黑体" w:eastAsia="黑体"/>
                <w:bCs/>
                <w:highlight w:val="none"/>
              </w:rPr>
              <w:fldChar w:fldCharType="begin"/>
            </w:r>
            <w:r>
              <w:rPr>
                <w:rFonts w:hint="eastAsia" w:ascii="黑体" w:hAnsi="黑体" w:eastAsia="黑体"/>
                <w:bCs/>
                <w:highlight w:val="none"/>
              </w:rPr>
              <w:instrText xml:space="preserve"> = 2 \* GB3 </w:instrText>
            </w:r>
            <w:r>
              <w:rPr>
                <w:rFonts w:hint="eastAsia" w:ascii="黑体" w:hAnsi="黑体" w:eastAsia="黑体"/>
                <w:bCs/>
                <w:highlight w:val="none"/>
              </w:rPr>
              <w:fldChar w:fldCharType="separate"/>
            </w:r>
            <w:r>
              <w:rPr>
                <w:rFonts w:hint="eastAsia" w:ascii="黑体" w:hAnsi="黑体" w:eastAsia="黑体"/>
                <w:bCs/>
                <w:highlight w:val="none"/>
              </w:rPr>
              <w:t>②</w:t>
            </w:r>
            <w:r>
              <w:rPr>
                <w:rFonts w:hint="eastAsia" w:ascii="黑体" w:hAnsi="黑体" w:eastAsia="黑体"/>
                <w:bCs/>
                <w:highlight w:val="none"/>
              </w:rPr>
              <w:fldChar w:fldCharType="end"/>
            </w:r>
            <w:r>
              <w:rPr>
                <w:rFonts w:hint="eastAsia" w:ascii="黑体" w:hAnsi="黑体" w:eastAsia="黑体"/>
                <w:bCs/>
                <w:szCs w:val="21"/>
                <w:highlight w:val="none"/>
              </w:rPr>
              <w:t xml:space="preserve"> YB25JT01标段：</w:t>
            </w:r>
            <w:r>
              <w:rPr>
                <w:rFonts w:hint="eastAsia" w:ascii="宋体" w:hAnsi="宋体"/>
                <w:bCs/>
                <w:highlight w:val="none"/>
              </w:rPr>
              <w:t>满足最低资格审查条件得6分，</w:t>
            </w:r>
            <w:r>
              <w:rPr>
                <w:rFonts w:hint="eastAsia"/>
                <w:bCs/>
                <w:color w:val="000000"/>
                <w:szCs w:val="21"/>
                <w:highlight w:val="none"/>
              </w:rPr>
              <w:t>担任过</w:t>
            </w:r>
            <w:r>
              <w:rPr>
                <w:rFonts w:hint="eastAsia" w:ascii="宋体" w:hAnsi="宋体"/>
                <w:bCs/>
                <w:highlight w:val="none"/>
              </w:rPr>
              <w:t>1项三级或以上公路</w:t>
            </w:r>
            <w:bookmarkStart w:id="101" w:name="OLE_LINK75"/>
            <w:r>
              <w:rPr>
                <w:rFonts w:hint="eastAsia" w:ascii="宋体" w:hAnsi="宋体"/>
                <w:szCs w:val="21"/>
                <w:highlight w:val="none"/>
              </w:rPr>
              <w:t>交通安全设施工程（</w:t>
            </w:r>
            <w:r>
              <w:rPr>
                <w:rFonts w:hint="eastAsia" w:ascii="宋体" w:hAnsi="宋体"/>
                <w:highlight w:val="none"/>
              </w:rPr>
              <w:t>新建、改扩建、养护业绩均可</w:t>
            </w:r>
            <w:r>
              <w:rPr>
                <w:rFonts w:ascii="宋体" w:hAnsi="宋体"/>
                <w:highlight w:val="none"/>
              </w:rPr>
              <w:t>）</w:t>
            </w:r>
            <w:bookmarkEnd w:id="101"/>
            <w:r>
              <w:rPr>
                <w:rFonts w:hint="eastAsia" w:ascii="宋体" w:hAnsi="宋体"/>
                <w:bCs/>
                <w:highlight w:val="none"/>
              </w:rPr>
              <w:t>施工的项目总工任职经历加2分，最多加4分。</w:t>
            </w:r>
          </w:p>
        </w:tc>
      </w:tr>
      <w:bookmarkEnd w:id="100"/>
    </w:tbl>
    <w:p w14:paraId="5366116A">
      <w:pPr>
        <w:rPr>
          <w:bCs/>
          <w:highlight w:val="none"/>
        </w:rPr>
      </w:pPr>
      <w:r>
        <w:rPr>
          <w:bCs/>
          <w:highlight w:val="none"/>
        </w:rPr>
        <w:br w:type="page"/>
      </w:r>
    </w:p>
    <w:p w14:paraId="0DB6EE5F">
      <w:pPr>
        <w:jc w:val="right"/>
        <w:rPr>
          <w:bCs/>
          <w:highlight w:val="none"/>
        </w:rPr>
      </w:pPr>
      <w:r>
        <w:rPr>
          <w:rFonts w:hint="eastAsia"/>
          <w:bCs/>
          <w:highlight w:val="none"/>
        </w:rPr>
        <w:t>续上表</w:t>
      </w:r>
    </w:p>
    <w:tbl>
      <w:tblPr>
        <w:tblStyle w:val="55"/>
        <w:tblW w:w="96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500"/>
        <w:gridCol w:w="502"/>
        <w:gridCol w:w="993"/>
        <w:gridCol w:w="991"/>
        <w:gridCol w:w="851"/>
        <w:gridCol w:w="5271"/>
      </w:tblGrid>
      <w:tr w14:paraId="0950D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trPr>
        <w:tc>
          <w:tcPr>
            <w:tcW w:w="587" w:type="dxa"/>
            <w:vMerge w:val="restart"/>
            <w:tcBorders>
              <w:top w:val="single" w:color="auto" w:sz="4" w:space="0"/>
              <w:left w:val="single" w:color="auto" w:sz="4" w:space="0"/>
              <w:right w:val="single" w:color="auto" w:sz="4" w:space="0"/>
            </w:tcBorders>
            <w:vAlign w:val="center"/>
          </w:tcPr>
          <w:p w14:paraId="3DE36457">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条款</w:t>
            </w:r>
          </w:p>
          <w:p w14:paraId="578D2F6D">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号</w:t>
            </w:r>
          </w:p>
        </w:tc>
        <w:tc>
          <w:tcPr>
            <w:tcW w:w="3837" w:type="dxa"/>
            <w:gridSpan w:val="5"/>
            <w:tcBorders>
              <w:top w:val="single" w:color="auto" w:sz="4" w:space="0"/>
              <w:left w:val="single" w:color="auto" w:sz="4" w:space="0"/>
              <w:right w:val="single" w:color="auto" w:sz="4" w:space="0"/>
            </w:tcBorders>
            <w:vAlign w:val="center"/>
          </w:tcPr>
          <w:p w14:paraId="5E614FEC">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评分因素与拟定权重分值</w:t>
            </w:r>
          </w:p>
        </w:tc>
        <w:tc>
          <w:tcPr>
            <w:tcW w:w="5271" w:type="dxa"/>
            <w:vMerge w:val="restart"/>
            <w:tcBorders>
              <w:top w:val="single" w:color="auto" w:sz="4" w:space="0"/>
              <w:left w:val="single" w:color="auto" w:sz="4" w:space="0"/>
              <w:right w:val="single" w:color="auto" w:sz="4" w:space="0"/>
            </w:tcBorders>
            <w:vAlign w:val="center"/>
          </w:tcPr>
          <w:p w14:paraId="5643FD14">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评分标准</w:t>
            </w:r>
          </w:p>
        </w:tc>
      </w:tr>
      <w:tr w14:paraId="463C6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7" w:type="dxa"/>
            <w:vMerge w:val="continue"/>
            <w:tcBorders>
              <w:left w:val="single" w:color="auto" w:sz="4" w:space="0"/>
              <w:bottom w:val="single" w:color="auto" w:sz="4" w:space="0"/>
              <w:right w:val="single" w:color="auto" w:sz="4" w:space="0"/>
            </w:tcBorders>
            <w:vAlign w:val="center"/>
          </w:tcPr>
          <w:p w14:paraId="7DF36C48">
            <w:pPr>
              <w:adjustRightInd w:val="0"/>
              <w:snapToGrid w:val="0"/>
              <w:spacing w:before="24" w:beforeLines="10" w:after="24" w:afterLines="10"/>
              <w:jc w:val="center"/>
              <w:rPr>
                <w:rFonts w:hint="eastAsia" w:ascii="宋体" w:hAnsi="宋体"/>
                <w:bCs/>
                <w:highlight w:val="none"/>
              </w:rPr>
            </w:pPr>
          </w:p>
        </w:tc>
        <w:tc>
          <w:tcPr>
            <w:tcW w:w="1002" w:type="dxa"/>
            <w:gridSpan w:val="2"/>
            <w:tcBorders>
              <w:left w:val="single" w:color="auto" w:sz="4" w:space="0"/>
            </w:tcBorders>
            <w:vAlign w:val="center"/>
          </w:tcPr>
          <w:p w14:paraId="7E8E0A8D">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评分</w:t>
            </w:r>
            <w:r>
              <w:rPr>
                <w:rFonts w:ascii="宋体" w:hAnsi="宋体"/>
                <w:bCs/>
                <w:highlight w:val="none"/>
              </w:rPr>
              <w:br w:type="textWrapping"/>
            </w:r>
            <w:r>
              <w:rPr>
                <w:rFonts w:ascii="宋体" w:hAnsi="宋体"/>
                <w:bCs/>
                <w:highlight w:val="none"/>
              </w:rPr>
              <w:t>因素</w:t>
            </w:r>
          </w:p>
        </w:tc>
        <w:tc>
          <w:tcPr>
            <w:tcW w:w="993" w:type="dxa"/>
            <w:vAlign w:val="center"/>
          </w:tcPr>
          <w:p w14:paraId="2A37C1EE">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评分因素</w:t>
            </w:r>
            <w:r>
              <w:rPr>
                <w:rFonts w:ascii="宋体" w:hAnsi="宋体"/>
                <w:bCs/>
                <w:highlight w:val="none"/>
              </w:rPr>
              <w:br w:type="textWrapping"/>
            </w:r>
            <w:r>
              <w:rPr>
                <w:rFonts w:ascii="宋体" w:hAnsi="宋体"/>
                <w:bCs/>
                <w:highlight w:val="none"/>
              </w:rPr>
              <w:t>权重分值</w:t>
            </w:r>
          </w:p>
        </w:tc>
        <w:tc>
          <w:tcPr>
            <w:tcW w:w="991" w:type="dxa"/>
            <w:vAlign w:val="center"/>
          </w:tcPr>
          <w:p w14:paraId="381780EF">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各评分因</w:t>
            </w:r>
          </w:p>
          <w:p w14:paraId="78BA1083">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素细分项</w:t>
            </w:r>
          </w:p>
        </w:tc>
        <w:tc>
          <w:tcPr>
            <w:tcW w:w="851" w:type="dxa"/>
            <w:tcBorders>
              <w:right w:val="single" w:color="auto" w:sz="4" w:space="0"/>
            </w:tcBorders>
            <w:vAlign w:val="center"/>
          </w:tcPr>
          <w:p w14:paraId="15185A91">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分值</w:t>
            </w:r>
          </w:p>
        </w:tc>
        <w:tc>
          <w:tcPr>
            <w:tcW w:w="5271" w:type="dxa"/>
            <w:vMerge w:val="continue"/>
            <w:tcBorders>
              <w:left w:val="single" w:color="auto" w:sz="4" w:space="0"/>
              <w:right w:val="single" w:color="auto" w:sz="4" w:space="0"/>
            </w:tcBorders>
            <w:vAlign w:val="center"/>
          </w:tcPr>
          <w:p w14:paraId="62573295">
            <w:pPr>
              <w:adjustRightInd w:val="0"/>
              <w:snapToGrid w:val="0"/>
              <w:spacing w:before="24" w:beforeLines="10" w:after="24" w:afterLines="10"/>
              <w:jc w:val="center"/>
              <w:rPr>
                <w:rFonts w:hint="eastAsia" w:ascii="宋体" w:hAnsi="宋体"/>
                <w:bCs/>
                <w:highlight w:val="none"/>
              </w:rPr>
            </w:pPr>
          </w:p>
        </w:tc>
      </w:tr>
      <w:tr w14:paraId="7A6C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6" w:hRule="atLeast"/>
        </w:trPr>
        <w:tc>
          <w:tcPr>
            <w:tcW w:w="587" w:type="dxa"/>
            <w:vMerge w:val="restart"/>
            <w:vAlign w:val="center"/>
          </w:tcPr>
          <w:p w14:paraId="303E7286">
            <w:pPr>
              <w:adjustRightInd w:val="0"/>
              <w:snapToGrid w:val="0"/>
              <w:spacing w:before="48" w:beforeLines="20" w:after="48" w:afterLines="20"/>
              <w:jc w:val="center"/>
              <w:rPr>
                <w:rFonts w:hint="eastAsia" w:ascii="宋体" w:hAnsi="宋体"/>
                <w:bCs/>
                <w:highlight w:val="none"/>
              </w:rPr>
            </w:pPr>
            <w:r>
              <w:rPr>
                <w:rFonts w:ascii="宋体" w:hAnsi="宋体"/>
                <w:bCs/>
                <w:highlight w:val="none"/>
              </w:rPr>
              <w:t>2.2.</w:t>
            </w:r>
            <w:r>
              <w:rPr>
                <w:rFonts w:hint="eastAsia" w:ascii="宋体" w:hAnsi="宋体"/>
                <w:bCs/>
                <w:highlight w:val="none"/>
              </w:rPr>
              <w:t>2</w:t>
            </w:r>
            <w:r>
              <w:rPr>
                <w:rFonts w:ascii="宋体" w:hAnsi="宋体"/>
                <w:bCs/>
                <w:highlight w:val="none"/>
              </w:rPr>
              <w:t>（</w:t>
            </w:r>
            <w:r>
              <w:rPr>
                <w:rFonts w:hint="eastAsia" w:ascii="宋体" w:hAnsi="宋体"/>
                <w:bCs/>
                <w:highlight w:val="none"/>
              </w:rPr>
              <w:t>3</w:t>
            </w:r>
            <w:r>
              <w:rPr>
                <w:rFonts w:ascii="宋体" w:hAnsi="宋体"/>
                <w:bCs/>
                <w:highlight w:val="none"/>
              </w:rPr>
              <w:t>）</w:t>
            </w:r>
          </w:p>
        </w:tc>
        <w:tc>
          <w:tcPr>
            <w:tcW w:w="500" w:type="dxa"/>
            <w:vMerge w:val="restart"/>
            <w:vAlign w:val="center"/>
          </w:tcPr>
          <w:p w14:paraId="66BC5D50">
            <w:pPr>
              <w:adjustRightInd w:val="0"/>
              <w:snapToGrid w:val="0"/>
              <w:spacing w:before="48" w:beforeLines="20" w:after="48" w:afterLines="20"/>
              <w:ind w:left="113" w:right="113"/>
              <w:jc w:val="center"/>
              <w:rPr>
                <w:rFonts w:hint="eastAsia" w:ascii="宋体" w:hAnsi="宋体"/>
                <w:bCs/>
                <w:highlight w:val="none"/>
              </w:rPr>
            </w:pPr>
            <w:r>
              <w:rPr>
                <w:rFonts w:hint="eastAsia" w:ascii="宋体" w:hAnsi="宋体"/>
                <w:bCs/>
                <w:highlight w:val="none"/>
              </w:rPr>
              <w:t>其他因素</w:t>
            </w:r>
          </w:p>
        </w:tc>
        <w:tc>
          <w:tcPr>
            <w:tcW w:w="502" w:type="dxa"/>
            <w:vAlign w:val="center"/>
          </w:tcPr>
          <w:p w14:paraId="6354AFB6">
            <w:pPr>
              <w:adjustRightInd w:val="0"/>
              <w:snapToGrid w:val="0"/>
              <w:spacing w:before="48" w:beforeLines="20" w:after="48" w:afterLines="20"/>
              <w:ind w:left="113" w:right="113"/>
              <w:jc w:val="center"/>
              <w:rPr>
                <w:rFonts w:hint="eastAsia" w:ascii="宋体" w:hAnsi="宋体"/>
                <w:bCs/>
                <w:highlight w:val="none"/>
              </w:rPr>
            </w:pPr>
            <w:r>
              <w:rPr>
                <w:rFonts w:hint="eastAsia" w:ascii="宋体" w:hAnsi="宋体"/>
                <w:bCs/>
                <w:highlight w:val="none"/>
              </w:rPr>
              <w:t>企业业绩</w:t>
            </w:r>
          </w:p>
        </w:tc>
        <w:tc>
          <w:tcPr>
            <w:tcW w:w="993" w:type="dxa"/>
            <w:vAlign w:val="center"/>
          </w:tcPr>
          <w:p w14:paraId="42E5B74D">
            <w:pPr>
              <w:adjustRightInd w:val="0"/>
              <w:snapToGrid w:val="0"/>
              <w:spacing w:before="48" w:beforeLines="20" w:after="48" w:afterLines="20" w:line="340" w:lineRule="exact"/>
              <w:jc w:val="center"/>
              <w:rPr>
                <w:rFonts w:hint="eastAsia" w:ascii="宋体" w:hAnsi="宋体"/>
                <w:bCs/>
                <w:highlight w:val="none"/>
              </w:rPr>
            </w:pPr>
            <w:r>
              <w:rPr>
                <w:rFonts w:hint="eastAsia" w:ascii="宋体" w:hAnsi="宋体"/>
                <w:bCs/>
                <w:highlight w:val="none"/>
              </w:rPr>
              <w:t>2</w:t>
            </w:r>
            <w:r>
              <w:rPr>
                <w:rFonts w:ascii="宋体" w:hAnsi="宋体"/>
                <w:bCs/>
                <w:highlight w:val="none"/>
              </w:rPr>
              <w:t>0分</w:t>
            </w:r>
          </w:p>
        </w:tc>
        <w:tc>
          <w:tcPr>
            <w:tcW w:w="991" w:type="dxa"/>
            <w:vAlign w:val="center"/>
          </w:tcPr>
          <w:p w14:paraId="52929941">
            <w:pPr>
              <w:adjustRightInd w:val="0"/>
              <w:snapToGrid w:val="0"/>
              <w:spacing w:before="48" w:beforeLines="20" w:after="48" w:afterLines="20" w:line="340" w:lineRule="exact"/>
              <w:jc w:val="center"/>
              <w:rPr>
                <w:rFonts w:hint="eastAsia" w:ascii="宋体" w:hAnsi="宋体"/>
                <w:bCs/>
                <w:highlight w:val="none"/>
              </w:rPr>
            </w:pPr>
            <w:r>
              <w:rPr>
                <w:rFonts w:hint="eastAsia" w:ascii="宋体" w:hAnsi="宋体"/>
                <w:bCs/>
                <w:highlight w:val="none"/>
              </w:rPr>
              <w:t>企业</w:t>
            </w:r>
          </w:p>
          <w:p w14:paraId="01B5EB2E">
            <w:pPr>
              <w:adjustRightInd w:val="0"/>
              <w:snapToGrid w:val="0"/>
              <w:spacing w:before="48" w:beforeLines="20" w:after="48" w:afterLines="20" w:line="340" w:lineRule="exact"/>
              <w:jc w:val="center"/>
              <w:rPr>
                <w:rFonts w:hint="eastAsia" w:ascii="宋体" w:hAnsi="宋体"/>
                <w:bCs/>
                <w:szCs w:val="21"/>
                <w:highlight w:val="none"/>
              </w:rPr>
            </w:pPr>
            <w:r>
              <w:rPr>
                <w:rFonts w:hint="eastAsia" w:ascii="宋体" w:hAnsi="宋体"/>
                <w:bCs/>
                <w:highlight w:val="none"/>
              </w:rPr>
              <w:t>业绩</w:t>
            </w:r>
          </w:p>
        </w:tc>
        <w:tc>
          <w:tcPr>
            <w:tcW w:w="851" w:type="dxa"/>
            <w:vAlign w:val="center"/>
          </w:tcPr>
          <w:p w14:paraId="3B0BEDE5">
            <w:pPr>
              <w:adjustRightInd w:val="0"/>
              <w:snapToGrid w:val="0"/>
              <w:spacing w:before="48" w:beforeLines="20" w:after="48" w:afterLines="20" w:line="340" w:lineRule="exact"/>
              <w:jc w:val="center"/>
              <w:rPr>
                <w:rFonts w:hint="eastAsia" w:ascii="宋体" w:hAnsi="宋体"/>
                <w:bCs/>
                <w:szCs w:val="21"/>
                <w:highlight w:val="none"/>
              </w:rPr>
            </w:pPr>
            <w:r>
              <w:rPr>
                <w:rFonts w:hint="eastAsia" w:ascii="宋体" w:hAnsi="宋体"/>
                <w:bCs/>
                <w:highlight w:val="none"/>
              </w:rPr>
              <w:t>20</w:t>
            </w:r>
          </w:p>
        </w:tc>
        <w:tc>
          <w:tcPr>
            <w:tcW w:w="5271" w:type="dxa"/>
            <w:vAlign w:val="center"/>
          </w:tcPr>
          <w:p w14:paraId="08273895">
            <w:pPr>
              <w:pStyle w:val="26"/>
              <w:spacing w:line="320" w:lineRule="exact"/>
              <w:rPr>
                <w:bCs/>
                <w:highlight w:val="none"/>
              </w:rPr>
            </w:pPr>
            <w:bookmarkStart w:id="102" w:name="OLE_LINK18"/>
            <w:r>
              <w:rPr>
                <w:rFonts w:hint="eastAsia" w:ascii="黑体" w:hAnsi="黑体" w:eastAsia="黑体"/>
                <w:bCs/>
                <w:highlight w:val="none"/>
              </w:rPr>
              <w:fldChar w:fldCharType="begin"/>
            </w:r>
            <w:r>
              <w:rPr>
                <w:rFonts w:hint="eastAsia" w:ascii="黑体" w:hAnsi="黑体" w:eastAsia="黑体"/>
                <w:bCs/>
                <w:highlight w:val="none"/>
              </w:rPr>
              <w:instrText xml:space="preserve"> = 1 \* GB3 </w:instrText>
            </w:r>
            <w:r>
              <w:rPr>
                <w:rFonts w:hint="eastAsia" w:ascii="黑体" w:hAnsi="黑体" w:eastAsia="黑体"/>
                <w:bCs/>
                <w:highlight w:val="none"/>
              </w:rPr>
              <w:fldChar w:fldCharType="separate"/>
            </w:r>
            <w:r>
              <w:rPr>
                <w:rFonts w:hint="eastAsia" w:ascii="黑体" w:hAnsi="黑体" w:eastAsia="黑体"/>
                <w:bCs/>
                <w:highlight w:val="none"/>
              </w:rPr>
              <w:t>①</w:t>
            </w:r>
            <w:r>
              <w:rPr>
                <w:rFonts w:hint="eastAsia" w:ascii="黑体" w:hAnsi="黑体" w:eastAsia="黑体"/>
                <w:bCs/>
                <w:highlight w:val="none"/>
              </w:rPr>
              <w:fldChar w:fldCharType="end"/>
            </w:r>
            <w:r>
              <w:rPr>
                <w:rFonts w:hint="eastAsia" w:ascii="黑体" w:hAnsi="黑体" w:eastAsia="黑体"/>
                <w:bCs/>
                <w:highlight w:val="none"/>
              </w:rPr>
              <w:t>YB25YH01、YB25YH02标段：</w:t>
            </w:r>
            <w:r>
              <w:rPr>
                <w:rFonts w:hint="eastAsia"/>
                <w:bCs/>
                <w:highlight w:val="none"/>
              </w:rPr>
              <w:t>投标人通过形式评审与响应性评审、资格评审得12分；2020年1月1日后（两阶段验收工程以交工时间为准，一阶段验收工程以交工或竣工时间为准），累计完成10公里三级或三级以上公路沥青混凝土路面的修复养护工程（大中修养护工程或路面改造工程)的施工业绩（高速公路、一级公路全幅按2倍长度计算，半幅按1倍长度计算）得20分，0～10公里得分在12分～20分之间内插计算。</w:t>
            </w:r>
          </w:p>
          <w:p w14:paraId="43CB3F2E">
            <w:pPr>
              <w:adjustRightInd w:val="0"/>
              <w:snapToGrid w:val="0"/>
              <w:spacing w:line="320" w:lineRule="exact"/>
              <w:jc w:val="left"/>
              <w:rPr>
                <w:rFonts w:hint="eastAsia" w:ascii="楷体" w:hAnsi="楷体" w:eastAsia="楷体"/>
                <w:bCs/>
                <w:highlight w:val="none"/>
              </w:rPr>
            </w:pPr>
            <w:r>
              <w:rPr>
                <w:rFonts w:hint="eastAsia" w:ascii="楷体" w:hAnsi="楷体" w:eastAsia="楷体"/>
                <w:bCs/>
                <w:highlight w:val="none"/>
              </w:rPr>
              <w:t>注：以联合体形式投标的，</w:t>
            </w:r>
            <w:r>
              <w:rPr>
                <w:rFonts w:hint="eastAsia" w:ascii="楷体" w:hAnsi="楷体" w:eastAsia="楷体"/>
                <w:bCs/>
                <w:szCs w:val="21"/>
                <w:highlight w:val="none"/>
              </w:rPr>
              <w:t>按联合体牵头人的业绩计算业绩得分</w:t>
            </w:r>
            <w:r>
              <w:rPr>
                <w:rFonts w:hint="eastAsia" w:ascii="楷体" w:hAnsi="楷体" w:eastAsia="楷体"/>
                <w:bCs/>
                <w:highlight w:val="none"/>
              </w:rPr>
              <w:t>。</w:t>
            </w:r>
          </w:p>
          <w:p w14:paraId="53B24E26">
            <w:pPr>
              <w:pStyle w:val="26"/>
              <w:spacing w:line="320" w:lineRule="exact"/>
              <w:rPr>
                <w:rFonts w:hint="eastAsia" w:hAnsi="宋体"/>
                <w:bCs/>
                <w:highlight w:val="none"/>
              </w:rPr>
            </w:pPr>
            <w:r>
              <w:rPr>
                <w:rFonts w:hint="eastAsia" w:ascii="黑体" w:hAnsi="黑体" w:eastAsia="黑体"/>
                <w:bCs/>
                <w:highlight w:val="none"/>
              </w:rPr>
              <w:fldChar w:fldCharType="begin"/>
            </w:r>
            <w:r>
              <w:rPr>
                <w:rFonts w:hint="eastAsia" w:ascii="黑体" w:hAnsi="黑体" w:eastAsia="黑体"/>
                <w:bCs/>
                <w:highlight w:val="none"/>
              </w:rPr>
              <w:instrText xml:space="preserve"> = 2 \* GB3 </w:instrText>
            </w:r>
            <w:r>
              <w:rPr>
                <w:rFonts w:hint="eastAsia" w:ascii="黑体" w:hAnsi="黑体" w:eastAsia="黑体"/>
                <w:bCs/>
                <w:highlight w:val="none"/>
              </w:rPr>
              <w:fldChar w:fldCharType="separate"/>
            </w:r>
            <w:r>
              <w:rPr>
                <w:rFonts w:hint="eastAsia" w:ascii="黑体" w:hAnsi="黑体" w:eastAsia="黑体"/>
                <w:bCs/>
                <w:highlight w:val="none"/>
              </w:rPr>
              <w:t>②</w:t>
            </w:r>
            <w:r>
              <w:rPr>
                <w:rFonts w:hint="eastAsia" w:ascii="黑体" w:hAnsi="黑体" w:eastAsia="黑体"/>
                <w:bCs/>
                <w:highlight w:val="none"/>
              </w:rPr>
              <w:fldChar w:fldCharType="end"/>
            </w:r>
            <w:r>
              <w:rPr>
                <w:rFonts w:hint="eastAsia" w:ascii="黑体" w:hAnsi="黑体" w:eastAsia="黑体"/>
                <w:bCs/>
                <w:highlight w:val="none"/>
              </w:rPr>
              <w:t xml:space="preserve"> YB25JT01标段：</w:t>
            </w:r>
            <w:r>
              <w:rPr>
                <w:rFonts w:hint="eastAsia"/>
                <w:bCs/>
                <w:highlight w:val="none"/>
              </w:rPr>
              <w:t>投标人通过形式评审与响应性评审、资格评审得12分；2020年1月1日后（两阶段验收工程以交工时间为准，一阶段验收工程以交工或竣工时间为准），累计完成30公里三级或三级以上公路交通安全设施工程（新建、改扩建、养护业绩均可）的施工业绩（高速公路、一级公路全幅按2倍长度计算，半幅按1倍长度计算）得20分，0～30公里得分在12分～20分之间内插计算。</w:t>
            </w:r>
            <w:bookmarkEnd w:id="102"/>
          </w:p>
        </w:tc>
      </w:tr>
      <w:tr w14:paraId="77DB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7" w:type="dxa"/>
            <w:vMerge w:val="continue"/>
            <w:vAlign w:val="center"/>
          </w:tcPr>
          <w:p w14:paraId="42413FA8">
            <w:pPr>
              <w:adjustRightInd w:val="0"/>
              <w:snapToGrid w:val="0"/>
              <w:spacing w:before="48" w:beforeLines="20" w:after="48" w:afterLines="20"/>
              <w:jc w:val="center"/>
              <w:rPr>
                <w:rFonts w:hint="eastAsia" w:ascii="宋体" w:hAnsi="宋体"/>
                <w:bCs/>
                <w:highlight w:val="none"/>
              </w:rPr>
            </w:pPr>
          </w:p>
        </w:tc>
        <w:tc>
          <w:tcPr>
            <w:tcW w:w="500" w:type="dxa"/>
            <w:vMerge w:val="continue"/>
            <w:vAlign w:val="center"/>
          </w:tcPr>
          <w:p w14:paraId="5C33E872">
            <w:pPr>
              <w:adjustRightInd w:val="0"/>
              <w:snapToGrid w:val="0"/>
              <w:spacing w:before="48" w:beforeLines="20" w:after="48" w:afterLines="20"/>
              <w:ind w:left="113" w:right="113"/>
              <w:jc w:val="center"/>
              <w:rPr>
                <w:rFonts w:hint="eastAsia" w:ascii="宋体" w:hAnsi="宋体"/>
                <w:bCs/>
                <w:highlight w:val="none"/>
              </w:rPr>
            </w:pPr>
          </w:p>
        </w:tc>
        <w:tc>
          <w:tcPr>
            <w:tcW w:w="502" w:type="dxa"/>
            <w:vMerge w:val="restart"/>
            <w:vAlign w:val="center"/>
          </w:tcPr>
          <w:p w14:paraId="4E694424">
            <w:pPr>
              <w:adjustRightInd w:val="0"/>
              <w:snapToGrid w:val="0"/>
              <w:spacing w:before="48" w:beforeLines="20" w:after="48" w:afterLines="20"/>
              <w:ind w:left="113" w:right="113"/>
              <w:jc w:val="center"/>
              <w:rPr>
                <w:rFonts w:hint="eastAsia" w:ascii="宋体" w:hAnsi="宋体"/>
                <w:bCs/>
                <w:highlight w:val="none"/>
              </w:rPr>
            </w:pPr>
            <w:r>
              <w:rPr>
                <w:rFonts w:hint="eastAsia" w:ascii="宋体" w:hAnsi="宋体"/>
                <w:bCs/>
                <w:highlight w:val="none"/>
              </w:rPr>
              <w:t>履约信誉</w:t>
            </w:r>
          </w:p>
        </w:tc>
        <w:tc>
          <w:tcPr>
            <w:tcW w:w="993" w:type="dxa"/>
            <w:vAlign w:val="center"/>
          </w:tcPr>
          <w:p w14:paraId="3767F40B">
            <w:pPr>
              <w:adjustRightInd w:val="0"/>
              <w:snapToGrid w:val="0"/>
              <w:spacing w:before="48" w:beforeLines="20" w:after="48" w:afterLines="20" w:line="340" w:lineRule="exact"/>
              <w:jc w:val="center"/>
              <w:rPr>
                <w:rFonts w:hint="eastAsia" w:ascii="宋体" w:hAnsi="宋体"/>
                <w:bCs/>
                <w:highlight w:val="none"/>
              </w:rPr>
            </w:pPr>
            <w:r>
              <w:rPr>
                <w:rFonts w:hint="eastAsia" w:ascii="宋体" w:hAnsi="宋体"/>
                <w:bCs/>
                <w:highlight w:val="none"/>
              </w:rPr>
              <w:t>15分</w:t>
            </w:r>
          </w:p>
        </w:tc>
        <w:tc>
          <w:tcPr>
            <w:tcW w:w="991" w:type="dxa"/>
            <w:vAlign w:val="center"/>
          </w:tcPr>
          <w:p w14:paraId="2A0A111B">
            <w:pPr>
              <w:adjustRightInd w:val="0"/>
              <w:snapToGrid w:val="0"/>
              <w:spacing w:before="48" w:beforeLines="20" w:after="48" w:afterLines="20" w:line="340" w:lineRule="exact"/>
              <w:jc w:val="left"/>
              <w:rPr>
                <w:rFonts w:hint="eastAsia" w:ascii="宋体" w:hAnsi="宋体"/>
                <w:bCs/>
                <w:highlight w:val="none"/>
              </w:rPr>
            </w:pPr>
            <w:r>
              <w:rPr>
                <w:rFonts w:hint="eastAsia" w:ascii="宋体" w:hAnsi="宋体"/>
                <w:bCs/>
                <w:highlight w:val="none"/>
              </w:rPr>
              <w:t>投标人企业信用等级</w:t>
            </w:r>
          </w:p>
        </w:tc>
        <w:tc>
          <w:tcPr>
            <w:tcW w:w="851" w:type="dxa"/>
            <w:vAlign w:val="center"/>
          </w:tcPr>
          <w:p w14:paraId="5F3EFABE">
            <w:pPr>
              <w:adjustRightInd w:val="0"/>
              <w:snapToGrid w:val="0"/>
              <w:spacing w:before="48" w:beforeLines="20" w:after="48" w:afterLines="20" w:line="340" w:lineRule="exact"/>
              <w:jc w:val="center"/>
              <w:rPr>
                <w:rFonts w:hint="eastAsia" w:ascii="宋体" w:hAnsi="宋体"/>
                <w:bCs/>
                <w:highlight w:val="none"/>
              </w:rPr>
            </w:pPr>
            <w:r>
              <w:rPr>
                <w:rFonts w:hint="eastAsia" w:ascii="宋体" w:hAnsi="宋体"/>
                <w:bCs/>
                <w:highlight w:val="none"/>
              </w:rPr>
              <w:t xml:space="preserve">15 </w:t>
            </w:r>
          </w:p>
        </w:tc>
        <w:tc>
          <w:tcPr>
            <w:tcW w:w="5271" w:type="dxa"/>
            <w:vAlign w:val="center"/>
          </w:tcPr>
          <w:p w14:paraId="0627BB28">
            <w:pPr>
              <w:adjustRightInd w:val="0"/>
              <w:snapToGrid w:val="0"/>
              <w:spacing w:before="48" w:beforeLines="20" w:after="48" w:afterLines="20" w:line="340" w:lineRule="exact"/>
              <w:jc w:val="left"/>
              <w:rPr>
                <w:rFonts w:hint="eastAsia" w:ascii="宋体" w:hAnsi="宋体"/>
                <w:bCs/>
                <w:highlight w:val="none"/>
              </w:rPr>
            </w:pPr>
            <w:bookmarkStart w:id="103" w:name="OLE_LINK19"/>
            <w:r>
              <w:rPr>
                <w:rFonts w:hint="eastAsia" w:ascii="宋体" w:hAnsi="宋体"/>
                <w:bCs/>
                <w:highlight w:val="none"/>
              </w:rPr>
              <w:t>信用评价AA级得15分；</w:t>
            </w:r>
          </w:p>
          <w:p w14:paraId="3D43A49B">
            <w:pPr>
              <w:adjustRightInd w:val="0"/>
              <w:snapToGrid w:val="0"/>
              <w:spacing w:before="48" w:beforeLines="20" w:after="48" w:afterLines="20" w:line="340" w:lineRule="exact"/>
              <w:jc w:val="left"/>
              <w:rPr>
                <w:rFonts w:hint="eastAsia" w:ascii="宋体" w:hAnsi="宋体"/>
                <w:bCs/>
                <w:highlight w:val="none"/>
              </w:rPr>
            </w:pPr>
            <w:r>
              <w:rPr>
                <w:rFonts w:hint="eastAsia" w:ascii="宋体" w:hAnsi="宋体"/>
                <w:bCs/>
                <w:highlight w:val="none"/>
              </w:rPr>
              <w:t>信用评价A级得13分；</w:t>
            </w:r>
          </w:p>
          <w:p w14:paraId="670E9530">
            <w:pPr>
              <w:adjustRightInd w:val="0"/>
              <w:snapToGrid w:val="0"/>
              <w:spacing w:before="48" w:beforeLines="20" w:after="48" w:afterLines="20" w:line="340" w:lineRule="exact"/>
              <w:jc w:val="left"/>
              <w:rPr>
                <w:rFonts w:hint="eastAsia" w:ascii="宋体" w:hAnsi="宋体"/>
                <w:bCs/>
                <w:highlight w:val="none"/>
              </w:rPr>
            </w:pPr>
            <w:r>
              <w:rPr>
                <w:rFonts w:hint="eastAsia" w:ascii="宋体" w:hAnsi="宋体"/>
                <w:bCs/>
                <w:highlight w:val="none"/>
              </w:rPr>
              <w:t>信用评价B 级得12分；</w:t>
            </w:r>
          </w:p>
          <w:p w14:paraId="357E4C32">
            <w:pPr>
              <w:adjustRightInd w:val="0"/>
              <w:snapToGrid w:val="0"/>
              <w:spacing w:before="48" w:beforeLines="20" w:after="48" w:afterLines="20" w:line="340" w:lineRule="exact"/>
              <w:jc w:val="left"/>
              <w:rPr>
                <w:rFonts w:hint="eastAsia" w:ascii="宋体" w:hAnsi="宋体"/>
                <w:bCs/>
                <w:highlight w:val="none"/>
              </w:rPr>
            </w:pPr>
            <w:r>
              <w:rPr>
                <w:rFonts w:hint="eastAsia" w:ascii="宋体" w:hAnsi="宋体"/>
                <w:bCs/>
                <w:highlight w:val="none"/>
              </w:rPr>
              <w:t>信用评价C级得9分；</w:t>
            </w:r>
          </w:p>
          <w:p w14:paraId="38A6F396">
            <w:pPr>
              <w:adjustRightInd w:val="0"/>
              <w:snapToGrid w:val="0"/>
              <w:spacing w:before="48" w:beforeLines="20" w:after="48" w:afterLines="20" w:line="340" w:lineRule="exact"/>
              <w:jc w:val="left"/>
              <w:rPr>
                <w:rFonts w:hint="eastAsia" w:ascii="宋体" w:hAnsi="宋体"/>
                <w:bCs/>
                <w:highlight w:val="none"/>
              </w:rPr>
            </w:pPr>
            <w:r>
              <w:rPr>
                <w:rFonts w:hint="eastAsia" w:ascii="宋体" w:hAnsi="宋体"/>
                <w:bCs/>
                <w:highlight w:val="none"/>
              </w:rPr>
              <w:t>信用评价D级拒绝投标。</w:t>
            </w:r>
            <w:bookmarkEnd w:id="103"/>
          </w:p>
        </w:tc>
      </w:tr>
      <w:tr w14:paraId="35D4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7" w:type="dxa"/>
            <w:vMerge w:val="continue"/>
            <w:vAlign w:val="center"/>
          </w:tcPr>
          <w:p w14:paraId="3FCBB313">
            <w:pPr>
              <w:adjustRightInd w:val="0"/>
              <w:snapToGrid w:val="0"/>
              <w:spacing w:before="48" w:beforeLines="20" w:after="48" w:afterLines="20"/>
              <w:jc w:val="center"/>
              <w:rPr>
                <w:rFonts w:hint="eastAsia" w:ascii="楷体" w:hAnsi="楷体" w:eastAsia="楷体"/>
                <w:bCs/>
                <w:highlight w:val="none"/>
              </w:rPr>
            </w:pPr>
          </w:p>
        </w:tc>
        <w:tc>
          <w:tcPr>
            <w:tcW w:w="500" w:type="dxa"/>
            <w:vMerge w:val="continue"/>
            <w:vAlign w:val="center"/>
          </w:tcPr>
          <w:p w14:paraId="04A1C4D6">
            <w:pPr>
              <w:adjustRightInd w:val="0"/>
              <w:snapToGrid w:val="0"/>
              <w:spacing w:before="48" w:beforeLines="20" w:after="48" w:afterLines="20"/>
              <w:jc w:val="center"/>
              <w:rPr>
                <w:rFonts w:hint="eastAsia" w:ascii="楷体" w:hAnsi="楷体" w:eastAsia="楷体"/>
                <w:bCs/>
                <w:highlight w:val="none"/>
              </w:rPr>
            </w:pPr>
          </w:p>
        </w:tc>
        <w:tc>
          <w:tcPr>
            <w:tcW w:w="502" w:type="dxa"/>
            <w:vMerge w:val="continue"/>
            <w:vAlign w:val="center"/>
          </w:tcPr>
          <w:p w14:paraId="4D08EC8E">
            <w:pPr>
              <w:adjustRightInd w:val="0"/>
              <w:snapToGrid w:val="0"/>
              <w:spacing w:before="48" w:beforeLines="20" w:after="48" w:afterLines="20"/>
              <w:jc w:val="center"/>
              <w:rPr>
                <w:rFonts w:hint="eastAsia" w:ascii="楷体" w:hAnsi="楷体" w:eastAsia="楷体"/>
                <w:bCs/>
                <w:highlight w:val="none"/>
              </w:rPr>
            </w:pPr>
          </w:p>
        </w:tc>
        <w:tc>
          <w:tcPr>
            <w:tcW w:w="8106" w:type="dxa"/>
            <w:gridSpan w:val="4"/>
            <w:vAlign w:val="center"/>
          </w:tcPr>
          <w:p w14:paraId="18D05CF2">
            <w:pPr>
              <w:adjustRightInd w:val="0"/>
              <w:snapToGrid w:val="0"/>
              <w:spacing w:before="48" w:after="48" w:line="340" w:lineRule="exact"/>
              <w:jc w:val="left"/>
              <w:rPr>
                <w:rFonts w:hint="eastAsia" w:ascii="楷体" w:hAnsi="楷体" w:eastAsia="楷体"/>
                <w:bCs/>
                <w:szCs w:val="21"/>
                <w:highlight w:val="none"/>
              </w:rPr>
            </w:pPr>
            <w:bookmarkStart w:id="104" w:name="OLE_LINK20"/>
            <w:r>
              <w:rPr>
                <w:rFonts w:hint="eastAsia" w:ascii="楷体" w:hAnsi="楷体" w:eastAsia="楷体"/>
                <w:bCs/>
                <w:szCs w:val="21"/>
                <w:highlight w:val="none"/>
              </w:rPr>
              <w:t>注：1.投标人的信用评价等级采用《吉林省公路管理局202</w:t>
            </w:r>
            <w:r>
              <w:rPr>
                <w:rFonts w:ascii="楷体" w:hAnsi="楷体" w:eastAsia="楷体"/>
                <w:bCs/>
                <w:szCs w:val="21"/>
                <w:highlight w:val="none"/>
              </w:rPr>
              <w:t>3</w:t>
            </w:r>
            <w:r>
              <w:rPr>
                <w:rFonts w:hint="eastAsia" w:ascii="楷体" w:hAnsi="楷体" w:eastAsia="楷体"/>
                <w:bCs/>
                <w:szCs w:val="21"/>
                <w:highlight w:val="none"/>
              </w:rPr>
              <w:t>年普通国省干线公路养护工程施工企业信用评价结果公告》中的投标人信用评价等级;若无此信用评价等级，采用《吉林省公路管理局202</w:t>
            </w:r>
            <w:r>
              <w:rPr>
                <w:rFonts w:ascii="楷体" w:hAnsi="楷体" w:eastAsia="楷体"/>
                <w:bCs/>
                <w:szCs w:val="21"/>
                <w:highlight w:val="none"/>
              </w:rPr>
              <w:t>2</w:t>
            </w:r>
            <w:r>
              <w:rPr>
                <w:rFonts w:hint="eastAsia" w:ascii="楷体" w:hAnsi="楷体" w:eastAsia="楷体"/>
                <w:bCs/>
                <w:szCs w:val="21"/>
                <w:highlight w:val="none"/>
              </w:rPr>
              <w:t>年度普通干线公路养护工程施工企业信用评价结果公告》中的投标人信用评价等级。</w:t>
            </w:r>
          </w:p>
          <w:p w14:paraId="6E05D487">
            <w:pPr>
              <w:spacing w:line="340" w:lineRule="exact"/>
              <w:ind w:firstLine="420"/>
              <w:jc w:val="left"/>
              <w:rPr>
                <w:rFonts w:hint="eastAsia" w:ascii="楷体" w:hAnsi="楷体" w:eastAsia="楷体"/>
                <w:color w:val="000000" w:themeColor="text1"/>
                <w:szCs w:val="21"/>
                <w:highlight w:val="none"/>
              </w:rPr>
            </w:pPr>
            <w:r>
              <w:rPr>
                <w:rFonts w:hint="eastAsia" w:ascii="楷体" w:hAnsi="楷体" w:eastAsia="楷体"/>
                <w:color w:val="000000" w:themeColor="text1"/>
                <w:szCs w:val="21"/>
                <w:highlight w:val="none"/>
              </w:rPr>
              <w:t>2．若</w:t>
            </w:r>
            <w:r>
              <w:rPr>
                <w:rFonts w:hint="eastAsia" w:ascii="楷体" w:hAnsi="楷体" w:eastAsia="楷体"/>
                <w:bCs/>
                <w:color w:val="000000" w:themeColor="text1"/>
                <w:szCs w:val="21"/>
                <w:highlight w:val="none"/>
              </w:rPr>
              <w:t>投标人不具有上述吉林省公路管理局信用评价等级，</w:t>
            </w:r>
            <w:r>
              <w:rPr>
                <w:rFonts w:hint="eastAsia" w:ascii="楷体" w:hAnsi="楷体" w:eastAsia="楷体"/>
                <w:color w:val="000000" w:themeColor="text1"/>
                <w:szCs w:val="21"/>
                <w:highlight w:val="none"/>
              </w:rPr>
              <w:t>采用其在交通运输部“全国公路建设市场监督管理系统”中的2023年度公路施工企业全国综合信用评价等级。</w:t>
            </w:r>
          </w:p>
          <w:p w14:paraId="08A4F402">
            <w:pPr>
              <w:adjustRightInd w:val="0"/>
              <w:snapToGrid w:val="0"/>
              <w:spacing w:line="340" w:lineRule="exact"/>
              <w:ind w:firstLine="420"/>
              <w:jc w:val="left"/>
              <w:rPr>
                <w:rFonts w:hint="eastAsia" w:ascii="楷体" w:hAnsi="楷体" w:eastAsia="楷体"/>
                <w:bCs/>
                <w:color w:val="000000" w:themeColor="text1"/>
                <w:szCs w:val="21"/>
                <w:highlight w:val="none"/>
              </w:rPr>
            </w:pPr>
            <w:r>
              <w:rPr>
                <w:rFonts w:hint="eastAsia" w:ascii="楷体" w:hAnsi="楷体" w:eastAsia="楷体"/>
                <w:bCs/>
                <w:color w:val="000000" w:themeColor="text1"/>
                <w:szCs w:val="21"/>
                <w:highlight w:val="none"/>
              </w:rPr>
              <w:t>3.投标人上述信用评价等级皆没有，若在“最新信用评价结果公告”的年度及上一年度无不良信用记录，按A级对待，如有不良信用记录，按B级对待。</w:t>
            </w:r>
          </w:p>
          <w:p w14:paraId="2E2AAA52">
            <w:pPr>
              <w:adjustRightInd w:val="0"/>
              <w:snapToGrid w:val="0"/>
              <w:spacing w:line="340" w:lineRule="exact"/>
              <w:ind w:firstLine="420"/>
              <w:jc w:val="left"/>
              <w:rPr>
                <w:rFonts w:hint="eastAsia" w:ascii="楷体" w:hAnsi="楷体" w:eastAsia="楷体"/>
                <w:bCs/>
                <w:szCs w:val="21"/>
                <w:highlight w:val="none"/>
              </w:rPr>
            </w:pPr>
            <w:r>
              <w:rPr>
                <w:rFonts w:hint="eastAsia" w:ascii="楷体" w:hAnsi="楷体" w:eastAsia="楷体"/>
                <w:bCs/>
                <w:szCs w:val="21"/>
                <w:highlight w:val="none"/>
              </w:rPr>
              <w:t>4.以联合体形式投标的，按联合体中最低信用评价等级计算履约信誉得分。</w:t>
            </w:r>
            <w:bookmarkEnd w:id="104"/>
          </w:p>
        </w:tc>
      </w:tr>
      <w:tr w14:paraId="2F97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9695" w:type="dxa"/>
            <w:gridSpan w:val="7"/>
            <w:vAlign w:val="center"/>
          </w:tcPr>
          <w:p w14:paraId="43BF200E">
            <w:pPr>
              <w:adjustRightInd w:val="0"/>
              <w:snapToGrid w:val="0"/>
              <w:spacing w:before="48" w:beforeLines="20" w:after="48" w:afterLines="20" w:line="340" w:lineRule="exact"/>
              <w:jc w:val="left"/>
              <w:rPr>
                <w:rFonts w:hint="eastAsia" w:ascii="楷体" w:hAnsi="楷体" w:eastAsia="楷体"/>
                <w:bCs/>
                <w:highlight w:val="none"/>
              </w:rPr>
            </w:pPr>
            <w:r>
              <w:rPr>
                <w:rFonts w:hint="eastAsia" w:ascii="楷体" w:hAnsi="楷体" w:eastAsia="楷体"/>
                <w:bCs/>
                <w:highlight w:val="none"/>
              </w:rPr>
              <w:t>需要补充的其他内容：</w:t>
            </w:r>
          </w:p>
          <w:p w14:paraId="5596049C">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一、</w:t>
            </w:r>
            <w:r>
              <w:rPr>
                <w:rFonts w:ascii="宋体" w:hAnsi="宋体"/>
                <w:bCs/>
                <w:szCs w:val="21"/>
                <w:highlight w:val="none"/>
              </w:rPr>
              <w:t>如同一标段出现多名投标人的</w:t>
            </w:r>
            <w:r>
              <w:rPr>
                <w:rFonts w:hint="eastAsia" w:ascii="宋体" w:hAnsi="宋体"/>
                <w:bCs/>
                <w:szCs w:val="21"/>
                <w:highlight w:val="none"/>
              </w:rPr>
              <w:t>商务和技术得分</w:t>
            </w:r>
            <w:r>
              <w:rPr>
                <w:rFonts w:ascii="宋体" w:hAnsi="宋体"/>
                <w:bCs/>
                <w:szCs w:val="21"/>
                <w:highlight w:val="none"/>
              </w:rPr>
              <w:t>相等时，则按照以下</w:t>
            </w:r>
            <w:r>
              <w:rPr>
                <w:rFonts w:hint="eastAsia" w:ascii="宋体" w:hAnsi="宋体"/>
                <w:bCs/>
                <w:szCs w:val="21"/>
                <w:highlight w:val="none"/>
              </w:rPr>
              <w:t>优先顺序进行</w:t>
            </w:r>
            <w:r>
              <w:rPr>
                <w:rFonts w:ascii="宋体" w:hAnsi="宋体"/>
                <w:bCs/>
                <w:szCs w:val="21"/>
                <w:highlight w:val="none"/>
              </w:rPr>
              <w:t>排序：</w:t>
            </w:r>
          </w:p>
          <w:p w14:paraId="773BBEFE">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a</w:t>
            </w:r>
            <w:r>
              <w:rPr>
                <w:rFonts w:ascii="宋体" w:hAnsi="宋体"/>
                <w:bCs/>
                <w:szCs w:val="21"/>
                <w:highlight w:val="none"/>
              </w:rPr>
              <w:t>.</w:t>
            </w:r>
            <w:r>
              <w:rPr>
                <w:rFonts w:hint="eastAsia" w:ascii="宋体" w:hAnsi="宋体"/>
                <w:bCs/>
                <w:szCs w:val="21"/>
                <w:highlight w:val="none"/>
              </w:rPr>
              <w:t>履约信誉得分较高的投标人；</w:t>
            </w:r>
          </w:p>
          <w:p w14:paraId="4A1B0CCF">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b</w:t>
            </w:r>
            <w:r>
              <w:rPr>
                <w:rFonts w:ascii="宋体" w:hAnsi="宋体"/>
                <w:bCs/>
                <w:szCs w:val="21"/>
                <w:highlight w:val="none"/>
              </w:rPr>
              <w:t>.施工组织设计得分较高</w:t>
            </w:r>
            <w:r>
              <w:rPr>
                <w:rFonts w:hint="eastAsia" w:ascii="宋体" w:hAnsi="宋体"/>
                <w:bCs/>
                <w:szCs w:val="21"/>
                <w:highlight w:val="none"/>
              </w:rPr>
              <w:t>的投标人</w:t>
            </w:r>
            <w:r>
              <w:rPr>
                <w:rFonts w:ascii="宋体" w:hAnsi="宋体"/>
                <w:bCs/>
                <w:szCs w:val="21"/>
                <w:highlight w:val="none"/>
              </w:rPr>
              <w:t>；</w:t>
            </w:r>
          </w:p>
          <w:p w14:paraId="0AC748D4">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c</w:t>
            </w:r>
            <w:r>
              <w:rPr>
                <w:rFonts w:ascii="宋体" w:hAnsi="宋体"/>
                <w:bCs/>
                <w:szCs w:val="21"/>
                <w:highlight w:val="none"/>
              </w:rPr>
              <w:t>.</w:t>
            </w:r>
            <w:r>
              <w:rPr>
                <w:rFonts w:hint="eastAsia" w:ascii="宋体" w:hAnsi="宋体"/>
                <w:bCs/>
                <w:szCs w:val="21"/>
                <w:highlight w:val="none"/>
              </w:rPr>
              <w:t>主要人员</w:t>
            </w:r>
            <w:r>
              <w:rPr>
                <w:rFonts w:ascii="宋体" w:hAnsi="宋体"/>
                <w:bCs/>
                <w:szCs w:val="21"/>
                <w:highlight w:val="none"/>
              </w:rPr>
              <w:t>得分较高</w:t>
            </w:r>
            <w:r>
              <w:rPr>
                <w:rFonts w:hint="eastAsia" w:ascii="宋体" w:hAnsi="宋体"/>
                <w:bCs/>
                <w:szCs w:val="21"/>
                <w:highlight w:val="none"/>
              </w:rPr>
              <w:t>的投标人</w:t>
            </w:r>
            <w:r>
              <w:rPr>
                <w:rFonts w:ascii="宋体" w:hAnsi="宋体"/>
                <w:bCs/>
                <w:szCs w:val="21"/>
                <w:highlight w:val="none"/>
              </w:rPr>
              <w:t>。</w:t>
            </w:r>
          </w:p>
          <w:p w14:paraId="1A41A883">
            <w:pPr>
              <w:adjustRightInd w:val="0"/>
              <w:snapToGrid w:val="0"/>
              <w:spacing w:before="48" w:beforeLines="20" w:after="48" w:afterLines="20" w:line="340" w:lineRule="exact"/>
              <w:jc w:val="left"/>
              <w:rPr>
                <w:rFonts w:hint="eastAsia" w:ascii="宋体" w:hAnsi="宋体"/>
                <w:bCs/>
                <w:szCs w:val="21"/>
                <w:highlight w:val="none"/>
              </w:rPr>
            </w:pPr>
            <w:r>
              <w:rPr>
                <w:rFonts w:ascii="宋体" w:hAnsi="宋体"/>
                <w:bCs/>
                <w:szCs w:val="21"/>
                <w:highlight w:val="none"/>
              </w:rPr>
              <w:t>若以上各项评分因素得分都相等，则通过评委会投票表决，推荐票数多的投标人</w:t>
            </w:r>
            <w:r>
              <w:rPr>
                <w:rFonts w:hint="eastAsia" w:ascii="宋体" w:hAnsi="宋体"/>
                <w:bCs/>
                <w:szCs w:val="21"/>
                <w:highlight w:val="none"/>
              </w:rPr>
              <w:t>商务和技术得分</w:t>
            </w:r>
            <w:r>
              <w:rPr>
                <w:rFonts w:ascii="宋体" w:hAnsi="宋体"/>
                <w:bCs/>
                <w:szCs w:val="21"/>
                <w:highlight w:val="none"/>
              </w:rPr>
              <w:t>排序在先</w:t>
            </w:r>
            <w:r>
              <w:rPr>
                <w:rFonts w:hint="eastAsia" w:ascii="宋体" w:hAnsi="宋体"/>
                <w:bCs/>
                <w:szCs w:val="21"/>
                <w:highlight w:val="none"/>
              </w:rPr>
              <w:t>。</w:t>
            </w:r>
          </w:p>
          <w:p w14:paraId="3248D81B">
            <w:pPr>
              <w:adjustRightInd w:val="0"/>
              <w:snapToGrid w:val="0"/>
              <w:spacing w:before="48" w:beforeLines="20" w:after="48" w:afterLines="20" w:line="340" w:lineRule="exact"/>
              <w:ind w:firstLine="210" w:firstLineChars="100"/>
              <w:jc w:val="left"/>
              <w:rPr>
                <w:rFonts w:hint="eastAsia" w:ascii="宋体" w:hAnsi="宋体"/>
                <w:bCs/>
                <w:szCs w:val="21"/>
                <w:highlight w:val="none"/>
              </w:rPr>
            </w:pPr>
            <w:r>
              <w:rPr>
                <w:rFonts w:hint="eastAsia" w:ascii="宋体" w:hAnsi="宋体"/>
                <w:bCs/>
                <w:szCs w:val="21"/>
                <w:highlight w:val="none"/>
              </w:rPr>
              <w:t>二、各评分因素（履约信誉评分项除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所有评分分值均保留至小数点后两位，小数点后第三位四舍五入。</w:t>
            </w:r>
          </w:p>
        </w:tc>
      </w:tr>
    </w:tbl>
    <w:p w14:paraId="72A26AA7">
      <w:pPr>
        <w:adjustRightInd w:val="0"/>
        <w:snapToGrid w:val="0"/>
        <w:spacing w:line="20" w:lineRule="exact"/>
        <w:rPr>
          <w:bCs/>
          <w:highlight w:val="none"/>
        </w:rPr>
      </w:pPr>
    </w:p>
    <w:p w14:paraId="575D224C">
      <w:pPr>
        <w:adjustRightInd w:val="0"/>
        <w:snapToGrid w:val="0"/>
        <w:spacing w:line="20" w:lineRule="exact"/>
        <w:rPr>
          <w:bCs/>
          <w:highlight w:val="none"/>
        </w:rPr>
      </w:pPr>
    </w:p>
    <w:p w14:paraId="449A699F">
      <w:pPr>
        <w:adjustRightInd w:val="0"/>
        <w:snapToGrid w:val="0"/>
        <w:spacing w:line="20" w:lineRule="exact"/>
        <w:rPr>
          <w:bCs/>
          <w:highlight w:val="none"/>
        </w:rPr>
      </w:pPr>
    </w:p>
    <w:p w14:paraId="3EB5D823">
      <w:pPr>
        <w:adjustRightInd w:val="0"/>
        <w:snapToGrid w:val="0"/>
        <w:spacing w:line="20" w:lineRule="exact"/>
        <w:rPr>
          <w:bCs/>
          <w:highlight w:val="none"/>
        </w:rPr>
      </w:pPr>
    </w:p>
    <w:p w14:paraId="5794C9F0">
      <w:pPr>
        <w:adjustRightInd w:val="0"/>
        <w:snapToGrid w:val="0"/>
        <w:spacing w:line="20" w:lineRule="exact"/>
        <w:rPr>
          <w:bCs/>
          <w:highlight w:val="none"/>
        </w:rPr>
      </w:pPr>
    </w:p>
    <w:p w14:paraId="6FC184BB">
      <w:pPr>
        <w:adjustRightInd w:val="0"/>
        <w:snapToGrid w:val="0"/>
        <w:spacing w:line="20" w:lineRule="exact"/>
        <w:rPr>
          <w:bCs/>
          <w:highlight w:val="none"/>
        </w:rPr>
      </w:pPr>
    </w:p>
    <w:p w14:paraId="745DE5BE">
      <w:pPr>
        <w:adjustRightInd w:val="0"/>
        <w:snapToGrid w:val="0"/>
        <w:spacing w:line="20" w:lineRule="exact"/>
        <w:rPr>
          <w:bCs/>
          <w:highlight w:val="none"/>
        </w:rPr>
      </w:pPr>
    </w:p>
    <w:p w14:paraId="01CAB793">
      <w:pPr>
        <w:adjustRightInd w:val="0"/>
        <w:snapToGrid w:val="0"/>
        <w:spacing w:line="20" w:lineRule="exact"/>
        <w:rPr>
          <w:bCs/>
          <w:highlight w:val="none"/>
        </w:rPr>
      </w:pPr>
    </w:p>
    <w:p w14:paraId="6CF12E87">
      <w:pPr>
        <w:adjustRightInd w:val="0"/>
        <w:snapToGrid w:val="0"/>
        <w:spacing w:line="20" w:lineRule="exact"/>
        <w:rPr>
          <w:bCs/>
          <w:highlight w:val="none"/>
        </w:rPr>
      </w:pPr>
    </w:p>
    <w:p w14:paraId="00BB4482">
      <w:pPr>
        <w:adjustRightInd w:val="0"/>
        <w:snapToGrid w:val="0"/>
        <w:spacing w:line="20" w:lineRule="exact"/>
        <w:rPr>
          <w:bCs/>
          <w:highlight w:val="none"/>
        </w:rPr>
      </w:pPr>
    </w:p>
    <w:p w14:paraId="51048DC6">
      <w:pPr>
        <w:adjustRightInd w:val="0"/>
        <w:snapToGrid w:val="0"/>
        <w:spacing w:line="20" w:lineRule="exact"/>
        <w:rPr>
          <w:bCs/>
          <w:highlight w:val="none"/>
        </w:rPr>
      </w:pPr>
    </w:p>
    <w:p w14:paraId="27A60CDC">
      <w:pPr>
        <w:adjustRightInd w:val="0"/>
        <w:snapToGrid w:val="0"/>
        <w:spacing w:line="20" w:lineRule="exact"/>
        <w:rPr>
          <w:bCs/>
          <w:highlight w:val="none"/>
        </w:rPr>
      </w:pPr>
    </w:p>
    <w:p w14:paraId="0FD0CB39">
      <w:pPr>
        <w:adjustRightInd w:val="0"/>
        <w:snapToGrid w:val="0"/>
        <w:spacing w:line="20" w:lineRule="exact"/>
        <w:rPr>
          <w:bCs/>
          <w:highlight w:val="none"/>
        </w:rPr>
      </w:pPr>
    </w:p>
    <w:p w14:paraId="0F0E0EB6">
      <w:pPr>
        <w:adjustRightInd w:val="0"/>
        <w:snapToGrid w:val="0"/>
        <w:spacing w:line="20" w:lineRule="exact"/>
        <w:rPr>
          <w:bCs/>
          <w:highlight w:val="none"/>
        </w:rPr>
      </w:pPr>
    </w:p>
    <w:p w14:paraId="607A3719">
      <w:pPr>
        <w:adjustRightInd w:val="0"/>
        <w:snapToGrid w:val="0"/>
        <w:spacing w:line="20" w:lineRule="exact"/>
        <w:rPr>
          <w:bCs/>
          <w:highlight w:val="none"/>
        </w:rPr>
      </w:pPr>
    </w:p>
    <w:p w14:paraId="620FBF69">
      <w:pPr>
        <w:adjustRightInd w:val="0"/>
        <w:snapToGrid w:val="0"/>
        <w:spacing w:line="20" w:lineRule="exact"/>
        <w:rPr>
          <w:bCs/>
          <w:highlight w:val="none"/>
        </w:rPr>
      </w:pPr>
    </w:p>
    <w:p w14:paraId="23404541">
      <w:pPr>
        <w:adjustRightInd w:val="0"/>
        <w:snapToGrid w:val="0"/>
        <w:spacing w:line="20" w:lineRule="exact"/>
        <w:rPr>
          <w:bCs/>
          <w:highlight w:val="none"/>
        </w:rPr>
      </w:pPr>
    </w:p>
    <w:p w14:paraId="29619388">
      <w:pPr>
        <w:adjustRightInd w:val="0"/>
        <w:snapToGrid w:val="0"/>
        <w:spacing w:line="20" w:lineRule="exact"/>
        <w:rPr>
          <w:bCs/>
          <w:highlight w:val="none"/>
        </w:rPr>
      </w:pPr>
    </w:p>
    <w:p w14:paraId="7A386B8A">
      <w:pPr>
        <w:adjustRightInd w:val="0"/>
        <w:snapToGrid w:val="0"/>
        <w:spacing w:line="20" w:lineRule="exact"/>
        <w:rPr>
          <w:bCs/>
          <w:highlight w:val="none"/>
        </w:rPr>
      </w:pPr>
    </w:p>
    <w:p w14:paraId="4F3970E3">
      <w:pPr>
        <w:adjustRightInd w:val="0"/>
        <w:snapToGrid w:val="0"/>
        <w:spacing w:line="20" w:lineRule="exact"/>
        <w:rPr>
          <w:bCs/>
          <w:highlight w:val="none"/>
        </w:rPr>
      </w:pPr>
    </w:p>
    <w:p w14:paraId="14393A82">
      <w:pPr>
        <w:pStyle w:val="313"/>
        <w:keepNext/>
        <w:keepLines/>
        <w:shd w:val="clear" w:color="auto" w:fill="auto"/>
        <w:spacing w:before="120" w:beforeLines="50" w:after="120" w:afterLines="50" w:line="400" w:lineRule="exact"/>
        <w:jc w:val="left"/>
        <w:rPr>
          <w:rFonts w:hint="eastAsia" w:ascii="黑体" w:hAnsi="黑体" w:eastAsia="黑体"/>
          <w:color w:val="auto"/>
          <w:sz w:val="28"/>
          <w:szCs w:val="28"/>
          <w:highlight w:val="none"/>
        </w:rPr>
      </w:pPr>
      <w:r>
        <w:rPr>
          <w:rFonts w:hint="eastAsia" w:ascii="黑体" w:hAnsi="黑体" w:eastAsia="黑体"/>
          <w:color w:val="auto"/>
          <w:sz w:val="28"/>
          <w:szCs w:val="28"/>
          <w:highlight w:val="none"/>
        </w:rPr>
        <w:t>1</w:t>
      </w:r>
      <w:r>
        <w:rPr>
          <w:rFonts w:hint="eastAsia" w:ascii="黑体" w:hAnsi="黑体" w:eastAsia="黑体"/>
          <w:color w:val="auto"/>
          <w:sz w:val="28"/>
          <w:szCs w:val="28"/>
          <w:highlight w:val="none"/>
          <w:lang w:val="en-US" w:eastAsia="zh-CN"/>
        </w:rPr>
        <w:t>1</w:t>
      </w:r>
      <w:r>
        <w:rPr>
          <w:rFonts w:hint="eastAsia" w:ascii="黑体" w:hAnsi="黑体" w:eastAsia="黑体"/>
          <w:color w:val="auto"/>
          <w:sz w:val="28"/>
          <w:szCs w:val="28"/>
          <w:highlight w:val="none"/>
        </w:rPr>
        <w:t>.公开时间</w:t>
      </w:r>
    </w:p>
    <w:p w14:paraId="2F2DCBC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招标文件关键内容信息公开时间至</w:t>
      </w:r>
      <w:r>
        <w:rPr>
          <w:rFonts w:hint="eastAsia" w:ascii="宋体" w:hAnsi="宋体" w:eastAsia="宋体" w:cs="宋体"/>
          <w:color w:val="auto"/>
          <w:szCs w:val="21"/>
          <w:highlight w:val="none"/>
          <w:lang w:val="en-US" w:eastAsia="zh-CN"/>
        </w:rPr>
        <w:t>投标截止前10天</w:t>
      </w:r>
      <w:r>
        <w:rPr>
          <w:rFonts w:hint="eastAsia" w:ascii="宋体" w:hAnsi="宋体" w:eastAsia="宋体" w:cs="宋体"/>
          <w:color w:val="auto"/>
          <w:szCs w:val="21"/>
          <w:highlight w:val="none"/>
        </w:rPr>
        <w:t>。</w:t>
      </w:r>
    </w:p>
    <w:p w14:paraId="04BECA06">
      <w:pPr>
        <w:adjustRightInd w:val="0"/>
        <w:snapToGrid w:val="0"/>
        <w:spacing w:line="20" w:lineRule="exact"/>
        <w:rPr>
          <w:bCs/>
          <w:highlight w:val="none"/>
        </w:rPr>
      </w:pPr>
    </w:p>
    <w:p w14:paraId="259C0201">
      <w:pPr>
        <w:adjustRightInd w:val="0"/>
        <w:snapToGrid w:val="0"/>
        <w:spacing w:before="120" w:beforeLines="50" w:after="120" w:afterLines="50" w:line="400" w:lineRule="exact"/>
        <w:rPr>
          <w:rFonts w:hint="eastAsia" w:ascii="黑体" w:hAnsi="黑体" w:eastAsia="黑体"/>
          <w:bCs/>
          <w:sz w:val="24"/>
          <w:szCs w:val="24"/>
          <w:highlight w:val="none"/>
        </w:rPr>
      </w:pPr>
      <w:r>
        <w:rPr>
          <w:rFonts w:hint="eastAsia" w:ascii="黑体" w:hAnsi="黑体" w:eastAsia="黑体"/>
          <w:bCs/>
          <w:sz w:val="24"/>
          <w:szCs w:val="24"/>
          <w:highlight w:val="none"/>
          <w:lang w:val="en-US" w:eastAsia="zh-CN"/>
        </w:rPr>
        <w:t>12</w:t>
      </w:r>
      <w:r>
        <w:rPr>
          <w:rFonts w:hint="eastAsia" w:ascii="黑体" w:hAnsi="黑体" w:eastAsia="黑体"/>
          <w:bCs/>
          <w:sz w:val="24"/>
          <w:szCs w:val="24"/>
          <w:highlight w:val="none"/>
        </w:rPr>
        <w:t>．联系方式</w:t>
      </w:r>
    </w:p>
    <w:tbl>
      <w:tblPr>
        <w:tblStyle w:val="55"/>
        <w:tblW w:w="6542" w:type="dxa"/>
        <w:tblInd w:w="0" w:type="dxa"/>
        <w:tblLayout w:type="fixed"/>
        <w:tblCellMar>
          <w:top w:w="0" w:type="dxa"/>
          <w:left w:w="170" w:type="dxa"/>
          <w:bottom w:w="0" w:type="dxa"/>
          <w:right w:w="170" w:type="dxa"/>
        </w:tblCellMar>
      </w:tblPr>
      <w:tblGrid>
        <w:gridCol w:w="6542"/>
      </w:tblGrid>
      <w:tr w14:paraId="672ED2F6">
        <w:trPr>
          <w:trHeight w:val="283" w:hRule="atLeast"/>
        </w:trPr>
        <w:tc>
          <w:tcPr>
            <w:tcW w:w="6542" w:type="dxa"/>
          </w:tcPr>
          <w:p w14:paraId="35845FDD">
            <w:pPr>
              <w:adjustRightInd w:val="0"/>
              <w:snapToGrid w:val="0"/>
              <w:spacing w:line="400" w:lineRule="exact"/>
              <w:ind w:firstLine="420" w:firstLineChars="200"/>
              <w:rPr>
                <w:rFonts w:hint="eastAsia" w:ascii="宋体" w:hAnsi="宋体"/>
                <w:bCs/>
                <w:szCs w:val="21"/>
                <w:highlight w:val="none"/>
              </w:rPr>
            </w:pPr>
            <w:r>
              <w:rPr>
                <w:rFonts w:ascii="宋体" w:hAnsi="宋体"/>
                <w:bCs/>
                <w:szCs w:val="21"/>
                <w:highlight w:val="none"/>
              </w:rPr>
              <w:t>招标人：</w:t>
            </w:r>
            <w:r>
              <w:rPr>
                <w:rFonts w:hint="eastAsia" w:ascii="黑体" w:hAnsi="黑体" w:eastAsia="黑体"/>
                <w:bCs/>
                <w:szCs w:val="21"/>
                <w:highlight w:val="none"/>
                <w:u w:val="single"/>
              </w:rPr>
              <w:t>延边州公路养护工程项目管理办公室</w:t>
            </w:r>
          </w:p>
        </w:tc>
      </w:tr>
      <w:tr w14:paraId="6A088EF1">
        <w:tblPrEx>
          <w:tblCellMar>
            <w:top w:w="0" w:type="dxa"/>
            <w:left w:w="170" w:type="dxa"/>
            <w:bottom w:w="0" w:type="dxa"/>
            <w:right w:w="170" w:type="dxa"/>
          </w:tblCellMar>
        </w:tblPrEx>
        <w:trPr>
          <w:trHeight w:val="283" w:hRule="atLeast"/>
        </w:trPr>
        <w:tc>
          <w:tcPr>
            <w:tcW w:w="6542" w:type="dxa"/>
          </w:tcPr>
          <w:p w14:paraId="004C70A9">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 xml:space="preserve">地  址: </w:t>
            </w:r>
            <w:r>
              <w:rPr>
                <w:rFonts w:hint="eastAsia" w:ascii="宋体" w:hAnsi="宋体"/>
                <w:bCs/>
                <w:color w:val="000000"/>
                <w:szCs w:val="21"/>
                <w:highlight w:val="none"/>
              </w:rPr>
              <w:t>延吉市公园路5568号</w:t>
            </w:r>
          </w:p>
        </w:tc>
      </w:tr>
      <w:tr w14:paraId="6DCCC74C">
        <w:tblPrEx>
          <w:tblCellMar>
            <w:top w:w="0" w:type="dxa"/>
            <w:left w:w="170" w:type="dxa"/>
            <w:bottom w:w="0" w:type="dxa"/>
            <w:right w:w="170" w:type="dxa"/>
          </w:tblCellMar>
        </w:tblPrEx>
        <w:trPr>
          <w:trHeight w:val="283" w:hRule="atLeast"/>
        </w:trPr>
        <w:tc>
          <w:tcPr>
            <w:tcW w:w="6542" w:type="dxa"/>
          </w:tcPr>
          <w:p w14:paraId="355628B0">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 xml:space="preserve">联系人: </w:t>
            </w:r>
            <w:r>
              <w:rPr>
                <w:rFonts w:hint="eastAsia" w:ascii="宋体" w:hAnsi="宋体"/>
                <w:bCs/>
                <w:color w:val="000000"/>
                <w:szCs w:val="21"/>
                <w:highlight w:val="none"/>
              </w:rPr>
              <w:t>陈斌</w:t>
            </w:r>
          </w:p>
        </w:tc>
      </w:tr>
      <w:tr w14:paraId="001308E6">
        <w:tblPrEx>
          <w:tblCellMar>
            <w:top w:w="0" w:type="dxa"/>
            <w:left w:w="170" w:type="dxa"/>
            <w:bottom w:w="0" w:type="dxa"/>
            <w:right w:w="170" w:type="dxa"/>
          </w:tblCellMar>
        </w:tblPrEx>
        <w:trPr>
          <w:trHeight w:val="283" w:hRule="atLeast"/>
        </w:trPr>
        <w:tc>
          <w:tcPr>
            <w:tcW w:w="6542" w:type="dxa"/>
            <w:shd w:val="clear" w:color="auto" w:fill="auto"/>
          </w:tcPr>
          <w:p w14:paraId="54039D74">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 xml:space="preserve">电  话: </w:t>
            </w:r>
            <w:r>
              <w:rPr>
                <w:rFonts w:hint="eastAsia" w:ascii="宋体" w:hAnsi="宋体"/>
                <w:bCs/>
                <w:color w:val="000000"/>
                <w:szCs w:val="21"/>
                <w:highlight w:val="none"/>
              </w:rPr>
              <w:t>0433-2705321</w:t>
            </w:r>
          </w:p>
        </w:tc>
      </w:tr>
      <w:tr w14:paraId="79B9384F">
        <w:tblPrEx>
          <w:tblCellMar>
            <w:top w:w="0" w:type="dxa"/>
            <w:left w:w="170" w:type="dxa"/>
            <w:bottom w:w="0" w:type="dxa"/>
            <w:right w:w="170" w:type="dxa"/>
          </w:tblCellMar>
        </w:tblPrEx>
        <w:trPr>
          <w:trHeight w:val="283" w:hRule="atLeast"/>
        </w:trPr>
        <w:tc>
          <w:tcPr>
            <w:tcW w:w="6542" w:type="dxa"/>
          </w:tcPr>
          <w:p w14:paraId="57ED1709">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招标代理机构：</w:t>
            </w:r>
            <w:r>
              <w:rPr>
                <w:rFonts w:hint="eastAsia" w:ascii="黑体" w:hAnsi="黑体" w:eastAsia="黑体" w:cs="@仿宋_GB2312"/>
                <w:bCs/>
                <w:szCs w:val="21"/>
                <w:highlight w:val="none"/>
                <w:u w:val="single"/>
              </w:rPr>
              <w:t>吉林省伟邦公路技术有限公司</w:t>
            </w:r>
          </w:p>
        </w:tc>
      </w:tr>
      <w:tr w14:paraId="18A25833">
        <w:tblPrEx>
          <w:tblCellMar>
            <w:top w:w="0" w:type="dxa"/>
            <w:left w:w="170" w:type="dxa"/>
            <w:bottom w:w="0" w:type="dxa"/>
            <w:right w:w="170" w:type="dxa"/>
          </w:tblCellMar>
        </w:tblPrEx>
        <w:trPr>
          <w:trHeight w:val="283" w:hRule="atLeast"/>
        </w:trPr>
        <w:tc>
          <w:tcPr>
            <w:tcW w:w="6542" w:type="dxa"/>
          </w:tcPr>
          <w:p w14:paraId="12044873">
            <w:pPr>
              <w:adjustRightInd w:val="0"/>
              <w:snapToGrid w:val="0"/>
              <w:spacing w:line="400" w:lineRule="exact"/>
              <w:ind w:firstLine="420" w:firstLineChars="200"/>
              <w:rPr>
                <w:rFonts w:hint="eastAsia" w:ascii="宋体" w:hAnsi="宋体"/>
                <w:bCs/>
                <w:szCs w:val="21"/>
                <w:highlight w:val="none"/>
              </w:rPr>
            </w:pPr>
            <w:r>
              <w:rPr>
                <w:rFonts w:hint="eastAsia" w:ascii="宋体" w:hAnsi="宋体" w:cs="Arial Unicode MS"/>
                <w:bCs/>
                <w:color w:val="000000"/>
                <w:szCs w:val="21"/>
                <w:highlight w:val="none"/>
              </w:rPr>
              <w:t>地  址：长春净月高新技术产业开发区擎天树街855号</w:t>
            </w:r>
          </w:p>
        </w:tc>
      </w:tr>
      <w:tr w14:paraId="57FF83C2">
        <w:tblPrEx>
          <w:tblCellMar>
            <w:top w:w="0" w:type="dxa"/>
            <w:left w:w="170" w:type="dxa"/>
            <w:bottom w:w="0" w:type="dxa"/>
            <w:right w:w="170" w:type="dxa"/>
          </w:tblCellMar>
        </w:tblPrEx>
        <w:trPr>
          <w:trHeight w:val="283" w:hRule="atLeast"/>
        </w:trPr>
        <w:tc>
          <w:tcPr>
            <w:tcW w:w="6542" w:type="dxa"/>
          </w:tcPr>
          <w:p w14:paraId="148481DE">
            <w:pPr>
              <w:adjustRightInd w:val="0"/>
              <w:snapToGrid w:val="0"/>
              <w:spacing w:line="400" w:lineRule="exact"/>
              <w:ind w:firstLine="420" w:firstLineChars="200"/>
              <w:rPr>
                <w:rFonts w:hint="eastAsia" w:ascii="宋体" w:hAnsi="宋体"/>
                <w:bCs/>
                <w:szCs w:val="21"/>
                <w:highlight w:val="none"/>
              </w:rPr>
            </w:pPr>
            <w:r>
              <w:rPr>
                <w:rFonts w:hint="eastAsia" w:ascii="宋体" w:hAnsi="宋体" w:cs="Arial Unicode MS"/>
                <w:bCs/>
                <w:color w:val="000000"/>
                <w:szCs w:val="21"/>
                <w:highlight w:val="none"/>
              </w:rPr>
              <w:t>邮政编码：130117</w:t>
            </w:r>
          </w:p>
        </w:tc>
      </w:tr>
      <w:tr w14:paraId="1157E108">
        <w:tblPrEx>
          <w:tblCellMar>
            <w:top w:w="0" w:type="dxa"/>
            <w:left w:w="170" w:type="dxa"/>
            <w:bottom w:w="0" w:type="dxa"/>
            <w:right w:w="170" w:type="dxa"/>
          </w:tblCellMar>
        </w:tblPrEx>
        <w:trPr>
          <w:trHeight w:val="283" w:hRule="atLeast"/>
        </w:trPr>
        <w:tc>
          <w:tcPr>
            <w:tcW w:w="6542" w:type="dxa"/>
          </w:tcPr>
          <w:p w14:paraId="01F9D0EC">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联系人：赵鑫、刘世远</w:t>
            </w:r>
          </w:p>
        </w:tc>
      </w:tr>
      <w:tr w14:paraId="06930E56">
        <w:tblPrEx>
          <w:tblCellMar>
            <w:top w:w="0" w:type="dxa"/>
            <w:left w:w="170" w:type="dxa"/>
            <w:bottom w:w="0" w:type="dxa"/>
            <w:right w:w="170" w:type="dxa"/>
          </w:tblCellMar>
        </w:tblPrEx>
        <w:trPr>
          <w:trHeight w:val="283" w:hRule="atLeast"/>
        </w:trPr>
        <w:tc>
          <w:tcPr>
            <w:tcW w:w="6542" w:type="dxa"/>
            <w:shd w:val="clear" w:color="auto" w:fill="auto"/>
          </w:tcPr>
          <w:p w14:paraId="6797E9B7">
            <w:pPr>
              <w:adjustRightInd w:val="0"/>
              <w:snapToGrid w:val="0"/>
              <w:spacing w:line="400" w:lineRule="exact"/>
              <w:ind w:firstLine="420" w:firstLineChars="200"/>
              <w:rPr>
                <w:rFonts w:hint="eastAsia" w:ascii="宋体" w:hAnsi="宋体"/>
                <w:bCs/>
                <w:szCs w:val="21"/>
                <w:highlight w:val="none"/>
              </w:rPr>
            </w:pPr>
            <w:r>
              <w:rPr>
                <w:rFonts w:hint="eastAsia" w:ascii="宋体" w:hAnsi="宋体" w:cs="Arial Unicode MS"/>
                <w:bCs/>
                <w:color w:val="000000"/>
                <w:szCs w:val="21"/>
                <w:highlight w:val="none"/>
              </w:rPr>
              <w:t>电  话：</w:t>
            </w:r>
            <w:r>
              <w:rPr>
                <w:rFonts w:ascii="宋体" w:hAnsi="宋体" w:cs="Arial Unicode MS"/>
                <w:bCs/>
                <w:color w:val="000000"/>
                <w:szCs w:val="21"/>
                <w:highlight w:val="none"/>
              </w:rPr>
              <w:t>0431</w:t>
            </w:r>
            <w:r>
              <w:rPr>
                <w:rFonts w:hint="eastAsia" w:ascii="宋体" w:hAnsi="宋体" w:cs="Arial Unicode MS"/>
                <w:bCs/>
                <w:color w:val="000000"/>
                <w:szCs w:val="21"/>
                <w:highlight w:val="none"/>
              </w:rPr>
              <w:t>-</w:t>
            </w:r>
            <w:r>
              <w:rPr>
                <w:rFonts w:ascii="宋体" w:hAnsi="宋体" w:cs="Arial Unicode MS"/>
                <w:bCs/>
                <w:color w:val="000000"/>
                <w:szCs w:val="21"/>
                <w:highlight w:val="none"/>
              </w:rPr>
              <w:t xml:space="preserve"> 88655555</w:t>
            </w:r>
          </w:p>
        </w:tc>
      </w:tr>
      <w:tr w14:paraId="392CF0AD">
        <w:tblPrEx>
          <w:tblCellMar>
            <w:top w:w="0" w:type="dxa"/>
            <w:left w:w="170" w:type="dxa"/>
            <w:bottom w:w="0" w:type="dxa"/>
            <w:right w:w="170" w:type="dxa"/>
          </w:tblCellMar>
        </w:tblPrEx>
        <w:trPr>
          <w:trHeight w:val="283" w:hRule="atLeast"/>
        </w:trPr>
        <w:tc>
          <w:tcPr>
            <w:tcW w:w="6542" w:type="dxa"/>
          </w:tcPr>
          <w:p w14:paraId="188C71B4">
            <w:pPr>
              <w:adjustRightInd w:val="0"/>
              <w:snapToGrid w:val="0"/>
              <w:spacing w:line="400" w:lineRule="exact"/>
              <w:ind w:firstLine="420" w:firstLineChars="200"/>
              <w:rPr>
                <w:rFonts w:hint="eastAsia" w:ascii="宋体" w:hAnsi="宋体"/>
                <w:bCs/>
                <w:szCs w:val="21"/>
                <w:highlight w:val="none"/>
              </w:rPr>
            </w:pPr>
          </w:p>
        </w:tc>
      </w:tr>
      <w:bookmarkEnd w:id="94"/>
    </w:tbl>
    <w:p w14:paraId="63DE9644">
      <w:pPr>
        <w:adjustRightInd w:val="0"/>
        <w:snapToGrid w:val="0"/>
        <w:spacing w:line="20" w:lineRule="exact"/>
        <w:rPr>
          <w:rFonts w:hint="eastAsia"/>
          <w:bCs/>
          <w:highlight w:val="none"/>
        </w:rPr>
      </w:pPr>
    </w:p>
    <w:sectPr>
      <w:headerReference r:id="rId4" w:type="default"/>
      <w:footerReference r:id="rId5" w:type="default"/>
      <w:footnotePr>
        <w:numFmt w:val="decimalEnclosedCircleChinese"/>
        <w:numRestart w:val="eachPage"/>
      </w:footnotePr>
      <w:pgSz w:w="11907" w:h="16840"/>
      <w:pgMar w:top="1134" w:right="1134" w:bottom="1134" w:left="1134" w:header="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Sylfaen">
    <w:panose1 w:val="010A0502050306030303"/>
    <w:charset w:val="00"/>
    <w:family w:val="roman"/>
    <w:pitch w:val="default"/>
    <w:sig w:usb0="04000687" w:usb1="00000000" w:usb2="00000000" w:usb3="00000000" w:csb0="2000009F" w:csb1="00000000"/>
  </w:font>
  <w:font w:name="Lucida Sans Unicode">
    <w:panose1 w:val="020B0602030504020204"/>
    <w:charset w:val="00"/>
    <w:family w:val="swiss"/>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JQY">
    <w:altName w:val="@微软雅黑"/>
    <w:panose1 w:val="02010600030101010101"/>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_GB2312">
    <w:altName w:val="@微软雅黑"/>
    <w:panose1 w:val="00000000000000000000"/>
    <w:charset w:val="86"/>
    <w:family w:val="modern"/>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2277721"/>
    </w:sdtPr>
    <w:sdtEndPr>
      <w:rPr>
        <w:rFonts w:ascii="方正姚体" w:eastAsia="方正姚体"/>
        <w:sz w:val="24"/>
        <w:szCs w:val="24"/>
      </w:rPr>
    </w:sdtEndPr>
    <w:sdtContent>
      <w:p w14:paraId="7DD1AD1B">
        <w:pPr>
          <w:pStyle w:val="33"/>
          <w:jc w:val="center"/>
          <w:rPr>
            <w:rFonts w:ascii="方正姚体" w:eastAsia="方正姚体"/>
            <w:sz w:val="24"/>
            <w:szCs w:val="24"/>
          </w:rPr>
        </w:pPr>
        <w:r>
          <w:rPr>
            <w:rFonts w:ascii="方正姚体" w:eastAsia="方正姚体"/>
            <w:sz w:val="24"/>
            <w:szCs w:val="24"/>
          </w:rPr>
          <w:fldChar w:fldCharType="begin"/>
        </w:r>
        <w:r>
          <w:rPr>
            <w:rFonts w:ascii="方正姚体" w:eastAsia="方正姚体"/>
            <w:sz w:val="24"/>
            <w:szCs w:val="24"/>
          </w:rPr>
          <w:instrText xml:space="preserve">PAGE   \* MERGEFORMAT</w:instrText>
        </w:r>
        <w:r>
          <w:rPr>
            <w:rFonts w:ascii="方正姚体" w:eastAsia="方正姚体"/>
            <w:sz w:val="24"/>
            <w:szCs w:val="24"/>
          </w:rPr>
          <w:fldChar w:fldCharType="separate"/>
        </w:r>
        <w:r>
          <w:rPr>
            <w:rFonts w:ascii="方正姚体" w:eastAsia="方正姚体"/>
            <w:sz w:val="24"/>
            <w:szCs w:val="24"/>
          </w:rPr>
          <w:t>75</w:t>
        </w:r>
        <w:r>
          <w:rPr>
            <w:rFonts w:ascii="方正姚体" w:eastAsia="方正姚体"/>
            <w:sz w:val="24"/>
            <w:szCs w:val="24"/>
          </w:rPr>
          <w:fldChar w:fldCharType="end"/>
        </w:r>
      </w:p>
    </w:sdtContent>
  </w:sdt>
  <w:p w14:paraId="6FEAE229">
    <w:pPr>
      <w:pStyle w:val="3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F1C6EB7">
      <w:pPr>
        <w:pStyle w:val="40"/>
        <w:jc w:val="both"/>
        <w:rPr>
          <w:rFonts w:hint="eastAsia" w:ascii="楷体" w:hAnsi="楷体" w:eastAsia="楷体"/>
        </w:rPr>
      </w:pPr>
      <w:r>
        <w:rPr>
          <w:rStyle w:val="65"/>
        </w:rPr>
        <w:footnoteRef/>
      </w:r>
      <w:r>
        <w:rPr>
          <w:rFonts w:hint="eastAsia" w:ascii="楷体" w:hAnsi="楷体" w:eastAsia="楷体"/>
        </w:rPr>
        <w:t>a.“投标人须知前附表”用于进一步明确正文中的未尽事宜，凡“投标人须知前附表”对本章正文内容进行完善和补充的，均以“投标人须知前附表”为准；未进行补充、完善的，以本章正文内容为准。</w:t>
      </w:r>
    </w:p>
    <w:p w14:paraId="60D03D38">
      <w:pPr>
        <w:pStyle w:val="40"/>
        <w:ind w:firstLine="180" w:firstLineChars="100"/>
        <w:jc w:val="both"/>
        <w:rPr>
          <w:rFonts w:hint="eastAsia" w:ascii="楷体" w:hAnsi="楷体" w:eastAsia="楷体"/>
        </w:rPr>
      </w:pPr>
      <w:r>
        <w:rPr>
          <w:rFonts w:hint="eastAsia" w:ascii="楷体" w:hAnsi="楷体" w:eastAsia="楷体"/>
        </w:rPr>
        <w:t>b.“投标人须知前附表”中的附录表格同属“投标人须知前附表”内容，具有同等效力。</w:t>
      </w:r>
    </w:p>
  </w:footnote>
  <w:footnote w:id="1">
    <w:p w14:paraId="2564A413">
      <w:pPr>
        <w:pStyle w:val="40"/>
        <w:jc w:val="both"/>
        <w:rPr>
          <w:rFonts w:hint="eastAsia" w:ascii="楷体" w:hAnsi="楷体" w:eastAsia="楷体"/>
        </w:rPr>
      </w:pPr>
      <w:r>
        <w:rPr>
          <w:rStyle w:val="65"/>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82B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16DCD"/>
    <w:multiLevelType w:val="multilevel"/>
    <w:tmpl w:val="1BC16DCD"/>
    <w:lvl w:ilvl="0" w:tentative="0">
      <w:start w:val="1"/>
      <w:numFmt w:val="decimal"/>
      <w:suff w:val="nothing"/>
      <w:lvlText w:val="（%1）"/>
      <w:lvlJc w:val="left"/>
      <w:pPr>
        <w:ind w:left="703" w:hanging="420"/>
      </w:pPr>
      <w:rPr>
        <w:rFonts w:hint="default"/>
        <w:sz w:val="20"/>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E591CCF"/>
    <w:multiLevelType w:val="multilevel"/>
    <w:tmpl w:val="3E591CCF"/>
    <w:lvl w:ilvl="0" w:tentative="0">
      <w:start w:val="1"/>
      <w:numFmt w:val="decimal"/>
      <w:suff w:val="nothing"/>
      <w:lvlText w:val="（%1）"/>
      <w:lvlJc w:val="left"/>
      <w:pPr>
        <w:ind w:left="703"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8E60348"/>
    <w:multiLevelType w:val="multilevel"/>
    <w:tmpl w:val="68E60348"/>
    <w:lvl w:ilvl="0" w:tentative="0">
      <w:start w:val="1"/>
      <w:numFmt w:val="decimal"/>
      <w:suff w:val="nothing"/>
      <w:lvlText w:val="（%1）"/>
      <w:lvlJc w:val="left"/>
      <w:pPr>
        <w:ind w:left="580" w:hanging="420"/>
      </w:pPr>
      <w:rPr>
        <w:rFonts w:hint="default"/>
        <w:b w:val="0"/>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720"/>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compressPunctuation"/>
  <w:doNotValidateAgainstSchema/>
  <w:doNotDemarcateInvalidXml/>
  <w:footnotePr>
    <w:numFmt w:val="decimalEnclosedCircleChinese"/>
    <w:numRestart w:val="eachPage"/>
    <w:footnote w:id="4"/>
    <w:footnote w:id="5"/>
  </w:foot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jg4NDg5MzQ2ODhiZjNjMDY1N2MyNjIwNWE2YjVlN2YifQ=="/>
  </w:docVars>
  <w:rsids>
    <w:rsidRoot w:val="00E22355"/>
    <w:rsid w:val="0000047E"/>
    <w:rsid w:val="00000616"/>
    <w:rsid w:val="00000B9B"/>
    <w:rsid w:val="00001150"/>
    <w:rsid w:val="0000125B"/>
    <w:rsid w:val="0000164E"/>
    <w:rsid w:val="00001854"/>
    <w:rsid w:val="00001A49"/>
    <w:rsid w:val="00001A73"/>
    <w:rsid w:val="00001BC8"/>
    <w:rsid w:val="00001BE4"/>
    <w:rsid w:val="00001EB2"/>
    <w:rsid w:val="000024F7"/>
    <w:rsid w:val="00002670"/>
    <w:rsid w:val="0000285B"/>
    <w:rsid w:val="00002BBD"/>
    <w:rsid w:val="00002CF2"/>
    <w:rsid w:val="00002EE6"/>
    <w:rsid w:val="00002F53"/>
    <w:rsid w:val="000031D7"/>
    <w:rsid w:val="00003556"/>
    <w:rsid w:val="00003959"/>
    <w:rsid w:val="00003CBD"/>
    <w:rsid w:val="00003F2E"/>
    <w:rsid w:val="00004231"/>
    <w:rsid w:val="0000434F"/>
    <w:rsid w:val="000043B9"/>
    <w:rsid w:val="0000466A"/>
    <w:rsid w:val="00004BB5"/>
    <w:rsid w:val="000051CB"/>
    <w:rsid w:val="000055C5"/>
    <w:rsid w:val="00005699"/>
    <w:rsid w:val="00005739"/>
    <w:rsid w:val="000058E7"/>
    <w:rsid w:val="00005BA7"/>
    <w:rsid w:val="00005DD1"/>
    <w:rsid w:val="00006805"/>
    <w:rsid w:val="000068D4"/>
    <w:rsid w:val="000068D5"/>
    <w:rsid w:val="00006A5D"/>
    <w:rsid w:val="00006B6E"/>
    <w:rsid w:val="00006D5F"/>
    <w:rsid w:val="000071A3"/>
    <w:rsid w:val="000071F3"/>
    <w:rsid w:val="0000725C"/>
    <w:rsid w:val="0000793A"/>
    <w:rsid w:val="00007B9F"/>
    <w:rsid w:val="0001050C"/>
    <w:rsid w:val="000111B0"/>
    <w:rsid w:val="00011497"/>
    <w:rsid w:val="000116D4"/>
    <w:rsid w:val="0001172C"/>
    <w:rsid w:val="000117AF"/>
    <w:rsid w:val="00011910"/>
    <w:rsid w:val="0001261F"/>
    <w:rsid w:val="00012D41"/>
    <w:rsid w:val="00012D95"/>
    <w:rsid w:val="000130B6"/>
    <w:rsid w:val="00013948"/>
    <w:rsid w:val="00013EDE"/>
    <w:rsid w:val="0001472F"/>
    <w:rsid w:val="00014BD4"/>
    <w:rsid w:val="00015078"/>
    <w:rsid w:val="00015328"/>
    <w:rsid w:val="00015A5E"/>
    <w:rsid w:val="00016470"/>
    <w:rsid w:val="00016A51"/>
    <w:rsid w:val="00016D15"/>
    <w:rsid w:val="00016E09"/>
    <w:rsid w:val="00016F24"/>
    <w:rsid w:val="000177C6"/>
    <w:rsid w:val="00017A7F"/>
    <w:rsid w:val="00017B0C"/>
    <w:rsid w:val="00017D49"/>
    <w:rsid w:val="00020334"/>
    <w:rsid w:val="0002033A"/>
    <w:rsid w:val="0002040E"/>
    <w:rsid w:val="000205BC"/>
    <w:rsid w:val="000207BA"/>
    <w:rsid w:val="00020BEA"/>
    <w:rsid w:val="00020C0A"/>
    <w:rsid w:val="000218A3"/>
    <w:rsid w:val="00022355"/>
    <w:rsid w:val="00022437"/>
    <w:rsid w:val="0002244B"/>
    <w:rsid w:val="000225E8"/>
    <w:rsid w:val="0002293A"/>
    <w:rsid w:val="00022A3A"/>
    <w:rsid w:val="00023633"/>
    <w:rsid w:val="00023832"/>
    <w:rsid w:val="000238B0"/>
    <w:rsid w:val="00023CDA"/>
    <w:rsid w:val="00023DF6"/>
    <w:rsid w:val="00023F00"/>
    <w:rsid w:val="00024062"/>
    <w:rsid w:val="000240A3"/>
    <w:rsid w:val="000241B5"/>
    <w:rsid w:val="0002422C"/>
    <w:rsid w:val="0002425C"/>
    <w:rsid w:val="000246DD"/>
    <w:rsid w:val="00024A6C"/>
    <w:rsid w:val="00024B51"/>
    <w:rsid w:val="00024C27"/>
    <w:rsid w:val="00024CAF"/>
    <w:rsid w:val="00024E53"/>
    <w:rsid w:val="00025327"/>
    <w:rsid w:val="0002544A"/>
    <w:rsid w:val="00025785"/>
    <w:rsid w:val="00025A53"/>
    <w:rsid w:val="00025D96"/>
    <w:rsid w:val="00025D97"/>
    <w:rsid w:val="00025DEA"/>
    <w:rsid w:val="00026167"/>
    <w:rsid w:val="00026758"/>
    <w:rsid w:val="00026B5C"/>
    <w:rsid w:val="00026BD3"/>
    <w:rsid w:val="00026C92"/>
    <w:rsid w:val="000276C7"/>
    <w:rsid w:val="00027AEC"/>
    <w:rsid w:val="00027B55"/>
    <w:rsid w:val="000306FE"/>
    <w:rsid w:val="00030B33"/>
    <w:rsid w:val="00030C58"/>
    <w:rsid w:val="00030CA0"/>
    <w:rsid w:val="00030FA6"/>
    <w:rsid w:val="0003160B"/>
    <w:rsid w:val="0003216C"/>
    <w:rsid w:val="000324C7"/>
    <w:rsid w:val="0003253E"/>
    <w:rsid w:val="00032935"/>
    <w:rsid w:val="00032CA5"/>
    <w:rsid w:val="00032D5A"/>
    <w:rsid w:val="00032EFE"/>
    <w:rsid w:val="000332DF"/>
    <w:rsid w:val="00033977"/>
    <w:rsid w:val="00033B42"/>
    <w:rsid w:val="00033C60"/>
    <w:rsid w:val="00033D09"/>
    <w:rsid w:val="00033DEB"/>
    <w:rsid w:val="0003563D"/>
    <w:rsid w:val="0003584B"/>
    <w:rsid w:val="00035D19"/>
    <w:rsid w:val="00035DAE"/>
    <w:rsid w:val="00036333"/>
    <w:rsid w:val="00036856"/>
    <w:rsid w:val="00036C12"/>
    <w:rsid w:val="000370BF"/>
    <w:rsid w:val="0003747F"/>
    <w:rsid w:val="00040EEF"/>
    <w:rsid w:val="0004129B"/>
    <w:rsid w:val="00041463"/>
    <w:rsid w:val="0004164D"/>
    <w:rsid w:val="000416C9"/>
    <w:rsid w:val="00041960"/>
    <w:rsid w:val="00041FE5"/>
    <w:rsid w:val="000421D4"/>
    <w:rsid w:val="00042733"/>
    <w:rsid w:val="00042BB8"/>
    <w:rsid w:val="0004335D"/>
    <w:rsid w:val="00043684"/>
    <w:rsid w:val="000437CF"/>
    <w:rsid w:val="00043FB7"/>
    <w:rsid w:val="0004422D"/>
    <w:rsid w:val="0004431A"/>
    <w:rsid w:val="0004448A"/>
    <w:rsid w:val="00044BDD"/>
    <w:rsid w:val="00044E7F"/>
    <w:rsid w:val="00044F9E"/>
    <w:rsid w:val="000450E8"/>
    <w:rsid w:val="00045320"/>
    <w:rsid w:val="000454A1"/>
    <w:rsid w:val="000457F5"/>
    <w:rsid w:val="00045885"/>
    <w:rsid w:val="00045B5B"/>
    <w:rsid w:val="00045D64"/>
    <w:rsid w:val="000460CB"/>
    <w:rsid w:val="000466E5"/>
    <w:rsid w:val="00046751"/>
    <w:rsid w:val="00046AE4"/>
    <w:rsid w:val="00046C88"/>
    <w:rsid w:val="00046F1F"/>
    <w:rsid w:val="00047021"/>
    <w:rsid w:val="00047393"/>
    <w:rsid w:val="0004763C"/>
    <w:rsid w:val="00047890"/>
    <w:rsid w:val="00047B78"/>
    <w:rsid w:val="000500F7"/>
    <w:rsid w:val="0005030B"/>
    <w:rsid w:val="0005070F"/>
    <w:rsid w:val="000507C6"/>
    <w:rsid w:val="00051BAA"/>
    <w:rsid w:val="0005207B"/>
    <w:rsid w:val="000526EE"/>
    <w:rsid w:val="000528C3"/>
    <w:rsid w:val="000528ED"/>
    <w:rsid w:val="00052AAC"/>
    <w:rsid w:val="00052D21"/>
    <w:rsid w:val="00053017"/>
    <w:rsid w:val="0005386D"/>
    <w:rsid w:val="00053C62"/>
    <w:rsid w:val="00053CBB"/>
    <w:rsid w:val="0005402B"/>
    <w:rsid w:val="000545CD"/>
    <w:rsid w:val="000554A6"/>
    <w:rsid w:val="000554F6"/>
    <w:rsid w:val="00055681"/>
    <w:rsid w:val="0005592D"/>
    <w:rsid w:val="00055A17"/>
    <w:rsid w:val="00055CAF"/>
    <w:rsid w:val="00055FAB"/>
    <w:rsid w:val="00055FF9"/>
    <w:rsid w:val="00056018"/>
    <w:rsid w:val="000564B6"/>
    <w:rsid w:val="000564C1"/>
    <w:rsid w:val="0005680E"/>
    <w:rsid w:val="000569E1"/>
    <w:rsid w:val="00056AC2"/>
    <w:rsid w:val="00056B5C"/>
    <w:rsid w:val="00056D9F"/>
    <w:rsid w:val="00056DB2"/>
    <w:rsid w:val="00056F5C"/>
    <w:rsid w:val="0005744C"/>
    <w:rsid w:val="0005799A"/>
    <w:rsid w:val="00057AD1"/>
    <w:rsid w:val="0006081B"/>
    <w:rsid w:val="00060AAD"/>
    <w:rsid w:val="00060B2E"/>
    <w:rsid w:val="00060B89"/>
    <w:rsid w:val="00060E7A"/>
    <w:rsid w:val="0006119D"/>
    <w:rsid w:val="0006138F"/>
    <w:rsid w:val="00062A62"/>
    <w:rsid w:val="00062E6D"/>
    <w:rsid w:val="0006313A"/>
    <w:rsid w:val="00063534"/>
    <w:rsid w:val="000636E8"/>
    <w:rsid w:val="000639E1"/>
    <w:rsid w:val="00063C68"/>
    <w:rsid w:val="000640FA"/>
    <w:rsid w:val="00064561"/>
    <w:rsid w:val="00064755"/>
    <w:rsid w:val="000651AD"/>
    <w:rsid w:val="00065471"/>
    <w:rsid w:val="00065551"/>
    <w:rsid w:val="00065D5D"/>
    <w:rsid w:val="00065E42"/>
    <w:rsid w:val="000662EB"/>
    <w:rsid w:val="0006678A"/>
    <w:rsid w:val="000669A6"/>
    <w:rsid w:val="000669C1"/>
    <w:rsid w:val="00066AEB"/>
    <w:rsid w:val="00066F0D"/>
    <w:rsid w:val="0006746F"/>
    <w:rsid w:val="00070427"/>
    <w:rsid w:val="0007073F"/>
    <w:rsid w:val="00070864"/>
    <w:rsid w:val="00070C52"/>
    <w:rsid w:val="00070D39"/>
    <w:rsid w:val="00070F3E"/>
    <w:rsid w:val="00070FC5"/>
    <w:rsid w:val="00070FF8"/>
    <w:rsid w:val="00071057"/>
    <w:rsid w:val="000712CC"/>
    <w:rsid w:val="00071598"/>
    <w:rsid w:val="0007169F"/>
    <w:rsid w:val="000718B9"/>
    <w:rsid w:val="00071DA7"/>
    <w:rsid w:val="00071EA0"/>
    <w:rsid w:val="00072451"/>
    <w:rsid w:val="0007250C"/>
    <w:rsid w:val="00072755"/>
    <w:rsid w:val="00072765"/>
    <w:rsid w:val="000727A1"/>
    <w:rsid w:val="00072A82"/>
    <w:rsid w:val="00072F8E"/>
    <w:rsid w:val="0007315A"/>
    <w:rsid w:val="00073172"/>
    <w:rsid w:val="000732AD"/>
    <w:rsid w:val="000735DB"/>
    <w:rsid w:val="00073CF5"/>
    <w:rsid w:val="000742BF"/>
    <w:rsid w:val="00074389"/>
    <w:rsid w:val="000747BD"/>
    <w:rsid w:val="000753DD"/>
    <w:rsid w:val="0007556A"/>
    <w:rsid w:val="000756A6"/>
    <w:rsid w:val="00075A91"/>
    <w:rsid w:val="000763CA"/>
    <w:rsid w:val="000765C0"/>
    <w:rsid w:val="00076C84"/>
    <w:rsid w:val="00076CEA"/>
    <w:rsid w:val="00076DA5"/>
    <w:rsid w:val="00076FF0"/>
    <w:rsid w:val="000771CE"/>
    <w:rsid w:val="00077570"/>
    <w:rsid w:val="00077776"/>
    <w:rsid w:val="000777F0"/>
    <w:rsid w:val="00077819"/>
    <w:rsid w:val="000778FB"/>
    <w:rsid w:val="00077902"/>
    <w:rsid w:val="0007796E"/>
    <w:rsid w:val="00077D94"/>
    <w:rsid w:val="0008076D"/>
    <w:rsid w:val="00081375"/>
    <w:rsid w:val="000816D0"/>
    <w:rsid w:val="000817BB"/>
    <w:rsid w:val="00081A8E"/>
    <w:rsid w:val="00081AB7"/>
    <w:rsid w:val="00081D55"/>
    <w:rsid w:val="00081F69"/>
    <w:rsid w:val="00081FA9"/>
    <w:rsid w:val="000823F5"/>
    <w:rsid w:val="00082BB7"/>
    <w:rsid w:val="00082E7C"/>
    <w:rsid w:val="00082F43"/>
    <w:rsid w:val="0008332C"/>
    <w:rsid w:val="00083418"/>
    <w:rsid w:val="000839A7"/>
    <w:rsid w:val="00083BA3"/>
    <w:rsid w:val="00083EF4"/>
    <w:rsid w:val="00084183"/>
    <w:rsid w:val="000841DF"/>
    <w:rsid w:val="000842C7"/>
    <w:rsid w:val="000846AF"/>
    <w:rsid w:val="00084825"/>
    <w:rsid w:val="000848B3"/>
    <w:rsid w:val="00084A3F"/>
    <w:rsid w:val="00084F8E"/>
    <w:rsid w:val="00084FE5"/>
    <w:rsid w:val="0008506B"/>
    <w:rsid w:val="000855A4"/>
    <w:rsid w:val="00085660"/>
    <w:rsid w:val="00086818"/>
    <w:rsid w:val="00086F08"/>
    <w:rsid w:val="0008707D"/>
    <w:rsid w:val="0008708B"/>
    <w:rsid w:val="000870E5"/>
    <w:rsid w:val="0008764D"/>
    <w:rsid w:val="00087723"/>
    <w:rsid w:val="00087899"/>
    <w:rsid w:val="000878E9"/>
    <w:rsid w:val="0008791A"/>
    <w:rsid w:val="00087B04"/>
    <w:rsid w:val="00087CBE"/>
    <w:rsid w:val="000901A1"/>
    <w:rsid w:val="00090609"/>
    <w:rsid w:val="00090726"/>
    <w:rsid w:val="00090E39"/>
    <w:rsid w:val="000911C9"/>
    <w:rsid w:val="000911CA"/>
    <w:rsid w:val="000915FA"/>
    <w:rsid w:val="000916D8"/>
    <w:rsid w:val="00091712"/>
    <w:rsid w:val="00091A02"/>
    <w:rsid w:val="00091B1F"/>
    <w:rsid w:val="00091EC3"/>
    <w:rsid w:val="000922FD"/>
    <w:rsid w:val="000925DD"/>
    <w:rsid w:val="0009275E"/>
    <w:rsid w:val="00092874"/>
    <w:rsid w:val="00092BCB"/>
    <w:rsid w:val="00092F32"/>
    <w:rsid w:val="00092FA3"/>
    <w:rsid w:val="00092FA6"/>
    <w:rsid w:val="0009309D"/>
    <w:rsid w:val="0009360A"/>
    <w:rsid w:val="00093FBC"/>
    <w:rsid w:val="00094341"/>
    <w:rsid w:val="00094420"/>
    <w:rsid w:val="0009454B"/>
    <w:rsid w:val="00094FE3"/>
    <w:rsid w:val="0009512D"/>
    <w:rsid w:val="00095647"/>
    <w:rsid w:val="00095B77"/>
    <w:rsid w:val="00095CFA"/>
    <w:rsid w:val="0009624B"/>
    <w:rsid w:val="00096663"/>
    <w:rsid w:val="00096A7A"/>
    <w:rsid w:val="00096B51"/>
    <w:rsid w:val="00096B6B"/>
    <w:rsid w:val="00096D0D"/>
    <w:rsid w:val="00096DB8"/>
    <w:rsid w:val="00097046"/>
    <w:rsid w:val="000979C9"/>
    <w:rsid w:val="00097ABD"/>
    <w:rsid w:val="00097AF9"/>
    <w:rsid w:val="000A0036"/>
    <w:rsid w:val="000A0038"/>
    <w:rsid w:val="000A0076"/>
    <w:rsid w:val="000A0094"/>
    <w:rsid w:val="000A01CA"/>
    <w:rsid w:val="000A02ED"/>
    <w:rsid w:val="000A04D7"/>
    <w:rsid w:val="000A0923"/>
    <w:rsid w:val="000A092A"/>
    <w:rsid w:val="000A0A69"/>
    <w:rsid w:val="000A0CF9"/>
    <w:rsid w:val="000A0EED"/>
    <w:rsid w:val="000A10E7"/>
    <w:rsid w:val="000A112B"/>
    <w:rsid w:val="000A12A7"/>
    <w:rsid w:val="000A16DD"/>
    <w:rsid w:val="000A18F6"/>
    <w:rsid w:val="000A1A72"/>
    <w:rsid w:val="000A1CA2"/>
    <w:rsid w:val="000A1E72"/>
    <w:rsid w:val="000A1F24"/>
    <w:rsid w:val="000A20BD"/>
    <w:rsid w:val="000A2D7A"/>
    <w:rsid w:val="000A3487"/>
    <w:rsid w:val="000A3661"/>
    <w:rsid w:val="000A39C9"/>
    <w:rsid w:val="000A3C33"/>
    <w:rsid w:val="000A3CDC"/>
    <w:rsid w:val="000A3E3E"/>
    <w:rsid w:val="000A3E9B"/>
    <w:rsid w:val="000A4004"/>
    <w:rsid w:val="000A41E5"/>
    <w:rsid w:val="000A49C1"/>
    <w:rsid w:val="000A4C28"/>
    <w:rsid w:val="000A4D1B"/>
    <w:rsid w:val="000A4EC4"/>
    <w:rsid w:val="000A5089"/>
    <w:rsid w:val="000A52F8"/>
    <w:rsid w:val="000A5736"/>
    <w:rsid w:val="000A5D0E"/>
    <w:rsid w:val="000A652E"/>
    <w:rsid w:val="000A66CE"/>
    <w:rsid w:val="000A686F"/>
    <w:rsid w:val="000A6BE4"/>
    <w:rsid w:val="000A6C8B"/>
    <w:rsid w:val="000A6F81"/>
    <w:rsid w:val="000A6FA4"/>
    <w:rsid w:val="000A7376"/>
    <w:rsid w:val="000A7760"/>
    <w:rsid w:val="000A7896"/>
    <w:rsid w:val="000A7BC8"/>
    <w:rsid w:val="000A7F07"/>
    <w:rsid w:val="000B0548"/>
    <w:rsid w:val="000B0947"/>
    <w:rsid w:val="000B0B2A"/>
    <w:rsid w:val="000B0B72"/>
    <w:rsid w:val="000B1284"/>
    <w:rsid w:val="000B13DF"/>
    <w:rsid w:val="000B1499"/>
    <w:rsid w:val="000B1611"/>
    <w:rsid w:val="000B1735"/>
    <w:rsid w:val="000B174C"/>
    <w:rsid w:val="000B1B71"/>
    <w:rsid w:val="000B1C81"/>
    <w:rsid w:val="000B1D96"/>
    <w:rsid w:val="000B1F3B"/>
    <w:rsid w:val="000B2598"/>
    <w:rsid w:val="000B2C45"/>
    <w:rsid w:val="000B2D08"/>
    <w:rsid w:val="000B2EA7"/>
    <w:rsid w:val="000B2ED6"/>
    <w:rsid w:val="000B2EE2"/>
    <w:rsid w:val="000B2FA7"/>
    <w:rsid w:val="000B31D3"/>
    <w:rsid w:val="000B335D"/>
    <w:rsid w:val="000B38B2"/>
    <w:rsid w:val="000B38B4"/>
    <w:rsid w:val="000B3D85"/>
    <w:rsid w:val="000B4251"/>
    <w:rsid w:val="000B4B04"/>
    <w:rsid w:val="000B4E7E"/>
    <w:rsid w:val="000B537B"/>
    <w:rsid w:val="000B5BD0"/>
    <w:rsid w:val="000B630A"/>
    <w:rsid w:val="000B667A"/>
    <w:rsid w:val="000B6680"/>
    <w:rsid w:val="000B69B8"/>
    <w:rsid w:val="000B6C7D"/>
    <w:rsid w:val="000B6F27"/>
    <w:rsid w:val="000B7483"/>
    <w:rsid w:val="000B7BCA"/>
    <w:rsid w:val="000B7BD4"/>
    <w:rsid w:val="000C01CF"/>
    <w:rsid w:val="000C096F"/>
    <w:rsid w:val="000C0C5A"/>
    <w:rsid w:val="000C177A"/>
    <w:rsid w:val="000C17A3"/>
    <w:rsid w:val="000C1A77"/>
    <w:rsid w:val="000C1D2B"/>
    <w:rsid w:val="000C1D79"/>
    <w:rsid w:val="000C1F5C"/>
    <w:rsid w:val="000C201D"/>
    <w:rsid w:val="000C23E8"/>
    <w:rsid w:val="000C26D3"/>
    <w:rsid w:val="000C29FA"/>
    <w:rsid w:val="000C2A9D"/>
    <w:rsid w:val="000C3167"/>
    <w:rsid w:val="000C3501"/>
    <w:rsid w:val="000C35A0"/>
    <w:rsid w:val="000C3853"/>
    <w:rsid w:val="000C3CFE"/>
    <w:rsid w:val="000C3E33"/>
    <w:rsid w:val="000C3FE0"/>
    <w:rsid w:val="000C4182"/>
    <w:rsid w:val="000C4497"/>
    <w:rsid w:val="000C5049"/>
    <w:rsid w:val="000C52F5"/>
    <w:rsid w:val="000C53F3"/>
    <w:rsid w:val="000C5497"/>
    <w:rsid w:val="000C549E"/>
    <w:rsid w:val="000C589F"/>
    <w:rsid w:val="000C597A"/>
    <w:rsid w:val="000C5F63"/>
    <w:rsid w:val="000C6064"/>
    <w:rsid w:val="000C64E1"/>
    <w:rsid w:val="000C6E38"/>
    <w:rsid w:val="000C6ED6"/>
    <w:rsid w:val="000C7220"/>
    <w:rsid w:val="000C73F5"/>
    <w:rsid w:val="000C782E"/>
    <w:rsid w:val="000C7AC6"/>
    <w:rsid w:val="000C7B0C"/>
    <w:rsid w:val="000C7CF9"/>
    <w:rsid w:val="000C7EA2"/>
    <w:rsid w:val="000D05FA"/>
    <w:rsid w:val="000D0809"/>
    <w:rsid w:val="000D08B3"/>
    <w:rsid w:val="000D097A"/>
    <w:rsid w:val="000D0A53"/>
    <w:rsid w:val="000D0B18"/>
    <w:rsid w:val="000D11FE"/>
    <w:rsid w:val="000D1730"/>
    <w:rsid w:val="000D18F9"/>
    <w:rsid w:val="000D1A97"/>
    <w:rsid w:val="000D1AD0"/>
    <w:rsid w:val="000D1C56"/>
    <w:rsid w:val="000D2195"/>
    <w:rsid w:val="000D219A"/>
    <w:rsid w:val="000D21CD"/>
    <w:rsid w:val="000D2204"/>
    <w:rsid w:val="000D24D4"/>
    <w:rsid w:val="000D267B"/>
    <w:rsid w:val="000D27BE"/>
    <w:rsid w:val="000D28B4"/>
    <w:rsid w:val="000D29D2"/>
    <w:rsid w:val="000D2B6F"/>
    <w:rsid w:val="000D2C3F"/>
    <w:rsid w:val="000D2CAA"/>
    <w:rsid w:val="000D2DD0"/>
    <w:rsid w:val="000D2F97"/>
    <w:rsid w:val="000D3474"/>
    <w:rsid w:val="000D36FB"/>
    <w:rsid w:val="000D38E6"/>
    <w:rsid w:val="000D38FE"/>
    <w:rsid w:val="000D39B3"/>
    <w:rsid w:val="000D3F56"/>
    <w:rsid w:val="000D4103"/>
    <w:rsid w:val="000D4386"/>
    <w:rsid w:val="000D46A1"/>
    <w:rsid w:val="000D4724"/>
    <w:rsid w:val="000D49A6"/>
    <w:rsid w:val="000D49F9"/>
    <w:rsid w:val="000D4A27"/>
    <w:rsid w:val="000D4BFA"/>
    <w:rsid w:val="000D4C23"/>
    <w:rsid w:val="000D4D2D"/>
    <w:rsid w:val="000D504E"/>
    <w:rsid w:val="000D522C"/>
    <w:rsid w:val="000D525A"/>
    <w:rsid w:val="000D5592"/>
    <w:rsid w:val="000D5623"/>
    <w:rsid w:val="000D563E"/>
    <w:rsid w:val="000D571E"/>
    <w:rsid w:val="000D5938"/>
    <w:rsid w:val="000D5A77"/>
    <w:rsid w:val="000D5D86"/>
    <w:rsid w:val="000D62A0"/>
    <w:rsid w:val="000D65A6"/>
    <w:rsid w:val="000D6D43"/>
    <w:rsid w:val="000D6DCF"/>
    <w:rsid w:val="000D6F16"/>
    <w:rsid w:val="000D6FD4"/>
    <w:rsid w:val="000D74D3"/>
    <w:rsid w:val="000D7B4C"/>
    <w:rsid w:val="000D7F1F"/>
    <w:rsid w:val="000E02F5"/>
    <w:rsid w:val="000E0660"/>
    <w:rsid w:val="000E0DC3"/>
    <w:rsid w:val="000E100D"/>
    <w:rsid w:val="000E1CF2"/>
    <w:rsid w:val="000E234D"/>
    <w:rsid w:val="000E2355"/>
    <w:rsid w:val="000E2B25"/>
    <w:rsid w:val="000E2FF1"/>
    <w:rsid w:val="000E3028"/>
    <w:rsid w:val="000E310E"/>
    <w:rsid w:val="000E31A5"/>
    <w:rsid w:val="000E32C4"/>
    <w:rsid w:val="000E3D66"/>
    <w:rsid w:val="000E41BB"/>
    <w:rsid w:val="000E41D9"/>
    <w:rsid w:val="000E45B7"/>
    <w:rsid w:val="000E5520"/>
    <w:rsid w:val="000E55AC"/>
    <w:rsid w:val="000E55D4"/>
    <w:rsid w:val="000E5D8A"/>
    <w:rsid w:val="000E5F9D"/>
    <w:rsid w:val="000E6459"/>
    <w:rsid w:val="000E65C2"/>
    <w:rsid w:val="000E6850"/>
    <w:rsid w:val="000E7A21"/>
    <w:rsid w:val="000E7E4B"/>
    <w:rsid w:val="000E7F8A"/>
    <w:rsid w:val="000E7FB7"/>
    <w:rsid w:val="000E7FE9"/>
    <w:rsid w:val="000F0EDA"/>
    <w:rsid w:val="000F184F"/>
    <w:rsid w:val="000F1AD5"/>
    <w:rsid w:val="000F1B64"/>
    <w:rsid w:val="000F1D06"/>
    <w:rsid w:val="000F1D7A"/>
    <w:rsid w:val="000F25E7"/>
    <w:rsid w:val="000F268E"/>
    <w:rsid w:val="000F2922"/>
    <w:rsid w:val="000F2C34"/>
    <w:rsid w:val="000F3313"/>
    <w:rsid w:val="000F36BA"/>
    <w:rsid w:val="000F37E4"/>
    <w:rsid w:val="000F3AD3"/>
    <w:rsid w:val="000F4167"/>
    <w:rsid w:val="000F426B"/>
    <w:rsid w:val="000F4514"/>
    <w:rsid w:val="000F4636"/>
    <w:rsid w:val="000F4843"/>
    <w:rsid w:val="000F4E22"/>
    <w:rsid w:val="000F4E74"/>
    <w:rsid w:val="000F52D2"/>
    <w:rsid w:val="000F550F"/>
    <w:rsid w:val="000F57A9"/>
    <w:rsid w:val="000F5C2C"/>
    <w:rsid w:val="000F5D10"/>
    <w:rsid w:val="000F5E91"/>
    <w:rsid w:val="000F650B"/>
    <w:rsid w:val="000F6717"/>
    <w:rsid w:val="000F68AF"/>
    <w:rsid w:val="000F69EE"/>
    <w:rsid w:val="000F7077"/>
    <w:rsid w:val="000F70A3"/>
    <w:rsid w:val="000F7647"/>
    <w:rsid w:val="000F7A9C"/>
    <w:rsid w:val="000F7AAE"/>
    <w:rsid w:val="000F7ACF"/>
    <w:rsid w:val="000F7F19"/>
    <w:rsid w:val="00100220"/>
    <w:rsid w:val="001002A6"/>
    <w:rsid w:val="0010057E"/>
    <w:rsid w:val="0010071A"/>
    <w:rsid w:val="001008DF"/>
    <w:rsid w:val="00100BCB"/>
    <w:rsid w:val="00100D5B"/>
    <w:rsid w:val="00100FA7"/>
    <w:rsid w:val="00101241"/>
    <w:rsid w:val="001014F5"/>
    <w:rsid w:val="00101509"/>
    <w:rsid w:val="00101BE6"/>
    <w:rsid w:val="0010210D"/>
    <w:rsid w:val="00102613"/>
    <w:rsid w:val="0010286A"/>
    <w:rsid w:val="001029BB"/>
    <w:rsid w:val="00102CAA"/>
    <w:rsid w:val="00102E27"/>
    <w:rsid w:val="00102E5D"/>
    <w:rsid w:val="00103060"/>
    <w:rsid w:val="0010333F"/>
    <w:rsid w:val="00103766"/>
    <w:rsid w:val="00103ABB"/>
    <w:rsid w:val="00104151"/>
    <w:rsid w:val="0010430A"/>
    <w:rsid w:val="001043B6"/>
    <w:rsid w:val="00104A3C"/>
    <w:rsid w:val="00104DE5"/>
    <w:rsid w:val="001058DB"/>
    <w:rsid w:val="00105B33"/>
    <w:rsid w:val="00105D62"/>
    <w:rsid w:val="00105D84"/>
    <w:rsid w:val="00105DEA"/>
    <w:rsid w:val="00106079"/>
    <w:rsid w:val="0010657E"/>
    <w:rsid w:val="001068B8"/>
    <w:rsid w:val="00106A9B"/>
    <w:rsid w:val="00106BBB"/>
    <w:rsid w:val="00106BFB"/>
    <w:rsid w:val="00106D3E"/>
    <w:rsid w:val="00106F37"/>
    <w:rsid w:val="001077E7"/>
    <w:rsid w:val="001078CE"/>
    <w:rsid w:val="00107908"/>
    <w:rsid w:val="00110314"/>
    <w:rsid w:val="0011034E"/>
    <w:rsid w:val="001105B9"/>
    <w:rsid w:val="00110690"/>
    <w:rsid w:val="001109AD"/>
    <w:rsid w:val="00110B06"/>
    <w:rsid w:val="00111674"/>
    <w:rsid w:val="001118CB"/>
    <w:rsid w:val="00111951"/>
    <w:rsid w:val="00111AB9"/>
    <w:rsid w:val="00111C2D"/>
    <w:rsid w:val="00111CD2"/>
    <w:rsid w:val="00112069"/>
    <w:rsid w:val="001125E9"/>
    <w:rsid w:val="001125F6"/>
    <w:rsid w:val="0011320F"/>
    <w:rsid w:val="0011324D"/>
    <w:rsid w:val="001139B4"/>
    <w:rsid w:val="001139E5"/>
    <w:rsid w:val="00113DFB"/>
    <w:rsid w:val="00113FE3"/>
    <w:rsid w:val="00114197"/>
    <w:rsid w:val="001141A5"/>
    <w:rsid w:val="001143C7"/>
    <w:rsid w:val="00114629"/>
    <w:rsid w:val="00114EAE"/>
    <w:rsid w:val="00115671"/>
    <w:rsid w:val="00115812"/>
    <w:rsid w:val="00115C89"/>
    <w:rsid w:val="00115F6E"/>
    <w:rsid w:val="001164CA"/>
    <w:rsid w:val="0011650E"/>
    <w:rsid w:val="001167B7"/>
    <w:rsid w:val="001167F8"/>
    <w:rsid w:val="00116A43"/>
    <w:rsid w:val="00116AB3"/>
    <w:rsid w:val="00116F4D"/>
    <w:rsid w:val="00117180"/>
    <w:rsid w:val="00117282"/>
    <w:rsid w:val="001174E3"/>
    <w:rsid w:val="00117811"/>
    <w:rsid w:val="00117981"/>
    <w:rsid w:val="00120379"/>
    <w:rsid w:val="00120726"/>
    <w:rsid w:val="001207E9"/>
    <w:rsid w:val="00120C06"/>
    <w:rsid w:val="00120C20"/>
    <w:rsid w:val="001219AE"/>
    <w:rsid w:val="00121A12"/>
    <w:rsid w:val="00121BDB"/>
    <w:rsid w:val="00121F50"/>
    <w:rsid w:val="00121F6F"/>
    <w:rsid w:val="001222BD"/>
    <w:rsid w:val="00122492"/>
    <w:rsid w:val="001224A5"/>
    <w:rsid w:val="00122A3C"/>
    <w:rsid w:val="00122BCF"/>
    <w:rsid w:val="00122FC9"/>
    <w:rsid w:val="0012326D"/>
    <w:rsid w:val="0012343A"/>
    <w:rsid w:val="00123500"/>
    <w:rsid w:val="00123738"/>
    <w:rsid w:val="00123755"/>
    <w:rsid w:val="00123918"/>
    <w:rsid w:val="00123B2F"/>
    <w:rsid w:val="00123D82"/>
    <w:rsid w:val="00123E43"/>
    <w:rsid w:val="00123E56"/>
    <w:rsid w:val="001240EC"/>
    <w:rsid w:val="0012458B"/>
    <w:rsid w:val="0012488A"/>
    <w:rsid w:val="00124A97"/>
    <w:rsid w:val="00124E20"/>
    <w:rsid w:val="00124E9F"/>
    <w:rsid w:val="001252AA"/>
    <w:rsid w:val="001252EE"/>
    <w:rsid w:val="00125772"/>
    <w:rsid w:val="00125B4F"/>
    <w:rsid w:val="00125BB8"/>
    <w:rsid w:val="00125C69"/>
    <w:rsid w:val="00125DBD"/>
    <w:rsid w:val="001260CB"/>
    <w:rsid w:val="001263FD"/>
    <w:rsid w:val="0012677A"/>
    <w:rsid w:val="001269F9"/>
    <w:rsid w:val="00126B54"/>
    <w:rsid w:val="0012703B"/>
    <w:rsid w:val="00127235"/>
    <w:rsid w:val="001279D6"/>
    <w:rsid w:val="00127AA6"/>
    <w:rsid w:val="00127E08"/>
    <w:rsid w:val="001302D0"/>
    <w:rsid w:val="00130528"/>
    <w:rsid w:val="001306A4"/>
    <w:rsid w:val="0013075A"/>
    <w:rsid w:val="001308D7"/>
    <w:rsid w:val="00130CB6"/>
    <w:rsid w:val="00131013"/>
    <w:rsid w:val="001310ED"/>
    <w:rsid w:val="001310F7"/>
    <w:rsid w:val="0013151A"/>
    <w:rsid w:val="0013179E"/>
    <w:rsid w:val="001318A9"/>
    <w:rsid w:val="00131BA0"/>
    <w:rsid w:val="001320E6"/>
    <w:rsid w:val="00132281"/>
    <w:rsid w:val="00132420"/>
    <w:rsid w:val="00132450"/>
    <w:rsid w:val="0013248A"/>
    <w:rsid w:val="001326EC"/>
    <w:rsid w:val="001328DB"/>
    <w:rsid w:val="00132F55"/>
    <w:rsid w:val="0013337F"/>
    <w:rsid w:val="00133B77"/>
    <w:rsid w:val="00133DD3"/>
    <w:rsid w:val="00134439"/>
    <w:rsid w:val="0013448C"/>
    <w:rsid w:val="00134C98"/>
    <w:rsid w:val="00134CB0"/>
    <w:rsid w:val="00134D69"/>
    <w:rsid w:val="001352AE"/>
    <w:rsid w:val="001369E6"/>
    <w:rsid w:val="00136AED"/>
    <w:rsid w:val="00136C57"/>
    <w:rsid w:val="001374AE"/>
    <w:rsid w:val="00137624"/>
    <w:rsid w:val="00137768"/>
    <w:rsid w:val="00137B2F"/>
    <w:rsid w:val="00137BD5"/>
    <w:rsid w:val="00137BD9"/>
    <w:rsid w:val="00137C62"/>
    <w:rsid w:val="00140367"/>
    <w:rsid w:val="001408FD"/>
    <w:rsid w:val="00140C9C"/>
    <w:rsid w:val="00140E43"/>
    <w:rsid w:val="00140FDA"/>
    <w:rsid w:val="0014117F"/>
    <w:rsid w:val="00141658"/>
    <w:rsid w:val="00141662"/>
    <w:rsid w:val="00141A1D"/>
    <w:rsid w:val="00141AFE"/>
    <w:rsid w:val="00141C22"/>
    <w:rsid w:val="00141C71"/>
    <w:rsid w:val="00141C93"/>
    <w:rsid w:val="00141FF2"/>
    <w:rsid w:val="0014218B"/>
    <w:rsid w:val="00142354"/>
    <w:rsid w:val="0014267C"/>
    <w:rsid w:val="00142912"/>
    <w:rsid w:val="00142BF1"/>
    <w:rsid w:val="00142C05"/>
    <w:rsid w:val="00143032"/>
    <w:rsid w:val="001431B8"/>
    <w:rsid w:val="00143225"/>
    <w:rsid w:val="00143397"/>
    <w:rsid w:val="00143B9A"/>
    <w:rsid w:val="00143D28"/>
    <w:rsid w:val="0014423A"/>
    <w:rsid w:val="0014438F"/>
    <w:rsid w:val="001443A9"/>
    <w:rsid w:val="001444C0"/>
    <w:rsid w:val="001445A4"/>
    <w:rsid w:val="001449BD"/>
    <w:rsid w:val="00145084"/>
    <w:rsid w:val="00145268"/>
    <w:rsid w:val="00145279"/>
    <w:rsid w:val="00145454"/>
    <w:rsid w:val="001456A5"/>
    <w:rsid w:val="00145923"/>
    <w:rsid w:val="00145CE9"/>
    <w:rsid w:val="001460A9"/>
    <w:rsid w:val="001462D1"/>
    <w:rsid w:val="001466FB"/>
    <w:rsid w:val="00146B93"/>
    <w:rsid w:val="001472B0"/>
    <w:rsid w:val="001473DE"/>
    <w:rsid w:val="00147B6E"/>
    <w:rsid w:val="00147C34"/>
    <w:rsid w:val="00147DD6"/>
    <w:rsid w:val="00150060"/>
    <w:rsid w:val="001502FA"/>
    <w:rsid w:val="0015091D"/>
    <w:rsid w:val="00151444"/>
    <w:rsid w:val="00151DE9"/>
    <w:rsid w:val="00151E92"/>
    <w:rsid w:val="00151E9F"/>
    <w:rsid w:val="00151FD1"/>
    <w:rsid w:val="00152553"/>
    <w:rsid w:val="00152A3B"/>
    <w:rsid w:val="0015344B"/>
    <w:rsid w:val="00153753"/>
    <w:rsid w:val="0015380A"/>
    <w:rsid w:val="00153C03"/>
    <w:rsid w:val="00153CBB"/>
    <w:rsid w:val="00153DB9"/>
    <w:rsid w:val="00153F9D"/>
    <w:rsid w:val="00153FEB"/>
    <w:rsid w:val="0015415B"/>
    <w:rsid w:val="00154846"/>
    <w:rsid w:val="0015493F"/>
    <w:rsid w:val="001549A2"/>
    <w:rsid w:val="00154B92"/>
    <w:rsid w:val="00154D17"/>
    <w:rsid w:val="00154F51"/>
    <w:rsid w:val="0015596B"/>
    <w:rsid w:val="00155BAC"/>
    <w:rsid w:val="00156011"/>
    <w:rsid w:val="001563A8"/>
    <w:rsid w:val="0015685F"/>
    <w:rsid w:val="00156D31"/>
    <w:rsid w:val="00156FF3"/>
    <w:rsid w:val="00156FF7"/>
    <w:rsid w:val="00157007"/>
    <w:rsid w:val="0015713D"/>
    <w:rsid w:val="001572D9"/>
    <w:rsid w:val="00157402"/>
    <w:rsid w:val="00157471"/>
    <w:rsid w:val="001575AF"/>
    <w:rsid w:val="00157AA1"/>
    <w:rsid w:val="00157B32"/>
    <w:rsid w:val="00157D46"/>
    <w:rsid w:val="00157D73"/>
    <w:rsid w:val="0016068D"/>
    <w:rsid w:val="0016084E"/>
    <w:rsid w:val="00160CC9"/>
    <w:rsid w:val="00160DC3"/>
    <w:rsid w:val="00160EA8"/>
    <w:rsid w:val="00161343"/>
    <w:rsid w:val="00161B67"/>
    <w:rsid w:val="00161C79"/>
    <w:rsid w:val="00161EC1"/>
    <w:rsid w:val="00161FAD"/>
    <w:rsid w:val="00162114"/>
    <w:rsid w:val="001622B2"/>
    <w:rsid w:val="001625ED"/>
    <w:rsid w:val="001626A1"/>
    <w:rsid w:val="00162D6A"/>
    <w:rsid w:val="00162FD0"/>
    <w:rsid w:val="00163123"/>
    <w:rsid w:val="00163435"/>
    <w:rsid w:val="00163994"/>
    <w:rsid w:val="00163B6C"/>
    <w:rsid w:val="00164127"/>
    <w:rsid w:val="0016506F"/>
    <w:rsid w:val="00165242"/>
    <w:rsid w:val="001652E8"/>
    <w:rsid w:val="001655DA"/>
    <w:rsid w:val="00165752"/>
    <w:rsid w:val="00166052"/>
    <w:rsid w:val="001660B3"/>
    <w:rsid w:val="0016616E"/>
    <w:rsid w:val="001664C8"/>
    <w:rsid w:val="0016695D"/>
    <w:rsid w:val="00166C95"/>
    <w:rsid w:val="00166F96"/>
    <w:rsid w:val="0016725B"/>
    <w:rsid w:val="00167467"/>
    <w:rsid w:val="00167840"/>
    <w:rsid w:val="00167FD2"/>
    <w:rsid w:val="00170084"/>
    <w:rsid w:val="001709E1"/>
    <w:rsid w:val="00170F05"/>
    <w:rsid w:val="0017179E"/>
    <w:rsid w:val="00171834"/>
    <w:rsid w:val="00171C31"/>
    <w:rsid w:val="00171D82"/>
    <w:rsid w:val="00172277"/>
    <w:rsid w:val="0017242E"/>
    <w:rsid w:val="0017268A"/>
    <w:rsid w:val="001727B2"/>
    <w:rsid w:val="001727C4"/>
    <w:rsid w:val="001728A0"/>
    <w:rsid w:val="00172A03"/>
    <w:rsid w:val="00172D9A"/>
    <w:rsid w:val="0017331D"/>
    <w:rsid w:val="001735AF"/>
    <w:rsid w:val="00173927"/>
    <w:rsid w:val="00173A80"/>
    <w:rsid w:val="00173F8F"/>
    <w:rsid w:val="00174059"/>
    <w:rsid w:val="001740C2"/>
    <w:rsid w:val="001743D5"/>
    <w:rsid w:val="0017462F"/>
    <w:rsid w:val="001749FD"/>
    <w:rsid w:val="00174B6D"/>
    <w:rsid w:val="00174E17"/>
    <w:rsid w:val="0017551B"/>
    <w:rsid w:val="00175A53"/>
    <w:rsid w:val="00175D1A"/>
    <w:rsid w:val="00176472"/>
    <w:rsid w:val="00176819"/>
    <w:rsid w:val="00176AD4"/>
    <w:rsid w:val="00176CA7"/>
    <w:rsid w:val="001770AC"/>
    <w:rsid w:val="0017729F"/>
    <w:rsid w:val="0017780F"/>
    <w:rsid w:val="00177962"/>
    <w:rsid w:val="0017796E"/>
    <w:rsid w:val="001779D7"/>
    <w:rsid w:val="00177B4D"/>
    <w:rsid w:val="00177D76"/>
    <w:rsid w:val="00177DBE"/>
    <w:rsid w:val="00180384"/>
    <w:rsid w:val="0018049D"/>
    <w:rsid w:val="00180524"/>
    <w:rsid w:val="00180634"/>
    <w:rsid w:val="00180709"/>
    <w:rsid w:val="00180AAE"/>
    <w:rsid w:val="00180EEB"/>
    <w:rsid w:val="00180F09"/>
    <w:rsid w:val="00181433"/>
    <w:rsid w:val="0018171F"/>
    <w:rsid w:val="00181F5D"/>
    <w:rsid w:val="001820F2"/>
    <w:rsid w:val="00182251"/>
    <w:rsid w:val="00182353"/>
    <w:rsid w:val="001823E8"/>
    <w:rsid w:val="00182724"/>
    <w:rsid w:val="001827FF"/>
    <w:rsid w:val="0018287C"/>
    <w:rsid w:val="00182BE6"/>
    <w:rsid w:val="00182C23"/>
    <w:rsid w:val="001832FB"/>
    <w:rsid w:val="0018348B"/>
    <w:rsid w:val="001838CA"/>
    <w:rsid w:val="00183972"/>
    <w:rsid w:val="00183B51"/>
    <w:rsid w:val="001840AD"/>
    <w:rsid w:val="001845E7"/>
    <w:rsid w:val="0018468E"/>
    <w:rsid w:val="00184713"/>
    <w:rsid w:val="0018492B"/>
    <w:rsid w:val="00185023"/>
    <w:rsid w:val="001852BB"/>
    <w:rsid w:val="001857B6"/>
    <w:rsid w:val="001862C3"/>
    <w:rsid w:val="00186581"/>
    <w:rsid w:val="0018680E"/>
    <w:rsid w:val="001869C7"/>
    <w:rsid w:val="00186C45"/>
    <w:rsid w:val="00186D76"/>
    <w:rsid w:val="00186D88"/>
    <w:rsid w:val="0018728D"/>
    <w:rsid w:val="00187338"/>
    <w:rsid w:val="0018754D"/>
    <w:rsid w:val="00187B1C"/>
    <w:rsid w:val="00187E63"/>
    <w:rsid w:val="00187E86"/>
    <w:rsid w:val="00190815"/>
    <w:rsid w:val="0019084E"/>
    <w:rsid w:val="00190DA9"/>
    <w:rsid w:val="00191137"/>
    <w:rsid w:val="00191655"/>
    <w:rsid w:val="0019165A"/>
    <w:rsid w:val="00191934"/>
    <w:rsid w:val="00191F94"/>
    <w:rsid w:val="001922FD"/>
    <w:rsid w:val="001926BD"/>
    <w:rsid w:val="00192783"/>
    <w:rsid w:val="00192830"/>
    <w:rsid w:val="001933E5"/>
    <w:rsid w:val="0019346D"/>
    <w:rsid w:val="00193CFF"/>
    <w:rsid w:val="00194185"/>
    <w:rsid w:val="00194301"/>
    <w:rsid w:val="00194776"/>
    <w:rsid w:val="00194A41"/>
    <w:rsid w:val="00194A68"/>
    <w:rsid w:val="00194D2D"/>
    <w:rsid w:val="00195160"/>
    <w:rsid w:val="001953AB"/>
    <w:rsid w:val="00196199"/>
    <w:rsid w:val="00196359"/>
    <w:rsid w:val="001972D8"/>
    <w:rsid w:val="0019746E"/>
    <w:rsid w:val="0019780C"/>
    <w:rsid w:val="00197D48"/>
    <w:rsid w:val="00197DE8"/>
    <w:rsid w:val="001A0344"/>
    <w:rsid w:val="001A0345"/>
    <w:rsid w:val="001A0379"/>
    <w:rsid w:val="001A03FE"/>
    <w:rsid w:val="001A0549"/>
    <w:rsid w:val="001A0829"/>
    <w:rsid w:val="001A0854"/>
    <w:rsid w:val="001A12AA"/>
    <w:rsid w:val="001A130E"/>
    <w:rsid w:val="001A13AF"/>
    <w:rsid w:val="001A13DF"/>
    <w:rsid w:val="001A16B8"/>
    <w:rsid w:val="001A194C"/>
    <w:rsid w:val="001A1B30"/>
    <w:rsid w:val="001A2006"/>
    <w:rsid w:val="001A2367"/>
    <w:rsid w:val="001A2387"/>
    <w:rsid w:val="001A25FA"/>
    <w:rsid w:val="001A267A"/>
    <w:rsid w:val="001A2A2C"/>
    <w:rsid w:val="001A2BCD"/>
    <w:rsid w:val="001A30C5"/>
    <w:rsid w:val="001A34D0"/>
    <w:rsid w:val="001A35FD"/>
    <w:rsid w:val="001A3617"/>
    <w:rsid w:val="001A361D"/>
    <w:rsid w:val="001A3BE9"/>
    <w:rsid w:val="001A3E9E"/>
    <w:rsid w:val="001A4092"/>
    <w:rsid w:val="001A41E5"/>
    <w:rsid w:val="001A420C"/>
    <w:rsid w:val="001A44BD"/>
    <w:rsid w:val="001A454E"/>
    <w:rsid w:val="001A497F"/>
    <w:rsid w:val="001A5042"/>
    <w:rsid w:val="001A52A5"/>
    <w:rsid w:val="001A537A"/>
    <w:rsid w:val="001A544D"/>
    <w:rsid w:val="001A549D"/>
    <w:rsid w:val="001A54B5"/>
    <w:rsid w:val="001A57F9"/>
    <w:rsid w:val="001A58A4"/>
    <w:rsid w:val="001A5EFE"/>
    <w:rsid w:val="001A637F"/>
    <w:rsid w:val="001A68A5"/>
    <w:rsid w:val="001A6C1C"/>
    <w:rsid w:val="001A6E33"/>
    <w:rsid w:val="001A741C"/>
    <w:rsid w:val="001A748E"/>
    <w:rsid w:val="001A7CA4"/>
    <w:rsid w:val="001A7F0D"/>
    <w:rsid w:val="001A7F1B"/>
    <w:rsid w:val="001B06A3"/>
    <w:rsid w:val="001B0AB7"/>
    <w:rsid w:val="001B0CCF"/>
    <w:rsid w:val="001B0E03"/>
    <w:rsid w:val="001B0F91"/>
    <w:rsid w:val="001B1CF2"/>
    <w:rsid w:val="001B1E06"/>
    <w:rsid w:val="001B2024"/>
    <w:rsid w:val="001B218E"/>
    <w:rsid w:val="001B25FD"/>
    <w:rsid w:val="001B27B0"/>
    <w:rsid w:val="001B2D59"/>
    <w:rsid w:val="001B2DAC"/>
    <w:rsid w:val="001B2E2D"/>
    <w:rsid w:val="001B3795"/>
    <w:rsid w:val="001B3A35"/>
    <w:rsid w:val="001B3AA1"/>
    <w:rsid w:val="001B3BDD"/>
    <w:rsid w:val="001B40EB"/>
    <w:rsid w:val="001B42BF"/>
    <w:rsid w:val="001B432E"/>
    <w:rsid w:val="001B4531"/>
    <w:rsid w:val="001B4686"/>
    <w:rsid w:val="001B46D2"/>
    <w:rsid w:val="001B4853"/>
    <w:rsid w:val="001B4A2D"/>
    <w:rsid w:val="001B4AB7"/>
    <w:rsid w:val="001B4FEB"/>
    <w:rsid w:val="001B5036"/>
    <w:rsid w:val="001B5243"/>
    <w:rsid w:val="001B5F31"/>
    <w:rsid w:val="001B6098"/>
    <w:rsid w:val="001B6BA5"/>
    <w:rsid w:val="001B6C43"/>
    <w:rsid w:val="001B6F0B"/>
    <w:rsid w:val="001B70E8"/>
    <w:rsid w:val="001B733C"/>
    <w:rsid w:val="001B77CD"/>
    <w:rsid w:val="001B7985"/>
    <w:rsid w:val="001B79BA"/>
    <w:rsid w:val="001B7A11"/>
    <w:rsid w:val="001C0765"/>
    <w:rsid w:val="001C0E75"/>
    <w:rsid w:val="001C0ED4"/>
    <w:rsid w:val="001C1233"/>
    <w:rsid w:val="001C12A4"/>
    <w:rsid w:val="001C12F9"/>
    <w:rsid w:val="001C28D8"/>
    <w:rsid w:val="001C3423"/>
    <w:rsid w:val="001C352E"/>
    <w:rsid w:val="001C3DB3"/>
    <w:rsid w:val="001C3DC8"/>
    <w:rsid w:val="001C40CF"/>
    <w:rsid w:val="001C418E"/>
    <w:rsid w:val="001C41E7"/>
    <w:rsid w:val="001C4FBB"/>
    <w:rsid w:val="001C5239"/>
    <w:rsid w:val="001C56C1"/>
    <w:rsid w:val="001C5832"/>
    <w:rsid w:val="001C58DA"/>
    <w:rsid w:val="001C59D0"/>
    <w:rsid w:val="001C5B00"/>
    <w:rsid w:val="001C5B47"/>
    <w:rsid w:val="001C6099"/>
    <w:rsid w:val="001C6752"/>
    <w:rsid w:val="001C6B50"/>
    <w:rsid w:val="001C6DBC"/>
    <w:rsid w:val="001C6FE6"/>
    <w:rsid w:val="001C753F"/>
    <w:rsid w:val="001C75DB"/>
    <w:rsid w:val="001C764E"/>
    <w:rsid w:val="001C7989"/>
    <w:rsid w:val="001C7D51"/>
    <w:rsid w:val="001C7DF2"/>
    <w:rsid w:val="001C7F0B"/>
    <w:rsid w:val="001D0156"/>
    <w:rsid w:val="001D0203"/>
    <w:rsid w:val="001D0961"/>
    <w:rsid w:val="001D0A90"/>
    <w:rsid w:val="001D0C95"/>
    <w:rsid w:val="001D0E57"/>
    <w:rsid w:val="001D1530"/>
    <w:rsid w:val="001D1A62"/>
    <w:rsid w:val="001D1DCB"/>
    <w:rsid w:val="001D28A1"/>
    <w:rsid w:val="001D28B7"/>
    <w:rsid w:val="001D2BDA"/>
    <w:rsid w:val="001D2C85"/>
    <w:rsid w:val="001D2D75"/>
    <w:rsid w:val="001D2DE1"/>
    <w:rsid w:val="001D3383"/>
    <w:rsid w:val="001D383D"/>
    <w:rsid w:val="001D3C63"/>
    <w:rsid w:val="001D3D1B"/>
    <w:rsid w:val="001D44B9"/>
    <w:rsid w:val="001D470E"/>
    <w:rsid w:val="001D4773"/>
    <w:rsid w:val="001D4B42"/>
    <w:rsid w:val="001D4D34"/>
    <w:rsid w:val="001D4DB4"/>
    <w:rsid w:val="001D5250"/>
    <w:rsid w:val="001D57A4"/>
    <w:rsid w:val="001D5A27"/>
    <w:rsid w:val="001D60DA"/>
    <w:rsid w:val="001D61BD"/>
    <w:rsid w:val="001D6375"/>
    <w:rsid w:val="001D65F3"/>
    <w:rsid w:val="001D7151"/>
    <w:rsid w:val="001D772A"/>
    <w:rsid w:val="001E016D"/>
    <w:rsid w:val="001E165B"/>
    <w:rsid w:val="001E174A"/>
    <w:rsid w:val="001E18CC"/>
    <w:rsid w:val="001E19C3"/>
    <w:rsid w:val="001E1B16"/>
    <w:rsid w:val="001E228A"/>
    <w:rsid w:val="001E25B6"/>
    <w:rsid w:val="001E2775"/>
    <w:rsid w:val="001E2A31"/>
    <w:rsid w:val="001E2A5D"/>
    <w:rsid w:val="001E2B69"/>
    <w:rsid w:val="001E2C0C"/>
    <w:rsid w:val="001E2EBD"/>
    <w:rsid w:val="001E3231"/>
    <w:rsid w:val="001E340A"/>
    <w:rsid w:val="001E3FA6"/>
    <w:rsid w:val="001E3FBF"/>
    <w:rsid w:val="001E4ABF"/>
    <w:rsid w:val="001E4D53"/>
    <w:rsid w:val="001E5328"/>
    <w:rsid w:val="001E532F"/>
    <w:rsid w:val="001E54E1"/>
    <w:rsid w:val="001E5771"/>
    <w:rsid w:val="001E5965"/>
    <w:rsid w:val="001E5C69"/>
    <w:rsid w:val="001E5FF5"/>
    <w:rsid w:val="001E63CA"/>
    <w:rsid w:val="001E69F8"/>
    <w:rsid w:val="001E6AAD"/>
    <w:rsid w:val="001E6AB7"/>
    <w:rsid w:val="001E6DD6"/>
    <w:rsid w:val="001E6E55"/>
    <w:rsid w:val="001E714A"/>
    <w:rsid w:val="001E7855"/>
    <w:rsid w:val="001E787C"/>
    <w:rsid w:val="001E7919"/>
    <w:rsid w:val="001E79DD"/>
    <w:rsid w:val="001E79E4"/>
    <w:rsid w:val="001F0038"/>
    <w:rsid w:val="001F0197"/>
    <w:rsid w:val="001F0588"/>
    <w:rsid w:val="001F0943"/>
    <w:rsid w:val="001F096F"/>
    <w:rsid w:val="001F09DE"/>
    <w:rsid w:val="001F0B94"/>
    <w:rsid w:val="001F1337"/>
    <w:rsid w:val="001F1782"/>
    <w:rsid w:val="001F1798"/>
    <w:rsid w:val="001F1991"/>
    <w:rsid w:val="001F19EF"/>
    <w:rsid w:val="001F1A15"/>
    <w:rsid w:val="001F1ADA"/>
    <w:rsid w:val="001F1BB0"/>
    <w:rsid w:val="001F1E41"/>
    <w:rsid w:val="001F1FD2"/>
    <w:rsid w:val="001F2368"/>
    <w:rsid w:val="001F23B3"/>
    <w:rsid w:val="001F2524"/>
    <w:rsid w:val="001F285F"/>
    <w:rsid w:val="001F2924"/>
    <w:rsid w:val="001F2A8E"/>
    <w:rsid w:val="001F3056"/>
    <w:rsid w:val="001F30DD"/>
    <w:rsid w:val="001F3792"/>
    <w:rsid w:val="001F38FE"/>
    <w:rsid w:val="001F4051"/>
    <w:rsid w:val="001F4074"/>
    <w:rsid w:val="001F457A"/>
    <w:rsid w:val="001F4685"/>
    <w:rsid w:val="001F47D3"/>
    <w:rsid w:val="001F4A2A"/>
    <w:rsid w:val="001F4EBC"/>
    <w:rsid w:val="001F4FE2"/>
    <w:rsid w:val="001F5777"/>
    <w:rsid w:val="001F5833"/>
    <w:rsid w:val="001F5BB3"/>
    <w:rsid w:val="001F6594"/>
    <w:rsid w:val="001F65BD"/>
    <w:rsid w:val="001F668B"/>
    <w:rsid w:val="001F673A"/>
    <w:rsid w:val="001F72FB"/>
    <w:rsid w:val="001F7497"/>
    <w:rsid w:val="001F7504"/>
    <w:rsid w:val="001F7602"/>
    <w:rsid w:val="001F78F5"/>
    <w:rsid w:val="001F7AA4"/>
    <w:rsid w:val="00200044"/>
    <w:rsid w:val="002000D5"/>
    <w:rsid w:val="002003EA"/>
    <w:rsid w:val="00200476"/>
    <w:rsid w:val="00200955"/>
    <w:rsid w:val="00200ADE"/>
    <w:rsid w:val="00200B2E"/>
    <w:rsid w:val="00201A42"/>
    <w:rsid w:val="00201C23"/>
    <w:rsid w:val="00201EB4"/>
    <w:rsid w:val="002023B4"/>
    <w:rsid w:val="0020241D"/>
    <w:rsid w:val="0020288F"/>
    <w:rsid w:val="00202B33"/>
    <w:rsid w:val="00202B5D"/>
    <w:rsid w:val="00202D2E"/>
    <w:rsid w:val="0020352F"/>
    <w:rsid w:val="002035F5"/>
    <w:rsid w:val="00203727"/>
    <w:rsid w:val="00203BED"/>
    <w:rsid w:val="00203D20"/>
    <w:rsid w:val="00203D66"/>
    <w:rsid w:val="00203EF0"/>
    <w:rsid w:val="00204588"/>
    <w:rsid w:val="00204C18"/>
    <w:rsid w:val="00204E9C"/>
    <w:rsid w:val="0020531E"/>
    <w:rsid w:val="00205530"/>
    <w:rsid w:val="0020571C"/>
    <w:rsid w:val="00205A56"/>
    <w:rsid w:val="00205B1E"/>
    <w:rsid w:val="00205B5B"/>
    <w:rsid w:val="00205BD5"/>
    <w:rsid w:val="00205C47"/>
    <w:rsid w:val="00205F48"/>
    <w:rsid w:val="00205F9E"/>
    <w:rsid w:val="0020614C"/>
    <w:rsid w:val="002062A6"/>
    <w:rsid w:val="0020668D"/>
    <w:rsid w:val="0020685F"/>
    <w:rsid w:val="00206C1F"/>
    <w:rsid w:val="00206C79"/>
    <w:rsid w:val="00206CAB"/>
    <w:rsid w:val="00206D57"/>
    <w:rsid w:val="00206FD2"/>
    <w:rsid w:val="0020737F"/>
    <w:rsid w:val="002077E8"/>
    <w:rsid w:val="00207925"/>
    <w:rsid w:val="002079F2"/>
    <w:rsid w:val="00207BD8"/>
    <w:rsid w:val="00210189"/>
    <w:rsid w:val="002101EE"/>
    <w:rsid w:val="00210274"/>
    <w:rsid w:val="00210294"/>
    <w:rsid w:val="00210408"/>
    <w:rsid w:val="0021047A"/>
    <w:rsid w:val="00210783"/>
    <w:rsid w:val="0021092D"/>
    <w:rsid w:val="00210F56"/>
    <w:rsid w:val="00210FA2"/>
    <w:rsid w:val="0021121E"/>
    <w:rsid w:val="00211260"/>
    <w:rsid w:val="002113B5"/>
    <w:rsid w:val="00211A22"/>
    <w:rsid w:val="00211EE3"/>
    <w:rsid w:val="00211EF2"/>
    <w:rsid w:val="002128C4"/>
    <w:rsid w:val="0021292C"/>
    <w:rsid w:val="00212DA1"/>
    <w:rsid w:val="00212F61"/>
    <w:rsid w:val="00212F97"/>
    <w:rsid w:val="002130B8"/>
    <w:rsid w:val="002130DA"/>
    <w:rsid w:val="00213725"/>
    <w:rsid w:val="002137A0"/>
    <w:rsid w:val="00213A6F"/>
    <w:rsid w:val="00213BAB"/>
    <w:rsid w:val="00213D49"/>
    <w:rsid w:val="00213E3B"/>
    <w:rsid w:val="00213E60"/>
    <w:rsid w:val="002140A9"/>
    <w:rsid w:val="00214165"/>
    <w:rsid w:val="00214191"/>
    <w:rsid w:val="002141DC"/>
    <w:rsid w:val="002142E4"/>
    <w:rsid w:val="00214436"/>
    <w:rsid w:val="00214637"/>
    <w:rsid w:val="00215187"/>
    <w:rsid w:val="002151C2"/>
    <w:rsid w:val="00215293"/>
    <w:rsid w:val="002152DA"/>
    <w:rsid w:val="0021531F"/>
    <w:rsid w:val="002153AE"/>
    <w:rsid w:val="002155B2"/>
    <w:rsid w:val="00215B58"/>
    <w:rsid w:val="00215FC5"/>
    <w:rsid w:val="0021626E"/>
    <w:rsid w:val="002163C9"/>
    <w:rsid w:val="0021677A"/>
    <w:rsid w:val="00216A50"/>
    <w:rsid w:val="00216AFA"/>
    <w:rsid w:val="00217096"/>
    <w:rsid w:val="00217171"/>
    <w:rsid w:val="00217C12"/>
    <w:rsid w:val="00217F28"/>
    <w:rsid w:val="0022000C"/>
    <w:rsid w:val="002200D3"/>
    <w:rsid w:val="00220279"/>
    <w:rsid w:val="0022061E"/>
    <w:rsid w:val="00220B4F"/>
    <w:rsid w:val="00220C36"/>
    <w:rsid w:val="00220DB6"/>
    <w:rsid w:val="0022120F"/>
    <w:rsid w:val="002212EF"/>
    <w:rsid w:val="002214B9"/>
    <w:rsid w:val="0022191F"/>
    <w:rsid w:val="00221CA0"/>
    <w:rsid w:val="00221E01"/>
    <w:rsid w:val="00221E52"/>
    <w:rsid w:val="00221EB6"/>
    <w:rsid w:val="00222166"/>
    <w:rsid w:val="00222624"/>
    <w:rsid w:val="002228AE"/>
    <w:rsid w:val="002229D0"/>
    <w:rsid w:val="00222BE4"/>
    <w:rsid w:val="00222C0F"/>
    <w:rsid w:val="00223BF1"/>
    <w:rsid w:val="0022438A"/>
    <w:rsid w:val="00224900"/>
    <w:rsid w:val="00224DAA"/>
    <w:rsid w:val="00224EEB"/>
    <w:rsid w:val="002250AF"/>
    <w:rsid w:val="002250E6"/>
    <w:rsid w:val="0022521B"/>
    <w:rsid w:val="00225485"/>
    <w:rsid w:val="002258B3"/>
    <w:rsid w:val="0022608B"/>
    <w:rsid w:val="0022676A"/>
    <w:rsid w:val="00226862"/>
    <w:rsid w:val="00226D4C"/>
    <w:rsid w:val="00226DBF"/>
    <w:rsid w:val="00226DF9"/>
    <w:rsid w:val="00226E28"/>
    <w:rsid w:val="002271EA"/>
    <w:rsid w:val="002273AC"/>
    <w:rsid w:val="002276EA"/>
    <w:rsid w:val="00227884"/>
    <w:rsid w:val="00227B5D"/>
    <w:rsid w:val="00227B9C"/>
    <w:rsid w:val="00230A98"/>
    <w:rsid w:val="00230CDA"/>
    <w:rsid w:val="00230DCC"/>
    <w:rsid w:val="00231417"/>
    <w:rsid w:val="002315F6"/>
    <w:rsid w:val="0023164F"/>
    <w:rsid w:val="0023179A"/>
    <w:rsid w:val="0023186E"/>
    <w:rsid w:val="00231B31"/>
    <w:rsid w:val="00231BE8"/>
    <w:rsid w:val="00231D07"/>
    <w:rsid w:val="002323B8"/>
    <w:rsid w:val="002324D6"/>
    <w:rsid w:val="002326BF"/>
    <w:rsid w:val="00232B3C"/>
    <w:rsid w:val="00232DF5"/>
    <w:rsid w:val="00233701"/>
    <w:rsid w:val="00233B9B"/>
    <w:rsid w:val="002343E2"/>
    <w:rsid w:val="00234754"/>
    <w:rsid w:val="002358E3"/>
    <w:rsid w:val="002359CB"/>
    <w:rsid w:val="00235A74"/>
    <w:rsid w:val="00235C50"/>
    <w:rsid w:val="002360F9"/>
    <w:rsid w:val="002362E3"/>
    <w:rsid w:val="0023675C"/>
    <w:rsid w:val="00237066"/>
    <w:rsid w:val="002371CF"/>
    <w:rsid w:val="00237CD1"/>
    <w:rsid w:val="00237EE3"/>
    <w:rsid w:val="00240501"/>
    <w:rsid w:val="00240503"/>
    <w:rsid w:val="0024059F"/>
    <w:rsid w:val="00241249"/>
    <w:rsid w:val="00241305"/>
    <w:rsid w:val="00241898"/>
    <w:rsid w:val="00241B43"/>
    <w:rsid w:val="00241B9B"/>
    <w:rsid w:val="00242134"/>
    <w:rsid w:val="00242257"/>
    <w:rsid w:val="002423B4"/>
    <w:rsid w:val="002424AC"/>
    <w:rsid w:val="002426B3"/>
    <w:rsid w:val="0024281C"/>
    <w:rsid w:val="00242A98"/>
    <w:rsid w:val="00242C82"/>
    <w:rsid w:val="00242EFE"/>
    <w:rsid w:val="00242F78"/>
    <w:rsid w:val="00243146"/>
    <w:rsid w:val="002431AD"/>
    <w:rsid w:val="00243267"/>
    <w:rsid w:val="0024370B"/>
    <w:rsid w:val="00243723"/>
    <w:rsid w:val="002438E3"/>
    <w:rsid w:val="00243AD5"/>
    <w:rsid w:val="00243DB7"/>
    <w:rsid w:val="002442E3"/>
    <w:rsid w:val="002442E5"/>
    <w:rsid w:val="002444EA"/>
    <w:rsid w:val="00244756"/>
    <w:rsid w:val="002451F4"/>
    <w:rsid w:val="002456CE"/>
    <w:rsid w:val="002458B3"/>
    <w:rsid w:val="00246139"/>
    <w:rsid w:val="0024629A"/>
    <w:rsid w:val="00246450"/>
    <w:rsid w:val="00246505"/>
    <w:rsid w:val="002465B3"/>
    <w:rsid w:val="00246F4B"/>
    <w:rsid w:val="00247162"/>
    <w:rsid w:val="00247186"/>
    <w:rsid w:val="002472B7"/>
    <w:rsid w:val="00247315"/>
    <w:rsid w:val="00247625"/>
    <w:rsid w:val="00247838"/>
    <w:rsid w:val="00247B1A"/>
    <w:rsid w:val="00247D45"/>
    <w:rsid w:val="00247EB3"/>
    <w:rsid w:val="00250078"/>
    <w:rsid w:val="002504D0"/>
    <w:rsid w:val="00250E89"/>
    <w:rsid w:val="00250FCC"/>
    <w:rsid w:val="002511F0"/>
    <w:rsid w:val="002513D4"/>
    <w:rsid w:val="00251458"/>
    <w:rsid w:val="0025219D"/>
    <w:rsid w:val="002524A0"/>
    <w:rsid w:val="0025266D"/>
    <w:rsid w:val="002527A3"/>
    <w:rsid w:val="00252F4E"/>
    <w:rsid w:val="00253499"/>
    <w:rsid w:val="00253C19"/>
    <w:rsid w:val="00253C95"/>
    <w:rsid w:val="00253CF8"/>
    <w:rsid w:val="002543D4"/>
    <w:rsid w:val="00254797"/>
    <w:rsid w:val="002547BA"/>
    <w:rsid w:val="002548A1"/>
    <w:rsid w:val="00254DCE"/>
    <w:rsid w:val="0025544A"/>
    <w:rsid w:val="00255637"/>
    <w:rsid w:val="00255643"/>
    <w:rsid w:val="00255A87"/>
    <w:rsid w:val="00255B6C"/>
    <w:rsid w:val="00255E1C"/>
    <w:rsid w:val="00255E79"/>
    <w:rsid w:val="00255EC7"/>
    <w:rsid w:val="0025609F"/>
    <w:rsid w:val="0025657A"/>
    <w:rsid w:val="002566BB"/>
    <w:rsid w:val="00256F91"/>
    <w:rsid w:val="00257681"/>
    <w:rsid w:val="00257688"/>
    <w:rsid w:val="0025787C"/>
    <w:rsid w:val="002578CD"/>
    <w:rsid w:val="00257F40"/>
    <w:rsid w:val="00257FE5"/>
    <w:rsid w:val="0026075D"/>
    <w:rsid w:val="00260822"/>
    <w:rsid w:val="00260AC3"/>
    <w:rsid w:val="00260B9F"/>
    <w:rsid w:val="0026203F"/>
    <w:rsid w:val="002620BB"/>
    <w:rsid w:val="00262558"/>
    <w:rsid w:val="002629F1"/>
    <w:rsid w:val="00262D88"/>
    <w:rsid w:val="00262F63"/>
    <w:rsid w:val="002633B5"/>
    <w:rsid w:val="0026350C"/>
    <w:rsid w:val="002636AA"/>
    <w:rsid w:val="00263740"/>
    <w:rsid w:val="00263D07"/>
    <w:rsid w:val="00263D2C"/>
    <w:rsid w:val="00263EB9"/>
    <w:rsid w:val="002646D2"/>
    <w:rsid w:val="00264862"/>
    <w:rsid w:val="002649DB"/>
    <w:rsid w:val="00264C5E"/>
    <w:rsid w:val="00264DC1"/>
    <w:rsid w:val="0026536A"/>
    <w:rsid w:val="00265615"/>
    <w:rsid w:val="00265685"/>
    <w:rsid w:val="002656BE"/>
    <w:rsid w:val="00265DB4"/>
    <w:rsid w:val="002662CC"/>
    <w:rsid w:val="0026734E"/>
    <w:rsid w:val="002674DF"/>
    <w:rsid w:val="0026775D"/>
    <w:rsid w:val="00267900"/>
    <w:rsid w:val="00267B13"/>
    <w:rsid w:val="0027011F"/>
    <w:rsid w:val="002704FA"/>
    <w:rsid w:val="00270797"/>
    <w:rsid w:val="00270869"/>
    <w:rsid w:val="0027086E"/>
    <w:rsid w:val="00270AF6"/>
    <w:rsid w:val="00270C74"/>
    <w:rsid w:val="00270E17"/>
    <w:rsid w:val="00270E46"/>
    <w:rsid w:val="002714D2"/>
    <w:rsid w:val="00271827"/>
    <w:rsid w:val="0027196A"/>
    <w:rsid w:val="00271CB3"/>
    <w:rsid w:val="0027205F"/>
    <w:rsid w:val="0027209D"/>
    <w:rsid w:val="002720E1"/>
    <w:rsid w:val="0027258C"/>
    <w:rsid w:val="002727B8"/>
    <w:rsid w:val="00272851"/>
    <w:rsid w:val="00272A0B"/>
    <w:rsid w:val="00272BF3"/>
    <w:rsid w:val="00272F70"/>
    <w:rsid w:val="0027358C"/>
    <w:rsid w:val="00273AB2"/>
    <w:rsid w:val="00273C8C"/>
    <w:rsid w:val="00273D88"/>
    <w:rsid w:val="0027476D"/>
    <w:rsid w:val="002756EE"/>
    <w:rsid w:val="002758DC"/>
    <w:rsid w:val="00275919"/>
    <w:rsid w:val="00275CA0"/>
    <w:rsid w:val="00276242"/>
    <w:rsid w:val="00276616"/>
    <w:rsid w:val="002766F7"/>
    <w:rsid w:val="002769F7"/>
    <w:rsid w:val="00276EB3"/>
    <w:rsid w:val="0027726F"/>
    <w:rsid w:val="00277725"/>
    <w:rsid w:val="0027781D"/>
    <w:rsid w:val="00277952"/>
    <w:rsid w:val="00277E07"/>
    <w:rsid w:val="00277FAB"/>
    <w:rsid w:val="002800DE"/>
    <w:rsid w:val="002800FA"/>
    <w:rsid w:val="0028033B"/>
    <w:rsid w:val="00280510"/>
    <w:rsid w:val="0028096B"/>
    <w:rsid w:val="00280AA1"/>
    <w:rsid w:val="00280B27"/>
    <w:rsid w:val="00280CB9"/>
    <w:rsid w:val="00280E56"/>
    <w:rsid w:val="00280FD0"/>
    <w:rsid w:val="002812A3"/>
    <w:rsid w:val="00281403"/>
    <w:rsid w:val="0028173F"/>
    <w:rsid w:val="00281769"/>
    <w:rsid w:val="00281EEA"/>
    <w:rsid w:val="00281F00"/>
    <w:rsid w:val="00281F19"/>
    <w:rsid w:val="0028238D"/>
    <w:rsid w:val="00282746"/>
    <w:rsid w:val="0028356D"/>
    <w:rsid w:val="00283FF6"/>
    <w:rsid w:val="00284241"/>
    <w:rsid w:val="002848B4"/>
    <w:rsid w:val="0028507F"/>
    <w:rsid w:val="00285248"/>
    <w:rsid w:val="00285250"/>
    <w:rsid w:val="002854D0"/>
    <w:rsid w:val="00285538"/>
    <w:rsid w:val="002858C9"/>
    <w:rsid w:val="00285AAA"/>
    <w:rsid w:val="00285FB7"/>
    <w:rsid w:val="00286059"/>
    <w:rsid w:val="002869F2"/>
    <w:rsid w:val="00286DB6"/>
    <w:rsid w:val="00286DB9"/>
    <w:rsid w:val="00286DC2"/>
    <w:rsid w:val="00287336"/>
    <w:rsid w:val="00287601"/>
    <w:rsid w:val="002876BB"/>
    <w:rsid w:val="002876E2"/>
    <w:rsid w:val="00287749"/>
    <w:rsid w:val="002878D8"/>
    <w:rsid w:val="002878F4"/>
    <w:rsid w:val="00287A82"/>
    <w:rsid w:val="00287B9A"/>
    <w:rsid w:val="00287D36"/>
    <w:rsid w:val="00287E16"/>
    <w:rsid w:val="00287EA2"/>
    <w:rsid w:val="00290A01"/>
    <w:rsid w:val="00290A62"/>
    <w:rsid w:val="0029152F"/>
    <w:rsid w:val="00291ACF"/>
    <w:rsid w:val="00291B4F"/>
    <w:rsid w:val="00291E51"/>
    <w:rsid w:val="00291EB4"/>
    <w:rsid w:val="002925DE"/>
    <w:rsid w:val="002925E0"/>
    <w:rsid w:val="0029266C"/>
    <w:rsid w:val="00292708"/>
    <w:rsid w:val="00292823"/>
    <w:rsid w:val="00292DE5"/>
    <w:rsid w:val="00293956"/>
    <w:rsid w:val="00293BB0"/>
    <w:rsid w:val="00294162"/>
    <w:rsid w:val="00294164"/>
    <w:rsid w:val="0029425A"/>
    <w:rsid w:val="00294FF2"/>
    <w:rsid w:val="0029513D"/>
    <w:rsid w:val="0029527C"/>
    <w:rsid w:val="00295598"/>
    <w:rsid w:val="002955C1"/>
    <w:rsid w:val="00295988"/>
    <w:rsid w:val="00295A73"/>
    <w:rsid w:val="00295C15"/>
    <w:rsid w:val="00295CD6"/>
    <w:rsid w:val="00296095"/>
    <w:rsid w:val="00296658"/>
    <w:rsid w:val="002967E7"/>
    <w:rsid w:val="00296860"/>
    <w:rsid w:val="00296DF3"/>
    <w:rsid w:val="00297083"/>
    <w:rsid w:val="0029724D"/>
    <w:rsid w:val="002973D8"/>
    <w:rsid w:val="0029757B"/>
    <w:rsid w:val="0029759A"/>
    <w:rsid w:val="00297695"/>
    <w:rsid w:val="002976AD"/>
    <w:rsid w:val="00297E34"/>
    <w:rsid w:val="00297EED"/>
    <w:rsid w:val="002A0264"/>
    <w:rsid w:val="002A1125"/>
    <w:rsid w:val="002A138A"/>
    <w:rsid w:val="002A180F"/>
    <w:rsid w:val="002A1A00"/>
    <w:rsid w:val="002A1B42"/>
    <w:rsid w:val="002A2048"/>
    <w:rsid w:val="002A2758"/>
    <w:rsid w:val="002A2963"/>
    <w:rsid w:val="002A2D44"/>
    <w:rsid w:val="002A2F80"/>
    <w:rsid w:val="002A30A2"/>
    <w:rsid w:val="002A33E3"/>
    <w:rsid w:val="002A33F9"/>
    <w:rsid w:val="002A3D7B"/>
    <w:rsid w:val="002A43A2"/>
    <w:rsid w:val="002A46AA"/>
    <w:rsid w:val="002A4844"/>
    <w:rsid w:val="002A49DB"/>
    <w:rsid w:val="002A4EA9"/>
    <w:rsid w:val="002A5347"/>
    <w:rsid w:val="002A56E7"/>
    <w:rsid w:val="002A5891"/>
    <w:rsid w:val="002A58C8"/>
    <w:rsid w:val="002A5E59"/>
    <w:rsid w:val="002A65D0"/>
    <w:rsid w:val="002A6B8B"/>
    <w:rsid w:val="002A71ED"/>
    <w:rsid w:val="002A74AE"/>
    <w:rsid w:val="002A7591"/>
    <w:rsid w:val="002A7E10"/>
    <w:rsid w:val="002B0033"/>
    <w:rsid w:val="002B085D"/>
    <w:rsid w:val="002B085F"/>
    <w:rsid w:val="002B0957"/>
    <w:rsid w:val="002B12C3"/>
    <w:rsid w:val="002B1CFB"/>
    <w:rsid w:val="002B2297"/>
    <w:rsid w:val="002B23A8"/>
    <w:rsid w:val="002B2418"/>
    <w:rsid w:val="002B2801"/>
    <w:rsid w:val="002B2A63"/>
    <w:rsid w:val="002B2A93"/>
    <w:rsid w:val="002B3323"/>
    <w:rsid w:val="002B370B"/>
    <w:rsid w:val="002B3B9D"/>
    <w:rsid w:val="002B3C16"/>
    <w:rsid w:val="002B424A"/>
    <w:rsid w:val="002B4BAA"/>
    <w:rsid w:val="002B518F"/>
    <w:rsid w:val="002B54F1"/>
    <w:rsid w:val="002B6680"/>
    <w:rsid w:val="002B6842"/>
    <w:rsid w:val="002B6C67"/>
    <w:rsid w:val="002B6C9A"/>
    <w:rsid w:val="002B6F42"/>
    <w:rsid w:val="002B71CC"/>
    <w:rsid w:val="002B742D"/>
    <w:rsid w:val="002B78A8"/>
    <w:rsid w:val="002B7CAA"/>
    <w:rsid w:val="002B7F72"/>
    <w:rsid w:val="002B7FD4"/>
    <w:rsid w:val="002C020F"/>
    <w:rsid w:val="002C0212"/>
    <w:rsid w:val="002C0DC7"/>
    <w:rsid w:val="002C116C"/>
    <w:rsid w:val="002C120B"/>
    <w:rsid w:val="002C1BC5"/>
    <w:rsid w:val="002C1D91"/>
    <w:rsid w:val="002C238E"/>
    <w:rsid w:val="002C24E4"/>
    <w:rsid w:val="002C276D"/>
    <w:rsid w:val="002C2DD2"/>
    <w:rsid w:val="002C2E45"/>
    <w:rsid w:val="002C2EF7"/>
    <w:rsid w:val="002C30FA"/>
    <w:rsid w:val="002C33CD"/>
    <w:rsid w:val="002C35CB"/>
    <w:rsid w:val="002C35DB"/>
    <w:rsid w:val="002C3754"/>
    <w:rsid w:val="002C37E8"/>
    <w:rsid w:val="002C387F"/>
    <w:rsid w:val="002C38FC"/>
    <w:rsid w:val="002C3FCB"/>
    <w:rsid w:val="002C4067"/>
    <w:rsid w:val="002C4648"/>
    <w:rsid w:val="002C47B2"/>
    <w:rsid w:val="002C5225"/>
    <w:rsid w:val="002C56A2"/>
    <w:rsid w:val="002C5B90"/>
    <w:rsid w:val="002C5FAC"/>
    <w:rsid w:val="002C6B4D"/>
    <w:rsid w:val="002C6B8C"/>
    <w:rsid w:val="002C6D97"/>
    <w:rsid w:val="002C6F26"/>
    <w:rsid w:val="002C715F"/>
    <w:rsid w:val="002C7180"/>
    <w:rsid w:val="002C773E"/>
    <w:rsid w:val="002C7764"/>
    <w:rsid w:val="002C7AD2"/>
    <w:rsid w:val="002C7B1F"/>
    <w:rsid w:val="002C7B3E"/>
    <w:rsid w:val="002C7BCC"/>
    <w:rsid w:val="002C7DAF"/>
    <w:rsid w:val="002C7DC6"/>
    <w:rsid w:val="002D0274"/>
    <w:rsid w:val="002D0459"/>
    <w:rsid w:val="002D0508"/>
    <w:rsid w:val="002D05E1"/>
    <w:rsid w:val="002D0926"/>
    <w:rsid w:val="002D0BC4"/>
    <w:rsid w:val="002D0D10"/>
    <w:rsid w:val="002D1450"/>
    <w:rsid w:val="002D2147"/>
    <w:rsid w:val="002D23F6"/>
    <w:rsid w:val="002D2807"/>
    <w:rsid w:val="002D28EA"/>
    <w:rsid w:val="002D31E8"/>
    <w:rsid w:val="002D3204"/>
    <w:rsid w:val="002D33EE"/>
    <w:rsid w:val="002D3686"/>
    <w:rsid w:val="002D39A6"/>
    <w:rsid w:val="002D40E9"/>
    <w:rsid w:val="002D410E"/>
    <w:rsid w:val="002D447E"/>
    <w:rsid w:val="002D481C"/>
    <w:rsid w:val="002D482F"/>
    <w:rsid w:val="002D4ACA"/>
    <w:rsid w:val="002D4B15"/>
    <w:rsid w:val="002D4E56"/>
    <w:rsid w:val="002D4F50"/>
    <w:rsid w:val="002D5233"/>
    <w:rsid w:val="002D52E9"/>
    <w:rsid w:val="002D58A6"/>
    <w:rsid w:val="002D5A2A"/>
    <w:rsid w:val="002D5BEC"/>
    <w:rsid w:val="002D5CB4"/>
    <w:rsid w:val="002D5DDF"/>
    <w:rsid w:val="002D5F29"/>
    <w:rsid w:val="002D5FA1"/>
    <w:rsid w:val="002D6782"/>
    <w:rsid w:val="002D67EE"/>
    <w:rsid w:val="002D68FB"/>
    <w:rsid w:val="002D6916"/>
    <w:rsid w:val="002D6AFB"/>
    <w:rsid w:val="002D7450"/>
    <w:rsid w:val="002E02A5"/>
    <w:rsid w:val="002E0899"/>
    <w:rsid w:val="002E0F9D"/>
    <w:rsid w:val="002E131C"/>
    <w:rsid w:val="002E1B89"/>
    <w:rsid w:val="002E1DD5"/>
    <w:rsid w:val="002E20BC"/>
    <w:rsid w:val="002E23B4"/>
    <w:rsid w:val="002E28D2"/>
    <w:rsid w:val="002E29A1"/>
    <w:rsid w:val="002E2B20"/>
    <w:rsid w:val="002E2B61"/>
    <w:rsid w:val="002E2BFD"/>
    <w:rsid w:val="002E2DC4"/>
    <w:rsid w:val="002E335A"/>
    <w:rsid w:val="002E39BF"/>
    <w:rsid w:val="002E45FA"/>
    <w:rsid w:val="002E52C2"/>
    <w:rsid w:val="002E5C1D"/>
    <w:rsid w:val="002E6434"/>
    <w:rsid w:val="002E66CF"/>
    <w:rsid w:val="002E6E59"/>
    <w:rsid w:val="002E6ED7"/>
    <w:rsid w:val="002E758D"/>
    <w:rsid w:val="002E76DF"/>
    <w:rsid w:val="002E7927"/>
    <w:rsid w:val="002E7CC2"/>
    <w:rsid w:val="002E7D96"/>
    <w:rsid w:val="002E7DB4"/>
    <w:rsid w:val="002E7DFE"/>
    <w:rsid w:val="002E7EE7"/>
    <w:rsid w:val="002E7FA7"/>
    <w:rsid w:val="002F0463"/>
    <w:rsid w:val="002F073C"/>
    <w:rsid w:val="002F0CCD"/>
    <w:rsid w:val="002F10CA"/>
    <w:rsid w:val="002F10E6"/>
    <w:rsid w:val="002F15A4"/>
    <w:rsid w:val="002F195B"/>
    <w:rsid w:val="002F1A19"/>
    <w:rsid w:val="002F1A9F"/>
    <w:rsid w:val="002F1AB5"/>
    <w:rsid w:val="002F1B1F"/>
    <w:rsid w:val="002F1B29"/>
    <w:rsid w:val="002F1E45"/>
    <w:rsid w:val="002F2883"/>
    <w:rsid w:val="002F36B3"/>
    <w:rsid w:val="002F37E1"/>
    <w:rsid w:val="002F3891"/>
    <w:rsid w:val="002F3B82"/>
    <w:rsid w:val="002F3D2F"/>
    <w:rsid w:val="002F4025"/>
    <w:rsid w:val="002F441F"/>
    <w:rsid w:val="002F4686"/>
    <w:rsid w:val="002F477B"/>
    <w:rsid w:val="002F4ACC"/>
    <w:rsid w:val="002F509E"/>
    <w:rsid w:val="002F50E1"/>
    <w:rsid w:val="002F56E8"/>
    <w:rsid w:val="002F5708"/>
    <w:rsid w:val="002F5D36"/>
    <w:rsid w:val="002F5E76"/>
    <w:rsid w:val="002F5EB4"/>
    <w:rsid w:val="002F5F1F"/>
    <w:rsid w:val="002F610E"/>
    <w:rsid w:val="002F61F5"/>
    <w:rsid w:val="002F641E"/>
    <w:rsid w:val="002F645A"/>
    <w:rsid w:val="002F64FB"/>
    <w:rsid w:val="002F6613"/>
    <w:rsid w:val="002F69E1"/>
    <w:rsid w:val="002F6EB7"/>
    <w:rsid w:val="002F7134"/>
    <w:rsid w:val="002F71EE"/>
    <w:rsid w:val="002F7274"/>
    <w:rsid w:val="002F729E"/>
    <w:rsid w:val="002F72B8"/>
    <w:rsid w:val="002F76FA"/>
    <w:rsid w:val="002F7EF9"/>
    <w:rsid w:val="002F7F7A"/>
    <w:rsid w:val="002F7FC7"/>
    <w:rsid w:val="0030006C"/>
    <w:rsid w:val="003003A5"/>
    <w:rsid w:val="0030052F"/>
    <w:rsid w:val="003005F7"/>
    <w:rsid w:val="00300749"/>
    <w:rsid w:val="00300792"/>
    <w:rsid w:val="0030102A"/>
    <w:rsid w:val="00301334"/>
    <w:rsid w:val="00301394"/>
    <w:rsid w:val="003014E2"/>
    <w:rsid w:val="003014E7"/>
    <w:rsid w:val="0030184D"/>
    <w:rsid w:val="00301A63"/>
    <w:rsid w:val="00302080"/>
    <w:rsid w:val="00302257"/>
    <w:rsid w:val="00302440"/>
    <w:rsid w:val="00302ABC"/>
    <w:rsid w:val="00302BDE"/>
    <w:rsid w:val="0030320D"/>
    <w:rsid w:val="00303848"/>
    <w:rsid w:val="003039B1"/>
    <w:rsid w:val="00303B2D"/>
    <w:rsid w:val="00303C0D"/>
    <w:rsid w:val="00303C6F"/>
    <w:rsid w:val="00303D0D"/>
    <w:rsid w:val="003041E9"/>
    <w:rsid w:val="0030453A"/>
    <w:rsid w:val="0030466C"/>
    <w:rsid w:val="00304972"/>
    <w:rsid w:val="00304CF2"/>
    <w:rsid w:val="003050B4"/>
    <w:rsid w:val="00305370"/>
    <w:rsid w:val="0030579B"/>
    <w:rsid w:val="00305A21"/>
    <w:rsid w:val="00306544"/>
    <w:rsid w:val="003065D1"/>
    <w:rsid w:val="00306864"/>
    <w:rsid w:val="00306A23"/>
    <w:rsid w:val="00306AB4"/>
    <w:rsid w:val="00306B8B"/>
    <w:rsid w:val="00306D2D"/>
    <w:rsid w:val="0030711A"/>
    <w:rsid w:val="003073CD"/>
    <w:rsid w:val="003076A6"/>
    <w:rsid w:val="00307E4D"/>
    <w:rsid w:val="003100C2"/>
    <w:rsid w:val="0031014A"/>
    <w:rsid w:val="003101C2"/>
    <w:rsid w:val="00310553"/>
    <w:rsid w:val="003108AF"/>
    <w:rsid w:val="00311224"/>
    <w:rsid w:val="003113CA"/>
    <w:rsid w:val="0031155F"/>
    <w:rsid w:val="0031169C"/>
    <w:rsid w:val="00311A48"/>
    <w:rsid w:val="00311C6A"/>
    <w:rsid w:val="00311CB9"/>
    <w:rsid w:val="00311DE3"/>
    <w:rsid w:val="00311E38"/>
    <w:rsid w:val="003126C9"/>
    <w:rsid w:val="00312C04"/>
    <w:rsid w:val="00312C5C"/>
    <w:rsid w:val="00313E1F"/>
    <w:rsid w:val="00313EA4"/>
    <w:rsid w:val="00313F08"/>
    <w:rsid w:val="00314034"/>
    <w:rsid w:val="003141DD"/>
    <w:rsid w:val="003143BD"/>
    <w:rsid w:val="00314D8C"/>
    <w:rsid w:val="00314E93"/>
    <w:rsid w:val="00315C9A"/>
    <w:rsid w:val="00315E1A"/>
    <w:rsid w:val="00315F05"/>
    <w:rsid w:val="00316963"/>
    <w:rsid w:val="00317866"/>
    <w:rsid w:val="00317A93"/>
    <w:rsid w:val="00317CD0"/>
    <w:rsid w:val="00317D2C"/>
    <w:rsid w:val="0032024F"/>
    <w:rsid w:val="003206C5"/>
    <w:rsid w:val="00320798"/>
    <w:rsid w:val="00320AAE"/>
    <w:rsid w:val="003211E6"/>
    <w:rsid w:val="003212CC"/>
    <w:rsid w:val="00321AA1"/>
    <w:rsid w:val="00321E0E"/>
    <w:rsid w:val="00322118"/>
    <w:rsid w:val="0032215B"/>
    <w:rsid w:val="003227A2"/>
    <w:rsid w:val="00322AD7"/>
    <w:rsid w:val="00322B03"/>
    <w:rsid w:val="00322BC6"/>
    <w:rsid w:val="00322ED0"/>
    <w:rsid w:val="00322F3E"/>
    <w:rsid w:val="00322FCD"/>
    <w:rsid w:val="0032301E"/>
    <w:rsid w:val="00323468"/>
    <w:rsid w:val="0032377E"/>
    <w:rsid w:val="00323BFA"/>
    <w:rsid w:val="00323C26"/>
    <w:rsid w:val="00323E3F"/>
    <w:rsid w:val="00324333"/>
    <w:rsid w:val="00324A5F"/>
    <w:rsid w:val="00324E3C"/>
    <w:rsid w:val="0032531B"/>
    <w:rsid w:val="00325723"/>
    <w:rsid w:val="00325DA1"/>
    <w:rsid w:val="003260DA"/>
    <w:rsid w:val="003269B6"/>
    <w:rsid w:val="00326D27"/>
    <w:rsid w:val="0032738C"/>
    <w:rsid w:val="003273BA"/>
    <w:rsid w:val="00327A41"/>
    <w:rsid w:val="00327B2F"/>
    <w:rsid w:val="00327C32"/>
    <w:rsid w:val="00327D6F"/>
    <w:rsid w:val="00330B9D"/>
    <w:rsid w:val="00330BDC"/>
    <w:rsid w:val="00330C34"/>
    <w:rsid w:val="003310C6"/>
    <w:rsid w:val="003313FF"/>
    <w:rsid w:val="00331A0B"/>
    <w:rsid w:val="00332276"/>
    <w:rsid w:val="0033257B"/>
    <w:rsid w:val="0033272D"/>
    <w:rsid w:val="00332C3E"/>
    <w:rsid w:val="00332CAF"/>
    <w:rsid w:val="00332E7F"/>
    <w:rsid w:val="00333316"/>
    <w:rsid w:val="0033342E"/>
    <w:rsid w:val="00333B1B"/>
    <w:rsid w:val="00333D5F"/>
    <w:rsid w:val="0033434A"/>
    <w:rsid w:val="00334750"/>
    <w:rsid w:val="00334C79"/>
    <w:rsid w:val="00334C8B"/>
    <w:rsid w:val="00334CB7"/>
    <w:rsid w:val="00334F0B"/>
    <w:rsid w:val="003351E8"/>
    <w:rsid w:val="00335290"/>
    <w:rsid w:val="003352EF"/>
    <w:rsid w:val="003355A3"/>
    <w:rsid w:val="00335CCF"/>
    <w:rsid w:val="00335D9A"/>
    <w:rsid w:val="00336371"/>
    <w:rsid w:val="003363A8"/>
    <w:rsid w:val="00336797"/>
    <w:rsid w:val="00336919"/>
    <w:rsid w:val="00336B62"/>
    <w:rsid w:val="00337123"/>
    <w:rsid w:val="003371EE"/>
    <w:rsid w:val="003373A3"/>
    <w:rsid w:val="00337C93"/>
    <w:rsid w:val="00340075"/>
    <w:rsid w:val="0034018C"/>
    <w:rsid w:val="00340632"/>
    <w:rsid w:val="00341208"/>
    <w:rsid w:val="003412E6"/>
    <w:rsid w:val="00341764"/>
    <w:rsid w:val="00341AA6"/>
    <w:rsid w:val="00341D8A"/>
    <w:rsid w:val="0034227A"/>
    <w:rsid w:val="00342566"/>
    <w:rsid w:val="00342C6F"/>
    <w:rsid w:val="00343350"/>
    <w:rsid w:val="003439F2"/>
    <w:rsid w:val="00343FF5"/>
    <w:rsid w:val="00344748"/>
    <w:rsid w:val="00344B74"/>
    <w:rsid w:val="00344CAB"/>
    <w:rsid w:val="003450BE"/>
    <w:rsid w:val="003451DF"/>
    <w:rsid w:val="0034536C"/>
    <w:rsid w:val="003455D6"/>
    <w:rsid w:val="00345850"/>
    <w:rsid w:val="003458C7"/>
    <w:rsid w:val="00345981"/>
    <w:rsid w:val="00345BB7"/>
    <w:rsid w:val="00345F98"/>
    <w:rsid w:val="003460C9"/>
    <w:rsid w:val="00346962"/>
    <w:rsid w:val="00346C8A"/>
    <w:rsid w:val="00346F13"/>
    <w:rsid w:val="00347367"/>
    <w:rsid w:val="00347457"/>
    <w:rsid w:val="00347514"/>
    <w:rsid w:val="0034766B"/>
    <w:rsid w:val="00347AF4"/>
    <w:rsid w:val="00347C83"/>
    <w:rsid w:val="003504E9"/>
    <w:rsid w:val="0035074D"/>
    <w:rsid w:val="00350790"/>
    <w:rsid w:val="00350795"/>
    <w:rsid w:val="00350A9B"/>
    <w:rsid w:val="00350D66"/>
    <w:rsid w:val="00350E89"/>
    <w:rsid w:val="003510CB"/>
    <w:rsid w:val="00351B9D"/>
    <w:rsid w:val="003523C3"/>
    <w:rsid w:val="00352615"/>
    <w:rsid w:val="00352BD6"/>
    <w:rsid w:val="00352CEF"/>
    <w:rsid w:val="00353406"/>
    <w:rsid w:val="00353459"/>
    <w:rsid w:val="003535BB"/>
    <w:rsid w:val="003538EC"/>
    <w:rsid w:val="0035444D"/>
    <w:rsid w:val="00354455"/>
    <w:rsid w:val="00354CFF"/>
    <w:rsid w:val="00355390"/>
    <w:rsid w:val="003553D1"/>
    <w:rsid w:val="003557EC"/>
    <w:rsid w:val="00355A07"/>
    <w:rsid w:val="00355AF0"/>
    <w:rsid w:val="00356588"/>
    <w:rsid w:val="00356596"/>
    <w:rsid w:val="0035690B"/>
    <w:rsid w:val="00356A33"/>
    <w:rsid w:val="00356A7C"/>
    <w:rsid w:val="00356C1F"/>
    <w:rsid w:val="00357345"/>
    <w:rsid w:val="00357389"/>
    <w:rsid w:val="00357447"/>
    <w:rsid w:val="003575AD"/>
    <w:rsid w:val="0035794B"/>
    <w:rsid w:val="00357D15"/>
    <w:rsid w:val="00357EB1"/>
    <w:rsid w:val="003608C5"/>
    <w:rsid w:val="00360A9D"/>
    <w:rsid w:val="00360B05"/>
    <w:rsid w:val="00360BBA"/>
    <w:rsid w:val="00360D13"/>
    <w:rsid w:val="003611D8"/>
    <w:rsid w:val="0036134D"/>
    <w:rsid w:val="003613BA"/>
    <w:rsid w:val="0036215E"/>
    <w:rsid w:val="003623D0"/>
    <w:rsid w:val="003629B3"/>
    <w:rsid w:val="00362E08"/>
    <w:rsid w:val="00363060"/>
    <w:rsid w:val="003630B7"/>
    <w:rsid w:val="00363159"/>
    <w:rsid w:val="00363252"/>
    <w:rsid w:val="00363370"/>
    <w:rsid w:val="0036359C"/>
    <w:rsid w:val="003635A4"/>
    <w:rsid w:val="0036366B"/>
    <w:rsid w:val="003636AA"/>
    <w:rsid w:val="00363774"/>
    <w:rsid w:val="0036391B"/>
    <w:rsid w:val="0036391C"/>
    <w:rsid w:val="00363A14"/>
    <w:rsid w:val="00363CEC"/>
    <w:rsid w:val="00363F30"/>
    <w:rsid w:val="00363FC3"/>
    <w:rsid w:val="003644FA"/>
    <w:rsid w:val="0036458A"/>
    <w:rsid w:val="003646AD"/>
    <w:rsid w:val="003647C0"/>
    <w:rsid w:val="003647C3"/>
    <w:rsid w:val="00364B4B"/>
    <w:rsid w:val="00364E03"/>
    <w:rsid w:val="003655C7"/>
    <w:rsid w:val="00365844"/>
    <w:rsid w:val="00365885"/>
    <w:rsid w:val="00365891"/>
    <w:rsid w:val="00366321"/>
    <w:rsid w:val="003665C5"/>
    <w:rsid w:val="00366798"/>
    <w:rsid w:val="00366A9E"/>
    <w:rsid w:val="0036701E"/>
    <w:rsid w:val="00367206"/>
    <w:rsid w:val="00370008"/>
    <w:rsid w:val="00370027"/>
    <w:rsid w:val="003702B0"/>
    <w:rsid w:val="00370527"/>
    <w:rsid w:val="0037078E"/>
    <w:rsid w:val="00370E26"/>
    <w:rsid w:val="00370EF8"/>
    <w:rsid w:val="003715AF"/>
    <w:rsid w:val="003717FD"/>
    <w:rsid w:val="003718E5"/>
    <w:rsid w:val="00371AA6"/>
    <w:rsid w:val="00371BFA"/>
    <w:rsid w:val="00371DDC"/>
    <w:rsid w:val="00371DF6"/>
    <w:rsid w:val="003720A3"/>
    <w:rsid w:val="003721D8"/>
    <w:rsid w:val="00372235"/>
    <w:rsid w:val="003722FA"/>
    <w:rsid w:val="00372358"/>
    <w:rsid w:val="0037283D"/>
    <w:rsid w:val="00372C45"/>
    <w:rsid w:val="00372EE5"/>
    <w:rsid w:val="003733A9"/>
    <w:rsid w:val="003734CC"/>
    <w:rsid w:val="00373589"/>
    <w:rsid w:val="003735D2"/>
    <w:rsid w:val="003739FB"/>
    <w:rsid w:val="00373EA7"/>
    <w:rsid w:val="00374D4D"/>
    <w:rsid w:val="00374EB4"/>
    <w:rsid w:val="00375AA7"/>
    <w:rsid w:val="00375F20"/>
    <w:rsid w:val="003763DD"/>
    <w:rsid w:val="00376446"/>
    <w:rsid w:val="0037670A"/>
    <w:rsid w:val="00376B28"/>
    <w:rsid w:val="003770C8"/>
    <w:rsid w:val="00377422"/>
    <w:rsid w:val="00377599"/>
    <w:rsid w:val="003775EC"/>
    <w:rsid w:val="00377C5F"/>
    <w:rsid w:val="003805BC"/>
    <w:rsid w:val="003806C8"/>
    <w:rsid w:val="003807AC"/>
    <w:rsid w:val="00380816"/>
    <w:rsid w:val="00380CC1"/>
    <w:rsid w:val="00380CD8"/>
    <w:rsid w:val="00380DDA"/>
    <w:rsid w:val="00380ECF"/>
    <w:rsid w:val="003815EF"/>
    <w:rsid w:val="003819BA"/>
    <w:rsid w:val="00381B04"/>
    <w:rsid w:val="00381B54"/>
    <w:rsid w:val="00381DD0"/>
    <w:rsid w:val="00382053"/>
    <w:rsid w:val="0038240A"/>
    <w:rsid w:val="0038246C"/>
    <w:rsid w:val="00382765"/>
    <w:rsid w:val="00382922"/>
    <w:rsid w:val="00382F2A"/>
    <w:rsid w:val="00382F40"/>
    <w:rsid w:val="0038315A"/>
    <w:rsid w:val="00383825"/>
    <w:rsid w:val="003838B5"/>
    <w:rsid w:val="003843F1"/>
    <w:rsid w:val="003845FB"/>
    <w:rsid w:val="0038476B"/>
    <w:rsid w:val="003848BA"/>
    <w:rsid w:val="003848F1"/>
    <w:rsid w:val="00384A9D"/>
    <w:rsid w:val="00384DBC"/>
    <w:rsid w:val="00384ECE"/>
    <w:rsid w:val="00385C3D"/>
    <w:rsid w:val="00385DB0"/>
    <w:rsid w:val="00386091"/>
    <w:rsid w:val="003863EC"/>
    <w:rsid w:val="00386622"/>
    <w:rsid w:val="00386659"/>
    <w:rsid w:val="003866DD"/>
    <w:rsid w:val="003869B9"/>
    <w:rsid w:val="00386B47"/>
    <w:rsid w:val="00386DD7"/>
    <w:rsid w:val="00386E8B"/>
    <w:rsid w:val="00386ED6"/>
    <w:rsid w:val="00386FFF"/>
    <w:rsid w:val="0038717B"/>
    <w:rsid w:val="00387B67"/>
    <w:rsid w:val="00387CC4"/>
    <w:rsid w:val="00387EB8"/>
    <w:rsid w:val="00387F9D"/>
    <w:rsid w:val="00390163"/>
    <w:rsid w:val="00390C03"/>
    <w:rsid w:val="00390D81"/>
    <w:rsid w:val="00390E60"/>
    <w:rsid w:val="00390FA3"/>
    <w:rsid w:val="003915A0"/>
    <w:rsid w:val="00391A03"/>
    <w:rsid w:val="00391E80"/>
    <w:rsid w:val="00391FB0"/>
    <w:rsid w:val="00392110"/>
    <w:rsid w:val="00392276"/>
    <w:rsid w:val="00392B4B"/>
    <w:rsid w:val="00392E0D"/>
    <w:rsid w:val="00392F08"/>
    <w:rsid w:val="00393248"/>
    <w:rsid w:val="00393444"/>
    <w:rsid w:val="0039358E"/>
    <w:rsid w:val="0039384F"/>
    <w:rsid w:val="00393C5A"/>
    <w:rsid w:val="003940DB"/>
    <w:rsid w:val="003946C5"/>
    <w:rsid w:val="00394812"/>
    <w:rsid w:val="00394895"/>
    <w:rsid w:val="00394B11"/>
    <w:rsid w:val="00394E5E"/>
    <w:rsid w:val="003950B0"/>
    <w:rsid w:val="003951A6"/>
    <w:rsid w:val="0039553D"/>
    <w:rsid w:val="003955B7"/>
    <w:rsid w:val="00395838"/>
    <w:rsid w:val="00395D81"/>
    <w:rsid w:val="00395E49"/>
    <w:rsid w:val="003964C8"/>
    <w:rsid w:val="00396894"/>
    <w:rsid w:val="003969C7"/>
    <w:rsid w:val="00396A87"/>
    <w:rsid w:val="00396AD6"/>
    <w:rsid w:val="003970D3"/>
    <w:rsid w:val="003977FD"/>
    <w:rsid w:val="00397802"/>
    <w:rsid w:val="00397CA6"/>
    <w:rsid w:val="003A0A58"/>
    <w:rsid w:val="003A0B50"/>
    <w:rsid w:val="003A0D48"/>
    <w:rsid w:val="003A1024"/>
    <w:rsid w:val="003A1293"/>
    <w:rsid w:val="003A1295"/>
    <w:rsid w:val="003A14CA"/>
    <w:rsid w:val="003A14EC"/>
    <w:rsid w:val="003A1A31"/>
    <w:rsid w:val="003A1A7B"/>
    <w:rsid w:val="003A1A8F"/>
    <w:rsid w:val="003A1C02"/>
    <w:rsid w:val="003A1C9D"/>
    <w:rsid w:val="003A20EE"/>
    <w:rsid w:val="003A2632"/>
    <w:rsid w:val="003A2AB7"/>
    <w:rsid w:val="003A3258"/>
    <w:rsid w:val="003A348C"/>
    <w:rsid w:val="003A3A5F"/>
    <w:rsid w:val="003A3CF3"/>
    <w:rsid w:val="003A3F63"/>
    <w:rsid w:val="003A4122"/>
    <w:rsid w:val="003A4273"/>
    <w:rsid w:val="003A4712"/>
    <w:rsid w:val="003A53D2"/>
    <w:rsid w:val="003A5774"/>
    <w:rsid w:val="003A5876"/>
    <w:rsid w:val="003A62E8"/>
    <w:rsid w:val="003A6F02"/>
    <w:rsid w:val="003A6F7C"/>
    <w:rsid w:val="003A7287"/>
    <w:rsid w:val="003A759F"/>
    <w:rsid w:val="003A769E"/>
    <w:rsid w:val="003B01A8"/>
    <w:rsid w:val="003B0263"/>
    <w:rsid w:val="003B05E7"/>
    <w:rsid w:val="003B085B"/>
    <w:rsid w:val="003B0968"/>
    <w:rsid w:val="003B1472"/>
    <w:rsid w:val="003B1815"/>
    <w:rsid w:val="003B1AB9"/>
    <w:rsid w:val="003B2395"/>
    <w:rsid w:val="003B240D"/>
    <w:rsid w:val="003B2465"/>
    <w:rsid w:val="003B284C"/>
    <w:rsid w:val="003B2B05"/>
    <w:rsid w:val="003B2C42"/>
    <w:rsid w:val="003B2CE8"/>
    <w:rsid w:val="003B2F6E"/>
    <w:rsid w:val="003B3625"/>
    <w:rsid w:val="003B3662"/>
    <w:rsid w:val="003B3D49"/>
    <w:rsid w:val="003B3E85"/>
    <w:rsid w:val="003B4110"/>
    <w:rsid w:val="003B42E2"/>
    <w:rsid w:val="003B46D2"/>
    <w:rsid w:val="003B4934"/>
    <w:rsid w:val="003B4D00"/>
    <w:rsid w:val="003B5005"/>
    <w:rsid w:val="003B55DB"/>
    <w:rsid w:val="003B57FC"/>
    <w:rsid w:val="003B5B6E"/>
    <w:rsid w:val="003B5B96"/>
    <w:rsid w:val="003B5CED"/>
    <w:rsid w:val="003B5EE0"/>
    <w:rsid w:val="003B65B3"/>
    <w:rsid w:val="003B691C"/>
    <w:rsid w:val="003B6D0C"/>
    <w:rsid w:val="003B774C"/>
    <w:rsid w:val="003B7999"/>
    <w:rsid w:val="003B7CA7"/>
    <w:rsid w:val="003B7D9D"/>
    <w:rsid w:val="003C00DF"/>
    <w:rsid w:val="003C0439"/>
    <w:rsid w:val="003C0754"/>
    <w:rsid w:val="003C0A87"/>
    <w:rsid w:val="003C0BFF"/>
    <w:rsid w:val="003C1308"/>
    <w:rsid w:val="003C16BD"/>
    <w:rsid w:val="003C22AE"/>
    <w:rsid w:val="003C22DB"/>
    <w:rsid w:val="003C287A"/>
    <w:rsid w:val="003C2A65"/>
    <w:rsid w:val="003C2C16"/>
    <w:rsid w:val="003C2CB2"/>
    <w:rsid w:val="003C2E94"/>
    <w:rsid w:val="003C2EE2"/>
    <w:rsid w:val="003C33DE"/>
    <w:rsid w:val="003C33F9"/>
    <w:rsid w:val="003C388A"/>
    <w:rsid w:val="003C38BC"/>
    <w:rsid w:val="003C3B5A"/>
    <w:rsid w:val="003C3C2A"/>
    <w:rsid w:val="003C40FC"/>
    <w:rsid w:val="003C4799"/>
    <w:rsid w:val="003C4962"/>
    <w:rsid w:val="003C4963"/>
    <w:rsid w:val="003C4FD0"/>
    <w:rsid w:val="003C5477"/>
    <w:rsid w:val="003C59C7"/>
    <w:rsid w:val="003C6216"/>
    <w:rsid w:val="003C654D"/>
    <w:rsid w:val="003C65D0"/>
    <w:rsid w:val="003C69A7"/>
    <w:rsid w:val="003C6B08"/>
    <w:rsid w:val="003C6C60"/>
    <w:rsid w:val="003C6FB2"/>
    <w:rsid w:val="003C70F7"/>
    <w:rsid w:val="003C731C"/>
    <w:rsid w:val="003C7773"/>
    <w:rsid w:val="003C789C"/>
    <w:rsid w:val="003C7BC6"/>
    <w:rsid w:val="003C7CE5"/>
    <w:rsid w:val="003D00EF"/>
    <w:rsid w:val="003D02F9"/>
    <w:rsid w:val="003D0509"/>
    <w:rsid w:val="003D06EA"/>
    <w:rsid w:val="003D0A3F"/>
    <w:rsid w:val="003D11BD"/>
    <w:rsid w:val="003D14AD"/>
    <w:rsid w:val="003D15E8"/>
    <w:rsid w:val="003D1794"/>
    <w:rsid w:val="003D1A95"/>
    <w:rsid w:val="003D1BDF"/>
    <w:rsid w:val="003D1DE1"/>
    <w:rsid w:val="003D1EE9"/>
    <w:rsid w:val="003D2089"/>
    <w:rsid w:val="003D20DE"/>
    <w:rsid w:val="003D27DA"/>
    <w:rsid w:val="003D2844"/>
    <w:rsid w:val="003D2890"/>
    <w:rsid w:val="003D298E"/>
    <w:rsid w:val="003D2A88"/>
    <w:rsid w:val="003D2B78"/>
    <w:rsid w:val="003D2CCB"/>
    <w:rsid w:val="003D2D27"/>
    <w:rsid w:val="003D2F33"/>
    <w:rsid w:val="003D2F58"/>
    <w:rsid w:val="003D31EC"/>
    <w:rsid w:val="003D3C60"/>
    <w:rsid w:val="003D3CEC"/>
    <w:rsid w:val="003D3F65"/>
    <w:rsid w:val="003D4163"/>
    <w:rsid w:val="003D440F"/>
    <w:rsid w:val="003D446A"/>
    <w:rsid w:val="003D49E9"/>
    <w:rsid w:val="003D4CD5"/>
    <w:rsid w:val="003D512A"/>
    <w:rsid w:val="003D51C8"/>
    <w:rsid w:val="003D51CE"/>
    <w:rsid w:val="003D53C2"/>
    <w:rsid w:val="003D5C25"/>
    <w:rsid w:val="003D5F36"/>
    <w:rsid w:val="003D608D"/>
    <w:rsid w:val="003D61DB"/>
    <w:rsid w:val="003D6239"/>
    <w:rsid w:val="003D66FA"/>
    <w:rsid w:val="003D6772"/>
    <w:rsid w:val="003D6C05"/>
    <w:rsid w:val="003D7248"/>
    <w:rsid w:val="003D745A"/>
    <w:rsid w:val="003D748D"/>
    <w:rsid w:val="003D7AED"/>
    <w:rsid w:val="003E0A41"/>
    <w:rsid w:val="003E0B97"/>
    <w:rsid w:val="003E0F91"/>
    <w:rsid w:val="003E12CE"/>
    <w:rsid w:val="003E1355"/>
    <w:rsid w:val="003E17D5"/>
    <w:rsid w:val="003E1895"/>
    <w:rsid w:val="003E2056"/>
    <w:rsid w:val="003E215A"/>
    <w:rsid w:val="003E222D"/>
    <w:rsid w:val="003E236E"/>
    <w:rsid w:val="003E24CA"/>
    <w:rsid w:val="003E250C"/>
    <w:rsid w:val="003E2725"/>
    <w:rsid w:val="003E27E8"/>
    <w:rsid w:val="003E294A"/>
    <w:rsid w:val="003E2CA9"/>
    <w:rsid w:val="003E2E34"/>
    <w:rsid w:val="003E32A6"/>
    <w:rsid w:val="003E36D4"/>
    <w:rsid w:val="003E37EB"/>
    <w:rsid w:val="003E3998"/>
    <w:rsid w:val="003E3B7B"/>
    <w:rsid w:val="003E41CE"/>
    <w:rsid w:val="003E4240"/>
    <w:rsid w:val="003E4331"/>
    <w:rsid w:val="003E4C78"/>
    <w:rsid w:val="003E5723"/>
    <w:rsid w:val="003E580A"/>
    <w:rsid w:val="003E5B67"/>
    <w:rsid w:val="003E5BE7"/>
    <w:rsid w:val="003E658F"/>
    <w:rsid w:val="003E6880"/>
    <w:rsid w:val="003E6DCE"/>
    <w:rsid w:val="003E7157"/>
    <w:rsid w:val="003E728E"/>
    <w:rsid w:val="003E754B"/>
    <w:rsid w:val="003E7663"/>
    <w:rsid w:val="003E77FF"/>
    <w:rsid w:val="003E7851"/>
    <w:rsid w:val="003E7C70"/>
    <w:rsid w:val="003F037C"/>
    <w:rsid w:val="003F0421"/>
    <w:rsid w:val="003F06C4"/>
    <w:rsid w:val="003F0A43"/>
    <w:rsid w:val="003F0EFB"/>
    <w:rsid w:val="003F145A"/>
    <w:rsid w:val="003F1804"/>
    <w:rsid w:val="003F1E72"/>
    <w:rsid w:val="003F2737"/>
    <w:rsid w:val="003F2A88"/>
    <w:rsid w:val="003F2C73"/>
    <w:rsid w:val="003F31A9"/>
    <w:rsid w:val="003F3213"/>
    <w:rsid w:val="003F3357"/>
    <w:rsid w:val="003F3795"/>
    <w:rsid w:val="003F3799"/>
    <w:rsid w:val="003F382B"/>
    <w:rsid w:val="003F3E0D"/>
    <w:rsid w:val="003F44B1"/>
    <w:rsid w:val="003F44C6"/>
    <w:rsid w:val="003F4727"/>
    <w:rsid w:val="003F488E"/>
    <w:rsid w:val="003F496E"/>
    <w:rsid w:val="003F49AF"/>
    <w:rsid w:val="003F4D81"/>
    <w:rsid w:val="003F4F6D"/>
    <w:rsid w:val="003F5232"/>
    <w:rsid w:val="003F530B"/>
    <w:rsid w:val="003F54B1"/>
    <w:rsid w:val="003F61F7"/>
    <w:rsid w:val="003F6337"/>
    <w:rsid w:val="003F663A"/>
    <w:rsid w:val="003F6658"/>
    <w:rsid w:val="003F679D"/>
    <w:rsid w:val="003F6A28"/>
    <w:rsid w:val="003F6E78"/>
    <w:rsid w:val="003F7118"/>
    <w:rsid w:val="003F7182"/>
    <w:rsid w:val="003F71C4"/>
    <w:rsid w:val="003F7A56"/>
    <w:rsid w:val="003F7F63"/>
    <w:rsid w:val="004004E1"/>
    <w:rsid w:val="00400759"/>
    <w:rsid w:val="00400769"/>
    <w:rsid w:val="004007A0"/>
    <w:rsid w:val="0040089A"/>
    <w:rsid w:val="00400BCD"/>
    <w:rsid w:val="00400E49"/>
    <w:rsid w:val="00400E4F"/>
    <w:rsid w:val="00400E79"/>
    <w:rsid w:val="0040156A"/>
    <w:rsid w:val="00401F29"/>
    <w:rsid w:val="004020C2"/>
    <w:rsid w:val="00402220"/>
    <w:rsid w:val="0040247C"/>
    <w:rsid w:val="004024C0"/>
    <w:rsid w:val="0040285A"/>
    <w:rsid w:val="004029C2"/>
    <w:rsid w:val="00402B1A"/>
    <w:rsid w:val="00402CA3"/>
    <w:rsid w:val="00402F20"/>
    <w:rsid w:val="004030A5"/>
    <w:rsid w:val="004036A1"/>
    <w:rsid w:val="004041BA"/>
    <w:rsid w:val="00404245"/>
    <w:rsid w:val="004043DB"/>
    <w:rsid w:val="00404923"/>
    <w:rsid w:val="004049FA"/>
    <w:rsid w:val="00404B59"/>
    <w:rsid w:val="00404C00"/>
    <w:rsid w:val="00404CA3"/>
    <w:rsid w:val="004050DA"/>
    <w:rsid w:val="00405240"/>
    <w:rsid w:val="00405565"/>
    <w:rsid w:val="00405626"/>
    <w:rsid w:val="00405689"/>
    <w:rsid w:val="004057AD"/>
    <w:rsid w:val="00405804"/>
    <w:rsid w:val="00405879"/>
    <w:rsid w:val="00405947"/>
    <w:rsid w:val="00405B4A"/>
    <w:rsid w:val="00405D1C"/>
    <w:rsid w:val="00405FD2"/>
    <w:rsid w:val="00406678"/>
    <w:rsid w:val="00406CA6"/>
    <w:rsid w:val="0040714F"/>
    <w:rsid w:val="004071A2"/>
    <w:rsid w:val="004075BD"/>
    <w:rsid w:val="004077D8"/>
    <w:rsid w:val="00407A98"/>
    <w:rsid w:val="00407DD6"/>
    <w:rsid w:val="00410094"/>
    <w:rsid w:val="0041036B"/>
    <w:rsid w:val="0041061D"/>
    <w:rsid w:val="00410A34"/>
    <w:rsid w:val="00410A55"/>
    <w:rsid w:val="00411021"/>
    <w:rsid w:val="00411278"/>
    <w:rsid w:val="004114B7"/>
    <w:rsid w:val="0041186C"/>
    <w:rsid w:val="00411EA7"/>
    <w:rsid w:val="004120E6"/>
    <w:rsid w:val="00412297"/>
    <w:rsid w:val="0041233E"/>
    <w:rsid w:val="004125B2"/>
    <w:rsid w:val="00412AE6"/>
    <w:rsid w:val="00412B3E"/>
    <w:rsid w:val="00412C3F"/>
    <w:rsid w:val="00413025"/>
    <w:rsid w:val="0041311E"/>
    <w:rsid w:val="00413696"/>
    <w:rsid w:val="00413811"/>
    <w:rsid w:val="00413FB3"/>
    <w:rsid w:val="00414437"/>
    <w:rsid w:val="004148FA"/>
    <w:rsid w:val="00414BF3"/>
    <w:rsid w:val="00415076"/>
    <w:rsid w:val="0041513A"/>
    <w:rsid w:val="00415150"/>
    <w:rsid w:val="00415175"/>
    <w:rsid w:val="004154C0"/>
    <w:rsid w:val="004154FA"/>
    <w:rsid w:val="00415513"/>
    <w:rsid w:val="0041576D"/>
    <w:rsid w:val="00415A9D"/>
    <w:rsid w:val="00415AA9"/>
    <w:rsid w:val="0041649B"/>
    <w:rsid w:val="00416640"/>
    <w:rsid w:val="004167B0"/>
    <w:rsid w:val="004168CE"/>
    <w:rsid w:val="004169C6"/>
    <w:rsid w:val="00417D8A"/>
    <w:rsid w:val="00417DA1"/>
    <w:rsid w:val="00417EF8"/>
    <w:rsid w:val="00417FBD"/>
    <w:rsid w:val="00420190"/>
    <w:rsid w:val="0042032F"/>
    <w:rsid w:val="0042034B"/>
    <w:rsid w:val="0042063B"/>
    <w:rsid w:val="00420BA4"/>
    <w:rsid w:val="00420EB0"/>
    <w:rsid w:val="00421452"/>
    <w:rsid w:val="004217B5"/>
    <w:rsid w:val="00422404"/>
    <w:rsid w:val="00422528"/>
    <w:rsid w:val="00422BD7"/>
    <w:rsid w:val="004233CA"/>
    <w:rsid w:val="004235FF"/>
    <w:rsid w:val="004239AD"/>
    <w:rsid w:val="00423B2F"/>
    <w:rsid w:val="00424575"/>
    <w:rsid w:val="00424763"/>
    <w:rsid w:val="00424A4C"/>
    <w:rsid w:val="0042565C"/>
    <w:rsid w:val="004256B0"/>
    <w:rsid w:val="00425C7E"/>
    <w:rsid w:val="00425D2D"/>
    <w:rsid w:val="00425EC9"/>
    <w:rsid w:val="0042615D"/>
    <w:rsid w:val="004262AD"/>
    <w:rsid w:val="00427015"/>
    <w:rsid w:val="00427066"/>
    <w:rsid w:val="00427156"/>
    <w:rsid w:val="004274DA"/>
    <w:rsid w:val="0042797D"/>
    <w:rsid w:val="00427BC2"/>
    <w:rsid w:val="00430200"/>
    <w:rsid w:val="0043066C"/>
    <w:rsid w:val="0043069C"/>
    <w:rsid w:val="00430711"/>
    <w:rsid w:val="00430E5F"/>
    <w:rsid w:val="00430FBE"/>
    <w:rsid w:val="00430FD9"/>
    <w:rsid w:val="00431142"/>
    <w:rsid w:val="00431577"/>
    <w:rsid w:val="00431586"/>
    <w:rsid w:val="0043170E"/>
    <w:rsid w:val="00431D20"/>
    <w:rsid w:val="00431E0A"/>
    <w:rsid w:val="00431F9C"/>
    <w:rsid w:val="00431FEE"/>
    <w:rsid w:val="00432324"/>
    <w:rsid w:val="0043233D"/>
    <w:rsid w:val="00433121"/>
    <w:rsid w:val="0043317D"/>
    <w:rsid w:val="00433399"/>
    <w:rsid w:val="00433D78"/>
    <w:rsid w:val="00433F59"/>
    <w:rsid w:val="004344FF"/>
    <w:rsid w:val="00434A5F"/>
    <w:rsid w:val="00434ABC"/>
    <w:rsid w:val="004351A0"/>
    <w:rsid w:val="0043538A"/>
    <w:rsid w:val="00435588"/>
    <w:rsid w:val="00435B9F"/>
    <w:rsid w:val="004361D6"/>
    <w:rsid w:val="0043621E"/>
    <w:rsid w:val="0043628A"/>
    <w:rsid w:val="0043657F"/>
    <w:rsid w:val="0043670B"/>
    <w:rsid w:val="004367DB"/>
    <w:rsid w:val="00436A2D"/>
    <w:rsid w:val="00436EAA"/>
    <w:rsid w:val="00436F8F"/>
    <w:rsid w:val="00436FC4"/>
    <w:rsid w:val="004371E9"/>
    <w:rsid w:val="00437347"/>
    <w:rsid w:val="0043754C"/>
    <w:rsid w:val="004375B8"/>
    <w:rsid w:val="00437719"/>
    <w:rsid w:val="00437979"/>
    <w:rsid w:val="00437BD4"/>
    <w:rsid w:val="00437C62"/>
    <w:rsid w:val="00440030"/>
    <w:rsid w:val="0044009B"/>
    <w:rsid w:val="00440100"/>
    <w:rsid w:val="00440310"/>
    <w:rsid w:val="00440341"/>
    <w:rsid w:val="004409AB"/>
    <w:rsid w:val="00440C94"/>
    <w:rsid w:val="00441369"/>
    <w:rsid w:val="0044156B"/>
    <w:rsid w:val="0044195A"/>
    <w:rsid w:val="00441C2C"/>
    <w:rsid w:val="00441C6A"/>
    <w:rsid w:val="00442064"/>
    <w:rsid w:val="004420A2"/>
    <w:rsid w:val="004423D6"/>
    <w:rsid w:val="00442409"/>
    <w:rsid w:val="00442515"/>
    <w:rsid w:val="00442569"/>
    <w:rsid w:val="00442976"/>
    <w:rsid w:val="00442B88"/>
    <w:rsid w:val="00442DB3"/>
    <w:rsid w:val="00442F5C"/>
    <w:rsid w:val="0044308D"/>
    <w:rsid w:val="0044313D"/>
    <w:rsid w:val="00443297"/>
    <w:rsid w:val="00443728"/>
    <w:rsid w:val="00443C0B"/>
    <w:rsid w:val="00443DA1"/>
    <w:rsid w:val="00443F9A"/>
    <w:rsid w:val="00444244"/>
    <w:rsid w:val="00444852"/>
    <w:rsid w:val="004449BD"/>
    <w:rsid w:val="00444CF5"/>
    <w:rsid w:val="00444E4F"/>
    <w:rsid w:val="00444EC1"/>
    <w:rsid w:val="00444EF3"/>
    <w:rsid w:val="00444F99"/>
    <w:rsid w:val="004452D3"/>
    <w:rsid w:val="00445414"/>
    <w:rsid w:val="0044582E"/>
    <w:rsid w:val="004459DE"/>
    <w:rsid w:val="00445AA9"/>
    <w:rsid w:val="00445AAE"/>
    <w:rsid w:val="00445BF4"/>
    <w:rsid w:val="00446010"/>
    <w:rsid w:val="004465B3"/>
    <w:rsid w:val="00446C04"/>
    <w:rsid w:val="00447102"/>
    <w:rsid w:val="004471A5"/>
    <w:rsid w:val="0044763C"/>
    <w:rsid w:val="0044789B"/>
    <w:rsid w:val="004478CB"/>
    <w:rsid w:val="00447901"/>
    <w:rsid w:val="00447A62"/>
    <w:rsid w:val="00447BDF"/>
    <w:rsid w:val="00447F46"/>
    <w:rsid w:val="004507E3"/>
    <w:rsid w:val="00450D4C"/>
    <w:rsid w:val="00450EB1"/>
    <w:rsid w:val="004510F4"/>
    <w:rsid w:val="00451330"/>
    <w:rsid w:val="00451658"/>
    <w:rsid w:val="00451962"/>
    <w:rsid w:val="00451A62"/>
    <w:rsid w:val="00451B1E"/>
    <w:rsid w:val="00451F4D"/>
    <w:rsid w:val="0045247D"/>
    <w:rsid w:val="0045290C"/>
    <w:rsid w:val="00452D65"/>
    <w:rsid w:val="00452EEF"/>
    <w:rsid w:val="00453011"/>
    <w:rsid w:val="004537F0"/>
    <w:rsid w:val="004538D7"/>
    <w:rsid w:val="00453B52"/>
    <w:rsid w:val="00453CEF"/>
    <w:rsid w:val="004544F6"/>
    <w:rsid w:val="00454538"/>
    <w:rsid w:val="00454F96"/>
    <w:rsid w:val="0045541C"/>
    <w:rsid w:val="004556A4"/>
    <w:rsid w:val="0045576A"/>
    <w:rsid w:val="0045600E"/>
    <w:rsid w:val="004561F5"/>
    <w:rsid w:val="004562A7"/>
    <w:rsid w:val="0045632E"/>
    <w:rsid w:val="00456426"/>
    <w:rsid w:val="00456493"/>
    <w:rsid w:val="00456512"/>
    <w:rsid w:val="00456597"/>
    <w:rsid w:val="00456705"/>
    <w:rsid w:val="00456799"/>
    <w:rsid w:val="004567EF"/>
    <w:rsid w:val="00456B85"/>
    <w:rsid w:val="00456D45"/>
    <w:rsid w:val="004575C8"/>
    <w:rsid w:val="00457D8C"/>
    <w:rsid w:val="004601BC"/>
    <w:rsid w:val="004604E8"/>
    <w:rsid w:val="00460609"/>
    <w:rsid w:val="004608D4"/>
    <w:rsid w:val="00460B33"/>
    <w:rsid w:val="0046106E"/>
    <w:rsid w:val="00461257"/>
    <w:rsid w:val="004615C7"/>
    <w:rsid w:val="00461849"/>
    <w:rsid w:val="00461A2D"/>
    <w:rsid w:val="00461EA6"/>
    <w:rsid w:val="00462B79"/>
    <w:rsid w:val="0046305A"/>
    <w:rsid w:val="00463356"/>
    <w:rsid w:val="00463695"/>
    <w:rsid w:val="00463994"/>
    <w:rsid w:val="00463AF0"/>
    <w:rsid w:val="0046409D"/>
    <w:rsid w:val="004641A1"/>
    <w:rsid w:val="0046471C"/>
    <w:rsid w:val="00464A4F"/>
    <w:rsid w:val="00464A9D"/>
    <w:rsid w:val="00464AFA"/>
    <w:rsid w:val="00464FBA"/>
    <w:rsid w:val="00465093"/>
    <w:rsid w:val="00465100"/>
    <w:rsid w:val="004652BA"/>
    <w:rsid w:val="0046555C"/>
    <w:rsid w:val="004655DA"/>
    <w:rsid w:val="0046576C"/>
    <w:rsid w:val="00465786"/>
    <w:rsid w:val="004658F0"/>
    <w:rsid w:val="004659B7"/>
    <w:rsid w:val="00465B95"/>
    <w:rsid w:val="00465CB8"/>
    <w:rsid w:val="00465D57"/>
    <w:rsid w:val="004660D9"/>
    <w:rsid w:val="00466985"/>
    <w:rsid w:val="004669AE"/>
    <w:rsid w:val="00466A57"/>
    <w:rsid w:val="00466A77"/>
    <w:rsid w:val="00466BBC"/>
    <w:rsid w:val="00466EB1"/>
    <w:rsid w:val="004672D0"/>
    <w:rsid w:val="00467593"/>
    <w:rsid w:val="0046765A"/>
    <w:rsid w:val="00467AF0"/>
    <w:rsid w:val="00467E00"/>
    <w:rsid w:val="00470384"/>
    <w:rsid w:val="004703E1"/>
    <w:rsid w:val="00470698"/>
    <w:rsid w:val="00470716"/>
    <w:rsid w:val="00470768"/>
    <w:rsid w:val="00470D3C"/>
    <w:rsid w:val="00470F76"/>
    <w:rsid w:val="00471265"/>
    <w:rsid w:val="00471323"/>
    <w:rsid w:val="004713BA"/>
    <w:rsid w:val="00471909"/>
    <w:rsid w:val="00471944"/>
    <w:rsid w:val="00471B0C"/>
    <w:rsid w:val="00471FC1"/>
    <w:rsid w:val="00472197"/>
    <w:rsid w:val="00472210"/>
    <w:rsid w:val="0047248E"/>
    <w:rsid w:val="0047299D"/>
    <w:rsid w:val="00472B8B"/>
    <w:rsid w:val="00472C9E"/>
    <w:rsid w:val="00472D6C"/>
    <w:rsid w:val="004732A5"/>
    <w:rsid w:val="004732EF"/>
    <w:rsid w:val="004734E3"/>
    <w:rsid w:val="0047355C"/>
    <w:rsid w:val="004735F1"/>
    <w:rsid w:val="004736BB"/>
    <w:rsid w:val="00473B0A"/>
    <w:rsid w:val="00473BEC"/>
    <w:rsid w:val="004741D8"/>
    <w:rsid w:val="004745A3"/>
    <w:rsid w:val="00474938"/>
    <w:rsid w:val="00474C90"/>
    <w:rsid w:val="004750A3"/>
    <w:rsid w:val="0047516B"/>
    <w:rsid w:val="0047524C"/>
    <w:rsid w:val="00475710"/>
    <w:rsid w:val="00475B13"/>
    <w:rsid w:val="0047617F"/>
    <w:rsid w:val="00476439"/>
    <w:rsid w:val="004769D1"/>
    <w:rsid w:val="00476EEE"/>
    <w:rsid w:val="004772D1"/>
    <w:rsid w:val="00477436"/>
    <w:rsid w:val="00477A67"/>
    <w:rsid w:val="00477A88"/>
    <w:rsid w:val="00477D9D"/>
    <w:rsid w:val="00477EF9"/>
    <w:rsid w:val="00480509"/>
    <w:rsid w:val="00480722"/>
    <w:rsid w:val="0048094B"/>
    <w:rsid w:val="004809BA"/>
    <w:rsid w:val="00480AF4"/>
    <w:rsid w:val="004811FF"/>
    <w:rsid w:val="0048147B"/>
    <w:rsid w:val="0048160E"/>
    <w:rsid w:val="00481664"/>
    <w:rsid w:val="0048171E"/>
    <w:rsid w:val="00481BC2"/>
    <w:rsid w:val="004833CE"/>
    <w:rsid w:val="00483491"/>
    <w:rsid w:val="00483649"/>
    <w:rsid w:val="0048365D"/>
    <w:rsid w:val="00483C40"/>
    <w:rsid w:val="00483FB2"/>
    <w:rsid w:val="0048412E"/>
    <w:rsid w:val="00484383"/>
    <w:rsid w:val="00484407"/>
    <w:rsid w:val="00484953"/>
    <w:rsid w:val="00484BB8"/>
    <w:rsid w:val="00484CC4"/>
    <w:rsid w:val="00484D5E"/>
    <w:rsid w:val="00484D77"/>
    <w:rsid w:val="00484EC1"/>
    <w:rsid w:val="0048525A"/>
    <w:rsid w:val="004852EA"/>
    <w:rsid w:val="00485321"/>
    <w:rsid w:val="00485334"/>
    <w:rsid w:val="00485C21"/>
    <w:rsid w:val="00485EBD"/>
    <w:rsid w:val="00486209"/>
    <w:rsid w:val="00486304"/>
    <w:rsid w:val="00486A05"/>
    <w:rsid w:val="00486E7A"/>
    <w:rsid w:val="00486FE7"/>
    <w:rsid w:val="004870CD"/>
    <w:rsid w:val="0048720E"/>
    <w:rsid w:val="00487254"/>
    <w:rsid w:val="00487270"/>
    <w:rsid w:val="00487739"/>
    <w:rsid w:val="00487C3D"/>
    <w:rsid w:val="0049041A"/>
    <w:rsid w:val="0049043F"/>
    <w:rsid w:val="00490569"/>
    <w:rsid w:val="00490FA6"/>
    <w:rsid w:val="00491093"/>
    <w:rsid w:val="004915AE"/>
    <w:rsid w:val="004915CA"/>
    <w:rsid w:val="00491977"/>
    <w:rsid w:val="00491AAF"/>
    <w:rsid w:val="00491C98"/>
    <w:rsid w:val="00491F05"/>
    <w:rsid w:val="00491FB5"/>
    <w:rsid w:val="00492236"/>
    <w:rsid w:val="00492926"/>
    <w:rsid w:val="004930DD"/>
    <w:rsid w:val="004931D7"/>
    <w:rsid w:val="004931FF"/>
    <w:rsid w:val="00493C84"/>
    <w:rsid w:val="0049431F"/>
    <w:rsid w:val="0049440B"/>
    <w:rsid w:val="0049468B"/>
    <w:rsid w:val="00494840"/>
    <w:rsid w:val="00494E23"/>
    <w:rsid w:val="00494E9F"/>
    <w:rsid w:val="00495461"/>
    <w:rsid w:val="0049547B"/>
    <w:rsid w:val="0049569D"/>
    <w:rsid w:val="0049579F"/>
    <w:rsid w:val="0049580D"/>
    <w:rsid w:val="00495967"/>
    <w:rsid w:val="004959B0"/>
    <w:rsid w:val="00495C89"/>
    <w:rsid w:val="00495D4F"/>
    <w:rsid w:val="00495DF0"/>
    <w:rsid w:val="00495FBE"/>
    <w:rsid w:val="00495FDC"/>
    <w:rsid w:val="00496324"/>
    <w:rsid w:val="0049665E"/>
    <w:rsid w:val="00496972"/>
    <w:rsid w:val="004969FA"/>
    <w:rsid w:val="00496CE0"/>
    <w:rsid w:val="00496E99"/>
    <w:rsid w:val="00497270"/>
    <w:rsid w:val="004973CB"/>
    <w:rsid w:val="00497442"/>
    <w:rsid w:val="0049759D"/>
    <w:rsid w:val="00497675"/>
    <w:rsid w:val="004A00B9"/>
    <w:rsid w:val="004A02E3"/>
    <w:rsid w:val="004A03CB"/>
    <w:rsid w:val="004A074B"/>
    <w:rsid w:val="004A0A11"/>
    <w:rsid w:val="004A1808"/>
    <w:rsid w:val="004A27AB"/>
    <w:rsid w:val="004A2D18"/>
    <w:rsid w:val="004A2D54"/>
    <w:rsid w:val="004A30F5"/>
    <w:rsid w:val="004A3244"/>
    <w:rsid w:val="004A329A"/>
    <w:rsid w:val="004A3341"/>
    <w:rsid w:val="004A3388"/>
    <w:rsid w:val="004A3520"/>
    <w:rsid w:val="004A3962"/>
    <w:rsid w:val="004A3A66"/>
    <w:rsid w:val="004A3EAB"/>
    <w:rsid w:val="004A4255"/>
    <w:rsid w:val="004A4498"/>
    <w:rsid w:val="004A46E2"/>
    <w:rsid w:val="004A46E6"/>
    <w:rsid w:val="004A48DA"/>
    <w:rsid w:val="004A49C6"/>
    <w:rsid w:val="004A52EA"/>
    <w:rsid w:val="004A55B6"/>
    <w:rsid w:val="004A5D3A"/>
    <w:rsid w:val="004A63E4"/>
    <w:rsid w:val="004A64D9"/>
    <w:rsid w:val="004A72B1"/>
    <w:rsid w:val="004A7450"/>
    <w:rsid w:val="004A74B7"/>
    <w:rsid w:val="004A7562"/>
    <w:rsid w:val="004A76C5"/>
    <w:rsid w:val="004A78E8"/>
    <w:rsid w:val="004A7A62"/>
    <w:rsid w:val="004A7BD5"/>
    <w:rsid w:val="004B09CB"/>
    <w:rsid w:val="004B1047"/>
    <w:rsid w:val="004B11FB"/>
    <w:rsid w:val="004B1443"/>
    <w:rsid w:val="004B1452"/>
    <w:rsid w:val="004B1634"/>
    <w:rsid w:val="004B1B77"/>
    <w:rsid w:val="004B1BEE"/>
    <w:rsid w:val="004B1C50"/>
    <w:rsid w:val="004B1D59"/>
    <w:rsid w:val="004B2AC4"/>
    <w:rsid w:val="004B2ACC"/>
    <w:rsid w:val="004B3371"/>
    <w:rsid w:val="004B3462"/>
    <w:rsid w:val="004B36D8"/>
    <w:rsid w:val="004B40FC"/>
    <w:rsid w:val="004B423C"/>
    <w:rsid w:val="004B44BE"/>
    <w:rsid w:val="004B4B17"/>
    <w:rsid w:val="004B4D6B"/>
    <w:rsid w:val="004B5055"/>
    <w:rsid w:val="004B5073"/>
    <w:rsid w:val="004B579B"/>
    <w:rsid w:val="004B58A7"/>
    <w:rsid w:val="004B5A40"/>
    <w:rsid w:val="004B5AE1"/>
    <w:rsid w:val="004B5B11"/>
    <w:rsid w:val="004B5C6F"/>
    <w:rsid w:val="004B5DAA"/>
    <w:rsid w:val="004B61FB"/>
    <w:rsid w:val="004B6666"/>
    <w:rsid w:val="004B6BA0"/>
    <w:rsid w:val="004B6EB6"/>
    <w:rsid w:val="004B7319"/>
    <w:rsid w:val="004C0196"/>
    <w:rsid w:val="004C0575"/>
    <w:rsid w:val="004C06A6"/>
    <w:rsid w:val="004C0861"/>
    <w:rsid w:val="004C09F8"/>
    <w:rsid w:val="004C0C29"/>
    <w:rsid w:val="004C1727"/>
    <w:rsid w:val="004C18BF"/>
    <w:rsid w:val="004C207A"/>
    <w:rsid w:val="004C228A"/>
    <w:rsid w:val="004C24D0"/>
    <w:rsid w:val="004C262C"/>
    <w:rsid w:val="004C2B0F"/>
    <w:rsid w:val="004C2CB7"/>
    <w:rsid w:val="004C2F42"/>
    <w:rsid w:val="004C2F8F"/>
    <w:rsid w:val="004C2FED"/>
    <w:rsid w:val="004C30C5"/>
    <w:rsid w:val="004C322F"/>
    <w:rsid w:val="004C34C2"/>
    <w:rsid w:val="004C365E"/>
    <w:rsid w:val="004C3944"/>
    <w:rsid w:val="004C3AC0"/>
    <w:rsid w:val="004C3BD6"/>
    <w:rsid w:val="004C4705"/>
    <w:rsid w:val="004C4A35"/>
    <w:rsid w:val="004C4C06"/>
    <w:rsid w:val="004C5010"/>
    <w:rsid w:val="004C5143"/>
    <w:rsid w:val="004C522D"/>
    <w:rsid w:val="004C5666"/>
    <w:rsid w:val="004C6094"/>
    <w:rsid w:val="004C67A7"/>
    <w:rsid w:val="004C75C7"/>
    <w:rsid w:val="004C76A7"/>
    <w:rsid w:val="004C7ABF"/>
    <w:rsid w:val="004D049D"/>
    <w:rsid w:val="004D05B7"/>
    <w:rsid w:val="004D1201"/>
    <w:rsid w:val="004D1E4B"/>
    <w:rsid w:val="004D21D5"/>
    <w:rsid w:val="004D2562"/>
    <w:rsid w:val="004D275B"/>
    <w:rsid w:val="004D293C"/>
    <w:rsid w:val="004D2BAF"/>
    <w:rsid w:val="004D2D67"/>
    <w:rsid w:val="004D2DF1"/>
    <w:rsid w:val="004D2FA8"/>
    <w:rsid w:val="004D312D"/>
    <w:rsid w:val="004D326F"/>
    <w:rsid w:val="004D3302"/>
    <w:rsid w:val="004D3867"/>
    <w:rsid w:val="004D3CDA"/>
    <w:rsid w:val="004D3D86"/>
    <w:rsid w:val="004D4E03"/>
    <w:rsid w:val="004D5134"/>
    <w:rsid w:val="004D5196"/>
    <w:rsid w:val="004D529E"/>
    <w:rsid w:val="004D5330"/>
    <w:rsid w:val="004D55AE"/>
    <w:rsid w:val="004D5A8B"/>
    <w:rsid w:val="004D5A9D"/>
    <w:rsid w:val="004D5AC1"/>
    <w:rsid w:val="004D5CE8"/>
    <w:rsid w:val="004D5F00"/>
    <w:rsid w:val="004D5FA0"/>
    <w:rsid w:val="004D6545"/>
    <w:rsid w:val="004D6552"/>
    <w:rsid w:val="004D6B15"/>
    <w:rsid w:val="004D6CD0"/>
    <w:rsid w:val="004D6D54"/>
    <w:rsid w:val="004D6DD6"/>
    <w:rsid w:val="004D78F3"/>
    <w:rsid w:val="004D79F8"/>
    <w:rsid w:val="004D7D6E"/>
    <w:rsid w:val="004D7F63"/>
    <w:rsid w:val="004D7F95"/>
    <w:rsid w:val="004E0152"/>
    <w:rsid w:val="004E03D8"/>
    <w:rsid w:val="004E0586"/>
    <w:rsid w:val="004E0A57"/>
    <w:rsid w:val="004E0B69"/>
    <w:rsid w:val="004E0C4C"/>
    <w:rsid w:val="004E1425"/>
    <w:rsid w:val="004E1BB3"/>
    <w:rsid w:val="004E1CE2"/>
    <w:rsid w:val="004E204A"/>
    <w:rsid w:val="004E2337"/>
    <w:rsid w:val="004E25D5"/>
    <w:rsid w:val="004E2693"/>
    <w:rsid w:val="004E2A97"/>
    <w:rsid w:val="004E2C80"/>
    <w:rsid w:val="004E323D"/>
    <w:rsid w:val="004E344A"/>
    <w:rsid w:val="004E37E7"/>
    <w:rsid w:val="004E397C"/>
    <w:rsid w:val="004E3AA2"/>
    <w:rsid w:val="004E4057"/>
    <w:rsid w:val="004E4184"/>
    <w:rsid w:val="004E422B"/>
    <w:rsid w:val="004E47D1"/>
    <w:rsid w:val="004E4885"/>
    <w:rsid w:val="004E4B02"/>
    <w:rsid w:val="004E4D6F"/>
    <w:rsid w:val="004E51C0"/>
    <w:rsid w:val="004E5683"/>
    <w:rsid w:val="004E5980"/>
    <w:rsid w:val="004E59A9"/>
    <w:rsid w:val="004E5BEA"/>
    <w:rsid w:val="004E5FD9"/>
    <w:rsid w:val="004E61CC"/>
    <w:rsid w:val="004E6501"/>
    <w:rsid w:val="004E6D5A"/>
    <w:rsid w:val="004E6DAB"/>
    <w:rsid w:val="004E7373"/>
    <w:rsid w:val="004E75AB"/>
    <w:rsid w:val="004E7754"/>
    <w:rsid w:val="004E7785"/>
    <w:rsid w:val="004E7B70"/>
    <w:rsid w:val="004E7E06"/>
    <w:rsid w:val="004F0900"/>
    <w:rsid w:val="004F0E6B"/>
    <w:rsid w:val="004F0F28"/>
    <w:rsid w:val="004F1349"/>
    <w:rsid w:val="004F135C"/>
    <w:rsid w:val="004F14AD"/>
    <w:rsid w:val="004F17D8"/>
    <w:rsid w:val="004F1E47"/>
    <w:rsid w:val="004F1FAC"/>
    <w:rsid w:val="004F2503"/>
    <w:rsid w:val="004F2903"/>
    <w:rsid w:val="004F2E21"/>
    <w:rsid w:val="004F3074"/>
    <w:rsid w:val="004F350A"/>
    <w:rsid w:val="004F38C5"/>
    <w:rsid w:val="004F3DD0"/>
    <w:rsid w:val="004F3EC9"/>
    <w:rsid w:val="004F400E"/>
    <w:rsid w:val="004F45A3"/>
    <w:rsid w:val="004F4604"/>
    <w:rsid w:val="004F4903"/>
    <w:rsid w:val="004F49FE"/>
    <w:rsid w:val="004F4B7D"/>
    <w:rsid w:val="004F4EBE"/>
    <w:rsid w:val="004F4EDC"/>
    <w:rsid w:val="004F52D8"/>
    <w:rsid w:val="004F5835"/>
    <w:rsid w:val="004F597A"/>
    <w:rsid w:val="004F5B96"/>
    <w:rsid w:val="004F5E54"/>
    <w:rsid w:val="004F5E72"/>
    <w:rsid w:val="004F5F86"/>
    <w:rsid w:val="004F5FB1"/>
    <w:rsid w:val="004F60F6"/>
    <w:rsid w:val="004F640A"/>
    <w:rsid w:val="004F6667"/>
    <w:rsid w:val="004F690E"/>
    <w:rsid w:val="004F6BA8"/>
    <w:rsid w:val="004F6BC7"/>
    <w:rsid w:val="004F7051"/>
    <w:rsid w:val="004F7168"/>
    <w:rsid w:val="004F71A8"/>
    <w:rsid w:val="004F737A"/>
    <w:rsid w:val="004F73B1"/>
    <w:rsid w:val="004F73F7"/>
    <w:rsid w:val="004F74E9"/>
    <w:rsid w:val="004F781B"/>
    <w:rsid w:val="004F7DBD"/>
    <w:rsid w:val="004F7F3A"/>
    <w:rsid w:val="005001C8"/>
    <w:rsid w:val="005005D8"/>
    <w:rsid w:val="00500673"/>
    <w:rsid w:val="00500722"/>
    <w:rsid w:val="00500AB4"/>
    <w:rsid w:val="00500C01"/>
    <w:rsid w:val="00501190"/>
    <w:rsid w:val="00501398"/>
    <w:rsid w:val="005014AB"/>
    <w:rsid w:val="005017D6"/>
    <w:rsid w:val="005019F1"/>
    <w:rsid w:val="00501D18"/>
    <w:rsid w:val="00501FFA"/>
    <w:rsid w:val="00502668"/>
    <w:rsid w:val="00502983"/>
    <w:rsid w:val="00502B93"/>
    <w:rsid w:val="0050308E"/>
    <w:rsid w:val="005031DD"/>
    <w:rsid w:val="00503531"/>
    <w:rsid w:val="00503552"/>
    <w:rsid w:val="0050399D"/>
    <w:rsid w:val="00503D2B"/>
    <w:rsid w:val="00504158"/>
    <w:rsid w:val="0050450E"/>
    <w:rsid w:val="00504632"/>
    <w:rsid w:val="00504B38"/>
    <w:rsid w:val="00504CC5"/>
    <w:rsid w:val="0050580C"/>
    <w:rsid w:val="00505A11"/>
    <w:rsid w:val="00505B70"/>
    <w:rsid w:val="00505DD4"/>
    <w:rsid w:val="00505F55"/>
    <w:rsid w:val="00506733"/>
    <w:rsid w:val="00506825"/>
    <w:rsid w:val="00506D51"/>
    <w:rsid w:val="00506E40"/>
    <w:rsid w:val="00506E8A"/>
    <w:rsid w:val="005071B9"/>
    <w:rsid w:val="00507CAE"/>
    <w:rsid w:val="005102A6"/>
    <w:rsid w:val="005103D0"/>
    <w:rsid w:val="00510431"/>
    <w:rsid w:val="005106ED"/>
    <w:rsid w:val="005108B5"/>
    <w:rsid w:val="0051098B"/>
    <w:rsid w:val="00510A15"/>
    <w:rsid w:val="00510BFC"/>
    <w:rsid w:val="00510F14"/>
    <w:rsid w:val="00510F2A"/>
    <w:rsid w:val="00511198"/>
    <w:rsid w:val="005114F3"/>
    <w:rsid w:val="005115DC"/>
    <w:rsid w:val="00511817"/>
    <w:rsid w:val="00511AFB"/>
    <w:rsid w:val="00511BBE"/>
    <w:rsid w:val="00511CA5"/>
    <w:rsid w:val="005126D2"/>
    <w:rsid w:val="00512776"/>
    <w:rsid w:val="00512BDB"/>
    <w:rsid w:val="00512E2E"/>
    <w:rsid w:val="00513201"/>
    <w:rsid w:val="005132DD"/>
    <w:rsid w:val="00513B04"/>
    <w:rsid w:val="00514480"/>
    <w:rsid w:val="005145F8"/>
    <w:rsid w:val="00514670"/>
    <w:rsid w:val="00514784"/>
    <w:rsid w:val="00514E92"/>
    <w:rsid w:val="00515C4B"/>
    <w:rsid w:val="00515E4F"/>
    <w:rsid w:val="005162DA"/>
    <w:rsid w:val="005167B5"/>
    <w:rsid w:val="00516BF1"/>
    <w:rsid w:val="00516DB5"/>
    <w:rsid w:val="00516DBC"/>
    <w:rsid w:val="00517394"/>
    <w:rsid w:val="00517502"/>
    <w:rsid w:val="00517557"/>
    <w:rsid w:val="00517688"/>
    <w:rsid w:val="00517770"/>
    <w:rsid w:val="00517DC1"/>
    <w:rsid w:val="00517F99"/>
    <w:rsid w:val="005201B9"/>
    <w:rsid w:val="00520229"/>
    <w:rsid w:val="0052076B"/>
    <w:rsid w:val="0052091B"/>
    <w:rsid w:val="00520943"/>
    <w:rsid w:val="0052115C"/>
    <w:rsid w:val="00521181"/>
    <w:rsid w:val="005215CC"/>
    <w:rsid w:val="00521636"/>
    <w:rsid w:val="0052175B"/>
    <w:rsid w:val="00521951"/>
    <w:rsid w:val="0052199A"/>
    <w:rsid w:val="00521ABF"/>
    <w:rsid w:val="00521E78"/>
    <w:rsid w:val="005223AD"/>
    <w:rsid w:val="00522907"/>
    <w:rsid w:val="00522A08"/>
    <w:rsid w:val="00522A60"/>
    <w:rsid w:val="0052310B"/>
    <w:rsid w:val="005233AF"/>
    <w:rsid w:val="0052367C"/>
    <w:rsid w:val="00524213"/>
    <w:rsid w:val="005243DE"/>
    <w:rsid w:val="00524470"/>
    <w:rsid w:val="00524727"/>
    <w:rsid w:val="0052473F"/>
    <w:rsid w:val="005247EF"/>
    <w:rsid w:val="00524A01"/>
    <w:rsid w:val="00524D71"/>
    <w:rsid w:val="00524E1F"/>
    <w:rsid w:val="00524EA1"/>
    <w:rsid w:val="005253DF"/>
    <w:rsid w:val="00525484"/>
    <w:rsid w:val="00525500"/>
    <w:rsid w:val="005255D1"/>
    <w:rsid w:val="00525B2C"/>
    <w:rsid w:val="00525D94"/>
    <w:rsid w:val="005261E1"/>
    <w:rsid w:val="005263EB"/>
    <w:rsid w:val="00526980"/>
    <w:rsid w:val="00526AAB"/>
    <w:rsid w:val="00526B9E"/>
    <w:rsid w:val="00526C88"/>
    <w:rsid w:val="00526C90"/>
    <w:rsid w:val="00526CDD"/>
    <w:rsid w:val="0052764F"/>
    <w:rsid w:val="005277FE"/>
    <w:rsid w:val="005278BD"/>
    <w:rsid w:val="00527EAF"/>
    <w:rsid w:val="005303E8"/>
    <w:rsid w:val="0053067C"/>
    <w:rsid w:val="00530719"/>
    <w:rsid w:val="00530808"/>
    <w:rsid w:val="00530AF5"/>
    <w:rsid w:val="00530CE2"/>
    <w:rsid w:val="0053129A"/>
    <w:rsid w:val="0053143A"/>
    <w:rsid w:val="0053184D"/>
    <w:rsid w:val="00531A4D"/>
    <w:rsid w:val="00531ED0"/>
    <w:rsid w:val="005323CD"/>
    <w:rsid w:val="005325D0"/>
    <w:rsid w:val="0053289C"/>
    <w:rsid w:val="005331A6"/>
    <w:rsid w:val="00533359"/>
    <w:rsid w:val="005333E7"/>
    <w:rsid w:val="0053357A"/>
    <w:rsid w:val="00533844"/>
    <w:rsid w:val="00533849"/>
    <w:rsid w:val="00533A01"/>
    <w:rsid w:val="00533A1F"/>
    <w:rsid w:val="00533BCB"/>
    <w:rsid w:val="00533C81"/>
    <w:rsid w:val="005342E2"/>
    <w:rsid w:val="00534322"/>
    <w:rsid w:val="00534572"/>
    <w:rsid w:val="0053494C"/>
    <w:rsid w:val="00534979"/>
    <w:rsid w:val="00534C24"/>
    <w:rsid w:val="005356BA"/>
    <w:rsid w:val="005358AE"/>
    <w:rsid w:val="00535AAC"/>
    <w:rsid w:val="00535C89"/>
    <w:rsid w:val="00535DBF"/>
    <w:rsid w:val="00535E76"/>
    <w:rsid w:val="00535FDF"/>
    <w:rsid w:val="0053658B"/>
    <w:rsid w:val="0053664C"/>
    <w:rsid w:val="005367A7"/>
    <w:rsid w:val="00537123"/>
    <w:rsid w:val="005371F5"/>
    <w:rsid w:val="00537497"/>
    <w:rsid w:val="00537600"/>
    <w:rsid w:val="00540C08"/>
    <w:rsid w:val="00540FD1"/>
    <w:rsid w:val="005417E2"/>
    <w:rsid w:val="005419BE"/>
    <w:rsid w:val="00541B06"/>
    <w:rsid w:val="00541B54"/>
    <w:rsid w:val="00541EE8"/>
    <w:rsid w:val="00541EF4"/>
    <w:rsid w:val="005424C6"/>
    <w:rsid w:val="00542CCB"/>
    <w:rsid w:val="00542FA9"/>
    <w:rsid w:val="0054303C"/>
    <w:rsid w:val="00543157"/>
    <w:rsid w:val="0054329B"/>
    <w:rsid w:val="00543348"/>
    <w:rsid w:val="0054337B"/>
    <w:rsid w:val="005434A9"/>
    <w:rsid w:val="0054394B"/>
    <w:rsid w:val="00543D48"/>
    <w:rsid w:val="00543D76"/>
    <w:rsid w:val="00543DCF"/>
    <w:rsid w:val="00544410"/>
    <w:rsid w:val="0054444A"/>
    <w:rsid w:val="00544783"/>
    <w:rsid w:val="00544A16"/>
    <w:rsid w:val="00544B64"/>
    <w:rsid w:val="00544E60"/>
    <w:rsid w:val="00544F33"/>
    <w:rsid w:val="00545104"/>
    <w:rsid w:val="00545590"/>
    <w:rsid w:val="005456B0"/>
    <w:rsid w:val="0054625D"/>
    <w:rsid w:val="0054693F"/>
    <w:rsid w:val="00546A27"/>
    <w:rsid w:val="00546BEB"/>
    <w:rsid w:val="00546C05"/>
    <w:rsid w:val="00547193"/>
    <w:rsid w:val="00547264"/>
    <w:rsid w:val="005472D9"/>
    <w:rsid w:val="005475F5"/>
    <w:rsid w:val="0054763C"/>
    <w:rsid w:val="00547E22"/>
    <w:rsid w:val="00547F53"/>
    <w:rsid w:val="00547FDD"/>
    <w:rsid w:val="00550105"/>
    <w:rsid w:val="00550495"/>
    <w:rsid w:val="00550507"/>
    <w:rsid w:val="005507AE"/>
    <w:rsid w:val="00550847"/>
    <w:rsid w:val="005508A1"/>
    <w:rsid w:val="00550911"/>
    <w:rsid w:val="00550FDE"/>
    <w:rsid w:val="005510AD"/>
    <w:rsid w:val="00551164"/>
    <w:rsid w:val="00551262"/>
    <w:rsid w:val="005512D7"/>
    <w:rsid w:val="00551498"/>
    <w:rsid w:val="00551631"/>
    <w:rsid w:val="00551FBE"/>
    <w:rsid w:val="005523B6"/>
    <w:rsid w:val="0055254B"/>
    <w:rsid w:val="005526F3"/>
    <w:rsid w:val="00552ED3"/>
    <w:rsid w:val="00552F48"/>
    <w:rsid w:val="00552F7D"/>
    <w:rsid w:val="00553A4A"/>
    <w:rsid w:val="00553BF6"/>
    <w:rsid w:val="00553FAC"/>
    <w:rsid w:val="0055475D"/>
    <w:rsid w:val="00554779"/>
    <w:rsid w:val="00554980"/>
    <w:rsid w:val="00554F42"/>
    <w:rsid w:val="00554FA1"/>
    <w:rsid w:val="00555196"/>
    <w:rsid w:val="00555416"/>
    <w:rsid w:val="0055558A"/>
    <w:rsid w:val="00555A01"/>
    <w:rsid w:val="00555AC6"/>
    <w:rsid w:val="00555CD8"/>
    <w:rsid w:val="00555F8A"/>
    <w:rsid w:val="005564A7"/>
    <w:rsid w:val="00556629"/>
    <w:rsid w:val="0055667D"/>
    <w:rsid w:val="00556D4C"/>
    <w:rsid w:val="00556E14"/>
    <w:rsid w:val="00557042"/>
    <w:rsid w:val="0055740E"/>
    <w:rsid w:val="00557C4D"/>
    <w:rsid w:val="00557CFB"/>
    <w:rsid w:val="00557F18"/>
    <w:rsid w:val="005600EB"/>
    <w:rsid w:val="00560119"/>
    <w:rsid w:val="00560396"/>
    <w:rsid w:val="005603E4"/>
    <w:rsid w:val="0056044D"/>
    <w:rsid w:val="005605A0"/>
    <w:rsid w:val="00560DD4"/>
    <w:rsid w:val="00560E89"/>
    <w:rsid w:val="00561118"/>
    <w:rsid w:val="0056162A"/>
    <w:rsid w:val="00561A90"/>
    <w:rsid w:val="00561C8F"/>
    <w:rsid w:val="005621FE"/>
    <w:rsid w:val="005629D7"/>
    <w:rsid w:val="00562DFB"/>
    <w:rsid w:val="0056358B"/>
    <w:rsid w:val="00563818"/>
    <w:rsid w:val="00563D0F"/>
    <w:rsid w:val="005641B8"/>
    <w:rsid w:val="0056468E"/>
    <w:rsid w:val="00564E20"/>
    <w:rsid w:val="005650CD"/>
    <w:rsid w:val="00565283"/>
    <w:rsid w:val="00565568"/>
    <w:rsid w:val="00565B81"/>
    <w:rsid w:val="00566127"/>
    <w:rsid w:val="00566164"/>
    <w:rsid w:val="0056690C"/>
    <w:rsid w:val="00566991"/>
    <w:rsid w:val="00566C40"/>
    <w:rsid w:val="00566F24"/>
    <w:rsid w:val="0056700B"/>
    <w:rsid w:val="00567083"/>
    <w:rsid w:val="00567769"/>
    <w:rsid w:val="00567B34"/>
    <w:rsid w:val="00567D67"/>
    <w:rsid w:val="0057000D"/>
    <w:rsid w:val="00570839"/>
    <w:rsid w:val="00570C7E"/>
    <w:rsid w:val="00571447"/>
    <w:rsid w:val="00571834"/>
    <w:rsid w:val="00571922"/>
    <w:rsid w:val="0057199C"/>
    <w:rsid w:val="00571C9C"/>
    <w:rsid w:val="00571D83"/>
    <w:rsid w:val="0057264D"/>
    <w:rsid w:val="00572693"/>
    <w:rsid w:val="005728B8"/>
    <w:rsid w:val="005729BA"/>
    <w:rsid w:val="00572AC5"/>
    <w:rsid w:val="00572BFE"/>
    <w:rsid w:val="00572CFA"/>
    <w:rsid w:val="00573C56"/>
    <w:rsid w:val="00573C5D"/>
    <w:rsid w:val="00573D71"/>
    <w:rsid w:val="00574092"/>
    <w:rsid w:val="00574515"/>
    <w:rsid w:val="005746D3"/>
    <w:rsid w:val="00574A29"/>
    <w:rsid w:val="00574CB1"/>
    <w:rsid w:val="00575595"/>
    <w:rsid w:val="005760C8"/>
    <w:rsid w:val="00576581"/>
    <w:rsid w:val="00576D15"/>
    <w:rsid w:val="00576DBD"/>
    <w:rsid w:val="00576F3B"/>
    <w:rsid w:val="00576FC3"/>
    <w:rsid w:val="005773E0"/>
    <w:rsid w:val="005778D3"/>
    <w:rsid w:val="00577ACE"/>
    <w:rsid w:val="00577B2A"/>
    <w:rsid w:val="00577CB8"/>
    <w:rsid w:val="00580158"/>
    <w:rsid w:val="0058033F"/>
    <w:rsid w:val="0058036B"/>
    <w:rsid w:val="00580756"/>
    <w:rsid w:val="00580809"/>
    <w:rsid w:val="00580BE0"/>
    <w:rsid w:val="00580DEA"/>
    <w:rsid w:val="005811B0"/>
    <w:rsid w:val="0058144A"/>
    <w:rsid w:val="0058160B"/>
    <w:rsid w:val="00581859"/>
    <w:rsid w:val="00581863"/>
    <w:rsid w:val="005818DA"/>
    <w:rsid w:val="00581CFE"/>
    <w:rsid w:val="00582247"/>
    <w:rsid w:val="0058247A"/>
    <w:rsid w:val="00582B4F"/>
    <w:rsid w:val="00582BE2"/>
    <w:rsid w:val="005830A3"/>
    <w:rsid w:val="005832EC"/>
    <w:rsid w:val="00583ABA"/>
    <w:rsid w:val="00583B1B"/>
    <w:rsid w:val="00583D76"/>
    <w:rsid w:val="00583DE5"/>
    <w:rsid w:val="005843ED"/>
    <w:rsid w:val="00584987"/>
    <w:rsid w:val="00584A2A"/>
    <w:rsid w:val="00584C9B"/>
    <w:rsid w:val="00584F90"/>
    <w:rsid w:val="0058536E"/>
    <w:rsid w:val="005853B9"/>
    <w:rsid w:val="00585685"/>
    <w:rsid w:val="0058596A"/>
    <w:rsid w:val="005861B6"/>
    <w:rsid w:val="00586560"/>
    <w:rsid w:val="0058695D"/>
    <w:rsid w:val="00586C93"/>
    <w:rsid w:val="005878E2"/>
    <w:rsid w:val="005903C4"/>
    <w:rsid w:val="00590C40"/>
    <w:rsid w:val="00590DB6"/>
    <w:rsid w:val="005910EC"/>
    <w:rsid w:val="005912DB"/>
    <w:rsid w:val="005915C9"/>
    <w:rsid w:val="005919E0"/>
    <w:rsid w:val="00591EF0"/>
    <w:rsid w:val="005922EB"/>
    <w:rsid w:val="00592E68"/>
    <w:rsid w:val="00592FB6"/>
    <w:rsid w:val="005934BC"/>
    <w:rsid w:val="0059357F"/>
    <w:rsid w:val="005937D6"/>
    <w:rsid w:val="0059387E"/>
    <w:rsid w:val="005939A1"/>
    <w:rsid w:val="00593A7D"/>
    <w:rsid w:val="00593AC5"/>
    <w:rsid w:val="00594061"/>
    <w:rsid w:val="0059407F"/>
    <w:rsid w:val="005943CD"/>
    <w:rsid w:val="0059449B"/>
    <w:rsid w:val="005947F8"/>
    <w:rsid w:val="00594CA3"/>
    <w:rsid w:val="005954D6"/>
    <w:rsid w:val="005959D3"/>
    <w:rsid w:val="00595DF3"/>
    <w:rsid w:val="00596000"/>
    <w:rsid w:val="005963A6"/>
    <w:rsid w:val="0059660F"/>
    <w:rsid w:val="00596706"/>
    <w:rsid w:val="00596D5A"/>
    <w:rsid w:val="00596F2C"/>
    <w:rsid w:val="00597265"/>
    <w:rsid w:val="00597387"/>
    <w:rsid w:val="005974D8"/>
    <w:rsid w:val="00597697"/>
    <w:rsid w:val="00597902"/>
    <w:rsid w:val="00597A69"/>
    <w:rsid w:val="00597F9D"/>
    <w:rsid w:val="005A02F6"/>
    <w:rsid w:val="005A0358"/>
    <w:rsid w:val="005A0AAA"/>
    <w:rsid w:val="005A0EA9"/>
    <w:rsid w:val="005A0EB5"/>
    <w:rsid w:val="005A119E"/>
    <w:rsid w:val="005A1481"/>
    <w:rsid w:val="005A1591"/>
    <w:rsid w:val="005A196F"/>
    <w:rsid w:val="005A1A2B"/>
    <w:rsid w:val="005A1B7E"/>
    <w:rsid w:val="005A1EEC"/>
    <w:rsid w:val="005A2494"/>
    <w:rsid w:val="005A28EE"/>
    <w:rsid w:val="005A28FA"/>
    <w:rsid w:val="005A2942"/>
    <w:rsid w:val="005A2DC7"/>
    <w:rsid w:val="005A31A5"/>
    <w:rsid w:val="005A323F"/>
    <w:rsid w:val="005A340D"/>
    <w:rsid w:val="005A3592"/>
    <w:rsid w:val="005A359F"/>
    <w:rsid w:val="005A36DA"/>
    <w:rsid w:val="005A385B"/>
    <w:rsid w:val="005A3908"/>
    <w:rsid w:val="005A3AFE"/>
    <w:rsid w:val="005A40AE"/>
    <w:rsid w:val="005A42AE"/>
    <w:rsid w:val="005A454D"/>
    <w:rsid w:val="005A4566"/>
    <w:rsid w:val="005A4615"/>
    <w:rsid w:val="005A47D2"/>
    <w:rsid w:val="005A4F19"/>
    <w:rsid w:val="005A501B"/>
    <w:rsid w:val="005A5172"/>
    <w:rsid w:val="005A5193"/>
    <w:rsid w:val="005A52AA"/>
    <w:rsid w:val="005A53BB"/>
    <w:rsid w:val="005A5510"/>
    <w:rsid w:val="005A5FEA"/>
    <w:rsid w:val="005A63BD"/>
    <w:rsid w:val="005A6521"/>
    <w:rsid w:val="005A6563"/>
    <w:rsid w:val="005A66C0"/>
    <w:rsid w:val="005A6B1B"/>
    <w:rsid w:val="005A6E95"/>
    <w:rsid w:val="005A6E99"/>
    <w:rsid w:val="005A6F3B"/>
    <w:rsid w:val="005A6F74"/>
    <w:rsid w:val="005A74FA"/>
    <w:rsid w:val="005A7AB6"/>
    <w:rsid w:val="005A7CB8"/>
    <w:rsid w:val="005A7DDB"/>
    <w:rsid w:val="005B02D8"/>
    <w:rsid w:val="005B043C"/>
    <w:rsid w:val="005B0A64"/>
    <w:rsid w:val="005B0D48"/>
    <w:rsid w:val="005B1079"/>
    <w:rsid w:val="005B1095"/>
    <w:rsid w:val="005B1473"/>
    <w:rsid w:val="005B18EB"/>
    <w:rsid w:val="005B1915"/>
    <w:rsid w:val="005B1CA6"/>
    <w:rsid w:val="005B1CB2"/>
    <w:rsid w:val="005B1EA1"/>
    <w:rsid w:val="005B1F01"/>
    <w:rsid w:val="005B2166"/>
    <w:rsid w:val="005B24E2"/>
    <w:rsid w:val="005B251F"/>
    <w:rsid w:val="005B25E3"/>
    <w:rsid w:val="005B35E4"/>
    <w:rsid w:val="005B3837"/>
    <w:rsid w:val="005B3BCD"/>
    <w:rsid w:val="005B3BEA"/>
    <w:rsid w:val="005B3EC3"/>
    <w:rsid w:val="005B4941"/>
    <w:rsid w:val="005B4974"/>
    <w:rsid w:val="005B4D4C"/>
    <w:rsid w:val="005B4E40"/>
    <w:rsid w:val="005B5218"/>
    <w:rsid w:val="005B59EB"/>
    <w:rsid w:val="005B5A9F"/>
    <w:rsid w:val="005B5F5E"/>
    <w:rsid w:val="005B6658"/>
    <w:rsid w:val="005B6939"/>
    <w:rsid w:val="005B6A86"/>
    <w:rsid w:val="005B6B0E"/>
    <w:rsid w:val="005B70C7"/>
    <w:rsid w:val="005B7254"/>
    <w:rsid w:val="005B773F"/>
    <w:rsid w:val="005B7B5E"/>
    <w:rsid w:val="005C00D5"/>
    <w:rsid w:val="005C02A4"/>
    <w:rsid w:val="005C0BA6"/>
    <w:rsid w:val="005C0D38"/>
    <w:rsid w:val="005C0F2F"/>
    <w:rsid w:val="005C1117"/>
    <w:rsid w:val="005C1378"/>
    <w:rsid w:val="005C17E6"/>
    <w:rsid w:val="005C185E"/>
    <w:rsid w:val="005C1A21"/>
    <w:rsid w:val="005C1A83"/>
    <w:rsid w:val="005C1BCA"/>
    <w:rsid w:val="005C2146"/>
    <w:rsid w:val="005C2884"/>
    <w:rsid w:val="005C2999"/>
    <w:rsid w:val="005C2DB4"/>
    <w:rsid w:val="005C3135"/>
    <w:rsid w:val="005C32B7"/>
    <w:rsid w:val="005C3446"/>
    <w:rsid w:val="005C3517"/>
    <w:rsid w:val="005C3968"/>
    <w:rsid w:val="005C3C14"/>
    <w:rsid w:val="005C3C74"/>
    <w:rsid w:val="005C4259"/>
    <w:rsid w:val="005C4DBF"/>
    <w:rsid w:val="005C5039"/>
    <w:rsid w:val="005C5152"/>
    <w:rsid w:val="005C530D"/>
    <w:rsid w:val="005C54AD"/>
    <w:rsid w:val="005C565B"/>
    <w:rsid w:val="005C5B56"/>
    <w:rsid w:val="005C5BAA"/>
    <w:rsid w:val="005C5C1E"/>
    <w:rsid w:val="005C5C8D"/>
    <w:rsid w:val="005C5E9A"/>
    <w:rsid w:val="005C5ED9"/>
    <w:rsid w:val="005C679A"/>
    <w:rsid w:val="005C68D5"/>
    <w:rsid w:val="005C6B53"/>
    <w:rsid w:val="005C6D01"/>
    <w:rsid w:val="005C6E97"/>
    <w:rsid w:val="005C6EE7"/>
    <w:rsid w:val="005C7379"/>
    <w:rsid w:val="005C739B"/>
    <w:rsid w:val="005C73B1"/>
    <w:rsid w:val="005C7637"/>
    <w:rsid w:val="005C785C"/>
    <w:rsid w:val="005C7F6F"/>
    <w:rsid w:val="005C7FF1"/>
    <w:rsid w:val="005D02E0"/>
    <w:rsid w:val="005D04F9"/>
    <w:rsid w:val="005D0619"/>
    <w:rsid w:val="005D067B"/>
    <w:rsid w:val="005D0F97"/>
    <w:rsid w:val="005D1091"/>
    <w:rsid w:val="005D124C"/>
    <w:rsid w:val="005D19D2"/>
    <w:rsid w:val="005D1AC8"/>
    <w:rsid w:val="005D1C53"/>
    <w:rsid w:val="005D1C99"/>
    <w:rsid w:val="005D1E26"/>
    <w:rsid w:val="005D1EDD"/>
    <w:rsid w:val="005D211F"/>
    <w:rsid w:val="005D2560"/>
    <w:rsid w:val="005D2C89"/>
    <w:rsid w:val="005D2F05"/>
    <w:rsid w:val="005D31B9"/>
    <w:rsid w:val="005D3339"/>
    <w:rsid w:val="005D362F"/>
    <w:rsid w:val="005D38E5"/>
    <w:rsid w:val="005D3C4B"/>
    <w:rsid w:val="005D40E1"/>
    <w:rsid w:val="005D4218"/>
    <w:rsid w:val="005D4671"/>
    <w:rsid w:val="005D4732"/>
    <w:rsid w:val="005D4885"/>
    <w:rsid w:val="005D495E"/>
    <w:rsid w:val="005D4BA8"/>
    <w:rsid w:val="005D4DEC"/>
    <w:rsid w:val="005D542A"/>
    <w:rsid w:val="005D5BA9"/>
    <w:rsid w:val="005D604C"/>
    <w:rsid w:val="005D616D"/>
    <w:rsid w:val="005D6B3E"/>
    <w:rsid w:val="005D6D2F"/>
    <w:rsid w:val="005D715B"/>
    <w:rsid w:val="005D76CC"/>
    <w:rsid w:val="005D781C"/>
    <w:rsid w:val="005D7C19"/>
    <w:rsid w:val="005D7DB8"/>
    <w:rsid w:val="005D7E59"/>
    <w:rsid w:val="005E03AC"/>
    <w:rsid w:val="005E0726"/>
    <w:rsid w:val="005E0D24"/>
    <w:rsid w:val="005E1001"/>
    <w:rsid w:val="005E1034"/>
    <w:rsid w:val="005E119D"/>
    <w:rsid w:val="005E138F"/>
    <w:rsid w:val="005E1408"/>
    <w:rsid w:val="005E1636"/>
    <w:rsid w:val="005E1710"/>
    <w:rsid w:val="005E18E6"/>
    <w:rsid w:val="005E1C24"/>
    <w:rsid w:val="005E205D"/>
    <w:rsid w:val="005E2334"/>
    <w:rsid w:val="005E2941"/>
    <w:rsid w:val="005E3190"/>
    <w:rsid w:val="005E3ADA"/>
    <w:rsid w:val="005E3E27"/>
    <w:rsid w:val="005E46FF"/>
    <w:rsid w:val="005E4937"/>
    <w:rsid w:val="005E498D"/>
    <w:rsid w:val="005E4CB7"/>
    <w:rsid w:val="005E4E88"/>
    <w:rsid w:val="005E4F7E"/>
    <w:rsid w:val="005E617F"/>
    <w:rsid w:val="005E62C7"/>
    <w:rsid w:val="005E6827"/>
    <w:rsid w:val="005E6E49"/>
    <w:rsid w:val="005E7F5F"/>
    <w:rsid w:val="005F0034"/>
    <w:rsid w:val="005F00D5"/>
    <w:rsid w:val="005F04C9"/>
    <w:rsid w:val="005F083F"/>
    <w:rsid w:val="005F0AFC"/>
    <w:rsid w:val="005F0EE2"/>
    <w:rsid w:val="005F12F3"/>
    <w:rsid w:val="005F15B0"/>
    <w:rsid w:val="005F1823"/>
    <w:rsid w:val="005F19A9"/>
    <w:rsid w:val="005F2393"/>
    <w:rsid w:val="005F2C10"/>
    <w:rsid w:val="005F2E49"/>
    <w:rsid w:val="005F301E"/>
    <w:rsid w:val="005F3664"/>
    <w:rsid w:val="005F38DA"/>
    <w:rsid w:val="005F38DF"/>
    <w:rsid w:val="005F399B"/>
    <w:rsid w:val="005F3AB7"/>
    <w:rsid w:val="005F3DA3"/>
    <w:rsid w:val="005F3E84"/>
    <w:rsid w:val="005F4531"/>
    <w:rsid w:val="005F4864"/>
    <w:rsid w:val="005F5246"/>
    <w:rsid w:val="005F55C1"/>
    <w:rsid w:val="005F5739"/>
    <w:rsid w:val="005F58C1"/>
    <w:rsid w:val="005F5C7A"/>
    <w:rsid w:val="005F5E78"/>
    <w:rsid w:val="005F61E2"/>
    <w:rsid w:val="005F6202"/>
    <w:rsid w:val="005F6338"/>
    <w:rsid w:val="005F6491"/>
    <w:rsid w:val="005F696D"/>
    <w:rsid w:val="005F6D5B"/>
    <w:rsid w:val="005F72C7"/>
    <w:rsid w:val="005F74F2"/>
    <w:rsid w:val="005F759B"/>
    <w:rsid w:val="005F7FF3"/>
    <w:rsid w:val="00600386"/>
    <w:rsid w:val="006006AA"/>
    <w:rsid w:val="006007A1"/>
    <w:rsid w:val="00600EE2"/>
    <w:rsid w:val="006011A6"/>
    <w:rsid w:val="006011F5"/>
    <w:rsid w:val="006018AD"/>
    <w:rsid w:val="00601941"/>
    <w:rsid w:val="00602639"/>
    <w:rsid w:val="00602682"/>
    <w:rsid w:val="00602AB2"/>
    <w:rsid w:val="00602C99"/>
    <w:rsid w:val="00602DEB"/>
    <w:rsid w:val="00603598"/>
    <w:rsid w:val="006035B5"/>
    <w:rsid w:val="00603C5C"/>
    <w:rsid w:val="00603EDA"/>
    <w:rsid w:val="006040A9"/>
    <w:rsid w:val="00604119"/>
    <w:rsid w:val="00604183"/>
    <w:rsid w:val="0060424C"/>
    <w:rsid w:val="0060426D"/>
    <w:rsid w:val="00604AE9"/>
    <w:rsid w:val="00604DC8"/>
    <w:rsid w:val="00604E1B"/>
    <w:rsid w:val="006050E6"/>
    <w:rsid w:val="00605174"/>
    <w:rsid w:val="006055F7"/>
    <w:rsid w:val="006057D9"/>
    <w:rsid w:val="00605838"/>
    <w:rsid w:val="00605986"/>
    <w:rsid w:val="00605B32"/>
    <w:rsid w:val="0060605B"/>
    <w:rsid w:val="0060615F"/>
    <w:rsid w:val="00606211"/>
    <w:rsid w:val="0060640D"/>
    <w:rsid w:val="0060654B"/>
    <w:rsid w:val="006066EB"/>
    <w:rsid w:val="00606714"/>
    <w:rsid w:val="00606780"/>
    <w:rsid w:val="00606A0F"/>
    <w:rsid w:val="00606BAB"/>
    <w:rsid w:val="00606D41"/>
    <w:rsid w:val="00606D4D"/>
    <w:rsid w:val="00606D65"/>
    <w:rsid w:val="00607127"/>
    <w:rsid w:val="00607922"/>
    <w:rsid w:val="006079A8"/>
    <w:rsid w:val="006079DB"/>
    <w:rsid w:val="00607B41"/>
    <w:rsid w:val="00607B8A"/>
    <w:rsid w:val="00607D0B"/>
    <w:rsid w:val="00607FFD"/>
    <w:rsid w:val="00610263"/>
    <w:rsid w:val="00610337"/>
    <w:rsid w:val="006108EB"/>
    <w:rsid w:val="00610944"/>
    <w:rsid w:val="00610ABF"/>
    <w:rsid w:val="00610E33"/>
    <w:rsid w:val="00610F08"/>
    <w:rsid w:val="00610FB6"/>
    <w:rsid w:val="006110F9"/>
    <w:rsid w:val="0061137C"/>
    <w:rsid w:val="0061183A"/>
    <w:rsid w:val="006119A1"/>
    <w:rsid w:val="00611A45"/>
    <w:rsid w:val="00611CF6"/>
    <w:rsid w:val="00611E8D"/>
    <w:rsid w:val="00612077"/>
    <w:rsid w:val="006121A8"/>
    <w:rsid w:val="006122B8"/>
    <w:rsid w:val="006127EA"/>
    <w:rsid w:val="006129DD"/>
    <w:rsid w:val="00612C35"/>
    <w:rsid w:val="00612ED5"/>
    <w:rsid w:val="00612EED"/>
    <w:rsid w:val="00612F5A"/>
    <w:rsid w:val="00613393"/>
    <w:rsid w:val="00613BFA"/>
    <w:rsid w:val="00614808"/>
    <w:rsid w:val="0061485A"/>
    <w:rsid w:val="00614D0D"/>
    <w:rsid w:val="00614D26"/>
    <w:rsid w:val="00614F83"/>
    <w:rsid w:val="006150F0"/>
    <w:rsid w:val="00615729"/>
    <w:rsid w:val="00615926"/>
    <w:rsid w:val="00615949"/>
    <w:rsid w:val="00615C29"/>
    <w:rsid w:val="00615DAD"/>
    <w:rsid w:val="006160B7"/>
    <w:rsid w:val="00616732"/>
    <w:rsid w:val="00616C1A"/>
    <w:rsid w:val="006173FB"/>
    <w:rsid w:val="0061740A"/>
    <w:rsid w:val="00617CF4"/>
    <w:rsid w:val="00617FD0"/>
    <w:rsid w:val="00620413"/>
    <w:rsid w:val="006204F8"/>
    <w:rsid w:val="00620A4D"/>
    <w:rsid w:val="00620BFF"/>
    <w:rsid w:val="00620C4F"/>
    <w:rsid w:val="00620D24"/>
    <w:rsid w:val="00620D4B"/>
    <w:rsid w:val="00621142"/>
    <w:rsid w:val="00621290"/>
    <w:rsid w:val="006213A4"/>
    <w:rsid w:val="00621878"/>
    <w:rsid w:val="00622149"/>
    <w:rsid w:val="006221C2"/>
    <w:rsid w:val="006225FE"/>
    <w:rsid w:val="00622653"/>
    <w:rsid w:val="00622CA4"/>
    <w:rsid w:val="00622F86"/>
    <w:rsid w:val="00622FFB"/>
    <w:rsid w:val="0062346C"/>
    <w:rsid w:val="006237B5"/>
    <w:rsid w:val="006238B6"/>
    <w:rsid w:val="006238BB"/>
    <w:rsid w:val="00623C27"/>
    <w:rsid w:val="00623C3F"/>
    <w:rsid w:val="00623C42"/>
    <w:rsid w:val="00623D25"/>
    <w:rsid w:val="00623DFE"/>
    <w:rsid w:val="0062458E"/>
    <w:rsid w:val="00624CD7"/>
    <w:rsid w:val="00624D11"/>
    <w:rsid w:val="00624F95"/>
    <w:rsid w:val="006252C4"/>
    <w:rsid w:val="00625345"/>
    <w:rsid w:val="00625420"/>
    <w:rsid w:val="0062544F"/>
    <w:rsid w:val="00625867"/>
    <w:rsid w:val="006258CC"/>
    <w:rsid w:val="00625A6B"/>
    <w:rsid w:val="00625C0F"/>
    <w:rsid w:val="00626018"/>
    <w:rsid w:val="006262D6"/>
    <w:rsid w:val="006266D3"/>
    <w:rsid w:val="00626792"/>
    <w:rsid w:val="00626CB2"/>
    <w:rsid w:val="0062708A"/>
    <w:rsid w:val="00627521"/>
    <w:rsid w:val="006278B1"/>
    <w:rsid w:val="00627BF3"/>
    <w:rsid w:val="006302B7"/>
    <w:rsid w:val="00630422"/>
    <w:rsid w:val="00630498"/>
    <w:rsid w:val="006305E4"/>
    <w:rsid w:val="00630EBA"/>
    <w:rsid w:val="00631131"/>
    <w:rsid w:val="0063156F"/>
    <w:rsid w:val="006317C0"/>
    <w:rsid w:val="0063193F"/>
    <w:rsid w:val="006319B9"/>
    <w:rsid w:val="00631FD8"/>
    <w:rsid w:val="00632EB1"/>
    <w:rsid w:val="00633B54"/>
    <w:rsid w:val="00633BC7"/>
    <w:rsid w:val="00633C9E"/>
    <w:rsid w:val="00633CC2"/>
    <w:rsid w:val="00633D67"/>
    <w:rsid w:val="00634270"/>
    <w:rsid w:val="00634290"/>
    <w:rsid w:val="00634303"/>
    <w:rsid w:val="00634408"/>
    <w:rsid w:val="0063441F"/>
    <w:rsid w:val="00634725"/>
    <w:rsid w:val="00634C75"/>
    <w:rsid w:val="0063552B"/>
    <w:rsid w:val="00635619"/>
    <w:rsid w:val="0063580C"/>
    <w:rsid w:val="00635C20"/>
    <w:rsid w:val="00636162"/>
    <w:rsid w:val="006362D0"/>
    <w:rsid w:val="006365C0"/>
    <w:rsid w:val="00636942"/>
    <w:rsid w:val="00636E9E"/>
    <w:rsid w:val="0063714B"/>
    <w:rsid w:val="006376A0"/>
    <w:rsid w:val="00637A02"/>
    <w:rsid w:val="00637EA2"/>
    <w:rsid w:val="00640248"/>
    <w:rsid w:val="00640478"/>
    <w:rsid w:val="00640600"/>
    <w:rsid w:val="00640ABA"/>
    <w:rsid w:val="00640DED"/>
    <w:rsid w:val="00641023"/>
    <w:rsid w:val="00641535"/>
    <w:rsid w:val="00641735"/>
    <w:rsid w:val="006419FD"/>
    <w:rsid w:val="00641AD1"/>
    <w:rsid w:val="00641C33"/>
    <w:rsid w:val="00641F6A"/>
    <w:rsid w:val="00642200"/>
    <w:rsid w:val="006424C6"/>
    <w:rsid w:val="00642BAC"/>
    <w:rsid w:val="00642F29"/>
    <w:rsid w:val="006432AC"/>
    <w:rsid w:val="006436D4"/>
    <w:rsid w:val="00643898"/>
    <w:rsid w:val="006439E4"/>
    <w:rsid w:val="006441FF"/>
    <w:rsid w:val="00644648"/>
    <w:rsid w:val="006448D3"/>
    <w:rsid w:val="00644935"/>
    <w:rsid w:val="00644CFA"/>
    <w:rsid w:val="00645279"/>
    <w:rsid w:val="006452B3"/>
    <w:rsid w:val="00645312"/>
    <w:rsid w:val="0064538A"/>
    <w:rsid w:val="00645618"/>
    <w:rsid w:val="006456AB"/>
    <w:rsid w:val="00645B7B"/>
    <w:rsid w:val="00645D32"/>
    <w:rsid w:val="00646181"/>
    <w:rsid w:val="00646501"/>
    <w:rsid w:val="006465D7"/>
    <w:rsid w:val="0064666D"/>
    <w:rsid w:val="006469FB"/>
    <w:rsid w:val="00646B18"/>
    <w:rsid w:val="00646F4C"/>
    <w:rsid w:val="006470AB"/>
    <w:rsid w:val="00647194"/>
    <w:rsid w:val="0064724A"/>
    <w:rsid w:val="006473D4"/>
    <w:rsid w:val="006474DD"/>
    <w:rsid w:val="006478D9"/>
    <w:rsid w:val="006479BB"/>
    <w:rsid w:val="00647D75"/>
    <w:rsid w:val="00647DB8"/>
    <w:rsid w:val="0065010C"/>
    <w:rsid w:val="0065019F"/>
    <w:rsid w:val="00650236"/>
    <w:rsid w:val="0065037A"/>
    <w:rsid w:val="0065042A"/>
    <w:rsid w:val="00650789"/>
    <w:rsid w:val="00650945"/>
    <w:rsid w:val="00650A63"/>
    <w:rsid w:val="00650A79"/>
    <w:rsid w:val="00650C35"/>
    <w:rsid w:val="00650DD7"/>
    <w:rsid w:val="00650F69"/>
    <w:rsid w:val="00651007"/>
    <w:rsid w:val="006511D0"/>
    <w:rsid w:val="00651323"/>
    <w:rsid w:val="0065137D"/>
    <w:rsid w:val="00651389"/>
    <w:rsid w:val="00651404"/>
    <w:rsid w:val="00651649"/>
    <w:rsid w:val="00651680"/>
    <w:rsid w:val="006516F7"/>
    <w:rsid w:val="006519F8"/>
    <w:rsid w:val="00651E57"/>
    <w:rsid w:val="00652171"/>
    <w:rsid w:val="00652CD9"/>
    <w:rsid w:val="00653380"/>
    <w:rsid w:val="0065341A"/>
    <w:rsid w:val="00653479"/>
    <w:rsid w:val="0065349A"/>
    <w:rsid w:val="006535E5"/>
    <w:rsid w:val="006536E6"/>
    <w:rsid w:val="00653A21"/>
    <w:rsid w:val="00653F60"/>
    <w:rsid w:val="00653FDB"/>
    <w:rsid w:val="00654356"/>
    <w:rsid w:val="00654424"/>
    <w:rsid w:val="006545ED"/>
    <w:rsid w:val="00654865"/>
    <w:rsid w:val="00654979"/>
    <w:rsid w:val="00654B19"/>
    <w:rsid w:val="00654D01"/>
    <w:rsid w:val="00654FA8"/>
    <w:rsid w:val="00655164"/>
    <w:rsid w:val="00655340"/>
    <w:rsid w:val="006556F8"/>
    <w:rsid w:val="006560AB"/>
    <w:rsid w:val="00656274"/>
    <w:rsid w:val="00656410"/>
    <w:rsid w:val="0065678F"/>
    <w:rsid w:val="00656893"/>
    <w:rsid w:val="00656D9F"/>
    <w:rsid w:val="006570D0"/>
    <w:rsid w:val="006573B8"/>
    <w:rsid w:val="006574A7"/>
    <w:rsid w:val="00657648"/>
    <w:rsid w:val="006577D0"/>
    <w:rsid w:val="00657F89"/>
    <w:rsid w:val="006600AA"/>
    <w:rsid w:val="00660453"/>
    <w:rsid w:val="00660784"/>
    <w:rsid w:val="00660B16"/>
    <w:rsid w:val="00660D6A"/>
    <w:rsid w:val="006610DB"/>
    <w:rsid w:val="00661144"/>
    <w:rsid w:val="00661363"/>
    <w:rsid w:val="006613DB"/>
    <w:rsid w:val="006613F5"/>
    <w:rsid w:val="0066170E"/>
    <w:rsid w:val="00661AAB"/>
    <w:rsid w:val="00661C31"/>
    <w:rsid w:val="00661E03"/>
    <w:rsid w:val="006628A8"/>
    <w:rsid w:val="00662A4E"/>
    <w:rsid w:val="00663690"/>
    <w:rsid w:val="00663BC8"/>
    <w:rsid w:val="00663E2D"/>
    <w:rsid w:val="0066410B"/>
    <w:rsid w:val="00664657"/>
    <w:rsid w:val="00664C7F"/>
    <w:rsid w:val="00664E2E"/>
    <w:rsid w:val="00664EDC"/>
    <w:rsid w:val="0066511C"/>
    <w:rsid w:val="00665533"/>
    <w:rsid w:val="006658BF"/>
    <w:rsid w:val="00665969"/>
    <w:rsid w:val="00666245"/>
    <w:rsid w:val="00666247"/>
    <w:rsid w:val="006663EC"/>
    <w:rsid w:val="0066671B"/>
    <w:rsid w:val="00666BD5"/>
    <w:rsid w:val="00667596"/>
    <w:rsid w:val="00667F4A"/>
    <w:rsid w:val="0067031E"/>
    <w:rsid w:val="006707B8"/>
    <w:rsid w:val="00670C3E"/>
    <w:rsid w:val="00670D3F"/>
    <w:rsid w:val="00671019"/>
    <w:rsid w:val="00671323"/>
    <w:rsid w:val="00671DD6"/>
    <w:rsid w:val="0067208B"/>
    <w:rsid w:val="006722FA"/>
    <w:rsid w:val="0067245D"/>
    <w:rsid w:val="00672661"/>
    <w:rsid w:val="00672674"/>
    <w:rsid w:val="00672716"/>
    <w:rsid w:val="0067277B"/>
    <w:rsid w:val="00672A17"/>
    <w:rsid w:val="00672AEB"/>
    <w:rsid w:val="00672B21"/>
    <w:rsid w:val="00672BE9"/>
    <w:rsid w:val="00672EB8"/>
    <w:rsid w:val="006732FD"/>
    <w:rsid w:val="006733C6"/>
    <w:rsid w:val="006733D2"/>
    <w:rsid w:val="006735C8"/>
    <w:rsid w:val="00674220"/>
    <w:rsid w:val="006743FF"/>
    <w:rsid w:val="00674D28"/>
    <w:rsid w:val="0067556D"/>
    <w:rsid w:val="00675BE8"/>
    <w:rsid w:val="0067624B"/>
    <w:rsid w:val="00676347"/>
    <w:rsid w:val="0067664A"/>
    <w:rsid w:val="006767BF"/>
    <w:rsid w:val="00676E8A"/>
    <w:rsid w:val="006772C0"/>
    <w:rsid w:val="006775A2"/>
    <w:rsid w:val="006775D1"/>
    <w:rsid w:val="006801BC"/>
    <w:rsid w:val="006803E5"/>
    <w:rsid w:val="00680B37"/>
    <w:rsid w:val="00681610"/>
    <w:rsid w:val="0068195E"/>
    <w:rsid w:val="00681CDD"/>
    <w:rsid w:val="00682418"/>
    <w:rsid w:val="00682671"/>
    <w:rsid w:val="00682D85"/>
    <w:rsid w:val="00682F40"/>
    <w:rsid w:val="00683196"/>
    <w:rsid w:val="0068339B"/>
    <w:rsid w:val="006836A5"/>
    <w:rsid w:val="00683D92"/>
    <w:rsid w:val="006842DF"/>
    <w:rsid w:val="0068453C"/>
    <w:rsid w:val="006845CD"/>
    <w:rsid w:val="0068484B"/>
    <w:rsid w:val="00684BFF"/>
    <w:rsid w:val="00684E0A"/>
    <w:rsid w:val="0068506B"/>
    <w:rsid w:val="006851A5"/>
    <w:rsid w:val="0068523D"/>
    <w:rsid w:val="00685437"/>
    <w:rsid w:val="0068548B"/>
    <w:rsid w:val="00685AC0"/>
    <w:rsid w:val="00685D32"/>
    <w:rsid w:val="00686286"/>
    <w:rsid w:val="006866C7"/>
    <w:rsid w:val="00686796"/>
    <w:rsid w:val="00686B06"/>
    <w:rsid w:val="00686CB5"/>
    <w:rsid w:val="006871AE"/>
    <w:rsid w:val="006871DF"/>
    <w:rsid w:val="00687565"/>
    <w:rsid w:val="0068777B"/>
    <w:rsid w:val="00687C46"/>
    <w:rsid w:val="00687E91"/>
    <w:rsid w:val="00687FC6"/>
    <w:rsid w:val="00687FDD"/>
    <w:rsid w:val="0069006F"/>
    <w:rsid w:val="006901A7"/>
    <w:rsid w:val="00690CE6"/>
    <w:rsid w:val="00690D18"/>
    <w:rsid w:val="00690D6D"/>
    <w:rsid w:val="00690E50"/>
    <w:rsid w:val="0069126E"/>
    <w:rsid w:val="00691484"/>
    <w:rsid w:val="006914FB"/>
    <w:rsid w:val="00691821"/>
    <w:rsid w:val="00691847"/>
    <w:rsid w:val="00691972"/>
    <w:rsid w:val="00691A32"/>
    <w:rsid w:val="00691DEF"/>
    <w:rsid w:val="00692064"/>
    <w:rsid w:val="006922B5"/>
    <w:rsid w:val="0069272A"/>
    <w:rsid w:val="006928FD"/>
    <w:rsid w:val="00692949"/>
    <w:rsid w:val="00692BA4"/>
    <w:rsid w:val="00692C25"/>
    <w:rsid w:val="006931CF"/>
    <w:rsid w:val="006937FF"/>
    <w:rsid w:val="006939D0"/>
    <w:rsid w:val="006939F3"/>
    <w:rsid w:val="00693D55"/>
    <w:rsid w:val="00693DD9"/>
    <w:rsid w:val="006941AE"/>
    <w:rsid w:val="006947C3"/>
    <w:rsid w:val="006948F4"/>
    <w:rsid w:val="00694914"/>
    <w:rsid w:val="006949A8"/>
    <w:rsid w:val="00695BBE"/>
    <w:rsid w:val="00695C7E"/>
    <w:rsid w:val="00695EF3"/>
    <w:rsid w:val="00695F54"/>
    <w:rsid w:val="00696017"/>
    <w:rsid w:val="00696129"/>
    <w:rsid w:val="00696569"/>
    <w:rsid w:val="00696CDF"/>
    <w:rsid w:val="00696E76"/>
    <w:rsid w:val="00696E8B"/>
    <w:rsid w:val="00697218"/>
    <w:rsid w:val="006973EA"/>
    <w:rsid w:val="0069743E"/>
    <w:rsid w:val="0069775F"/>
    <w:rsid w:val="00697AA2"/>
    <w:rsid w:val="00697B16"/>
    <w:rsid w:val="00697D53"/>
    <w:rsid w:val="006A00A8"/>
    <w:rsid w:val="006A00FA"/>
    <w:rsid w:val="006A0500"/>
    <w:rsid w:val="006A0775"/>
    <w:rsid w:val="006A0AD0"/>
    <w:rsid w:val="006A0B7B"/>
    <w:rsid w:val="006A0D2E"/>
    <w:rsid w:val="006A0E7E"/>
    <w:rsid w:val="006A117F"/>
    <w:rsid w:val="006A1333"/>
    <w:rsid w:val="006A1702"/>
    <w:rsid w:val="006A1737"/>
    <w:rsid w:val="006A1748"/>
    <w:rsid w:val="006A1E3E"/>
    <w:rsid w:val="006A1E87"/>
    <w:rsid w:val="006A209C"/>
    <w:rsid w:val="006A20EA"/>
    <w:rsid w:val="006A21CE"/>
    <w:rsid w:val="006A225A"/>
    <w:rsid w:val="006A2454"/>
    <w:rsid w:val="006A2A1C"/>
    <w:rsid w:val="006A2A3A"/>
    <w:rsid w:val="006A2B16"/>
    <w:rsid w:val="006A2B1E"/>
    <w:rsid w:val="006A31A9"/>
    <w:rsid w:val="006A357D"/>
    <w:rsid w:val="006A3857"/>
    <w:rsid w:val="006A3866"/>
    <w:rsid w:val="006A39D2"/>
    <w:rsid w:val="006A47EA"/>
    <w:rsid w:val="006A48C8"/>
    <w:rsid w:val="006A49C7"/>
    <w:rsid w:val="006A4AE7"/>
    <w:rsid w:val="006A4FC1"/>
    <w:rsid w:val="006A507D"/>
    <w:rsid w:val="006A5244"/>
    <w:rsid w:val="006A5281"/>
    <w:rsid w:val="006A52ED"/>
    <w:rsid w:val="006A565A"/>
    <w:rsid w:val="006A5A93"/>
    <w:rsid w:val="006A5E47"/>
    <w:rsid w:val="006A64B7"/>
    <w:rsid w:val="006A66A1"/>
    <w:rsid w:val="006A6854"/>
    <w:rsid w:val="006A6891"/>
    <w:rsid w:val="006A6D81"/>
    <w:rsid w:val="006A6F3E"/>
    <w:rsid w:val="006A7188"/>
    <w:rsid w:val="006A735C"/>
    <w:rsid w:val="006A76C4"/>
    <w:rsid w:val="006A79F0"/>
    <w:rsid w:val="006A7B17"/>
    <w:rsid w:val="006A7CF2"/>
    <w:rsid w:val="006A7E3B"/>
    <w:rsid w:val="006B0313"/>
    <w:rsid w:val="006B03C9"/>
    <w:rsid w:val="006B0843"/>
    <w:rsid w:val="006B0CF2"/>
    <w:rsid w:val="006B1336"/>
    <w:rsid w:val="006B13D4"/>
    <w:rsid w:val="006B1473"/>
    <w:rsid w:val="006B1601"/>
    <w:rsid w:val="006B169B"/>
    <w:rsid w:val="006B1E56"/>
    <w:rsid w:val="006B21BD"/>
    <w:rsid w:val="006B21F5"/>
    <w:rsid w:val="006B23F9"/>
    <w:rsid w:val="006B2608"/>
    <w:rsid w:val="006B2922"/>
    <w:rsid w:val="006B2BCC"/>
    <w:rsid w:val="006B2C65"/>
    <w:rsid w:val="006B32E3"/>
    <w:rsid w:val="006B33D9"/>
    <w:rsid w:val="006B33DF"/>
    <w:rsid w:val="006B346F"/>
    <w:rsid w:val="006B356F"/>
    <w:rsid w:val="006B3C8B"/>
    <w:rsid w:val="006B42BC"/>
    <w:rsid w:val="006B46B9"/>
    <w:rsid w:val="006B472D"/>
    <w:rsid w:val="006B4FB9"/>
    <w:rsid w:val="006B50C5"/>
    <w:rsid w:val="006B54BC"/>
    <w:rsid w:val="006B58DA"/>
    <w:rsid w:val="006B5A43"/>
    <w:rsid w:val="006B60B2"/>
    <w:rsid w:val="006B62DB"/>
    <w:rsid w:val="006B63A7"/>
    <w:rsid w:val="006B65FB"/>
    <w:rsid w:val="006B66AB"/>
    <w:rsid w:val="006B679E"/>
    <w:rsid w:val="006B6919"/>
    <w:rsid w:val="006B6ACF"/>
    <w:rsid w:val="006B6B47"/>
    <w:rsid w:val="006B6B81"/>
    <w:rsid w:val="006B6F63"/>
    <w:rsid w:val="006B6F82"/>
    <w:rsid w:val="006B71ED"/>
    <w:rsid w:val="006B722D"/>
    <w:rsid w:val="006B72FE"/>
    <w:rsid w:val="006B76A0"/>
    <w:rsid w:val="006B7807"/>
    <w:rsid w:val="006B78DA"/>
    <w:rsid w:val="006B7E0E"/>
    <w:rsid w:val="006B7F15"/>
    <w:rsid w:val="006B7F32"/>
    <w:rsid w:val="006C019D"/>
    <w:rsid w:val="006C0405"/>
    <w:rsid w:val="006C05A0"/>
    <w:rsid w:val="006C096A"/>
    <w:rsid w:val="006C0ACC"/>
    <w:rsid w:val="006C0D32"/>
    <w:rsid w:val="006C146C"/>
    <w:rsid w:val="006C15A5"/>
    <w:rsid w:val="006C17D0"/>
    <w:rsid w:val="006C1C37"/>
    <w:rsid w:val="006C1E35"/>
    <w:rsid w:val="006C2298"/>
    <w:rsid w:val="006C23D4"/>
    <w:rsid w:val="006C28EF"/>
    <w:rsid w:val="006C2D33"/>
    <w:rsid w:val="006C30CC"/>
    <w:rsid w:val="006C36C7"/>
    <w:rsid w:val="006C3E91"/>
    <w:rsid w:val="006C3F54"/>
    <w:rsid w:val="006C3FFE"/>
    <w:rsid w:val="006C40BC"/>
    <w:rsid w:val="006C412F"/>
    <w:rsid w:val="006C4899"/>
    <w:rsid w:val="006C4AA2"/>
    <w:rsid w:val="006C4EFF"/>
    <w:rsid w:val="006C518E"/>
    <w:rsid w:val="006C53FE"/>
    <w:rsid w:val="006C56E2"/>
    <w:rsid w:val="006C6425"/>
    <w:rsid w:val="006C64FE"/>
    <w:rsid w:val="006C6F2F"/>
    <w:rsid w:val="006C7596"/>
    <w:rsid w:val="006C79EE"/>
    <w:rsid w:val="006C7E12"/>
    <w:rsid w:val="006D001C"/>
    <w:rsid w:val="006D0E7B"/>
    <w:rsid w:val="006D0EB1"/>
    <w:rsid w:val="006D0EF3"/>
    <w:rsid w:val="006D0F09"/>
    <w:rsid w:val="006D1128"/>
    <w:rsid w:val="006D1410"/>
    <w:rsid w:val="006D1633"/>
    <w:rsid w:val="006D193D"/>
    <w:rsid w:val="006D1940"/>
    <w:rsid w:val="006D1986"/>
    <w:rsid w:val="006D1B12"/>
    <w:rsid w:val="006D20B7"/>
    <w:rsid w:val="006D23B9"/>
    <w:rsid w:val="006D2458"/>
    <w:rsid w:val="006D264A"/>
    <w:rsid w:val="006D2743"/>
    <w:rsid w:val="006D277C"/>
    <w:rsid w:val="006D2BB4"/>
    <w:rsid w:val="006D2BEF"/>
    <w:rsid w:val="006D2D16"/>
    <w:rsid w:val="006D30EE"/>
    <w:rsid w:val="006D31D4"/>
    <w:rsid w:val="006D3A94"/>
    <w:rsid w:val="006D3EF0"/>
    <w:rsid w:val="006D4096"/>
    <w:rsid w:val="006D4245"/>
    <w:rsid w:val="006D4414"/>
    <w:rsid w:val="006D452F"/>
    <w:rsid w:val="006D4890"/>
    <w:rsid w:val="006D4913"/>
    <w:rsid w:val="006D4CB7"/>
    <w:rsid w:val="006D51D3"/>
    <w:rsid w:val="006D51F7"/>
    <w:rsid w:val="006D5244"/>
    <w:rsid w:val="006D5566"/>
    <w:rsid w:val="006D563F"/>
    <w:rsid w:val="006D567E"/>
    <w:rsid w:val="006D56A6"/>
    <w:rsid w:val="006D5714"/>
    <w:rsid w:val="006D580B"/>
    <w:rsid w:val="006D59D3"/>
    <w:rsid w:val="006D5E14"/>
    <w:rsid w:val="006D5FE7"/>
    <w:rsid w:val="006D64BB"/>
    <w:rsid w:val="006D676F"/>
    <w:rsid w:val="006D683A"/>
    <w:rsid w:val="006D698B"/>
    <w:rsid w:val="006D6AE6"/>
    <w:rsid w:val="006D70AA"/>
    <w:rsid w:val="006D712A"/>
    <w:rsid w:val="006D71F7"/>
    <w:rsid w:val="006D743C"/>
    <w:rsid w:val="006D7780"/>
    <w:rsid w:val="006D7C53"/>
    <w:rsid w:val="006D7E3E"/>
    <w:rsid w:val="006E0225"/>
    <w:rsid w:val="006E028D"/>
    <w:rsid w:val="006E0437"/>
    <w:rsid w:val="006E0466"/>
    <w:rsid w:val="006E06C5"/>
    <w:rsid w:val="006E0B64"/>
    <w:rsid w:val="006E0C36"/>
    <w:rsid w:val="006E0EC6"/>
    <w:rsid w:val="006E1365"/>
    <w:rsid w:val="006E1815"/>
    <w:rsid w:val="006E1D09"/>
    <w:rsid w:val="006E261A"/>
    <w:rsid w:val="006E26D5"/>
    <w:rsid w:val="006E34BE"/>
    <w:rsid w:val="006E3905"/>
    <w:rsid w:val="006E3B7A"/>
    <w:rsid w:val="006E480A"/>
    <w:rsid w:val="006E50B8"/>
    <w:rsid w:val="006E51BE"/>
    <w:rsid w:val="006E524B"/>
    <w:rsid w:val="006E52B9"/>
    <w:rsid w:val="006E5377"/>
    <w:rsid w:val="006E5383"/>
    <w:rsid w:val="006E552F"/>
    <w:rsid w:val="006E5966"/>
    <w:rsid w:val="006E6132"/>
    <w:rsid w:val="006E636A"/>
    <w:rsid w:val="006E6549"/>
    <w:rsid w:val="006E68A3"/>
    <w:rsid w:val="006E69C7"/>
    <w:rsid w:val="006E6B5E"/>
    <w:rsid w:val="006E7088"/>
    <w:rsid w:val="006E7913"/>
    <w:rsid w:val="006E7A4E"/>
    <w:rsid w:val="006E7B88"/>
    <w:rsid w:val="006E7DE0"/>
    <w:rsid w:val="006F005C"/>
    <w:rsid w:val="006F085E"/>
    <w:rsid w:val="006F08E8"/>
    <w:rsid w:val="006F0D25"/>
    <w:rsid w:val="006F0D7E"/>
    <w:rsid w:val="006F0DC3"/>
    <w:rsid w:val="006F1269"/>
    <w:rsid w:val="006F15E4"/>
    <w:rsid w:val="006F1751"/>
    <w:rsid w:val="006F1883"/>
    <w:rsid w:val="006F1D67"/>
    <w:rsid w:val="006F2425"/>
    <w:rsid w:val="006F243C"/>
    <w:rsid w:val="006F2499"/>
    <w:rsid w:val="006F2731"/>
    <w:rsid w:val="006F2E66"/>
    <w:rsid w:val="006F3013"/>
    <w:rsid w:val="006F30BB"/>
    <w:rsid w:val="006F375C"/>
    <w:rsid w:val="006F3F11"/>
    <w:rsid w:val="006F3FAE"/>
    <w:rsid w:val="006F3FCF"/>
    <w:rsid w:val="006F4145"/>
    <w:rsid w:val="006F4464"/>
    <w:rsid w:val="006F44B5"/>
    <w:rsid w:val="006F4688"/>
    <w:rsid w:val="006F4735"/>
    <w:rsid w:val="006F485D"/>
    <w:rsid w:val="006F48DE"/>
    <w:rsid w:val="006F4B45"/>
    <w:rsid w:val="006F4C90"/>
    <w:rsid w:val="006F52B5"/>
    <w:rsid w:val="006F5942"/>
    <w:rsid w:val="006F5973"/>
    <w:rsid w:val="006F59CB"/>
    <w:rsid w:val="006F64EB"/>
    <w:rsid w:val="006F6B1F"/>
    <w:rsid w:val="006F6D2E"/>
    <w:rsid w:val="006F71F0"/>
    <w:rsid w:val="006F7371"/>
    <w:rsid w:val="006F79D9"/>
    <w:rsid w:val="00700208"/>
    <w:rsid w:val="00700269"/>
    <w:rsid w:val="00700426"/>
    <w:rsid w:val="0070083D"/>
    <w:rsid w:val="0070105A"/>
    <w:rsid w:val="00701140"/>
    <w:rsid w:val="007012AF"/>
    <w:rsid w:val="007014D3"/>
    <w:rsid w:val="00701887"/>
    <w:rsid w:val="00701C11"/>
    <w:rsid w:val="00701EE8"/>
    <w:rsid w:val="0070207B"/>
    <w:rsid w:val="00702166"/>
    <w:rsid w:val="00702237"/>
    <w:rsid w:val="00702352"/>
    <w:rsid w:val="007024E8"/>
    <w:rsid w:val="00702556"/>
    <w:rsid w:val="00702646"/>
    <w:rsid w:val="007026C5"/>
    <w:rsid w:val="007027AE"/>
    <w:rsid w:val="007027DF"/>
    <w:rsid w:val="007031AE"/>
    <w:rsid w:val="007032B7"/>
    <w:rsid w:val="00703580"/>
    <w:rsid w:val="0070358B"/>
    <w:rsid w:val="0070365F"/>
    <w:rsid w:val="007037B5"/>
    <w:rsid w:val="00703B22"/>
    <w:rsid w:val="00703CA4"/>
    <w:rsid w:val="00703EFD"/>
    <w:rsid w:val="0070412A"/>
    <w:rsid w:val="00704322"/>
    <w:rsid w:val="007043DE"/>
    <w:rsid w:val="007045FB"/>
    <w:rsid w:val="00704A6C"/>
    <w:rsid w:val="00704B7A"/>
    <w:rsid w:val="00704BDA"/>
    <w:rsid w:val="00704C19"/>
    <w:rsid w:val="007051AD"/>
    <w:rsid w:val="00705536"/>
    <w:rsid w:val="007055C9"/>
    <w:rsid w:val="00705765"/>
    <w:rsid w:val="00705A8E"/>
    <w:rsid w:val="00705F96"/>
    <w:rsid w:val="007060C5"/>
    <w:rsid w:val="00707664"/>
    <w:rsid w:val="00707C5B"/>
    <w:rsid w:val="00707D50"/>
    <w:rsid w:val="00707F59"/>
    <w:rsid w:val="00710628"/>
    <w:rsid w:val="007107F0"/>
    <w:rsid w:val="00710873"/>
    <w:rsid w:val="00711A17"/>
    <w:rsid w:val="00711B4D"/>
    <w:rsid w:val="0071251C"/>
    <w:rsid w:val="007126D9"/>
    <w:rsid w:val="00712830"/>
    <w:rsid w:val="00712E40"/>
    <w:rsid w:val="00712EB3"/>
    <w:rsid w:val="00713645"/>
    <w:rsid w:val="007137F2"/>
    <w:rsid w:val="00713C1A"/>
    <w:rsid w:val="00713F1B"/>
    <w:rsid w:val="007141FB"/>
    <w:rsid w:val="00714565"/>
    <w:rsid w:val="00714BB3"/>
    <w:rsid w:val="00715AEF"/>
    <w:rsid w:val="00715F50"/>
    <w:rsid w:val="007162F3"/>
    <w:rsid w:val="00716339"/>
    <w:rsid w:val="007163EA"/>
    <w:rsid w:val="00716B1D"/>
    <w:rsid w:val="00716CB0"/>
    <w:rsid w:val="00716CC9"/>
    <w:rsid w:val="0071756F"/>
    <w:rsid w:val="0071762B"/>
    <w:rsid w:val="00717798"/>
    <w:rsid w:val="00717840"/>
    <w:rsid w:val="00717B09"/>
    <w:rsid w:val="0072003F"/>
    <w:rsid w:val="007200B3"/>
    <w:rsid w:val="007206F0"/>
    <w:rsid w:val="00720907"/>
    <w:rsid w:val="00721568"/>
    <w:rsid w:val="00721589"/>
    <w:rsid w:val="007215B0"/>
    <w:rsid w:val="0072169D"/>
    <w:rsid w:val="00721779"/>
    <w:rsid w:val="007218D9"/>
    <w:rsid w:val="007222F7"/>
    <w:rsid w:val="00722574"/>
    <w:rsid w:val="00722D32"/>
    <w:rsid w:val="00722E77"/>
    <w:rsid w:val="00722F06"/>
    <w:rsid w:val="00723363"/>
    <w:rsid w:val="00723D08"/>
    <w:rsid w:val="00723F64"/>
    <w:rsid w:val="00724A36"/>
    <w:rsid w:val="00724A6E"/>
    <w:rsid w:val="0072516D"/>
    <w:rsid w:val="00725F82"/>
    <w:rsid w:val="00725FD0"/>
    <w:rsid w:val="00726211"/>
    <w:rsid w:val="0072666B"/>
    <w:rsid w:val="00726CF4"/>
    <w:rsid w:val="00726E09"/>
    <w:rsid w:val="00726EC4"/>
    <w:rsid w:val="00726F08"/>
    <w:rsid w:val="0072704B"/>
    <w:rsid w:val="00727159"/>
    <w:rsid w:val="0072716D"/>
    <w:rsid w:val="00727874"/>
    <w:rsid w:val="00727A62"/>
    <w:rsid w:val="007300DA"/>
    <w:rsid w:val="00730AB4"/>
    <w:rsid w:val="00730BB5"/>
    <w:rsid w:val="00730C01"/>
    <w:rsid w:val="00730EA5"/>
    <w:rsid w:val="00730FAC"/>
    <w:rsid w:val="007312A4"/>
    <w:rsid w:val="0073143C"/>
    <w:rsid w:val="007314BB"/>
    <w:rsid w:val="007314F7"/>
    <w:rsid w:val="0073150B"/>
    <w:rsid w:val="00731798"/>
    <w:rsid w:val="00731DA8"/>
    <w:rsid w:val="00731F75"/>
    <w:rsid w:val="00732298"/>
    <w:rsid w:val="007324FB"/>
    <w:rsid w:val="007325DA"/>
    <w:rsid w:val="00732B60"/>
    <w:rsid w:val="00732D74"/>
    <w:rsid w:val="00732DFC"/>
    <w:rsid w:val="00732F5A"/>
    <w:rsid w:val="007333DE"/>
    <w:rsid w:val="00733AAC"/>
    <w:rsid w:val="00733B1E"/>
    <w:rsid w:val="00734654"/>
    <w:rsid w:val="007349E1"/>
    <w:rsid w:val="00734C37"/>
    <w:rsid w:val="00735059"/>
    <w:rsid w:val="00735279"/>
    <w:rsid w:val="00735501"/>
    <w:rsid w:val="007358D5"/>
    <w:rsid w:val="00735C30"/>
    <w:rsid w:val="00736300"/>
    <w:rsid w:val="0073675B"/>
    <w:rsid w:val="00736BF5"/>
    <w:rsid w:val="00737339"/>
    <w:rsid w:val="007373B4"/>
    <w:rsid w:val="0073795F"/>
    <w:rsid w:val="00737A6B"/>
    <w:rsid w:val="0074003B"/>
    <w:rsid w:val="007400D9"/>
    <w:rsid w:val="007401C2"/>
    <w:rsid w:val="007402DC"/>
    <w:rsid w:val="007403CB"/>
    <w:rsid w:val="007403DE"/>
    <w:rsid w:val="007407C3"/>
    <w:rsid w:val="00740815"/>
    <w:rsid w:val="007409FC"/>
    <w:rsid w:val="00740B02"/>
    <w:rsid w:val="00740C57"/>
    <w:rsid w:val="00740CDD"/>
    <w:rsid w:val="00741035"/>
    <w:rsid w:val="0074103A"/>
    <w:rsid w:val="007411EB"/>
    <w:rsid w:val="0074159D"/>
    <w:rsid w:val="0074184F"/>
    <w:rsid w:val="00741C51"/>
    <w:rsid w:val="00741E5A"/>
    <w:rsid w:val="00742115"/>
    <w:rsid w:val="007423B1"/>
    <w:rsid w:val="00742423"/>
    <w:rsid w:val="00742495"/>
    <w:rsid w:val="00742A50"/>
    <w:rsid w:val="007437D0"/>
    <w:rsid w:val="00743BC6"/>
    <w:rsid w:val="00743CC2"/>
    <w:rsid w:val="00743D4A"/>
    <w:rsid w:val="00743DF0"/>
    <w:rsid w:val="007446CB"/>
    <w:rsid w:val="007446E3"/>
    <w:rsid w:val="007448C1"/>
    <w:rsid w:val="00744AAE"/>
    <w:rsid w:val="00744E40"/>
    <w:rsid w:val="00744E42"/>
    <w:rsid w:val="00744F07"/>
    <w:rsid w:val="0074518A"/>
    <w:rsid w:val="007456AC"/>
    <w:rsid w:val="00745D08"/>
    <w:rsid w:val="007464E9"/>
    <w:rsid w:val="00746842"/>
    <w:rsid w:val="00746CCF"/>
    <w:rsid w:val="007472F9"/>
    <w:rsid w:val="00747555"/>
    <w:rsid w:val="0074786E"/>
    <w:rsid w:val="00747B80"/>
    <w:rsid w:val="00747BED"/>
    <w:rsid w:val="00750378"/>
    <w:rsid w:val="00750CFB"/>
    <w:rsid w:val="00750DF4"/>
    <w:rsid w:val="00750F04"/>
    <w:rsid w:val="0075111C"/>
    <w:rsid w:val="007512EA"/>
    <w:rsid w:val="007513A5"/>
    <w:rsid w:val="007516DA"/>
    <w:rsid w:val="00751928"/>
    <w:rsid w:val="00751E4A"/>
    <w:rsid w:val="00751EF6"/>
    <w:rsid w:val="007520C2"/>
    <w:rsid w:val="0075297B"/>
    <w:rsid w:val="00752DBB"/>
    <w:rsid w:val="00753336"/>
    <w:rsid w:val="007538DF"/>
    <w:rsid w:val="007541FE"/>
    <w:rsid w:val="007545D2"/>
    <w:rsid w:val="00754739"/>
    <w:rsid w:val="0075483E"/>
    <w:rsid w:val="00754A71"/>
    <w:rsid w:val="00754C35"/>
    <w:rsid w:val="00754E77"/>
    <w:rsid w:val="00755353"/>
    <w:rsid w:val="00755387"/>
    <w:rsid w:val="00755879"/>
    <w:rsid w:val="00755B0D"/>
    <w:rsid w:val="00755CEC"/>
    <w:rsid w:val="00755D0D"/>
    <w:rsid w:val="0075610B"/>
    <w:rsid w:val="00756212"/>
    <w:rsid w:val="0075634C"/>
    <w:rsid w:val="00756383"/>
    <w:rsid w:val="00756610"/>
    <w:rsid w:val="007566B8"/>
    <w:rsid w:val="00756C89"/>
    <w:rsid w:val="00756E1C"/>
    <w:rsid w:val="007570E6"/>
    <w:rsid w:val="0075777A"/>
    <w:rsid w:val="007579FC"/>
    <w:rsid w:val="007579FF"/>
    <w:rsid w:val="0076019A"/>
    <w:rsid w:val="00760539"/>
    <w:rsid w:val="00760FD1"/>
    <w:rsid w:val="0076144E"/>
    <w:rsid w:val="00761658"/>
    <w:rsid w:val="007619B5"/>
    <w:rsid w:val="00761F58"/>
    <w:rsid w:val="007623C7"/>
    <w:rsid w:val="0076269B"/>
    <w:rsid w:val="007627EA"/>
    <w:rsid w:val="0076281D"/>
    <w:rsid w:val="00762835"/>
    <w:rsid w:val="00762A73"/>
    <w:rsid w:val="00762B50"/>
    <w:rsid w:val="00762D07"/>
    <w:rsid w:val="00763349"/>
    <w:rsid w:val="00763450"/>
    <w:rsid w:val="00763976"/>
    <w:rsid w:val="00763B30"/>
    <w:rsid w:val="00763B9D"/>
    <w:rsid w:val="00763D1A"/>
    <w:rsid w:val="00763E1C"/>
    <w:rsid w:val="007644BC"/>
    <w:rsid w:val="007649C7"/>
    <w:rsid w:val="00764BD3"/>
    <w:rsid w:val="00764C38"/>
    <w:rsid w:val="00764F1D"/>
    <w:rsid w:val="00764F9A"/>
    <w:rsid w:val="00764FAC"/>
    <w:rsid w:val="0076506B"/>
    <w:rsid w:val="0076517E"/>
    <w:rsid w:val="007651AC"/>
    <w:rsid w:val="007653BD"/>
    <w:rsid w:val="00765DAB"/>
    <w:rsid w:val="007662D8"/>
    <w:rsid w:val="00766CC8"/>
    <w:rsid w:val="00766F81"/>
    <w:rsid w:val="00767074"/>
    <w:rsid w:val="0076707A"/>
    <w:rsid w:val="0076755E"/>
    <w:rsid w:val="00767578"/>
    <w:rsid w:val="00767974"/>
    <w:rsid w:val="00767A71"/>
    <w:rsid w:val="00767BE4"/>
    <w:rsid w:val="00767BF5"/>
    <w:rsid w:val="00767C8E"/>
    <w:rsid w:val="007704C6"/>
    <w:rsid w:val="007705DF"/>
    <w:rsid w:val="00770683"/>
    <w:rsid w:val="00771671"/>
    <w:rsid w:val="007718DD"/>
    <w:rsid w:val="00771966"/>
    <w:rsid w:val="007719D7"/>
    <w:rsid w:val="00771F08"/>
    <w:rsid w:val="00771FDF"/>
    <w:rsid w:val="007720C6"/>
    <w:rsid w:val="00772550"/>
    <w:rsid w:val="00772767"/>
    <w:rsid w:val="00772DAF"/>
    <w:rsid w:val="00772E61"/>
    <w:rsid w:val="0077368B"/>
    <w:rsid w:val="00773936"/>
    <w:rsid w:val="00773C0E"/>
    <w:rsid w:val="00773D87"/>
    <w:rsid w:val="00774186"/>
    <w:rsid w:val="007742AB"/>
    <w:rsid w:val="00774324"/>
    <w:rsid w:val="0077440E"/>
    <w:rsid w:val="0077454B"/>
    <w:rsid w:val="00774943"/>
    <w:rsid w:val="00774B35"/>
    <w:rsid w:val="00774C32"/>
    <w:rsid w:val="00774C3E"/>
    <w:rsid w:val="00774E7C"/>
    <w:rsid w:val="007753C8"/>
    <w:rsid w:val="007756BF"/>
    <w:rsid w:val="00775774"/>
    <w:rsid w:val="00775B89"/>
    <w:rsid w:val="0077625A"/>
    <w:rsid w:val="00776490"/>
    <w:rsid w:val="0077672A"/>
    <w:rsid w:val="00776EC8"/>
    <w:rsid w:val="00776ECC"/>
    <w:rsid w:val="00776EF6"/>
    <w:rsid w:val="007771B3"/>
    <w:rsid w:val="0077752F"/>
    <w:rsid w:val="00777714"/>
    <w:rsid w:val="00777724"/>
    <w:rsid w:val="00777832"/>
    <w:rsid w:val="00777AC2"/>
    <w:rsid w:val="00777D2E"/>
    <w:rsid w:val="00777F6A"/>
    <w:rsid w:val="00777FC3"/>
    <w:rsid w:val="00780E53"/>
    <w:rsid w:val="00780F08"/>
    <w:rsid w:val="00781813"/>
    <w:rsid w:val="00781842"/>
    <w:rsid w:val="0078196A"/>
    <w:rsid w:val="00781D3F"/>
    <w:rsid w:val="0078202A"/>
    <w:rsid w:val="007822BA"/>
    <w:rsid w:val="0078256D"/>
    <w:rsid w:val="007828BC"/>
    <w:rsid w:val="0078311C"/>
    <w:rsid w:val="007831DD"/>
    <w:rsid w:val="0078330D"/>
    <w:rsid w:val="007836E6"/>
    <w:rsid w:val="00783797"/>
    <w:rsid w:val="0078383E"/>
    <w:rsid w:val="00783BE0"/>
    <w:rsid w:val="00783DC4"/>
    <w:rsid w:val="007848A5"/>
    <w:rsid w:val="00784B47"/>
    <w:rsid w:val="00784BC5"/>
    <w:rsid w:val="00784EB4"/>
    <w:rsid w:val="00784F4E"/>
    <w:rsid w:val="0078569F"/>
    <w:rsid w:val="007857C5"/>
    <w:rsid w:val="00785A9A"/>
    <w:rsid w:val="007861B8"/>
    <w:rsid w:val="0078672B"/>
    <w:rsid w:val="0078688A"/>
    <w:rsid w:val="00786E69"/>
    <w:rsid w:val="00786EB2"/>
    <w:rsid w:val="00786ED3"/>
    <w:rsid w:val="007871B1"/>
    <w:rsid w:val="007871B2"/>
    <w:rsid w:val="00787D73"/>
    <w:rsid w:val="00787F2E"/>
    <w:rsid w:val="007905C5"/>
    <w:rsid w:val="007906B9"/>
    <w:rsid w:val="007906BC"/>
    <w:rsid w:val="00790F4A"/>
    <w:rsid w:val="00791900"/>
    <w:rsid w:val="00791BB6"/>
    <w:rsid w:val="00791C6B"/>
    <w:rsid w:val="00791EA1"/>
    <w:rsid w:val="00791EEE"/>
    <w:rsid w:val="00792195"/>
    <w:rsid w:val="007928EC"/>
    <w:rsid w:val="00792BF3"/>
    <w:rsid w:val="007933FF"/>
    <w:rsid w:val="00793608"/>
    <w:rsid w:val="0079368F"/>
    <w:rsid w:val="007937E9"/>
    <w:rsid w:val="00793C8B"/>
    <w:rsid w:val="00793CF0"/>
    <w:rsid w:val="00794225"/>
    <w:rsid w:val="0079458D"/>
    <w:rsid w:val="0079461B"/>
    <w:rsid w:val="007948AC"/>
    <w:rsid w:val="00794A08"/>
    <w:rsid w:val="00794B48"/>
    <w:rsid w:val="00794E6D"/>
    <w:rsid w:val="00795046"/>
    <w:rsid w:val="0079504B"/>
    <w:rsid w:val="007950B9"/>
    <w:rsid w:val="00795254"/>
    <w:rsid w:val="00795462"/>
    <w:rsid w:val="00795593"/>
    <w:rsid w:val="00795D10"/>
    <w:rsid w:val="00795DD0"/>
    <w:rsid w:val="00795E9C"/>
    <w:rsid w:val="00796073"/>
    <w:rsid w:val="0079617F"/>
    <w:rsid w:val="007964C0"/>
    <w:rsid w:val="00796CA2"/>
    <w:rsid w:val="00796DF9"/>
    <w:rsid w:val="00796FBC"/>
    <w:rsid w:val="007970DE"/>
    <w:rsid w:val="007976EA"/>
    <w:rsid w:val="00797915"/>
    <w:rsid w:val="00797A63"/>
    <w:rsid w:val="00797CE8"/>
    <w:rsid w:val="007A00BE"/>
    <w:rsid w:val="007A01FC"/>
    <w:rsid w:val="007A091A"/>
    <w:rsid w:val="007A0D48"/>
    <w:rsid w:val="007A1230"/>
    <w:rsid w:val="007A1406"/>
    <w:rsid w:val="007A1639"/>
    <w:rsid w:val="007A1A05"/>
    <w:rsid w:val="007A1A73"/>
    <w:rsid w:val="007A1BCA"/>
    <w:rsid w:val="007A1DDB"/>
    <w:rsid w:val="007A1FCE"/>
    <w:rsid w:val="007A2011"/>
    <w:rsid w:val="007A2438"/>
    <w:rsid w:val="007A26B3"/>
    <w:rsid w:val="007A2EB7"/>
    <w:rsid w:val="007A3056"/>
    <w:rsid w:val="007A32AD"/>
    <w:rsid w:val="007A35A9"/>
    <w:rsid w:val="007A3673"/>
    <w:rsid w:val="007A387C"/>
    <w:rsid w:val="007A388D"/>
    <w:rsid w:val="007A3970"/>
    <w:rsid w:val="007A399D"/>
    <w:rsid w:val="007A39D3"/>
    <w:rsid w:val="007A3A02"/>
    <w:rsid w:val="007A3AE0"/>
    <w:rsid w:val="007A3E49"/>
    <w:rsid w:val="007A4EE3"/>
    <w:rsid w:val="007A5060"/>
    <w:rsid w:val="007A50A4"/>
    <w:rsid w:val="007A51F9"/>
    <w:rsid w:val="007A5294"/>
    <w:rsid w:val="007A55EE"/>
    <w:rsid w:val="007A5C3B"/>
    <w:rsid w:val="007A61E0"/>
    <w:rsid w:val="007A65CD"/>
    <w:rsid w:val="007A6659"/>
    <w:rsid w:val="007A676C"/>
    <w:rsid w:val="007A67CE"/>
    <w:rsid w:val="007A6A0D"/>
    <w:rsid w:val="007A6F52"/>
    <w:rsid w:val="007A741F"/>
    <w:rsid w:val="007A7C59"/>
    <w:rsid w:val="007A7E93"/>
    <w:rsid w:val="007B00F3"/>
    <w:rsid w:val="007B04BB"/>
    <w:rsid w:val="007B079F"/>
    <w:rsid w:val="007B0E7C"/>
    <w:rsid w:val="007B0FF3"/>
    <w:rsid w:val="007B1038"/>
    <w:rsid w:val="007B1132"/>
    <w:rsid w:val="007B12B9"/>
    <w:rsid w:val="007B1540"/>
    <w:rsid w:val="007B15C5"/>
    <w:rsid w:val="007B1A75"/>
    <w:rsid w:val="007B1C44"/>
    <w:rsid w:val="007B1D53"/>
    <w:rsid w:val="007B1DD9"/>
    <w:rsid w:val="007B229B"/>
    <w:rsid w:val="007B22E6"/>
    <w:rsid w:val="007B244D"/>
    <w:rsid w:val="007B2616"/>
    <w:rsid w:val="007B26DF"/>
    <w:rsid w:val="007B2709"/>
    <w:rsid w:val="007B33AE"/>
    <w:rsid w:val="007B33C7"/>
    <w:rsid w:val="007B36CC"/>
    <w:rsid w:val="007B3B65"/>
    <w:rsid w:val="007B5479"/>
    <w:rsid w:val="007B56A6"/>
    <w:rsid w:val="007B593D"/>
    <w:rsid w:val="007B5BFE"/>
    <w:rsid w:val="007B6D3F"/>
    <w:rsid w:val="007B71A4"/>
    <w:rsid w:val="007B72E8"/>
    <w:rsid w:val="007B73DA"/>
    <w:rsid w:val="007C0030"/>
    <w:rsid w:val="007C071B"/>
    <w:rsid w:val="007C07A1"/>
    <w:rsid w:val="007C0A27"/>
    <w:rsid w:val="007C1A8D"/>
    <w:rsid w:val="007C2681"/>
    <w:rsid w:val="007C2836"/>
    <w:rsid w:val="007C284C"/>
    <w:rsid w:val="007C2B05"/>
    <w:rsid w:val="007C2B54"/>
    <w:rsid w:val="007C2F0C"/>
    <w:rsid w:val="007C3248"/>
    <w:rsid w:val="007C3A5E"/>
    <w:rsid w:val="007C3BE4"/>
    <w:rsid w:val="007C3F28"/>
    <w:rsid w:val="007C45C7"/>
    <w:rsid w:val="007C4650"/>
    <w:rsid w:val="007C4EEB"/>
    <w:rsid w:val="007C5041"/>
    <w:rsid w:val="007C5133"/>
    <w:rsid w:val="007C53F4"/>
    <w:rsid w:val="007C5464"/>
    <w:rsid w:val="007C5C92"/>
    <w:rsid w:val="007C61D9"/>
    <w:rsid w:val="007C61F3"/>
    <w:rsid w:val="007C65CD"/>
    <w:rsid w:val="007C67CE"/>
    <w:rsid w:val="007C6CB8"/>
    <w:rsid w:val="007C6D20"/>
    <w:rsid w:val="007C6FAC"/>
    <w:rsid w:val="007C735D"/>
    <w:rsid w:val="007C76FD"/>
    <w:rsid w:val="007C7868"/>
    <w:rsid w:val="007C7A8D"/>
    <w:rsid w:val="007C7CF3"/>
    <w:rsid w:val="007D0263"/>
    <w:rsid w:val="007D034A"/>
    <w:rsid w:val="007D03EC"/>
    <w:rsid w:val="007D0554"/>
    <w:rsid w:val="007D0599"/>
    <w:rsid w:val="007D0739"/>
    <w:rsid w:val="007D1068"/>
    <w:rsid w:val="007D1178"/>
    <w:rsid w:val="007D117B"/>
    <w:rsid w:val="007D1457"/>
    <w:rsid w:val="007D1710"/>
    <w:rsid w:val="007D1B59"/>
    <w:rsid w:val="007D1D8C"/>
    <w:rsid w:val="007D1EEE"/>
    <w:rsid w:val="007D2256"/>
    <w:rsid w:val="007D299D"/>
    <w:rsid w:val="007D29FB"/>
    <w:rsid w:val="007D2E1F"/>
    <w:rsid w:val="007D3203"/>
    <w:rsid w:val="007D3665"/>
    <w:rsid w:val="007D36C6"/>
    <w:rsid w:val="007D3752"/>
    <w:rsid w:val="007D3B15"/>
    <w:rsid w:val="007D431C"/>
    <w:rsid w:val="007D4361"/>
    <w:rsid w:val="007D445C"/>
    <w:rsid w:val="007D46DD"/>
    <w:rsid w:val="007D4B9E"/>
    <w:rsid w:val="007D5560"/>
    <w:rsid w:val="007D559B"/>
    <w:rsid w:val="007D56E8"/>
    <w:rsid w:val="007D5D16"/>
    <w:rsid w:val="007D5D44"/>
    <w:rsid w:val="007D5ED3"/>
    <w:rsid w:val="007D5FDB"/>
    <w:rsid w:val="007D60D9"/>
    <w:rsid w:val="007D646C"/>
    <w:rsid w:val="007D6862"/>
    <w:rsid w:val="007D69CD"/>
    <w:rsid w:val="007D71E0"/>
    <w:rsid w:val="007D73EE"/>
    <w:rsid w:val="007D7511"/>
    <w:rsid w:val="007D7719"/>
    <w:rsid w:val="007D776B"/>
    <w:rsid w:val="007D7936"/>
    <w:rsid w:val="007D7998"/>
    <w:rsid w:val="007D79C2"/>
    <w:rsid w:val="007D7A89"/>
    <w:rsid w:val="007D7BAD"/>
    <w:rsid w:val="007D7C3B"/>
    <w:rsid w:val="007D7DF1"/>
    <w:rsid w:val="007E0251"/>
    <w:rsid w:val="007E031E"/>
    <w:rsid w:val="007E0598"/>
    <w:rsid w:val="007E0836"/>
    <w:rsid w:val="007E0863"/>
    <w:rsid w:val="007E0A18"/>
    <w:rsid w:val="007E0EC3"/>
    <w:rsid w:val="007E0EFC"/>
    <w:rsid w:val="007E10CE"/>
    <w:rsid w:val="007E1809"/>
    <w:rsid w:val="007E199F"/>
    <w:rsid w:val="007E1AE3"/>
    <w:rsid w:val="007E1C15"/>
    <w:rsid w:val="007E2016"/>
    <w:rsid w:val="007E2BDB"/>
    <w:rsid w:val="007E3696"/>
    <w:rsid w:val="007E3786"/>
    <w:rsid w:val="007E4195"/>
    <w:rsid w:val="007E49DB"/>
    <w:rsid w:val="007E4B64"/>
    <w:rsid w:val="007E4D9B"/>
    <w:rsid w:val="007E508F"/>
    <w:rsid w:val="007E54F1"/>
    <w:rsid w:val="007E55CA"/>
    <w:rsid w:val="007E55EA"/>
    <w:rsid w:val="007E5A9E"/>
    <w:rsid w:val="007E5D41"/>
    <w:rsid w:val="007E6319"/>
    <w:rsid w:val="007E635A"/>
    <w:rsid w:val="007E6A35"/>
    <w:rsid w:val="007E6BF7"/>
    <w:rsid w:val="007E70FC"/>
    <w:rsid w:val="007E7D73"/>
    <w:rsid w:val="007E7D9B"/>
    <w:rsid w:val="007F0559"/>
    <w:rsid w:val="007F067B"/>
    <w:rsid w:val="007F08F9"/>
    <w:rsid w:val="007F15F3"/>
    <w:rsid w:val="007F16D4"/>
    <w:rsid w:val="007F17C1"/>
    <w:rsid w:val="007F1E58"/>
    <w:rsid w:val="007F2027"/>
    <w:rsid w:val="007F267E"/>
    <w:rsid w:val="007F26E2"/>
    <w:rsid w:val="007F28D7"/>
    <w:rsid w:val="007F2B79"/>
    <w:rsid w:val="007F2F0F"/>
    <w:rsid w:val="007F320B"/>
    <w:rsid w:val="007F3591"/>
    <w:rsid w:val="007F3622"/>
    <w:rsid w:val="007F3964"/>
    <w:rsid w:val="007F3B88"/>
    <w:rsid w:val="007F3E76"/>
    <w:rsid w:val="007F40E5"/>
    <w:rsid w:val="007F4297"/>
    <w:rsid w:val="007F43B2"/>
    <w:rsid w:val="007F457C"/>
    <w:rsid w:val="007F45E6"/>
    <w:rsid w:val="007F4671"/>
    <w:rsid w:val="007F4E7D"/>
    <w:rsid w:val="007F51F8"/>
    <w:rsid w:val="007F52FD"/>
    <w:rsid w:val="007F530B"/>
    <w:rsid w:val="007F55BD"/>
    <w:rsid w:val="007F56E0"/>
    <w:rsid w:val="007F5B03"/>
    <w:rsid w:val="007F5C48"/>
    <w:rsid w:val="007F5EA3"/>
    <w:rsid w:val="007F5EBD"/>
    <w:rsid w:val="007F613D"/>
    <w:rsid w:val="007F61FF"/>
    <w:rsid w:val="007F6434"/>
    <w:rsid w:val="007F6669"/>
    <w:rsid w:val="007F66BD"/>
    <w:rsid w:val="007F68A6"/>
    <w:rsid w:val="007F69F2"/>
    <w:rsid w:val="007F6C29"/>
    <w:rsid w:val="007F6C6C"/>
    <w:rsid w:val="007F7361"/>
    <w:rsid w:val="007F7756"/>
    <w:rsid w:val="007F77FB"/>
    <w:rsid w:val="007F7923"/>
    <w:rsid w:val="007F7F04"/>
    <w:rsid w:val="00800563"/>
    <w:rsid w:val="00800610"/>
    <w:rsid w:val="008006B9"/>
    <w:rsid w:val="00800B73"/>
    <w:rsid w:val="00801A90"/>
    <w:rsid w:val="00801D1C"/>
    <w:rsid w:val="00801F94"/>
    <w:rsid w:val="0080206C"/>
    <w:rsid w:val="008020FE"/>
    <w:rsid w:val="00802227"/>
    <w:rsid w:val="0080228D"/>
    <w:rsid w:val="00802647"/>
    <w:rsid w:val="008028AE"/>
    <w:rsid w:val="00802AC3"/>
    <w:rsid w:val="00802CF8"/>
    <w:rsid w:val="00803008"/>
    <w:rsid w:val="0080306A"/>
    <w:rsid w:val="00803120"/>
    <w:rsid w:val="008031C0"/>
    <w:rsid w:val="008031C4"/>
    <w:rsid w:val="008036AA"/>
    <w:rsid w:val="00803C27"/>
    <w:rsid w:val="00803FBA"/>
    <w:rsid w:val="0080428F"/>
    <w:rsid w:val="0080436A"/>
    <w:rsid w:val="008043CD"/>
    <w:rsid w:val="00804A55"/>
    <w:rsid w:val="00804BDF"/>
    <w:rsid w:val="00804FAA"/>
    <w:rsid w:val="00805654"/>
    <w:rsid w:val="008056DB"/>
    <w:rsid w:val="008056F1"/>
    <w:rsid w:val="008057CF"/>
    <w:rsid w:val="00805E4D"/>
    <w:rsid w:val="008061BA"/>
    <w:rsid w:val="00806497"/>
    <w:rsid w:val="008068F9"/>
    <w:rsid w:val="00806AB4"/>
    <w:rsid w:val="00806AD4"/>
    <w:rsid w:val="00806AE3"/>
    <w:rsid w:val="008071EE"/>
    <w:rsid w:val="008072C4"/>
    <w:rsid w:val="00807423"/>
    <w:rsid w:val="00807517"/>
    <w:rsid w:val="00807730"/>
    <w:rsid w:val="00807AAA"/>
    <w:rsid w:val="00807BB9"/>
    <w:rsid w:val="00807C33"/>
    <w:rsid w:val="00807FAD"/>
    <w:rsid w:val="00810951"/>
    <w:rsid w:val="00810C18"/>
    <w:rsid w:val="008113F2"/>
    <w:rsid w:val="008114BD"/>
    <w:rsid w:val="008115C7"/>
    <w:rsid w:val="008116C4"/>
    <w:rsid w:val="00811893"/>
    <w:rsid w:val="00811A10"/>
    <w:rsid w:val="00811AE1"/>
    <w:rsid w:val="00811E61"/>
    <w:rsid w:val="00812608"/>
    <w:rsid w:val="00812690"/>
    <w:rsid w:val="008126D3"/>
    <w:rsid w:val="00812F6D"/>
    <w:rsid w:val="0081304B"/>
    <w:rsid w:val="00813462"/>
    <w:rsid w:val="0081376D"/>
    <w:rsid w:val="00814029"/>
    <w:rsid w:val="008140AB"/>
    <w:rsid w:val="00814BA2"/>
    <w:rsid w:val="00815244"/>
    <w:rsid w:val="00815A00"/>
    <w:rsid w:val="00815A4B"/>
    <w:rsid w:val="008163B2"/>
    <w:rsid w:val="008165CD"/>
    <w:rsid w:val="008165CF"/>
    <w:rsid w:val="008168E6"/>
    <w:rsid w:val="00817019"/>
    <w:rsid w:val="00820C66"/>
    <w:rsid w:val="00820D2C"/>
    <w:rsid w:val="00820D57"/>
    <w:rsid w:val="00820F47"/>
    <w:rsid w:val="008211F9"/>
    <w:rsid w:val="008214BD"/>
    <w:rsid w:val="0082150F"/>
    <w:rsid w:val="008216C6"/>
    <w:rsid w:val="0082191D"/>
    <w:rsid w:val="00821B21"/>
    <w:rsid w:val="00821B42"/>
    <w:rsid w:val="00821C65"/>
    <w:rsid w:val="00821D4F"/>
    <w:rsid w:val="00822018"/>
    <w:rsid w:val="0082264D"/>
    <w:rsid w:val="00822986"/>
    <w:rsid w:val="00822C4C"/>
    <w:rsid w:val="00822D19"/>
    <w:rsid w:val="00823006"/>
    <w:rsid w:val="0082327B"/>
    <w:rsid w:val="0082412E"/>
    <w:rsid w:val="008242A2"/>
    <w:rsid w:val="008246E7"/>
    <w:rsid w:val="00824AA7"/>
    <w:rsid w:val="00824CFE"/>
    <w:rsid w:val="00824DCD"/>
    <w:rsid w:val="00824DFE"/>
    <w:rsid w:val="008253AB"/>
    <w:rsid w:val="008257BA"/>
    <w:rsid w:val="00825F41"/>
    <w:rsid w:val="00825FD4"/>
    <w:rsid w:val="008262F2"/>
    <w:rsid w:val="00826487"/>
    <w:rsid w:val="00826D9D"/>
    <w:rsid w:val="00826D9E"/>
    <w:rsid w:val="0082754D"/>
    <w:rsid w:val="00827661"/>
    <w:rsid w:val="00827A91"/>
    <w:rsid w:val="00827AF3"/>
    <w:rsid w:val="00830272"/>
    <w:rsid w:val="00830DD0"/>
    <w:rsid w:val="00830ECF"/>
    <w:rsid w:val="008313A6"/>
    <w:rsid w:val="00831437"/>
    <w:rsid w:val="00831F2A"/>
    <w:rsid w:val="00832074"/>
    <w:rsid w:val="00832386"/>
    <w:rsid w:val="0083270C"/>
    <w:rsid w:val="0083335A"/>
    <w:rsid w:val="008333F3"/>
    <w:rsid w:val="00833483"/>
    <w:rsid w:val="0083361E"/>
    <w:rsid w:val="00833C30"/>
    <w:rsid w:val="00833DBE"/>
    <w:rsid w:val="00833F21"/>
    <w:rsid w:val="008349B3"/>
    <w:rsid w:val="00834B25"/>
    <w:rsid w:val="00834B89"/>
    <w:rsid w:val="00835182"/>
    <w:rsid w:val="00835191"/>
    <w:rsid w:val="00835207"/>
    <w:rsid w:val="00835DC7"/>
    <w:rsid w:val="00836494"/>
    <w:rsid w:val="008365D4"/>
    <w:rsid w:val="00836921"/>
    <w:rsid w:val="0083696F"/>
    <w:rsid w:val="0083698A"/>
    <w:rsid w:val="00837014"/>
    <w:rsid w:val="0083726B"/>
    <w:rsid w:val="00837278"/>
    <w:rsid w:val="0083792D"/>
    <w:rsid w:val="00837976"/>
    <w:rsid w:val="00837F01"/>
    <w:rsid w:val="00837F6F"/>
    <w:rsid w:val="008407DB"/>
    <w:rsid w:val="008409C7"/>
    <w:rsid w:val="00840C35"/>
    <w:rsid w:val="00840E3D"/>
    <w:rsid w:val="00840EA2"/>
    <w:rsid w:val="008411B0"/>
    <w:rsid w:val="00841EC3"/>
    <w:rsid w:val="0084220E"/>
    <w:rsid w:val="008422A3"/>
    <w:rsid w:val="008424A1"/>
    <w:rsid w:val="008424C1"/>
    <w:rsid w:val="008425CC"/>
    <w:rsid w:val="00842956"/>
    <w:rsid w:val="00842C75"/>
    <w:rsid w:val="00842CC0"/>
    <w:rsid w:val="00843705"/>
    <w:rsid w:val="00843B55"/>
    <w:rsid w:val="00843D1B"/>
    <w:rsid w:val="00843F13"/>
    <w:rsid w:val="008441C5"/>
    <w:rsid w:val="0084439B"/>
    <w:rsid w:val="00844732"/>
    <w:rsid w:val="008449B5"/>
    <w:rsid w:val="00844E48"/>
    <w:rsid w:val="00844EC9"/>
    <w:rsid w:val="00845253"/>
    <w:rsid w:val="0084535B"/>
    <w:rsid w:val="00845577"/>
    <w:rsid w:val="008455CD"/>
    <w:rsid w:val="00845881"/>
    <w:rsid w:val="0084597B"/>
    <w:rsid w:val="008459FB"/>
    <w:rsid w:val="00845B6E"/>
    <w:rsid w:val="00845C32"/>
    <w:rsid w:val="00845C60"/>
    <w:rsid w:val="00845F63"/>
    <w:rsid w:val="008462CB"/>
    <w:rsid w:val="0084634C"/>
    <w:rsid w:val="0084678C"/>
    <w:rsid w:val="0084688F"/>
    <w:rsid w:val="00846C70"/>
    <w:rsid w:val="00846E83"/>
    <w:rsid w:val="00846EEA"/>
    <w:rsid w:val="0084717C"/>
    <w:rsid w:val="0084722C"/>
    <w:rsid w:val="00847356"/>
    <w:rsid w:val="00847591"/>
    <w:rsid w:val="00847789"/>
    <w:rsid w:val="00847849"/>
    <w:rsid w:val="00847871"/>
    <w:rsid w:val="00847B7A"/>
    <w:rsid w:val="00847F98"/>
    <w:rsid w:val="008500FE"/>
    <w:rsid w:val="008501C5"/>
    <w:rsid w:val="008503CB"/>
    <w:rsid w:val="00850947"/>
    <w:rsid w:val="00850B5D"/>
    <w:rsid w:val="00850EFB"/>
    <w:rsid w:val="00851307"/>
    <w:rsid w:val="00851619"/>
    <w:rsid w:val="00851716"/>
    <w:rsid w:val="00851ABF"/>
    <w:rsid w:val="00852083"/>
    <w:rsid w:val="008526E8"/>
    <w:rsid w:val="00852B20"/>
    <w:rsid w:val="00852C00"/>
    <w:rsid w:val="00853445"/>
    <w:rsid w:val="008538B5"/>
    <w:rsid w:val="00853985"/>
    <w:rsid w:val="00853A9E"/>
    <w:rsid w:val="00854180"/>
    <w:rsid w:val="0085433D"/>
    <w:rsid w:val="008545FC"/>
    <w:rsid w:val="008546D2"/>
    <w:rsid w:val="0085476D"/>
    <w:rsid w:val="0085494E"/>
    <w:rsid w:val="00854CE3"/>
    <w:rsid w:val="0085535A"/>
    <w:rsid w:val="00855890"/>
    <w:rsid w:val="00856494"/>
    <w:rsid w:val="008564B7"/>
    <w:rsid w:val="00856793"/>
    <w:rsid w:val="008567B6"/>
    <w:rsid w:val="00856B0C"/>
    <w:rsid w:val="00856DD0"/>
    <w:rsid w:val="0085717C"/>
    <w:rsid w:val="00857343"/>
    <w:rsid w:val="00857471"/>
    <w:rsid w:val="00857797"/>
    <w:rsid w:val="00857867"/>
    <w:rsid w:val="00857F52"/>
    <w:rsid w:val="00860222"/>
    <w:rsid w:val="0086079C"/>
    <w:rsid w:val="008608A7"/>
    <w:rsid w:val="008608CD"/>
    <w:rsid w:val="00860A9A"/>
    <w:rsid w:val="00861319"/>
    <w:rsid w:val="00861631"/>
    <w:rsid w:val="00861994"/>
    <w:rsid w:val="00862201"/>
    <w:rsid w:val="00862286"/>
    <w:rsid w:val="0086255B"/>
    <w:rsid w:val="00863102"/>
    <w:rsid w:val="00863392"/>
    <w:rsid w:val="008635F3"/>
    <w:rsid w:val="00863634"/>
    <w:rsid w:val="008637B1"/>
    <w:rsid w:val="0086399D"/>
    <w:rsid w:val="00863AF2"/>
    <w:rsid w:val="008644BD"/>
    <w:rsid w:val="00865403"/>
    <w:rsid w:val="008654BF"/>
    <w:rsid w:val="00865714"/>
    <w:rsid w:val="008658A3"/>
    <w:rsid w:val="0086594E"/>
    <w:rsid w:val="00865A89"/>
    <w:rsid w:val="00865D16"/>
    <w:rsid w:val="00865D41"/>
    <w:rsid w:val="008661B2"/>
    <w:rsid w:val="00866661"/>
    <w:rsid w:val="008668D8"/>
    <w:rsid w:val="0086695A"/>
    <w:rsid w:val="00866F34"/>
    <w:rsid w:val="00867750"/>
    <w:rsid w:val="008677D2"/>
    <w:rsid w:val="008678C7"/>
    <w:rsid w:val="00867A59"/>
    <w:rsid w:val="00867FA8"/>
    <w:rsid w:val="00870083"/>
    <w:rsid w:val="008700DB"/>
    <w:rsid w:val="0087014D"/>
    <w:rsid w:val="00870782"/>
    <w:rsid w:val="00870B70"/>
    <w:rsid w:val="00870D97"/>
    <w:rsid w:val="00870E43"/>
    <w:rsid w:val="0087116C"/>
    <w:rsid w:val="00871345"/>
    <w:rsid w:val="00871410"/>
    <w:rsid w:val="0087163C"/>
    <w:rsid w:val="00871A17"/>
    <w:rsid w:val="00871A50"/>
    <w:rsid w:val="00872238"/>
    <w:rsid w:val="008726B7"/>
    <w:rsid w:val="008726F0"/>
    <w:rsid w:val="00873220"/>
    <w:rsid w:val="00873617"/>
    <w:rsid w:val="00873866"/>
    <w:rsid w:val="00873AB6"/>
    <w:rsid w:val="00873AE1"/>
    <w:rsid w:val="00873C3B"/>
    <w:rsid w:val="00874734"/>
    <w:rsid w:val="00874740"/>
    <w:rsid w:val="00874B5C"/>
    <w:rsid w:val="00874F82"/>
    <w:rsid w:val="00875157"/>
    <w:rsid w:val="00875606"/>
    <w:rsid w:val="0087563E"/>
    <w:rsid w:val="008756B8"/>
    <w:rsid w:val="00875BA9"/>
    <w:rsid w:val="0087632E"/>
    <w:rsid w:val="008766AE"/>
    <w:rsid w:val="00876908"/>
    <w:rsid w:val="008769BE"/>
    <w:rsid w:val="008769FF"/>
    <w:rsid w:val="00876B3B"/>
    <w:rsid w:val="00876B54"/>
    <w:rsid w:val="00876CA4"/>
    <w:rsid w:val="00876F45"/>
    <w:rsid w:val="0087736E"/>
    <w:rsid w:val="0087756A"/>
    <w:rsid w:val="008778C7"/>
    <w:rsid w:val="00877A02"/>
    <w:rsid w:val="00877BA9"/>
    <w:rsid w:val="00877BC6"/>
    <w:rsid w:val="00877DCE"/>
    <w:rsid w:val="00877F83"/>
    <w:rsid w:val="00880217"/>
    <w:rsid w:val="00880511"/>
    <w:rsid w:val="008807EB"/>
    <w:rsid w:val="00880A51"/>
    <w:rsid w:val="00880F54"/>
    <w:rsid w:val="008811E4"/>
    <w:rsid w:val="00881777"/>
    <w:rsid w:val="0088196E"/>
    <w:rsid w:val="00882B7C"/>
    <w:rsid w:val="00882C9C"/>
    <w:rsid w:val="00883064"/>
    <w:rsid w:val="0088306F"/>
    <w:rsid w:val="00883AB5"/>
    <w:rsid w:val="00883ABD"/>
    <w:rsid w:val="00883BBD"/>
    <w:rsid w:val="00884380"/>
    <w:rsid w:val="0088447C"/>
    <w:rsid w:val="00884970"/>
    <w:rsid w:val="00884A52"/>
    <w:rsid w:val="00884CD7"/>
    <w:rsid w:val="0088520B"/>
    <w:rsid w:val="0088554C"/>
    <w:rsid w:val="00885997"/>
    <w:rsid w:val="0088607B"/>
    <w:rsid w:val="00886494"/>
    <w:rsid w:val="00886BC1"/>
    <w:rsid w:val="0088785E"/>
    <w:rsid w:val="00887885"/>
    <w:rsid w:val="008900BA"/>
    <w:rsid w:val="00890154"/>
    <w:rsid w:val="008904AE"/>
    <w:rsid w:val="00890589"/>
    <w:rsid w:val="008905CA"/>
    <w:rsid w:val="00890AC9"/>
    <w:rsid w:val="00890CA6"/>
    <w:rsid w:val="00891054"/>
    <w:rsid w:val="00891275"/>
    <w:rsid w:val="00891489"/>
    <w:rsid w:val="00891586"/>
    <w:rsid w:val="00891CBE"/>
    <w:rsid w:val="00891EB7"/>
    <w:rsid w:val="008921A1"/>
    <w:rsid w:val="00892977"/>
    <w:rsid w:val="00892C0F"/>
    <w:rsid w:val="00892C23"/>
    <w:rsid w:val="00892C77"/>
    <w:rsid w:val="00892D17"/>
    <w:rsid w:val="00893326"/>
    <w:rsid w:val="0089360A"/>
    <w:rsid w:val="00893A16"/>
    <w:rsid w:val="00893ACF"/>
    <w:rsid w:val="00893B5E"/>
    <w:rsid w:val="00893F19"/>
    <w:rsid w:val="008940F4"/>
    <w:rsid w:val="00894253"/>
    <w:rsid w:val="008946B7"/>
    <w:rsid w:val="008947C8"/>
    <w:rsid w:val="00894B43"/>
    <w:rsid w:val="00894F61"/>
    <w:rsid w:val="00894F67"/>
    <w:rsid w:val="00895821"/>
    <w:rsid w:val="00895863"/>
    <w:rsid w:val="00895ABB"/>
    <w:rsid w:val="00895CAD"/>
    <w:rsid w:val="00895E48"/>
    <w:rsid w:val="008967AE"/>
    <w:rsid w:val="00896AE7"/>
    <w:rsid w:val="00896E54"/>
    <w:rsid w:val="008971FB"/>
    <w:rsid w:val="008975D0"/>
    <w:rsid w:val="00897703"/>
    <w:rsid w:val="00897BE1"/>
    <w:rsid w:val="008A0090"/>
    <w:rsid w:val="008A0249"/>
    <w:rsid w:val="008A072A"/>
    <w:rsid w:val="008A0934"/>
    <w:rsid w:val="008A0A2E"/>
    <w:rsid w:val="008A0BF2"/>
    <w:rsid w:val="008A0CC5"/>
    <w:rsid w:val="008A0F3E"/>
    <w:rsid w:val="008A1903"/>
    <w:rsid w:val="008A1AF7"/>
    <w:rsid w:val="008A1D73"/>
    <w:rsid w:val="008A1E59"/>
    <w:rsid w:val="008A206C"/>
    <w:rsid w:val="008A2081"/>
    <w:rsid w:val="008A2936"/>
    <w:rsid w:val="008A2B38"/>
    <w:rsid w:val="008A2DD6"/>
    <w:rsid w:val="008A31F0"/>
    <w:rsid w:val="008A337A"/>
    <w:rsid w:val="008A384F"/>
    <w:rsid w:val="008A3901"/>
    <w:rsid w:val="008A42D5"/>
    <w:rsid w:val="008A43FE"/>
    <w:rsid w:val="008A5119"/>
    <w:rsid w:val="008A5780"/>
    <w:rsid w:val="008A59C8"/>
    <w:rsid w:val="008A5E64"/>
    <w:rsid w:val="008A6469"/>
    <w:rsid w:val="008A6793"/>
    <w:rsid w:val="008A6C50"/>
    <w:rsid w:val="008A6EF8"/>
    <w:rsid w:val="008A6F42"/>
    <w:rsid w:val="008B0124"/>
    <w:rsid w:val="008B025A"/>
    <w:rsid w:val="008B031F"/>
    <w:rsid w:val="008B04C5"/>
    <w:rsid w:val="008B05BF"/>
    <w:rsid w:val="008B0CAD"/>
    <w:rsid w:val="008B1076"/>
    <w:rsid w:val="008B11C6"/>
    <w:rsid w:val="008B13C5"/>
    <w:rsid w:val="008B1AB5"/>
    <w:rsid w:val="008B1CBF"/>
    <w:rsid w:val="008B1DCA"/>
    <w:rsid w:val="008B1F1F"/>
    <w:rsid w:val="008B1F2E"/>
    <w:rsid w:val="008B232F"/>
    <w:rsid w:val="008B28DE"/>
    <w:rsid w:val="008B2AF3"/>
    <w:rsid w:val="008B2DDC"/>
    <w:rsid w:val="008B2EC6"/>
    <w:rsid w:val="008B3600"/>
    <w:rsid w:val="008B3B60"/>
    <w:rsid w:val="008B3E0A"/>
    <w:rsid w:val="008B4881"/>
    <w:rsid w:val="008B4B01"/>
    <w:rsid w:val="008B4E25"/>
    <w:rsid w:val="008B4EC7"/>
    <w:rsid w:val="008B51C5"/>
    <w:rsid w:val="008B56A3"/>
    <w:rsid w:val="008B5831"/>
    <w:rsid w:val="008B58C0"/>
    <w:rsid w:val="008B5B83"/>
    <w:rsid w:val="008B5B8B"/>
    <w:rsid w:val="008B5BDA"/>
    <w:rsid w:val="008B5C26"/>
    <w:rsid w:val="008B5CC4"/>
    <w:rsid w:val="008B6139"/>
    <w:rsid w:val="008B63C2"/>
    <w:rsid w:val="008B659E"/>
    <w:rsid w:val="008B6675"/>
    <w:rsid w:val="008B69A0"/>
    <w:rsid w:val="008B69FB"/>
    <w:rsid w:val="008B6BE8"/>
    <w:rsid w:val="008B7044"/>
    <w:rsid w:val="008B7655"/>
    <w:rsid w:val="008C0036"/>
    <w:rsid w:val="008C0412"/>
    <w:rsid w:val="008C0651"/>
    <w:rsid w:val="008C08E9"/>
    <w:rsid w:val="008C094C"/>
    <w:rsid w:val="008C0B68"/>
    <w:rsid w:val="008C0F03"/>
    <w:rsid w:val="008C10D7"/>
    <w:rsid w:val="008C139A"/>
    <w:rsid w:val="008C14F0"/>
    <w:rsid w:val="008C1890"/>
    <w:rsid w:val="008C234E"/>
    <w:rsid w:val="008C2362"/>
    <w:rsid w:val="008C24B4"/>
    <w:rsid w:val="008C28DA"/>
    <w:rsid w:val="008C2A11"/>
    <w:rsid w:val="008C2C41"/>
    <w:rsid w:val="008C2E97"/>
    <w:rsid w:val="008C30B3"/>
    <w:rsid w:val="008C317A"/>
    <w:rsid w:val="008C3407"/>
    <w:rsid w:val="008C340E"/>
    <w:rsid w:val="008C3697"/>
    <w:rsid w:val="008C3917"/>
    <w:rsid w:val="008C394D"/>
    <w:rsid w:val="008C3A99"/>
    <w:rsid w:val="008C3B31"/>
    <w:rsid w:val="008C4025"/>
    <w:rsid w:val="008C40A5"/>
    <w:rsid w:val="008C4220"/>
    <w:rsid w:val="008C4631"/>
    <w:rsid w:val="008C4B33"/>
    <w:rsid w:val="008C4F2A"/>
    <w:rsid w:val="008C51B0"/>
    <w:rsid w:val="008C52DB"/>
    <w:rsid w:val="008C53C8"/>
    <w:rsid w:val="008C541A"/>
    <w:rsid w:val="008C5971"/>
    <w:rsid w:val="008C5BC6"/>
    <w:rsid w:val="008C5F45"/>
    <w:rsid w:val="008C62A1"/>
    <w:rsid w:val="008C6476"/>
    <w:rsid w:val="008C64AD"/>
    <w:rsid w:val="008C6AAF"/>
    <w:rsid w:val="008C77AB"/>
    <w:rsid w:val="008C7B5F"/>
    <w:rsid w:val="008D00F7"/>
    <w:rsid w:val="008D03A1"/>
    <w:rsid w:val="008D058A"/>
    <w:rsid w:val="008D0D06"/>
    <w:rsid w:val="008D0D10"/>
    <w:rsid w:val="008D0D71"/>
    <w:rsid w:val="008D0F23"/>
    <w:rsid w:val="008D1068"/>
    <w:rsid w:val="008D139B"/>
    <w:rsid w:val="008D1896"/>
    <w:rsid w:val="008D1AE5"/>
    <w:rsid w:val="008D1CAD"/>
    <w:rsid w:val="008D1EF9"/>
    <w:rsid w:val="008D1FCB"/>
    <w:rsid w:val="008D1FD6"/>
    <w:rsid w:val="008D20C7"/>
    <w:rsid w:val="008D2D37"/>
    <w:rsid w:val="008D30DC"/>
    <w:rsid w:val="008D3208"/>
    <w:rsid w:val="008D326F"/>
    <w:rsid w:val="008D3644"/>
    <w:rsid w:val="008D3C09"/>
    <w:rsid w:val="008D3EF1"/>
    <w:rsid w:val="008D41B3"/>
    <w:rsid w:val="008D42B3"/>
    <w:rsid w:val="008D44BD"/>
    <w:rsid w:val="008D44CD"/>
    <w:rsid w:val="008D46A5"/>
    <w:rsid w:val="008D4838"/>
    <w:rsid w:val="008D494C"/>
    <w:rsid w:val="008D4E4A"/>
    <w:rsid w:val="008D4F3F"/>
    <w:rsid w:val="008D51DC"/>
    <w:rsid w:val="008D5439"/>
    <w:rsid w:val="008D578B"/>
    <w:rsid w:val="008D63BC"/>
    <w:rsid w:val="008D653E"/>
    <w:rsid w:val="008D6BC9"/>
    <w:rsid w:val="008D6C1E"/>
    <w:rsid w:val="008D6E72"/>
    <w:rsid w:val="008D70D7"/>
    <w:rsid w:val="008D77B4"/>
    <w:rsid w:val="008D7F94"/>
    <w:rsid w:val="008E020D"/>
    <w:rsid w:val="008E03A5"/>
    <w:rsid w:val="008E04D2"/>
    <w:rsid w:val="008E094C"/>
    <w:rsid w:val="008E09D4"/>
    <w:rsid w:val="008E0A73"/>
    <w:rsid w:val="008E0CBB"/>
    <w:rsid w:val="008E14E4"/>
    <w:rsid w:val="008E163D"/>
    <w:rsid w:val="008E2130"/>
    <w:rsid w:val="008E238E"/>
    <w:rsid w:val="008E2543"/>
    <w:rsid w:val="008E25C8"/>
    <w:rsid w:val="008E2702"/>
    <w:rsid w:val="008E2768"/>
    <w:rsid w:val="008E278E"/>
    <w:rsid w:val="008E28E7"/>
    <w:rsid w:val="008E2EDF"/>
    <w:rsid w:val="008E3045"/>
    <w:rsid w:val="008E342A"/>
    <w:rsid w:val="008E34E1"/>
    <w:rsid w:val="008E3D69"/>
    <w:rsid w:val="008E40CA"/>
    <w:rsid w:val="008E421E"/>
    <w:rsid w:val="008E43D6"/>
    <w:rsid w:val="008E473B"/>
    <w:rsid w:val="008E47D3"/>
    <w:rsid w:val="008E487B"/>
    <w:rsid w:val="008E4DF8"/>
    <w:rsid w:val="008E4EC6"/>
    <w:rsid w:val="008E527C"/>
    <w:rsid w:val="008E5636"/>
    <w:rsid w:val="008E5BA1"/>
    <w:rsid w:val="008E5ECB"/>
    <w:rsid w:val="008E5FA4"/>
    <w:rsid w:val="008E6186"/>
    <w:rsid w:val="008E61E4"/>
    <w:rsid w:val="008E6261"/>
    <w:rsid w:val="008E66BC"/>
    <w:rsid w:val="008E6735"/>
    <w:rsid w:val="008E6812"/>
    <w:rsid w:val="008E6C99"/>
    <w:rsid w:val="008E6DCE"/>
    <w:rsid w:val="008E6F36"/>
    <w:rsid w:val="008E70F5"/>
    <w:rsid w:val="008E71AD"/>
    <w:rsid w:val="008E7591"/>
    <w:rsid w:val="008E7A0C"/>
    <w:rsid w:val="008F00A7"/>
    <w:rsid w:val="008F02FF"/>
    <w:rsid w:val="008F046D"/>
    <w:rsid w:val="008F0713"/>
    <w:rsid w:val="008F0901"/>
    <w:rsid w:val="008F0E49"/>
    <w:rsid w:val="008F1D18"/>
    <w:rsid w:val="008F2A97"/>
    <w:rsid w:val="008F2E20"/>
    <w:rsid w:val="008F2FBF"/>
    <w:rsid w:val="008F3B96"/>
    <w:rsid w:val="008F3BA9"/>
    <w:rsid w:val="008F3BDE"/>
    <w:rsid w:val="008F4034"/>
    <w:rsid w:val="008F4078"/>
    <w:rsid w:val="008F4503"/>
    <w:rsid w:val="008F4651"/>
    <w:rsid w:val="008F4933"/>
    <w:rsid w:val="008F4B3F"/>
    <w:rsid w:val="008F4FD0"/>
    <w:rsid w:val="008F52EA"/>
    <w:rsid w:val="008F5555"/>
    <w:rsid w:val="008F556F"/>
    <w:rsid w:val="008F566C"/>
    <w:rsid w:val="008F5685"/>
    <w:rsid w:val="008F570F"/>
    <w:rsid w:val="008F572D"/>
    <w:rsid w:val="008F59FB"/>
    <w:rsid w:val="008F5FEC"/>
    <w:rsid w:val="008F6367"/>
    <w:rsid w:val="008F6860"/>
    <w:rsid w:val="008F68B9"/>
    <w:rsid w:val="008F68E8"/>
    <w:rsid w:val="008F6981"/>
    <w:rsid w:val="008F713E"/>
    <w:rsid w:val="008F715C"/>
    <w:rsid w:val="008F7405"/>
    <w:rsid w:val="008F7640"/>
    <w:rsid w:val="008F7C3B"/>
    <w:rsid w:val="008F7D2A"/>
    <w:rsid w:val="008F7D63"/>
    <w:rsid w:val="009000D5"/>
    <w:rsid w:val="009000EA"/>
    <w:rsid w:val="0090052F"/>
    <w:rsid w:val="00900638"/>
    <w:rsid w:val="0090076F"/>
    <w:rsid w:val="00900E95"/>
    <w:rsid w:val="00900F5F"/>
    <w:rsid w:val="0090124D"/>
    <w:rsid w:val="0090173E"/>
    <w:rsid w:val="00901CD3"/>
    <w:rsid w:val="0090208F"/>
    <w:rsid w:val="00902177"/>
    <w:rsid w:val="009023AB"/>
    <w:rsid w:val="00902608"/>
    <w:rsid w:val="00902D27"/>
    <w:rsid w:val="00902E59"/>
    <w:rsid w:val="0090301A"/>
    <w:rsid w:val="0090312A"/>
    <w:rsid w:val="00903602"/>
    <w:rsid w:val="00903698"/>
    <w:rsid w:val="0090389A"/>
    <w:rsid w:val="00903BA0"/>
    <w:rsid w:val="009045E6"/>
    <w:rsid w:val="00904821"/>
    <w:rsid w:val="00904D7A"/>
    <w:rsid w:val="00904F43"/>
    <w:rsid w:val="00905B57"/>
    <w:rsid w:val="00905C57"/>
    <w:rsid w:val="00905C5E"/>
    <w:rsid w:val="00905DA9"/>
    <w:rsid w:val="00905E99"/>
    <w:rsid w:val="00906033"/>
    <w:rsid w:val="0090631C"/>
    <w:rsid w:val="0090631D"/>
    <w:rsid w:val="00906398"/>
    <w:rsid w:val="00906E35"/>
    <w:rsid w:val="00906EFC"/>
    <w:rsid w:val="00906F21"/>
    <w:rsid w:val="0090739B"/>
    <w:rsid w:val="009074A3"/>
    <w:rsid w:val="009074F6"/>
    <w:rsid w:val="0090750B"/>
    <w:rsid w:val="00907992"/>
    <w:rsid w:val="009079A6"/>
    <w:rsid w:val="00907E9B"/>
    <w:rsid w:val="00910A16"/>
    <w:rsid w:val="00911168"/>
    <w:rsid w:val="00911F62"/>
    <w:rsid w:val="00912031"/>
    <w:rsid w:val="00913263"/>
    <w:rsid w:val="0091369C"/>
    <w:rsid w:val="00913728"/>
    <w:rsid w:val="0091374F"/>
    <w:rsid w:val="009139C7"/>
    <w:rsid w:val="00914061"/>
    <w:rsid w:val="0091421C"/>
    <w:rsid w:val="0091443E"/>
    <w:rsid w:val="009144CF"/>
    <w:rsid w:val="009149AD"/>
    <w:rsid w:val="00914FD0"/>
    <w:rsid w:val="0091533A"/>
    <w:rsid w:val="009157CA"/>
    <w:rsid w:val="00915AC5"/>
    <w:rsid w:val="00915B27"/>
    <w:rsid w:val="00915B30"/>
    <w:rsid w:val="00916032"/>
    <w:rsid w:val="009162F9"/>
    <w:rsid w:val="00917210"/>
    <w:rsid w:val="0091766E"/>
    <w:rsid w:val="00917825"/>
    <w:rsid w:val="00917B35"/>
    <w:rsid w:val="00917D30"/>
    <w:rsid w:val="009201FE"/>
    <w:rsid w:val="009205DE"/>
    <w:rsid w:val="009206A8"/>
    <w:rsid w:val="00920800"/>
    <w:rsid w:val="0092081E"/>
    <w:rsid w:val="00921463"/>
    <w:rsid w:val="009216AD"/>
    <w:rsid w:val="00921744"/>
    <w:rsid w:val="009217C0"/>
    <w:rsid w:val="00921AD8"/>
    <w:rsid w:val="0092212C"/>
    <w:rsid w:val="009225D4"/>
    <w:rsid w:val="009226AF"/>
    <w:rsid w:val="00922D79"/>
    <w:rsid w:val="0092369E"/>
    <w:rsid w:val="009237F8"/>
    <w:rsid w:val="00923E06"/>
    <w:rsid w:val="009240E3"/>
    <w:rsid w:val="0092478E"/>
    <w:rsid w:val="0092486D"/>
    <w:rsid w:val="00924962"/>
    <w:rsid w:val="00924B8B"/>
    <w:rsid w:val="00924ED3"/>
    <w:rsid w:val="00925023"/>
    <w:rsid w:val="0092586C"/>
    <w:rsid w:val="00925B71"/>
    <w:rsid w:val="00925D4A"/>
    <w:rsid w:val="00926175"/>
    <w:rsid w:val="009261E6"/>
    <w:rsid w:val="00926701"/>
    <w:rsid w:val="0092674E"/>
    <w:rsid w:val="00926AA0"/>
    <w:rsid w:val="00927494"/>
    <w:rsid w:val="009275A1"/>
    <w:rsid w:val="00927771"/>
    <w:rsid w:val="00927E9C"/>
    <w:rsid w:val="00927EA5"/>
    <w:rsid w:val="00930345"/>
    <w:rsid w:val="00930667"/>
    <w:rsid w:val="00930989"/>
    <w:rsid w:val="00930F78"/>
    <w:rsid w:val="00931213"/>
    <w:rsid w:val="00931420"/>
    <w:rsid w:val="0093155E"/>
    <w:rsid w:val="0093188D"/>
    <w:rsid w:val="00931E46"/>
    <w:rsid w:val="00931E95"/>
    <w:rsid w:val="00931ED0"/>
    <w:rsid w:val="00932109"/>
    <w:rsid w:val="0093262E"/>
    <w:rsid w:val="00932742"/>
    <w:rsid w:val="00932788"/>
    <w:rsid w:val="00932B5E"/>
    <w:rsid w:val="00932C26"/>
    <w:rsid w:val="009330FD"/>
    <w:rsid w:val="00933236"/>
    <w:rsid w:val="00933405"/>
    <w:rsid w:val="00933645"/>
    <w:rsid w:val="009337D6"/>
    <w:rsid w:val="00933874"/>
    <w:rsid w:val="00933A99"/>
    <w:rsid w:val="00933CDC"/>
    <w:rsid w:val="00933D2A"/>
    <w:rsid w:val="0093413A"/>
    <w:rsid w:val="00934692"/>
    <w:rsid w:val="00934717"/>
    <w:rsid w:val="0093479E"/>
    <w:rsid w:val="00934864"/>
    <w:rsid w:val="0093487B"/>
    <w:rsid w:val="00934E4A"/>
    <w:rsid w:val="00935486"/>
    <w:rsid w:val="009354CF"/>
    <w:rsid w:val="00935597"/>
    <w:rsid w:val="009355A3"/>
    <w:rsid w:val="009355AA"/>
    <w:rsid w:val="00935E77"/>
    <w:rsid w:val="00935F99"/>
    <w:rsid w:val="009360F4"/>
    <w:rsid w:val="0093621C"/>
    <w:rsid w:val="00936667"/>
    <w:rsid w:val="00936CF9"/>
    <w:rsid w:val="009370CB"/>
    <w:rsid w:val="0093727A"/>
    <w:rsid w:val="009373D4"/>
    <w:rsid w:val="00937471"/>
    <w:rsid w:val="00937A8F"/>
    <w:rsid w:val="00937B71"/>
    <w:rsid w:val="00937D24"/>
    <w:rsid w:val="00937F04"/>
    <w:rsid w:val="00940561"/>
    <w:rsid w:val="00940AB3"/>
    <w:rsid w:val="009410DD"/>
    <w:rsid w:val="0094169C"/>
    <w:rsid w:val="00941A05"/>
    <w:rsid w:val="00941C14"/>
    <w:rsid w:val="00941C94"/>
    <w:rsid w:val="00941D87"/>
    <w:rsid w:val="0094251D"/>
    <w:rsid w:val="0094292F"/>
    <w:rsid w:val="00942A6A"/>
    <w:rsid w:val="00942F28"/>
    <w:rsid w:val="0094341B"/>
    <w:rsid w:val="00943690"/>
    <w:rsid w:val="00943787"/>
    <w:rsid w:val="0094378E"/>
    <w:rsid w:val="00943857"/>
    <w:rsid w:val="00943894"/>
    <w:rsid w:val="00943CB2"/>
    <w:rsid w:val="00943D0C"/>
    <w:rsid w:val="009443DA"/>
    <w:rsid w:val="00944430"/>
    <w:rsid w:val="00944964"/>
    <w:rsid w:val="00944A56"/>
    <w:rsid w:val="009452FA"/>
    <w:rsid w:val="0094570A"/>
    <w:rsid w:val="00945FFD"/>
    <w:rsid w:val="00946152"/>
    <w:rsid w:val="0094617B"/>
    <w:rsid w:val="009462AC"/>
    <w:rsid w:val="0094666E"/>
    <w:rsid w:val="00946697"/>
    <w:rsid w:val="009469C9"/>
    <w:rsid w:val="009470FB"/>
    <w:rsid w:val="00947143"/>
    <w:rsid w:val="00947310"/>
    <w:rsid w:val="00947474"/>
    <w:rsid w:val="009475B3"/>
    <w:rsid w:val="0094783B"/>
    <w:rsid w:val="00947A07"/>
    <w:rsid w:val="00947F05"/>
    <w:rsid w:val="00950214"/>
    <w:rsid w:val="00950216"/>
    <w:rsid w:val="009502AC"/>
    <w:rsid w:val="0095054E"/>
    <w:rsid w:val="0095075C"/>
    <w:rsid w:val="00950E8B"/>
    <w:rsid w:val="00951A26"/>
    <w:rsid w:val="00951C3E"/>
    <w:rsid w:val="00951D6E"/>
    <w:rsid w:val="00951F3C"/>
    <w:rsid w:val="009529F6"/>
    <w:rsid w:val="00952D3A"/>
    <w:rsid w:val="0095328B"/>
    <w:rsid w:val="009533C0"/>
    <w:rsid w:val="00953415"/>
    <w:rsid w:val="00953E53"/>
    <w:rsid w:val="00953EDB"/>
    <w:rsid w:val="00953EF7"/>
    <w:rsid w:val="00953FB1"/>
    <w:rsid w:val="00954345"/>
    <w:rsid w:val="009543B5"/>
    <w:rsid w:val="0095447F"/>
    <w:rsid w:val="00954573"/>
    <w:rsid w:val="00954A00"/>
    <w:rsid w:val="00954C0B"/>
    <w:rsid w:val="009554BD"/>
    <w:rsid w:val="00955521"/>
    <w:rsid w:val="0095570B"/>
    <w:rsid w:val="009557A1"/>
    <w:rsid w:val="00955836"/>
    <w:rsid w:val="00955AD1"/>
    <w:rsid w:val="00955D57"/>
    <w:rsid w:val="0095633E"/>
    <w:rsid w:val="00956796"/>
    <w:rsid w:val="00956951"/>
    <w:rsid w:val="00956C74"/>
    <w:rsid w:val="00956E75"/>
    <w:rsid w:val="009571CA"/>
    <w:rsid w:val="00957432"/>
    <w:rsid w:val="009576E8"/>
    <w:rsid w:val="00957B6B"/>
    <w:rsid w:val="00957BFC"/>
    <w:rsid w:val="00957C7B"/>
    <w:rsid w:val="00957DF8"/>
    <w:rsid w:val="009602E4"/>
    <w:rsid w:val="00960994"/>
    <w:rsid w:val="00960C38"/>
    <w:rsid w:val="00961314"/>
    <w:rsid w:val="00961407"/>
    <w:rsid w:val="009619DE"/>
    <w:rsid w:val="00961B00"/>
    <w:rsid w:val="00961BE2"/>
    <w:rsid w:val="00961D01"/>
    <w:rsid w:val="00961F4A"/>
    <w:rsid w:val="00962163"/>
    <w:rsid w:val="009623FB"/>
    <w:rsid w:val="00962619"/>
    <w:rsid w:val="00962C47"/>
    <w:rsid w:val="00963095"/>
    <w:rsid w:val="00963A75"/>
    <w:rsid w:val="00963EEF"/>
    <w:rsid w:val="0096404D"/>
    <w:rsid w:val="009640D1"/>
    <w:rsid w:val="009643A1"/>
    <w:rsid w:val="009646EA"/>
    <w:rsid w:val="009647FA"/>
    <w:rsid w:val="00964C9A"/>
    <w:rsid w:val="00964D54"/>
    <w:rsid w:val="00964FA4"/>
    <w:rsid w:val="00965090"/>
    <w:rsid w:val="00965318"/>
    <w:rsid w:val="0096550C"/>
    <w:rsid w:val="009655D9"/>
    <w:rsid w:val="00965715"/>
    <w:rsid w:val="00965BE3"/>
    <w:rsid w:val="00965FB9"/>
    <w:rsid w:val="00966092"/>
    <w:rsid w:val="00966395"/>
    <w:rsid w:val="00966455"/>
    <w:rsid w:val="009668A7"/>
    <w:rsid w:val="00966BBA"/>
    <w:rsid w:val="00966DEC"/>
    <w:rsid w:val="00966E2F"/>
    <w:rsid w:val="00967266"/>
    <w:rsid w:val="00967556"/>
    <w:rsid w:val="00967C17"/>
    <w:rsid w:val="00967D20"/>
    <w:rsid w:val="00967DF8"/>
    <w:rsid w:val="00967EB2"/>
    <w:rsid w:val="009701C6"/>
    <w:rsid w:val="009701EA"/>
    <w:rsid w:val="0097024E"/>
    <w:rsid w:val="009702B7"/>
    <w:rsid w:val="009704CF"/>
    <w:rsid w:val="009711F9"/>
    <w:rsid w:val="009715C0"/>
    <w:rsid w:val="009718B6"/>
    <w:rsid w:val="00971A61"/>
    <w:rsid w:val="00971AA2"/>
    <w:rsid w:val="00971AA5"/>
    <w:rsid w:val="00971BDC"/>
    <w:rsid w:val="00972561"/>
    <w:rsid w:val="00972A1D"/>
    <w:rsid w:val="00972C69"/>
    <w:rsid w:val="00972D08"/>
    <w:rsid w:val="00972D48"/>
    <w:rsid w:val="00972D59"/>
    <w:rsid w:val="00972D6E"/>
    <w:rsid w:val="009734EB"/>
    <w:rsid w:val="009737FC"/>
    <w:rsid w:val="009738DA"/>
    <w:rsid w:val="00973AB9"/>
    <w:rsid w:val="00973D89"/>
    <w:rsid w:val="00973DEF"/>
    <w:rsid w:val="00973E63"/>
    <w:rsid w:val="00973E86"/>
    <w:rsid w:val="00974033"/>
    <w:rsid w:val="009742C1"/>
    <w:rsid w:val="0097488E"/>
    <w:rsid w:val="00974AF5"/>
    <w:rsid w:val="00974D89"/>
    <w:rsid w:val="00975088"/>
    <w:rsid w:val="00975209"/>
    <w:rsid w:val="009753CE"/>
    <w:rsid w:val="00975695"/>
    <w:rsid w:val="009756F6"/>
    <w:rsid w:val="0097589D"/>
    <w:rsid w:val="00975A0B"/>
    <w:rsid w:val="00975B03"/>
    <w:rsid w:val="00976634"/>
    <w:rsid w:val="00976663"/>
    <w:rsid w:val="00976E20"/>
    <w:rsid w:val="0097704B"/>
    <w:rsid w:val="0097794D"/>
    <w:rsid w:val="00977B8B"/>
    <w:rsid w:val="00977FE5"/>
    <w:rsid w:val="0098022A"/>
    <w:rsid w:val="00980475"/>
    <w:rsid w:val="00980678"/>
    <w:rsid w:val="0098089B"/>
    <w:rsid w:val="00980A34"/>
    <w:rsid w:val="00980C92"/>
    <w:rsid w:val="009811D3"/>
    <w:rsid w:val="009812C2"/>
    <w:rsid w:val="009818E2"/>
    <w:rsid w:val="009823B0"/>
    <w:rsid w:val="00982804"/>
    <w:rsid w:val="009829BE"/>
    <w:rsid w:val="00982A1E"/>
    <w:rsid w:val="00982B66"/>
    <w:rsid w:val="00982BDD"/>
    <w:rsid w:val="00982C33"/>
    <w:rsid w:val="00982D99"/>
    <w:rsid w:val="00982E04"/>
    <w:rsid w:val="00982E19"/>
    <w:rsid w:val="00983495"/>
    <w:rsid w:val="009839B3"/>
    <w:rsid w:val="00983ACB"/>
    <w:rsid w:val="00983BDF"/>
    <w:rsid w:val="00983E45"/>
    <w:rsid w:val="00984035"/>
    <w:rsid w:val="0098413B"/>
    <w:rsid w:val="00984A5E"/>
    <w:rsid w:val="00984CEF"/>
    <w:rsid w:val="00984DFE"/>
    <w:rsid w:val="00984FEC"/>
    <w:rsid w:val="009851FC"/>
    <w:rsid w:val="0098523B"/>
    <w:rsid w:val="009857A2"/>
    <w:rsid w:val="00985A4A"/>
    <w:rsid w:val="00985D26"/>
    <w:rsid w:val="009862DC"/>
    <w:rsid w:val="009865A1"/>
    <w:rsid w:val="00986716"/>
    <w:rsid w:val="00986738"/>
    <w:rsid w:val="009869DE"/>
    <w:rsid w:val="00986A83"/>
    <w:rsid w:val="00986B89"/>
    <w:rsid w:val="00986D8F"/>
    <w:rsid w:val="00986DD8"/>
    <w:rsid w:val="00986F9A"/>
    <w:rsid w:val="00987517"/>
    <w:rsid w:val="00987597"/>
    <w:rsid w:val="0098761D"/>
    <w:rsid w:val="0098764D"/>
    <w:rsid w:val="009878D4"/>
    <w:rsid w:val="00987EDC"/>
    <w:rsid w:val="00987FDE"/>
    <w:rsid w:val="00990607"/>
    <w:rsid w:val="009907DC"/>
    <w:rsid w:val="00990A25"/>
    <w:rsid w:val="00990BDB"/>
    <w:rsid w:val="00991105"/>
    <w:rsid w:val="009911F0"/>
    <w:rsid w:val="00991B8F"/>
    <w:rsid w:val="00991EDC"/>
    <w:rsid w:val="00991FE5"/>
    <w:rsid w:val="009926B5"/>
    <w:rsid w:val="00992719"/>
    <w:rsid w:val="0099285F"/>
    <w:rsid w:val="00992B34"/>
    <w:rsid w:val="00993331"/>
    <w:rsid w:val="009935D1"/>
    <w:rsid w:val="00993A9A"/>
    <w:rsid w:val="00993B9D"/>
    <w:rsid w:val="00993D28"/>
    <w:rsid w:val="00993F9C"/>
    <w:rsid w:val="009940CC"/>
    <w:rsid w:val="0099432B"/>
    <w:rsid w:val="0099450A"/>
    <w:rsid w:val="009948F4"/>
    <w:rsid w:val="00994ABA"/>
    <w:rsid w:val="00994BAE"/>
    <w:rsid w:val="00995480"/>
    <w:rsid w:val="009956E4"/>
    <w:rsid w:val="00995911"/>
    <w:rsid w:val="00995A90"/>
    <w:rsid w:val="00995E93"/>
    <w:rsid w:val="009967F6"/>
    <w:rsid w:val="009967FF"/>
    <w:rsid w:val="00996942"/>
    <w:rsid w:val="00996F94"/>
    <w:rsid w:val="0099745E"/>
    <w:rsid w:val="00997B2A"/>
    <w:rsid w:val="00997CB2"/>
    <w:rsid w:val="00997D4F"/>
    <w:rsid w:val="009A0238"/>
    <w:rsid w:val="009A11BE"/>
    <w:rsid w:val="009A11FA"/>
    <w:rsid w:val="009A14E0"/>
    <w:rsid w:val="009A1B2D"/>
    <w:rsid w:val="009A1B6E"/>
    <w:rsid w:val="009A1D81"/>
    <w:rsid w:val="009A1F1F"/>
    <w:rsid w:val="009A210F"/>
    <w:rsid w:val="009A30D2"/>
    <w:rsid w:val="009A36A5"/>
    <w:rsid w:val="009A3985"/>
    <w:rsid w:val="009A3C08"/>
    <w:rsid w:val="009A402A"/>
    <w:rsid w:val="009A4A11"/>
    <w:rsid w:val="009A4B3E"/>
    <w:rsid w:val="009A4B81"/>
    <w:rsid w:val="009A4DB7"/>
    <w:rsid w:val="009A5432"/>
    <w:rsid w:val="009A5476"/>
    <w:rsid w:val="009A54D6"/>
    <w:rsid w:val="009A57B8"/>
    <w:rsid w:val="009A584A"/>
    <w:rsid w:val="009A5D66"/>
    <w:rsid w:val="009A5E0B"/>
    <w:rsid w:val="009A5E31"/>
    <w:rsid w:val="009A5EAE"/>
    <w:rsid w:val="009A69EB"/>
    <w:rsid w:val="009A6B46"/>
    <w:rsid w:val="009A6B90"/>
    <w:rsid w:val="009A7100"/>
    <w:rsid w:val="009A74ED"/>
    <w:rsid w:val="009A77E2"/>
    <w:rsid w:val="009A77E4"/>
    <w:rsid w:val="009A7DF1"/>
    <w:rsid w:val="009A7FBB"/>
    <w:rsid w:val="009B0051"/>
    <w:rsid w:val="009B02DD"/>
    <w:rsid w:val="009B06EA"/>
    <w:rsid w:val="009B0784"/>
    <w:rsid w:val="009B0789"/>
    <w:rsid w:val="009B0A11"/>
    <w:rsid w:val="009B0DA8"/>
    <w:rsid w:val="009B1728"/>
    <w:rsid w:val="009B173E"/>
    <w:rsid w:val="009B1783"/>
    <w:rsid w:val="009B1CF5"/>
    <w:rsid w:val="009B1F0E"/>
    <w:rsid w:val="009B2325"/>
    <w:rsid w:val="009B2338"/>
    <w:rsid w:val="009B23F1"/>
    <w:rsid w:val="009B26A6"/>
    <w:rsid w:val="009B2CDB"/>
    <w:rsid w:val="009B31CD"/>
    <w:rsid w:val="009B3218"/>
    <w:rsid w:val="009B3284"/>
    <w:rsid w:val="009B40E8"/>
    <w:rsid w:val="009B41F9"/>
    <w:rsid w:val="009B4390"/>
    <w:rsid w:val="009B43CE"/>
    <w:rsid w:val="009B45FC"/>
    <w:rsid w:val="009B479E"/>
    <w:rsid w:val="009B4AB0"/>
    <w:rsid w:val="009B534B"/>
    <w:rsid w:val="009B5824"/>
    <w:rsid w:val="009B584B"/>
    <w:rsid w:val="009B5DAF"/>
    <w:rsid w:val="009B5E51"/>
    <w:rsid w:val="009B6097"/>
    <w:rsid w:val="009B6F66"/>
    <w:rsid w:val="009B773F"/>
    <w:rsid w:val="009B7BB8"/>
    <w:rsid w:val="009B7EDC"/>
    <w:rsid w:val="009B7EE0"/>
    <w:rsid w:val="009C003A"/>
    <w:rsid w:val="009C056A"/>
    <w:rsid w:val="009C079D"/>
    <w:rsid w:val="009C0AA9"/>
    <w:rsid w:val="009C18DA"/>
    <w:rsid w:val="009C2442"/>
    <w:rsid w:val="009C2602"/>
    <w:rsid w:val="009C2813"/>
    <w:rsid w:val="009C29EA"/>
    <w:rsid w:val="009C2D48"/>
    <w:rsid w:val="009C3396"/>
    <w:rsid w:val="009C3480"/>
    <w:rsid w:val="009C3967"/>
    <w:rsid w:val="009C3A5A"/>
    <w:rsid w:val="009C3CFB"/>
    <w:rsid w:val="009C4016"/>
    <w:rsid w:val="009C4F32"/>
    <w:rsid w:val="009C547F"/>
    <w:rsid w:val="009C58CD"/>
    <w:rsid w:val="009C5EDD"/>
    <w:rsid w:val="009C6084"/>
    <w:rsid w:val="009C6577"/>
    <w:rsid w:val="009C6995"/>
    <w:rsid w:val="009C6DD0"/>
    <w:rsid w:val="009C6E49"/>
    <w:rsid w:val="009C7395"/>
    <w:rsid w:val="009C7BA6"/>
    <w:rsid w:val="009D043A"/>
    <w:rsid w:val="009D0D32"/>
    <w:rsid w:val="009D0DC5"/>
    <w:rsid w:val="009D0FAB"/>
    <w:rsid w:val="009D0FFE"/>
    <w:rsid w:val="009D14EE"/>
    <w:rsid w:val="009D1716"/>
    <w:rsid w:val="009D196C"/>
    <w:rsid w:val="009D199D"/>
    <w:rsid w:val="009D1CD1"/>
    <w:rsid w:val="009D1D75"/>
    <w:rsid w:val="009D1F93"/>
    <w:rsid w:val="009D20BC"/>
    <w:rsid w:val="009D2123"/>
    <w:rsid w:val="009D2154"/>
    <w:rsid w:val="009D231D"/>
    <w:rsid w:val="009D26DE"/>
    <w:rsid w:val="009D26E9"/>
    <w:rsid w:val="009D2F9D"/>
    <w:rsid w:val="009D31F5"/>
    <w:rsid w:val="009D3463"/>
    <w:rsid w:val="009D3494"/>
    <w:rsid w:val="009D374F"/>
    <w:rsid w:val="009D38AF"/>
    <w:rsid w:val="009D405B"/>
    <w:rsid w:val="009D4565"/>
    <w:rsid w:val="009D4A5F"/>
    <w:rsid w:val="009D4A71"/>
    <w:rsid w:val="009D4C4A"/>
    <w:rsid w:val="009D5354"/>
    <w:rsid w:val="009D5372"/>
    <w:rsid w:val="009D5776"/>
    <w:rsid w:val="009D57C9"/>
    <w:rsid w:val="009D5B41"/>
    <w:rsid w:val="009D5CE6"/>
    <w:rsid w:val="009D5FEE"/>
    <w:rsid w:val="009D665F"/>
    <w:rsid w:val="009D6B0A"/>
    <w:rsid w:val="009D6D2D"/>
    <w:rsid w:val="009D78BB"/>
    <w:rsid w:val="009D7D16"/>
    <w:rsid w:val="009D7D43"/>
    <w:rsid w:val="009D7EBB"/>
    <w:rsid w:val="009E01A0"/>
    <w:rsid w:val="009E044C"/>
    <w:rsid w:val="009E09CE"/>
    <w:rsid w:val="009E0BEB"/>
    <w:rsid w:val="009E0DF7"/>
    <w:rsid w:val="009E1744"/>
    <w:rsid w:val="009E17E7"/>
    <w:rsid w:val="009E1C4A"/>
    <w:rsid w:val="009E1E0D"/>
    <w:rsid w:val="009E1FA8"/>
    <w:rsid w:val="009E25CC"/>
    <w:rsid w:val="009E26A6"/>
    <w:rsid w:val="009E27C5"/>
    <w:rsid w:val="009E2DCD"/>
    <w:rsid w:val="009E2E2F"/>
    <w:rsid w:val="009E300C"/>
    <w:rsid w:val="009E3087"/>
    <w:rsid w:val="009E364F"/>
    <w:rsid w:val="009E3650"/>
    <w:rsid w:val="009E41F6"/>
    <w:rsid w:val="009E49A0"/>
    <w:rsid w:val="009E4EF1"/>
    <w:rsid w:val="009E578B"/>
    <w:rsid w:val="009E58B0"/>
    <w:rsid w:val="009E610D"/>
    <w:rsid w:val="009E62BE"/>
    <w:rsid w:val="009E6356"/>
    <w:rsid w:val="009E64A6"/>
    <w:rsid w:val="009E664B"/>
    <w:rsid w:val="009E680F"/>
    <w:rsid w:val="009E6AE7"/>
    <w:rsid w:val="009E6F2B"/>
    <w:rsid w:val="009E70B3"/>
    <w:rsid w:val="009E74A3"/>
    <w:rsid w:val="009E7522"/>
    <w:rsid w:val="009E763A"/>
    <w:rsid w:val="009E7992"/>
    <w:rsid w:val="009E7A8F"/>
    <w:rsid w:val="009E7A90"/>
    <w:rsid w:val="009E7B79"/>
    <w:rsid w:val="009E7DC7"/>
    <w:rsid w:val="009F014B"/>
    <w:rsid w:val="009F0187"/>
    <w:rsid w:val="009F0272"/>
    <w:rsid w:val="009F06DB"/>
    <w:rsid w:val="009F0C89"/>
    <w:rsid w:val="009F0E38"/>
    <w:rsid w:val="009F10E7"/>
    <w:rsid w:val="009F1462"/>
    <w:rsid w:val="009F14AB"/>
    <w:rsid w:val="009F1657"/>
    <w:rsid w:val="009F184A"/>
    <w:rsid w:val="009F1AAF"/>
    <w:rsid w:val="009F1CD8"/>
    <w:rsid w:val="009F1DA0"/>
    <w:rsid w:val="009F1EB2"/>
    <w:rsid w:val="009F2057"/>
    <w:rsid w:val="009F2130"/>
    <w:rsid w:val="009F217B"/>
    <w:rsid w:val="009F281F"/>
    <w:rsid w:val="009F2B7B"/>
    <w:rsid w:val="009F2F12"/>
    <w:rsid w:val="009F32DB"/>
    <w:rsid w:val="009F3627"/>
    <w:rsid w:val="009F3731"/>
    <w:rsid w:val="009F3E1F"/>
    <w:rsid w:val="009F3FC3"/>
    <w:rsid w:val="009F41D6"/>
    <w:rsid w:val="009F4A62"/>
    <w:rsid w:val="009F4F09"/>
    <w:rsid w:val="009F4FD2"/>
    <w:rsid w:val="009F505B"/>
    <w:rsid w:val="009F517A"/>
    <w:rsid w:val="009F56EF"/>
    <w:rsid w:val="009F61C6"/>
    <w:rsid w:val="009F62C7"/>
    <w:rsid w:val="009F6A35"/>
    <w:rsid w:val="009F6EB5"/>
    <w:rsid w:val="009F7576"/>
    <w:rsid w:val="009F75EC"/>
    <w:rsid w:val="009F76FD"/>
    <w:rsid w:val="009F7BCA"/>
    <w:rsid w:val="00A00125"/>
    <w:rsid w:val="00A0028B"/>
    <w:rsid w:val="00A00400"/>
    <w:rsid w:val="00A00425"/>
    <w:rsid w:val="00A0070B"/>
    <w:rsid w:val="00A00ABD"/>
    <w:rsid w:val="00A00E31"/>
    <w:rsid w:val="00A00E7E"/>
    <w:rsid w:val="00A00E9E"/>
    <w:rsid w:val="00A01279"/>
    <w:rsid w:val="00A0150A"/>
    <w:rsid w:val="00A01765"/>
    <w:rsid w:val="00A0183B"/>
    <w:rsid w:val="00A01CE7"/>
    <w:rsid w:val="00A020AB"/>
    <w:rsid w:val="00A024C7"/>
    <w:rsid w:val="00A02580"/>
    <w:rsid w:val="00A0297A"/>
    <w:rsid w:val="00A02DD0"/>
    <w:rsid w:val="00A031F1"/>
    <w:rsid w:val="00A036F5"/>
    <w:rsid w:val="00A037C1"/>
    <w:rsid w:val="00A03AE8"/>
    <w:rsid w:val="00A03E45"/>
    <w:rsid w:val="00A03EA5"/>
    <w:rsid w:val="00A042E3"/>
    <w:rsid w:val="00A0435B"/>
    <w:rsid w:val="00A043C5"/>
    <w:rsid w:val="00A049B9"/>
    <w:rsid w:val="00A04E14"/>
    <w:rsid w:val="00A05148"/>
    <w:rsid w:val="00A05630"/>
    <w:rsid w:val="00A056BE"/>
    <w:rsid w:val="00A0576C"/>
    <w:rsid w:val="00A0584E"/>
    <w:rsid w:val="00A058B3"/>
    <w:rsid w:val="00A059D1"/>
    <w:rsid w:val="00A05BCF"/>
    <w:rsid w:val="00A05CAF"/>
    <w:rsid w:val="00A06549"/>
    <w:rsid w:val="00A06930"/>
    <w:rsid w:val="00A0698D"/>
    <w:rsid w:val="00A07628"/>
    <w:rsid w:val="00A077D4"/>
    <w:rsid w:val="00A079D0"/>
    <w:rsid w:val="00A07ECA"/>
    <w:rsid w:val="00A1000E"/>
    <w:rsid w:val="00A10EC1"/>
    <w:rsid w:val="00A114CB"/>
    <w:rsid w:val="00A1244F"/>
    <w:rsid w:val="00A124EB"/>
    <w:rsid w:val="00A12B71"/>
    <w:rsid w:val="00A12F6D"/>
    <w:rsid w:val="00A13049"/>
    <w:rsid w:val="00A130DF"/>
    <w:rsid w:val="00A13121"/>
    <w:rsid w:val="00A132C0"/>
    <w:rsid w:val="00A132E7"/>
    <w:rsid w:val="00A135F6"/>
    <w:rsid w:val="00A138A1"/>
    <w:rsid w:val="00A13AFB"/>
    <w:rsid w:val="00A13DFE"/>
    <w:rsid w:val="00A13FAD"/>
    <w:rsid w:val="00A142F7"/>
    <w:rsid w:val="00A1483A"/>
    <w:rsid w:val="00A14A50"/>
    <w:rsid w:val="00A14B5C"/>
    <w:rsid w:val="00A14DEB"/>
    <w:rsid w:val="00A1506E"/>
    <w:rsid w:val="00A150B4"/>
    <w:rsid w:val="00A155CC"/>
    <w:rsid w:val="00A15612"/>
    <w:rsid w:val="00A1564A"/>
    <w:rsid w:val="00A15927"/>
    <w:rsid w:val="00A15C39"/>
    <w:rsid w:val="00A15EDF"/>
    <w:rsid w:val="00A168E9"/>
    <w:rsid w:val="00A16C90"/>
    <w:rsid w:val="00A16E2A"/>
    <w:rsid w:val="00A16F1F"/>
    <w:rsid w:val="00A16FBA"/>
    <w:rsid w:val="00A17267"/>
    <w:rsid w:val="00A17336"/>
    <w:rsid w:val="00A174A3"/>
    <w:rsid w:val="00A17A5C"/>
    <w:rsid w:val="00A17B2C"/>
    <w:rsid w:val="00A17BCD"/>
    <w:rsid w:val="00A17F6D"/>
    <w:rsid w:val="00A17FB4"/>
    <w:rsid w:val="00A17FCA"/>
    <w:rsid w:val="00A20500"/>
    <w:rsid w:val="00A20537"/>
    <w:rsid w:val="00A2063C"/>
    <w:rsid w:val="00A20B8D"/>
    <w:rsid w:val="00A21554"/>
    <w:rsid w:val="00A218EB"/>
    <w:rsid w:val="00A21BED"/>
    <w:rsid w:val="00A2214F"/>
    <w:rsid w:val="00A221BE"/>
    <w:rsid w:val="00A22294"/>
    <w:rsid w:val="00A22362"/>
    <w:rsid w:val="00A224C9"/>
    <w:rsid w:val="00A22601"/>
    <w:rsid w:val="00A22855"/>
    <w:rsid w:val="00A22CCE"/>
    <w:rsid w:val="00A22DC8"/>
    <w:rsid w:val="00A22F46"/>
    <w:rsid w:val="00A2304F"/>
    <w:rsid w:val="00A2334B"/>
    <w:rsid w:val="00A23436"/>
    <w:rsid w:val="00A2352B"/>
    <w:rsid w:val="00A23A7A"/>
    <w:rsid w:val="00A23B87"/>
    <w:rsid w:val="00A23BDA"/>
    <w:rsid w:val="00A23D2E"/>
    <w:rsid w:val="00A23E92"/>
    <w:rsid w:val="00A243DD"/>
    <w:rsid w:val="00A24597"/>
    <w:rsid w:val="00A248B1"/>
    <w:rsid w:val="00A24B1E"/>
    <w:rsid w:val="00A24BE1"/>
    <w:rsid w:val="00A25374"/>
    <w:rsid w:val="00A25454"/>
    <w:rsid w:val="00A256A8"/>
    <w:rsid w:val="00A256C9"/>
    <w:rsid w:val="00A256DB"/>
    <w:rsid w:val="00A25A6F"/>
    <w:rsid w:val="00A25E0D"/>
    <w:rsid w:val="00A25FF5"/>
    <w:rsid w:val="00A26204"/>
    <w:rsid w:val="00A2658D"/>
    <w:rsid w:val="00A268D8"/>
    <w:rsid w:val="00A26E21"/>
    <w:rsid w:val="00A26E35"/>
    <w:rsid w:val="00A2743C"/>
    <w:rsid w:val="00A27465"/>
    <w:rsid w:val="00A27B02"/>
    <w:rsid w:val="00A27DAE"/>
    <w:rsid w:val="00A3019E"/>
    <w:rsid w:val="00A3046C"/>
    <w:rsid w:val="00A304C4"/>
    <w:rsid w:val="00A30917"/>
    <w:rsid w:val="00A30D3E"/>
    <w:rsid w:val="00A314BD"/>
    <w:rsid w:val="00A319FD"/>
    <w:rsid w:val="00A31CF5"/>
    <w:rsid w:val="00A323D0"/>
    <w:rsid w:val="00A327AB"/>
    <w:rsid w:val="00A32AFC"/>
    <w:rsid w:val="00A335A4"/>
    <w:rsid w:val="00A3369E"/>
    <w:rsid w:val="00A33B65"/>
    <w:rsid w:val="00A341AD"/>
    <w:rsid w:val="00A34275"/>
    <w:rsid w:val="00A344A5"/>
    <w:rsid w:val="00A344D8"/>
    <w:rsid w:val="00A344E6"/>
    <w:rsid w:val="00A3519F"/>
    <w:rsid w:val="00A3526B"/>
    <w:rsid w:val="00A3532C"/>
    <w:rsid w:val="00A35498"/>
    <w:rsid w:val="00A36716"/>
    <w:rsid w:val="00A367D5"/>
    <w:rsid w:val="00A36C95"/>
    <w:rsid w:val="00A36CD3"/>
    <w:rsid w:val="00A36D5C"/>
    <w:rsid w:val="00A371FA"/>
    <w:rsid w:val="00A37698"/>
    <w:rsid w:val="00A37705"/>
    <w:rsid w:val="00A37B14"/>
    <w:rsid w:val="00A37DA9"/>
    <w:rsid w:val="00A40691"/>
    <w:rsid w:val="00A408E5"/>
    <w:rsid w:val="00A41348"/>
    <w:rsid w:val="00A41723"/>
    <w:rsid w:val="00A419D3"/>
    <w:rsid w:val="00A4314D"/>
    <w:rsid w:val="00A431D9"/>
    <w:rsid w:val="00A43218"/>
    <w:rsid w:val="00A43324"/>
    <w:rsid w:val="00A4332D"/>
    <w:rsid w:val="00A43881"/>
    <w:rsid w:val="00A43A78"/>
    <w:rsid w:val="00A43B3B"/>
    <w:rsid w:val="00A43D0A"/>
    <w:rsid w:val="00A44427"/>
    <w:rsid w:val="00A44A77"/>
    <w:rsid w:val="00A44AF4"/>
    <w:rsid w:val="00A4511F"/>
    <w:rsid w:val="00A456B1"/>
    <w:rsid w:val="00A456FC"/>
    <w:rsid w:val="00A45E58"/>
    <w:rsid w:val="00A461F3"/>
    <w:rsid w:val="00A4636C"/>
    <w:rsid w:val="00A467D9"/>
    <w:rsid w:val="00A46804"/>
    <w:rsid w:val="00A46A7B"/>
    <w:rsid w:val="00A46ABD"/>
    <w:rsid w:val="00A46D8D"/>
    <w:rsid w:val="00A46D8E"/>
    <w:rsid w:val="00A4742B"/>
    <w:rsid w:val="00A47931"/>
    <w:rsid w:val="00A47AC7"/>
    <w:rsid w:val="00A47AD1"/>
    <w:rsid w:val="00A47D28"/>
    <w:rsid w:val="00A47DB6"/>
    <w:rsid w:val="00A47F20"/>
    <w:rsid w:val="00A502CB"/>
    <w:rsid w:val="00A5051F"/>
    <w:rsid w:val="00A50694"/>
    <w:rsid w:val="00A507E0"/>
    <w:rsid w:val="00A509D3"/>
    <w:rsid w:val="00A50D33"/>
    <w:rsid w:val="00A512E1"/>
    <w:rsid w:val="00A51304"/>
    <w:rsid w:val="00A517FB"/>
    <w:rsid w:val="00A51AD6"/>
    <w:rsid w:val="00A5211E"/>
    <w:rsid w:val="00A5244A"/>
    <w:rsid w:val="00A52B0D"/>
    <w:rsid w:val="00A52E03"/>
    <w:rsid w:val="00A53818"/>
    <w:rsid w:val="00A53CEB"/>
    <w:rsid w:val="00A5412F"/>
    <w:rsid w:val="00A5415B"/>
    <w:rsid w:val="00A5416E"/>
    <w:rsid w:val="00A547F7"/>
    <w:rsid w:val="00A54881"/>
    <w:rsid w:val="00A54A6F"/>
    <w:rsid w:val="00A54FEA"/>
    <w:rsid w:val="00A558D2"/>
    <w:rsid w:val="00A559B7"/>
    <w:rsid w:val="00A55CCC"/>
    <w:rsid w:val="00A56122"/>
    <w:rsid w:val="00A5627C"/>
    <w:rsid w:val="00A5632C"/>
    <w:rsid w:val="00A5632F"/>
    <w:rsid w:val="00A563E1"/>
    <w:rsid w:val="00A5659A"/>
    <w:rsid w:val="00A56735"/>
    <w:rsid w:val="00A567B4"/>
    <w:rsid w:val="00A56FDC"/>
    <w:rsid w:val="00A57394"/>
    <w:rsid w:val="00A576FA"/>
    <w:rsid w:val="00A578C7"/>
    <w:rsid w:val="00A600AD"/>
    <w:rsid w:val="00A60A80"/>
    <w:rsid w:val="00A60B77"/>
    <w:rsid w:val="00A60B84"/>
    <w:rsid w:val="00A60C69"/>
    <w:rsid w:val="00A6105F"/>
    <w:rsid w:val="00A61551"/>
    <w:rsid w:val="00A61A46"/>
    <w:rsid w:val="00A6250B"/>
    <w:rsid w:val="00A6252E"/>
    <w:rsid w:val="00A6343C"/>
    <w:rsid w:val="00A6382E"/>
    <w:rsid w:val="00A63866"/>
    <w:rsid w:val="00A643B5"/>
    <w:rsid w:val="00A648E0"/>
    <w:rsid w:val="00A649C5"/>
    <w:rsid w:val="00A64E39"/>
    <w:rsid w:val="00A65181"/>
    <w:rsid w:val="00A65588"/>
    <w:rsid w:val="00A65F78"/>
    <w:rsid w:val="00A663FA"/>
    <w:rsid w:val="00A66443"/>
    <w:rsid w:val="00A66535"/>
    <w:rsid w:val="00A66848"/>
    <w:rsid w:val="00A66C15"/>
    <w:rsid w:val="00A66E0B"/>
    <w:rsid w:val="00A66FB6"/>
    <w:rsid w:val="00A7080E"/>
    <w:rsid w:val="00A70842"/>
    <w:rsid w:val="00A70C19"/>
    <w:rsid w:val="00A70D7C"/>
    <w:rsid w:val="00A71F46"/>
    <w:rsid w:val="00A720A7"/>
    <w:rsid w:val="00A7232B"/>
    <w:rsid w:val="00A728C2"/>
    <w:rsid w:val="00A72B8A"/>
    <w:rsid w:val="00A7345E"/>
    <w:rsid w:val="00A734CD"/>
    <w:rsid w:val="00A7359A"/>
    <w:rsid w:val="00A736A9"/>
    <w:rsid w:val="00A7386D"/>
    <w:rsid w:val="00A73DD1"/>
    <w:rsid w:val="00A73FD6"/>
    <w:rsid w:val="00A745DC"/>
    <w:rsid w:val="00A7496F"/>
    <w:rsid w:val="00A74D99"/>
    <w:rsid w:val="00A75230"/>
    <w:rsid w:val="00A7553A"/>
    <w:rsid w:val="00A75638"/>
    <w:rsid w:val="00A76095"/>
    <w:rsid w:val="00A764CD"/>
    <w:rsid w:val="00A76841"/>
    <w:rsid w:val="00A76C6D"/>
    <w:rsid w:val="00A76C9B"/>
    <w:rsid w:val="00A7718C"/>
    <w:rsid w:val="00A773C9"/>
    <w:rsid w:val="00A776DF"/>
    <w:rsid w:val="00A77BCC"/>
    <w:rsid w:val="00A77BD3"/>
    <w:rsid w:val="00A802AA"/>
    <w:rsid w:val="00A80D9B"/>
    <w:rsid w:val="00A81169"/>
    <w:rsid w:val="00A81884"/>
    <w:rsid w:val="00A8198E"/>
    <w:rsid w:val="00A81A02"/>
    <w:rsid w:val="00A81BAD"/>
    <w:rsid w:val="00A81BFF"/>
    <w:rsid w:val="00A82057"/>
    <w:rsid w:val="00A8239A"/>
    <w:rsid w:val="00A82928"/>
    <w:rsid w:val="00A82E03"/>
    <w:rsid w:val="00A8305C"/>
    <w:rsid w:val="00A8354A"/>
    <w:rsid w:val="00A83617"/>
    <w:rsid w:val="00A837B0"/>
    <w:rsid w:val="00A83827"/>
    <w:rsid w:val="00A83A90"/>
    <w:rsid w:val="00A83DB5"/>
    <w:rsid w:val="00A83F2C"/>
    <w:rsid w:val="00A84059"/>
    <w:rsid w:val="00A8406A"/>
    <w:rsid w:val="00A840F3"/>
    <w:rsid w:val="00A8441A"/>
    <w:rsid w:val="00A84737"/>
    <w:rsid w:val="00A850B2"/>
    <w:rsid w:val="00A854AE"/>
    <w:rsid w:val="00A86991"/>
    <w:rsid w:val="00A86BB0"/>
    <w:rsid w:val="00A86EAD"/>
    <w:rsid w:val="00A86EDE"/>
    <w:rsid w:val="00A875F7"/>
    <w:rsid w:val="00A87614"/>
    <w:rsid w:val="00A87706"/>
    <w:rsid w:val="00A87966"/>
    <w:rsid w:val="00A87970"/>
    <w:rsid w:val="00A87A7B"/>
    <w:rsid w:val="00A87B70"/>
    <w:rsid w:val="00A87E49"/>
    <w:rsid w:val="00A90016"/>
    <w:rsid w:val="00A905FB"/>
    <w:rsid w:val="00A90691"/>
    <w:rsid w:val="00A90824"/>
    <w:rsid w:val="00A909DE"/>
    <w:rsid w:val="00A90A7F"/>
    <w:rsid w:val="00A90FDC"/>
    <w:rsid w:val="00A910FB"/>
    <w:rsid w:val="00A91141"/>
    <w:rsid w:val="00A911B2"/>
    <w:rsid w:val="00A91216"/>
    <w:rsid w:val="00A9174A"/>
    <w:rsid w:val="00A9185D"/>
    <w:rsid w:val="00A9197C"/>
    <w:rsid w:val="00A91E8B"/>
    <w:rsid w:val="00A92383"/>
    <w:rsid w:val="00A92591"/>
    <w:rsid w:val="00A926B4"/>
    <w:rsid w:val="00A92917"/>
    <w:rsid w:val="00A92B3C"/>
    <w:rsid w:val="00A92CE7"/>
    <w:rsid w:val="00A92D6A"/>
    <w:rsid w:val="00A92FA1"/>
    <w:rsid w:val="00A9385D"/>
    <w:rsid w:val="00A9386A"/>
    <w:rsid w:val="00A938EE"/>
    <w:rsid w:val="00A93A88"/>
    <w:rsid w:val="00A93A9D"/>
    <w:rsid w:val="00A93CD1"/>
    <w:rsid w:val="00A94119"/>
    <w:rsid w:val="00A94653"/>
    <w:rsid w:val="00A9474C"/>
    <w:rsid w:val="00A94BBB"/>
    <w:rsid w:val="00A94C66"/>
    <w:rsid w:val="00A95144"/>
    <w:rsid w:val="00A95247"/>
    <w:rsid w:val="00A952BD"/>
    <w:rsid w:val="00A952C9"/>
    <w:rsid w:val="00A953BE"/>
    <w:rsid w:val="00A956CC"/>
    <w:rsid w:val="00A958EA"/>
    <w:rsid w:val="00A95988"/>
    <w:rsid w:val="00A95BE6"/>
    <w:rsid w:val="00A96D3D"/>
    <w:rsid w:val="00A96E98"/>
    <w:rsid w:val="00A973B4"/>
    <w:rsid w:val="00A9793E"/>
    <w:rsid w:val="00A979B0"/>
    <w:rsid w:val="00A97D5C"/>
    <w:rsid w:val="00A97E8F"/>
    <w:rsid w:val="00AA0182"/>
    <w:rsid w:val="00AA0B48"/>
    <w:rsid w:val="00AA0C7B"/>
    <w:rsid w:val="00AA0E2C"/>
    <w:rsid w:val="00AA1010"/>
    <w:rsid w:val="00AA1073"/>
    <w:rsid w:val="00AA12A8"/>
    <w:rsid w:val="00AA1363"/>
    <w:rsid w:val="00AA1ED1"/>
    <w:rsid w:val="00AA2110"/>
    <w:rsid w:val="00AA29EA"/>
    <w:rsid w:val="00AA31BA"/>
    <w:rsid w:val="00AA33ED"/>
    <w:rsid w:val="00AA3476"/>
    <w:rsid w:val="00AA34F0"/>
    <w:rsid w:val="00AA3647"/>
    <w:rsid w:val="00AA3804"/>
    <w:rsid w:val="00AA3A9C"/>
    <w:rsid w:val="00AA3BCA"/>
    <w:rsid w:val="00AA3FAB"/>
    <w:rsid w:val="00AA4316"/>
    <w:rsid w:val="00AA4565"/>
    <w:rsid w:val="00AA4750"/>
    <w:rsid w:val="00AA4EA6"/>
    <w:rsid w:val="00AA5BA0"/>
    <w:rsid w:val="00AA5ED7"/>
    <w:rsid w:val="00AA66E2"/>
    <w:rsid w:val="00AA6786"/>
    <w:rsid w:val="00AA7079"/>
    <w:rsid w:val="00AA7360"/>
    <w:rsid w:val="00AA7526"/>
    <w:rsid w:val="00AA772B"/>
    <w:rsid w:val="00AA7C21"/>
    <w:rsid w:val="00AA7C62"/>
    <w:rsid w:val="00AB056F"/>
    <w:rsid w:val="00AB0765"/>
    <w:rsid w:val="00AB0EC8"/>
    <w:rsid w:val="00AB0F93"/>
    <w:rsid w:val="00AB0F9F"/>
    <w:rsid w:val="00AB10BA"/>
    <w:rsid w:val="00AB11BE"/>
    <w:rsid w:val="00AB12C7"/>
    <w:rsid w:val="00AB141C"/>
    <w:rsid w:val="00AB1856"/>
    <w:rsid w:val="00AB18CF"/>
    <w:rsid w:val="00AB19E5"/>
    <w:rsid w:val="00AB1BF2"/>
    <w:rsid w:val="00AB216B"/>
    <w:rsid w:val="00AB2321"/>
    <w:rsid w:val="00AB2329"/>
    <w:rsid w:val="00AB2334"/>
    <w:rsid w:val="00AB238E"/>
    <w:rsid w:val="00AB25D5"/>
    <w:rsid w:val="00AB271D"/>
    <w:rsid w:val="00AB2865"/>
    <w:rsid w:val="00AB2D75"/>
    <w:rsid w:val="00AB300A"/>
    <w:rsid w:val="00AB31D4"/>
    <w:rsid w:val="00AB3380"/>
    <w:rsid w:val="00AB3383"/>
    <w:rsid w:val="00AB3613"/>
    <w:rsid w:val="00AB39F8"/>
    <w:rsid w:val="00AB3F19"/>
    <w:rsid w:val="00AB4145"/>
    <w:rsid w:val="00AB429C"/>
    <w:rsid w:val="00AB44C3"/>
    <w:rsid w:val="00AB4737"/>
    <w:rsid w:val="00AB4A4F"/>
    <w:rsid w:val="00AB4C40"/>
    <w:rsid w:val="00AB4FCE"/>
    <w:rsid w:val="00AB5187"/>
    <w:rsid w:val="00AB5EF5"/>
    <w:rsid w:val="00AB60A3"/>
    <w:rsid w:val="00AB6107"/>
    <w:rsid w:val="00AB6311"/>
    <w:rsid w:val="00AB647A"/>
    <w:rsid w:val="00AB651F"/>
    <w:rsid w:val="00AB67B6"/>
    <w:rsid w:val="00AB68D6"/>
    <w:rsid w:val="00AB6CA1"/>
    <w:rsid w:val="00AB6FC7"/>
    <w:rsid w:val="00AB7373"/>
    <w:rsid w:val="00AB7CF6"/>
    <w:rsid w:val="00AB7F0C"/>
    <w:rsid w:val="00AC0316"/>
    <w:rsid w:val="00AC071E"/>
    <w:rsid w:val="00AC0A57"/>
    <w:rsid w:val="00AC0F03"/>
    <w:rsid w:val="00AC14A4"/>
    <w:rsid w:val="00AC174D"/>
    <w:rsid w:val="00AC1DD8"/>
    <w:rsid w:val="00AC2158"/>
    <w:rsid w:val="00AC238A"/>
    <w:rsid w:val="00AC23D0"/>
    <w:rsid w:val="00AC29FC"/>
    <w:rsid w:val="00AC2CA7"/>
    <w:rsid w:val="00AC3B16"/>
    <w:rsid w:val="00AC3E35"/>
    <w:rsid w:val="00AC403E"/>
    <w:rsid w:val="00AC420D"/>
    <w:rsid w:val="00AC42F4"/>
    <w:rsid w:val="00AC444D"/>
    <w:rsid w:val="00AC4B04"/>
    <w:rsid w:val="00AC4B1B"/>
    <w:rsid w:val="00AC4D7B"/>
    <w:rsid w:val="00AC510D"/>
    <w:rsid w:val="00AC589B"/>
    <w:rsid w:val="00AC5A58"/>
    <w:rsid w:val="00AC62E1"/>
    <w:rsid w:val="00AC649D"/>
    <w:rsid w:val="00AC6698"/>
    <w:rsid w:val="00AC683E"/>
    <w:rsid w:val="00AC6858"/>
    <w:rsid w:val="00AC6876"/>
    <w:rsid w:val="00AC6F05"/>
    <w:rsid w:val="00AC6F1F"/>
    <w:rsid w:val="00AC6F35"/>
    <w:rsid w:val="00AC6FA2"/>
    <w:rsid w:val="00AC6FB7"/>
    <w:rsid w:val="00AC71B5"/>
    <w:rsid w:val="00AC7383"/>
    <w:rsid w:val="00AC77B2"/>
    <w:rsid w:val="00AC785A"/>
    <w:rsid w:val="00AC7871"/>
    <w:rsid w:val="00AC7B14"/>
    <w:rsid w:val="00AD01F5"/>
    <w:rsid w:val="00AD0378"/>
    <w:rsid w:val="00AD0482"/>
    <w:rsid w:val="00AD116F"/>
    <w:rsid w:val="00AD1571"/>
    <w:rsid w:val="00AD17FE"/>
    <w:rsid w:val="00AD1DE9"/>
    <w:rsid w:val="00AD1E68"/>
    <w:rsid w:val="00AD2127"/>
    <w:rsid w:val="00AD2213"/>
    <w:rsid w:val="00AD2580"/>
    <w:rsid w:val="00AD2993"/>
    <w:rsid w:val="00AD31B3"/>
    <w:rsid w:val="00AD35C9"/>
    <w:rsid w:val="00AD36B2"/>
    <w:rsid w:val="00AD38DF"/>
    <w:rsid w:val="00AD3DCA"/>
    <w:rsid w:val="00AD3E35"/>
    <w:rsid w:val="00AD4082"/>
    <w:rsid w:val="00AD42E6"/>
    <w:rsid w:val="00AD43E9"/>
    <w:rsid w:val="00AD44AA"/>
    <w:rsid w:val="00AD4B13"/>
    <w:rsid w:val="00AD4EB0"/>
    <w:rsid w:val="00AD5198"/>
    <w:rsid w:val="00AD54E6"/>
    <w:rsid w:val="00AD580C"/>
    <w:rsid w:val="00AD5A28"/>
    <w:rsid w:val="00AD5C7D"/>
    <w:rsid w:val="00AD5D1E"/>
    <w:rsid w:val="00AD5F70"/>
    <w:rsid w:val="00AD60D0"/>
    <w:rsid w:val="00AD6317"/>
    <w:rsid w:val="00AD636D"/>
    <w:rsid w:val="00AD652F"/>
    <w:rsid w:val="00AD6847"/>
    <w:rsid w:val="00AD6B01"/>
    <w:rsid w:val="00AD703F"/>
    <w:rsid w:val="00AD7946"/>
    <w:rsid w:val="00AD7AB1"/>
    <w:rsid w:val="00AD7B84"/>
    <w:rsid w:val="00AD7F55"/>
    <w:rsid w:val="00AE003C"/>
    <w:rsid w:val="00AE0C6D"/>
    <w:rsid w:val="00AE0D7C"/>
    <w:rsid w:val="00AE0DA0"/>
    <w:rsid w:val="00AE0DF1"/>
    <w:rsid w:val="00AE0E59"/>
    <w:rsid w:val="00AE118E"/>
    <w:rsid w:val="00AE1317"/>
    <w:rsid w:val="00AE1577"/>
    <w:rsid w:val="00AE18E4"/>
    <w:rsid w:val="00AE1CD7"/>
    <w:rsid w:val="00AE2270"/>
    <w:rsid w:val="00AE2816"/>
    <w:rsid w:val="00AE29D9"/>
    <w:rsid w:val="00AE2E1B"/>
    <w:rsid w:val="00AE37B9"/>
    <w:rsid w:val="00AE3910"/>
    <w:rsid w:val="00AE39BD"/>
    <w:rsid w:val="00AE4064"/>
    <w:rsid w:val="00AE4108"/>
    <w:rsid w:val="00AE41F7"/>
    <w:rsid w:val="00AE48C2"/>
    <w:rsid w:val="00AE501A"/>
    <w:rsid w:val="00AE546F"/>
    <w:rsid w:val="00AE556E"/>
    <w:rsid w:val="00AE5667"/>
    <w:rsid w:val="00AE5B5C"/>
    <w:rsid w:val="00AE5B68"/>
    <w:rsid w:val="00AE5E8E"/>
    <w:rsid w:val="00AE6086"/>
    <w:rsid w:val="00AE621E"/>
    <w:rsid w:val="00AE640D"/>
    <w:rsid w:val="00AE681F"/>
    <w:rsid w:val="00AE6850"/>
    <w:rsid w:val="00AE7045"/>
    <w:rsid w:val="00AE7057"/>
    <w:rsid w:val="00AE7A78"/>
    <w:rsid w:val="00AE7E6E"/>
    <w:rsid w:val="00AF0481"/>
    <w:rsid w:val="00AF054C"/>
    <w:rsid w:val="00AF057A"/>
    <w:rsid w:val="00AF0B6D"/>
    <w:rsid w:val="00AF0D2B"/>
    <w:rsid w:val="00AF0E2B"/>
    <w:rsid w:val="00AF12FA"/>
    <w:rsid w:val="00AF13C6"/>
    <w:rsid w:val="00AF159E"/>
    <w:rsid w:val="00AF15E9"/>
    <w:rsid w:val="00AF1F76"/>
    <w:rsid w:val="00AF208F"/>
    <w:rsid w:val="00AF209C"/>
    <w:rsid w:val="00AF2305"/>
    <w:rsid w:val="00AF2489"/>
    <w:rsid w:val="00AF2620"/>
    <w:rsid w:val="00AF26A5"/>
    <w:rsid w:val="00AF2AC7"/>
    <w:rsid w:val="00AF2B23"/>
    <w:rsid w:val="00AF3048"/>
    <w:rsid w:val="00AF3054"/>
    <w:rsid w:val="00AF30F1"/>
    <w:rsid w:val="00AF3137"/>
    <w:rsid w:val="00AF315B"/>
    <w:rsid w:val="00AF33DB"/>
    <w:rsid w:val="00AF379E"/>
    <w:rsid w:val="00AF3979"/>
    <w:rsid w:val="00AF3996"/>
    <w:rsid w:val="00AF3D78"/>
    <w:rsid w:val="00AF408A"/>
    <w:rsid w:val="00AF43E7"/>
    <w:rsid w:val="00AF4409"/>
    <w:rsid w:val="00AF465D"/>
    <w:rsid w:val="00AF4750"/>
    <w:rsid w:val="00AF4CF8"/>
    <w:rsid w:val="00AF559C"/>
    <w:rsid w:val="00AF5869"/>
    <w:rsid w:val="00AF64A7"/>
    <w:rsid w:val="00AF7606"/>
    <w:rsid w:val="00AF77A4"/>
    <w:rsid w:val="00AF7886"/>
    <w:rsid w:val="00AF7E26"/>
    <w:rsid w:val="00AF7EB2"/>
    <w:rsid w:val="00B009FB"/>
    <w:rsid w:val="00B00D47"/>
    <w:rsid w:val="00B00F25"/>
    <w:rsid w:val="00B0152A"/>
    <w:rsid w:val="00B015B6"/>
    <w:rsid w:val="00B01632"/>
    <w:rsid w:val="00B021F7"/>
    <w:rsid w:val="00B0293C"/>
    <w:rsid w:val="00B02A4F"/>
    <w:rsid w:val="00B02D22"/>
    <w:rsid w:val="00B02EE7"/>
    <w:rsid w:val="00B03082"/>
    <w:rsid w:val="00B031B3"/>
    <w:rsid w:val="00B034A3"/>
    <w:rsid w:val="00B03598"/>
    <w:rsid w:val="00B036ED"/>
    <w:rsid w:val="00B03961"/>
    <w:rsid w:val="00B03AB3"/>
    <w:rsid w:val="00B04466"/>
    <w:rsid w:val="00B04551"/>
    <w:rsid w:val="00B04791"/>
    <w:rsid w:val="00B04823"/>
    <w:rsid w:val="00B051C5"/>
    <w:rsid w:val="00B059B6"/>
    <w:rsid w:val="00B05A31"/>
    <w:rsid w:val="00B05A87"/>
    <w:rsid w:val="00B05B11"/>
    <w:rsid w:val="00B05F59"/>
    <w:rsid w:val="00B068D9"/>
    <w:rsid w:val="00B069CB"/>
    <w:rsid w:val="00B06F23"/>
    <w:rsid w:val="00B0765D"/>
    <w:rsid w:val="00B077DA"/>
    <w:rsid w:val="00B079CB"/>
    <w:rsid w:val="00B10216"/>
    <w:rsid w:val="00B10254"/>
    <w:rsid w:val="00B10459"/>
    <w:rsid w:val="00B105BB"/>
    <w:rsid w:val="00B10936"/>
    <w:rsid w:val="00B10A3A"/>
    <w:rsid w:val="00B10FF7"/>
    <w:rsid w:val="00B11874"/>
    <w:rsid w:val="00B12440"/>
    <w:rsid w:val="00B12688"/>
    <w:rsid w:val="00B12FC2"/>
    <w:rsid w:val="00B13003"/>
    <w:rsid w:val="00B1356B"/>
    <w:rsid w:val="00B13968"/>
    <w:rsid w:val="00B139FB"/>
    <w:rsid w:val="00B13C2A"/>
    <w:rsid w:val="00B13D33"/>
    <w:rsid w:val="00B141D7"/>
    <w:rsid w:val="00B14810"/>
    <w:rsid w:val="00B15274"/>
    <w:rsid w:val="00B15667"/>
    <w:rsid w:val="00B15E6C"/>
    <w:rsid w:val="00B165D2"/>
    <w:rsid w:val="00B16A96"/>
    <w:rsid w:val="00B16B50"/>
    <w:rsid w:val="00B16E13"/>
    <w:rsid w:val="00B17023"/>
    <w:rsid w:val="00B17069"/>
    <w:rsid w:val="00B1722E"/>
    <w:rsid w:val="00B17275"/>
    <w:rsid w:val="00B179BD"/>
    <w:rsid w:val="00B17E54"/>
    <w:rsid w:val="00B2038E"/>
    <w:rsid w:val="00B20CB3"/>
    <w:rsid w:val="00B20E88"/>
    <w:rsid w:val="00B21079"/>
    <w:rsid w:val="00B21375"/>
    <w:rsid w:val="00B214D2"/>
    <w:rsid w:val="00B21575"/>
    <w:rsid w:val="00B216F8"/>
    <w:rsid w:val="00B217E9"/>
    <w:rsid w:val="00B21B6B"/>
    <w:rsid w:val="00B21D6B"/>
    <w:rsid w:val="00B21F00"/>
    <w:rsid w:val="00B22390"/>
    <w:rsid w:val="00B2245F"/>
    <w:rsid w:val="00B22869"/>
    <w:rsid w:val="00B23024"/>
    <w:rsid w:val="00B2345E"/>
    <w:rsid w:val="00B2347C"/>
    <w:rsid w:val="00B2375D"/>
    <w:rsid w:val="00B24155"/>
    <w:rsid w:val="00B241A8"/>
    <w:rsid w:val="00B24582"/>
    <w:rsid w:val="00B247D8"/>
    <w:rsid w:val="00B2487F"/>
    <w:rsid w:val="00B252A4"/>
    <w:rsid w:val="00B25387"/>
    <w:rsid w:val="00B258D6"/>
    <w:rsid w:val="00B25A1F"/>
    <w:rsid w:val="00B26943"/>
    <w:rsid w:val="00B269C6"/>
    <w:rsid w:val="00B26F80"/>
    <w:rsid w:val="00B27225"/>
    <w:rsid w:val="00B27244"/>
    <w:rsid w:val="00B27549"/>
    <w:rsid w:val="00B275A8"/>
    <w:rsid w:val="00B27834"/>
    <w:rsid w:val="00B27B21"/>
    <w:rsid w:val="00B27DD0"/>
    <w:rsid w:val="00B30323"/>
    <w:rsid w:val="00B307D7"/>
    <w:rsid w:val="00B30B8B"/>
    <w:rsid w:val="00B3123F"/>
    <w:rsid w:val="00B313F5"/>
    <w:rsid w:val="00B31511"/>
    <w:rsid w:val="00B31AE6"/>
    <w:rsid w:val="00B31AEE"/>
    <w:rsid w:val="00B31C64"/>
    <w:rsid w:val="00B31C67"/>
    <w:rsid w:val="00B31CC6"/>
    <w:rsid w:val="00B32513"/>
    <w:rsid w:val="00B32CDF"/>
    <w:rsid w:val="00B333FD"/>
    <w:rsid w:val="00B3381A"/>
    <w:rsid w:val="00B3389B"/>
    <w:rsid w:val="00B338E4"/>
    <w:rsid w:val="00B339FB"/>
    <w:rsid w:val="00B33F8B"/>
    <w:rsid w:val="00B340EF"/>
    <w:rsid w:val="00B342A2"/>
    <w:rsid w:val="00B349E4"/>
    <w:rsid w:val="00B34A51"/>
    <w:rsid w:val="00B34A8F"/>
    <w:rsid w:val="00B34FE3"/>
    <w:rsid w:val="00B350AD"/>
    <w:rsid w:val="00B35169"/>
    <w:rsid w:val="00B3548D"/>
    <w:rsid w:val="00B355C2"/>
    <w:rsid w:val="00B359DB"/>
    <w:rsid w:val="00B35E2F"/>
    <w:rsid w:val="00B365CF"/>
    <w:rsid w:val="00B36F83"/>
    <w:rsid w:val="00B3700E"/>
    <w:rsid w:val="00B3733E"/>
    <w:rsid w:val="00B37F1C"/>
    <w:rsid w:val="00B400DA"/>
    <w:rsid w:val="00B40A30"/>
    <w:rsid w:val="00B40EE6"/>
    <w:rsid w:val="00B410AB"/>
    <w:rsid w:val="00B413D2"/>
    <w:rsid w:val="00B41451"/>
    <w:rsid w:val="00B4156F"/>
    <w:rsid w:val="00B418FC"/>
    <w:rsid w:val="00B41E89"/>
    <w:rsid w:val="00B41EAC"/>
    <w:rsid w:val="00B426B4"/>
    <w:rsid w:val="00B42799"/>
    <w:rsid w:val="00B42C7F"/>
    <w:rsid w:val="00B42CD8"/>
    <w:rsid w:val="00B42D80"/>
    <w:rsid w:val="00B42DD4"/>
    <w:rsid w:val="00B42F50"/>
    <w:rsid w:val="00B43452"/>
    <w:rsid w:val="00B43965"/>
    <w:rsid w:val="00B445CF"/>
    <w:rsid w:val="00B4471B"/>
    <w:rsid w:val="00B44DC2"/>
    <w:rsid w:val="00B4549D"/>
    <w:rsid w:val="00B4558B"/>
    <w:rsid w:val="00B4570A"/>
    <w:rsid w:val="00B45A5A"/>
    <w:rsid w:val="00B45B5D"/>
    <w:rsid w:val="00B46C72"/>
    <w:rsid w:val="00B4700E"/>
    <w:rsid w:val="00B47161"/>
    <w:rsid w:val="00B47438"/>
    <w:rsid w:val="00B47AEC"/>
    <w:rsid w:val="00B50C58"/>
    <w:rsid w:val="00B50D4A"/>
    <w:rsid w:val="00B50F3B"/>
    <w:rsid w:val="00B50F82"/>
    <w:rsid w:val="00B517B7"/>
    <w:rsid w:val="00B526BC"/>
    <w:rsid w:val="00B52AC1"/>
    <w:rsid w:val="00B539EF"/>
    <w:rsid w:val="00B53A66"/>
    <w:rsid w:val="00B53B90"/>
    <w:rsid w:val="00B546B0"/>
    <w:rsid w:val="00B549B4"/>
    <w:rsid w:val="00B54A95"/>
    <w:rsid w:val="00B54B6A"/>
    <w:rsid w:val="00B54D65"/>
    <w:rsid w:val="00B550B8"/>
    <w:rsid w:val="00B55821"/>
    <w:rsid w:val="00B5589F"/>
    <w:rsid w:val="00B559DC"/>
    <w:rsid w:val="00B55C5A"/>
    <w:rsid w:val="00B55D4E"/>
    <w:rsid w:val="00B55E3E"/>
    <w:rsid w:val="00B563AC"/>
    <w:rsid w:val="00B564AA"/>
    <w:rsid w:val="00B56693"/>
    <w:rsid w:val="00B56A90"/>
    <w:rsid w:val="00B56CE3"/>
    <w:rsid w:val="00B56E20"/>
    <w:rsid w:val="00B56E8E"/>
    <w:rsid w:val="00B56E9A"/>
    <w:rsid w:val="00B56EAA"/>
    <w:rsid w:val="00B56F5C"/>
    <w:rsid w:val="00B5714D"/>
    <w:rsid w:val="00B57683"/>
    <w:rsid w:val="00B576E9"/>
    <w:rsid w:val="00B57735"/>
    <w:rsid w:val="00B57771"/>
    <w:rsid w:val="00B578CF"/>
    <w:rsid w:val="00B57BAC"/>
    <w:rsid w:val="00B57FE7"/>
    <w:rsid w:val="00B602CF"/>
    <w:rsid w:val="00B604B3"/>
    <w:rsid w:val="00B60ACC"/>
    <w:rsid w:val="00B61097"/>
    <w:rsid w:val="00B61300"/>
    <w:rsid w:val="00B61883"/>
    <w:rsid w:val="00B61991"/>
    <w:rsid w:val="00B61A44"/>
    <w:rsid w:val="00B61CEB"/>
    <w:rsid w:val="00B62375"/>
    <w:rsid w:val="00B62839"/>
    <w:rsid w:val="00B62B1E"/>
    <w:rsid w:val="00B62D5D"/>
    <w:rsid w:val="00B6334D"/>
    <w:rsid w:val="00B635C8"/>
    <w:rsid w:val="00B63785"/>
    <w:rsid w:val="00B63965"/>
    <w:rsid w:val="00B6400A"/>
    <w:rsid w:val="00B64266"/>
    <w:rsid w:val="00B64E40"/>
    <w:rsid w:val="00B64F78"/>
    <w:rsid w:val="00B65164"/>
    <w:rsid w:val="00B651F1"/>
    <w:rsid w:val="00B6535E"/>
    <w:rsid w:val="00B65592"/>
    <w:rsid w:val="00B657C3"/>
    <w:rsid w:val="00B65B9F"/>
    <w:rsid w:val="00B665E2"/>
    <w:rsid w:val="00B6737A"/>
    <w:rsid w:val="00B67BEB"/>
    <w:rsid w:val="00B67E47"/>
    <w:rsid w:val="00B703EA"/>
    <w:rsid w:val="00B70687"/>
    <w:rsid w:val="00B70775"/>
    <w:rsid w:val="00B70EF5"/>
    <w:rsid w:val="00B7147A"/>
    <w:rsid w:val="00B7189A"/>
    <w:rsid w:val="00B71B70"/>
    <w:rsid w:val="00B71E60"/>
    <w:rsid w:val="00B71F41"/>
    <w:rsid w:val="00B72600"/>
    <w:rsid w:val="00B72C34"/>
    <w:rsid w:val="00B72CB2"/>
    <w:rsid w:val="00B72CEF"/>
    <w:rsid w:val="00B72DBC"/>
    <w:rsid w:val="00B72F63"/>
    <w:rsid w:val="00B72F73"/>
    <w:rsid w:val="00B72FF5"/>
    <w:rsid w:val="00B73158"/>
    <w:rsid w:val="00B734A3"/>
    <w:rsid w:val="00B738FB"/>
    <w:rsid w:val="00B73C31"/>
    <w:rsid w:val="00B73CC3"/>
    <w:rsid w:val="00B73E33"/>
    <w:rsid w:val="00B73FDA"/>
    <w:rsid w:val="00B741D7"/>
    <w:rsid w:val="00B742BD"/>
    <w:rsid w:val="00B74428"/>
    <w:rsid w:val="00B746A0"/>
    <w:rsid w:val="00B74C0A"/>
    <w:rsid w:val="00B74D01"/>
    <w:rsid w:val="00B753F6"/>
    <w:rsid w:val="00B755E4"/>
    <w:rsid w:val="00B75731"/>
    <w:rsid w:val="00B7583E"/>
    <w:rsid w:val="00B75A21"/>
    <w:rsid w:val="00B75C96"/>
    <w:rsid w:val="00B75CFF"/>
    <w:rsid w:val="00B76016"/>
    <w:rsid w:val="00B764C5"/>
    <w:rsid w:val="00B76743"/>
    <w:rsid w:val="00B76882"/>
    <w:rsid w:val="00B768D0"/>
    <w:rsid w:val="00B76A60"/>
    <w:rsid w:val="00B76B1B"/>
    <w:rsid w:val="00B76BB2"/>
    <w:rsid w:val="00B76D04"/>
    <w:rsid w:val="00B770FC"/>
    <w:rsid w:val="00B77475"/>
    <w:rsid w:val="00B77B90"/>
    <w:rsid w:val="00B77CBB"/>
    <w:rsid w:val="00B80090"/>
    <w:rsid w:val="00B802B1"/>
    <w:rsid w:val="00B805DF"/>
    <w:rsid w:val="00B80A6A"/>
    <w:rsid w:val="00B80B76"/>
    <w:rsid w:val="00B80B7B"/>
    <w:rsid w:val="00B80D32"/>
    <w:rsid w:val="00B80DA7"/>
    <w:rsid w:val="00B80DCA"/>
    <w:rsid w:val="00B80F0F"/>
    <w:rsid w:val="00B810F0"/>
    <w:rsid w:val="00B81110"/>
    <w:rsid w:val="00B8114A"/>
    <w:rsid w:val="00B8147D"/>
    <w:rsid w:val="00B8200D"/>
    <w:rsid w:val="00B82EFF"/>
    <w:rsid w:val="00B82F39"/>
    <w:rsid w:val="00B8305C"/>
    <w:rsid w:val="00B830FB"/>
    <w:rsid w:val="00B833CA"/>
    <w:rsid w:val="00B8362D"/>
    <w:rsid w:val="00B8379C"/>
    <w:rsid w:val="00B83D51"/>
    <w:rsid w:val="00B84052"/>
    <w:rsid w:val="00B8424A"/>
    <w:rsid w:val="00B84840"/>
    <w:rsid w:val="00B849EE"/>
    <w:rsid w:val="00B849F3"/>
    <w:rsid w:val="00B84D58"/>
    <w:rsid w:val="00B84FFF"/>
    <w:rsid w:val="00B8502A"/>
    <w:rsid w:val="00B8508E"/>
    <w:rsid w:val="00B851DD"/>
    <w:rsid w:val="00B857AA"/>
    <w:rsid w:val="00B85821"/>
    <w:rsid w:val="00B8585A"/>
    <w:rsid w:val="00B858C8"/>
    <w:rsid w:val="00B85A13"/>
    <w:rsid w:val="00B85C03"/>
    <w:rsid w:val="00B85DC7"/>
    <w:rsid w:val="00B85ED7"/>
    <w:rsid w:val="00B85F11"/>
    <w:rsid w:val="00B8687B"/>
    <w:rsid w:val="00B87C21"/>
    <w:rsid w:val="00B90060"/>
    <w:rsid w:val="00B90352"/>
    <w:rsid w:val="00B90427"/>
    <w:rsid w:val="00B90492"/>
    <w:rsid w:val="00B90ABF"/>
    <w:rsid w:val="00B90AFA"/>
    <w:rsid w:val="00B90EB5"/>
    <w:rsid w:val="00B90F76"/>
    <w:rsid w:val="00B9101F"/>
    <w:rsid w:val="00B9181B"/>
    <w:rsid w:val="00B91DD5"/>
    <w:rsid w:val="00B91EB3"/>
    <w:rsid w:val="00B91F87"/>
    <w:rsid w:val="00B92393"/>
    <w:rsid w:val="00B924E8"/>
    <w:rsid w:val="00B928FB"/>
    <w:rsid w:val="00B92CAB"/>
    <w:rsid w:val="00B93472"/>
    <w:rsid w:val="00B9363D"/>
    <w:rsid w:val="00B93677"/>
    <w:rsid w:val="00B94043"/>
    <w:rsid w:val="00B9405F"/>
    <w:rsid w:val="00B9426D"/>
    <w:rsid w:val="00B9443D"/>
    <w:rsid w:val="00B94782"/>
    <w:rsid w:val="00B95474"/>
    <w:rsid w:val="00B95671"/>
    <w:rsid w:val="00B957D8"/>
    <w:rsid w:val="00B9599D"/>
    <w:rsid w:val="00B95EC9"/>
    <w:rsid w:val="00B95F8B"/>
    <w:rsid w:val="00B9601C"/>
    <w:rsid w:val="00B96040"/>
    <w:rsid w:val="00B963E4"/>
    <w:rsid w:val="00B96877"/>
    <w:rsid w:val="00B96989"/>
    <w:rsid w:val="00B96ABD"/>
    <w:rsid w:val="00B96ACB"/>
    <w:rsid w:val="00B97172"/>
    <w:rsid w:val="00B97531"/>
    <w:rsid w:val="00B97633"/>
    <w:rsid w:val="00B97D0B"/>
    <w:rsid w:val="00BA008E"/>
    <w:rsid w:val="00BA0972"/>
    <w:rsid w:val="00BA0E5B"/>
    <w:rsid w:val="00BA0EF3"/>
    <w:rsid w:val="00BA1000"/>
    <w:rsid w:val="00BA104C"/>
    <w:rsid w:val="00BA10B9"/>
    <w:rsid w:val="00BA179B"/>
    <w:rsid w:val="00BA1933"/>
    <w:rsid w:val="00BA19BF"/>
    <w:rsid w:val="00BA1A9D"/>
    <w:rsid w:val="00BA1D28"/>
    <w:rsid w:val="00BA1D7F"/>
    <w:rsid w:val="00BA26D7"/>
    <w:rsid w:val="00BA283A"/>
    <w:rsid w:val="00BA2BE6"/>
    <w:rsid w:val="00BA2D6E"/>
    <w:rsid w:val="00BA2E54"/>
    <w:rsid w:val="00BA2E94"/>
    <w:rsid w:val="00BA300A"/>
    <w:rsid w:val="00BA3300"/>
    <w:rsid w:val="00BA33BC"/>
    <w:rsid w:val="00BA363A"/>
    <w:rsid w:val="00BA3658"/>
    <w:rsid w:val="00BA4251"/>
    <w:rsid w:val="00BA4915"/>
    <w:rsid w:val="00BA4FC2"/>
    <w:rsid w:val="00BA5396"/>
    <w:rsid w:val="00BA542B"/>
    <w:rsid w:val="00BA562A"/>
    <w:rsid w:val="00BA5630"/>
    <w:rsid w:val="00BA5F71"/>
    <w:rsid w:val="00BA6064"/>
    <w:rsid w:val="00BA6534"/>
    <w:rsid w:val="00BA658E"/>
    <w:rsid w:val="00BA6A40"/>
    <w:rsid w:val="00BA7459"/>
    <w:rsid w:val="00BA74FA"/>
    <w:rsid w:val="00BA7711"/>
    <w:rsid w:val="00BA7AF1"/>
    <w:rsid w:val="00BA7C17"/>
    <w:rsid w:val="00BA7CCA"/>
    <w:rsid w:val="00BA7D22"/>
    <w:rsid w:val="00BB002E"/>
    <w:rsid w:val="00BB03CA"/>
    <w:rsid w:val="00BB0428"/>
    <w:rsid w:val="00BB0782"/>
    <w:rsid w:val="00BB0C77"/>
    <w:rsid w:val="00BB0D01"/>
    <w:rsid w:val="00BB0EA3"/>
    <w:rsid w:val="00BB0FD9"/>
    <w:rsid w:val="00BB122F"/>
    <w:rsid w:val="00BB131C"/>
    <w:rsid w:val="00BB1931"/>
    <w:rsid w:val="00BB1B54"/>
    <w:rsid w:val="00BB1D3B"/>
    <w:rsid w:val="00BB2A3E"/>
    <w:rsid w:val="00BB2A9F"/>
    <w:rsid w:val="00BB2D56"/>
    <w:rsid w:val="00BB2EA0"/>
    <w:rsid w:val="00BB307A"/>
    <w:rsid w:val="00BB34E9"/>
    <w:rsid w:val="00BB3550"/>
    <w:rsid w:val="00BB35C7"/>
    <w:rsid w:val="00BB3820"/>
    <w:rsid w:val="00BB3C57"/>
    <w:rsid w:val="00BB3EF2"/>
    <w:rsid w:val="00BB41E2"/>
    <w:rsid w:val="00BB4C09"/>
    <w:rsid w:val="00BB4C70"/>
    <w:rsid w:val="00BB50AB"/>
    <w:rsid w:val="00BB5252"/>
    <w:rsid w:val="00BB581D"/>
    <w:rsid w:val="00BB5CD4"/>
    <w:rsid w:val="00BB5E89"/>
    <w:rsid w:val="00BB63AB"/>
    <w:rsid w:val="00BB66E8"/>
    <w:rsid w:val="00BB6A07"/>
    <w:rsid w:val="00BB6B60"/>
    <w:rsid w:val="00BB71A6"/>
    <w:rsid w:val="00BB73D0"/>
    <w:rsid w:val="00BB7568"/>
    <w:rsid w:val="00BB796B"/>
    <w:rsid w:val="00BB7BB8"/>
    <w:rsid w:val="00BB7C1D"/>
    <w:rsid w:val="00BB7CD8"/>
    <w:rsid w:val="00BB7D34"/>
    <w:rsid w:val="00BC03AD"/>
    <w:rsid w:val="00BC0479"/>
    <w:rsid w:val="00BC0826"/>
    <w:rsid w:val="00BC0902"/>
    <w:rsid w:val="00BC0C7C"/>
    <w:rsid w:val="00BC0CC8"/>
    <w:rsid w:val="00BC1196"/>
    <w:rsid w:val="00BC1760"/>
    <w:rsid w:val="00BC197B"/>
    <w:rsid w:val="00BC1B6D"/>
    <w:rsid w:val="00BC229D"/>
    <w:rsid w:val="00BC25B8"/>
    <w:rsid w:val="00BC25F6"/>
    <w:rsid w:val="00BC26EA"/>
    <w:rsid w:val="00BC27C6"/>
    <w:rsid w:val="00BC283F"/>
    <w:rsid w:val="00BC2CCE"/>
    <w:rsid w:val="00BC2E19"/>
    <w:rsid w:val="00BC2F79"/>
    <w:rsid w:val="00BC317A"/>
    <w:rsid w:val="00BC37EA"/>
    <w:rsid w:val="00BC3B0E"/>
    <w:rsid w:val="00BC4046"/>
    <w:rsid w:val="00BC4069"/>
    <w:rsid w:val="00BC4337"/>
    <w:rsid w:val="00BC4376"/>
    <w:rsid w:val="00BC449E"/>
    <w:rsid w:val="00BC5EF7"/>
    <w:rsid w:val="00BC6346"/>
    <w:rsid w:val="00BC676D"/>
    <w:rsid w:val="00BC6F96"/>
    <w:rsid w:val="00BC6FE0"/>
    <w:rsid w:val="00BC74F2"/>
    <w:rsid w:val="00BC763E"/>
    <w:rsid w:val="00BC7F88"/>
    <w:rsid w:val="00BD0360"/>
    <w:rsid w:val="00BD055F"/>
    <w:rsid w:val="00BD059B"/>
    <w:rsid w:val="00BD05CC"/>
    <w:rsid w:val="00BD0726"/>
    <w:rsid w:val="00BD08BB"/>
    <w:rsid w:val="00BD0BD5"/>
    <w:rsid w:val="00BD0F9D"/>
    <w:rsid w:val="00BD14A6"/>
    <w:rsid w:val="00BD17BF"/>
    <w:rsid w:val="00BD17DF"/>
    <w:rsid w:val="00BD1962"/>
    <w:rsid w:val="00BD1A45"/>
    <w:rsid w:val="00BD2475"/>
    <w:rsid w:val="00BD2B67"/>
    <w:rsid w:val="00BD2DE7"/>
    <w:rsid w:val="00BD2FF0"/>
    <w:rsid w:val="00BD30A9"/>
    <w:rsid w:val="00BD30C8"/>
    <w:rsid w:val="00BD31F7"/>
    <w:rsid w:val="00BD340D"/>
    <w:rsid w:val="00BD39E1"/>
    <w:rsid w:val="00BD3DD9"/>
    <w:rsid w:val="00BD3ECE"/>
    <w:rsid w:val="00BD416C"/>
    <w:rsid w:val="00BD459C"/>
    <w:rsid w:val="00BD4689"/>
    <w:rsid w:val="00BD4811"/>
    <w:rsid w:val="00BD4A67"/>
    <w:rsid w:val="00BD4AA9"/>
    <w:rsid w:val="00BD5043"/>
    <w:rsid w:val="00BD5200"/>
    <w:rsid w:val="00BD5A0E"/>
    <w:rsid w:val="00BD5BB0"/>
    <w:rsid w:val="00BD5EFA"/>
    <w:rsid w:val="00BD6481"/>
    <w:rsid w:val="00BD65B2"/>
    <w:rsid w:val="00BD6637"/>
    <w:rsid w:val="00BD68D4"/>
    <w:rsid w:val="00BD6A8F"/>
    <w:rsid w:val="00BD6BEB"/>
    <w:rsid w:val="00BD6C31"/>
    <w:rsid w:val="00BD75ED"/>
    <w:rsid w:val="00BD77A8"/>
    <w:rsid w:val="00BE0547"/>
    <w:rsid w:val="00BE07F9"/>
    <w:rsid w:val="00BE089C"/>
    <w:rsid w:val="00BE0B51"/>
    <w:rsid w:val="00BE0D25"/>
    <w:rsid w:val="00BE0E4A"/>
    <w:rsid w:val="00BE19D1"/>
    <w:rsid w:val="00BE2570"/>
    <w:rsid w:val="00BE2B1F"/>
    <w:rsid w:val="00BE2DA8"/>
    <w:rsid w:val="00BE3081"/>
    <w:rsid w:val="00BE33F8"/>
    <w:rsid w:val="00BE37EF"/>
    <w:rsid w:val="00BE3B63"/>
    <w:rsid w:val="00BE4387"/>
    <w:rsid w:val="00BE4439"/>
    <w:rsid w:val="00BE47BA"/>
    <w:rsid w:val="00BE49C9"/>
    <w:rsid w:val="00BE4CD2"/>
    <w:rsid w:val="00BE4D24"/>
    <w:rsid w:val="00BE5084"/>
    <w:rsid w:val="00BE52AA"/>
    <w:rsid w:val="00BE5456"/>
    <w:rsid w:val="00BE5833"/>
    <w:rsid w:val="00BE5E42"/>
    <w:rsid w:val="00BE614C"/>
    <w:rsid w:val="00BE6696"/>
    <w:rsid w:val="00BE6D87"/>
    <w:rsid w:val="00BE6E00"/>
    <w:rsid w:val="00BE72DA"/>
    <w:rsid w:val="00BE731D"/>
    <w:rsid w:val="00BE7355"/>
    <w:rsid w:val="00BE7956"/>
    <w:rsid w:val="00BF01C8"/>
    <w:rsid w:val="00BF04F0"/>
    <w:rsid w:val="00BF06FC"/>
    <w:rsid w:val="00BF080D"/>
    <w:rsid w:val="00BF0BA6"/>
    <w:rsid w:val="00BF113F"/>
    <w:rsid w:val="00BF1150"/>
    <w:rsid w:val="00BF16D0"/>
    <w:rsid w:val="00BF1B28"/>
    <w:rsid w:val="00BF1E3C"/>
    <w:rsid w:val="00BF1F33"/>
    <w:rsid w:val="00BF21FC"/>
    <w:rsid w:val="00BF25F0"/>
    <w:rsid w:val="00BF2B97"/>
    <w:rsid w:val="00BF2C83"/>
    <w:rsid w:val="00BF332F"/>
    <w:rsid w:val="00BF37AD"/>
    <w:rsid w:val="00BF39D9"/>
    <w:rsid w:val="00BF3BDF"/>
    <w:rsid w:val="00BF3C8A"/>
    <w:rsid w:val="00BF3E47"/>
    <w:rsid w:val="00BF3E9F"/>
    <w:rsid w:val="00BF400F"/>
    <w:rsid w:val="00BF4753"/>
    <w:rsid w:val="00BF4775"/>
    <w:rsid w:val="00BF477B"/>
    <w:rsid w:val="00BF4E1C"/>
    <w:rsid w:val="00BF54C3"/>
    <w:rsid w:val="00BF56CC"/>
    <w:rsid w:val="00BF57A5"/>
    <w:rsid w:val="00BF611A"/>
    <w:rsid w:val="00BF61FE"/>
    <w:rsid w:val="00BF6527"/>
    <w:rsid w:val="00BF6882"/>
    <w:rsid w:val="00BF6BDA"/>
    <w:rsid w:val="00BF6C37"/>
    <w:rsid w:val="00BF6CAB"/>
    <w:rsid w:val="00BF722D"/>
    <w:rsid w:val="00BF7371"/>
    <w:rsid w:val="00BF75ED"/>
    <w:rsid w:val="00C00440"/>
    <w:rsid w:val="00C00619"/>
    <w:rsid w:val="00C00A23"/>
    <w:rsid w:val="00C00D13"/>
    <w:rsid w:val="00C00DDD"/>
    <w:rsid w:val="00C00EBF"/>
    <w:rsid w:val="00C01085"/>
    <w:rsid w:val="00C0122A"/>
    <w:rsid w:val="00C018A9"/>
    <w:rsid w:val="00C019D4"/>
    <w:rsid w:val="00C01A2B"/>
    <w:rsid w:val="00C0242B"/>
    <w:rsid w:val="00C02714"/>
    <w:rsid w:val="00C0273F"/>
    <w:rsid w:val="00C02943"/>
    <w:rsid w:val="00C02BEA"/>
    <w:rsid w:val="00C02C58"/>
    <w:rsid w:val="00C02EBE"/>
    <w:rsid w:val="00C02F2F"/>
    <w:rsid w:val="00C03061"/>
    <w:rsid w:val="00C0309C"/>
    <w:rsid w:val="00C0318E"/>
    <w:rsid w:val="00C031CC"/>
    <w:rsid w:val="00C03BFE"/>
    <w:rsid w:val="00C03C03"/>
    <w:rsid w:val="00C03C3D"/>
    <w:rsid w:val="00C03EEA"/>
    <w:rsid w:val="00C04184"/>
    <w:rsid w:val="00C057BA"/>
    <w:rsid w:val="00C05AE3"/>
    <w:rsid w:val="00C06096"/>
    <w:rsid w:val="00C061CB"/>
    <w:rsid w:val="00C06A52"/>
    <w:rsid w:val="00C06AF5"/>
    <w:rsid w:val="00C06B19"/>
    <w:rsid w:val="00C06BED"/>
    <w:rsid w:val="00C06FD7"/>
    <w:rsid w:val="00C071ED"/>
    <w:rsid w:val="00C07491"/>
    <w:rsid w:val="00C07506"/>
    <w:rsid w:val="00C077EC"/>
    <w:rsid w:val="00C07FFE"/>
    <w:rsid w:val="00C10024"/>
    <w:rsid w:val="00C104E0"/>
    <w:rsid w:val="00C108C2"/>
    <w:rsid w:val="00C10EAA"/>
    <w:rsid w:val="00C1105C"/>
    <w:rsid w:val="00C110F0"/>
    <w:rsid w:val="00C11196"/>
    <w:rsid w:val="00C113A0"/>
    <w:rsid w:val="00C115A9"/>
    <w:rsid w:val="00C115B9"/>
    <w:rsid w:val="00C11C04"/>
    <w:rsid w:val="00C12768"/>
    <w:rsid w:val="00C127D9"/>
    <w:rsid w:val="00C12DA0"/>
    <w:rsid w:val="00C13430"/>
    <w:rsid w:val="00C135CE"/>
    <w:rsid w:val="00C13790"/>
    <w:rsid w:val="00C1385D"/>
    <w:rsid w:val="00C139D2"/>
    <w:rsid w:val="00C13F9D"/>
    <w:rsid w:val="00C147E1"/>
    <w:rsid w:val="00C14874"/>
    <w:rsid w:val="00C14CAD"/>
    <w:rsid w:val="00C14CC7"/>
    <w:rsid w:val="00C14D3C"/>
    <w:rsid w:val="00C14E7E"/>
    <w:rsid w:val="00C15AB2"/>
    <w:rsid w:val="00C15D2C"/>
    <w:rsid w:val="00C15D88"/>
    <w:rsid w:val="00C15E12"/>
    <w:rsid w:val="00C16111"/>
    <w:rsid w:val="00C161A9"/>
    <w:rsid w:val="00C164CF"/>
    <w:rsid w:val="00C164FF"/>
    <w:rsid w:val="00C16930"/>
    <w:rsid w:val="00C16EE3"/>
    <w:rsid w:val="00C16F13"/>
    <w:rsid w:val="00C170FE"/>
    <w:rsid w:val="00C17324"/>
    <w:rsid w:val="00C175C4"/>
    <w:rsid w:val="00C17DA0"/>
    <w:rsid w:val="00C17F43"/>
    <w:rsid w:val="00C17FEC"/>
    <w:rsid w:val="00C2022A"/>
    <w:rsid w:val="00C2086C"/>
    <w:rsid w:val="00C211AA"/>
    <w:rsid w:val="00C2157F"/>
    <w:rsid w:val="00C21591"/>
    <w:rsid w:val="00C21A22"/>
    <w:rsid w:val="00C22414"/>
    <w:rsid w:val="00C230BD"/>
    <w:rsid w:val="00C23145"/>
    <w:rsid w:val="00C23458"/>
    <w:rsid w:val="00C235B1"/>
    <w:rsid w:val="00C2372B"/>
    <w:rsid w:val="00C2379C"/>
    <w:rsid w:val="00C238EA"/>
    <w:rsid w:val="00C2414D"/>
    <w:rsid w:val="00C24500"/>
    <w:rsid w:val="00C24640"/>
    <w:rsid w:val="00C247C4"/>
    <w:rsid w:val="00C24866"/>
    <w:rsid w:val="00C25213"/>
    <w:rsid w:val="00C25F17"/>
    <w:rsid w:val="00C26025"/>
    <w:rsid w:val="00C2656A"/>
    <w:rsid w:val="00C26C1E"/>
    <w:rsid w:val="00C26D02"/>
    <w:rsid w:val="00C2745A"/>
    <w:rsid w:val="00C275A3"/>
    <w:rsid w:val="00C27E2F"/>
    <w:rsid w:val="00C30010"/>
    <w:rsid w:val="00C30138"/>
    <w:rsid w:val="00C301FB"/>
    <w:rsid w:val="00C3027F"/>
    <w:rsid w:val="00C3031C"/>
    <w:rsid w:val="00C308E8"/>
    <w:rsid w:val="00C30951"/>
    <w:rsid w:val="00C30B51"/>
    <w:rsid w:val="00C3102C"/>
    <w:rsid w:val="00C3105D"/>
    <w:rsid w:val="00C3115B"/>
    <w:rsid w:val="00C313B9"/>
    <w:rsid w:val="00C31451"/>
    <w:rsid w:val="00C31508"/>
    <w:rsid w:val="00C31967"/>
    <w:rsid w:val="00C319E1"/>
    <w:rsid w:val="00C31ACD"/>
    <w:rsid w:val="00C31FAF"/>
    <w:rsid w:val="00C32323"/>
    <w:rsid w:val="00C32955"/>
    <w:rsid w:val="00C32BC1"/>
    <w:rsid w:val="00C32BCD"/>
    <w:rsid w:val="00C32E9D"/>
    <w:rsid w:val="00C32EE8"/>
    <w:rsid w:val="00C3383B"/>
    <w:rsid w:val="00C33FDB"/>
    <w:rsid w:val="00C34196"/>
    <w:rsid w:val="00C3444B"/>
    <w:rsid w:val="00C3455D"/>
    <w:rsid w:val="00C350FB"/>
    <w:rsid w:val="00C35594"/>
    <w:rsid w:val="00C357DA"/>
    <w:rsid w:val="00C3592D"/>
    <w:rsid w:val="00C359CE"/>
    <w:rsid w:val="00C35C31"/>
    <w:rsid w:val="00C35C61"/>
    <w:rsid w:val="00C36276"/>
    <w:rsid w:val="00C3642E"/>
    <w:rsid w:val="00C36863"/>
    <w:rsid w:val="00C36950"/>
    <w:rsid w:val="00C36E23"/>
    <w:rsid w:val="00C36EC3"/>
    <w:rsid w:val="00C371FA"/>
    <w:rsid w:val="00C375DB"/>
    <w:rsid w:val="00C379A2"/>
    <w:rsid w:val="00C379BD"/>
    <w:rsid w:val="00C37A57"/>
    <w:rsid w:val="00C37E12"/>
    <w:rsid w:val="00C37F63"/>
    <w:rsid w:val="00C403DA"/>
    <w:rsid w:val="00C40491"/>
    <w:rsid w:val="00C40606"/>
    <w:rsid w:val="00C406FA"/>
    <w:rsid w:val="00C409FF"/>
    <w:rsid w:val="00C40BED"/>
    <w:rsid w:val="00C40E7B"/>
    <w:rsid w:val="00C40E92"/>
    <w:rsid w:val="00C41044"/>
    <w:rsid w:val="00C413F3"/>
    <w:rsid w:val="00C414B5"/>
    <w:rsid w:val="00C41C3C"/>
    <w:rsid w:val="00C41CCB"/>
    <w:rsid w:val="00C41CE3"/>
    <w:rsid w:val="00C41D43"/>
    <w:rsid w:val="00C41F4C"/>
    <w:rsid w:val="00C42693"/>
    <w:rsid w:val="00C42CC2"/>
    <w:rsid w:val="00C430CA"/>
    <w:rsid w:val="00C430D2"/>
    <w:rsid w:val="00C4320F"/>
    <w:rsid w:val="00C432E9"/>
    <w:rsid w:val="00C43431"/>
    <w:rsid w:val="00C43DCC"/>
    <w:rsid w:val="00C4405E"/>
    <w:rsid w:val="00C44071"/>
    <w:rsid w:val="00C447B8"/>
    <w:rsid w:val="00C448F7"/>
    <w:rsid w:val="00C44AAC"/>
    <w:rsid w:val="00C44C79"/>
    <w:rsid w:val="00C44DBF"/>
    <w:rsid w:val="00C450BD"/>
    <w:rsid w:val="00C4528F"/>
    <w:rsid w:val="00C455D3"/>
    <w:rsid w:val="00C4579D"/>
    <w:rsid w:val="00C45BA8"/>
    <w:rsid w:val="00C4625A"/>
    <w:rsid w:val="00C46915"/>
    <w:rsid w:val="00C46B6E"/>
    <w:rsid w:val="00C46C33"/>
    <w:rsid w:val="00C46F41"/>
    <w:rsid w:val="00C47266"/>
    <w:rsid w:val="00C47499"/>
    <w:rsid w:val="00C479FB"/>
    <w:rsid w:val="00C47A51"/>
    <w:rsid w:val="00C47A61"/>
    <w:rsid w:val="00C47AE3"/>
    <w:rsid w:val="00C47C85"/>
    <w:rsid w:val="00C47D63"/>
    <w:rsid w:val="00C47DA4"/>
    <w:rsid w:val="00C47F7B"/>
    <w:rsid w:val="00C50153"/>
    <w:rsid w:val="00C50244"/>
    <w:rsid w:val="00C50428"/>
    <w:rsid w:val="00C5059C"/>
    <w:rsid w:val="00C50C47"/>
    <w:rsid w:val="00C50E82"/>
    <w:rsid w:val="00C51A66"/>
    <w:rsid w:val="00C51AEB"/>
    <w:rsid w:val="00C51BE4"/>
    <w:rsid w:val="00C51D16"/>
    <w:rsid w:val="00C528CD"/>
    <w:rsid w:val="00C52D86"/>
    <w:rsid w:val="00C52F5F"/>
    <w:rsid w:val="00C533E4"/>
    <w:rsid w:val="00C53878"/>
    <w:rsid w:val="00C53D3E"/>
    <w:rsid w:val="00C5465D"/>
    <w:rsid w:val="00C551D6"/>
    <w:rsid w:val="00C55241"/>
    <w:rsid w:val="00C55B03"/>
    <w:rsid w:val="00C55B14"/>
    <w:rsid w:val="00C55C35"/>
    <w:rsid w:val="00C55DA6"/>
    <w:rsid w:val="00C56613"/>
    <w:rsid w:val="00C56B04"/>
    <w:rsid w:val="00C56BAC"/>
    <w:rsid w:val="00C56CAF"/>
    <w:rsid w:val="00C56CD0"/>
    <w:rsid w:val="00C5727B"/>
    <w:rsid w:val="00C5748D"/>
    <w:rsid w:val="00C57983"/>
    <w:rsid w:val="00C5799A"/>
    <w:rsid w:val="00C57B21"/>
    <w:rsid w:val="00C57DFB"/>
    <w:rsid w:val="00C57ECA"/>
    <w:rsid w:val="00C6045E"/>
    <w:rsid w:val="00C604AB"/>
    <w:rsid w:val="00C61146"/>
    <w:rsid w:val="00C612D6"/>
    <w:rsid w:val="00C6147C"/>
    <w:rsid w:val="00C615BD"/>
    <w:rsid w:val="00C61F72"/>
    <w:rsid w:val="00C621E9"/>
    <w:rsid w:val="00C6284C"/>
    <w:rsid w:val="00C628CA"/>
    <w:rsid w:val="00C62BFE"/>
    <w:rsid w:val="00C631A8"/>
    <w:rsid w:val="00C6373C"/>
    <w:rsid w:val="00C6374D"/>
    <w:rsid w:val="00C638AD"/>
    <w:rsid w:val="00C638B2"/>
    <w:rsid w:val="00C63940"/>
    <w:rsid w:val="00C63E6E"/>
    <w:rsid w:val="00C645D6"/>
    <w:rsid w:val="00C646D8"/>
    <w:rsid w:val="00C6473F"/>
    <w:rsid w:val="00C6490E"/>
    <w:rsid w:val="00C6522D"/>
    <w:rsid w:val="00C65441"/>
    <w:rsid w:val="00C654A6"/>
    <w:rsid w:val="00C6589B"/>
    <w:rsid w:val="00C658B0"/>
    <w:rsid w:val="00C65D3A"/>
    <w:rsid w:val="00C66880"/>
    <w:rsid w:val="00C66C37"/>
    <w:rsid w:val="00C66E4F"/>
    <w:rsid w:val="00C66FD2"/>
    <w:rsid w:val="00C674CB"/>
    <w:rsid w:val="00C675E7"/>
    <w:rsid w:val="00C67799"/>
    <w:rsid w:val="00C677CF"/>
    <w:rsid w:val="00C679B7"/>
    <w:rsid w:val="00C67A83"/>
    <w:rsid w:val="00C67BCE"/>
    <w:rsid w:val="00C70148"/>
    <w:rsid w:val="00C710C1"/>
    <w:rsid w:val="00C71455"/>
    <w:rsid w:val="00C7161D"/>
    <w:rsid w:val="00C716E4"/>
    <w:rsid w:val="00C7174F"/>
    <w:rsid w:val="00C7183F"/>
    <w:rsid w:val="00C71D27"/>
    <w:rsid w:val="00C71FD5"/>
    <w:rsid w:val="00C72011"/>
    <w:rsid w:val="00C72233"/>
    <w:rsid w:val="00C722E5"/>
    <w:rsid w:val="00C72474"/>
    <w:rsid w:val="00C72FA2"/>
    <w:rsid w:val="00C73543"/>
    <w:rsid w:val="00C7388D"/>
    <w:rsid w:val="00C739AE"/>
    <w:rsid w:val="00C73B48"/>
    <w:rsid w:val="00C73BAA"/>
    <w:rsid w:val="00C73C5F"/>
    <w:rsid w:val="00C7537A"/>
    <w:rsid w:val="00C756FA"/>
    <w:rsid w:val="00C75807"/>
    <w:rsid w:val="00C759D9"/>
    <w:rsid w:val="00C75A1B"/>
    <w:rsid w:val="00C76568"/>
    <w:rsid w:val="00C767B2"/>
    <w:rsid w:val="00C76AE6"/>
    <w:rsid w:val="00C76BFE"/>
    <w:rsid w:val="00C7713B"/>
    <w:rsid w:val="00C77141"/>
    <w:rsid w:val="00C7749A"/>
    <w:rsid w:val="00C7799C"/>
    <w:rsid w:val="00C77D4A"/>
    <w:rsid w:val="00C800B2"/>
    <w:rsid w:val="00C802B3"/>
    <w:rsid w:val="00C80980"/>
    <w:rsid w:val="00C80A80"/>
    <w:rsid w:val="00C80CA8"/>
    <w:rsid w:val="00C80D33"/>
    <w:rsid w:val="00C814FE"/>
    <w:rsid w:val="00C81723"/>
    <w:rsid w:val="00C817EB"/>
    <w:rsid w:val="00C81F53"/>
    <w:rsid w:val="00C81FB7"/>
    <w:rsid w:val="00C81FC5"/>
    <w:rsid w:val="00C82288"/>
    <w:rsid w:val="00C8232A"/>
    <w:rsid w:val="00C82345"/>
    <w:rsid w:val="00C827E2"/>
    <w:rsid w:val="00C82838"/>
    <w:rsid w:val="00C82A0F"/>
    <w:rsid w:val="00C82ADD"/>
    <w:rsid w:val="00C82DE5"/>
    <w:rsid w:val="00C83231"/>
    <w:rsid w:val="00C8353B"/>
    <w:rsid w:val="00C83937"/>
    <w:rsid w:val="00C8400C"/>
    <w:rsid w:val="00C842A4"/>
    <w:rsid w:val="00C847BD"/>
    <w:rsid w:val="00C8486E"/>
    <w:rsid w:val="00C84AB3"/>
    <w:rsid w:val="00C85154"/>
    <w:rsid w:val="00C851A8"/>
    <w:rsid w:val="00C85263"/>
    <w:rsid w:val="00C8567C"/>
    <w:rsid w:val="00C85C6C"/>
    <w:rsid w:val="00C85FD9"/>
    <w:rsid w:val="00C86B2F"/>
    <w:rsid w:val="00C86C70"/>
    <w:rsid w:val="00C86D6A"/>
    <w:rsid w:val="00C86ED4"/>
    <w:rsid w:val="00C874B8"/>
    <w:rsid w:val="00C87615"/>
    <w:rsid w:val="00C87672"/>
    <w:rsid w:val="00C87AA7"/>
    <w:rsid w:val="00C87BA5"/>
    <w:rsid w:val="00C87CFE"/>
    <w:rsid w:val="00C87D8D"/>
    <w:rsid w:val="00C87EC7"/>
    <w:rsid w:val="00C90241"/>
    <w:rsid w:val="00C90667"/>
    <w:rsid w:val="00C90B6E"/>
    <w:rsid w:val="00C90F91"/>
    <w:rsid w:val="00C91CC0"/>
    <w:rsid w:val="00C921E6"/>
    <w:rsid w:val="00C9240C"/>
    <w:rsid w:val="00C92429"/>
    <w:rsid w:val="00C92637"/>
    <w:rsid w:val="00C9267D"/>
    <w:rsid w:val="00C92911"/>
    <w:rsid w:val="00C92B35"/>
    <w:rsid w:val="00C92FC2"/>
    <w:rsid w:val="00C93019"/>
    <w:rsid w:val="00C930F3"/>
    <w:rsid w:val="00C93796"/>
    <w:rsid w:val="00C93D1B"/>
    <w:rsid w:val="00C93D2F"/>
    <w:rsid w:val="00C93D85"/>
    <w:rsid w:val="00C93D86"/>
    <w:rsid w:val="00C940BD"/>
    <w:rsid w:val="00C94894"/>
    <w:rsid w:val="00C94964"/>
    <w:rsid w:val="00C94C1A"/>
    <w:rsid w:val="00C94DD2"/>
    <w:rsid w:val="00C94E2F"/>
    <w:rsid w:val="00C94E47"/>
    <w:rsid w:val="00C950D7"/>
    <w:rsid w:val="00C951A4"/>
    <w:rsid w:val="00C951EB"/>
    <w:rsid w:val="00C95553"/>
    <w:rsid w:val="00C956B7"/>
    <w:rsid w:val="00C95712"/>
    <w:rsid w:val="00C9574D"/>
    <w:rsid w:val="00C958BC"/>
    <w:rsid w:val="00C95FB1"/>
    <w:rsid w:val="00C969C2"/>
    <w:rsid w:val="00C97819"/>
    <w:rsid w:val="00C97857"/>
    <w:rsid w:val="00C97A07"/>
    <w:rsid w:val="00C97FC9"/>
    <w:rsid w:val="00CA00AF"/>
    <w:rsid w:val="00CA0553"/>
    <w:rsid w:val="00CA0B43"/>
    <w:rsid w:val="00CA1814"/>
    <w:rsid w:val="00CA1A61"/>
    <w:rsid w:val="00CA1C9B"/>
    <w:rsid w:val="00CA2182"/>
    <w:rsid w:val="00CA228E"/>
    <w:rsid w:val="00CA2515"/>
    <w:rsid w:val="00CA2528"/>
    <w:rsid w:val="00CA2534"/>
    <w:rsid w:val="00CA3328"/>
    <w:rsid w:val="00CA3385"/>
    <w:rsid w:val="00CA3405"/>
    <w:rsid w:val="00CA3456"/>
    <w:rsid w:val="00CA3B85"/>
    <w:rsid w:val="00CA41BA"/>
    <w:rsid w:val="00CA429F"/>
    <w:rsid w:val="00CA4678"/>
    <w:rsid w:val="00CA468F"/>
    <w:rsid w:val="00CA550B"/>
    <w:rsid w:val="00CA57A0"/>
    <w:rsid w:val="00CA5B2B"/>
    <w:rsid w:val="00CA5B7C"/>
    <w:rsid w:val="00CA5D30"/>
    <w:rsid w:val="00CA5D49"/>
    <w:rsid w:val="00CA6776"/>
    <w:rsid w:val="00CA6796"/>
    <w:rsid w:val="00CA6AA5"/>
    <w:rsid w:val="00CA6B69"/>
    <w:rsid w:val="00CA714B"/>
    <w:rsid w:val="00CA7541"/>
    <w:rsid w:val="00CA7817"/>
    <w:rsid w:val="00CA793A"/>
    <w:rsid w:val="00CA7B9E"/>
    <w:rsid w:val="00CB0295"/>
    <w:rsid w:val="00CB033A"/>
    <w:rsid w:val="00CB08EE"/>
    <w:rsid w:val="00CB0C49"/>
    <w:rsid w:val="00CB10CC"/>
    <w:rsid w:val="00CB1913"/>
    <w:rsid w:val="00CB1CCD"/>
    <w:rsid w:val="00CB1D0A"/>
    <w:rsid w:val="00CB1DE2"/>
    <w:rsid w:val="00CB2089"/>
    <w:rsid w:val="00CB209B"/>
    <w:rsid w:val="00CB2562"/>
    <w:rsid w:val="00CB25F3"/>
    <w:rsid w:val="00CB3B41"/>
    <w:rsid w:val="00CB4043"/>
    <w:rsid w:val="00CB4B02"/>
    <w:rsid w:val="00CB4EEE"/>
    <w:rsid w:val="00CB56EC"/>
    <w:rsid w:val="00CB5AC8"/>
    <w:rsid w:val="00CB5B97"/>
    <w:rsid w:val="00CB5D26"/>
    <w:rsid w:val="00CB60AE"/>
    <w:rsid w:val="00CB60DC"/>
    <w:rsid w:val="00CB6406"/>
    <w:rsid w:val="00CB6E60"/>
    <w:rsid w:val="00CB6FDE"/>
    <w:rsid w:val="00CB7020"/>
    <w:rsid w:val="00CB72BF"/>
    <w:rsid w:val="00CB72F6"/>
    <w:rsid w:val="00CB761A"/>
    <w:rsid w:val="00CB7726"/>
    <w:rsid w:val="00CB7787"/>
    <w:rsid w:val="00CB7792"/>
    <w:rsid w:val="00CB7982"/>
    <w:rsid w:val="00CB7A1B"/>
    <w:rsid w:val="00CB7B82"/>
    <w:rsid w:val="00CB7E23"/>
    <w:rsid w:val="00CC012B"/>
    <w:rsid w:val="00CC016A"/>
    <w:rsid w:val="00CC07D2"/>
    <w:rsid w:val="00CC09F8"/>
    <w:rsid w:val="00CC17F8"/>
    <w:rsid w:val="00CC18E5"/>
    <w:rsid w:val="00CC1B71"/>
    <w:rsid w:val="00CC1D01"/>
    <w:rsid w:val="00CC212F"/>
    <w:rsid w:val="00CC21E0"/>
    <w:rsid w:val="00CC21E7"/>
    <w:rsid w:val="00CC23B7"/>
    <w:rsid w:val="00CC2464"/>
    <w:rsid w:val="00CC2CCB"/>
    <w:rsid w:val="00CC2FBD"/>
    <w:rsid w:val="00CC376D"/>
    <w:rsid w:val="00CC41E2"/>
    <w:rsid w:val="00CC4490"/>
    <w:rsid w:val="00CC4671"/>
    <w:rsid w:val="00CC4673"/>
    <w:rsid w:val="00CC4AD9"/>
    <w:rsid w:val="00CC50CB"/>
    <w:rsid w:val="00CC519E"/>
    <w:rsid w:val="00CC53ED"/>
    <w:rsid w:val="00CC5AC7"/>
    <w:rsid w:val="00CC5E97"/>
    <w:rsid w:val="00CC6609"/>
    <w:rsid w:val="00CC672E"/>
    <w:rsid w:val="00CC6B1D"/>
    <w:rsid w:val="00CC6FCA"/>
    <w:rsid w:val="00CC7021"/>
    <w:rsid w:val="00CC7090"/>
    <w:rsid w:val="00CC70C1"/>
    <w:rsid w:val="00CC72E4"/>
    <w:rsid w:val="00CC77C5"/>
    <w:rsid w:val="00CC782D"/>
    <w:rsid w:val="00CC794C"/>
    <w:rsid w:val="00CD0186"/>
    <w:rsid w:val="00CD021A"/>
    <w:rsid w:val="00CD0453"/>
    <w:rsid w:val="00CD0949"/>
    <w:rsid w:val="00CD0D55"/>
    <w:rsid w:val="00CD0DB9"/>
    <w:rsid w:val="00CD1130"/>
    <w:rsid w:val="00CD1524"/>
    <w:rsid w:val="00CD154D"/>
    <w:rsid w:val="00CD1E4B"/>
    <w:rsid w:val="00CD1EE6"/>
    <w:rsid w:val="00CD1F2D"/>
    <w:rsid w:val="00CD2A25"/>
    <w:rsid w:val="00CD3044"/>
    <w:rsid w:val="00CD3045"/>
    <w:rsid w:val="00CD31EF"/>
    <w:rsid w:val="00CD3296"/>
    <w:rsid w:val="00CD35BF"/>
    <w:rsid w:val="00CD373B"/>
    <w:rsid w:val="00CD392F"/>
    <w:rsid w:val="00CD409E"/>
    <w:rsid w:val="00CD451D"/>
    <w:rsid w:val="00CD452F"/>
    <w:rsid w:val="00CD4EAA"/>
    <w:rsid w:val="00CD4EC2"/>
    <w:rsid w:val="00CD4EC8"/>
    <w:rsid w:val="00CD5E26"/>
    <w:rsid w:val="00CD6135"/>
    <w:rsid w:val="00CD6279"/>
    <w:rsid w:val="00CD627B"/>
    <w:rsid w:val="00CD6447"/>
    <w:rsid w:val="00CD6A14"/>
    <w:rsid w:val="00CD6F13"/>
    <w:rsid w:val="00CD718A"/>
    <w:rsid w:val="00CD741E"/>
    <w:rsid w:val="00CD7500"/>
    <w:rsid w:val="00CD7A8B"/>
    <w:rsid w:val="00CE0201"/>
    <w:rsid w:val="00CE0232"/>
    <w:rsid w:val="00CE0363"/>
    <w:rsid w:val="00CE097D"/>
    <w:rsid w:val="00CE0B0C"/>
    <w:rsid w:val="00CE155E"/>
    <w:rsid w:val="00CE19B0"/>
    <w:rsid w:val="00CE1B19"/>
    <w:rsid w:val="00CE1CA2"/>
    <w:rsid w:val="00CE1D38"/>
    <w:rsid w:val="00CE1FEB"/>
    <w:rsid w:val="00CE250E"/>
    <w:rsid w:val="00CE28F4"/>
    <w:rsid w:val="00CE293A"/>
    <w:rsid w:val="00CE297E"/>
    <w:rsid w:val="00CE2E9A"/>
    <w:rsid w:val="00CE3188"/>
    <w:rsid w:val="00CE3412"/>
    <w:rsid w:val="00CE35A3"/>
    <w:rsid w:val="00CE3740"/>
    <w:rsid w:val="00CE3BDD"/>
    <w:rsid w:val="00CE3F88"/>
    <w:rsid w:val="00CE40F3"/>
    <w:rsid w:val="00CE4123"/>
    <w:rsid w:val="00CE43C4"/>
    <w:rsid w:val="00CE4403"/>
    <w:rsid w:val="00CE4445"/>
    <w:rsid w:val="00CE4677"/>
    <w:rsid w:val="00CE4AF6"/>
    <w:rsid w:val="00CE518C"/>
    <w:rsid w:val="00CE5199"/>
    <w:rsid w:val="00CE5239"/>
    <w:rsid w:val="00CE55A0"/>
    <w:rsid w:val="00CE5689"/>
    <w:rsid w:val="00CE583B"/>
    <w:rsid w:val="00CE5976"/>
    <w:rsid w:val="00CE5CAD"/>
    <w:rsid w:val="00CE5F0E"/>
    <w:rsid w:val="00CE6464"/>
    <w:rsid w:val="00CE6ACA"/>
    <w:rsid w:val="00CE6D30"/>
    <w:rsid w:val="00CE6F42"/>
    <w:rsid w:val="00CE6FB4"/>
    <w:rsid w:val="00CE7235"/>
    <w:rsid w:val="00CE7AA0"/>
    <w:rsid w:val="00CE7F02"/>
    <w:rsid w:val="00CE7F6C"/>
    <w:rsid w:val="00CF085F"/>
    <w:rsid w:val="00CF0FF9"/>
    <w:rsid w:val="00CF1126"/>
    <w:rsid w:val="00CF1618"/>
    <w:rsid w:val="00CF183B"/>
    <w:rsid w:val="00CF19C9"/>
    <w:rsid w:val="00CF2865"/>
    <w:rsid w:val="00CF29D1"/>
    <w:rsid w:val="00CF29E7"/>
    <w:rsid w:val="00CF2A70"/>
    <w:rsid w:val="00CF2EF8"/>
    <w:rsid w:val="00CF2FDF"/>
    <w:rsid w:val="00CF2FF0"/>
    <w:rsid w:val="00CF3014"/>
    <w:rsid w:val="00CF31A6"/>
    <w:rsid w:val="00CF3440"/>
    <w:rsid w:val="00CF392E"/>
    <w:rsid w:val="00CF3999"/>
    <w:rsid w:val="00CF3AFA"/>
    <w:rsid w:val="00CF3C65"/>
    <w:rsid w:val="00CF3F11"/>
    <w:rsid w:val="00CF400F"/>
    <w:rsid w:val="00CF41F7"/>
    <w:rsid w:val="00CF4CDC"/>
    <w:rsid w:val="00CF585B"/>
    <w:rsid w:val="00CF587B"/>
    <w:rsid w:val="00CF5FA6"/>
    <w:rsid w:val="00CF6255"/>
    <w:rsid w:val="00CF636D"/>
    <w:rsid w:val="00CF6437"/>
    <w:rsid w:val="00CF6D55"/>
    <w:rsid w:val="00CF7018"/>
    <w:rsid w:val="00CF7137"/>
    <w:rsid w:val="00CF7710"/>
    <w:rsid w:val="00CF7BE8"/>
    <w:rsid w:val="00CF7DA1"/>
    <w:rsid w:val="00CF7E26"/>
    <w:rsid w:val="00D0038F"/>
    <w:rsid w:val="00D00758"/>
    <w:rsid w:val="00D007DD"/>
    <w:rsid w:val="00D0090E"/>
    <w:rsid w:val="00D009AC"/>
    <w:rsid w:val="00D01004"/>
    <w:rsid w:val="00D01218"/>
    <w:rsid w:val="00D01354"/>
    <w:rsid w:val="00D01596"/>
    <w:rsid w:val="00D019EE"/>
    <w:rsid w:val="00D01D55"/>
    <w:rsid w:val="00D020DE"/>
    <w:rsid w:val="00D0218F"/>
    <w:rsid w:val="00D0251E"/>
    <w:rsid w:val="00D02712"/>
    <w:rsid w:val="00D02A4B"/>
    <w:rsid w:val="00D02D6A"/>
    <w:rsid w:val="00D03073"/>
    <w:rsid w:val="00D03213"/>
    <w:rsid w:val="00D0341F"/>
    <w:rsid w:val="00D037EF"/>
    <w:rsid w:val="00D0390D"/>
    <w:rsid w:val="00D039F9"/>
    <w:rsid w:val="00D03A06"/>
    <w:rsid w:val="00D03A8B"/>
    <w:rsid w:val="00D03A92"/>
    <w:rsid w:val="00D03C37"/>
    <w:rsid w:val="00D03F53"/>
    <w:rsid w:val="00D0413E"/>
    <w:rsid w:val="00D04202"/>
    <w:rsid w:val="00D047C3"/>
    <w:rsid w:val="00D04E75"/>
    <w:rsid w:val="00D05092"/>
    <w:rsid w:val="00D0539F"/>
    <w:rsid w:val="00D0554D"/>
    <w:rsid w:val="00D055D4"/>
    <w:rsid w:val="00D05CFC"/>
    <w:rsid w:val="00D0697A"/>
    <w:rsid w:val="00D06E00"/>
    <w:rsid w:val="00D07CC0"/>
    <w:rsid w:val="00D07D43"/>
    <w:rsid w:val="00D100F1"/>
    <w:rsid w:val="00D10382"/>
    <w:rsid w:val="00D104D1"/>
    <w:rsid w:val="00D10DBD"/>
    <w:rsid w:val="00D11AA6"/>
    <w:rsid w:val="00D122D1"/>
    <w:rsid w:val="00D12450"/>
    <w:rsid w:val="00D1277F"/>
    <w:rsid w:val="00D1298D"/>
    <w:rsid w:val="00D12C8D"/>
    <w:rsid w:val="00D12D3B"/>
    <w:rsid w:val="00D12E8A"/>
    <w:rsid w:val="00D13001"/>
    <w:rsid w:val="00D1365B"/>
    <w:rsid w:val="00D13DBC"/>
    <w:rsid w:val="00D142ED"/>
    <w:rsid w:val="00D143E7"/>
    <w:rsid w:val="00D14922"/>
    <w:rsid w:val="00D1493F"/>
    <w:rsid w:val="00D14B28"/>
    <w:rsid w:val="00D15CA6"/>
    <w:rsid w:val="00D15EDB"/>
    <w:rsid w:val="00D15EEC"/>
    <w:rsid w:val="00D15FB4"/>
    <w:rsid w:val="00D161D5"/>
    <w:rsid w:val="00D16309"/>
    <w:rsid w:val="00D16717"/>
    <w:rsid w:val="00D168BD"/>
    <w:rsid w:val="00D16CAA"/>
    <w:rsid w:val="00D16CE7"/>
    <w:rsid w:val="00D1773E"/>
    <w:rsid w:val="00D17746"/>
    <w:rsid w:val="00D17A77"/>
    <w:rsid w:val="00D17BF4"/>
    <w:rsid w:val="00D20107"/>
    <w:rsid w:val="00D20301"/>
    <w:rsid w:val="00D20564"/>
    <w:rsid w:val="00D20A1C"/>
    <w:rsid w:val="00D20CD1"/>
    <w:rsid w:val="00D20D42"/>
    <w:rsid w:val="00D21123"/>
    <w:rsid w:val="00D213A8"/>
    <w:rsid w:val="00D2156E"/>
    <w:rsid w:val="00D21626"/>
    <w:rsid w:val="00D21966"/>
    <w:rsid w:val="00D219D6"/>
    <w:rsid w:val="00D21A34"/>
    <w:rsid w:val="00D21A81"/>
    <w:rsid w:val="00D21AE9"/>
    <w:rsid w:val="00D21AEF"/>
    <w:rsid w:val="00D220CB"/>
    <w:rsid w:val="00D221EC"/>
    <w:rsid w:val="00D2229D"/>
    <w:rsid w:val="00D223C3"/>
    <w:rsid w:val="00D224A2"/>
    <w:rsid w:val="00D22BF1"/>
    <w:rsid w:val="00D22D28"/>
    <w:rsid w:val="00D22DF1"/>
    <w:rsid w:val="00D22E3C"/>
    <w:rsid w:val="00D2314D"/>
    <w:rsid w:val="00D232C2"/>
    <w:rsid w:val="00D232C5"/>
    <w:rsid w:val="00D23899"/>
    <w:rsid w:val="00D23A18"/>
    <w:rsid w:val="00D24366"/>
    <w:rsid w:val="00D246C7"/>
    <w:rsid w:val="00D2486B"/>
    <w:rsid w:val="00D24967"/>
    <w:rsid w:val="00D24A4F"/>
    <w:rsid w:val="00D24A9C"/>
    <w:rsid w:val="00D24B64"/>
    <w:rsid w:val="00D24BDA"/>
    <w:rsid w:val="00D25321"/>
    <w:rsid w:val="00D25800"/>
    <w:rsid w:val="00D25833"/>
    <w:rsid w:val="00D25A83"/>
    <w:rsid w:val="00D25AD9"/>
    <w:rsid w:val="00D25B42"/>
    <w:rsid w:val="00D25B4F"/>
    <w:rsid w:val="00D26090"/>
    <w:rsid w:val="00D26114"/>
    <w:rsid w:val="00D262F6"/>
    <w:rsid w:val="00D263C3"/>
    <w:rsid w:val="00D264D4"/>
    <w:rsid w:val="00D2687F"/>
    <w:rsid w:val="00D2726C"/>
    <w:rsid w:val="00D27519"/>
    <w:rsid w:val="00D27B2C"/>
    <w:rsid w:val="00D27BA7"/>
    <w:rsid w:val="00D27C2B"/>
    <w:rsid w:val="00D27F50"/>
    <w:rsid w:val="00D3000A"/>
    <w:rsid w:val="00D3013E"/>
    <w:rsid w:val="00D3082F"/>
    <w:rsid w:val="00D30A8F"/>
    <w:rsid w:val="00D30B67"/>
    <w:rsid w:val="00D30BE6"/>
    <w:rsid w:val="00D30C2D"/>
    <w:rsid w:val="00D30C69"/>
    <w:rsid w:val="00D31386"/>
    <w:rsid w:val="00D31472"/>
    <w:rsid w:val="00D316E1"/>
    <w:rsid w:val="00D31771"/>
    <w:rsid w:val="00D31908"/>
    <w:rsid w:val="00D31A40"/>
    <w:rsid w:val="00D31B12"/>
    <w:rsid w:val="00D31EB8"/>
    <w:rsid w:val="00D31F9F"/>
    <w:rsid w:val="00D3214B"/>
    <w:rsid w:val="00D323E3"/>
    <w:rsid w:val="00D32908"/>
    <w:rsid w:val="00D3328D"/>
    <w:rsid w:val="00D3371C"/>
    <w:rsid w:val="00D339AF"/>
    <w:rsid w:val="00D33EAA"/>
    <w:rsid w:val="00D33F83"/>
    <w:rsid w:val="00D3437E"/>
    <w:rsid w:val="00D3438A"/>
    <w:rsid w:val="00D34469"/>
    <w:rsid w:val="00D347AE"/>
    <w:rsid w:val="00D34CFF"/>
    <w:rsid w:val="00D356C4"/>
    <w:rsid w:val="00D35BCA"/>
    <w:rsid w:val="00D35D1E"/>
    <w:rsid w:val="00D36263"/>
    <w:rsid w:val="00D36B25"/>
    <w:rsid w:val="00D36FF6"/>
    <w:rsid w:val="00D370F9"/>
    <w:rsid w:val="00D37461"/>
    <w:rsid w:val="00D37BAC"/>
    <w:rsid w:val="00D37C14"/>
    <w:rsid w:val="00D401D6"/>
    <w:rsid w:val="00D409C7"/>
    <w:rsid w:val="00D40B80"/>
    <w:rsid w:val="00D40E1E"/>
    <w:rsid w:val="00D40FA5"/>
    <w:rsid w:val="00D41099"/>
    <w:rsid w:val="00D41A16"/>
    <w:rsid w:val="00D41F62"/>
    <w:rsid w:val="00D424C2"/>
    <w:rsid w:val="00D42866"/>
    <w:rsid w:val="00D42EE9"/>
    <w:rsid w:val="00D4303F"/>
    <w:rsid w:val="00D43222"/>
    <w:rsid w:val="00D43280"/>
    <w:rsid w:val="00D4357C"/>
    <w:rsid w:val="00D4359A"/>
    <w:rsid w:val="00D435CB"/>
    <w:rsid w:val="00D43CD0"/>
    <w:rsid w:val="00D44059"/>
    <w:rsid w:val="00D445CB"/>
    <w:rsid w:val="00D445FD"/>
    <w:rsid w:val="00D44985"/>
    <w:rsid w:val="00D45151"/>
    <w:rsid w:val="00D455CD"/>
    <w:rsid w:val="00D45640"/>
    <w:rsid w:val="00D457D2"/>
    <w:rsid w:val="00D45918"/>
    <w:rsid w:val="00D45D09"/>
    <w:rsid w:val="00D460D8"/>
    <w:rsid w:val="00D460E1"/>
    <w:rsid w:val="00D4636D"/>
    <w:rsid w:val="00D46489"/>
    <w:rsid w:val="00D467C1"/>
    <w:rsid w:val="00D46A95"/>
    <w:rsid w:val="00D46B68"/>
    <w:rsid w:val="00D46E0B"/>
    <w:rsid w:val="00D47081"/>
    <w:rsid w:val="00D47102"/>
    <w:rsid w:val="00D4729B"/>
    <w:rsid w:val="00D472C6"/>
    <w:rsid w:val="00D4776B"/>
    <w:rsid w:val="00D47884"/>
    <w:rsid w:val="00D500A5"/>
    <w:rsid w:val="00D50468"/>
    <w:rsid w:val="00D509DD"/>
    <w:rsid w:val="00D50F62"/>
    <w:rsid w:val="00D513AC"/>
    <w:rsid w:val="00D51573"/>
    <w:rsid w:val="00D51B29"/>
    <w:rsid w:val="00D51ECB"/>
    <w:rsid w:val="00D521CE"/>
    <w:rsid w:val="00D52B25"/>
    <w:rsid w:val="00D52F38"/>
    <w:rsid w:val="00D53636"/>
    <w:rsid w:val="00D537EF"/>
    <w:rsid w:val="00D53938"/>
    <w:rsid w:val="00D53E95"/>
    <w:rsid w:val="00D544C1"/>
    <w:rsid w:val="00D545ED"/>
    <w:rsid w:val="00D547FB"/>
    <w:rsid w:val="00D54AD3"/>
    <w:rsid w:val="00D54C50"/>
    <w:rsid w:val="00D54FCA"/>
    <w:rsid w:val="00D550B4"/>
    <w:rsid w:val="00D5562F"/>
    <w:rsid w:val="00D55746"/>
    <w:rsid w:val="00D55CBB"/>
    <w:rsid w:val="00D564E5"/>
    <w:rsid w:val="00D566AB"/>
    <w:rsid w:val="00D56994"/>
    <w:rsid w:val="00D56A6B"/>
    <w:rsid w:val="00D56AB3"/>
    <w:rsid w:val="00D5784F"/>
    <w:rsid w:val="00D57BDC"/>
    <w:rsid w:val="00D57D4E"/>
    <w:rsid w:val="00D60153"/>
    <w:rsid w:val="00D60642"/>
    <w:rsid w:val="00D607B3"/>
    <w:rsid w:val="00D609C2"/>
    <w:rsid w:val="00D60BB2"/>
    <w:rsid w:val="00D60D94"/>
    <w:rsid w:val="00D60F1B"/>
    <w:rsid w:val="00D60F5D"/>
    <w:rsid w:val="00D61132"/>
    <w:rsid w:val="00D61148"/>
    <w:rsid w:val="00D61317"/>
    <w:rsid w:val="00D6147D"/>
    <w:rsid w:val="00D614BB"/>
    <w:rsid w:val="00D61AB8"/>
    <w:rsid w:val="00D62015"/>
    <w:rsid w:val="00D62183"/>
    <w:rsid w:val="00D6248C"/>
    <w:rsid w:val="00D624A1"/>
    <w:rsid w:val="00D62964"/>
    <w:rsid w:val="00D62D49"/>
    <w:rsid w:val="00D62DF9"/>
    <w:rsid w:val="00D62F40"/>
    <w:rsid w:val="00D631A5"/>
    <w:rsid w:val="00D6343F"/>
    <w:rsid w:val="00D638C4"/>
    <w:rsid w:val="00D63B88"/>
    <w:rsid w:val="00D63D6E"/>
    <w:rsid w:val="00D63E20"/>
    <w:rsid w:val="00D64734"/>
    <w:rsid w:val="00D64791"/>
    <w:rsid w:val="00D64A59"/>
    <w:rsid w:val="00D64A7B"/>
    <w:rsid w:val="00D64CCB"/>
    <w:rsid w:val="00D64D71"/>
    <w:rsid w:val="00D64D88"/>
    <w:rsid w:val="00D651AC"/>
    <w:rsid w:val="00D651CE"/>
    <w:rsid w:val="00D652FD"/>
    <w:rsid w:val="00D655BA"/>
    <w:rsid w:val="00D65784"/>
    <w:rsid w:val="00D65F20"/>
    <w:rsid w:val="00D65F3B"/>
    <w:rsid w:val="00D66707"/>
    <w:rsid w:val="00D66A59"/>
    <w:rsid w:val="00D66B05"/>
    <w:rsid w:val="00D66D5B"/>
    <w:rsid w:val="00D67CA9"/>
    <w:rsid w:val="00D67CE9"/>
    <w:rsid w:val="00D700AC"/>
    <w:rsid w:val="00D701D5"/>
    <w:rsid w:val="00D7044E"/>
    <w:rsid w:val="00D704F7"/>
    <w:rsid w:val="00D70520"/>
    <w:rsid w:val="00D7070E"/>
    <w:rsid w:val="00D70B44"/>
    <w:rsid w:val="00D71740"/>
    <w:rsid w:val="00D71BE5"/>
    <w:rsid w:val="00D7250A"/>
    <w:rsid w:val="00D7254C"/>
    <w:rsid w:val="00D7288C"/>
    <w:rsid w:val="00D72CD9"/>
    <w:rsid w:val="00D72E1A"/>
    <w:rsid w:val="00D72F05"/>
    <w:rsid w:val="00D732D5"/>
    <w:rsid w:val="00D73520"/>
    <w:rsid w:val="00D7364E"/>
    <w:rsid w:val="00D73756"/>
    <w:rsid w:val="00D73D29"/>
    <w:rsid w:val="00D73D7F"/>
    <w:rsid w:val="00D73F12"/>
    <w:rsid w:val="00D73F5F"/>
    <w:rsid w:val="00D74AB1"/>
    <w:rsid w:val="00D74AD9"/>
    <w:rsid w:val="00D74DF4"/>
    <w:rsid w:val="00D75A81"/>
    <w:rsid w:val="00D765A4"/>
    <w:rsid w:val="00D7692E"/>
    <w:rsid w:val="00D7696F"/>
    <w:rsid w:val="00D76A54"/>
    <w:rsid w:val="00D76BE7"/>
    <w:rsid w:val="00D76BF9"/>
    <w:rsid w:val="00D76DDD"/>
    <w:rsid w:val="00D76DFB"/>
    <w:rsid w:val="00D76EDD"/>
    <w:rsid w:val="00D7741A"/>
    <w:rsid w:val="00D77BFF"/>
    <w:rsid w:val="00D77C0C"/>
    <w:rsid w:val="00D801C7"/>
    <w:rsid w:val="00D80376"/>
    <w:rsid w:val="00D805FF"/>
    <w:rsid w:val="00D80E7F"/>
    <w:rsid w:val="00D80F0E"/>
    <w:rsid w:val="00D8145E"/>
    <w:rsid w:val="00D814EB"/>
    <w:rsid w:val="00D81673"/>
    <w:rsid w:val="00D81942"/>
    <w:rsid w:val="00D81973"/>
    <w:rsid w:val="00D81B99"/>
    <w:rsid w:val="00D81D06"/>
    <w:rsid w:val="00D8202D"/>
    <w:rsid w:val="00D82A46"/>
    <w:rsid w:val="00D83182"/>
    <w:rsid w:val="00D8369C"/>
    <w:rsid w:val="00D83D00"/>
    <w:rsid w:val="00D83FE4"/>
    <w:rsid w:val="00D842CA"/>
    <w:rsid w:val="00D84355"/>
    <w:rsid w:val="00D845B9"/>
    <w:rsid w:val="00D84739"/>
    <w:rsid w:val="00D84D09"/>
    <w:rsid w:val="00D84E76"/>
    <w:rsid w:val="00D84ED8"/>
    <w:rsid w:val="00D857B0"/>
    <w:rsid w:val="00D859D2"/>
    <w:rsid w:val="00D85A27"/>
    <w:rsid w:val="00D85B31"/>
    <w:rsid w:val="00D85E61"/>
    <w:rsid w:val="00D8670F"/>
    <w:rsid w:val="00D86D75"/>
    <w:rsid w:val="00D8731B"/>
    <w:rsid w:val="00D8743F"/>
    <w:rsid w:val="00D874EE"/>
    <w:rsid w:val="00D8751C"/>
    <w:rsid w:val="00D879B7"/>
    <w:rsid w:val="00D87F1E"/>
    <w:rsid w:val="00D87FAE"/>
    <w:rsid w:val="00D87FF4"/>
    <w:rsid w:val="00D903B9"/>
    <w:rsid w:val="00D90542"/>
    <w:rsid w:val="00D90781"/>
    <w:rsid w:val="00D90BCE"/>
    <w:rsid w:val="00D9165B"/>
    <w:rsid w:val="00D91B9E"/>
    <w:rsid w:val="00D91F8A"/>
    <w:rsid w:val="00D923C6"/>
    <w:rsid w:val="00D93741"/>
    <w:rsid w:val="00D93A03"/>
    <w:rsid w:val="00D93A38"/>
    <w:rsid w:val="00D93BD0"/>
    <w:rsid w:val="00D93DEE"/>
    <w:rsid w:val="00D94053"/>
    <w:rsid w:val="00D9430B"/>
    <w:rsid w:val="00D94331"/>
    <w:rsid w:val="00D943BC"/>
    <w:rsid w:val="00D94975"/>
    <w:rsid w:val="00D94A8E"/>
    <w:rsid w:val="00D94EE1"/>
    <w:rsid w:val="00D957B5"/>
    <w:rsid w:val="00D95ADF"/>
    <w:rsid w:val="00D95C39"/>
    <w:rsid w:val="00D960BF"/>
    <w:rsid w:val="00D96202"/>
    <w:rsid w:val="00D962EB"/>
    <w:rsid w:val="00D969E4"/>
    <w:rsid w:val="00D96A3E"/>
    <w:rsid w:val="00D96BFC"/>
    <w:rsid w:val="00D96C13"/>
    <w:rsid w:val="00D96FDA"/>
    <w:rsid w:val="00D97786"/>
    <w:rsid w:val="00D97891"/>
    <w:rsid w:val="00D97E05"/>
    <w:rsid w:val="00DA05AE"/>
    <w:rsid w:val="00DA0615"/>
    <w:rsid w:val="00DA06A8"/>
    <w:rsid w:val="00DA06FF"/>
    <w:rsid w:val="00DA09CA"/>
    <w:rsid w:val="00DA09E4"/>
    <w:rsid w:val="00DA09FB"/>
    <w:rsid w:val="00DA0DD9"/>
    <w:rsid w:val="00DA1AE4"/>
    <w:rsid w:val="00DA20C1"/>
    <w:rsid w:val="00DA2440"/>
    <w:rsid w:val="00DA2974"/>
    <w:rsid w:val="00DA2C36"/>
    <w:rsid w:val="00DA2CFC"/>
    <w:rsid w:val="00DA2FF9"/>
    <w:rsid w:val="00DA34FB"/>
    <w:rsid w:val="00DA3974"/>
    <w:rsid w:val="00DA403F"/>
    <w:rsid w:val="00DA4516"/>
    <w:rsid w:val="00DA4651"/>
    <w:rsid w:val="00DA47D6"/>
    <w:rsid w:val="00DA4D06"/>
    <w:rsid w:val="00DA4FAC"/>
    <w:rsid w:val="00DA5422"/>
    <w:rsid w:val="00DA5492"/>
    <w:rsid w:val="00DA564E"/>
    <w:rsid w:val="00DA59BD"/>
    <w:rsid w:val="00DA59EB"/>
    <w:rsid w:val="00DA5AF4"/>
    <w:rsid w:val="00DA5F47"/>
    <w:rsid w:val="00DA605E"/>
    <w:rsid w:val="00DA6556"/>
    <w:rsid w:val="00DA656B"/>
    <w:rsid w:val="00DA6672"/>
    <w:rsid w:val="00DA6894"/>
    <w:rsid w:val="00DA69B1"/>
    <w:rsid w:val="00DA6BBF"/>
    <w:rsid w:val="00DA71F9"/>
    <w:rsid w:val="00DA7554"/>
    <w:rsid w:val="00DA7775"/>
    <w:rsid w:val="00DA7A01"/>
    <w:rsid w:val="00DA7A31"/>
    <w:rsid w:val="00DA7CAD"/>
    <w:rsid w:val="00DA7E52"/>
    <w:rsid w:val="00DA7F4C"/>
    <w:rsid w:val="00DB0177"/>
    <w:rsid w:val="00DB0319"/>
    <w:rsid w:val="00DB041D"/>
    <w:rsid w:val="00DB0678"/>
    <w:rsid w:val="00DB0A66"/>
    <w:rsid w:val="00DB0B08"/>
    <w:rsid w:val="00DB0C3D"/>
    <w:rsid w:val="00DB0D7B"/>
    <w:rsid w:val="00DB0FF4"/>
    <w:rsid w:val="00DB11BC"/>
    <w:rsid w:val="00DB1350"/>
    <w:rsid w:val="00DB1BA3"/>
    <w:rsid w:val="00DB1BC5"/>
    <w:rsid w:val="00DB20C7"/>
    <w:rsid w:val="00DB2849"/>
    <w:rsid w:val="00DB2912"/>
    <w:rsid w:val="00DB2A12"/>
    <w:rsid w:val="00DB35AC"/>
    <w:rsid w:val="00DB378E"/>
    <w:rsid w:val="00DB3C33"/>
    <w:rsid w:val="00DB3EE9"/>
    <w:rsid w:val="00DB45CD"/>
    <w:rsid w:val="00DB4E55"/>
    <w:rsid w:val="00DB4FBA"/>
    <w:rsid w:val="00DB50B7"/>
    <w:rsid w:val="00DB50BC"/>
    <w:rsid w:val="00DB5455"/>
    <w:rsid w:val="00DB5AC0"/>
    <w:rsid w:val="00DB5AF3"/>
    <w:rsid w:val="00DB5DD4"/>
    <w:rsid w:val="00DB5F74"/>
    <w:rsid w:val="00DB665A"/>
    <w:rsid w:val="00DB6696"/>
    <w:rsid w:val="00DB6BC9"/>
    <w:rsid w:val="00DB6DF0"/>
    <w:rsid w:val="00DB70FD"/>
    <w:rsid w:val="00DB76A8"/>
    <w:rsid w:val="00DB79B6"/>
    <w:rsid w:val="00DB7A1A"/>
    <w:rsid w:val="00DB7A63"/>
    <w:rsid w:val="00DB7AC8"/>
    <w:rsid w:val="00DC0124"/>
    <w:rsid w:val="00DC01AA"/>
    <w:rsid w:val="00DC0383"/>
    <w:rsid w:val="00DC07CC"/>
    <w:rsid w:val="00DC0A05"/>
    <w:rsid w:val="00DC0B86"/>
    <w:rsid w:val="00DC0DFF"/>
    <w:rsid w:val="00DC1108"/>
    <w:rsid w:val="00DC115C"/>
    <w:rsid w:val="00DC16AA"/>
    <w:rsid w:val="00DC195A"/>
    <w:rsid w:val="00DC2007"/>
    <w:rsid w:val="00DC21CB"/>
    <w:rsid w:val="00DC25D2"/>
    <w:rsid w:val="00DC25DA"/>
    <w:rsid w:val="00DC2AA9"/>
    <w:rsid w:val="00DC2B07"/>
    <w:rsid w:val="00DC3391"/>
    <w:rsid w:val="00DC45B6"/>
    <w:rsid w:val="00DC468A"/>
    <w:rsid w:val="00DC476A"/>
    <w:rsid w:val="00DC476B"/>
    <w:rsid w:val="00DC4867"/>
    <w:rsid w:val="00DC486A"/>
    <w:rsid w:val="00DC4A7C"/>
    <w:rsid w:val="00DC4B4A"/>
    <w:rsid w:val="00DC50C6"/>
    <w:rsid w:val="00DC515C"/>
    <w:rsid w:val="00DC523F"/>
    <w:rsid w:val="00DC52E7"/>
    <w:rsid w:val="00DC54B0"/>
    <w:rsid w:val="00DC5510"/>
    <w:rsid w:val="00DC5B2E"/>
    <w:rsid w:val="00DC659C"/>
    <w:rsid w:val="00DC68F2"/>
    <w:rsid w:val="00DC6BA3"/>
    <w:rsid w:val="00DC7232"/>
    <w:rsid w:val="00DC73E1"/>
    <w:rsid w:val="00DC75A6"/>
    <w:rsid w:val="00DC778F"/>
    <w:rsid w:val="00DC78EC"/>
    <w:rsid w:val="00DC79A6"/>
    <w:rsid w:val="00DD0A15"/>
    <w:rsid w:val="00DD0C37"/>
    <w:rsid w:val="00DD0D62"/>
    <w:rsid w:val="00DD12AB"/>
    <w:rsid w:val="00DD1389"/>
    <w:rsid w:val="00DD143F"/>
    <w:rsid w:val="00DD147B"/>
    <w:rsid w:val="00DD173A"/>
    <w:rsid w:val="00DD18D1"/>
    <w:rsid w:val="00DD1B97"/>
    <w:rsid w:val="00DD1EB0"/>
    <w:rsid w:val="00DD217C"/>
    <w:rsid w:val="00DD26A6"/>
    <w:rsid w:val="00DD27DA"/>
    <w:rsid w:val="00DD29C8"/>
    <w:rsid w:val="00DD2F9A"/>
    <w:rsid w:val="00DD3191"/>
    <w:rsid w:val="00DD3BC3"/>
    <w:rsid w:val="00DD3F97"/>
    <w:rsid w:val="00DD4039"/>
    <w:rsid w:val="00DD41C5"/>
    <w:rsid w:val="00DD4257"/>
    <w:rsid w:val="00DD44FD"/>
    <w:rsid w:val="00DD4BA6"/>
    <w:rsid w:val="00DD4C96"/>
    <w:rsid w:val="00DD5296"/>
    <w:rsid w:val="00DD541F"/>
    <w:rsid w:val="00DD54FE"/>
    <w:rsid w:val="00DD55B0"/>
    <w:rsid w:val="00DD58ED"/>
    <w:rsid w:val="00DD5F01"/>
    <w:rsid w:val="00DD6718"/>
    <w:rsid w:val="00DD6AD7"/>
    <w:rsid w:val="00DD6EB8"/>
    <w:rsid w:val="00DD6F2E"/>
    <w:rsid w:val="00DD730D"/>
    <w:rsid w:val="00DD77E3"/>
    <w:rsid w:val="00DD7BBC"/>
    <w:rsid w:val="00DD7F79"/>
    <w:rsid w:val="00DE0103"/>
    <w:rsid w:val="00DE0464"/>
    <w:rsid w:val="00DE0DD3"/>
    <w:rsid w:val="00DE0F42"/>
    <w:rsid w:val="00DE1587"/>
    <w:rsid w:val="00DE1917"/>
    <w:rsid w:val="00DE1B38"/>
    <w:rsid w:val="00DE279B"/>
    <w:rsid w:val="00DE2B60"/>
    <w:rsid w:val="00DE30A2"/>
    <w:rsid w:val="00DE346B"/>
    <w:rsid w:val="00DE34CB"/>
    <w:rsid w:val="00DE38A6"/>
    <w:rsid w:val="00DE3D0A"/>
    <w:rsid w:val="00DE44E3"/>
    <w:rsid w:val="00DE4D9B"/>
    <w:rsid w:val="00DE4F87"/>
    <w:rsid w:val="00DE539E"/>
    <w:rsid w:val="00DE57FD"/>
    <w:rsid w:val="00DE5BDB"/>
    <w:rsid w:val="00DE5DC9"/>
    <w:rsid w:val="00DE628C"/>
    <w:rsid w:val="00DE6517"/>
    <w:rsid w:val="00DE660D"/>
    <w:rsid w:val="00DE68F5"/>
    <w:rsid w:val="00DE6AE5"/>
    <w:rsid w:val="00DE6D93"/>
    <w:rsid w:val="00DE7288"/>
    <w:rsid w:val="00DE746A"/>
    <w:rsid w:val="00DE74DC"/>
    <w:rsid w:val="00DE7509"/>
    <w:rsid w:val="00DE7616"/>
    <w:rsid w:val="00DE799F"/>
    <w:rsid w:val="00DE7F27"/>
    <w:rsid w:val="00DF016B"/>
    <w:rsid w:val="00DF04A1"/>
    <w:rsid w:val="00DF060C"/>
    <w:rsid w:val="00DF068F"/>
    <w:rsid w:val="00DF0963"/>
    <w:rsid w:val="00DF0D59"/>
    <w:rsid w:val="00DF0FDE"/>
    <w:rsid w:val="00DF12DE"/>
    <w:rsid w:val="00DF1575"/>
    <w:rsid w:val="00DF1A55"/>
    <w:rsid w:val="00DF1CBA"/>
    <w:rsid w:val="00DF2098"/>
    <w:rsid w:val="00DF2633"/>
    <w:rsid w:val="00DF272F"/>
    <w:rsid w:val="00DF2910"/>
    <w:rsid w:val="00DF31CC"/>
    <w:rsid w:val="00DF3766"/>
    <w:rsid w:val="00DF3DD3"/>
    <w:rsid w:val="00DF3FEC"/>
    <w:rsid w:val="00DF42C5"/>
    <w:rsid w:val="00DF4859"/>
    <w:rsid w:val="00DF4CCE"/>
    <w:rsid w:val="00DF4E68"/>
    <w:rsid w:val="00DF5EF7"/>
    <w:rsid w:val="00DF64B1"/>
    <w:rsid w:val="00DF696B"/>
    <w:rsid w:val="00DF699A"/>
    <w:rsid w:val="00DF69DF"/>
    <w:rsid w:val="00DF6B7A"/>
    <w:rsid w:val="00DF6D8A"/>
    <w:rsid w:val="00DF6DF7"/>
    <w:rsid w:val="00DF6F19"/>
    <w:rsid w:val="00DF749E"/>
    <w:rsid w:val="00DF75D1"/>
    <w:rsid w:val="00DF784D"/>
    <w:rsid w:val="00E0000C"/>
    <w:rsid w:val="00E003E8"/>
    <w:rsid w:val="00E005D2"/>
    <w:rsid w:val="00E01140"/>
    <w:rsid w:val="00E0158C"/>
    <w:rsid w:val="00E01C3E"/>
    <w:rsid w:val="00E02776"/>
    <w:rsid w:val="00E02D02"/>
    <w:rsid w:val="00E02FF7"/>
    <w:rsid w:val="00E0357F"/>
    <w:rsid w:val="00E037C5"/>
    <w:rsid w:val="00E03B9D"/>
    <w:rsid w:val="00E03BC4"/>
    <w:rsid w:val="00E03BED"/>
    <w:rsid w:val="00E03DB5"/>
    <w:rsid w:val="00E041A8"/>
    <w:rsid w:val="00E047A5"/>
    <w:rsid w:val="00E048AE"/>
    <w:rsid w:val="00E04932"/>
    <w:rsid w:val="00E0494E"/>
    <w:rsid w:val="00E04F88"/>
    <w:rsid w:val="00E051E5"/>
    <w:rsid w:val="00E05424"/>
    <w:rsid w:val="00E0597F"/>
    <w:rsid w:val="00E05A0D"/>
    <w:rsid w:val="00E06FB9"/>
    <w:rsid w:val="00E071F1"/>
    <w:rsid w:val="00E07B31"/>
    <w:rsid w:val="00E07D19"/>
    <w:rsid w:val="00E07F53"/>
    <w:rsid w:val="00E07FC7"/>
    <w:rsid w:val="00E1019B"/>
    <w:rsid w:val="00E10377"/>
    <w:rsid w:val="00E10435"/>
    <w:rsid w:val="00E106CF"/>
    <w:rsid w:val="00E107FC"/>
    <w:rsid w:val="00E10F93"/>
    <w:rsid w:val="00E115B8"/>
    <w:rsid w:val="00E119B1"/>
    <w:rsid w:val="00E12017"/>
    <w:rsid w:val="00E1242D"/>
    <w:rsid w:val="00E12866"/>
    <w:rsid w:val="00E12E27"/>
    <w:rsid w:val="00E131B8"/>
    <w:rsid w:val="00E135FE"/>
    <w:rsid w:val="00E13BAE"/>
    <w:rsid w:val="00E13D16"/>
    <w:rsid w:val="00E1415C"/>
    <w:rsid w:val="00E14298"/>
    <w:rsid w:val="00E142BB"/>
    <w:rsid w:val="00E145B7"/>
    <w:rsid w:val="00E15307"/>
    <w:rsid w:val="00E15714"/>
    <w:rsid w:val="00E15A8A"/>
    <w:rsid w:val="00E164A7"/>
    <w:rsid w:val="00E173BB"/>
    <w:rsid w:val="00E20630"/>
    <w:rsid w:val="00E2063F"/>
    <w:rsid w:val="00E20BCD"/>
    <w:rsid w:val="00E20DCE"/>
    <w:rsid w:val="00E21080"/>
    <w:rsid w:val="00E214C1"/>
    <w:rsid w:val="00E21893"/>
    <w:rsid w:val="00E21992"/>
    <w:rsid w:val="00E21B53"/>
    <w:rsid w:val="00E21BB0"/>
    <w:rsid w:val="00E21BC5"/>
    <w:rsid w:val="00E21FB9"/>
    <w:rsid w:val="00E22005"/>
    <w:rsid w:val="00E22355"/>
    <w:rsid w:val="00E223CD"/>
    <w:rsid w:val="00E22DAE"/>
    <w:rsid w:val="00E22DEF"/>
    <w:rsid w:val="00E22EE7"/>
    <w:rsid w:val="00E2308E"/>
    <w:rsid w:val="00E230EA"/>
    <w:rsid w:val="00E232F4"/>
    <w:rsid w:val="00E23559"/>
    <w:rsid w:val="00E235B2"/>
    <w:rsid w:val="00E2374C"/>
    <w:rsid w:val="00E23BE4"/>
    <w:rsid w:val="00E23C81"/>
    <w:rsid w:val="00E24007"/>
    <w:rsid w:val="00E24426"/>
    <w:rsid w:val="00E250CD"/>
    <w:rsid w:val="00E2530F"/>
    <w:rsid w:val="00E25375"/>
    <w:rsid w:val="00E2563C"/>
    <w:rsid w:val="00E2583B"/>
    <w:rsid w:val="00E2584F"/>
    <w:rsid w:val="00E2586C"/>
    <w:rsid w:val="00E25A64"/>
    <w:rsid w:val="00E25AE3"/>
    <w:rsid w:val="00E25EEB"/>
    <w:rsid w:val="00E26067"/>
    <w:rsid w:val="00E2606D"/>
    <w:rsid w:val="00E260F1"/>
    <w:rsid w:val="00E26247"/>
    <w:rsid w:val="00E2667C"/>
    <w:rsid w:val="00E26EE3"/>
    <w:rsid w:val="00E271F2"/>
    <w:rsid w:val="00E27501"/>
    <w:rsid w:val="00E27C5D"/>
    <w:rsid w:val="00E27E26"/>
    <w:rsid w:val="00E27EF8"/>
    <w:rsid w:val="00E27F7C"/>
    <w:rsid w:val="00E300C7"/>
    <w:rsid w:val="00E30345"/>
    <w:rsid w:val="00E30A52"/>
    <w:rsid w:val="00E30E47"/>
    <w:rsid w:val="00E30F78"/>
    <w:rsid w:val="00E31336"/>
    <w:rsid w:val="00E329FC"/>
    <w:rsid w:val="00E32BB8"/>
    <w:rsid w:val="00E3327D"/>
    <w:rsid w:val="00E332D2"/>
    <w:rsid w:val="00E33610"/>
    <w:rsid w:val="00E33850"/>
    <w:rsid w:val="00E339B0"/>
    <w:rsid w:val="00E33A24"/>
    <w:rsid w:val="00E33CE8"/>
    <w:rsid w:val="00E34113"/>
    <w:rsid w:val="00E34169"/>
    <w:rsid w:val="00E342A1"/>
    <w:rsid w:val="00E344E6"/>
    <w:rsid w:val="00E34782"/>
    <w:rsid w:val="00E3480E"/>
    <w:rsid w:val="00E34CC7"/>
    <w:rsid w:val="00E34CDA"/>
    <w:rsid w:val="00E34D60"/>
    <w:rsid w:val="00E3518F"/>
    <w:rsid w:val="00E35237"/>
    <w:rsid w:val="00E35E6A"/>
    <w:rsid w:val="00E36117"/>
    <w:rsid w:val="00E36475"/>
    <w:rsid w:val="00E364A4"/>
    <w:rsid w:val="00E364AE"/>
    <w:rsid w:val="00E369DB"/>
    <w:rsid w:val="00E36A97"/>
    <w:rsid w:val="00E37512"/>
    <w:rsid w:val="00E3756C"/>
    <w:rsid w:val="00E375BC"/>
    <w:rsid w:val="00E379D6"/>
    <w:rsid w:val="00E40477"/>
    <w:rsid w:val="00E40BD0"/>
    <w:rsid w:val="00E40D4B"/>
    <w:rsid w:val="00E410A3"/>
    <w:rsid w:val="00E4129E"/>
    <w:rsid w:val="00E414CA"/>
    <w:rsid w:val="00E419A3"/>
    <w:rsid w:val="00E41C29"/>
    <w:rsid w:val="00E41EB0"/>
    <w:rsid w:val="00E429C0"/>
    <w:rsid w:val="00E43383"/>
    <w:rsid w:val="00E4342C"/>
    <w:rsid w:val="00E43979"/>
    <w:rsid w:val="00E43F5B"/>
    <w:rsid w:val="00E43F6E"/>
    <w:rsid w:val="00E445B7"/>
    <w:rsid w:val="00E44CB2"/>
    <w:rsid w:val="00E45187"/>
    <w:rsid w:val="00E45222"/>
    <w:rsid w:val="00E4534E"/>
    <w:rsid w:val="00E4544D"/>
    <w:rsid w:val="00E456E2"/>
    <w:rsid w:val="00E4592D"/>
    <w:rsid w:val="00E45AAC"/>
    <w:rsid w:val="00E45F37"/>
    <w:rsid w:val="00E46084"/>
    <w:rsid w:val="00E4612F"/>
    <w:rsid w:val="00E46251"/>
    <w:rsid w:val="00E4664E"/>
    <w:rsid w:val="00E46671"/>
    <w:rsid w:val="00E46959"/>
    <w:rsid w:val="00E46C7B"/>
    <w:rsid w:val="00E47287"/>
    <w:rsid w:val="00E4774D"/>
    <w:rsid w:val="00E47886"/>
    <w:rsid w:val="00E502F7"/>
    <w:rsid w:val="00E50800"/>
    <w:rsid w:val="00E50BFA"/>
    <w:rsid w:val="00E5115C"/>
    <w:rsid w:val="00E51349"/>
    <w:rsid w:val="00E5187F"/>
    <w:rsid w:val="00E5189A"/>
    <w:rsid w:val="00E51E77"/>
    <w:rsid w:val="00E52584"/>
    <w:rsid w:val="00E528DB"/>
    <w:rsid w:val="00E53038"/>
    <w:rsid w:val="00E53095"/>
    <w:rsid w:val="00E53481"/>
    <w:rsid w:val="00E53663"/>
    <w:rsid w:val="00E538C0"/>
    <w:rsid w:val="00E53A53"/>
    <w:rsid w:val="00E53DE2"/>
    <w:rsid w:val="00E53E07"/>
    <w:rsid w:val="00E53E6C"/>
    <w:rsid w:val="00E540B1"/>
    <w:rsid w:val="00E543C2"/>
    <w:rsid w:val="00E545E6"/>
    <w:rsid w:val="00E549B0"/>
    <w:rsid w:val="00E54D2A"/>
    <w:rsid w:val="00E54E61"/>
    <w:rsid w:val="00E555E3"/>
    <w:rsid w:val="00E55645"/>
    <w:rsid w:val="00E558C9"/>
    <w:rsid w:val="00E55DA8"/>
    <w:rsid w:val="00E560DD"/>
    <w:rsid w:val="00E5649D"/>
    <w:rsid w:val="00E564C0"/>
    <w:rsid w:val="00E56896"/>
    <w:rsid w:val="00E569DB"/>
    <w:rsid w:val="00E56D8E"/>
    <w:rsid w:val="00E56FA6"/>
    <w:rsid w:val="00E57134"/>
    <w:rsid w:val="00E5748B"/>
    <w:rsid w:val="00E577DE"/>
    <w:rsid w:val="00E5790B"/>
    <w:rsid w:val="00E57D8C"/>
    <w:rsid w:val="00E60612"/>
    <w:rsid w:val="00E606F6"/>
    <w:rsid w:val="00E609BB"/>
    <w:rsid w:val="00E609C6"/>
    <w:rsid w:val="00E60D5C"/>
    <w:rsid w:val="00E6197D"/>
    <w:rsid w:val="00E61A01"/>
    <w:rsid w:val="00E61B3A"/>
    <w:rsid w:val="00E61C31"/>
    <w:rsid w:val="00E61CEB"/>
    <w:rsid w:val="00E61F4C"/>
    <w:rsid w:val="00E621DD"/>
    <w:rsid w:val="00E6289F"/>
    <w:rsid w:val="00E628A6"/>
    <w:rsid w:val="00E629B3"/>
    <w:rsid w:val="00E63C31"/>
    <w:rsid w:val="00E63E14"/>
    <w:rsid w:val="00E63F43"/>
    <w:rsid w:val="00E64168"/>
    <w:rsid w:val="00E645D9"/>
    <w:rsid w:val="00E6476D"/>
    <w:rsid w:val="00E647AB"/>
    <w:rsid w:val="00E64C7B"/>
    <w:rsid w:val="00E653C3"/>
    <w:rsid w:val="00E654C9"/>
    <w:rsid w:val="00E657AA"/>
    <w:rsid w:val="00E65892"/>
    <w:rsid w:val="00E6589B"/>
    <w:rsid w:val="00E65931"/>
    <w:rsid w:val="00E66B15"/>
    <w:rsid w:val="00E66C8B"/>
    <w:rsid w:val="00E672E7"/>
    <w:rsid w:val="00E67469"/>
    <w:rsid w:val="00E67671"/>
    <w:rsid w:val="00E679C1"/>
    <w:rsid w:val="00E67C5A"/>
    <w:rsid w:val="00E67C89"/>
    <w:rsid w:val="00E70148"/>
    <w:rsid w:val="00E70153"/>
    <w:rsid w:val="00E70392"/>
    <w:rsid w:val="00E703B8"/>
    <w:rsid w:val="00E706BE"/>
    <w:rsid w:val="00E7095E"/>
    <w:rsid w:val="00E70ECC"/>
    <w:rsid w:val="00E70F77"/>
    <w:rsid w:val="00E712B6"/>
    <w:rsid w:val="00E7174A"/>
    <w:rsid w:val="00E71A22"/>
    <w:rsid w:val="00E71DB1"/>
    <w:rsid w:val="00E71DCD"/>
    <w:rsid w:val="00E71F1A"/>
    <w:rsid w:val="00E72296"/>
    <w:rsid w:val="00E72864"/>
    <w:rsid w:val="00E73410"/>
    <w:rsid w:val="00E735E6"/>
    <w:rsid w:val="00E737A2"/>
    <w:rsid w:val="00E73982"/>
    <w:rsid w:val="00E73AC8"/>
    <w:rsid w:val="00E73E75"/>
    <w:rsid w:val="00E7407E"/>
    <w:rsid w:val="00E74BE5"/>
    <w:rsid w:val="00E751F9"/>
    <w:rsid w:val="00E75574"/>
    <w:rsid w:val="00E756D7"/>
    <w:rsid w:val="00E756E3"/>
    <w:rsid w:val="00E75790"/>
    <w:rsid w:val="00E757FC"/>
    <w:rsid w:val="00E75C2B"/>
    <w:rsid w:val="00E76082"/>
    <w:rsid w:val="00E769A3"/>
    <w:rsid w:val="00E7705F"/>
    <w:rsid w:val="00E772C7"/>
    <w:rsid w:val="00E77549"/>
    <w:rsid w:val="00E776C8"/>
    <w:rsid w:val="00E77742"/>
    <w:rsid w:val="00E779E0"/>
    <w:rsid w:val="00E77A6B"/>
    <w:rsid w:val="00E77D8B"/>
    <w:rsid w:val="00E77F7B"/>
    <w:rsid w:val="00E80333"/>
    <w:rsid w:val="00E80EB7"/>
    <w:rsid w:val="00E819E3"/>
    <w:rsid w:val="00E81A7C"/>
    <w:rsid w:val="00E81AB1"/>
    <w:rsid w:val="00E81CBD"/>
    <w:rsid w:val="00E82AFC"/>
    <w:rsid w:val="00E82BDE"/>
    <w:rsid w:val="00E82E94"/>
    <w:rsid w:val="00E8323B"/>
    <w:rsid w:val="00E83773"/>
    <w:rsid w:val="00E83E7C"/>
    <w:rsid w:val="00E8436D"/>
    <w:rsid w:val="00E8468A"/>
    <w:rsid w:val="00E8476B"/>
    <w:rsid w:val="00E847B0"/>
    <w:rsid w:val="00E84BB6"/>
    <w:rsid w:val="00E852F9"/>
    <w:rsid w:val="00E85521"/>
    <w:rsid w:val="00E85B6D"/>
    <w:rsid w:val="00E85BCA"/>
    <w:rsid w:val="00E862A1"/>
    <w:rsid w:val="00E8741B"/>
    <w:rsid w:val="00E87DA3"/>
    <w:rsid w:val="00E90203"/>
    <w:rsid w:val="00E905A4"/>
    <w:rsid w:val="00E9062E"/>
    <w:rsid w:val="00E906A1"/>
    <w:rsid w:val="00E90769"/>
    <w:rsid w:val="00E907B0"/>
    <w:rsid w:val="00E908DA"/>
    <w:rsid w:val="00E909EB"/>
    <w:rsid w:val="00E9141A"/>
    <w:rsid w:val="00E91966"/>
    <w:rsid w:val="00E92B4B"/>
    <w:rsid w:val="00E92E90"/>
    <w:rsid w:val="00E930A8"/>
    <w:rsid w:val="00E9335B"/>
    <w:rsid w:val="00E93686"/>
    <w:rsid w:val="00E93D8A"/>
    <w:rsid w:val="00E93DB0"/>
    <w:rsid w:val="00E9424E"/>
    <w:rsid w:val="00E94428"/>
    <w:rsid w:val="00E94688"/>
    <w:rsid w:val="00E9469A"/>
    <w:rsid w:val="00E947D1"/>
    <w:rsid w:val="00E94921"/>
    <w:rsid w:val="00E949CD"/>
    <w:rsid w:val="00E94AEC"/>
    <w:rsid w:val="00E94FB5"/>
    <w:rsid w:val="00E95139"/>
    <w:rsid w:val="00E9559B"/>
    <w:rsid w:val="00E95E2F"/>
    <w:rsid w:val="00E96624"/>
    <w:rsid w:val="00E96774"/>
    <w:rsid w:val="00E9687E"/>
    <w:rsid w:val="00E96C2D"/>
    <w:rsid w:val="00E96CCC"/>
    <w:rsid w:val="00E96EE9"/>
    <w:rsid w:val="00E96F9D"/>
    <w:rsid w:val="00E97107"/>
    <w:rsid w:val="00E97370"/>
    <w:rsid w:val="00E97C98"/>
    <w:rsid w:val="00E97D93"/>
    <w:rsid w:val="00E97F7B"/>
    <w:rsid w:val="00EA05F1"/>
    <w:rsid w:val="00EA06E3"/>
    <w:rsid w:val="00EA095E"/>
    <w:rsid w:val="00EA0F46"/>
    <w:rsid w:val="00EA1294"/>
    <w:rsid w:val="00EA1323"/>
    <w:rsid w:val="00EA13F2"/>
    <w:rsid w:val="00EA1535"/>
    <w:rsid w:val="00EA18A5"/>
    <w:rsid w:val="00EA1CFB"/>
    <w:rsid w:val="00EA25D9"/>
    <w:rsid w:val="00EA326A"/>
    <w:rsid w:val="00EA341B"/>
    <w:rsid w:val="00EA3692"/>
    <w:rsid w:val="00EA3AD9"/>
    <w:rsid w:val="00EA3BDB"/>
    <w:rsid w:val="00EA3FC2"/>
    <w:rsid w:val="00EA4074"/>
    <w:rsid w:val="00EA41DF"/>
    <w:rsid w:val="00EA42A7"/>
    <w:rsid w:val="00EA4679"/>
    <w:rsid w:val="00EA4CAB"/>
    <w:rsid w:val="00EA4CF3"/>
    <w:rsid w:val="00EA512B"/>
    <w:rsid w:val="00EA527D"/>
    <w:rsid w:val="00EA5886"/>
    <w:rsid w:val="00EA5D86"/>
    <w:rsid w:val="00EA5FA8"/>
    <w:rsid w:val="00EA6120"/>
    <w:rsid w:val="00EA624C"/>
    <w:rsid w:val="00EA636A"/>
    <w:rsid w:val="00EA6578"/>
    <w:rsid w:val="00EA657F"/>
    <w:rsid w:val="00EA6772"/>
    <w:rsid w:val="00EA6A66"/>
    <w:rsid w:val="00EA6B12"/>
    <w:rsid w:val="00EA6C27"/>
    <w:rsid w:val="00EA6FFE"/>
    <w:rsid w:val="00EA729E"/>
    <w:rsid w:val="00EA72BA"/>
    <w:rsid w:val="00EA72E9"/>
    <w:rsid w:val="00EA7FA7"/>
    <w:rsid w:val="00EB04A5"/>
    <w:rsid w:val="00EB0521"/>
    <w:rsid w:val="00EB0986"/>
    <w:rsid w:val="00EB0D2A"/>
    <w:rsid w:val="00EB10A6"/>
    <w:rsid w:val="00EB119A"/>
    <w:rsid w:val="00EB15A7"/>
    <w:rsid w:val="00EB1A30"/>
    <w:rsid w:val="00EB1B14"/>
    <w:rsid w:val="00EB1BEF"/>
    <w:rsid w:val="00EB1C45"/>
    <w:rsid w:val="00EB1F24"/>
    <w:rsid w:val="00EB1F8C"/>
    <w:rsid w:val="00EB233D"/>
    <w:rsid w:val="00EB235D"/>
    <w:rsid w:val="00EB250C"/>
    <w:rsid w:val="00EB2558"/>
    <w:rsid w:val="00EB2587"/>
    <w:rsid w:val="00EB2F03"/>
    <w:rsid w:val="00EB3107"/>
    <w:rsid w:val="00EB33A8"/>
    <w:rsid w:val="00EB3856"/>
    <w:rsid w:val="00EB3A1D"/>
    <w:rsid w:val="00EB3BF6"/>
    <w:rsid w:val="00EB4048"/>
    <w:rsid w:val="00EB431D"/>
    <w:rsid w:val="00EB4B66"/>
    <w:rsid w:val="00EB4C40"/>
    <w:rsid w:val="00EB4C9B"/>
    <w:rsid w:val="00EB4CA3"/>
    <w:rsid w:val="00EB5173"/>
    <w:rsid w:val="00EB58C5"/>
    <w:rsid w:val="00EB5A05"/>
    <w:rsid w:val="00EB5EE9"/>
    <w:rsid w:val="00EB638F"/>
    <w:rsid w:val="00EB673E"/>
    <w:rsid w:val="00EB6976"/>
    <w:rsid w:val="00EB6A4F"/>
    <w:rsid w:val="00EB6D13"/>
    <w:rsid w:val="00EB6F5F"/>
    <w:rsid w:val="00EB77B3"/>
    <w:rsid w:val="00EB789A"/>
    <w:rsid w:val="00EB7CBB"/>
    <w:rsid w:val="00EB7FC9"/>
    <w:rsid w:val="00EC0265"/>
    <w:rsid w:val="00EC091C"/>
    <w:rsid w:val="00EC0CAA"/>
    <w:rsid w:val="00EC1797"/>
    <w:rsid w:val="00EC1875"/>
    <w:rsid w:val="00EC1B0F"/>
    <w:rsid w:val="00EC1D70"/>
    <w:rsid w:val="00EC1DD1"/>
    <w:rsid w:val="00EC1DDD"/>
    <w:rsid w:val="00EC1FC3"/>
    <w:rsid w:val="00EC279D"/>
    <w:rsid w:val="00EC2A6A"/>
    <w:rsid w:val="00EC2D4C"/>
    <w:rsid w:val="00EC30B7"/>
    <w:rsid w:val="00EC3604"/>
    <w:rsid w:val="00EC376F"/>
    <w:rsid w:val="00EC3D04"/>
    <w:rsid w:val="00EC3DE6"/>
    <w:rsid w:val="00EC43CC"/>
    <w:rsid w:val="00EC492C"/>
    <w:rsid w:val="00EC4C4B"/>
    <w:rsid w:val="00EC4EEB"/>
    <w:rsid w:val="00EC516F"/>
    <w:rsid w:val="00EC5617"/>
    <w:rsid w:val="00EC5903"/>
    <w:rsid w:val="00EC5ABC"/>
    <w:rsid w:val="00EC5E4E"/>
    <w:rsid w:val="00EC5FEF"/>
    <w:rsid w:val="00EC642B"/>
    <w:rsid w:val="00EC6ACB"/>
    <w:rsid w:val="00EC6C39"/>
    <w:rsid w:val="00EC6F0D"/>
    <w:rsid w:val="00EC7A1A"/>
    <w:rsid w:val="00EC7FEE"/>
    <w:rsid w:val="00ED0040"/>
    <w:rsid w:val="00ED03BD"/>
    <w:rsid w:val="00ED04AE"/>
    <w:rsid w:val="00ED070B"/>
    <w:rsid w:val="00ED0B19"/>
    <w:rsid w:val="00ED0B57"/>
    <w:rsid w:val="00ED0BCA"/>
    <w:rsid w:val="00ED0C9F"/>
    <w:rsid w:val="00ED0DB2"/>
    <w:rsid w:val="00ED0DC2"/>
    <w:rsid w:val="00ED16C5"/>
    <w:rsid w:val="00ED1907"/>
    <w:rsid w:val="00ED1972"/>
    <w:rsid w:val="00ED211F"/>
    <w:rsid w:val="00ED21C6"/>
    <w:rsid w:val="00ED25AC"/>
    <w:rsid w:val="00ED2839"/>
    <w:rsid w:val="00ED2A9E"/>
    <w:rsid w:val="00ED3133"/>
    <w:rsid w:val="00ED3542"/>
    <w:rsid w:val="00ED3920"/>
    <w:rsid w:val="00ED3DDF"/>
    <w:rsid w:val="00ED3E8E"/>
    <w:rsid w:val="00ED41C0"/>
    <w:rsid w:val="00ED45E2"/>
    <w:rsid w:val="00ED493F"/>
    <w:rsid w:val="00ED49EE"/>
    <w:rsid w:val="00ED4A81"/>
    <w:rsid w:val="00ED5443"/>
    <w:rsid w:val="00ED56BA"/>
    <w:rsid w:val="00ED5835"/>
    <w:rsid w:val="00ED5A87"/>
    <w:rsid w:val="00ED6277"/>
    <w:rsid w:val="00ED6727"/>
    <w:rsid w:val="00ED6FEF"/>
    <w:rsid w:val="00ED74F8"/>
    <w:rsid w:val="00ED7BA5"/>
    <w:rsid w:val="00EE05C7"/>
    <w:rsid w:val="00EE05F6"/>
    <w:rsid w:val="00EE0945"/>
    <w:rsid w:val="00EE0C74"/>
    <w:rsid w:val="00EE0D5C"/>
    <w:rsid w:val="00EE0F34"/>
    <w:rsid w:val="00EE0FBB"/>
    <w:rsid w:val="00EE10D6"/>
    <w:rsid w:val="00EE113E"/>
    <w:rsid w:val="00EE12C1"/>
    <w:rsid w:val="00EE1687"/>
    <w:rsid w:val="00EE1889"/>
    <w:rsid w:val="00EE1B3B"/>
    <w:rsid w:val="00EE2436"/>
    <w:rsid w:val="00EE29CA"/>
    <w:rsid w:val="00EE2AA1"/>
    <w:rsid w:val="00EE2B44"/>
    <w:rsid w:val="00EE2D1E"/>
    <w:rsid w:val="00EE2F86"/>
    <w:rsid w:val="00EE31DC"/>
    <w:rsid w:val="00EE342A"/>
    <w:rsid w:val="00EE3664"/>
    <w:rsid w:val="00EE3865"/>
    <w:rsid w:val="00EE39EA"/>
    <w:rsid w:val="00EE3D05"/>
    <w:rsid w:val="00EE3D9F"/>
    <w:rsid w:val="00EE40A5"/>
    <w:rsid w:val="00EE40DD"/>
    <w:rsid w:val="00EE4350"/>
    <w:rsid w:val="00EE4611"/>
    <w:rsid w:val="00EE4AA9"/>
    <w:rsid w:val="00EE500B"/>
    <w:rsid w:val="00EE537D"/>
    <w:rsid w:val="00EE53EB"/>
    <w:rsid w:val="00EE580C"/>
    <w:rsid w:val="00EE621E"/>
    <w:rsid w:val="00EE63DA"/>
    <w:rsid w:val="00EE6422"/>
    <w:rsid w:val="00EE661F"/>
    <w:rsid w:val="00EE6CC4"/>
    <w:rsid w:val="00EE70D9"/>
    <w:rsid w:val="00EE774B"/>
    <w:rsid w:val="00EE7A69"/>
    <w:rsid w:val="00EE7EC6"/>
    <w:rsid w:val="00EF0040"/>
    <w:rsid w:val="00EF0553"/>
    <w:rsid w:val="00EF06C7"/>
    <w:rsid w:val="00EF073F"/>
    <w:rsid w:val="00EF0991"/>
    <w:rsid w:val="00EF0E2B"/>
    <w:rsid w:val="00EF0FD6"/>
    <w:rsid w:val="00EF1035"/>
    <w:rsid w:val="00EF1220"/>
    <w:rsid w:val="00EF1240"/>
    <w:rsid w:val="00EF1342"/>
    <w:rsid w:val="00EF13F1"/>
    <w:rsid w:val="00EF149B"/>
    <w:rsid w:val="00EF1B05"/>
    <w:rsid w:val="00EF1D81"/>
    <w:rsid w:val="00EF1EDB"/>
    <w:rsid w:val="00EF2184"/>
    <w:rsid w:val="00EF25D5"/>
    <w:rsid w:val="00EF2650"/>
    <w:rsid w:val="00EF2916"/>
    <w:rsid w:val="00EF31C2"/>
    <w:rsid w:val="00EF3499"/>
    <w:rsid w:val="00EF35A8"/>
    <w:rsid w:val="00EF37ED"/>
    <w:rsid w:val="00EF4904"/>
    <w:rsid w:val="00EF4B85"/>
    <w:rsid w:val="00EF55C8"/>
    <w:rsid w:val="00EF56F0"/>
    <w:rsid w:val="00EF582E"/>
    <w:rsid w:val="00EF5D19"/>
    <w:rsid w:val="00EF5DB0"/>
    <w:rsid w:val="00EF5F71"/>
    <w:rsid w:val="00EF5F9F"/>
    <w:rsid w:val="00EF610F"/>
    <w:rsid w:val="00EF62C6"/>
    <w:rsid w:val="00EF6862"/>
    <w:rsid w:val="00EF6DD9"/>
    <w:rsid w:val="00EF6EA1"/>
    <w:rsid w:val="00EF70A5"/>
    <w:rsid w:val="00EF7134"/>
    <w:rsid w:val="00EF74A7"/>
    <w:rsid w:val="00EF74E9"/>
    <w:rsid w:val="00EF7517"/>
    <w:rsid w:val="00EF75AB"/>
    <w:rsid w:val="00EF7690"/>
    <w:rsid w:val="00EF7B95"/>
    <w:rsid w:val="00F000BA"/>
    <w:rsid w:val="00F003C9"/>
    <w:rsid w:val="00F005A4"/>
    <w:rsid w:val="00F00A8C"/>
    <w:rsid w:val="00F00F0B"/>
    <w:rsid w:val="00F017B1"/>
    <w:rsid w:val="00F01D88"/>
    <w:rsid w:val="00F0212F"/>
    <w:rsid w:val="00F023B3"/>
    <w:rsid w:val="00F02840"/>
    <w:rsid w:val="00F03105"/>
    <w:rsid w:val="00F032E1"/>
    <w:rsid w:val="00F03AC5"/>
    <w:rsid w:val="00F03ACC"/>
    <w:rsid w:val="00F03D06"/>
    <w:rsid w:val="00F03D89"/>
    <w:rsid w:val="00F03ECB"/>
    <w:rsid w:val="00F04078"/>
    <w:rsid w:val="00F04768"/>
    <w:rsid w:val="00F05DF7"/>
    <w:rsid w:val="00F05E78"/>
    <w:rsid w:val="00F05F72"/>
    <w:rsid w:val="00F062E4"/>
    <w:rsid w:val="00F06374"/>
    <w:rsid w:val="00F06A6E"/>
    <w:rsid w:val="00F06C5A"/>
    <w:rsid w:val="00F06C92"/>
    <w:rsid w:val="00F06CEC"/>
    <w:rsid w:val="00F06D35"/>
    <w:rsid w:val="00F0703D"/>
    <w:rsid w:val="00F0714B"/>
    <w:rsid w:val="00F07372"/>
    <w:rsid w:val="00F0774D"/>
    <w:rsid w:val="00F07A12"/>
    <w:rsid w:val="00F07E11"/>
    <w:rsid w:val="00F106AD"/>
    <w:rsid w:val="00F10755"/>
    <w:rsid w:val="00F10783"/>
    <w:rsid w:val="00F1101C"/>
    <w:rsid w:val="00F11034"/>
    <w:rsid w:val="00F11E62"/>
    <w:rsid w:val="00F11F71"/>
    <w:rsid w:val="00F128F0"/>
    <w:rsid w:val="00F12A72"/>
    <w:rsid w:val="00F12BB4"/>
    <w:rsid w:val="00F13077"/>
    <w:rsid w:val="00F13526"/>
    <w:rsid w:val="00F137F7"/>
    <w:rsid w:val="00F139A3"/>
    <w:rsid w:val="00F13A51"/>
    <w:rsid w:val="00F1409B"/>
    <w:rsid w:val="00F141C9"/>
    <w:rsid w:val="00F1448D"/>
    <w:rsid w:val="00F14584"/>
    <w:rsid w:val="00F14623"/>
    <w:rsid w:val="00F14835"/>
    <w:rsid w:val="00F14A4B"/>
    <w:rsid w:val="00F14B46"/>
    <w:rsid w:val="00F14B57"/>
    <w:rsid w:val="00F14BE0"/>
    <w:rsid w:val="00F14D84"/>
    <w:rsid w:val="00F15D84"/>
    <w:rsid w:val="00F15E64"/>
    <w:rsid w:val="00F16C6D"/>
    <w:rsid w:val="00F16EFB"/>
    <w:rsid w:val="00F16F7E"/>
    <w:rsid w:val="00F1701D"/>
    <w:rsid w:val="00F1786F"/>
    <w:rsid w:val="00F17B4A"/>
    <w:rsid w:val="00F17BAC"/>
    <w:rsid w:val="00F17DCF"/>
    <w:rsid w:val="00F17F0B"/>
    <w:rsid w:val="00F20149"/>
    <w:rsid w:val="00F203B1"/>
    <w:rsid w:val="00F20AF4"/>
    <w:rsid w:val="00F20B70"/>
    <w:rsid w:val="00F20BC7"/>
    <w:rsid w:val="00F21043"/>
    <w:rsid w:val="00F2108E"/>
    <w:rsid w:val="00F2143D"/>
    <w:rsid w:val="00F215EF"/>
    <w:rsid w:val="00F217EC"/>
    <w:rsid w:val="00F21AFE"/>
    <w:rsid w:val="00F21B9C"/>
    <w:rsid w:val="00F21CF0"/>
    <w:rsid w:val="00F21E06"/>
    <w:rsid w:val="00F21F84"/>
    <w:rsid w:val="00F2214E"/>
    <w:rsid w:val="00F22387"/>
    <w:rsid w:val="00F2282B"/>
    <w:rsid w:val="00F22B79"/>
    <w:rsid w:val="00F22C77"/>
    <w:rsid w:val="00F22F4F"/>
    <w:rsid w:val="00F231E7"/>
    <w:rsid w:val="00F2377C"/>
    <w:rsid w:val="00F23E6F"/>
    <w:rsid w:val="00F24345"/>
    <w:rsid w:val="00F24CA2"/>
    <w:rsid w:val="00F24CFC"/>
    <w:rsid w:val="00F24F75"/>
    <w:rsid w:val="00F25070"/>
    <w:rsid w:val="00F25114"/>
    <w:rsid w:val="00F25244"/>
    <w:rsid w:val="00F256BA"/>
    <w:rsid w:val="00F25785"/>
    <w:rsid w:val="00F25BBD"/>
    <w:rsid w:val="00F266B4"/>
    <w:rsid w:val="00F26839"/>
    <w:rsid w:val="00F26969"/>
    <w:rsid w:val="00F26B75"/>
    <w:rsid w:val="00F26BB4"/>
    <w:rsid w:val="00F26D12"/>
    <w:rsid w:val="00F272C8"/>
    <w:rsid w:val="00F2731F"/>
    <w:rsid w:val="00F2763A"/>
    <w:rsid w:val="00F27678"/>
    <w:rsid w:val="00F27697"/>
    <w:rsid w:val="00F27922"/>
    <w:rsid w:val="00F30250"/>
    <w:rsid w:val="00F3047A"/>
    <w:rsid w:val="00F30F77"/>
    <w:rsid w:val="00F31195"/>
    <w:rsid w:val="00F31555"/>
    <w:rsid w:val="00F316B5"/>
    <w:rsid w:val="00F31B63"/>
    <w:rsid w:val="00F31E38"/>
    <w:rsid w:val="00F31F13"/>
    <w:rsid w:val="00F321C8"/>
    <w:rsid w:val="00F32690"/>
    <w:rsid w:val="00F3290C"/>
    <w:rsid w:val="00F32A67"/>
    <w:rsid w:val="00F32EDF"/>
    <w:rsid w:val="00F3325B"/>
    <w:rsid w:val="00F334C9"/>
    <w:rsid w:val="00F335D4"/>
    <w:rsid w:val="00F337EA"/>
    <w:rsid w:val="00F33BAE"/>
    <w:rsid w:val="00F33C79"/>
    <w:rsid w:val="00F33CB9"/>
    <w:rsid w:val="00F33ED8"/>
    <w:rsid w:val="00F3418D"/>
    <w:rsid w:val="00F34B69"/>
    <w:rsid w:val="00F34D9C"/>
    <w:rsid w:val="00F35174"/>
    <w:rsid w:val="00F351E2"/>
    <w:rsid w:val="00F3526B"/>
    <w:rsid w:val="00F35464"/>
    <w:rsid w:val="00F35740"/>
    <w:rsid w:val="00F35C68"/>
    <w:rsid w:val="00F35C70"/>
    <w:rsid w:val="00F35E2C"/>
    <w:rsid w:val="00F35E43"/>
    <w:rsid w:val="00F35F82"/>
    <w:rsid w:val="00F35FB0"/>
    <w:rsid w:val="00F3611D"/>
    <w:rsid w:val="00F363BA"/>
    <w:rsid w:val="00F36444"/>
    <w:rsid w:val="00F364A3"/>
    <w:rsid w:val="00F36536"/>
    <w:rsid w:val="00F36616"/>
    <w:rsid w:val="00F368EA"/>
    <w:rsid w:val="00F36D8E"/>
    <w:rsid w:val="00F36F9A"/>
    <w:rsid w:val="00F37600"/>
    <w:rsid w:val="00F4020F"/>
    <w:rsid w:val="00F40ADE"/>
    <w:rsid w:val="00F40CBE"/>
    <w:rsid w:val="00F41895"/>
    <w:rsid w:val="00F41C3A"/>
    <w:rsid w:val="00F41D76"/>
    <w:rsid w:val="00F41FA5"/>
    <w:rsid w:val="00F42034"/>
    <w:rsid w:val="00F42499"/>
    <w:rsid w:val="00F4267F"/>
    <w:rsid w:val="00F4288B"/>
    <w:rsid w:val="00F4356C"/>
    <w:rsid w:val="00F43711"/>
    <w:rsid w:val="00F43975"/>
    <w:rsid w:val="00F44258"/>
    <w:rsid w:val="00F44325"/>
    <w:rsid w:val="00F44622"/>
    <w:rsid w:val="00F44D1F"/>
    <w:rsid w:val="00F44F43"/>
    <w:rsid w:val="00F45016"/>
    <w:rsid w:val="00F45580"/>
    <w:rsid w:val="00F45966"/>
    <w:rsid w:val="00F45CAF"/>
    <w:rsid w:val="00F46129"/>
    <w:rsid w:val="00F464BA"/>
    <w:rsid w:val="00F46549"/>
    <w:rsid w:val="00F4664E"/>
    <w:rsid w:val="00F46AD8"/>
    <w:rsid w:val="00F470F1"/>
    <w:rsid w:val="00F4798A"/>
    <w:rsid w:val="00F47A28"/>
    <w:rsid w:val="00F47A6F"/>
    <w:rsid w:val="00F47D18"/>
    <w:rsid w:val="00F47FAA"/>
    <w:rsid w:val="00F5009A"/>
    <w:rsid w:val="00F502AF"/>
    <w:rsid w:val="00F502C4"/>
    <w:rsid w:val="00F50648"/>
    <w:rsid w:val="00F50A74"/>
    <w:rsid w:val="00F50B19"/>
    <w:rsid w:val="00F50BCF"/>
    <w:rsid w:val="00F50E89"/>
    <w:rsid w:val="00F50F30"/>
    <w:rsid w:val="00F5172B"/>
    <w:rsid w:val="00F51C21"/>
    <w:rsid w:val="00F51F36"/>
    <w:rsid w:val="00F51FE2"/>
    <w:rsid w:val="00F52029"/>
    <w:rsid w:val="00F52179"/>
    <w:rsid w:val="00F52345"/>
    <w:rsid w:val="00F526DF"/>
    <w:rsid w:val="00F5273D"/>
    <w:rsid w:val="00F5284F"/>
    <w:rsid w:val="00F52E08"/>
    <w:rsid w:val="00F52FAC"/>
    <w:rsid w:val="00F53009"/>
    <w:rsid w:val="00F53032"/>
    <w:rsid w:val="00F53230"/>
    <w:rsid w:val="00F53971"/>
    <w:rsid w:val="00F53C8F"/>
    <w:rsid w:val="00F53D96"/>
    <w:rsid w:val="00F543A3"/>
    <w:rsid w:val="00F54754"/>
    <w:rsid w:val="00F5494F"/>
    <w:rsid w:val="00F54A3E"/>
    <w:rsid w:val="00F54EEC"/>
    <w:rsid w:val="00F54F6B"/>
    <w:rsid w:val="00F550BE"/>
    <w:rsid w:val="00F55326"/>
    <w:rsid w:val="00F5568B"/>
    <w:rsid w:val="00F55944"/>
    <w:rsid w:val="00F5598F"/>
    <w:rsid w:val="00F55A47"/>
    <w:rsid w:val="00F55A7E"/>
    <w:rsid w:val="00F563F3"/>
    <w:rsid w:val="00F56901"/>
    <w:rsid w:val="00F56C69"/>
    <w:rsid w:val="00F56C7F"/>
    <w:rsid w:val="00F56CA3"/>
    <w:rsid w:val="00F56FD5"/>
    <w:rsid w:val="00F571E4"/>
    <w:rsid w:val="00F578EF"/>
    <w:rsid w:val="00F57B6C"/>
    <w:rsid w:val="00F57C80"/>
    <w:rsid w:val="00F57DAC"/>
    <w:rsid w:val="00F57FDC"/>
    <w:rsid w:val="00F604F4"/>
    <w:rsid w:val="00F6062B"/>
    <w:rsid w:val="00F606AD"/>
    <w:rsid w:val="00F60D42"/>
    <w:rsid w:val="00F616AD"/>
    <w:rsid w:val="00F61AF5"/>
    <w:rsid w:val="00F61F33"/>
    <w:rsid w:val="00F620A8"/>
    <w:rsid w:val="00F62533"/>
    <w:rsid w:val="00F62938"/>
    <w:rsid w:val="00F62D84"/>
    <w:rsid w:val="00F630AE"/>
    <w:rsid w:val="00F630B2"/>
    <w:rsid w:val="00F63111"/>
    <w:rsid w:val="00F633B5"/>
    <w:rsid w:val="00F633B9"/>
    <w:rsid w:val="00F63932"/>
    <w:rsid w:val="00F63A99"/>
    <w:rsid w:val="00F63B2C"/>
    <w:rsid w:val="00F641E4"/>
    <w:rsid w:val="00F6427D"/>
    <w:rsid w:val="00F644E9"/>
    <w:rsid w:val="00F6460A"/>
    <w:rsid w:val="00F6470F"/>
    <w:rsid w:val="00F64ADA"/>
    <w:rsid w:val="00F64DEE"/>
    <w:rsid w:val="00F653D9"/>
    <w:rsid w:val="00F65C10"/>
    <w:rsid w:val="00F65EA8"/>
    <w:rsid w:val="00F660AE"/>
    <w:rsid w:val="00F664A0"/>
    <w:rsid w:val="00F665B5"/>
    <w:rsid w:val="00F666D0"/>
    <w:rsid w:val="00F666D1"/>
    <w:rsid w:val="00F667F1"/>
    <w:rsid w:val="00F66AEE"/>
    <w:rsid w:val="00F66D8C"/>
    <w:rsid w:val="00F66FB2"/>
    <w:rsid w:val="00F66FF2"/>
    <w:rsid w:val="00F67529"/>
    <w:rsid w:val="00F67801"/>
    <w:rsid w:val="00F67D8D"/>
    <w:rsid w:val="00F70784"/>
    <w:rsid w:val="00F707D8"/>
    <w:rsid w:val="00F70B40"/>
    <w:rsid w:val="00F70C03"/>
    <w:rsid w:val="00F712C9"/>
    <w:rsid w:val="00F7138B"/>
    <w:rsid w:val="00F71465"/>
    <w:rsid w:val="00F715E5"/>
    <w:rsid w:val="00F71AD2"/>
    <w:rsid w:val="00F71C29"/>
    <w:rsid w:val="00F71DC8"/>
    <w:rsid w:val="00F7209C"/>
    <w:rsid w:val="00F7283C"/>
    <w:rsid w:val="00F72B0E"/>
    <w:rsid w:val="00F72BC4"/>
    <w:rsid w:val="00F72D05"/>
    <w:rsid w:val="00F7316C"/>
    <w:rsid w:val="00F733FB"/>
    <w:rsid w:val="00F73B89"/>
    <w:rsid w:val="00F73C21"/>
    <w:rsid w:val="00F740BC"/>
    <w:rsid w:val="00F742F1"/>
    <w:rsid w:val="00F743C9"/>
    <w:rsid w:val="00F74B16"/>
    <w:rsid w:val="00F74B80"/>
    <w:rsid w:val="00F75E4B"/>
    <w:rsid w:val="00F75F35"/>
    <w:rsid w:val="00F76146"/>
    <w:rsid w:val="00F76159"/>
    <w:rsid w:val="00F76850"/>
    <w:rsid w:val="00F7689E"/>
    <w:rsid w:val="00F76B67"/>
    <w:rsid w:val="00F76C44"/>
    <w:rsid w:val="00F76FDB"/>
    <w:rsid w:val="00F77534"/>
    <w:rsid w:val="00F77582"/>
    <w:rsid w:val="00F77868"/>
    <w:rsid w:val="00F77957"/>
    <w:rsid w:val="00F802D1"/>
    <w:rsid w:val="00F80692"/>
    <w:rsid w:val="00F8078A"/>
    <w:rsid w:val="00F80812"/>
    <w:rsid w:val="00F80AB2"/>
    <w:rsid w:val="00F80D1C"/>
    <w:rsid w:val="00F811BB"/>
    <w:rsid w:val="00F8175A"/>
    <w:rsid w:val="00F81808"/>
    <w:rsid w:val="00F81CBE"/>
    <w:rsid w:val="00F81F00"/>
    <w:rsid w:val="00F821D4"/>
    <w:rsid w:val="00F82388"/>
    <w:rsid w:val="00F8248E"/>
    <w:rsid w:val="00F82579"/>
    <w:rsid w:val="00F82BE6"/>
    <w:rsid w:val="00F830E7"/>
    <w:rsid w:val="00F834A6"/>
    <w:rsid w:val="00F83B19"/>
    <w:rsid w:val="00F83B29"/>
    <w:rsid w:val="00F83EDB"/>
    <w:rsid w:val="00F841B9"/>
    <w:rsid w:val="00F84245"/>
    <w:rsid w:val="00F84D87"/>
    <w:rsid w:val="00F84DAF"/>
    <w:rsid w:val="00F861A6"/>
    <w:rsid w:val="00F865A9"/>
    <w:rsid w:val="00F866E4"/>
    <w:rsid w:val="00F8670E"/>
    <w:rsid w:val="00F867E4"/>
    <w:rsid w:val="00F868EC"/>
    <w:rsid w:val="00F86ABC"/>
    <w:rsid w:val="00F86D6D"/>
    <w:rsid w:val="00F87404"/>
    <w:rsid w:val="00F87497"/>
    <w:rsid w:val="00F876BD"/>
    <w:rsid w:val="00F879A2"/>
    <w:rsid w:val="00F87ACB"/>
    <w:rsid w:val="00F87ADC"/>
    <w:rsid w:val="00F87CF7"/>
    <w:rsid w:val="00F90073"/>
    <w:rsid w:val="00F9024A"/>
    <w:rsid w:val="00F90497"/>
    <w:rsid w:val="00F90DD2"/>
    <w:rsid w:val="00F91389"/>
    <w:rsid w:val="00F9139E"/>
    <w:rsid w:val="00F914DC"/>
    <w:rsid w:val="00F91668"/>
    <w:rsid w:val="00F91F49"/>
    <w:rsid w:val="00F92074"/>
    <w:rsid w:val="00F9288A"/>
    <w:rsid w:val="00F928B9"/>
    <w:rsid w:val="00F92C53"/>
    <w:rsid w:val="00F9351B"/>
    <w:rsid w:val="00F938E9"/>
    <w:rsid w:val="00F93AD2"/>
    <w:rsid w:val="00F93E3A"/>
    <w:rsid w:val="00F9428F"/>
    <w:rsid w:val="00F9453C"/>
    <w:rsid w:val="00F94B62"/>
    <w:rsid w:val="00F9517F"/>
    <w:rsid w:val="00F95702"/>
    <w:rsid w:val="00F9576E"/>
    <w:rsid w:val="00F95B2C"/>
    <w:rsid w:val="00F95BE1"/>
    <w:rsid w:val="00F95CB3"/>
    <w:rsid w:val="00F9603D"/>
    <w:rsid w:val="00F96646"/>
    <w:rsid w:val="00F969D1"/>
    <w:rsid w:val="00F96A2F"/>
    <w:rsid w:val="00F96B58"/>
    <w:rsid w:val="00F96B7D"/>
    <w:rsid w:val="00F96BD6"/>
    <w:rsid w:val="00F96D06"/>
    <w:rsid w:val="00F9711A"/>
    <w:rsid w:val="00F976CC"/>
    <w:rsid w:val="00F97ABD"/>
    <w:rsid w:val="00F97BAA"/>
    <w:rsid w:val="00F97BBC"/>
    <w:rsid w:val="00F97E1E"/>
    <w:rsid w:val="00FA012C"/>
    <w:rsid w:val="00FA0491"/>
    <w:rsid w:val="00FA049C"/>
    <w:rsid w:val="00FA05D7"/>
    <w:rsid w:val="00FA0819"/>
    <w:rsid w:val="00FA0841"/>
    <w:rsid w:val="00FA099F"/>
    <w:rsid w:val="00FA09D8"/>
    <w:rsid w:val="00FA0A53"/>
    <w:rsid w:val="00FA0D76"/>
    <w:rsid w:val="00FA0F6B"/>
    <w:rsid w:val="00FA0F9C"/>
    <w:rsid w:val="00FA18FA"/>
    <w:rsid w:val="00FA23BE"/>
    <w:rsid w:val="00FA2518"/>
    <w:rsid w:val="00FA2A05"/>
    <w:rsid w:val="00FA2FF5"/>
    <w:rsid w:val="00FA306A"/>
    <w:rsid w:val="00FA323A"/>
    <w:rsid w:val="00FA3317"/>
    <w:rsid w:val="00FA338A"/>
    <w:rsid w:val="00FA39AC"/>
    <w:rsid w:val="00FA3CEE"/>
    <w:rsid w:val="00FA3EAE"/>
    <w:rsid w:val="00FA419C"/>
    <w:rsid w:val="00FA4473"/>
    <w:rsid w:val="00FA44CD"/>
    <w:rsid w:val="00FA4961"/>
    <w:rsid w:val="00FA4B9D"/>
    <w:rsid w:val="00FA567A"/>
    <w:rsid w:val="00FA58E2"/>
    <w:rsid w:val="00FA5EB3"/>
    <w:rsid w:val="00FA6167"/>
    <w:rsid w:val="00FA62D1"/>
    <w:rsid w:val="00FA6576"/>
    <w:rsid w:val="00FA682A"/>
    <w:rsid w:val="00FA6AF4"/>
    <w:rsid w:val="00FA6B11"/>
    <w:rsid w:val="00FA6E0D"/>
    <w:rsid w:val="00FA7103"/>
    <w:rsid w:val="00FA77D9"/>
    <w:rsid w:val="00FA7855"/>
    <w:rsid w:val="00FA798A"/>
    <w:rsid w:val="00FA7BC3"/>
    <w:rsid w:val="00FA7D90"/>
    <w:rsid w:val="00FA7DA1"/>
    <w:rsid w:val="00FB0090"/>
    <w:rsid w:val="00FB02EE"/>
    <w:rsid w:val="00FB07C9"/>
    <w:rsid w:val="00FB149B"/>
    <w:rsid w:val="00FB176A"/>
    <w:rsid w:val="00FB1A07"/>
    <w:rsid w:val="00FB2212"/>
    <w:rsid w:val="00FB222B"/>
    <w:rsid w:val="00FB2930"/>
    <w:rsid w:val="00FB2B09"/>
    <w:rsid w:val="00FB33BD"/>
    <w:rsid w:val="00FB34EE"/>
    <w:rsid w:val="00FB3B8F"/>
    <w:rsid w:val="00FB3D60"/>
    <w:rsid w:val="00FB405B"/>
    <w:rsid w:val="00FB426E"/>
    <w:rsid w:val="00FB4364"/>
    <w:rsid w:val="00FB44FF"/>
    <w:rsid w:val="00FB4C5F"/>
    <w:rsid w:val="00FB5180"/>
    <w:rsid w:val="00FB5183"/>
    <w:rsid w:val="00FB542A"/>
    <w:rsid w:val="00FB5D8C"/>
    <w:rsid w:val="00FB602F"/>
    <w:rsid w:val="00FB6144"/>
    <w:rsid w:val="00FB6386"/>
    <w:rsid w:val="00FB6780"/>
    <w:rsid w:val="00FB6D1A"/>
    <w:rsid w:val="00FB6F54"/>
    <w:rsid w:val="00FB704D"/>
    <w:rsid w:val="00FB7086"/>
    <w:rsid w:val="00FB714C"/>
    <w:rsid w:val="00FB7153"/>
    <w:rsid w:val="00FB73E1"/>
    <w:rsid w:val="00FB7806"/>
    <w:rsid w:val="00FB7AA0"/>
    <w:rsid w:val="00FB7F7A"/>
    <w:rsid w:val="00FC063B"/>
    <w:rsid w:val="00FC0EE2"/>
    <w:rsid w:val="00FC11D2"/>
    <w:rsid w:val="00FC1BB4"/>
    <w:rsid w:val="00FC1D4B"/>
    <w:rsid w:val="00FC21A6"/>
    <w:rsid w:val="00FC21D2"/>
    <w:rsid w:val="00FC2585"/>
    <w:rsid w:val="00FC2856"/>
    <w:rsid w:val="00FC294F"/>
    <w:rsid w:val="00FC2A1B"/>
    <w:rsid w:val="00FC2B75"/>
    <w:rsid w:val="00FC312D"/>
    <w:rsid w:val="00FC3206"/>
    <w:rsid w:val="00FC3847"/>
    <w:rsid w:val="00FC4206"/>
    <w:rsid w:val="00FC4312"/>
    <w:rsid w:val="00FC48AB"/>
    <w:rsid w:val="00FC4A31"/>
    <w:rsid w:val="00FC4BEF"/>
    <w:rsid w:val="00FC5455"/>
    <w:rsid w:val="00FC5636"/>
    <w:rsid w:val="00FC5836"/>
    <w:rsid w:val="00FC5871"/>
    <w:rsid w:val="00FC58C7"/>
    <w:rsid w:val="00FC5B61"/>
    <w:rsid w:val="00FC5C7F"/>
    <w:rsid w:val="00FC628D"/>
    <w:rsid w:val="00FC62F3"/>
    <w:rsid w:val="00FC66CA"/>
    <w:rsid w:val="00FC68BA"/>
    <w:rsid w:val="00FC6BBA"/>
    <w:rsid w:val="00FC6D1A"/>
    <w:rsid w:val="00FC7071"/>
    <w:rsid w:val="00FC70BC"/>
    <w:rsid w:val="00FC7344"/>
    <w:rsid w:val="00FC7471"/>
    <w:rsid w:val="00FC75F1"/>
    <w:rsid w:val="00FC7763"/>
    <w:rsid w:val="00FC780B"/>
    <w:rsid w:val="00FC7966"/>
    <w:rsid w:val="00FC79CC"/>
    <w:rsid w:val="00FC79E8"/>
    <w:rsid w:val="00FC7AF0"/>
    <w:rsid w:val="00FC7DC5"/>
    <w:rsid w:val="00FD02B0"/>
    <w:rsid w:val="00FD034F"/>
    <w:rsid w:val="00FD0A36"/>
    <w:rsid w:val="00FD109B"/>
    <w:rsid w:val="00FD122C"/>
    <w:rsid w:val="00FD1574"/>
    <w:rsid w:val="00FD1769"/>
    <w:rsid w:val="00FD192F"/>
    <w:rsid w:val="00FD1C87"/>
    <w:rsid w:val="00FD1E46"/>
    <w:rsid w:val="00FD1F80"/>
    <w:rsid w:val="00FD2BBC"/>
    <w:rsid w:val="00FD2BEE"/>
    <w:rsid w:val="00FD2DBD"/>
    <w:rsid w:val="00FD31A9"/>
    <w:rsid w:val="00FD3817"/>
    <w:rsid w:val="00FD394D"/>
    <w:rsid w:val="00FD3C0E"/>
    <w:rsid w:val="00FD4619"/>
    <w:rsid w:val="00FD464C"/>
    <w:rsid w:val="00FD4907"/>
    <w:rsid w:val="00FD50B2"/>
    <w:rsid w:val="00FD58B3"/>
    <w:rsid w:val="00FD5A75"/>
    <w:rsid w:val="00FD5D9C"/>
    <w:rsid w:val="00FD5E97"/>
    <w:rsid w:val="00FD616D"/>
    <w:rsid w:val="00FD6941"/>
    <w:rsid w:val="00FD6D32"/>
    <w:rsid w:val="00FD6DD0"/>
    <w:rsid w:val="00FD6E2F"/>
    <w:rsid w:val="00FD6F66"/>
    <w:rsid w:val="00FD7231"/>
    <w:rsid w:val="00FD72A4"/>
    <w:rsid w:val="00FD7886"/>
    <w:rsid w:val="00FD78BD"/>
    <w:rsid w:val="00FD7D86"/>
    <w:rsid w:val="00FE00AB"/>
    <w:rsid w:val="00FE0685"/>
    <w:rsid w:val="00FE0CB3"/>
    <w:rsid w:val="00FE0D60"/>
    <w:rsid w:val="00FE12B8"/>
    <w:rsid w:val="00FE14DD"/>
    <w:rsid w:val="00FE1BA4"/>
    <w:rsid w:val="00FE1BB2"/>
    <w:rsid w:val="00FE2180"/>
    <w:rsid w:val="00FE231D"/>
    <w:rsid w:val="00FE2914"/>
    <w:rsid w:val="00FE2A1B"/>
    <w:rsid w:val="00FE2CDB"/>
    <w:rsid w:val="00FE3ADB"/>
    <w:rsid w:val="00FE3D52"/>
    <w:rsid w:val="00FE3D73"/>
    <w:rsid w:val="00FE3E2E"/>
    <w:rsid w:val="00FE3EEF"/>
    <w:rsid w:val="00FE463F"/>
    <w:rsid w:val="00FE46B4"/>
    <w:rsid w:val="00FE4D54"/>
    <w:rsid w:val="00FE4E4B"/>
    <w:rsid w:val="00FE4F22"/>
    <w:rsid w:val="00FE4F2F"/>
    <w:rsid w:val="00FE50F7"/>
    <w:rsid w:val="00FE514F"/>
    <w:rsid w:val="00FE53EE"/>
    <w:rsid w:val="00FE581A"/>
    <w:rsid w:val="00FE5B16"/>
    <w:rsid w:val="00FE5CF6"/>
    <w:rsid w:val="00FE5D6A"/>
    <w:rsid w:val="00FE6062"/>
    <w:rsid w:val="00FE63B7"/>
    <w:rsid w:val="00FE68D5"/>
    <w:rsid w:val="00FE69A8"/>
    <w:rsid w:val="00FE6B24"/>
    <w:rsid w:val="00FE6BC3"/>
    <w:rsid w:val="00FE6DEE"/>
    <w:rsid w:val="00FE72F6"/>
    <w:rsid w:val="00FE73E6"/>
    <w:rsid w:val="00FE788B"/>
    <w:rsid w:val="00FE7C2D"/>
    <w:rsid w:val="00FF0ACD"/>
    <w:rsid w:val="00FF0BAC"/>
    <w:rsid w:val="00FF0CD9"/>
    <w:rsid w:val="00FF157D"/>
    <w:rsid w:val="00FF17D4"/>
    <w:rsid w:val="00FF18D5"/>
    <w:rsid w:val="00FF1E46"/>
    <w:rsid w:val="00FF230B"/>
    <w:rsid w:val="00FF2864"/>
    <w:rsid w:val="00FF295E"/>
    <w:rsid w:val="00FF2AE6"/>
    <w:rsid w:val="00FF3171"/>
    <w:rsid w:val="00FF3402"/>
    <w:rsid w:val="00FF3515"/>
    <w:rsid w:val="00FF38C5"/>
    <w:rsid w:val="00FF3DD0"/>
    <w:rsid w:val="00FF405C"/>
    <w:rsid w:val="00FF4979"/>
    <w:rsid w:val="00FF4A7F"/>
    <w:rsid w:val="00FF4B9E"/>
    <w:rsid w:val="00FF5558"/>
    <w:rsid w:val="00FF55AF"/>
    <w:rsid w:val="00FF55C8"/>
    <w:rsid w:val="00FF6644"/>
    <w:rsid w:val="00FF679A"/>
    <w:rsid w:val="00FF6832"/>
    <w:rsid w:val="00FF6C17"/>
    <w:rsid w:val="00FF6F85"/>
    <w:rsid w:val="00FF73AE"/>
    <w:rsid w:val="00FF73FD"/>
    <w:rsid w:val="00FF7407"/>
    <w:rsid w:val="00FF756C"/>
    <w:rsid w:val="00FF7D00"/>
    <w:rsid w:val="00FF7EBB"/>
    <w:rsid w:val="019422A6"/>
    <w:rsid w:val="01A47FEF"/>
    <w:rsid w:val="020B3CA3"/>
    <w:rsid w:val="036F2398"/>
    <w:rsid w:val="055A5C14"/>
    <w:rsid w:val="05AF61CB"/>
    <w:rsid w:val="07277F9F"/>
    <w:rsid w:val="0BD55CB2"/>
    <w:rsid w:val="0C6F0253"/>
    <w:rsid w:val="0DCD2E38"/>
    <w:rsid w:val="0E8B34BF"/>
    <w:rsid w:val="0EA67A84"/>
    <w:rsid w:val="0EB00737"/>
    <w:rsid w:val="0EC013D7"/>
    <w:rsid w:val="0F097241"/>
    <w:rsid w:val="0FD5012A"/>
    <w:rsid w:val="11BF1446"/>
    <w:rsid w:val="122D3EAF"/>
    <w:rsid w:val="126533BB"/>
    <w:rsid w:val="13FD150A"/>
    <w:rsid w:val="14A21318"/>
    <w:rsid w:val="15A5514E"/>
    <w:rsid w:val="160543AE"/>
    <w:rsid w:val="16F72CB9"/>
    <w:rsid w:val="17245FF7"/>
    <w:rsid w:val="17874A7A"/>
    <w:rsid w:val="17DF7434"/>
    <w:rsid w:val="1A3851B5"/>
    <w:rsid w:val="1AA01560"/>
    <w:rsid w:val="1BA90DB7"/>
    <w:rsid w:val="1BD34104"/>
    <w:rsid w:val="1D903E12"/>
    <w:rsid w:val="1EA23499"/>
    <w:rsid w:val="1FE95D57"/>
    <w:rsid w:val="21254871"/>
    <w:rsid w:val="21432395"/>
    <w:rsid w:val="219114E1"/>
    <w:rsid w:val="21DB7963"/>
    <w:rsid w:val="22313065"/>
    <w:rsid w:val="22631838"/>
    <w:rsid w:val="2270387C"/>
    <w:rsid w:val="23774B67"/>
    <w:rsid w:val="23CB16FF"/>
    <w:rsid w:val="245C4A4D"/>
    <w:rsid w:val="256F6369"/>
    <w:rsid w:val="25A71015"/>
    <w:rsid w:val="25E80596"/>
    <w:rsid w:val="260D383B"/>
    <w:rsid w:val="263A2B6C"/>
    <w:rsid w:val="263B17C8"/>
    <w:rsid w:val="269167D3"/>
    <w:rsid w:val="26BB6249"/>
    <w:rsid w:val="26E3095E"/>
    <w:rsid w:val="281A3238"/>
    <w:rsid w:val="28BF6E9C"/>
    <w:rsid w:val="28E12AAF"/>
    <w:rsid w:val="299D52CE"/>
    <w:rsid w:val="2A3C7759"/>
    <w:rsid w:val="2AA41C28"/>
    <w:rsid w:val="2DD578EF"/>
    <w:rsid w:val="2E4A1577"/>
    <w:rsid w:val="2EE63891"/>
    <w:rsid w:val="2FBA6AEB"/>
    <w:rsid w:val="30542084"/>
    <w:rsid w:val="30924F9F"/>
    <w:rsid w:val="32193BA3"/>
    <w:rsid w:val="33B03C1D"/>
    <w:rsid w:val="34C8704A"/>
    <w:rsid w:val="352E4626"/>
    <w:rsid w:val="3B533ACA"/>
    <w:rsid w:val="3BD936F1"/>
    <w:rsid w:val="3CEA5045"/>
    <w:rsid w:val="3DCB6307"/>
    <w:rsid w:val="3E62573F"/>
    <w:rsid w:val="3F073682"/>
    <w:rsid w:val="415831D0"/>
    <w:rsid w:val="416720C9"/>
    <w:rsid w:val="426B20BE"/>
    <w:rsid w:val="44004F9E"/>
    <w:rsid w:val="441E63FE"/>
    <w:rsid w:val="44687A85"/>
    <w:rsid w:val="44B60C31"/>
    <w:rsid w:val="44CF05DE"/>
    <w:rsid w:val="45992680"/>
    <w:rsid w:val="45DA3B17"/>
    <w:rsid w:val="46DA4082"/>
    <w:rsid w:val="47742FA8"/>
    <w:rsid w:val="47D01EDF"/>
    <w:rsid w:val="47FD1AB4"/>
    <w:rsid w:val="48984F57"/>
    <w:rsid w:val="48E757E7"/>
    <w:rsid w:val="4ABD0879"/>
    <w:rsid w:val="4BFD69BF"/>
    <w:rsid w:val="4C18525B"/>
    <w:rsid w:val="4C467730"/>
    <w:rsid w:val="4D3806BD"/>
    <w:rsid w:val="4E1B3EF5"/>
    <w:rsid w:val="4EE97039"/>
    <w:rsid w:val="50107715"/>
    <w:rsid w:val="506B4678"/>
    <w:rsid w:val="50875053"/>
    <w:rsid w:val="51660B07"/>
    <w:rsid w:val="52B21504"/>
    <w:rsid w:val="538E5A76"/>
    <w:rsid w:val="53FD6E04"/>
    <w:rsid w:val="54481B69"/>
    <w:rsid w:val="545A561D"/>
    <w:rsid w:val="55093596"/>
    <w:rsid w:val="55DE7A8C"/>
    <w:rsid w:val="5764572A"/>
    <w:rsid w:val="5A9E0C11"/>
    <w:rsid w:val="619D4A7D"/>
    <w:rsid w:val="62084158"/>
    <w:rsid w:val="62D37C04"/>
    <w:rsid w:val="631B15B3"/>
    <w:rsid w:val="63635F95"/>
    <w:rsid w:val="655853F4"/>
    <w:rsid w:val="66E777E3"/>
    <w:rsid w:val="68C72DF3"/>
    <w:rsid w:val="68CE14B1"/>
    <w:rsid w:val="6ADB2042"/>
    <w:rsid w:val="6C152D75"/>
    <w:rsid w:val="6D0F5D7A"/>
    <w:rsid w:val="6D290774"/>
    <w:rsid w:val="6F296AE3"/>
    <w:rsid w:val="708232E0"/>
    <w:rsid w:val="71377096"/>
    <w:rsid w:val="72A37B04"/>
    <w:rsid w:val="74DC3928"/>
    <w:rsid w:val="762C0527"/>
    <w:rsid w:val="77627814"/>
    <w:rsid w:val="77A10BC2"/>
    <w:rsid w:val="79202621"/>
    <w:rsid w:val="798058E5"/>
    <w:rsid w:val="799637BE"/>
    <w:rsid w:val="79FA3E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0" w:semiHidden="0" w:name="endnote reference"/>
    <w:lsdException w:qFormat="1" w:unhideWhenUsed="0" w:uiPriority="0" w:semiHidden="0" w:name="endnote text"/>
    <w:lsdException w:uiPriority="99" w:name="table of authorities"/>
    <w:lsdException w:uiPriority="99" w:name="macro"/>
    <w:lsdException w:qFormat="1" w:uiPriority="99"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qFormat="1" w:unhideWhenUsed="0" w:uiPriority="0" w:semiHidden="0"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7"/>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68"/>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69"/>
    <w:qFormat/>
    <w:uiPriority w:val="9"/>
    <w:pPr>
      <w:tabs>
        <w:tab w:val="left" w:pos="315"/>
      </w:tabs>
      <w:spacing w:before="120" w:after="120"/>
      <w:outlineLvl w:val="3"/>
    </w:pPr>
    <w:rPr>
      <w:rFonts w:ascii="Cambria" w:hAnsi="Cambria" w:eastAsia="黑体"/>
      <w:bCs/>
      <w:sz w:val="24"/>
      <w:szCs w:val="28"/>
    </w:rPr>
  </w:style>
  <w:style w:type="paragraph" w:styleId="6">
    <w:name w:val="heading 5"/>
    <w:basedOn w:val="1"/>
    <w:next w:val="1"/>
    <w:link w:val="70"/>
    <w:qFormat/>
    <w:uiPriority w:val="9"/>
    <w:pPr>
      <w:tabs>
        <w:tab w:val="left" w:pos="420"/>
      </w:tabs>
      <w:spacing w:beforeLines="50" w:afterLines="50"/>
      <w:outlineLvl w:val="4"/>
    </w:pPr>
    <w:rPr>
      <w:bCs/>
      <w:szCs w:val="28"/>
    </w:rPr>
  </w:style>
  <w:style w:type="paragraph" w:styleId="7">
    <w:name w:val="heading 6"/>
    <w:basedOn w:val="1"/>
    <w:next w:val="1"/>
    <w:link w:val="71"/>
    <w:qFormat/>
    <w:uiPriority w:val="9"/>
    <w:pPr>
      <w:tabs>
        <w:tab w:val="left" w:pos="945"/>
      </w:tabs>
      <w:outlineLvl w:val="5"/>
    </w:pPr>
    <w:rPr>
      <w:rFonts w:ascii="Cambria" w:hAnsi="Cambria"/>
      <w:bCs/>
      <w:szCs w:val="24"/>
    </w:rPr>
  </w:style>
  <w:style w:type="paragraph" w:styleId="8">
    <w:name w:val="heading 7"/>
    <w:basedOn w:val="1"/>
    <w:next w:val="1"/>
    <w:link w:val="242"/>
    <w:qFormat/>
    <w:uiPriority w:val="0"/>
    <w:pPr>
      <w:keepNext/>
      <w:keepLines/>
      <w:widowControl/>
      <w:tabs>
        <w:tab w:val="left" w:pos="2520"/>
      </w:tabs>
      <w:spacing w:before="240" w:after="64" w:line="320" w:lineRule="auto"/>
      <w:ind w:left="1296" w:hanging="1296"/>
      <w:jc w:val="center"/>
      <w:outlineLvl w:val="6"/>
    </w:pPr>
    <w:rPr>
      <w:rFonts w:ascii="Times New Roman" w:hAnsi="Times New Roman"/>
      <w:bCs/>
      <w:kern w:val="0"/>
      <w:sz w:val="24"/>
      <w:szCs w:val="24"/>
    </w:rPr>
  </w:style>
  <w:style w:type="paragraph" w:styleId="9">
    <w:name w:val="heading 8"/>
    <w:basedOn w:val="1"/>
    <w:next w:val="1"/>
    <w:link w:val="243"/>
    <w:qFormat/>
    <w:uiPriority w:val="0"/>
    <w:pPr>
      <w:keepNext/>
      <w:keepLines/>
      <w:widowControl/>
      <w:tabs>
        <w:tab w:val="left" w:pos="1440"/>
      </w:tabs>
      <w:spacing w:before="240" w:after="64" w:line="320" w:lineRule="auto"/>
      <w:ind w:left="1440" w:hanging="1440"/>
      <w:jc w:val="center"/>
      <w:outlineLvl w:val="7"/>
    </w:pPr>
    <w:rPr>
      <w:rFonts w:ascii="Arial" w:hAnsi="Arial" w:eastAsia="黑体"/>
      <w:b/>
      <w:kern w:val="0"/>
      <w:sz w:val="24"/>
      <w:szCs w:val="24"/>
    </w:rPr>
  </w:style>
  <w:style w:type="paragraph" w:styleId="10">
    <w:name w:val="heading 9"/>
    <w:basedOn w:val="1"/>
    <w:next w:val="1"/>
    <w:link w:val="244"/>
    <w:qFormat/>
    <w:uiPriority w:val="0"/>
    <w:pPr>
      <w:keepNext/>
      <w:keepLines/>
      <w:widowControl/>
      <w:tabs>
        <w:tab w:val="left" w:pos="1584"/>
      </w:tabs>
      <w:spacing w:before="240" w:after="64" w:line="320" w:lineRule="auto"/>
      <w:ind w:left="1584" w:hanging="1584"/>
      <w:jc w:val="center"/>
      <w:outlineLvl w:val="8"/>
    </w:pPr>
    <w:rPr>
      <w:rFonts w:ascii="Arial" w:hAnsi="Arial" w:eastAsia="黑体"/>
      <w:b/>
      <w:kern w:val="0"/>
      <w:szCs w:val="21"/>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szCs w:val="24"/>
    </w:rPr>
  </w:style>
  <w:style w:type="paragraph" w:styleId="12">
    <w:name w:val="toc 7"/>
    <w:basedOn w:val="1"/>
    <w:next w:val="1"/>
    <w:unhideWhenUsed/>
    <w:qFormat/>
    <w:uiPriority w:val="39"/>
    <w:pPr>
      <w:ind w:left="1050"/>
      <w:jc w:val="left"/>
    </w:pPr>
    <w:rPr>
      <w:rFonts w:asciiTheme="minorHAnsi" w:eastAsiaTheme="minorHAnsi"/>
      <w:sz w:val="20"/>
      <w:szCs w:val="20"/>
    </w:rPr>
  </w:style>
  <w:style w:type="paragraph" w:styleId="13">
    <w:name w:val="Normal Indent"/>
    <w:basedOn w:val="1"/>
    <w:qFormat/>
    <w:uiPriority w:val="0"/>
    <w:pPr>
      <w:widowControl/>
      <w:ind w:firstLine="420" w:firstLineChars="200"/>
      <w:jc w:val="center"/>
    </w:pPr>
    <w:rPr>
      <w:rFonts w:ascii="Times New Roman" w:hAnsi="Times New Roman"/>
      <w:b/>
      <w:kern w:val="0"/>
      <w:sz w:val="44"/>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255"/>
    <w:qFormat/>
    <w:uiPriority w:val="0"/>
    <w:pPr>
      <w:shd w:val="clear" w:color="auto" w:fill="000080"/>
    </w:pPr>
  </w:style>
  <w:style w:type="paragraph" w:styleId="16">
    <w:name w:val="toa heading"/>
    <w:basedOn w:val="1"/>
    <w:next w:val="1"/>
    <w:unhideWhenUsed/>
    <w:qFormat/>
    <w:uiPriority w:val="99"/>
    <w:pPr>
      <w:spacing w:before="120"/>
    </w:pPr>
    <w:rPr>
      <w:rFonts w:ascii="Cambria" w:hAnsi="Cambria"/>
      <w:sz w:val="24"/>
      <w:szCs w:val="24"/>
    </w:rPr>
  </w:style>
  <w:style w:type="paragraph" w:styleId="17">
    <w:name w:val="annotation text"/>
    <w:basedOn w:val="1"/>
    <w:link w:val="247"/>
    <w:qFormat/>
    <w:uiPriority w:val="0"/>
    <w:pPr>
      <w:jc w:val="left"/>
    </w:pPr>
  </w:style>
  <w:style w:type="paragraph" w:styleId="18">
    <w:name w:val="Body Text 3"/>
    <w:basedOn w:val="1"/>
    <w:link w:val="238"/>
    <w:qFormat/>
    <w:uiPriority w:val="0"/>
    <w:rPr>
      <w:rFonts w:ascii="宋体" w:hAnsi="Times New Roman"/>
      <w:sz w:val="24"/>
      <w:szCs w:val="20"/>
    </w:rPr>
  </w:style>
  <w:style w:type="paragraph" w:styleId="19">
    <w:name w:val="Body Text"/>
    <w:basedOn w:val="1"/>
    <w:link w:val="72"/>
    <w:qFormat/>
    <w:uiPriority w:val="0"/>
    <w:rPr>
      <w:rFonts w:ascii="Times New Roman" w:hAnsi="Times New Roman"/>
      <w:sz w:val="28"/>
      <w:szCs w:val="24"/>
    </w:rPr>
  </w:style>
  <w:style w:type="paragraph" w:styleId="20">
    <w:name w:val="Body Text Indent"/>
    <w:basedOn w:val="1"/>
    <w:link w:val="239"/>
    <w:qFormat/>
    <w:uiPriority w:val="0"/>
    <w:pPr>
      <w:ind w:firstLine="1120" w:firstLineChars="400"/>
    </w:pPr>
    <w:rPr>
      <w:rFonts w:ascii="Times New Roman" w:hAnsi="Times New Roman"/>
      <w:sz w:val="28"/>
      <w:szCs w:val="24"/>
    </w:rPr>
  </w:style>
  <w:style w:type="paragraph" w:styleId="21">
    <w:name w:val="List 2"/>
    <w:basedOn w:val="1"/>
    <w:qFormat/>
    <w:uiPriority w:val="0"/>
    <w:pPr>
      <w:ind w:left="100" w:leftChars="200" w:hanging="200" w:hangingChars="200"/>
    </w:pPr>
    <w:rPr>
      <w:rFonts w:ascii="Times New Roman" w:hAnsi="Times New Roman"/>
      <w:szCs w:val="24"/>
    </w:rPr>
  </w:style>
  <w:style w:type="paragraph" w:styleId="22">
    <w:name w:val="List Continue"/>
    <w:basedOn w:val="1"/>
    <w:qFormat/>
    <w:uiPriority w:val="0"/>
    <w:pPr>
      <w:adjustRightInd w:val="0"/>
      <w:spacing w:after="120" w:line="312" w:lineRule="atLeast"/>
      <w:ind w:left="420"/>
      <w:textAlignment w:val="baseline"/>
    </w:pPr>
    <w:rPr>
      <w:rFonts w:ascii="Times New Roman" w:hAnsi="Times New Roman"/>
      <w:kern w:val="0"/>
      <w:szCs w:val="20"/>
    </w:rPr>
  </w:style>
  <w:style w:type="paragraph" w:styleId="23">
    <w:name w:val="index 4"/>
    <w:basedOn w:val="1"/>
    <w:next w:val="1"/>
    <w:unhideWhenUsed/>
    <w:qFormat/>
    <w:uiPriority w:val="0"/>
    <w:pPr>
      <w:ind w:left="600" w:leftChars="600"/>
    </w:pPr>
    <w:rPr>
      <w:rFonts w:ascii="Times New Roman" w:hAnsi="Times New Roman"/>
      <w:szCs w:val="24"/>
    </w:rPr>
  </w:style>
  <w:style w:type="paragraph" w:styleId="24">
    <w:name w:val="toc 5"/>
    <w:basedOn w:val="1"/>
    <w:next w:val="1"/>
    <w:unhideWhenUsed/>
    <w:qFormat/>
    <w:uiPriority w:val="39"/>
    <w:pPr>
      <w:ind w:left="630"/>
      <w:jc w:val="left"/>
    </w:pPr>
    <w:rPr>
      <w:rFonts w:asciiTheme="minorHAnsi" w:eastAsiaTheme="minorHAnsi"/>
      <w:sz w:val="20"/>
      <w:szCs w:val="20"/>
    </w:rPr>
  </w:style>
  <w:style w:type="paragraph" w:styleId="25">
    <w:name w:val="toc 3"/>
    <w:basedOn w:val="1"/>
    <w:next w:val="1"/>
    <w:unhideWhenUsed/>
    <w:qFormat/>
    <w:uiPriority w:val="39"/>
    <w:pPr>
      <w:ind w:left="210"/>
      <w:jc w:val="left"/>
    </w:pPr>
    <w:rPr>
      <w:rFonts w:asciiTheme="minorHAnsi" w:eastAsiaTheme="minorHAnsi"/>
      <w:sz w:val="20"/>
      <w:szCs w:val="20"/>
    </w:rPr>
  </w:style>
  <w:style w:type="paragraph" w:styleId="26">
    <w:name w:val="Plain Text"/>
    <w:basedOn w:val="1"/>
    <w:link w:val="74"/>
    <w:qFormat/>
    <w:uiPriority w:val="0"/>
    <w:rPr>
      <w:rFonts w:ascii="宋体" w:hAnsi="Courier New"/>
      <w:szCs w:val="21"/>
    </w:rPr>
  </w:style>
  <w:style w:type="paragraph" w:styleId="27">
    <w:name w:val="toc 8"/>
    <w:basedOn w:val="1"/>
    <w:next w:val="1"/>
    <w:unhideWhenUsed/>
    <w:qFormat/>
    <w:uiPriority w:val="39"/>
    <w:pPr>
      <w:ind w:left="1260"/>
      <w:jc w:val="left"/>
    </w:pPr>
    <w:rPr>
      <w:rFonts w:asciiTheme="minorHAnsi" w:eastAsiaTheme="minorHAnsi"/>
      <w:sz w:val="20"/>
      <w:szCs w:val="20"/>
    </w:rPr>
  </w:style>
  <w:style w:type="paragraph" w:styleId="28">
    <w:name w:val="Date"/>
    <w:basedOn w:val="1"/>
    <w:next w:val="1"/>
    <w:link w:val="245"/>
    <w:qFormat/>
    <w:uiPriority w:val="0"/>
    <w:pPr>
      <w:ind w:left="100" w:leftChars="2500"/>
    </w:pPr>
    <w:rPr>
      <w:rFonts w:ascii="Times New Roman" w:hAnsi="Times New Roman"/>
      <w:szCs w:val="24"/>
    </w:rPr>
  </w:style>
  <w:style w:type="paragraph" w:styleId="29">
    <w:name w:val="Body Text Indent 2"/>
    <w:basedOn w:val="1"/>
    <w:link w:val="256"/>
    <w:qFormat/>
    <w:uiPriority w:val="0"/>
    <w:pPr>
      <w:ind w:left="206" w:hanging="206" w:hangingChars="98"/>
    </w:pPr>
    <w:rPr>
      <w:rFonts w:ascii="Times New Roman" w:hAnsi="Times New Roman"/>
      <w:szCs w:val="24"/>
    </w:rPr>
  </w:style>
  <w:style w:type="paragraph" w:styleId="30">
    <w:name w:val="endnote text"/>
    <w:basedOn w:val="1"/>
    <w:link w:val="259"/>
    <w:qFormat/>
    <w:uiPriority w:val="0"/>
    <w:pPr>
      <w:snapToGrid w:val="0"/>
      <w:jc w:val="left"/>
    </w:pPr>
    <w:rPr>
      <w:rFonts w:ascii="Times New Roman" w:hAnsi="Times New Roman"/>
      <w:szCs w:val="24"/>
    </w:rPr>
  </w:style>
  <w:style w:type="paragraph" w:styleId="31">
    <w:name w:val="List Continue 5"/>
    <w:basedOn w:val="1"/>
    <w:qFormat/>
    <w:uiPriority w:val="0"/>
    <w:pPr>
      <w:adjustRightInd w:val="0"/>
      <w:spacing w:after="120" w:line="312" w:lineRule="atLeast"/>
      <w:ind w:left="2100"/>
      <w:textAlignment w:val="baseline"/>
    </w:pPr>
    <w:rPr>
      <w:rFonts w:ascii="Times New Roman" w:hAnsi="Times New Roman"/>
      <w:kern w:val="0"/>
      <w:szCs w:val="20"/>
    </w:rPr>
  </w:style>
  <w:style w:type="paragraph" w:styleId="32">
    <w:name w:val="Balloon Text"/>
    <w:basedOn w:val="1"/>
    <w:link w:val="75"/>
    <w:unhideWhenUsed/>
    <w:qFormat/>
    <w:uiPriority w:val="99"/>
    <w:rPr>
      <w:kern w:val="0"/>
      <w:sz w:val="18"/>
      <w:szCs w:val="18"/>
    </w:rPr>
  </w:style>
  <w:style w:type="paragraph" w:styleId="33">
    <w:name w:val="footer"/>
    <w:basedOn w:val="1"/>
    <w:link w:val="76"/>
    <w:unhideWhenUsed/>
    <w:qFormat/>
    <w:uiPriority w:val="99"/>
    <w:pPr>
      <w:tabs>
        <w:tab w:val="center" w:pos="4153"/>
        <w:tab w:val="right" w:pos="8306"/>
      </w:tabs>
      <w:snapToGrid w:val="0"/>
      <w:jc w:val="left"/>
    </w:pPr>
    <w:rPr>
      <w:kern w:val="0"/>
      <w:sz w:val="18"/>
      <w:szCs w:val="18"/>
    </w:rPr>
  </w:style>
  <w:style w:type="paragraph" w:styleId="34">
    <w:name w:val="header"/>
    <w:basedOn w:val="1"/>
    <w:link w:val="7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5">
    <w:name w:val="toc 1"/>
    <w:basedOn w:val="1"/>
    <w:next w:val="1"/>
    <w:unhideWhenUsed/>
    <w:qFormat/>
    <w:uiPriority w:val="39"/>
    <w:pPr>
      <w:spacing w:before="360"/>
      <w:jc w:val="left"/>
    </w:pPr>
    <w:rPr>
      <w:rFonts w:asciiTheme="majorHAnsi" w:eastAsiaTheme="majorHAnsi"/>
      <w:b/>
      <w:bCs/>
      <w:caps/>
      <w:sz w:val="24"/>
      <w:szCs w:val="24"/>
    </w:rPr>
  </w:style>
  <w:style w:type="paragraph" w:styleId="36">
    <w:name w:val="List Continue 4"/>
    <w:basedOn w:val="1"/>
    <w:qFormat/>
    <w:uiPriority w:val="0"/>
    <w:pPr>
      <w:adjustRightInd w:val="0"/>
      <w:spacing w:after="120" w:line="312" w:lineRule="atLeast"/>
      <w:ind w:left="1680"/>
      <w:textAlignment w:val="baseline"/>
    </w:pPr>
    <w:rPr>
      <w:rFonts w:ascii="Times New Roman" w:hAnsi="Times New Roman"/>
      <w:kern w:val="0"/>
      <w:szCs w:val="20"/>
    </w:rPr>
  </w:style>
  <w:style w:type="paragraph" w:styleId="37">
    <w:name w:val="toc 4"/>
    <w:basedOn w:val="1"/>
    <w:next w:val="1"/>
    <w:unhideWhenUsed/>
    <w:qFormat/>
    <w:uiPriority w:val="39"/>
    <w:pPr>
      <w:ind w:left="420"/>
      <w:jc w:val="left"/>
    </w:pPr>
    <w:rPr>
      <w:rFonts w:asciiTheme="minorHAnsi" w:eastAsiaTheme="minorHAnsi"/>
      <w:sz w:val="20"/>
      <w:szCs w:val="20"/>
    </w:rPr>
  </w:style>
  <w:style w:type="paragraph" w:styleId="38">
    <w:name w:val="Subtitle"/>
    <w:basedOn w:val="1"/>
    <w:next w:val="1"/>
    <w:link w:val="78"/>
    <w:qFormat/>
    <w:uiPriority w:val="11"/>
    <w:pPr>
      <w:spacing w:before="240" w:after="60" w:line="312" w:lineRule="auto"/>
      <w:jc w:val="center"/>
      <w:outlineLvl w:val="1"/>
    </w:pPr>
    <w:rPr>
      <w:rFonts w:ascii="Cambria" w:hAnsi="Cambria"/>
      <w:b/>
      <w:bCs/>
      <w:kern w:val="28"/>
      <w:sz w:val="32"/>
      <w:szCs w:val="32"/>
    </w:rPr>
  </w:style>
  <w:style w:type="paragraph" w:styleId="39">
    <w:name w:val="List"/>
    <w:basedOn w:val="1"/>
    <w:qFormat/>
    <w:uiPriority w:val="0"/>
    <w:pPr>
      <w:ind w:left="200" w:hanging="200" w:hangingChars="200"/>
    </w:pPr>
    <w:rPr>
      <w:rFonts w:ascii="Times New Roman" w:hAnsi="Times New Roman"/>
      <w:szCs w:val="24"/>
    </w:rPr>
  </w:style>
  <w:style w:type="paragraph" w:styleId="40">
    <w:name w:val="footnote text"/>
    <w:basedOn w:val="1"/>
    <w:link w:val="79"/>
    <w:unhideWhenUsed/>
    <w:qFormat/>
    <w:uiPriority w:val="0"/>
    <w:pPr>
      <w:snapToGrid w:val="0"/>
      <w:jc w:val="left"/>
    </w:pPr>
    <w:rPr>
      <w:kern w:val="0"/>
      <w:sz w:val="18"/>
      <w:szCs w:val="18"/>
    </w:rPr>
  </w:style>
  <w:style w:type="paragraph" w:styleId="41">
    <w:name w:val="toc 6"/>
    <w:basedOn w:val="1"/>
    <w:next w:val="1"/>
    <w:unhideWhenUsed/>
    <w:qFormat/>
    <w:uiPriority w:val="39"/>
    <w:pPr>
      <w:ind w:left="840"/>
      <w:jc w:val="left"/>
    </w:pPr>
    <w:rPr>
      <w:rFonts w:asciiTheme="minorHAnsi" w:eastAsiaTheme="minorHAnsi"/>
      <w:sz w:val="20"/>
      <w:szCs w:val="20"/>
    </w:rPr>
  </w:style>
  <w:style w:type="paragraph" w:styleId="42">
    <w:name w:val="List 5"/>
    <w:basedOn w:val="1"/>
    <w:qFormat/>
    <w:uiPriority w:val="0"/>
    <w:pPr>
      <w:ind w:left="100" w:leftChars="800" w:hanging="200" w:hangingChars="200"/>
    </w:pPr>
    <w:rPr>
      <w:rFonts w:ascii="Times New Roman" w:hAnsi="Times New Roman"/>
      <w:szCs w:val="24"/>
    </w:rPr>
  </w:style>
  <w:style w:type="paragraph" w:styleId="43">
    <w:name w:val="Body Text Indent 3"/>
    <w:basedOn w:val="1"/>
    <w:link w:val="249"/>
    <w:qFormat/>
    <w:uiPriority w:val="0"/>
    <w:pPr>
      <w:spacing w:line="420" w:lineRule="exact"/>
      <w:ind w:firstLine="420" w:firstLineChars="200"/>
    </w:pPr>
    <w:rPr>
      <w:rFonts w:ascii="Times New Roman" w:hAnsi="Times New Roman"/>
      <w:szCs w:val="24"/>
    </w:rPr>
  </w:style>
  <w:style w:type="paragraph" w:styleId="44">
    <w:name w:val="toc 2"/>
    <w:basedOn w:val="1"/>
    <w:next w:val="1"/>
    <w:unhideWhenUsed/>
    <w:qFormat/>
    <w:uiPriority w:val="39"/>
    <w:pPr>
      <w:spacing w:before="240"/>
      <w:jc w:val="left"/>
    </w:pPr>
    <w:rPr>
      <w:rFonts w:asciiTheme="minorHAnsi" w:eastAsiaTheme="minorHAnsi"/>
      <w:b/>
      <w:bCs/>
      <w:sz w:val="20"/>
      <w:szCs w:val="20"/>
    </w:rPr>
  </w:style>
  <w:style w:type="paragraph" w:styleId="45">
    <w:name w:val="toc 9"/>
    <w:basedOn w:val="1"/>
    <w:next w:val="1"/>
    <w:unhideWhenUsed/>
    <w:qFormat/>
    <w:uiPriority w:val="39"/>
    <w:pPr>
      <w:ind w:left="1470"/>
      <w:jc w:val="left"/>
    </w:pPr>
    <w:rPr>
      <w:rFonts w:asciiTheme="minorHAnsi" w:eastAsiaTheme="minorHAnsi"/>
      <w:sz w:val="20"/>
      <w:szCs w:val="20"/>
    </w:rPr>
  </w:style>
  <w:style w:type="paragraph" w:styleId="46">
    <w:name w:val="Body Text 2"/>
    <w:basedOn w:val="1"/>
    <w:link w:val="257"/>
    <w:qFormat/>
    <w:uiPriority w:val="0"/>
    <w:pPr>
      <w:spacing w:after="120" w:line="480" w:lineRule="auto"/>
    </w:pPr>
    <w:rPr>
      <w:rFonts w:ascii="Times New Roman" w:hAnsi="Times New Roman"/>
      <w:szCs w:val="24"/>
    </w:rPr>
  </w:style>
  <w:style w:type="paragraph" w:styleId="47">
    <w:name w:val="List 4"/>
    <w:basedOn w:val="1"/>
    <w:qFormat/>
    <w:uiPriority w:val="0"/>
    <w:pPr>
      <w:adjustRightInd w:val="0"/>
      <w:spacing w:line="312" w:lineRule="atLeast"/>
      <w:ind w:left="1680" w:hanging="420"/>
      <w:textAlignment w:val="baseline"/>
    </w:pPr>
    <w:rPr>
      <w:rFonts w:ascii="Times New Roman" w:hAnsi="Times New Roman"/>
      <w:kern w:val="0"/>
      <w:szCs w:val="20"/>
    </w:rPr>
  </w:style>
  <w:style w:type="paragraph" w:styleId="48">
    <w:name w:val="List Continue 2"/>
    <w:basedOn w:val="1"/>
    <w:qFormat/>
    <w:uiPriority w:val="0"/>
    <w:pPr>
      <w:adjustRightInd w:val="0"/>
      <w:spacing w:after="120" w:line="312" w:lineRule="atLeast"/>
      <w:ind w:left="840"/>
      <w:textAlignment w:val="baseline"/>
    </w:pPr>
    <w:rPr>
      <w:rFonts w:ascii="Times New Roman" w:hAnsi="Times New Roman"/>
      <w:kern w:val="0"/>
      <w:szCs w:val="20"/>
    </w:rPr>
  </w:style>
  <w:style w:type="paragraph" w:styleId="4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50">
    <w:name w:val="index 1"/>
    <w:basedOn w:val="1"/>
    <w:next w:val="1"/>
    <w:qFormat/>
    <w:uiPriority w:val="0"/>
    <w:rPr>
      <w:rFonts w:ascii="Times New Roman" w:hAnsi="Times New Roman"/>
      <w:szCs w:val="24"/>
    </w:rPr>
  </w:style>
  <w:style w:type="paragraph" w:styleId="51">
    <w:name w:val="Title"/>
    <w:basedOn w:val="1"/>
    <w:link w:val="248"/>
    <w:qFormat/>
    <w:uiPriority w:val="0"/>
    <w:pPr>
      <w:widowControl/>
      <w:spacing w:before="240" w:after="60"/>
      <w:jc w:val="center"/>
      <w:outlineLvl w:val="0"/>
    </w:pPr>
    <w:rPr>
      <w:rFonts w:ascii="Arial" w:hAnsi="Arial" w:cs="Arial"/>
      <w:b/>
      <w:bCs/>
      <w:kern w:val="0"/>
      <w:sz w:val="44"/>
      <w:szCs w:val="32"/>
    </w:rPr>
  </w:style>
  <w:style w:type="paragraph" w:styleId="52">
    <w:name w:val="annotation subject"/>
    <w:basedOn w:val="17"/>
    <w:next w:val="17"/>
    <w:link w:val="260"/>
    <w:qFormat/>
    <w:uiPriority w:val="0"/>
    <w:rPr>
      <w:b/>
      <w:bCs/>
    </w:rPr>
  </w:style>
  <w:style w:type="paragraph" w:styleId="53">
    <w:name w:val="Body Text First Indent"/>
    <w:basedOn w:val="19"/>
    <w:link w:val="73"/>
    <w:qFormat/>
    <w:uiPriority w:val="0"/>
    <w:pPr>
      <w:spacing w:after="120"/>
      <w:ind w:firstLine="420" w:firstLineChars="100"/>
    </w:pPr>
    <w:rPr>
      <w:sz w:val="21"/>
    </w:rPr>
  </w:style>
  <w:style w:type="paragraph" w:styleId="54">
    <w:name w:val="Body Text First Indent 2"/>
    <w:basedOn w:val="20"/>
    <w:link w:val="240"/>
    <w:qFormat/>
    <w:uiPriority w:val="0"/>
    <w:pPr>
      <w:adjustRightInd w:val="0"/>
      <w:spacing w:after="120" w:line="312" w:lineRule="atLeast"/>
      <w:ind w:firstLine="420" w:firstLineChars="0"/>
      <w:textAlignment w:val="baseline"/>
    </w:pPr>
    <w:rPr>
      <w:kern w:val="0"/>
      <w:sz w:val="21"/>
      <w:szCs w:val="20"/>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0"/>
    <w:rPr>
      <w:b/>
      <w:bCs/>
    </w:rPr>
  </w:style>
  <w:style w:type="character" w:styleId="59">
    <w:name w:val="endnote reference"/>
    <w:unhideWhenUsed/>
    <w:qFormat/>
    <w:uiPriority w:val="0"/>
    <w:rPr>
      <w:vertAlign w:val="superscript"/>
    </w:rPr>
  </w:style>
  <w:style w:type="character" w:styleId="60">
    <w:name w:val="page number"/>
    <w:basedOn w:val="57"/>
    <w:qFormat/>
    <w:uiPriority w:val="0"/>
  </w:style>
  <w:style w:type="character" w:styleId="61">
    <w:name w:val="FollowedHyperlink"/>
    <w:unhideWhenUsed/>
    <w:qFormat/>
    <w:uiPriority w:val="99"/>
    <w:rPr>
      <w:color w:val="800080"/>
      <w:u w:val="single"/>
    </w:rPr>
  </w:style>
  <w:style w:type="character" w:styleId="62">
    <w:name w:val="Emphasis"/>
    <w:qFormat/>
    <w:uiPriority w:val="20"/>
    <w:rPr>
      <w:i/>
      <w:iCs/>
    </w:rPr>
  </w:style>
  <w:style w:type="character" w:styleId="63">
    <w:name w:val="Hyperlink"/>
    <w:unhideWhenUsed/>
    <w:qFormat/>
    <w:uiPriority w:val="99"/>
    <w:rPr>
      <w:color w:val="0000FF"/>
      <w:u w:val="single"/>
    </w:rPr>
  </w:style>
  <w:style w:type="character" w:styleId="64">
    <w:name w:val="annotation reference"/>
    <w:qFormat/>
    <w:uiPriority w:val="0"/>
    <w:rPr>
      <w:sz w:val="21"/>
      <w:szCs w:val="21"/>
    </w:rPr>
  </w:style>
  <w:style w:type="character" w:styleId="65">
    <w:name w:val="footnote reference"/>
    <w:qFormat/>
    <w:uiPriority w:val="0"/>
    <w:rPr>
      <w:vertAlign w:val="superscript"/>
    </w:rPr>
  </w:style>
  <w:style w:type="character" w:customStyle="1" w:styleId="66">
    <w:name w:val="标题 1 字符"/>
    <w:link w:val="2"/>
    <w:qFormat/>
    <w:uiPriority w:val="9"/>
    <w:rPr>
      <w:b/>
      <w:bCs/>
      <w:kern w:val="44"/>
      <w:sz w:val="44"/>
      <w:szCs w:val="44"/>
    </w:rPr>
  </w:style>
  <w:style w:type="character" w:customStyle="1" w:styleId="67">
    <w:name w:val="标题 2 字符"/>
    <w:link w:val="3"/>
    <w:qFormat/>
    <w:uiPriority w:val="9"/>
    <w:rPr>
      <w:rFonts w:ascii="Cambria" w:hAnsi="Cambria" w:eastAsia="宋体" w:cs="Times New Roman"/>
      <w:b/>
      <w:bCs/>
      <w:sz w:val="32"/>
      <w:szCs w:val="32"/>
    </w:rPr>
  </w:style>
  <w:style w:type="character" w:customStyle="1" w:styleId="68">
    <w:name w:val="标题 3 字符"/>
    <w:link w:val="4"/>
    <w:qFormat/>
    <w:uiPriority w:val="9"/>
    <w:rPr>
      <w:b/>
      <w:bCs/>
      <w:sz w:val="32"/>
      <w:szCs w:val="32"/>
    </w:rPr>
  </w:style>
  <w:style w:type="character" w:customStyle="1" w:styleId="69">
    <w:name w:val="标题 4 字符"/>
    <w:link w:val="5"/>
    <w:qFormat/>
    <w:uiPriority w:val="9"/>
    <w:rPr>
      <w:rFonts w:ascii="Cambria" w:hAnsi="Cambria" w:eastAsia="黑体"/>
      <w:bCs/>
      <w:kern w:val="2"/>
      <w:sz w:val="24"/>
      <w:szCs w:val="28"/>
    </w:rPr>
  </w:style>
  <w:style w:type="character" w:customStyle="1" w:styleId="70">
    <w:name w:val="标题 5 字符"/>
    <w:link w:val="6"/>
    <w:qFormat/>
    <w:uiPriority w:val="9"/>
    <w:rPr>
      <w:bCs/>
      <w:kern w:val="2"/>
      <w:sz w:val="21"/>
      <w:szCs w:val="28"/>
    </w:rPr>
  </w:style>
  <w:style w:type="character" w:customStyle="1" w:styleId="71">
    <w:name w:val="标题 6 字符"/>
    <w:link w:val="7"/>
    <w:qFormat/>
    <w:uiPriority w:val="9"/>
    <w:rPr>
      <w:rFonts w:ascii="Cambria" w:hAnsi="Cambria"/>
      <w:bCs/>
      <w:kern w:val="2"/>
      <w:sz w:val="21"/>
      <w:szCs w:val="24"/>
    </w:rPr>
  </w:style>
  <w:style w:type="character" w:customStyle="1" w:styleId="72">
    <w:name w:val="正文文本 字符"/>
    <w:link w:val="19"/>
    <w:qFormat/>
    <w:uiPriority w:val="0"/>
    <w:rPr>
      <w:rFonts w:ascii="Times New Roman" w:hAnsi="Times New Roman"/>
      <w:kern w:val="2"/>
      <w:sz w:val="28"/>
      <w:szCs w:val="24"/>
    </w:rPr>
  </w:style>
  <w:style w:type="character" w:customStyle="1" w:styleId="73">
    <w:name w:val="正文文本首行缩进 字符"/>
    <w:link w:val="53"/>
    <w:qFormat/>
    <w:uiPriority w:val="0"/>
    <w:rPr>
      <w:rFonts w:ascii="Times New Roman" w:hAnsi="Times New Roman"/>
      <w:kern w:val="2"/>
      <w:sz w:val="21"/>
      <w:szCs w:val="24"/>
    </w:rPr>
  </w:style>
  <w:style w:type="character" w:customStyle="1" w:styleId="74">
    <w:name w:val="纯文本 字符"/>
    <w:link w:val="26"/>
    <w:qFormat/>
    <w:locked/>
    <w:uiPriority w:val="0"/>
    <w:rPr>
      <w:rFonts w:ascii="宋体" w:hAnsi="Courier New" w:cs="Courier New"/>
      <w:kern w:val="2"/>
      <w:sz w:val="21"/>
      <w:szCs w:val="21"/>
    </w:rPr>
  </w:style>
  <w:style w:type="character" w:customStyle="1" w:styleId="75">
    <w:name w:val="批注框文本 字符"/>
    <w:link w:val="32"/>
    <w:qFormat/>
    <w:uiPriority w:val="99"/>
    <w:rPr>
      <w:sz w:val="18"/>
      <w:szCs w:val="18"/>
    </w:rPr>
  </w:style>
  <w:style w:type="character" w:customStyle="1" w:styleId="76">
    <w:name w:val="页脚 字符1"/>
    <w:link w:val="33"/>
    <w:qFormat/>
    <w:uiPriority w:val="99"/>
    <w:rPr>
      <w:sz w:val="18"/>
      <w:szCs w:val="18"/>
    </w:rPr>
  </w:style>
  <w:style w:type="character" w:customStyle="1" w:styleId="77">
    <w:name w:val="页眉 字符"/>
    <w:link w:val="34"/>
    <w:qFormat/>
    <w:uiPriority w:val="99"/>
    <w:rPr>
      <w:sz w:val="18"/>
      <w:szCs w:val="18"/>
    </w:rPr>
  </w:style>
  <w:style w:type="character" w:customStyle="1" w:styleId="78">
    <w:name w:val="副标题 字符"/>
    <w:link w:val="38"/>
    <w:qFormat/>
    <w:uiPriority w:val="11"/>
    <w:rPr>
      <w:rFonts w:ascii="Cambria" w:hAnsi="Cambria" w:eastAsia="宋体" w:cs="Times New Roman"/>
      <w:b/>
      <w:bCs/>
      <w:kern w:val="28"/>
      <w:sz w:val="32"/>
      <w:szCs w:val="32"/>
    </w:rPr>
  </w:style>
  <w:style w:type="character" w:customStyle="1" w:styleId="79">
    <w:name w:val="脚注文本 字符1"/>
    <w:link w:val="40"/>
    <w:qFormat/>
    <w:uiPriority w:val="0"/>
    <w:rPr>
      <w:sz w:val="18"/>
      <w:szCs w:val="18"/>
    </w:rPr>
  </w:style>
  <w:style w:type="character" w:customStyle="1" w:styleId="80">
    <w:name w:val="Char Char4"/>
    <w:semiHidden/>
    <w:qFormat/>
    <w:locked/>
    <w:uiPriority w:val="0"/>
    <w:rPr>
      <w:sz w:val="18"/>
      <w:szCs w:val="18"/>
      <w:lang w:bidi="ar-SA"/>
    </w:rPr>
  </w:style>
  <w:style w:type="character" w:customStyle="1" w:styleId="81">
    <w:name w:val="纯文本 Char1"/>
    <w:qFormat/>
    <w:locked/>
    <w:uiPriority w:val="0"/>
    <w:rPr>
      <w:rFonts w:ascii="宋体" w:hAnsi="Courier New" w:eastAsia="宋体" w:cs="宋体"/>
      <w:szCs w:val="21"/>
    </w:rPr>
  </w:style>
  <w:style w:type="character" w:customStyle="1" w:styleId="82">
    <w:name w:val="Char Char11"/>
    <w:link w:val="83"/>
    <w:qFormat/>
    <w:uiPriority w:val="0"/>
    <w:rPr>
      <w:rFonts w:ascii="宋体" w:hAnsi="宋体" w:eastAsia="宋体" w:cs="宋体"/>
      <w:kern w:val="2"/>
      <w:sz w:val="24"/>
      <w:szCs w:val="24"/>
      <w:lang w:val="en-US" w:eastAsia="zh-CN" w:bidi="ar-SA"/>
    </w:rPr>
  </w:style>
  <w:style w:type="paragraph" w:customStyle="1" w:styleId="83">
    <w:name w:val="Char"/>
    <w:basedOn w:val="1"/>
    <w:link w:val="82"/>
    <w:qFormat/>
    <w:uiPriority w:val="0"/>
    <w:pPr>
      <w:spacing w:line="360" w:lineRule="auto"/>
      <w:ind w:firstLine="200" w:firstLineChars="200"/>
    </w:pPr>
    <w:rPr>
      <w:rFonts w:ascii="宋体" w:hAnsi="宋体" w:cs="宋体"/>
      <w:sz w:val="24"/>
      <w:szCs w:val="24"/>
    </w:rPr>
  </w:style>
  <w:style w:type="character" w:customStyle="1" w:styleId="84">
    <w:name w:val="Char2 Char Char"/>
    <w:qFormat/>
    <w:uiPriority w:val="0"/>
    <w:rPr>
      <w:rFonts w:eastAsia="宋体"/>
      <w:sz w:val="21"/>
      <w:lang w:val="en-US" w:eastAsia="zh-CN" w:bidi="ar-SA"/>
    </w:rPr>
  </w:style>
  <w:style w:type="character" w:customStyle="1" w:styleId="85">
    <w:name w:val="Char Char14"/>
    <w:qFormat/>
    <w:locked/>
    <w:uiPriority w:val="0"/>
    <w:rPr>
      <w:rFonts w:ascii="Calibri" w:hAnsi="Calibri" w:eastAsia="宋体" w:cs="Calibri"/>
      <w:kern w:val="2"/>
      <w:sz w:val="18"/>
      <w:szCs w:val="18"/>
      <w:lang w:val="en-US" w:eastAsia="zh-CN" w:bidi="ar-SA"/>
    </w:rPr>
  </w:style>
  <w:style w:type="paragraph" w:customStyle="1" w:styleId="86">
    <w:name w:val="CM108"/>
    <w:basedOn w:val="87"/>
    <w:next w:val="87"/>
    <w:qFormat/>
    <w:uiPriority w:val="99"/>
    <w:rPr>
      <w:rFonts w:cs="Times New Roman"/>
      <w:color w:val="auto"/>
    </w:rPr>
  </w:style>
  <w:style w:type="paragraph" w:customStyle="1" w:styleId="8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8">
    <w:name w:val="CM78"/>
    <w:basedOn w:val="87"/>
    <w:next w:val="87"/>
    <w:qFormat/>
    <w:uiPriority w:val="99"/>
    <w:rPr>
      <w:rFonts w:cs="Times New Roman"/>
      <w:color w:val="auto"/>
    </w:rPr>
  </w:style>
  <w:style w:type="paragraph" w:customStyle="1" w:styleId="89">
    <w:name w:val="CM71"/>
    <w:basedOn w:val="87"/>
    <w:next w:val="87"/>
    <w:qFormat/>
    <w:uiPriority w:val="99"/>
    <w:rPr>
      <w:rFonts w:cs="Times New Roman"/>
      <w:color w:val="auto"/>
    </w:rPr>
  </w:style>
  <w:style w:type="paragraph" w:customStyle="1" w:styleId="90">
    <w:name w:val="CM8"/>
    <w:basedOn w:val="87"/>
    <w:next w:val="87"/>
    <w:qFormat/>
    <w:uiPriority w:val="99"/>
    <w:pPr>
      <w:spacing w:line="318" w:lineRule="atLeast"/>
    </w:pPr>
    <w:rPr>
      <w:rFonts w:cs="Times New Roman"/>
      <w:color w:val="auto"/>
    </w:rPr>
  </w:style>
  <w:style w:type="paragraph" w:customStyle="1" w:styleId="91">
    <w:name w:val="CM87"/>
    <w:basedOn w:val="87"/>
    <w:next w:val="87"/>
    <w:qFormat/>
    <w:uiPriority w:val="99"/>
    <w:pPr>
      <w:spacing w:line="440" w:lineRule="atLeast"/>
    </w:pPr>
    <w:rPr>
      <w:rFonts w:cs="Times New Roman"/>
      <w:color w:val="auto"/>
    </w:rPr>
  </w:style>
  <w:style w:type="paragraph" w:customStyle="1" w:styleId="92">
    <w:name w:val="CM28"/>
    <w:basedOn w:val="87"/>
    <w:next w:val="87"/>
    <w:qFormat/>
    <w:uiPriority w:val="99"/>
    <w:pPr>
      <w:spacing w:line="398" w:lineRule="atLeast"/>
    </w:pPr>
    <w:rPr>
      <w:rFonts w:cs="Times New Roman"/>
      <w:color w:val="auto"/>
    </w:rPr>
  </w:style>
  <w:style w:type="paragraph" w:customStyle="1" w:styleId="93">
    <w:name w:val="CM10"/>
    <w:basedOn w:val="87"/>
    <w:next w:val="87"/>
    <w:qFormat/>
    <w:uiPriority w:val="99"/>
    <w:rPr>
      <w:rFonts w:cs="Times New Roman"/>
      <w:color w:val="auto"/>
    </w:rPr>
  </w:style>
  <w:style w:type="paragraph" w:customStyle="1" w:styleId="94">
    <w:name w:val="CM103"/>
    <w:basedOn w:val="87"/>
    <w:next w:val="87"/>
    <w:qFormat/>
    <w:uiPriority w:val="99"/>
    <w:rPr>
      <w:rFonts w:cs="Times New Roman"/>
      <w:color w:val="auto"/>
    </w:rPr>
  </w:style>
  <w:style w:type="paragraph" w:customStyle="1" w:styleId="95">
    <w:name w:val="CM4"/>
    <w:basedOn w:val="87"/>
    <w:next w:val="87"/>
    <w:qFormat/>
    <w:uiPriority w:val="99"/>
    <w:rPr>
      <w:rFonts w:cs="Times New Roman"/>
      <w:color w:val="auto"/>
    </w:rPr>
  </w:style>
  <w:style w:type="paragraph" w:customStyle="1" w:styleId="96">
    <w:name w:val="CM6"/>
    <w:basedOn w:val="87"/>
    <w:next w:val="87"/>
    <w:qFormat/>
    <w:uiPriority w:val="99"/>
    <w:pPr>
      <w:spacing w:line="318" w:lineRule="atLeast"/>
    </w:pPr>
    <w:rPr>
      <w:rFonts w:cs="Times New Roman"/>
      <w:color w:val="auto"/>
    </w:rPr>
  </w:style>
  <w:style w:type="paragraph" w:customStyle="1" w:styleId="97">
    <w:name w:val="CM112"/>
    <w:basedOn w:val="87"/>
    <w:next w:val="87"/>
    <w:qFormat/>
    <w:uiPriority w:val="99"/>
    <w:rPr>
      <w:rFonts w:cs="Times New Roman"/>
      <w:color w:val="auto"/>
    </w:rPr>
  </w:style>
  <w:style w:type="paragraph" w:customStyle="1" w:styleId="98">
    <w:name w:val="CM34"/>
    <w:basedOn w:val="87"/>
    <w:next w:val="87"/>
    <w:qFormat/>
    <w:uiPriority w:val="99"/>
    <w:rPr>
      <w:rFonts w:cs="Times New Roman"/>
      <w:color w:val="auto"/>
    </w:rPr>
  </w:style>
  <w:style w:type="paragraph" w:customStyle="1" w:styleId="99">
    <w:name w:val="CM48"/>
    <w:basedOn w:val="87"/>
    <w:next w:val="87"/>
    <w:qFormat/>
    <w:uiPriority w:val="99"/>
    <w:pPr>
      <w:spacing w:line="440" w:lineRule="atLeast"/>
    </w:pPr>
    <w:rPr>
      <w:rFonts w:cs="Times New Roman"/>
      <w:color w:val="auto"/>
    </w:rPr>
  </w:style>
  <w:style w:type="paragraph" w:customStyle="1" w:styleId="100">
    <w:name w:val="CM110"/>
    <w:basedOn w:val="87"/>
    <w:next w:val="87"/>
    <w:qFormat/>
    <w:uiPriority w:val="99"/>
    <w:rPr>
      <w:rFonts w:cs="Times New Roman"/>
      <w:color w:val="auto"/>
    </w:rPr>
  </w:style>
  <w:style w:type="paragraph" w:customStyle="1" w:styleId="101">
    <w:name w:val="CM12"/>
    <w:basedOn w:val="87"/>
    <w:next w:val="87"/>
    <w:qFormat/>
    <w:uiPriority w:val="99"/>
    <w:pPr>
      <w:spacing w:line="313" w:lineRule="atLeast"/>
    </w:pPr>
    <w:rPr>
      <w:rFonts w:cs="Times New Roman"/>
      <w:color w:val="auto"/>
    </w:rPr>
  </w:style>
  <w:style w:type="paragraph" w:customStyle="1" w:styleId="102">
    <w:name w:val="CM94"/>
    <w:basedOn w:val="87"/>
    <w:next w:val="87"/>
    <w:qFormat/>
    <w:uiPriority w:val="99"/>
    <w:pPr>
      <w:spacing w:line="440" w:lineRule="atLeast"/>
    </w:pPr>
    <w:rPr>
      <w:rFonts w:cs="Times New Roman"/>
      <w:color w:val="auto"/>
    </w:rPr>
  </w:style>
  <w:style w:type="paragraph" w:customStyle="1" w:styleId="103">
    <w:name w:val="CM57"/>
    <w:basedOn w:val="87"/>
    <w:next w:val="87"/>
    <w:qFormat/>
    <w:uiPriority w:val="99"/>
    <w:pPr>
      <w:spacing w:line="400" w:lineRule="atLeast"/>
    </w:pPr>
    <w:rPr>
      <w:rFonts w:cs="Times New Roman"/>
      <w:color w:val="auto"/>
    </w:rPr>
  </w:style>
  <w:style w:type="paragraph" w:customStyle="1" w:styleId="104">
    <w:name w:val="CM22"/>
    <w:basedOn w:val="87"/>
    <w:next w:val="87"/>
    <w:qFormat/>
    <w:uiPriority w:val="99"/>
    <w:rPr>
      <w:rFonts w:cs="Times New Roman"/>
      <w:color w:val="auto"/>
    </w:rPr>
  </w:style>
  <w:style w:type="paragraph" w:customStyle="1" w:styleId="10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6">
    <w:name w:val="CM25"/>
    <w:basedOn w:val="87"/>
    <w:next w:val="87"/>
    <w:qFormat/>
    <w:uiPriority w:val="99"/>
    <w:pPr>
      <w:spacing w:line="400" w:lineRule="atLeast"/>
    </w:pPr>
    <w:rPr>
      <w:rFonts w:cs="Times New Roman"/>
      <w:color w:val="auto"/>
    </w:rPr>
  </w:style>
  <w:style w:type="paragraph" w:customStyle="1" w:styleId="107">
    <w:name w:val="CM44"/>
    <w:basedOn w:val="87"/>
    <w:next w:val="87"/>
    <w:qFormat/>
    <w:uiPriority w:val="99"/>
    <w:rPr>
      <w:rFonts w:cs="Times New Roman"/>
      <w:color w:val="auto"/>
    </w:rPr>
  </w:style>
  <w:style w:type="paragraph" w:customStyle="1" w:styleId="108">
    <w:name w:val="样式3"/>
    <w:basedOn w:val="1"/>
    <w:qFormat/>
    <w:uiPriority w:val="0"/>
    <w:pPr>
      <w:keepNext/>
      <w:keepLines/>
      <w:spacing w:line="400" w:lineRule="exact"/>
      <w:outlineLvl w:val="0"/>
    </w:pPr>
    <w:rPr>
      <w:rFonts w:ascii="Times New Roman" w:hAnsi="Times New Roman"/>
      <w:b/>
      <w:bCs/>
      <w:kern w:val="44"/>
      <w:sz w:val="28"/>
      <w:szCs w:val="44"/>
    </w:rPr>
  </w:style>
  <w:style w:type="paragraph" w:customStyle="1" w:styleId="109">
    <w:name w:val="CM105"/>
    <w:basedOn w:val="87"/>
    <w:next w:val="87"/>
    <w:qFormat/>
    <w:uiPriority w:val="99"/>
    <w:rPr>
      <w:rFonts w:cs="Times New Roman"/>
      <w:color w:val="auto"/>
    </w:rPr>
  </w:style>
  <w:style w:type="paragraph" w:customStyle="1" w:styleId="110">
    <w:name w:val="CM90"/>
    <w:basedOn w:val="87"/>
    <w:next w:val="87"/>
    <w:qFormat/>
    <w:uiPriority w:val="99"/>
    <w:pPr>
      <w:spacing w:line="440" w:lineRule="atLeast"/>
    </w:pPr>
    <w:rPr>
      <w:rFonts w:cs="Times New Roman"/>
      <w:color w:val="auto"/>
    </w:rPr>
  </w:style>
  <w:style w:type="paragraph" w:customStyle="1" w:styleId="111">
    <w:name w:val="CM70"/>
    <w:basedOn w:val="87"/>
    <w:next w:val="87"/>
    <w:qFormat/>
    <w:uiPriority w:val="99"/>
    <w:pPr>
      <w:spacing w:line="400" w:lineRule="atLeast"/>
    </w:pPr>
    <w:rPr>
      <w:rFonts w:cs="Times New Roman"/>
      <w:color w:val="auto"/>
    </w:rPr>
  </w:style>
  <w:style w:type="paragraph" w:customStyle="1" w:styleId="112">
    <w:name w:val="CM74"/>
    <w:basedOn w:val="87"/>
    <w:next w:val="87"/>
    <w:qFormat/>
    <w:uiPriority w:val="99"/>
    <w:pPr>
      <w:spacing w:line="400" w:lineRule="atLeast"/>
    </w:pPr>
    <w:rPr>
      <w:rFonts w:cs="Times New Roman"/>
      <w:color w:val="auto"/>
    </w:rPr>
  </w:style>
  <w:style w:type="paragraph" w:customStyle="1" w:styleId="113">
    <w:name w:val="CM104"/>
    <w:basedOn w:val="87"/>
    <w:next w:val="87"/>
    <w:qFormat/>
    <w:uiPriority w:val="99"/>
    <w:rPr>
      <w:rFonts w:cs="Times New Roman"/>
      <w:color w:val="auto"/>
    </w:rPr>
  </w:style>
  <w:style w:type="paragraph" w:customStyle="1" w:styleId="114">
    <w:name w:val="CM2"/>
    <w:basedOn w:val="87"/>
    <w:next w:val="87"/>
    <w:qFormat/>
    <w:uiPriority w:val="99"/>
    <w:pPr>
      <w:spacing w:line="500" w:lineRule="atLeast"/>
    </w:pPr>
    <w:rPr>
      <w:rFonts w:cs="Times New Roman"/>
      <w:color w:val="auto"/>
    </w:rPr>
  </w:style>
  <w:style w:type="paragraph" w:customStyle="1" w:styleId="115">
    <w:name w:val="CM55"/>
    <w:basedOn w:val="87"/>
    <w:next w:val="87"/>
    <w:qFormat/>
    <w:uiPriority w:val="99"/>
    <w:pPr>
      <w:spacing w:line="400" w:lineRule="atLeast"/>
    </w:pPr>
    <w:rPr>
      <w:rFonts w:cs="Times New Roman"/>
      <w:color w:val="auto"/>
    </w:rPr>
  </w:style>
  <w:style w:type="paragraph" w:customStyle="1" w:styleId="116">
    <w:name w:val="CM109"/>
    <w:basedOn w:val="87"/>
    <w:next w:val="87"/>
    <w:qFormat/>
    <w:uiPriority w:val="99"/>
    <w:rPr>
      <w:rFonts w:cs="Times New Roman"/>
      <w:color w:val="auto"/>
    </w:rPr>
  </w:style>
  <w:style w:type="paragraph" w:customStyle="1" w:styleId="117">
    <w:name w:val="CM99"/>
    <w:basedOn w:val="87"/>
    <w:next w:val="87"/>
    <w:qFormat/>
    <w:uiPriority w:val="99"/>
    <w:rPr>
      <w:rFonts w:cs="Times New Roman"/>
      <w:color w:val="auto"/>
    </w:rPr>
  </w:style>
  <w:style w:type="paragraph" w:customStyle="1" w:styleId="118">
    <w:name w:val="_Style 131"/>
    <w:next w:val="1"/>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19">
    <w:name w:val="CM24"/>
    <w:basedOn w:val="87"/>
    <w:next w:val="87"/>
    <w:qFormat/>
    <w:uiPriority w:val="99"/>
    <w:pPr>
      <w:spacing w:line="400" w:lineRule="atLeast"/>
    </w:pPr>
    <w:rPr>
      <w:rFonts w:cs="Times New Roman"/>
      <w:color w:val="auto"/>
    </w:rPr>
  </w:style>
  <w:style w:type="paragraph" w:customStyle="1" w:styleId="120">
    <w:name w:val="CM32"/>
    <w:basedOn w:val="87"/>
    <w:next w:val="87"/>
    <w:qFormat/>
    <w:uiPriority w:val="99"/>
    <w:pPr>
      <w:spacing w:line="400" w:lineRule="atLeast"/>
    </w:pPr>
    <w:rPr>
      <w:rFonts w:cs="Times New Roman"/>
      <w:color w:val="auto"/>
    </w:rPr>
  </w:style>
  <w:style w:type="paragraph" w:customStyle="1" w:styleId="121">
    <w:name w:val="CM5"/>
    <w:basedOn w:val="87"/>
    <w:next w:val="87"/>
    <w:qFormat/>
    <w:uiPriority w:val="99"/>
    <w:rPr>
      <w:rFonts w:cs="Times New Roman"/>
      <w:color w:val="auto"/>
    </w:rPr>
  </w:style>
  <w:style w:type="paragraph" w:customStyle="1" w:styleId="122">
    <w:name w:val="CM19"/>
    <w:basedOn w:val="87"/>
    <w:next w:val="87"/>
    <w:qFormat/>
    <w:uiPriority w:val="99"/>
    <w:pPr>
      <w:spacing w:line="440" w:lineRule="atLeast"/>
    </w:pPr>
    <w:rPr>
      <w:rFonts w:cs="Times New Roman"/>
      <w:color w:val="auto"/>
    </w:rPr>
  </w:style>
  <w:style w:type="paragraph" w:customStyle="1" w:styleId="12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customStyle="1" w:styleId="124">
    <w:name w:val="CM18"/>
    <w:basedOn w:val="87"/>
    <w:next w:val="87"/>
    <w:qFormat/>
    <w:uiPriority w:val="99"/>
    <w:pPr>
      <w:spacing w:line="440" w:lineRule="atLeast"/>
    </w:pPr>
    <w:rPr>
      <w:rFonts w:cs="Times New Roman"/>
      <w:color w:val="auto"/>
    </w:rPr>
  </w:style>
  <w:style w:type="paragraph" w:customStyle="1" w:styleId="125">
    <w:name w:val="CM3"/>
    <w:basedOn w:val="87"/>
    <w:next w:val="87"/>
    <w:qFormat/>
    <w:uiPriority w:val="99"/>
    <w:pPr>
      <w:spacing w:line="500" w:lineRule="atLeast"/>
    </w:pPr>
    <w:rPr>
      <w:rFonts w:cs="Times New Roman"/>
      <w:color w:val="auto"/>
    </w:rPr>
  </w:style>
  <w:style w:type="paragraph" w:customStyle="1" w:styleId="126">
    <w:name w:val="CM98"/>
    <w:basedOn w:val="87"/>
    <w:next w:val="87"/>
    <w:qFormat/>
    <w:uiPriority w:val="99"/>
    <w:rPr>
      <w:rFonts w:cs="Times New Roman"/>
      <w:color w:val="auto"/>
    </w:rPr>
  </w:style>
  <w:style w:type="paragraph" w:customStyle="1" w:styleId="127">
    <w:name w:val="CM40"/>
    <w:basedOn w:val="87"/>
    <w:next w:val="87"/>
    <w:qFormat/>
    <w:uiPriority w:val="99"/>
    <w:pPr>
      <w:spacing w:line="400" w:lineRule="atLeast"/>
    </w:pPr>
    <w:rPr>
      <w:rFonts w:cs="Times New Roman"/>
      <w:color w:val="auto"/>
    </w:rPr>
  </w:style>
  <w:style w:type="paragraph" w:customStyle="1" w:styleId="128">
    <w:name w:val="CM92"/>
    <w:basedOn w:val="87"/>
    <w:next w:val="87"/>
    <w:qFormat/>
    <w:uiPriority w:val="99"/>
    <w:pPr>
      <w:spacing w:line="443" w:lineRule="atLeast"/>
    </w:pPr>
    <w:rPr>
      <w:rFonts w:cs="Times New Roman"/>
      <w:color w:val="auto"/>
    </w:rPr>
  </w:style>
  <w:style w:type="paragraph" w:customStyle="1" w:styleId="129">
    <w:name w:val="CM13"/>
    <w:basedOn w:val="87"/>
    <w:next w:val="87"/>
    <w:qFormat/>
    <w:uiPriority w:val="99"/>
    <w:rPr>
      <w:rFonts w:cs="Times New Roman"/>
      <w:color w:val="auto"/>
    </w:rPr>
  </w:style>
  <w:style w:type="paragraph" w:customStyle="1" w:styleId="130">
    <w:name w:val="CM29"/>
    <w:basedOn w:val="87"/>
    <w:next w:val="87"/>
    <w:qFormat/>
    <w:uiPriority w:val="99"/>
    <w:pPr>
      <w:spacing w:line="400" w:lineRule="atLeast"/>
    </w:pPr>
    <w:rPr>
      <w:rFonts w:cs="Times New Roman"/>
      <w:color w:val="auto"/>
    </w:rPr>
  </w:style>
  <w:style w:type="paragraph" w:customStyle="1" w:styleId="131">
    <w:name w:val="Char Char Char Char Char Char Char"/>
    <w:basedOn w:val="15"/>
    <w:qFormat/>
    <w:uiPriority w:val="0"/>
    <w:rPr>
      <w:rFonts w:ascii="Tahoma" w:hAnsi="Tahoma"/>
      <w:sz w:val="24"/>
    </w:rPr>
  </w:style>
  <w:style w:type="paragraph" w:customStyle="1" w:styleId="132">
    <w:name w:val="CM45"/>
    <w:basedOn w:val="87"/>
    <w:next w:val="87"/>
    <w:qFormat/>
    <w:uiPriority w:val="99"/>
    <w:rPr>
      <w:rFonts w:cs="Times New Roman"/>
      <w:color w:val="auto"/>
    </w:rPr>
  </w:style>
  <w:style w:type="paragraph" w:customStyle="1" w:styleId="133">
    <w:name w:val="CM114"/>
    <w:basedOn w:val="87"/>
    <w:next w:val="87"/>
    <w:qFormat/>
    <w:uiPriority w:val="99"/>
    <w:rPr>
      <w:rFonts w:cs="Times New Roman"/>
      <w:color w:val="auto"/>
    </w:rPr>
  </w:style>
  <w:style w:type="paragraph" w:customStyle="1" w:styleId="134">
    <w:name w:val="CM9"/>
    <w:basedOn w:val="87"/>
    <w:next w:val="87"/>
    <w:qFormat/>
    <w:uiPriority w:val="99"/>
    <w:rPr>
      <w:rFonts w:cs="Times New Roman"/>
      <w:color w:val="auto"/>
    </w:rPr>
  </w:style>
  <w:style w:type="paragraph" w:customStyle="1" w:styleId="135">
    <w:name w:val="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36">
    <w:name w:val="CM47"/>
    <w:basedOn w:val="87"/>
    <w:next w:val="87"/>
    <w:qFormat/>
    <w:uiPriority w:val="99"/>
    <w:pPr>
      <w:spacing w:line="540" w:lineRule="atLeast"/>
    </w:pPr>
    <w:rPr>
      <w:rFonts w:cs="Times New Roman"/>
      <w:color w:val="auto"/>
    </w:rPr>
  </w:style>
  <w:style w:type="paragraph" w:customStyle="1" w:styleId="137">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 w:val="24"/>
      <w:szCs w:val="20"/>
    </w:rPr>
  </w:style>
  <w:style w:type="paragraph" w:customStyle="1" w:styleId="138">
    <w:name w:val="Char Char"/>
    <w:basedOn w:val="1"/>
    <w:qFormat/>
    <w:uiPriority w:val="0"/>
    <w:rPr>
      <w:rFonts w:ascii="Tahoma" w:hAnsi="Tahoma"/>
      <w:sz w:val="24"/>
      <w:szCs w:val="20"/>
    </w:rPr>
  </w:style>
  <w:style w:type="paragraph" w:customStyle="1" w:styleId="139">
    <w:name w:val="Char Char1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40">
    <w:name w:val="CM1"/>
    <w:basedOn w:val="87"/>
    <w:next w:val="87"/>
    <w:qFormat/>
    <w:uiPriority w:val="99"/>
    <w:rPr>
      <w:rFonts w:cs="Times New Roman"/>
      <w:color w:val="auto"/>
    </w:rPr>
  </w:style>
  <w:style w:type="paragraph" w:customStyle="1" w:styleId="141">
    <w:name w:val="CM7"/>
    <w:basedOn w:val="87"/>
    <w:next w:val="87"/>
    <w:qFormat/>
    <w:uiPriority w:val="99"/>
    <w:pPr>
      <w:spacing w:line="318" w:lineRule="atLeast"/>
    </w:pPr>
    <w:rPr>
      <w:rFonts w:cs="Times New Roman"/>
      <w:color w:val="auto"/>
    </w:rPr>
  </w:style>
  <w:style w:type="paragraph" w:customStyle="1" w:styleId="142">
    <w:name w:val="CM17"/>
    <w:basedOn w:val="87"/>
    <w:next w:val="87"/>
    <w:qFormat/>
    <w:uiPriority w:val="99"/>
    <w:pPr>
      <w:spacing w:line="440" w:lineRule="atLeast"/>
    </w:pPr>
    <w:rPr>
      <w:rFonts w:cs="Times New Roman"/>
      <w:color w:val="auto"/>
    </w:rPr>
  </w:style>
  <w:style w:type="paragraph" w:customStyle="1" w:styleId="143">
    <w:name w:val="CM96"/>
    <w:basedOn w:val="87"/>
    <w:next w:val="87"/>
    <w:qFormat/>
    <w:uiPriority w:val="99"/>
    <w:rPr>
      <w:rFonts w:cs="Times New Roman"/>
      <w:color w:val="auto"/>
    </w:rPr>
  </w:style>
  <w:style w:type="paragraph" w:customStyle="1" w:styleId="144">
    <w:name w:val="Char Char Char Char"/>
    <w:basedOn w:val="1"/>
    <w:qFormat/>
    <w:uiPriority w:val="0"/>
    <w:pPr>
      <w:spacing w:line="360" w:lineRule="auto"/>
      <w:ind w:firstLine="200" w:firstLineChars="200"/>
    </w:pPr>
    <w:rPr>
      <w:rFonts w:ascii="宋体" w:hAnsi="宋体" w:cs="宋体"/>
      <w:sz w:val="24"/>
      <w:szCs w:val="24"/>
    </w:rPr>
  </w:style>
  <w:style w:type="paragraph" w:customStyle="1" w:styleId="145">
    <w:name w:val="CM97"/>
    <w:basedOn w:val="87"/>
    <w:next w:val="87"/>
    <w:qFormat/>
    <w:uiPriority w:val="99"/>
    <w:rPr>
      <w:rFonts w:cs="Times New Roman"/>
      <w:color w:val="auto"/>
    </w:rPr>
  </w:style>
  <w:style w:type="paragraph" w:customStyle="1" w:styleId="146">
    <w:name w:val="CM11"/>
    <w:basedOn w:val="87"/>
    <w:next w:val="87"/>
    <w:qFormat/>
    <w:uiPriority w:val="99"/>
    <w:pPr>
      <w:spacing w:line="313" w:lineRule="atLeast"/>
    </w:pPr>
    <w:rPr>
      <w:rFonts w:cs="Times New Roman"/>
      <w:color w:val="auto"/>
    </w:rPr>
  </w:style>
  <w:style w:type="paragraph" w:customStyle="1" w:styleId="147">
    <w:name w:val="CM35"/>
    <w:basedOn w:val="87"/>
    <w:next w:val="87"/>
    <w:qFormat/>
    <w:uiPriority w:val="99"/>
    <w:pPr>
      <w:spacing w:line="400" w:lineRule="atLeast"/>
    </w:pPr>
    <w:rPr>
      <w:rFonts w:cs="Times New Roman"/>
      <w:color w:val="auto"/>
    </w:rPr>
  </w:style>
  <w:style w:type="paragraph" w:customStyle="1" w:styleId="148">
    <w:name w:val="CM102"/>
    <w:basedOn w:val="87"/>
    <w:next w:val="87"/>
    <w:qFormat/>
    <w:uiPriority w:val="99"/>
    <w:rPr>
      <w:rFonts w:cs="Times New Roman"/>
      <w:color w:val="auto"/>
    </w:rPr>
  </w:style>
  <w:style w:type="paragraph" w:customStyle="1" w:styleId="149">
    <w:name w:val="CM54"/>
    <w:basedOn w:val="87"/>
    <w:next w:val="87"/>
    <w:qFormat/>
    <w:uiPriority w:val="99"/>
    <w:rPr>
      <w:rFonts w:cs="Times New Roman"/>
      <w:color w:val="auto"/>
    </w:rPr>
  </w:style>
  <w:style w:type="paragraph" w:customStyle="1" w:styleId="150">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51">
    <w:name w:val="CM84"/>
    <w:basedOn w:val="87"/>
    <w:next w:val="87"/>
    <w:qFormat/>
    <w:uiPriority w:val="99"/>
    <w:pPr>
      <w:spacing w:line="400" w:lineRule="atLeast"/>
    </w:pPr>
    <w:rPr>
      <w:rFonts w:cs="Times New Roman"/>
      <w:color w:val="auto"/>
    </w:rPr>
  </w:style>
  <w:style w:type="paragraph" w:customStyle="1" w:styleId="152">
    <w:name w:val="CM60"/>
    <w:basedOn w:val="87"/>
    <w:next w:val="87"/>
    <w:qFormat/>
    <w:uiPriority w:val="99"/>
    <w:pPr>
      <w:spacing w:line="400" w:lineRule="atLeast"/>
    </w:pPr>
    <w:rPr>
      <w:rFonts w:cs="Times New Roman"/>
      <w:color w:val="auto"/>
    </w:rPr>
  </w:style>
  <w:style w:type="paragraph" w:customStyle="1" w:styleId="153">
    <w:name w:val="CM46"/>
    <w:basedOn w:val="87"/>
    <w:next w:val="87"/>
    <w:qFormat/>
    <w:uiPriority w:val="99"/>
    <w:pPr>
      <w:spacing w:line="440" w:lineRule="atLeast"/>
    </w:pPr>
    <w:rPr>
      <w:rFonts w:cs="Times New Roman"/>
      <w:color w:val="auto"/>
    </w:rPr>
  </w:style>
  <w:style w:type="paragraph" w:customStyle="1" w:styleId="154">
    <w:name w:val="CM62"/>
    <w:basedOn w:val="87"/>
    <w:next w:val="87"/>
    <w:qFormat/>
    <w:uiPriority w:val="99"/>
    <w:rPr>
      <w:rFonts w:cs="Times New Roman"/>
      <w:color w:val="auto"/>
    </w:rPr>
  </w:style>
  <w:style w:type="paragraph" w:customStyle="1" w:styleId="155">
    <w:name w:val="1 Char"/>
    <w:basedOn w:val="1"/>
    <w:qFormat/>
    <w:uiPriority w:val="0"/>
    <w:pPr>
      <w:spacing w:line="360" w:lineRule="auto"/>
      <w:ind w:firstLine="200" w:firstLineChars="200"/>
    </w:pPr>
    <w:rPr>
      <w:rFonts w:ascii="宋体" w:hAnsi="宋体" w:cs="宋体"/>
      <w:sz w:val="24"/>
      <w:szCs w:val="24"/>
    </w:rPr>
  </w:style>
  <w:style w:type="paragraph" w:customStyle="1" w:styleId="156">
    <w:name w:val="CM107"/>
    <w:basedOn w:val="87"/>
    <w:next w:val="87"/>
    <w:qFormat/>
    <w:uiPriority w:val="99"/>
    <w:rPr>
      <w:rFonts w:cs="Times New Roman"/>
      <w:color w:val="auto"/>
    </w:rPr>
  </w:style>
  <w:style w:type="paragraph" w:customStyle="1" w:styleId="157">
    <w:name w:val="CM115"/>
    <w:basedOn w:val="87"/>
    <w:next w:val="87"/>
    <w:qFormat/>
    <w:uiPriority w:val="99"/>
    <w:rPr>
      <w:rFonts w:cs="Times New Roman"/>
      <w:color w:val="auto"/>
    </w:rPr>
  </w:style>
  <w:style w:type="paragraph" w:customStyle="1" w:styleId="158">
    <w:name w:val="Char1"/>
    <w:basedOn w:val="1"/>
    <w:qFormat/>
    <w:uiPriority w:val="0"/>
    <w:pPr>
      <w:spacing w:line="360" w:lineRule="auto"/>
      <w:ind w:firstLine="200" w:firstLineChars="200"/>
    </w:pPr>
    <w:rPr>
      <w:rFonts w:ascii="宋体" w:hAnsi="宋体" w:cs="宋体"/>
      <w:sz w:val="24"/>
      <w:szCs w:val="24"/>
    </w:rPr>
  </w:style>
  <w:style w:type="paragraph" w:customStyle="1" w:styleId="159">
    <w:name w:val="CM88"/>
    <w:basedOn w:val="87"/>
    <w:next w:val="87"/>
    <w:qFormat/>
    <w:uiPriority w:val="99"/>
    <w:pPr>
      <w:spacing w:line="440" w:lineRule="atLeast"/>
    </w:pPr>
    <w:rPr>
      <w:rFonts w:cs="Times New Roman"/>
      <w:color w:val="auto"/>
    </w:rPr>
  </w:style>
  <w:style w:type="paragraph" w:styleId="160">
    <w:name w:val="List Paragraph"/>
    <w:basedOn w:val="1"/>
    <w:qFormat/>
    <w:uiPriority w:val="1"/>
    <w:pPr>
      <w:ind w:firstLine="420" w:firstLineChars="200"/>
    </w:pPr>
  </w:style>
  <w:style w:type="paragraph" w:customStyle="1" w:styleId="161">
    <w:name w:val="CM52"/>
    <w:basedOn w:val="87"/>
    <w:next w:val="87"/>
    <w:qFormat/>
    <w:uiPriority w:val="99"/>
    <w:pPr>
      <w:spacing w:line="400" w:lineRule="atLeast"/>
    </w:pPr>
    <w:rPr>
      <w:rFonts w:cs="Times New Roman"/>
      <w:color w:val="auto"/>
    </w:rPr>
  </w:style>
  <w:style w:type="paragraph" w:customStyle="1" w:styleId="162">
    <w:name w:val="CM41"/>
    <w:basedOn w:val="87"/>
    <w:next w:val="87"/>
    <w:qFormat/>
    <w:uiPriority w:val="99"/>
    <w:pPr>
      <w:spacing w:line="400" w:lineRule="atLeast"/>
    </w:pPr>
    <w:rPr>
      <w:rFonts w:cs="Times New Roman"/>
      <w:color w:val="auto"/>
    </w:rPr>
  </w:style>
  <w:style w:type="paragraph" w:customStyle="1" w:styleId="163">
    <w:name w:val="CM43"/>
    <w:basedOn w:val="87"/>
    <w:next w:val="87"/>
    <w:qFormat/>
    <w:uiPriority w:val="99"/>
    <w:pPr>
      <w:spacing w:line="440" w:lineRule="atLeast"/>
    </w:pPr>
    <w:rPr>
      <w:rFonts w:cs="Times New Roman"/>
      <w:color w:val="auto"/>
    </w:rPr>
  </w:style>
  <w:style w:type="paragraph" w:customStyle="1" w:styleId="164">
    <w:name w:val="CM101"/>
    <w:basedOn w:val="87"/>
    <w:next w:val="87"/>
    <w:qFormat/>
    <w:uiPriority w:val="99"/>
    <w:rPr>
      <w:rFonts w:cs="Times New Roman"/>
      <w:color w:val="auto"/>
    </w:rPr>
  </w:style>
  <w:style w:type="paragraph" w:customStyle="1" w:styleId="165">
    <w:name w:val="CM26"/>
    <w:basedOn w:val="87"/>
    <w:next w:val="87"/>
    <w:qFormat/>
    <w:uiPriority w:val="99"/>
    <w:pPr>
      <w:spacing w:line="400" w:lineRule="atLeast"/>
    </w:pPr>
    <w:rPr>
      <w:rFonts w:cs="Times New Roman"/>
      <w:color w:val="auto"/>
    </w:rPr>
  </w:style>
  <w:style w:type="paragraph" w:customStyle="1" w:styleId="166">
    <w:name w:val="CM100"/>
    <w:basedOn w:val="87"/>
    <w:next w:val="87"/>
    <w:qFormat/>
    <w:uiPriority w:val="99"/>
    <w:rPr>
      <w:rFonts w:cs="Times New Roman"/>
      <w:color w:val="auto"/>
    </w:rPr>
  </w:style>
  <w:style w:type="paragraph" w:customStyle="1" w:styleId="167">
    <w:name w:val="Char Char Char Char Char Char Char1"/>
    <w:basedOn w:val="15"/>
    <w:qFormat/>
    <w:uiPriority w:val="0"/>
    <w:rPr>
      <w:rFonts w:ascii="Tahoma" w:hAnsi="Tahoma"/>
      <w:sz w:val="24"/>
    </w:rPr>
  </w:style>
  <w:style w:type="paragraph" w:customStyle="1" w:styleId="168">
    <w:name w:val="CM83"/>
    <w:basedOn w:val="87"/>
    <w:next w:val="87"/>
    <w:qFormat/>
    <w:uiPriority w:val="99"/>
    <w:pPr>
      <w:spacing w:line="400" w:lineRule="atLeast"/>
    </w:pPr>
    <w:rPr>
      <w:rFonts w:cs="Times New Roman"/>
      <w:color w:val="auto"/>
    </w:rPr>
  </w:style>
  <w:style w:type="paragraph" w:customStyle="1" w:styleId="169">
    <w:name w:val="CM64"/>
    <w:basedOn w:val="87"/>
    <w:next w:val="87"/>
    <w:qFormat/>
    <w:uiPriority w:val="99"/>
    <w:pPr>
      <w:spacing w:line="398" w:lineRule="atLeast"/>
    </w:pPr>
    <w:rPr>
      <w:rFonts w:cs="Times New Roman"/>
      <w:color w:val="auto"/>
    </w:rPr>
  </w:style>
  <w:style w:type="paragraph" w:customStyle="1" w:styleId="170">
    <w:name w:val="CM49"/>
    <w:basedOn w:val="87"/>
    <w:next w:val="87"/>
    <w:qFormat/>
    <w:uiPriority w:val="99"/>
    <w:pPr>
      <w:spacing w:line="1020" w:lineRule="atLeast"/>
    </w:pPr>
    <w:rPr>
      <w:rFonts w:cs="Times New Roman"/>
      <w:color w:val="auto"/>
    </w:rPr>
  </w:style>
  <w:style w:type="paragraph" w:customStyle="1" w:styleId="171">
    <w:name w:val="CM95"/>
    <w:basedOn w:val="87"/>
    <w:next w:val="87"/>
    <w:qFormat/>
    <w:uiPriority w:val="99"/>
    <w:pPr>
      <w:spacing w:line="440" w:lineRule="atLeast"/>
    </w:pPr>
    <w:rPr>
      <w:rFonts w:cs="Times New Roman"/>
      <w:color w:val="auto"/>
    </w:rPr>
  </w:style>
  <w:style w:type="paragraph" w:customStyle="1" w:styleId="172">
    <w:name w:val="CM20"/>
    <w:basedOn w:val="87"/>
    <w:next w:val="87"/>
    <w:qFormat/>
    <w:uiPriority w:val="99"/>
    <w:pPr>
      <w:spacing w:line="400" w:lineRule="atLeast"/>
    </w:pPr>
    <w:rPr>
      <w:rFonts w:cs="Times New Roman"/>
      <w:color w:val="auto"/>
    </w:rPr>
  </w:style>
  <w:style w:type="paragraph" w:customStyle="1" w:styleId="173">
    <w:name w:val="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74">
    <w:name w:val="xl25"/>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75">
    <w:name w:val="列出段落1"/>
    <w:basedOn w:val="1"/>
    <w:qFormat/>
    <w:uiPriority w:val="0"/>
    <w:pPr>
      <w:ind w:firstLine="420" w:firstLineChars="200"/>
    </w:pPr>
  </w:style>
  <w:style w:type="character" w:customStyle="1" w:styleId="176">
    <w:name w:val="正文文本 (2) + Sylfaen"/>
    <w:qFormat/>
    <w:uiPriority w:val="0"/>
    <w:rPr>
      <w:rFonts w:ascii="Sylfaen" w:hAnsi="Sylfaen" w:eastAsia="Sylfaen" w:cs="Sylfaen"/>
      <w:color w:val="000000"/>
      <w:spacing w:val="0"/>
      <w:w w:val="100"/>
      <w:position w:val="0"/>
      <w:sz w:val="22"/>
      <w:szCs w:val="22"/>
      <w:u w:val="none"/>
      <w:lang w:val="en-US" w:eastAsia="en-US" w:bidi="en-US"/>
    </w:rPr>
  </w:style>
  <w:style w:type="character" w:customStyle="1" w:styleId="177">
    <w:name w:val="正文文本 (2)_"/>
    <w:link w:val="178"/>
    <w:qFormat/>
    <w:uiPriority w:val="0"/>
    <w:rPr>
      <w:rFonts w:ascii="宋体" w:hAnsi="宋体" w:cs="宋体"/>
      <w:sz w:val="22"/>
      <w:szCs w:val="22"/>
      <w:shd w:val="clear" w:color="auto" w:fill="FFFFFF"/>
    </w:rPr>
  </w:style>
  <w:style w:type="paragraph" w:customStyle="1" w:styleId="178">
    <w:name w:val="正文文本 (2)"/>
    <w:basedOn w:val="1"/>
    <w:link w:val="177"/>
    <w:qFormat/>
    <w:uiPriority w:val="0"/>
    <w:pPr>
      <w:shd w:val="clear" w:color="auto" w:fill="FFFFFF"/>
      <w:spacing w:before="300" w:line="439" w:lineRule="exact"/>
      <w:jc w:val="distribute"/>
    </w:pPr>
    <w:rPr>
      <w:rFonts w:ascii="宋体" w:hAnsi="宋体" w:cs="宋体"/>
      <w:kern w:val="0"/>
      <w:sz w:val="22"/>
    </w:rPr>
  </w:style>
  <w:style w:type="character" w:customStyle="1" w:styleId="179">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180">
    <w:name w:val="正文文本 (2) + Lucida Sans Unicode"/>
    <w:qFormat/>
    <w:uiPriority w:val="0"/>
    <w:rPr>
      <w:rFonts w:ascii="Lucida Sans Unicode" w:hAnsi="Lucida Sans Unicode" w:eastAsia="Lucida Sans Unicode" w:cs="Lucida Sans Unicode"/>
      <w:b/>
      <w:bCs/>
      <w:color w:val="000000"/>
      <w:spacing w:val="0"/>
      <w:w w:val="100"/>
      <w:position w:val="0"/>
      <w:sz w:val="20"/>
      <w:szCs w:val="20"/>
      <w:u w:val="none"/>
      <w:shd w:val="clear" w:color="auto" w:fill="FFFFFF"/>
      <w:lang w:val="en-US" w:eastAsia="en-US" w:bidi="en-US"/>
    </w:rPr>
  </w:style>
  <w:style w:type="character" w:customStyle="1" w:styleId="181">
    <w:name w:val="正文文本 (2) + 11.5 pt"/>
    <w:qFormat/>
    <w:uiPriority w:val="0"/>
    <w:rPr>
      <w:rFonts w:ascii="宋体" w:hAnsi="宋体" w:eastAsia="宋体" w:cs="宋体"/>
      <w:b/>
      <w:bCs/>
      <w:color w:val="000000"/>
      <w:spacing w:val="0"/>
      <w:w w:val="100"/>
      <w:position w:val="0"/>
      <w:sz w:val="23"/>
      <w:szCs w:val="23"/>
      <w:u w:val="none"/>
      <w:shd w:val="clear" w:color="auto" w:fill="FFFFFF"/>
      <w:lang w:val="zh-TW" w:eastAsia="zh-TW" w:bidi="zh-TW"/>
    </w:rPr>
  </w:style>
  <w:style w:type="character" w:customStyle="1" w:styleId="182">
    <w:name w:val="正文文本 (7) + 间距 0 pt Exact"/>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183">
    <w:name w:val="正文文本 (7)_"/>
    <w:link w:val="184"/>
    <w:qFormat/>
    <w:uiPriority w:val="0"/>
    <w:rPr>
      <w:rFonts w:ascii="宋体" w:hAnsi="宋体" w:cs="宋体"/>
      <w:spacing w:val="10"/>
      <w:sz w:val="22"/>
      <w:szCs w:val="22"/>
      <w:shd w:val="clear" w:color="auto" w:fill="FFFFFF"/>
    </w:rPr>
  </w:style>
  <w:style w:type="paragraph" w:customStyle="1" w:styleId="184">
    <w:name w:val="正文文本 (7)"/>
    <w:basedOn w:val="1"/>
    <w:link w:val="183"/>
    <w:qFormat/>
    <w:uiPriority w:val="0"/>
    <w:pPr>
      <w:shd w:val="clear" w:color="auto" w:fill="FFFFFF"/>
      <w:spacing w:before="120" w:after="300" w:line="0" w:lineRule="atLeast"/>
      <w:jc w:val="center"/>
    </w:pPr>
    <w:rPr>
      <w:rFonts w:ascii="宋体" w:hAnsi="宋体" w:cs="宋体"/>
      <w:spacing w:val="10"/>
      <w:kern w:val="0"/>
      <w:sz w:val="22"/>
    </w:rPr>
  </w:style>
  <w:style w:type="character" w:customStyle="1" w:styleId="185">
    <w:name w:val="正文文本 (14)_"/>
    <w:link w:val="186"/>
    <w:qFormat/>
    <w:uiPriority w:val="0"/>
    <w:rPr>
      <w:rFonts w:ascii="宋体" w:hAnsi="宋体" w:cs="宋体"/>
      <w:sz w:val="18"/>
      <w:szCs w:val="18"/>
      <w:shd w:val="clear" w:color="auto" w:fill="FFFFFF"/>
    </w:rPr>
  </w:style>
  <w:style w:type="paragraph" w:customStyle="1" w:styleId="186">
    <w:name w:val="正文文本 (14)"/>
    <w:basedOn w:val="1"/>
    <w:link w:val="185"/>
    <w:qFormat/>
    <w:uiPriority w:val="0"/>
    <w:pPr>
      <w:shd w:val="clear" w:color="auto" w:fill="FFFFFF"/>
      <w:spacing w:before="300" w:line="300" w:lineRule="exact"/>
      <w:jc w:val="distribute"/>
    </w:pPr>
    <w:rPr>
      <w:rFonts w:ascii="宋体" w:hAnsi="宋体" w:cs="宋体"/>
      <w:kern w:val="0"/>
      <w:sz w:val="18"/>
      <w:szCs w:val="18"/>
    </w:rPr>
  </w:style>
  <w:style w:type="character" w:customStyle="1" w:styleId="187">
    <w:name w:val="正文文本 (2) + 间距 4 pt"/>
    <w:qFormat/>
    <w:uiPriority w:val="0"/>
    <w:rPr>
      <w:rFonts w:ascii="宋体" w:hAnsi="宋体" w:eastAsia="宋体" w:cs="宋体"/>
      <w:color w:val="000000"/>
      <w:spacing w:val="80"/>
      <w:w w:val="100"/>
      <w:position w:val="0"/>
      <w:sz w:val="22"/>
      <w:szCs w:val="22"/>
      <w:u w:val="none"/>
      <w:shd w:val="clear" w:color="auto" w:fill="FFFFFF"/>
      <w:lang w:val="zh-TW" w:eastAsia="zh-TW" w:bidi="zh-TW"/>
    </w:rPr>
  </w:style>
  <w:style w:type="character" w:customStyle="1" w:styleId="188">
    <w:name w:val="页脚 字符"/>
    <w:qFormat/>
    <w:uiPriority w:val="99"/>
    <w:rPr>
      <w:kern w:val="2"/>
      <w:sz w:val="18"/>
      <w:szCs w:val="18"/>
    </w:rPr>
  </w:style>
  <w:style w:type="character" w:customStyle="1" w:styleId="189">
    <w:name w:val="脚注文本 字符"/>
    <w:qFormat/>
    <w:uiPriority w:val="0"/>
    <w:rPr>
      <w:kern w:val="2"/>
      <w:sz w:val="18"/>
      <w:szCs w:val="18"/>
    </w:rPr>
  </w:style>
  <w:style w:type="paragraph" w:customStyle="1" w:styleId="190">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91">
    <w:name w:val="修订1"/>
    <w:hidden/>
    <w:qFormat/>
    <w:uiPriority w:val="99"/>
    <w:rPr>
      <w:rFonts w:ascii="Calibri" w:hAnsi="Calibri" w:eastAsia="宋体" w:cs="Times New Roman"/>
      <w:kern w:val="2"/>
      <w:sz w:val="21"/>
      <w:szCs w:val="22"/>
      <w:lang w:val="en-US" w:eastAsia="zh-CN" w:bidi="ar-SA"/>
    </w:rPr>
  </w:style>
  <w:style w:type="paragraph" w:customStyle="1" w:styleId="192">
    <w:name w:val="三级"/>
    <w:basedOn w:val="4"/>
    <w:link w:val="193"/>
    <w:qFormat/>
    <w:uiPriority w:val="0"/>
    <w:pPr>
      <w:keepNext w:val="0"/>
      <w:keepLines w:val="0"/>
      <w:spacing w:before="120" w:after="120" w:line="415" w:lineRule="auto"/>
      <w:ind w:firstLine="241" w:firstLineChars="100"/>
      <w:jc w:val="center"/>
    </w:pPr>
    <w:rPr>
      <w:rFonts w:ascii="黑体" w:hAnsi="黑体" w:eastAsia="黑体"/>
      <w:b w:val="0"/>
    </w:rPr>
  </w:style>
  <w:style w:type="character" w:customStyle="1" w:styleId="193">
    <w:name w:val="三级 Char"/>
    <w:basedOn w:val="68"/>
    <w:link w:val="192"/>
    <w:qFormat/>
    <w:uiPriority w:val="0"/>
    <w:rPr>
      <w:rFonts w:ascii="黑体" w:hAnsi="黑体" w:eastAsia="黑体"/>
      <w:b w:val="0"/>
      <w:sz w:val="32"/>
      <w:szCs w:val="32"/>
    </w:rPr>
  </w:style>
  <w:style w:type="paragraph" w:customStyle="1" w:styleId="1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5">
    <w:name w:val="xl3192"/>
    <w:basedOn w:val="1"/>
    <w:qFormat/>
    <w:uiPriority w:val="0"/>
    <w:pPr>
      <w:widowControl/>
      <w:spacing w:before="100" w:beforeAutospacing="1" w:after="100" w:afterAutospacing="1"/>
      <w:jc w:val="left"/>
    </w:pPr>
    <w:rPr>
      <w:rFonts w:ascii="黑体" w:hAnsi="黑体" w:eastAsia="黑体" w:cs="宋体"/>
      <w:b/>
      <w:bCs/>
      <w:kern w:val="0"/>
      <w:sz w:val="28"/>
      <w:szCs w:val="28"/>
    </w:rPr>
  </w:style>
  <w:style w:type="paragraph" w:customStyle="1" w:styleId="196">
    <w:name w:val="xl3193"/>
    <w:basedOn w:val="1"/>
    <w:qFormat/>
    <w:uiPriority w:val="0"/>
    <w:pPr>
      <w:widowControl/>
      <w:spacing w:before="100" w:beforeAutospacing="1" w:after="100" w:afterAutospacing="1"/>
      <w:jc w:val="center"/>
    </w:pPr>
    <w:rPr>
      <w:rFonts w:ascii="黑体" w:hAnsi="黑体" w:eastAsia="黑体" w:cs="宋体"/>
      <w:b/>
      <w:bCs/>
      <w:kern w:val="0"/>
      <w:sz w:val="28"/>
      <w:szCs w:val="28"/>
    </w:rPr>
  </w:style>
  <w:style w:type="paragraph" w:customStyle="1" w:styleId="197">
    <w:name w:val="xl3194"/>
    <w:basedOn w:val="1"/>
    <w:qFormat/>
    <w:uiPriority w:val="0"/>
    <w:pPr>
      <w:widowControl/>
      <w:spacing w:before="100" w:beforeAutospacing="1" w:after="100" w:afterAutospacing="1"/>
      <w:jc w:val="right"/>
    </w:pPr>
    <w:rPr>
      <w:rFonts w:ascii="黑体" w:hAnsi="黑体" w:eastAsia="黑体" w:cs="宋体"/>
      <w:b/>
      <w:bCs/>
      <w:kern w:val="0"/>
      <w:sz w:val="28"/>
      <w:szCs w:val="28"/>
    </w:rPr>
  </w:style>
  <w:style w:type="paragraph" w:customStyle="1" w:styleId="198">
    <w:name w:val="xl3195"/>
    <w:basedOn w:val="1"/>
    <w:qFormat/>
    <w:uiPriority w:val="0"/>
    <w:pPr>
      <w:widowControl/>
      <w:spacing w:before="100" w:beforeAutospacing="1" w:after="100" w:afterAutospacing="1"/>
      <w:ind w:firstLine="1200" w:firstLineChars="1200"/>
      <w:jc w:val="left"/>
    </w:pPr>
    <w:rPr>
      <w:rFonts w:ascii="黑体" w:hAnsi="黑体" w:eastAsia="黑体" w:cs="宋体"/>
      <w:b/>
      <w:bCs/>
      <w:kern w:val="0"/>
      <w:sz w:val="28"/>
      <w:szCs w:val="28"/>
    </w:rPr>
  </w:style>
  <w:style w:type="paragraph" w:customStyle="1" w:styleId="199">
    <w:name w:val="xl319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0">
    <w:name w:val="xl3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1">
    <w:name w:val="xl31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02">
    <w:name w:val="xl3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3">
    <w:name w:val="xl3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04">
    <w:name w:val="xl3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5">
    <w:name w:val="xl3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6">
    <w:name w:val="xl32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7">
    <w:name w:val="xl32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8">
    <w:name w:val="xl3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09">
    <w:name w:val="xl3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10">
    <w:name w:val="xl3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11">
    <w:name w:val="xl3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12">
    <w:name w:val="xl3209"/>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13">
    <w:name w:val="xl32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14">
    <w:name w:val="xl3211"/>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215">
    <w:name w:val="xl3212"/>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s="宋体"/>
      <w:kern w:val="0"/>
      <w:sz w:val="20"/>
      <w:szCs w:val="20"/>
    </w:rPr>
  </w:style>
  <w:style w:type="paragraph" w:customStyle="1" w:styleId="216">
    <w:name w:val="xl3213"/>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right"/>
    </w:pPr>
    <w:rPr>
      <w:rFonts w:ascii="宋体" w:hAnsi="宋体" w:cs="宋体"/>
      <w:kern w:val="0"/>
      <w:sz w:val="20"/>
      <w:szCs w:val="20"/>
    </w:rPr>
  </w:style>
  <w:style w:type="paragraph" w:customStyle="1" w:styleId="217">
    <w:name w:val="xl3214"/>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218">
    <w:name w:val="xl32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19">
    <w:name w:val="xl321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20">
    <w:name w:val="xl32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1">
    <w:name w:val="xl321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0"/>
      <w:szCs w:val="20"/>
    </w:rPr>
  </w:style>
  <w:style w:type="paragraph" w:customStyle="1" w:styleId="222">
    <w:name w:val="xl3219"/>
    <w:basedOn w:val="1"/>
    <w:qFormat/>
    <w:uiPriority w:val="0"/>
    <w:pPr>
      <w:widowControl/>
      <w:pBdr>
        <w:top w:val="single" w:color="auto" w:sz="4" w:space="0"/>
        <w:bottom w:val="single" w:color="auto" w:sz="4" w:space="0"/>
      </w:pBdr>
      <w:spacing w:before="100" w:beforeAutospacing="1" w:after="100" w:afterAutospacing="1"/>
      <w:jc w:val="right"/>
    </w:pPr>
    <w:rPr>
      <w:rFonts w:ascii="宋体" w:hAnsi="宋体" w:cs="宋体"/>
      <w:kern w:val="0"/>
      <w:sz w:val="20"/>
      <w:szCs w:val="20"/>
    </w:rPr>
  </w:style>
  <w:style w:type="paragraph" w:customStyle="1" w:styleId="223">
    <w:name w:val="xl322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224">
    <w:name w:val="xl32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25">
    <w:name w:val="xl3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26">
    <w:name w:val="xl3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7">
    <w:name w:val="xl3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28">
    <w:name w:val="xl3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29">
    <w:name w:val="xl3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30">
    <w:name w:val="xl3227"/>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1">
    <w:name w:val="xl322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2">
    <w:name w:val="xl3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3">
    <w:name w:val="xl32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34">
    <w:name w:val="xl3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36">
    <w:name w:val="网格型1"/>
    <w:basedOn w:val="5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2"/>
    <w:basedOn w:val="5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8">
    <w:name w:val="正文文本 3 字符"/>
    <w:basedOn w:val="57"/>
    <w:link w:val="18"/>
    <w:qFormat/>
    <w:uiPriority w:val="0"/>
    <w:rPr>
      <w:rFonts w:ascii="宋体"/>
      <w:kern w:val="2"/>
      <w:sz w:val="24"/>
    </w:rPr>
  </w:style>
  <w:style w:type="character" w:customStyle="1" w:styleId="239">
    <w:name w:val="正文文本缩进 字符"/>
    <w:basedOn w:val="57"/>
    <w:link w:val="20"/>
    <w:qFormat/>
    <w:uiPriority w:val="0"/>
    <w:rPr>
      <w:kern w:val="2"/>
      <w:sz w:val="28"/>
      <w:szCs w:val="24"/>
    </w:rPr>
  </w:style>
  <w:style w:type="character" w:customStyle="1" w:styleId="240">
    <w:name w:val="正文文本首行缩进 2 字符"/>
    <w:basedOn w:val="239"/>
    <w:link w:val="54"/>
    <w:qFormat/>
    <w:uiPriority w:val="0"/>
    <w:rPr>
      <w:kern w:val="2"/>
      <w:sz w:val="21"/>
      <w:szCs w:val="24"/>
    </w:rPr>
  </w:style>
  <w:style w:type="table" w:customStyle="1" w:styleId="241">
    <w:name w:val="网格型3"/>
    <w:basedOn w:val="5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2">
    <w:name w:val="标题 7 字符"/>
    <w:link w:val="8"/>
    <w:qFormat/>
    <w:uiPriority w:val="0"/>
    <w:rPr>
      <w:bCs/>
      <w:sz w:val="24"/>
      <w:szCs w:val="24"/>
    </w:rPr>
  </w:style>
  <w:style w:type="character" w:customStyle="1" w:styleId="243">
    <w:name w:val="标题 8 字符"/>
    <w:link w:val="9"/>
    <w:qFormat/>
    <w:uiPriority w:val="0"/>
    <w:rPr>
      <w:rFonts w:ascii="Arial" w:hAnsi="Arial" w:eastAsia="黑体"/>
      <w:b/>
      <w:sz w:val="24"/>
      <w:szCs w:val="24"/>
    </w:rPr>
  </w:style>
  <w:style w:type="character" w:customStyle="1" w:styleId="244">
    <w:name w:val="标题 9 字符"/>
    <w:link w:val="10"/>
    <w:qFormat/>
    <w:uiPriority w:val="0"/>
    <w:rPr>
      <w:rFonts w:ascii="Arial" w:hAnsi="Arial" w:eastAsia="黑体"/>
      <w:b/>
      <w:sz w:val="21"/>
      <w:szCs w:val="21"/>
    </w:rPr>
  </w:style>
  <w:style w:type="character" w:customStyle="1" w:styleId="245">
    <w:name w:val="日期 字符"/>
    <w:link w:val="28"/>
    <w:qFormat/>
    <w:uiPriority w:val="0"/>
    <w:rPr>
      <w:kern w:val="2"/>
      <w:sz w:val="21"/>
      <w:szCs w:val="24"/>
    </w:rPr>
  </w:style>
  <w:style w:type="paragraph" w:customStyle="1" w:styleId="24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character" w:customStyle="1" w:styleId="247">
    <w:name w:val="批注文字 字符"/>
    <w:link w:val="17"/>
    <w:qFormat/>
    <w:uiPriority w:val="0"/>
    <w:rPr>
      <w:rFonts w:ascii="Calibri" w:hAnsi="Calibri"/>
      <w:kern w:val="2"/>
      <w:sz w:val="21"/>
      <w:szCs w:val="22"/>
    </w:rPr>
  </w:style>
  <w:style w:type="character" w:customStyle="1" w:styleId="248">
    <w:name w:val="标题 字符"/>
    <w:link w:val="51"/>
    <w:qFormat/>
    <w:uiPriority w:val="0"/>
    <w:rPr>
      <w:rFonts w:ascii="Arial" w:hAnsi="Arial" w:cs="Arial"/>
      <w:b/>
      <w:bCs/>
      <w:sz w:val="44"/>
      <w:szCs w:val="32"/>
    </w:rPr>
  </w:style>
  <w:style w:type="character" w:customStyle="1" w:styleId="249">
    <w:name w:val="正文文本缩进 3 字符"/>
    <w:link w:val="43"/>
    <w:qFormat/>
    <w:uiPriority w:val="0"/>
    <w:rPr>
      <w:kern w:val="2"/>
      <w:sz w:val="21"/>
      <w:szCs w:val="24"/>
    </w:rPr>
  </w:style>
  <w:style w:type="paragraph" w:customStyle="1" w:styleId="250">
    <w:name w:val="1"/>
    <w:basedOn w:val="1"/>
    <w:qFormat/>
    <w:uiPriority w:val="0"/>
    <w:rPr>
      <w:rFonts w:ascii="Times New Roman" w:hAnsi="Times New Roman"/>
      <w:szCs w:val="24"/>
    </w:rPr>
  </w:style>
  <w:style w:type="character" w:customStyle="1" w:styleId="251">
    <w:name w:val="font161"/>
    <w:qFormat/>
    <w:uiPriority w:val="0"/>
    <w:rPr>
      <w:b/>
      <w:bCs/>
      <w:sz w:val="32"/>
      <w:szCs w:val="32"/>
    </w:rPr>
  </w:style>
  <w:style w:type="paragraph" w:customStyle="1" w:styleId="252">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253">
    <w:name w:val="表格"/>
    <w:basedOn w:val="1"/>
    <w:qFormat/>
    <w:uiPriority w:val="0"/>
    <w:pPr>
      <w:jc w:val="center"/>
      <w:textAlignment w:val="center"/>
    </w:pPr>
    <w:rPr>
      <w:rFonts w:ascii="华文细黑" w:hAnsi="华文细黑"/>
      <w:kern w:val="0"/>
      <w:szCs w:val="20"/>
    </w:rPr>
  </w:style>
  <w:style w:type="paragraph" w:customStyle="1" w:styleId="254">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character" w:customStyle="1" w:styleId="255">
    <w:name w:val="文档结构图 字符"/>
    <w:link w:val="15"/>
    <w:qFormat/>
    <w:uiPriority w:val="0"/>
    <w:rPr>
      <w:rFonts w:ascii="Calibri" w:hAnsi="Calibri"/>
      <w:kern w:val="2"/>
      <w:sz w:val="21"/>
      <w:szCs w:val="22"/>
      <w:shd w:val="clear" w:color="auto" w:fill="000080"/>
    </w:rPr>
  </w:style>
  <w:style w:type="character" w:customStyle="1" w:styleId="256">
    <w:name w:val="正文文本缩进 2 字符"/>
    <w:link w:val="29"/>
    <w:qFormat/>
    <w:uiPriority w:val="0"/>
    <w:rPr>
      <w:kern w:val="2"/>
      <w:sz w:val="21"/>
      <w:szCs w:val="24"/>
    </w:rPr>
  </w:style>
  <w:style w:type="character" w:customStyle="1" w:styleId="257">
    <w:name w:val="正文文本 2 字符"/>
    <w:link w:val="46"/>
    <w:qFormat/>
    <w:uiPriority w:val="0"/>
    <w:rPr>
      <w:kern w:val="2"/>
      <w:sz w:val="21"/>
      <w:szCs w:val="24"/>
    </w:rPr>
  </w:style>
  <w:style w:type="paragraph" w:customStyle="1" w:styleId="258">
    <w:name w:val="表格文字居中"/>
    <w:basedOn w:val="1"/>
    <w:next w:val="1"/>
    <w:qFormat/>
    <w:uiPriority w:val="0"/>
    <w:pPr>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character" w:customStyle="1" w:styleId="259">
    <w:name w:val="尾注文本 字符"/>
    <w:link w:val="30"/>
    <w:qFormat/>
    <w:uiPriority w:val="0"/>
    <w:rPr>
      <w:kern w:val="2"/>
      <w:sz w:val="21"/>
      <w:szCs w:val="24"/>
    </w:rPr>
  </w:style>
  <w:style w:type="character" w:customStyle="1" w:styleId="260">
    <w:name w:val="批注主题 字符"/>
    <w:link w:val="52"/>
    <w:qFormat/>
    <w:uiPriority w:val="0"/>
    <w:rPr>
      <w:rFonts w:ascii="Calibri" w:hAnsi="Calibri"/>
      <w:b/>
      <w:bCs/>
      <w:kern w:val="2"/>
      <w:sz w:val="21"/>
      <w:szCs w:val="22"/>
    </w:rPr>
  </w:style>
  <w:style w:type="paragraph" w:styleId="261">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262">
    <w:name w:val="Quote"/>
    <w:basedOn w:val="1"/>
    <w:next w:val="1"/>
    <w:link w:val="263"/>
    <w:qFormat/>
    <w:uiPriority w:val="0"/>
    <w:rPr>
      <w:i/>
      <w:iCs/>
      <w:color w:val="000000"/>
    </w:rPr>
  </w:style>
  <w:style w:type="character" w:customStyle="1" w:styleId="263">
    <w:name w:val="引用 字符"/>
    <w:basedOn w:val="57"/>
    <w:link w:val="262"/>
    <w:qFormat/>
    <w:uiPriority w:val="0"/>
    <w:rPr>
      <w:rFonts w:ascii="Calibri" w:hAnsi="Calibri"/>
      <w:i/>
      <w:iCs/>
      <w:color w:val="000000"/>
      <w:kern w:val="2"/>
      <w:sz w:val="21"/>
      <w:szCs w:val="22"/>
    </w:rPr>
  </w:style>
  <w:style w:type="paragraph" w:styleId="264">
    <w:name w:val="Intense Quote"/>
    <w:basedOn w:val="1"/>
    <w:next w:val="1"/>
    <w:link w:val="265"/>
    <w:qFormat/>
    <w:uiPriority w:val="0"/>
    <w:pPr>
      <w:pBdr>
        <w:bottom w:val="single" w:color="4F81BD" w:sz="4" w:space="4"/>
      </w:pBdr>
      <w:spacing w:before="200" w:after="280"/>
      <w:ind w:left="936" w:right="936"/>
    </w:pPr>
    <w:rPr>
      <w:b/>
      <w:bCs/>
      <w:i/>
      <w:iCs/>
      <w:color w:val="4F81BD"/>
    </w:rPr>
  </w:style>
  <w:style w:type="character" w:customStyle="1" w:styleId="265">
    <w:name w:val="明显引用 字符"/>
    <w:basedOn w:val="57"/>
    <w:link w:val="264"/>
    <w:qFormat/>
    <w:uiPriority w:val="0"/>
    <w:rPr>
      <w:rFonts w:ascii="Calibri" w:hAnsi="Calibri"/>
      <w:b/>
      <w:bCs/>
      <w:i/>
      <w:iCs/>
      <w:color w:val="4F81BD"/>
      <w:kern w:val="2"/>
      <w:sz w:val="21"/>
      <w:szCs w:val="22"/>
    </w:rPr>
  </w:style>
  <w:style w:type="paragraph" w:customStyle="1" w:styleId="266">
    <w:name w:val="flNote"/>
    <w:basedOn w:val="1"/>
    <w:qFormat/>
    <w:uiPriority w:val="0"/>
    <w:pPr>
      <w:adjustRightInd w:val="0"/>
      <w:spacing w:before="320" w:after="160" w:line="360" w:lineRule="atLeast"/>
      <w:jc w:val="center"/>
    </w:pPr>
    <w:rPr>
      <w:rFonts w:ascii="Arial" w:hAnsi="Times New Roman" w:eastAsia="黑体"/>
      <w:kern w:val="0"/>
      <w:sz w:val="30"/>
      <w:szCs w:val="20"/>
    </w:rPr>
  </w:style>
  <w:style w:type="character" w:customStyle="1" w:styleId="267">
    <w:name w:val="标题4 Char Char"/>
    <w:link w:val="268"/>
    <w:qFormat/>
    <w:locked/>
    <w:uiPriority w:val="0"/>
    <w:rPr>
      <w:rFonts w:ascii="Arial" w:hAnsi="Arial" w:cs="Arial"/>
      <w:b/>
      <w:bCs/>
      <w:sz w:val="24"/>
      <w:szCs w:val="32"/>
    </w:rPr>
  </w:style>
  <w:style w:type="paragraph" w:customStyle="1" w:styleId="268">
    <w:name w:val="标题4"/>
    <w:basedOn w:val="3"/>
    <w:next w:val="23"/>
    <w:link w:val="267"/>
    <w:qFormat/>
    <w:uiPriority w:val="0"/>
    <w:pPr>
      <w:spacing w:line="412" w:lineRule="auto"/>
    </w:pPr>
    <w:rPr>
      <w:rFonts w:ascii="Arial" w:hAnsi="Arial" w:cs="Arial"/>
      <w:sz w:val="24"/>
    </w:rPr>
  </w:style>
  <w:style w:type="character" w:customStyle="1" w:styleId="269">
    <w:name w:val="标题5 Char Char"/>
    <w:link w:val="270"/>
    <w:qFormat/>
    <w:locked/>
    <w:uiPriority w:val="0"/>
    <w:rPr>
      <w:rFonts w:ascii="Arial" w:hAnsi="Arial" w:cs="Arial"/>
      <w:b/>
      <w:bCs/>
      <w:sz w:val="24"/>
      <w:szCs w:val="32"/>
    </w:rPr>
  </w:style>
  <w:style w:type="paragraph" w:customStyle="1" w:styleId="270">
    <w:name w:val="标题5"/>
    <w:basedOn w:val="4"/>
    <w:link w:val="269"/>
    <w:qFormat/>
    <w:uiPriority w:val="0"/>
    <w:pPr>
      <w:spacing w:line="412" w:lineRule="auto"/>
    </w:pPr>
    <w:rPr>
      <w:rFonts w:ascii="Arial" w:hAnsi="Arial" w:cs="Arial"/>
      <w:sz w:val="24"/>
    </w:rPr>
  </w:style>
  <w:style w:type="paragraph" w:customStyle="1" w:styleId="271">
    <w:name w:val="空半行"/>
    <w:basedOn w:val="1"/>
    <w:qFormat/>
    <w:uiPriority w:val="0"/>
    <w:pPr>
      <w:adjustRightInd w:val="0"/>
      <w:spacing w:line="120" w:lineRule="exact"/>
    </w:pPr>
    <w:rPr>
      <w:rFonts w:ascii="Times New Roman" w:hAnsi="Times New Roman" w:eastAsia="仿宋_GB2312"/>
      <w:color w:val="FFFFFF"/>
      <w:kern w:val="0"/>
      <w:sz w:val="30"/>
      <w:szCs w:val="20"/>
    </w:rPr>
  </w:style>
  <w:style w:type="character" w:customStyle="1" w:styleId="272">
    <w:name w:val="不明显强调1"/>
    <w:qFormat/>
    <w:uiPriority w:val="0"/>
    <w:rPr>
      <w:i/>
      <w:iCs/>
      <w:color w:val="808080"/>
    </w:rPr>
  </w:style>
  <w:style w:type="character" w:customStyle="1" w:styleId="273">
    <w:name w:val="明显强调1"/>
    <w:qFormat/>
    <w:uiPriority w:val="0"/>
    <w:rPr>
      <w:b/>
      <w:bCs/>
      <w:i/>
      <w:iCs/>
      <w:color w:val="4F81BD"/>
    </w:rPr>
  </w:style>
  <w:style w:type="character" w:customStyle="1" w:styleId="274">
    <w:name w:val="不明显参考1"/>
    <w:qFormat/>
    <w:uiPriority w:val="0"/>
    <w:rPr>
      <w:smallCaps/>
      <w:color w:val="C0504D"/>
      <w:u w:val="single"/>
    </w:rPr>
  </w:style>
  <w:style w:type="character" w:customStyle="1" w:styleId="275">
    <w:name w:val="明显参考1"/>
    <w:qFormat/>
    <w:uiPriority w:val="0"/>
    <w:rPr>
      <w:b/>
      <w:bCs/>
      <w:smallCaps/>
      <w:color w:val="C0504D"/>
      <w:spacing w:val="5"/>
      <w:u w:val="single"/>
    </w:rPr>
  </w:style>
  <w:style w:type="character" w:customStyle="1" w:styleId="276">
    <w:name w:val="书籍标题1"/>
    <w:qFormat/>
    <w:uiPriority w:val="0"/>
    <w:rPr>
      <w:b/>
      <w:bCs/>
      <w:smallCaps/>
      <w:spacing w:val="5"/>
    </w:rPr>
  </w:style>
  <w:style w:type="character" w:customStyle="1" w:styleId="277">
    <w:name w:val="textcontents"/>
    <w:qFormat/>
    <w:uiPriority w:val="0"/>
    <w:rPr>
      <w:rFonts w:hint="default" w:ascii="Times New Roman" w:hAnsi="Times New Roman" w:cs="Times New Roman"/>
    </w:rPr>
  </w:style>
  <w:style w:type="character" w:customStyle="1" w:styleId="278">
    <w:name w:val="日期 Char1"/>
    <w:qFormat/>
    <w:uiPriority w:val="0"/>
    <w:rPr>
      <w:kern w:val="2"/>
      <w:sz w:val="21"/>
      <w:szCs w:val="22"/>
    </w:rPr>
  </w:style>
  <w:style w:type="character" w:customStyle="1" w:styleId="279">
    <w:name w:val="正文文本 Char1"/>
    <w:qFormat/>
    <w:uiPriority w:val="0"/>
    <w:rPr>
      <w:kern w:val="2"/>
      <w:sz w:val="21"/>
      <w:szCs w:val="22"/>
    </w:rPr>
  </w:style>
  <w:style w:type="character" w:customStyle="1" w:styleId="280">
    <w:name w:val="批注主题 Char1"/>
    <w:qFormat/>
    <w:uiPriority w:val="0"/>
    <w:rPr>
      <w:b/>
      <w:bCs/>
      <w:kern w:val="2"/>
      <w:sz w:val="21"/>
      <w:szCs w:val="22"/>
    </w:rPr>
  </w:style>
  <w:style w:type="character" w:customStyle="1" w:styleId="281">
    <w:name w:val="批注文字 Char Char"/>
    <w:qFormat/>
    <w:uiPriority w:val="0"/>
    <w:rPr>
      <w:rFonts w:hint="eastAsia" w:ascii="宋体" w:hAnsi="Times New Roman" w:eastAsia="宋体" w:cs="Times New Roman"/>
      <w:sz w:val="28"/>
      <w:szCs w:val="20"/>
    </w:rPr>
  </w:style>
  <w:style w:type="character" w:customStyle="1" w:styleId="282">
    <w:name w:val="批注框文本 Char1"/>
    <w:qFormat/>
    <w:uiPriority w:val="0"/>
    <w:rPr>
      <w:kern w:val="2"/>
      <w:sz w:val="18"/>
      <w:szCs w:val="18"/>
    </w:rPr>
  </w:style>
  <w:style w:type="character" w:customStyle="1" w:styleId="283">
    <w:name w:val="文档结构图 Char1"/>
    <w:qFormat/>
    <w:uiPriority w:val="0"/>
    <w:rPr>
      <w:rFonts w:hint="eastAsia" w:ascii="宋体" w:hAnsi="宋体" w:eastAsia="宋体"/>
      <w:kern w:val="2"/>
      <w:sz w:val="18"/>
      <w:szCs w:val="18"/>
    </w:rPr>
  </w:style>
  <w:style w:type="character" w:customStyle="1" w:styleId="284">
    <w:name w:val="批注文字 Char1"/>
    <w:qFormat/>
    <w:uiPriority w:val="0"/>
    <w:rPr>
      <w:kern w:val="2"/>
      <w:sz w:val="21"/>
      <w:szCs w:val="22"/>
    </w:rPr>
  </w:style>
  <w:style w:type="character" w:customStyle="1" w:styleId="285">
    <w:name w:val="副标题 Char1"/>
    <w:qFormat/>
    <w:uiPriority w:val="0"/>
    <w:rPr>
      <w:rFonts w:hint="default" w:ascii="Cambria" w:hAnsi="Cambria" w:cs="Times New Roman"/>
      <w:b/>
      <w:bCs/>
      <w:kern w:val="28"/>
      <w:sz w:val="32"/>
      <w:szCs w:val="32"/>
    </w:rPr>
  </w:style>
  <w:style w:type="character" w:customStyle="1" w:styleId="286">
    <w:name w:val="标题 Char1"/>
    <w:qFormat/>
    <w:uiPriority w:val="0"/>
    <w:rPr>
      <w:rFonts w:hint="default" w:ascii="Cambria" w:hAnsi="Cambria" w:cs="Times New Roman"/>
      <w:b/>
      <w:bCs/>
      <w:kern w:val="2"/>
      <w:sz w:val="32"/>
      <w:szCs w:val="32"/>
    </w:rPr>
  </w:style>
  <w:style w:type="character" w:customStyle="1" w:styleId="287">
    <w:name w:val="明显引用 Char1"/>
    <w:qFormat/>
    <w:uiPriority w:val="30"/>
    <w:rPr>
      <w:b/>
      <w:bCs/>
      <w:i/>
      <w:iCs/>
      <w:color w:val="4F81BD"/>
      <w:kern w:val="2"/>
      <w:sz w:val="21"/>
      <w:szCs w:val="22"/>
    </w:rPr>
  </w:style>
  <w:style w:type="character" w:customStyle="1" w:styleId="288">
    <w:name w:val="页眉 Char1"/>
    <w:semiHidden/>
    <w:qFormat/>
    <w:uiPriority w:val="99"/>
    <w:rPr>
      <w:kern w:val="2"/>
      <w:sz w:val="18"/>
      <w:szCs w:val="18"/>
    </w:rPr>
  </w:style>
  <w:style w:type="character" w:customStyle="1" w:styleId="289">
    <w:name w:val="文档结构图 Char2"/>
    <w:qFormat/>
    <w:uiPriority w:val="0"/>
    <w:rPr>
      <w:rFonts w:hint="eastAsia" w:ascii="宋体" w:hAnsi="宋体" w:eastAsia="宋体"/>
      <w:kern w:val="2"/>
      <w:sz w:val="18"/>
      <w:szCs w:val="18"/>
    </w:rPr>
  </w:style>
  <w:style w:type="character" w:customStyle="1" w:styleId="290">
    <w:name w:val="正文文本 Char2"/>
    <w:qFormat/>
    <w:uiPriority w:val="0"/>
    <w:rPr>
      <w:kern w:val="2"/>
      <w:sz w:val="21"/>
      <w:szCs w:val="22"/>
    </w:rPr>
  </w:style>
  <w:style w:type="character" w:customStyle="1" w:styleId="291">
    <w:name w:val="引用 Char1"/>
    <w:qFormat/>
    <w:uiPriority w:val="29"/>
    <w:rPr>
      <w:i/>
      <w:iCs/>
      <w:color w:val="000000"/>
      <w:kern w:val="2"/>
      <w:sz w:val="21"/>
      <w:szCs w:val="22"/>
    </w:rPr>
  </w:style>
  <w:style w:type="character" w:customStyle="1" w:styleId="292">
    <w:name w:val="页脚 Char1"/>
    <w:semiHidden/>
    <w:qFormat/>
    <w:uiPriority w:val="99"/>
    <w:rPr>
      <w:kern w:val="2"/>
      <w:sz w:val="18"/>
      <w:szCs w:val="18"/>
    </w:rPr>
  </w:style>
  <w:style w:type="character" w:customStyle="1" w:styleId="293">
    <w:name w:val="批注主题 Char2"/>
    <w:qFormat/>
    <w:uiPriority w:val="0"/>
    <w:rPr>
      <w:b/>
      <w:bCs/>
      <w:kern w:val="2"/>
      <w:sz w:val="21"/>
      <w:szCs w:val="22"/>
    </w:rPr>
  </w:style>
  <w:style w:type="character" w:customStyle="1" w:styleId="294">
    <w:name w:val="日期 Char2"/>
    <w:qFormat/>
    <w:uiPriority w:val="0"/>
    <w:rPr>
      <w:kern w:val="2"/>
      <w:sz w:val="21"/>
      <w:szCs w:val="22"/>
    </w:rPr>
  </w:style>
  <w:style w:type="character" w:customStyle="1" w:styleId="295">
    <w:name w:val="批注框文本 Char2"/>
    <w:qFormat/>
    <w:uiPriority w:val="0"/>
    <w:rPr>
      <w:kern w:val="2"/>
      <w:sz w:val="18"/>
      <w:szCs w:val="18"/>
    </w:rPr>
  </w:style>
  <w:style w:type="paragraph" w:customStyle="1" w:styleId="296">
    <w:name w:val="Char Char1"/>
    <w:basedOn w:val="1"/>
    <w:qFormat/>
    <w:uiPriority w:val="0"/>
    <w:rPr>
      <w:rFonts w:ascii="Tahoma" w:hAnsi="Tahoma"/>
      <w:sz w:val="24"/>
      <w:szCs w:val="20"/>
    </w:rPr>
  </w:style>
  <w:style w:type="paragraph" w:customStyle="1" w:styleId="297">
    <w:name w:val="样式 标题 1 + 居中"/>
    <w:basedOn w:val="2"/>
    <w:qFormat/>
    <w:uiPriority w:val="0"/>
    <w:pPr>
      <w:spacing w:line="360" w:lineRule="auto"/>
      <w:jc w:val="center"/>
    </w:pPr>
    <w:rPr>
      <w:rFonts w:ascii="Times New Roman" w:hAnsi="Times New Roman" w:cs="宋体"/>
      <w:szCs w:val="20"/>
    </w:rPr>
  </w:style>
  <w:style w:type="paragraph" w:customStyle="1" w:styleId="298">
    <w:name w:val="样式 标题 1 + 居中1"/>
    <w:basedOn w:val="2"/>
    <w:qFormat/>
    <w:uiPriority w:val="0"/>
    <w:pPr>
      <w:spacing w:line="240" w:lineRule="auto"/>
      <w:jc w:val="center"/>
    </w:pPr>
    <w:rPr>
      <w:rFonts w:ascii="Times New Roman" w:hAnsi="Times New Roman" w:cs="宋体"/>
      <w:szCs w:val="20"/>
    </w:rPr>
  </w:style>
  <w:style w:type="paragraph" w:customStyle="1" w:styleId="299">
    <w:name w:val="样式 标题 3 + 字符缩放: 99%"/>
    <w:basedOn w:val="4"/>
    <w:qFormat/>
    <w:uiPriority w:val="0"/>
    <w:pPr>
      <w:spacing w:line="240" w:lineRule="auto"/>
    </w:pPr>
    <w:rPr>
      <w:rFonts w:ascii="Times New Roman" w:hAnsi="Times New Roman"/>
      <w:w w:val="99"/>
      <w:sz w:val="24"/>
    </w:rPr>
  </w:style>
  <w:style w:type="paragraph" w:customStyle="1" w:styleId="300">
    <w:name w:val="样式 标题 2 + 字符缩放: 99%"/>
    <w:basedOn w:val="3"/>
    <w:qFormat/>
    <w:uiPriority w:val="0"/>
    <w:pPr>
      <w:spacing w:line="240" w:lineRule="auto"/>
    </w:pPr>
    <w:rPr>
      <w:rFonts w:ascii="Arial" w:hAnsi="Arial"/>
      <w:w w:val="99"/>
    </w:rPr>
  </w:style>
  <w:style w:type="paragraph" w:customStyle="1" w:styleId="301">
    <w:name w:val="样式 标题 2 + 字符缩放: 99%1"/>
    <w:basedOn w:val="3"/>
    <w:qFormat/>
    <w:uiPriority w:val="0"/>
    <w:pPr>
      <w:spacing w:line="240" w:lineRule="auto"/>
    </w:pPr>
    <w:rPr>
      <w:rFonts w:ascii="Arial" w:hAnsi="Arial"/>
      <w:w w:val="99"/>
    </w:rPr>
  </w:style>
  <w:style w:type="paragraph" w:customStyle="1" w:styleId="302">
    <w:name w:val="样式 标题 2 + 字符缩放: 105%"/>
    <w:basedOn w:val="3"/>
    <w:qFormat/>
    <w:uiPriority w:val="0"/>
    <w:pPr>
      <w:spacing w:line="240" w:lineRule="auto"/>
    </w:pPr>
    <w:rPr>
      <w:rFonts w:ascii="Arial" w:hAnsi="Arial"/>
      <w:w w:val="105"/>
    </w:rPr>
  </w:style>
  <w:style w:type="paragraph" w:customStyle="1" w:styleId="303">
    <w:name w:val="样式 标题 1 + 仿宋_GB2312"/>
    <w:basedOn w:val="2"/>
    <w:qFormat/>
    <w:uiPriority w:val="0"/>
    <w:rPr>
      <w:rFonts w:ascii="仿宋_GB2312" w:hAnsi="仿宋_GB2312" w:eastAsia="仿宋_GB2312"/>
    </w:rPr>
  </w:style>
  <w:style w:type="paragraph" w:customStyle="1" w:styleId="304">
    <w:name w:val="样式1"/>
    <w:basedOn w:val="3"/>
    <w:qFormat/>
    <w:uiPriority w:val="0"/>
    <w:pPr>
      <w:keepNext w:val="0"/>
      <w:keepLines w:val="0"/>
      <w:widowControl/>
      <w:adjustRightInd w:val="0"/>
      <w:spacing w:before="0" w:after="0" w:line="460" w:lineRule="exact"/>
      <w:jc w:val="center"/>
      <w:textAlignment w:val="baseline"/>
    </w:pPr>
    <w:rPr>
      <w:rFonts w:ascii="Times New Roman" w:hAnsi="Times New Roman"/>
      <w:sz w:val="24"/>
      <w:szCs w:val="20"/>
    </w:rPr>
  </w:style>
  <w:style w:type="paragraph" w:customStyle="1" w:styleId="305">
    <w:name w:val="样式2"/>
    <w:basedOn w:val="2"/>
    <w:qFormat/>
    <w:uiPriority w:val="0"/>
    <w:pPr>
      <w:adjustRightInd w:val="0"/>
      <w:spacing w:before="0" w:after="0" w:line="360" w:lineRule="auto"/>
      <w:jc w:val="center"/>
      <w:textAlignment w:val="baseline"/>
    </w:pPr>
    <w:rPr>
      <w:rFonts w:ascii="Times New Roman" w:hAnsi="Times New Roman"/>
      <w:sz w:val="36"/>
      <w:szCs w:val="36"/>
    </w:rPr>
  </w:style>
  <w:style w:type="character" w:customStyle="1" w:styleId="306">
    <w:name w:val="正文文本缩进 Char1"/>
    <w:basedOn w:val="57"/>
    <w:qFormat/>
    <w:uiPriority w:val="0"/>
    <w:rPr>
      <w:rFonts w:ascii="Times New Roman" w:hAnsi="Times New Roman"/>
      <w:kern w:val="2"/>
      <w:sz w:val="28"/>
      <w:szCs w:val="24"/>
    </w:rPr>
  </w:style>
  <w:style w:type="paragraph" w:customStyle="1" w:styleId="307">
    <w:name w:val="正文1"/>
    <w:qFormat/>
    <w:uiPriority w:val="0"/>
    <w:pPr>
      <w:widowControl w:val="0"/>
      <w:autoSpaceDE w:val="0"/>
      <w:autoSpaceDN w:val="0"/>
      <w:adjustRightInd w:val="0"/>
      <w:spacing w:line="0" w:lineRule="atLeast"/>
      <w:textAlignment w:val="bottom"/>
    </w:pPr>
    <w:rPr>
      <w:rFonts w:ascii="宋体" w:hAnsi="Times New Roman" w:eastAsia="宋体" w:cs="Times New Roman"/>
      <w:spacing w:val="10"/>
      <w:sz w:val="21"/>
      <w:lang w:val="en-US" w:eastAsia="zh-CN" w:bidi="ar-SA"/>
    </w:rPr>
  </w:style>
  <w:style w:type="paragraph" w:customStyle="1" w:styleId="308">
    <w:name w:val="修订2"/>
    <w:hidden/>
    <w:unhideWhenUsed/>
    <w:qFormat/>
    <w:uiPriority w:val="99"/>
    <w:rPr>
      <w:rFonts w:ascii="Calibri" w:hAnsi="Calibri" w:eastAsia="宋体" w:cs="Times New Roman"/>
      <w:kern w:val="2"/>
      <w:sz w:val="21"/>
      <w:szCs w:val="22"/>
      <w:lang w:val="en-US" w:eastAsia="zh-CN" w:bidi="ar-SA"/>
    </w:rPr>
  </w:style>
  <w:style w:type="table" w:customStyle="1" w:styleId="309">
    <w:name w:val="网格型4"/>
    <w:basedOn w:val="5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0">
    <w:name w:val="Body text|1"/>
    <w:basedOn w:val="1"/>
    <w:qFormat/>
    <w:uiPriority w:val="0"/>
    <w:pPr>
      <w:spacing w:line="374" w:lineRule="auto"/>
      <w:ind w:firstLine="400"/>
    </w:pPr>
    <w:rPr>
      <w:rFonts w:ascii="宋体" w:hAnsi="宋体" w:cs="宋体"/>
      <w:sz w:val="22"/>
      <w:lang w:val="zh-TW" w:eastAsia="zh-TW" w:bidi="zh-TW"/>
    </w:rPr>
  </w:style>
  <w:style w:type="paragraph" w:customStyle="1" w:styleId="311">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12">
    <w:name w:val="Font Style32"/>
    <w:autoRedefine/>
    <w:qFormat/>
    <w:uiPriority w:val="0"/>
    <w:rPr>
      <w:rFonts w:ascii="宋体" w:hAnsi="Times New Roman" w:eastAsia="宋体" w:cs="宋体"/>
      <w:sz w:val="22"/>
      <w:szCs w:val="22"/>
      <w:lang w:val="en-US" w:eastAsia="zh-CN" w:bidi="ar-SA"/>
    </w:rPr>
  </w:style>
  <w:style w:type="paragraph" w:customStyle="1" w:styleId="313">
    <w:name w:val="MSG_EN_FONT_STYLE_NAME_TEMPLATE_ROLE_LEVEL MSG_EN_FONT_STYLE_NAME_BY_ROLE_HEADING 6"/>
    <w:basedOn w:val="1"/>
    <w:qFormat/>
    <w:uiPriority w:val="0"/>
    <w:pPr>
      <w:shd w:val="clear" w:color="auto" w:fill="FFFFFF"/>
      <w:spacing w:before="460" w:after="760" w:line="300" w:lineRule="exact"/>
      <w:jc w:val="distribute"/>
      <w:outlineLvl w:val="5"/>
    </w:pPr>
    <w:rPr>
      <w:rFonts w:ascii="@SJQY" w:hAnsi="@SJQY" w:eastAsia="@SJQY" w:cs="@SJQY"/>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1631</Words>
  <Characters>1960</Characters>
  <Lines>573</Lines>
  <Paragraphs>161</Paragraphs>
  <TotalTime>3</TotalTime>
  <ScaleCrop>false</ScaleCrop>
  <LinksUpToDate>false</LinksUpToDate>
  <CharactersWithSpaces>1963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2018-05-07T07:49:00Z</dcterms:created>
  <dc:creator>lenovo</dc:creator>
  <cp:lastModifiedBy>lenovo</cp:lastModifiedBy>
  <dcterms:modified xsi:type="dcterms:W3CDTF">2025-01-01T10:09:59Z</dcterms:modified>
  <cp:revision>504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BB04EB7281D54A92A382D3E57C1B8627</vt:lpwstr>
  </property>
  <property fmtid="{D5CDD505-2E9C-101B-9397-08002B2CF9AE}" pid="4" name="KSOTemplateDocerSaveRecord">
    <vt:lpwstr>eyJoZGlkIjoiYzE4NTYxOGVkOTViODQxMjFmMWIxMzE5ZTRlOGE3NmUiLCJ1c2VySWQiOiI0MzA2NDQ1NzAifQ==</vt:lpwstr>
  </property>
</Properties>
</file>