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957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32"/>
          <w:szCs w:val="32"/>
          <w:lang w:val="en-US" w:eastAsia="zh-CN"/>
        </w:rPr>
      </w:pPr>
    </w:p>
    <w:p w14:paraId="3ADD03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44"/>
          <w:szCs w:val="44"/>
          <w:lang w:val="en-US"/>
        </w:rPr>
      </w:pPr>
      <w:r>
        <w:rPr>
          <w:rFonts w:hint="eastAsia" w:ascii="黑体" w:hAnsi="黑体" w:eastAsia="黑体" w:cs="黑体"/>
          <w:sz w:val="44"/>
          <w:szCs w:val="44"/>
          <w:lang w:val="en-US" w:eastAsia="zh-CN"/>
        </w:rPr>
        <w:t>应急联席（视频）会议项目比选文件</w:t>
      </w:r>
    </w:p>
    <w:p w14:paraId="4BE6C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32"/>
          <w:szCs w:val="32"/>
        </w:rPr>
      </w:pPr>
    </w:p>
    <w:p w14:paraId="6FA1F7F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采购人（项目业主）吉林省公路交通应急保障中心拟对</w:t>
      </w:r>
      <w:r>
        <w:rPr>
          <w:rFonts w:hint="eastAsia" w:ascii="仿宋_GB2312" w:hAnsi="仿宋" w:eastAsia="仿宋_GB2312"/>
          <w:sz w:val="32"/>
          <w:szCs w:val="32"/>
          <w:lang w:val="en-US" w:eastAsia="zh-CN"/>
        </w:rPr>
        <w:t>应急联席（视频）会议</w:t>
      </w:r>
      <w:r>
        <w:rPr>
          <w:rFonts w:hint="eastAsia" w:ascii="仿宋_GB2312" w:hAnsi="仿宋" w:eastAsia="仿宋_GB2312"/>
          <w:sz w:val="32"/>
          <w:szCs w:val="32"/>
        </w:rPr>
        <w:t>项目采用</w:t>
      </w:r>
      <w:r>
        <w:rPr>
          <w:rFonts w:hint="eastAsia" w:ascii="仿宋_GB2312" w:hAnsi="仿宋" w:eastAsia="仿宋_GB2312"/>
          <w:sz w:val="32"/>
          <w:szCs w:val="32"/>
          <w:lang w:eastAsia="zh-CN"/>
        </w:rPr>
        <w:t>比选</w:t>
      </w:r>
      <w:r>
        <w:rPr>
          <w:rFonts w:hint="eastAsia" w:ascii="仿宋_GB2312" w:hAnsi="仿宋" w:eastAsia="仿宋_GB2312"/>
          <w:sz w:val="32"/>
          <w:szCs w:val="32"/>
        </w:rPr>
        <w:t>方式采购，请有意向参与本项目的供应商按以下要求进行报价。采购人将根据报价结果确定本项目供应商。</w:t>
      </w:r>
    </w:p>
    <w:p w14:paraId="33B2D0EB">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项目概况</w:t>
      </w:r>
    </w:p>
    <w:p w14:paraId="6E058988">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采购标的：</w:t>
      </w:r>
      <w:r>
        <w:rPr>
          <w:rFonts w:hint="eastAsia" w:ascii="仿宋_GB2312" w:hAnsi="仿宋" w:eastAsia="仿宋_GB2312"/>
          <w:sz w:val="32"/>
          <w:szCs w:val="32"/>
          <w:lang w:val="en-US" w:eastAsia="zh-CN"/>
        </w:rPr>
        <w:t>应急联席（视频）会议项目</w:t>
      </w:r>
    </w:p>
    <w:p w14:paraId="657A0F2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采购数量：</w:t>
      </w:r>
      <w:r>
        <w:rPr>
          <w:rFonts w:hint="eastAsia" w:ascii="仿宋_GB2312" w:hAnsi="仿宋" w:eastAsia="仿宋_GB2312"/>
          <w:sz w:val="32"/>
          <w:szCs w:val="32"/>
          <w:lang w:val="en-US" w:eastAsia="zh-CN"/>
        </w:rPr>
        <w:t>视频会议设备2套</w:t>
      </w:r>
    </w:p>
    <w:p w14:paraId="16A448FA">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预算金额：</w:t>
      </w:r>
      <w:r>
        <w:rPr>
          <w:rFonts w:hint="eastAsia" w:ascii="仿宋_GB2312" w:hAnsi="仿宋" w:eastAsia="仿宋_GB2312"/>
          <w:sz w:val="32"/>
          <w:szCs w:val="32"/>
          <w:lang w:val="en-US" w:eastAsia="zh-CN"/>
        </w:rPr>
        <w:t>100000</w:t>
      </w:r>
      <w:r>
        <w:rPr>
          <w:rFonts w:hint="eastAsia" w:ascii="仿宋_GB2312" w:hAnsi="仿宋" w:eastAsia="仿宋_GB2312"/>
          <w:sz w:val="32"/>
          <w:szCs w:val="32"/>
        </w:rPr>
        <w:t>元</w:t>
      </w:r>
      <w:r>
        <w:rPr>
          <w:rFonts w:hint="eastAsia" w:ascii="仿宋" w:hAnsi="仿宋" w:eastAsia="仿宋"/>
          <w:sz w:val="32"/>
          <w:szCs w:val="32"/>
        </w:rPr>
        <w:t>（</w:t>
      </w:r>
      <w:r>
        <w:rPr>
          <w:rFonts w:hint="eastAsia" w:ascii="仿宋" w:hAnsi="仿宋" w:eastAsia="仿宋" w:cs="仿宋"/>
          <w:sz w:val="32"/>
          <w:szCs w:val="32"/>
        </w:rPr>
        <w:t>供应商报价</w:t>
      </w:r>
      <w:r>
        <w:rPr>
          <w:rFonts w:hint="eastAsia" w:ascii="仿宋" w:hAnsi="仿宋" w:eastAsia="仿宋"/>
          <w:sz w:val="32"/>
          <w:szCs w:val="32"/>
        </w:rPr>
        <w:t>超过预算的为无效响应）</w:t>
      </w:r>
    </w:p>
    <w:p w14:paraId="37905153">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最高限价：</w:t>
      </w:r>
      <w:r>
        <w:rPr>
          <w:rFonts w:hint="eastAsia" w:ascii="仿宋_GB2312" w:hAnsi="仿宋" w:eastAsia="仿宋_GB2312"/>
          <w:sz w:val="32"/>
          <w:szCs w:val="32"/>
          <w:lang w:val="en-US" w:eastAsia="zh-CN"/>
        </w:rPr>
        <w:t>100000</w:t>
      </w:r>
      <w:r>
        <w:rPr>
          <w:rFonts w:hint="eastAsia" w:ascii="仿宋_GB2312" w:hAnsi="仿宋" w:eastAsia="仿宋_GB2312"/>
          <w:sz w:val="32"/>
          <w:szCs w:val="32"/>
        </w:rPr>
        <w:t>元</w:t>
      </w:r>
    </w:p>
    <w:p w14:paraId="368CA0F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项目联系人：</w:t>
      </w:r>
      <w:r>
        <w:rPr>
          <w:rFonts w:hint="eastAsia" w:ascii="仿宋_GB2312" w:hAnsi="仿宋" w:eastAsia="仿宋_GB2312"/>
          <w:sz w:val="32"/>
          <w:szCs w:val="32"/>
          <w:lang w:val="en-US" w:eastAsia="zh-CN"/>
        </w:rPr>
        <w:t>王俊彻</w:t>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联系电话：0431-</w:t>
      </w:r>
      <w:r>
        <w:rPr>
          <w:rFonts w:hint="eastAsia" w:ascii="仿宋_GB2312" w:hAnsi="仿宋" w:eastAsia="仿宋_GB2312"/>
          <w:sz w:val="32"/>
          <w:szCs w:val="32"/>
          <w:lang w:val="en-US" w:eastAsia="zh-CN"/>
        </w:rPr>
        <w:t>85097827</w:t>
      </w:r>
    </w:p>
    <w:p w14:paraId="4C07E5F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技术要求：采购标的功能和质量要求等，以附件为准。</w:t>
      </w:r>
    </w:p>
    <w:p w14:paraId="660E2472">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商务要求</w:t>
      </w:r>
    </w:p>
    <w:p w14:paraId="479922F3">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sz w:val="32"/>
          <w:szCs w:val="32"/>
        </w:rPr>
      </w:pPr>
      <w:r>
        <w:rPr>
          <w:rFonts w:hint="eastAsia" w:ascii="楷体_GB2312" w:hAnsi="仿宋" w:eastAsia="楷体_GB2312"/>
          <w:b/>
          <w:bCs/>
          <w:sz w:val="32"/>
          <w:szCs w:val="32"/>
        </w:rPr>
        <w:t>服务要求、验收要求：</w:t>
      </w:r>
      <w:r>
        <w:rPr>
          <w:rFonts w:hint="eastAsia" w:ascii="仿宋_GB2312" w:hAnsi="仿宋" w:eastAsia="仿宋_GB2312"/>
          <w:sz w:val="32"/>
          <w:szCs w:val="32"/>
        </w:rPr>
        <w:t>以附件为准。</w:t>
      </w:r>
    </w:p>
    <w:p w14:paraId="58DE8F94">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交付要求</w:t>
      </w:r>
    </w:p>
    <w:p w14:paraId="6D370FA8">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交付地点：</w:t>
      </w:r>
      <w:r>
        <w:rPr>
          <w:rFonts w:hint="eastAsia" w:ascii="仿宋_GB2312" w:hAnsi="仿宋" w:eastAsia="仿宋_GB2312"/>
          <w:sz w:val="32"/>
          <w:szCs w:val="32"/>
          <w:lang w:val="en-US" w:eastAsia="zh-CN"/>
        </w:rPr>
        <w:t>吉林省长春市解放大路2518号1602室与</w:t>
      </w:r>
      <w:r>
        <w:rPr>
          <w:rFonts w:hint="eastAsia" w:ascii="仿宋_GB2312" w:hAnsi="仿宋" w:eastAsia="仿宋_GB2312"/>
          <w:sz w:val="32"/>
          <w:szCs w:val="32"/>
        </w:rPr>
        <w:t>长春市兴隆山镇富环路</w:t>
      </w:r>
      <w:r>
        <w:rPr>
          <w:rFonts w:ascii="仿宋_GB2312" w:hAnsi="仿宋" w:eastAsia="仿宋_GB2312"/>
          <w:sz w:val="32"/>
          <w:szCs w:val="32"/>
        </w:rPr>
        <w:t>299号</w:t>
      </w:r>
      <w:bookmarkStart w:id="0" w:name="_Hlk168494424"/>
      <w:r>
        <w:rPr>
          <w:rFonts w:hint="eastAsia" w:ascii="仿宋" w:hAnsi="仿宋" w:eastAsia="仿宋"/>
          <w:sz w:val="32"/>
          <w:szCs w:val="32"/>
        </w:rPr>
        <w:t>省公路交通应急保障中心应急保障基地</w:t>
      </w:r>
      <w:bookmarkEnd w:id="0"/>
      <w:r>
        <w:rPr>
          <w:rFonts w:hint="eastAsia" w:ascii="仿宋" w:hAnsi="仿宋" w:eastAsia="仿宋"/>
          <w:sz w:val="32"/>
          <w:szCs w:val="32"/>
          <w:lang w:eastAsia="zh-CN"/>
        </w:rPr>
        <w:t>。</w:t>
      </w:r>
    </w:p>
    <w:p w14:paraId="746099A3">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交付时间： 合同签订之日起</w:t>
      </w:r>
      <w:r>
        <w:rPr>
          <w:rFonts w:hint="eastAsia" w:ascii="仿宋_GB2312" w:hAnsi="仿宋" w:eastAsia="仿宋_GB2312"/>
          <w:sz w:val="32"/>
          <w:szCs w:val="32"/>
          <w:lang w:val="en-US" w:eastAsia="zh-CN"/>
        </w:rPr>
        <w:t>15个</w:t>
      </w:r>
      <w:r>
        <w:rPr>
          <w:rFonts w:hint="eastAsia" w:ascii="仿宋_GB2312" w:hAnsi="仿宋" w:eastAsia="仿宋_GB2312"/>
          <w:sz w:val="32"/>
          <w:szCs w:val="32"/>
        </w:rPr>
        <w:t>自然日内全部交付完毕。</w:t>
      </w:r>
    </w:p>
    <w:p w14:paraId="38F2FAED">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交付方式：供应商送货到交付地点，并卸货到采购人指定地点。</w:t>
      </w:r>
    </w:p>
    <w:p w14:paraId="5C91218D">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报价要求</w:t>
      </w:r>
    </w:p>
    <w:p w14:paraId="46C0F4B1">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价格形式：本项目须按下列形式进行合理报价，未按规定要求的形式报价视为无效报价。</w:t>
      </w:r>
    </w:p>
    <w:p w14:paraId="7377F54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（1）以</w:t>
      </w:r>
      <w:r>
        <w:rPr>
          <w:rFonts w:ascii="仿宋" w:hAnsi="仿宋" w:eastAsia="仿宋"/>
          <w:sz w:val="32"/>
          <w:szCs w:val="32"/>
        </w:rPr>
        <w:t>单价</w:t>
      </w:r>
      <w:r>
        <w:rPr>
          <w:rFonts w:hint="eastAsia" w:ascii="仿宋" w:hAnsi="仿宋" w:eastAsia="仿宋"/>
          <w:sz w:val="32"/>
          <w:szCs w:val="32"/>
        </w:rPr>
        <w:t>形式报价：即供应商以本项目全部需求及其</w:t>
      </w:r>
      <w:r>
        <w:rPr>
          <w:rFonts w:ascii="仿宋" w:hAnsi="仿宋" w:eastAsia="仿宋"/>
          <w:sz w:val="32"/>
          <w:szCs w:val="32"/>
        </w:rPr>
        <w:t>成本、利润、税金及风险费</w:t>
      </w:r>
      <w:r>
        <w:rPr>
          <w:rFonts w:hint="eastAsia" w:ascii="仿宋" w:hAnsi="仿宋" w:eastAsia="仿宋"/>
          <w:sz w:val="32"/>
          <w:szCs w:val="32"/>
        </w:rPr>
        <w:t>计算出含税综合单价，在本项目履约期内单价不变。</w:t>
      </w:r>
    </w:p>
    <w:p w14:paraId="5C0A845B">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（2）以总价形式报价：即供应商以本项目全部需求及其</w:t>
      </w:r>
      <w:r>
        <w:rPr>
          <w:rFonts w:ascii="仿宋" w:hAnsi="仿宋" w:eastAsia="仿宋"/>
          <w:sz w:val="32"/>
          <w:szCs w:val="32"/>
        </w:rPr>
        <w:t>成本、利润、税金及风险费</w:t>
      </w:r>
      <w:r>
        <w:rPr>
          <w:rFonts w:hint="eastAsia" w:ascii="仿宋" w:hAnsi="仿宋" w:eastAsia="仿宋"/>
          <w:sz w:val="32"/>
          <w:szCs w:val="32"/>
        </w:rPr>
        <w:t>计算出含税总价，在本项目履约期内总价不变。</w:t>
      </w:r>
    </w:p>
    <w:p w14:paraId="1A847ACA">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供应商报价中应包含供应商按采购人要求完成本项目的全部费用，供应商在报价金额以外不再向采购人收取其他任何费用。</w:t>
      </w:r>
    </w:p>
    <w:p w14:paraId="67676827">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报价采用的币种为人民币。</w:t>
      </w:r>
    </w:p>
    <w:p w14:paraId="05139908">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供应商资格要求</w:t>
      </w:r>
    </w:p>
    <w:p w14:paraId="5BE27ADB">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满足《中华人民共和国政府采购法》第二十二条规定。</w:t>
      </w:r>
    </w:p>
    <w:p w14:paraId="1A90112E">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落实政府采购政策需满足的资格要求：属于专门面向中小企业采购的项目，所属行业为</w:t>
      </w:r>
      <w:r>
        <w:rPr>
          <w:rFonts w:hint="eastAsia" w:ascii="仿宋" w:hAnsi="仿宋" w:eastAsia="仿宋"/>
          <w:sz w:val="32"/>
          <w:szCs w:val="32"/>
          <w:lang w:val="en-US" w:eastAsia="zh-CN"/>
        </w:rPr>
        <w:t>软件和信息技术服务业中小企业</w:t>
      </w:r>
      <w:r>
        <w:rPr>
          <w:rFonts w:hint="eastAsia" w:ascii="仿宋" w:hAnsi="仿宋" w:eastAsia="仿宋"/>
          <w:sz w:val="32"/>
          <w:szCs w:val="32"/>
        </w:rPr>
        <w:t>。（声明函原件）</w:t>
      </w:r>
    </w:p>
    <w:p w14:paraId="23EFE196">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Chars="0"/>
        <w:contextualSpacing/>
        <w:textAlignment w:val="auto"/>
        <w:rPr>
          <w:rFonts w:hint="eastAsia" w:ascii="仿宋" w:hAnsi="仿宋" w:eastAsia="仿宋"/>
          <w:sz w:val="32"/>
          <w:szCs w:val="32"/>
        </w:rPr>
      </w:pPr>
      <w:r>
        <w:rPr>
          <w:rFonts w:hint="eastAsia" w:ascii="仿宋" w:hAnsi="仿宋" w:eastAsia="仿宋"/>
          <w:sz w:val="32"/>
          <w:szCs w:val="32"/>
        </w:rPr>
        <w:t>具有独立法人资格，持有效营业执照。（营业执照复印件）</w:t>
      </w:r>
    </w:p>
    <w:p w14:paraId="44AE0318">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具有吉林省政府采购云平台供应商资格，并能提供网页截图打印件或其他相关证明材料。</w:t>
      </w:r>
    </w:p>
    <w:p w14:paraId="62B9941F">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本项目不接受联合体报价。</w:t>
      </w:r>
    </w:p>
    <w:p w14:paraId="7D8973BB">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bookmarkStart w:id="1" w:name="_Hlk168494280"/>
      <w:bookmarkStart w:id="2" w:name="_Hlk168494306"/>
      <w:r>
        <w:rPr>
          <w:rFonts w:hint="eastAsia" w:ascii="黑体" w:hAnsi="黑体" w:eastAsia="黑体"/>
          <w:sz w:val="32"/>
          <w:szCs w:val="32"/>
        </w:rPr>
        <w:t>供应商</w:t>
      </w:r>
      <w:bookmarkEnd w:id="1"/>
      <w:r>
        <w:rPr>
          <w:rFonts w:hint="eastAsia" w:ascii="黑体" w:hAnsi="黑体" w:eastAsia="黑体"/>
          <w:sz w:val="32"/>
          <w:szCs w:val="32"/>
        </w:rPr>
        <w:t>文件</w:t>
      </w:r>
      <w:bookmarkEnd w:id="2"/>
      <w:r>
        <w:rPr>
          <w:rFonts w:hint="eastAsia" w:ascii="黑体" w:hAnsi="黑体" w:eastAsia="黑体"/>
          <w:sz w:val="32"/>
          <w:szCs w:val="32"/>
        </w:rPr>
        <w:t>编制要求</w:t>
      </w:r>
    </w:p>
    <w:p w14:paraId="1D29CFFC">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文件组成</w:t>
      </w:r>
    </w:p>
    <w:p w14:paraId="681CC48C">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报价函（格式参见附件，加盖单位公章）。</w:t>
      </w:r>
    </w:p>
    <w:p w14:paraId="32AD0C1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资格证明材料（参见“供应商资格要求”，加盖单位公章）。</w:t>
      </w:r>
    </w:p>
    <w:p w14:paraId="33B4E6E1">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其他材料（供应商认为适宜的其他材料，加盖单位公章）。</w:t>
      </w:r>
    </w:p>
    <w:p w14:paraId="3E0A257F">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封装要求</w:t>
      </w:r>
    </w:p>
    <w:p w14:paraId="264D583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报价文件密封在一个文件袋中。</w:t>
      </w:r>
    </w:p>
    <w:p w14:paraId="003E497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640" w:firstLine="0" w:firstLineChars="0"/>
        <w:contextualSpacing/>
        <w:textAlignment w:val="auto"/>
        <w:rPr>
          <w:rFonts w:hint="eastAsia" w:ascii="仿宋" w:hAnsi="仿宋" w:eastAsia="仿宋"/>
          <w:sz w:val="32"/>
          <w:szCs w:val="32"/>
        </w:rPr>
      </w:pPr>
      <w:r>
        <w:rPr>
          <w:rFonts w:hint="eastAsia" w:ascii="仿宋" w:hAnsi="仿宋" w:eastAsia="仿宋"/>
          <w:sz w:val="32"/>
          <w:szCs w:val="32"/>
        </w:rPr>
        <w:t>封套上写明：</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359"/>
      </w:tblGrid>
      <w:tr w14:paraId="016F18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70943982">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仿宋" w:hAnsi="仿宋" w:eastAsia="仿宋"/>
                <w:sz w:val="32"/>
                <w:szCs w:val="32"/>
                <w:u w:val="single"/>
              </w:rPr>
            </w:pPr>
            <w:r>
              <w:rPr>
                <w:rFonts w:hint="eastAsia" w:ascii="仿宋" w:hAnsi="仿宋" w:eastAsia="仿宋"/>
                <w:sz w:val="32"/>
                <w:szCs w:val="32"/>
              </w:rPr>
              <w:t>供应商名称：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tc>
      </w:tr>
      <w:tr w14:paraId="49EB911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vAlign w:val="center"/>
          </w:tcPr>
          <w:p w14:paraId="1E12950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仿宋" w:hAnsi="仿宋" w:eastAsia="仿宋"/>
                <w:sz w:val="32"/>
                <w:szCs w:val="32"/>
              </w:rPr>
            </w:pP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报价文件</w:t>
            </w:r>
          </w:p>
        </w:tc>
      </w:tr>
      <w:tr w14:paraId="6321CDA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6D2943FA">
            <w:pPr>
              <w:keepNext w:val="0"/>
              <w:keepLines w:val="0"/>
              <w:pageBreakBefore w:val="0"/>
              <w:widowControl w:val="0"/>
              <w:kinsoku/>
              <w:wordWrap/>
              <w:overflowPunct/>
              <w:topLinePunct w:val="0"/>
              <w:autoSpaceDE/>
              <w:autoSpaceDN/>
              <w:bidi w:val="0"/>
              <w:adjustRightInd/>
              <w:snapToGrid/>
              <w:spacing w:line="360" w:lineRule="auto"/>
              <w:contextualSpacing/>
              <w:jc w:val="right"/>
              <w:textAlignment w:val="auto"/>
              <w:rPr>
                <w:rFonts w:hint="eastAsia" w:ascii="仿宋" w:hAnsi="仿宋" w:eastAsia="仿宋"/>
                <w:sz w:val="32"/>
                <w:szCs w:val="32"/>
              </w:rPr>
            </w:pPr>
            <w:r>
              <w:rPr>
                <w:rFonts w:hint="eastAsia" w:ascii="仿宋" w:hAnsi="仿宋" w:eastAsia="仿宋"/>
                <w:sz w:val="32"/>
                <w:szCs w:val="32"/>
              </w:rPr>
              <w:t>在</w:t>
            </w:r>
            <w:r>
              <w:rPr>
                <w:rFonts w:ascii="仿宋" w:hAnsi="仿宋" w:eastAsia="仿宋"/>
                <w:sz w:val="32"/>
                <w:szCs w:val="32"/>
              </w:rPr>
              <w:t>*年*月*日</w:t>
            </w:r>
            <w:r>
              <w:rPr>
                <w:rFonts w:hint="eastAsia" w:ascii="仿宋" w:hAnsi="仿宋" w:eastAsia="仿宋"/>
                <w:sz w:val="32"/>
                <w:szCs w:val="32"/>
              </w:rPr>
              <w:t>*时*分前不得开启</w:t>
            </w:r>
          </w:p>
        </w:tc>
      </w:tr>
    </w:tbl>
    <w:p w14:paraId="22DB2EA6">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供应商文件提交须知</w:t>
      </w:r>
    </w:p>
    <w:p w14:paraId="4D996BDF">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文件提交地点、截止时间及人员入场要求</w:t>
      </w:r>
    </w:p>
    <w:p w14:paraId="11CC347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default" w:ascii="仿宋" w:hAnsi="仿宋" w:eastAsia="仿宋"/>
          <w:sz w:val="32"/>
          <w:szCs w:val="32"/>
          <w:lang w:val="en-US" w:eastAsia="zh-CN"/>
        </w:rPr>
      </w:pPr>
      <w:r>
        <w:rPr>
          <w:rFonts w:hint="eastAsia" w:ascii="仿宋" w:hAnsi="仿宋" w:eastAsia="仿宋"/>
          <w:sz w:val="32"/>
          <w:szCs w:val="32"/>
        </w:rPr>
        <w:t>收件人：</w:t>
      </w:r>
      <w:r>
        <w:rPr>
          <w:rFonts w:hint="eastAsia" w:ascii="仿宋" w:hAnsi="仿宋" w:eastAsia="仿宋"/>
          <w:sz w:val="32"/>
          <w:szCs w:val="32"/>
          <w:lang w:val="en-US" w:eastAsia="zh-CN"/>
        </w:rPr>
        <w:t>王俊彻</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电话：</w:t>
      </w:r>
      <w:r>
        <w:rPr>
          <w:rFonts w:ascii="仿宋" w:hAnsi="仿宋" w:eastAsia="仿宋"/>
          <w:sz w:val="32"/>
          <w:szCs w:val="32"/>
        </w:rPr>
        <w:t>0431-</w:t>
      </w:r>
      <w:r>
        <w:rPr>
          <w:rFonts w:hint="eastAsia" w:ascii="仿宋" w:hAnsi="仿宋" w:eastAsia="仿宋"/>
          <w:sz w:val="32"/>
          <w:szCs w:val="32"/>
          <w:lang w:val="en-US" w:eastAsia="zh-CN"/>
        </w:rPr>
        <w:t>85097827</w:t>
      </w:r>
    </w:p>
    <w:p w14:paraId="6206572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lang w:val="en-US" w:eastAsia="zh-CN"/>
        </w:rPr>
      </w:pPr>
      <w:r>
        <w:rPr>
          <w:rFonts w:hint="eastAsia" w:ascii="仿宋" w:hAnsi="仿宋" w:eastAsia="仿宋"/>
          <w:sz w:val="32"/>
          <w:szCs w:val="32"/>
        </w:rPr>
        <w:t>提交地点：吉林省公路交通应急保障中心会议室（具体位置长春市解放大路2</w:t>
      </w:r>
      <w:r>
        <w:rPr>
          <w:rFonts w:ascii="仿宋" w:hAnsi="仿宋" w:eastAsia="仿宋"/>
          <w:sz w:val="32"/>
          <w:szCs w:val="32"/>
        </w:rPr>
        <w:t>518</w:t>
      </w:r>
      <w:r>
        <w:rPr>
          <w:rFonts w:hint="eastAsia" w:ascii="仿宋" w:hAnsi="仿宋" w:eastAsia="仿宋"/>
          <w:sz w:val="32"/>
          <w:szCs w:val="32"/>
        </w:rPr>
        <w:t>号交通大厦1</w:t>
      </w:r>
      <w:r>
        <w:rPr>
          <w:rFonts w:ascii="仿宋" w:hAnsi="仿宋" w:eastAsia="仿宋"/>
          <w:sz w:val="32"/>
          <w:szCs w:val="32"/>
        </w:rPr>
        <w:t>6</w:t>
      </w:r>
      <w:r>
        <w:rPr>
          <w:rFonts w:hint="eastAsia" w:ascii="仿宋" w:hAnsi="仿宋" w:eastAsia="仿宋"/>
          <w:sz w:val="32"/>
          <w:szCs w:val="32"/>
        </w:rPr>
        <w:t>楼会议室）</w:t>
      </w:r>
      <w:r>
        <w:rPr>
          <w:rFonts w:hint="eastAsia" w:ascii="仿宋" w:hAnsi="仿宋" w:eastAsia="仿宋"/>
          <w:sz w:val="32"/>
          <w:szCs w:val="32"/>
          <w:lang w:val="en-US" w:eastAsia="zh-CN"/>
        </w:rPr>
        <w:t>.</w:t>
      </w:r>
    </w:p>
    <w:p w14:paraId="284A78C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提交截止时间：</w:t>
      </w:r>
      <w:r>
        <w:rPr>
          <w:rFonts w:hint="eastAsia" w:ascii="仿宋" w:hAnsi="仿宋" w:eastAsia="仿宋"/>
          <w:sz w:val="32"/>
          <w:szCs w:val="32"/>
          <w:lang w:val="en-US" w:eastAsia="zh-CN"/>
        </w:rPr>
        <w:t>2025</w:t>
      </w:r>
      <w:r>
        <w:rPr>
          <w:rFonts w:ascii="仿宋" w:hAnsi="仿宋" w:eastAsia="仿宋"/>
          <w:sz w:val="32"/>
          <w:szCs w:val="32"/>
        </w:rPr>
        <w:t>年</w:t>
      </w:r>
      <w:r>
        <w:rPr>
          <w:rFonts w:hint="eastAsia" w:ascii="仿宋" w:hAnsi="仿宋" w:eastAsia="仿宋"/>
          <w:sz w:val="32"/>
          <w:szCs w:val="32"/>
          <w:lang w:val="en-US" w:eastAsia="zh-CN"/>
        </w:rPr>
        <w:t>12</w:t>
      </w:r>
      <w:r>
        <w:rPr>
          <w:rFonts w:ascii="仿宋" w:hAnsi="仿宋" w:eastAsia="仿宋"/>
          <w:sz w:val="32"/>
          <w:szCs w:val="32"/>
        </w:rPr>
        <w:t>月</w:t>
      </w:r>
      <w:r>
        <w:rPr>
          <w:rFonts w:hint="eastAsia" w:ascii="仿宋" w:hAnsi="仿宋" w:eastAsia="仿宋"/>
          <w:sz w:val="32"/>
          <w:szCs w:val="32"/>
          <w:lang w:val="en-US" w:eastAsia="zh-CN"/>
        </w:rPr>
        <w:t>12</w:t>
      </w:r>
      <w:r>
        <w:rPr>
          <w:rFonts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分</w:t>
      </w:r>
    </w:p>
    <w:p w14:paraId="62250D9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提交人员到门卫处请</w:t>
      </w:r>
      <w:r>
        <w:rPr>
          <w:rFonts w:hint="eastAsia" w:ascii="仿宋" w:hAnsi="仿宋" w:eastAsia="仿宋"/>
          <w:sz w:val="32"/>
          <w:szCs w:val="32"/>
          <w:lang w:eastAsia="zh-CN"/>
        </w:rPr>
        <w:t>拨打</w:t>
      </w:r>
      <w:r>
        <w:rPr>
          <w:rFonts w:hint="eastAsia" w:ascii="仿宋" w:hAnsi="仿宋" w:eastAsia="仿宋"/>
          <w:sz w:val="32"/>
          <w:szCs w:val="32"/>
        </w:rPr>
        <w:t>收件人电话即可进入办公区域。</w:t>
      </w:r>
    </w:p>
    <w:p w14:paraId="4287430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文件开启时间、地点</w:t>
      </w:r>
    </w:p>
    <w:p w14:paraId="5A244AD3">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时间:</w:t>
      </w:r>
      <w:r>
        <w:rPr>
          <w:rFonts w:ascii="仿宋" w:hAnsi="仿宋" w:eastAsia="仿宋"/>
          <w:sz w:val="32"/>
          <w:szCs w:val="32"/>
        </w:rPr>
        <w:t xml:space="preserve"> </w:t>
      </w:r>
      <w:r>
        <w:rPr>
          <w:rFonts w:hint="eastAsia" w:ascii="仿宋" w:hAnsi="仿宋" w:eastAsia="仿宋"/>
          <w:sz w:val="32"/>
          <w:szCs w:val="32"/>
          <w:lang w:val="en-US" w:eastAsia="zh-CN"/>
        </w:rPr>
        <w:t>2025</w:t>
      </w:r>
      <w:r>
        <w:rPr>
          <w:rFonts w:ascii="仿宋" w:hAnsi="仿宋" w:eastAsia="仿宋"/>
          <w:sz w:val="32"/>
          <w:szCs w:val="32"/>
        </w:rPr>
        <w:t>年</w:t>
      </w:r>
      <w:r>
        <w:rPr>
          <w:rFonts w:hint="eastAsia" w:ascii="仿宋" w:hAnsi="仿宋" w:eastAsia="仿宋"/>
          <w:sz w:val="32"/>
          <w:szCs w:val="32"/>
          <w:lang w:val="en-US" w:eastAsia="zh-CN"/>
        </w:rPr>
        <w:t>12</w:t>
      </w:r>
      <w:r>
        <w:rPr>
          <w:rFonts w:ascii="仿宋" w:hAnsi="仿宋" w:eastAsia="仿宋"/>
          <w:sz w:val="32"/>
          <w:szCs w:val="32"/>
        </w:rPr>
        <w:t>月</w:t>
      </w:r>
      <w:r>
        <w:rPr>
          <w:rFonts w:hint="eastAsia" w:ascii="仿宋" w:hAnsi="仿宋" w:eastAsia="仿宋"/>
          <w:sz w:val="32"/>
          <w:szCs w:val="32"/>
          <w:lang w:val="en-US" w:eastAsia="zh-CN"/>
        </w:rPr>
        <w:t>12</w:t>
      </w:r>
      <w:r>
        <w:rPr>
          <w:rFonts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时</w:t>
      </w:r>
      <w:r>
        <w:rPr>
          <w:rFonts w:hint="eastAsia" w:ascii="仿宋" w:hAnsi="仿宋" w:eastAsia="仿宋"/>
          <w:sz w:val="32"/>
          <w:szCs w:val="32"/>
          <w:lang w:val="en-US" w:eastAsia="zh-CN"/>
        </w:rPr>
        <w:t>30</w:t>
      </w:r>
      <w:r>
        <w:rPr>
          <w:rFonts w:hint="eastAsia" w:ascii="仿宋" w:hAnsi="仿宋" w:eastAsia="仿宋"/>
          <w:sz w:val="32"/>
          <w:szCs w:val="32"/>
        </w:rPr>
        <w:t>分</w:t>
      </w:r>
      <w:bookmarkStart w:id="5" w:name="_GoBack"/>
      <w:bookmarkEnd w:id="5"/>
    </w:p>
    <w:p w14:paraId="3D57593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地点：吉林省公路交通应急保障中心会议室（参见提交地点）</w:t>
      </w:r>
    </w:p>
    <w:p w14:paraId="5B0687A4">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资金支付</w:t>
      </w:r>
    </w:p>
    <w:p w14:paraId="248E97AA">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付款方式：</w:t>
      </w:r>
      <w:r>
        <w:rPr>
          <w:rFonts w:hint="eastAsia" w:ascii="楷体_GB2312" w:hAnsi="仿宋" w:eastAsia="楷体_GB2312"/>
          <w:b/>
          <w:bCs/>
          <w:sz w:val="32"/>
          <w:szCs w:val="32"/>
          <w:lang w:val="en-US" w:eastAsia="zh-CN"/>
        </w:rPr>
        <w:t>一次性付款。</w:t>
      </w:r>
    </w:p>
    <w:p w14:paraId="77E49B23">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楷体_GB2312" w:hAnsi="仿宋" w:eastAsia="楷体_GB2312"/>
          <w:b/>
          <w:bCs/>
          <w:sz w:val="32"/>
          <w:szCs w:val="32"/>
        </w:rPr>
        <w:t>履约保证金：</w:t>
      </w:r>
      <w:r>
        <w:rPr>
          <w:rFonts w:hint="eastAsia" w:ascii="仿宋_GB2312" w:hAnsi="Segoe UI Symbol" w:eastAsia="仿宋_GB2312" w:cs="Segoe UI Symbol"/>
          <w:sz w:val="32"/>
          <w:szCs w:val="32"/>
        </w:rPr>
        <w:t>无。</w:t>
      </w:r>
    </w:p>
    <w:p w14:paraId="481F944B">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楷体_GB2312" w:hAnsi="仿宋" w:eastAsia="楷体_GB2312"/>
          <w:b/>
          <w:bCs/>
          <w:sz w:val="32"/>
          <w:szCs w:val="32"/>
        </w:rPr>
        <w:t>质保金：</w:t>
      </w:r>
      <w:r>
        <w:rPr>
          <w:rFonts w:hint="eastAsia" w:ascii="仿宋_GB2312" w:hAnsi="Segoe UI Symbol" w:eastAsia="仿宋_GB2312" w:cs="Segoe UI Symbol"/>
          <w:sz w:val="32"/>
          <w:szCs w:val="32"/>
        </w:rPr>
        <w:t>无。</w:t>
      </w:r>
    </w:p>
    <w:p w14:paraId="7E88D23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供应商文件澄清和补正</w:t>
      </w:r>
    </w:p>
    <w:p w14:paraId="61F67BEC">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sz w:val="32"/>
          <w:szCs w:val="32"/>
        </w:rPr>
      </w:pPr>
      <w:r>
        <w:rPr>
          <w:rFonts w:hint="eastAsia" w:ascii="仿宋" w:hAnsi="仿宋" w:eastAsia="仿宋"/>
          <w:sz w:val="32"/>
          <w:szCs w:val="32"/>
        </w:rPr>
        <w:t>采购人在审核供应商文件过程中，可以要求供应商对所提交的文件中除报价以外的不明确内容进行书面澄清或说明，或对细微偏差进行补正。</w:t>
      </w:r>
    </w:p>
    <w:p w14:paraId="47FD000D">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供应商文件中报价金额大写金额与小写金额不一致的，以大写为准；总价金额与依据单价计算出的结果不一致的，以单价金额为准修正总价，但单价金额小数点有明显错误的除外。</w:t>
      </w:r>
    </w:p>
    <w:p w14:paraId="4FF7BB1A">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cs="仿宋"/>
          <w:sz w:val="32"/>
          <w:szCs w:val="32"/>
        </w:rPr>
      </w:pPr>
      <w:r>
        <w:rPr>
          <w:rFonts w:hint="eastAsia" w:ascii="仿宋" w:hAnsi="仿宋" w:eastAsia="仿宋" w:cs="仿宋"/>
          <w:sz w:val="32"/>
          <w:szCs w:val="32"/>
          <w:lang w:val="zh-CN"/>
        </w:rPr>
        <w:t>采购人认为供应商的报价明显低于其他通过资格性、符合性审查供应商的报价，有可能影响质量或者不能诚信履约的，应当要求其在现场合理的时间内提供书面说明，必要时提交相关证明材料；供应商拒绝或者变相拒绝提供有效书面说明或者书面说明不能证明其报价合理性的或未在规定时间内递交有效书面说明书的，</w:t>
      </w:r>
      <w:r>
        <w:rPr>
          <w:rFonts w:hint="eastAsia" w:ascii="仿宋" w:hAnsi="仿宋" w:eastAsia="仿宋" w:cs="仿宋"/>
          <w:sz w:val="32"/>
          <w:szCs w:val="32"/>
        </w:rPr>
        <w:t>采购人</w:t>
      </w:r>
      <w:r>
        <w:rPr>
          <w:rFonts w:hint="eastAsia" w:ascii="仿宋" w:hAnsi="仿宋" w:eastAsia="仿宋" w:cs="仿宋"/>
          <w:sz w:val="32"/>
          <w:szCs w:val="32"/>
          <w:lang w:val="zh-CN"/>
        </w:rPr>
        <w:t>应当将其</w:t>
      </w:r>
      <w:r>
        <w:rPr>
          <w:rFonts w:hint="eastAsia" w:ascii="仿宋" w:hAnsi="仿宋" w:eastAsia="仿宋"/>
          <w:sz w:val="32"/>
          <w:szCs w:val="32"/>
        </w:rPr>
        <w:t>文件</w:t>
      </w:r>
      <w:r>
        <w:rPr>
          <w:rFonts w:hint="eastAsia" w:ascii="仿宋" w:hAnsi="仿宋" w:eastAsia="仿宋" w:cs="仿宋"/>
          <w:sz w:val="32"/>
          <w:szCs w:val="32"/>
          <w:lang w:val="zh-CN"/>
        </w:rPr>
        <w:t>作为无效处理。</w:t>
      </w:r>
    </w:p>
    <w:p w14:paraId="6DD1C01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评审流程</w:t>
      </w:r>
    </w:p>
    <w:p w14:paraId="3851127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供应商提交</w:t>
      </w:r>
      <w:r>
        <w:rPr>
          <w:rFonts w:hint="eastAsia" w:ascii="仿宋" w:hAnsi="仿宋" w:eastAsia="仿宋" w:cs="仿宋"/>
          <w:sz w:val="32"/>
          <w:szCs w:val="32"/>
          <w:lang w:val="en-US" w:eastAsia="zh-CN"/>
        </w:rPr>
        <w:t>比选</w:t>
      </w:r>
      <w:r>
        <w:rPr>
          <w:rFonts w:hint="eastAsia" w:ascii="仿宋" w:hAnsi="仿宋" w:eastAsia="仿宋" w:cs="仿宋"/>
          <w:sz w:val="32"/>
          <w:szCs w:val="32"/>
        </w:rPr>
        <w:t>文件。</w:t>
      </w:r>
    </w:p>
    <w:p w14:paraId="6BED04E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采购人接收、并审核供应商文件。</w:t>
      </w:r>
    </w:p>
    <w:p w14:paraId="2F12086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3.比选材料</w:t>
      </w:r>
      <w:r>
        <w:rPr>
          <w:rFonts w:hint="eastAsia" w:ascii="仿宋" w:hAnsi="仿宋" w:eastAsia="仿宋" w:cs="仿宋"/>
          <w:sz w:val="32"/>
          <w:szCs w:val="32"/>
        </w:rPr>
        <w:t>提交人无异议的，签字后离场。</w:t>
      </w:r>
    </w:p>
    <w:p w14:paraId="55C2948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4.采购人依内控制度有关要求确定供应商排序，参与接收比选文件的采购人代表签字确认。</w:t>
      </w:r>
    </w:p>
    <w:p w14:paraId="6822E201">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供应商的选择方法及结果确定</w:t>
      </w:r>
    </w:p>
    <w:p w14:paraId="4F85104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lang w:eastAsia="zh-CN"/>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本项目采取最低评标价法，即</w:t>
      </w:r>
      <w:r>
        <w:rPr>
          <w:rFonts w:hint="eastAsia" w:ascii="仿宋" w:hAnsi="仿宋" w:eastAsia="仿宋"/>
          <w:sz w:val="32"/>
          <w:szCs w:val="32"/>
        </w:rPr>
        <w:t>供应商文件满足</w:t>
      </w:r>
      <w:r>
        <w:rPr>
          <w:rFonts w:hint="eastAsia" w:ascii="仿宋" w:hAnsi="仿宋" w:eastAsia="仿宋" w:cs="宋体"/>
          <w:color w:val="000000"/>
          <w:kern w:val="0"/>
          <w:sz w:val="32"/>
          <w:szCs w:val="32"/>
        </w:rPr>
        <w:t>本项目</w:t>
      </w:r>
      <w:r>
        <w:rPr>
          <w:rFonts w:hint="eastAsia" w:ascii="仿宋" w:hAnsi="仿宋" w:eastAsia="仿宋"/>
          <w:sz w:val="32"/>
          <w:szCs w:val="32"/>
        </w:rPr>
        <w:t>全部实质性要求，按供应商报价中总价金额由低到高顺序排列，总价金额</w:t>
      </w:r>
      <w:r>
        <w:rPr>
          <w:rFonts w:hint="eastAsia" w:ascii="仿宋" w:hAnsi="仿宋" w:eastAsia="仿宋" w:cs="宋体"/>
          <w:color w:val="000000"/>
          <w:kern w:val="0"/>
          <w:sz w:val="32"/>
          <w:szCs w:val="32"/>
        </w:rPr>
        <w:t>最低的供应商为排名第一的供应商候选人。</w:t>
      </w:r>
      <w:r>
        <w:rPr>
          <w:rFonts w:hint="eastAsia" w:ascii="仿宋" w:hAnsi="仿宋" w:eastAsia="仿宋" w:cs="宋体"/>
          <w:color w:val="000000"/>
          <w:kern w:val="0"/>
          <w:sz w:val="32"/>
          <w:szCs w:val="32"/>
          <w:highlight w:val="none"/>
          <w:lang w:eastAsia="zh-CN"/>
        </w:rPr>
        <w:t>（三家供应商）</w:t>
      </w:r>
    </w:p>
    <w:p w14:paraId="46D1C49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当总价金额相同时，由采购人根据供应商文件满足本项目实质性要求、以及报价以外的其他因素综合考虑后确定排序。</w:t>
      </w:r>
    </w:p>
    <w:p w14:paraId="0142EC01">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3.按照</w:t>
      </w:r>
      <w:r>
        <w:rPr>
          <w:rFonts w:hint="eastAsia" w:ascii="仿宋" w:hAnsi="仿宋" w:eastAsia="仿宋"/>
          <w:sz w:val="32"/>
          <w:szCs w:val="32"/>
        </w:rPr>
        <w:t>内部控制制度和流程要求</w:t>
      </w:r>
      <w:r>
        <w:rPr>
          <w:rFonts w:hint="eastAsia" w:ascii="仿宋" w:hAnsi="仿宋" w:eastAsia="仿宋"/>
          <w:sz w:val="32"/>
          <w:szCs w:val="32"/>
          <w:lang w:val="en-US" w:eastAsia="zh-CN"/>
        </w:rPr>
        <w:t>及评审小组意见选择供应商，并向中心领导汇报审议</w:t>
      </w:r>
      <w:r>
        <w:rPr>
          <w:rFonts w:hint="eastAsia" w:ascii="仿宋" w:hAnsi="仿宋" w:eastAsia="仿宋"/>
          <w:sz w:val="32"/>
          <w:szCs w:val="32"/>
        </w:rPr>
        <w:t>后确定。</w:t>
      </w:r>
    </w:p>
    <w:p w14:paraId="7E4AF80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采购人将最终结果通知本项目供应商中选人，未接到采购人通知的视为未中选，采购人将不单独通知未中选人。</w:t>
      </w:r>
    </w:p>
    <w:p w14:paraId="69A7CF91">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签订合同</w:t>
      </w:r>
    </w:p>
    <w:p w14:paraId="65D2DEBE">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中选人自接到中选通知</w:t>
      </w:r>
      <w:r>
        <w:rPr>
          <w:rFonts w:hint="eastAsia" w:ascii="仿宋" w:hAnsi="仿宋" w:eastAsia="仿宋"/>
          <w:sz w:val="32"/>
          <w:szCs w:val="32"/>
          <w:lang w:val="en-US" w:eastAsia="zh-CN"/>
        </w:rPr>
        <w:t>3</w:t>
      </w:r>
      <w:r>
        <w:rPr>
          <w:rFonts w:hint="eastAsia" w:ascii="仿宋" w:hAnsi="仿宋" w:eastAsia="仿宋"/>
          <w:sz w:val="32"/>
          <w:szCs w:val="32"/>
        </w:rPr>
        <w:t>个工作日内，与采购人订立合同。</w:t>
      </w:r>
    </w:p>
    <w:p w14:paraId="65B7FC88">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中选人逾期不签订合同</w:t>
      </w:r>
      <w:r>
        <w:rPr>
          <w:rFonts w:hint="eastAsia" w:ascii="仿宋_GB2312" w:hAnsi="仿宋" w:eastAsia="仿宋_GB2312"/>
          <w:sz w:val="32"/>
          <w:szCs w:val="32"/>
        </w:rPr>
        <w:t>（由采购人原因导致的除外）</w:t>
      </w:r>
      <w:r>
        <w:rPr>
          <w:rFonts w:hint="eastAsia" w:ascii="仿宋" w:hAnsi="仿宋" w:eastAsia="仿宋"/>
          <w:sz w:val="32"/>
          <w:szCs w:val="32"/>
        </w:rPr>
        <w:t>或无正当理由拒签合同的，视为自动放弃。采购人可根据报价结果次序选择顺位供应商替代。</w:t>
      </w:r>
    </w:p>
    <w:p w14:paraId="5E5FE19E">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合同条款由采购人</w:t>
      </w:r>
      <w:bookmarkStart w:id="3" w:name="_Hlk144914268"/>
      <w:r>
        <w:rPr>
          <w:rFonts w:hint="eastAsia" w:ascii="仿宋" w:hAnsi="仿宋" w:eastAsia="仿宋"/>
          <w:sz w:val="32"/>
          <w:szCs w:val="32"/>
        </w:rPr>
        <w:t>按内部控制制度和流程要求确定</w:t>
      </w:r>
      <w:bookmarkEnd w:id="3"/>
      <w:r>
        <w:rPr>
          <w:rFonts w:hint="eastAsia" w:ascii="仿宋" w:hAnsi="仿宋" w:eastAsia="仿宋"/>
          <w:sz w:val="32"/>
          <w:szCs w:val="32"/>
        </w:rPr>
        <w:t>。</w:t>
      </w:r>
    </w:p>
    <w:p w14:paraId="1F5F600A">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投诉</w:t>
      </w:r>
    </w:p>
    <w:p w14:paraId="28F419DB">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w:t>
      </w:r>
      <w:r>
        <w:rPr>
          <w:rFonts w:hint="eastAsia" w:ascii="仿宋" w:hAnsi="仿宋" w:eastAsia="仿宋"/>
          <w:sz w:val="32"/>
          <w:szCs w:val="32"/>
          <w:lang w:val="en-US" w:eastAsia="zh-CN"/>
        </w:rPr>
        <w:t>比选</w:t>
      </w:r>
      <w:r>
        <w:rPr>
          <w:rFonts w:hint="eastAsia" w:ascii="仿宋" w:hAnsi="仿宋" w:eastAsia="仿宋"/>
          <w:sz w:val="32"/>
          <w:szCs w:val="32"/>
        </w:rPr>
        <w:t>文件的认为本次活动中存在违反法律、法规和规章规定的，有权向</w:t>
      </w:r>
      <w:r>
        <w:rPr>
          <w:rFonts w:hint="eastAsia" w:ascii="仿宋" w:hAnsi="仿宋" w:eastAsia="仿宋"/>
          <w:sz w:val="32"/>
          <w:szCs w:val="32"/>
          <w:lang w:val="en-US" w:eastAsia="zh-CN"/>
        </w:rPr>
        <w:t>党办</w:t>
      </w:r>
      <w:r>
        <w:rPr>
          <w:rFonts w:hint="eastAsia" w:ascii="仿宋" w:hAnsi="仿宋" w:eastAsia="仿宋"/>
          <w:sz w:val="32"/>
          <w:szCs w:val="32"/>
        </w:rPr>
        <w:t>投诉。</w:t>
      </w:r>
    </w:p>
    <w:p w14:paraId="37909F3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投诉举报</w:t>
      </w:r>
      <w:r>
        <w:rPr>
          <w:rFonts w:hint="eastAsia" w:ascii="仿宋" w:hAnsi="仿宋" w:eastAsia="仿宋"/>
          <w:sz w:val="32"/>
          <w:szCs w:val="32"/>
        </w:rPr>
        <w:t>电话：0</w:t>
      </w:r>
      <w:r>
        <w:rPr>
          <w:rFonts w:ascii="仿宋" w:hAnsi="仿宋" w:eastAsia="仿宋"/>
          <w:sz w:val="32"/>
          <w:szCs w:val="32"/>
        </w:rPr>
        <w:t>431-85097754</w:t>
      </w:r>
      <w:r>
        <w:rPr>
          <w:rFonts w:hint="eastAsia" w:ascii="仿宋" w:hAnsi="仿宋" w:eastAsia="仿宋"/>
          <w:sz w:val="32"/>
          <w:szCs w:val="32"/>
        </w:rPr>
        <w:t>。</w:t>
      </w:r>
    </w:p>
    <w:p w14:paraId="42387405">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AC7AD6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2953E3C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ab/>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技术要求</w:t>
      </w:r>
    </w:p>
    <w:p w14:paraId="1255BB82">
      <w:pPr>
        <w:keepNext w:val="0"/>
        <w:keepLines w:val="0"/>
        <w:pageBreakBefore w:val="0"/>
        <w:widowControl w:val="0"/>
        <w:kinsoku/>
        <w:wordWrap/>
        <w:overflowPunct/>
        <w:topLinePunct w:val="0"/>
        <w:autoSpaceDE/>
        <w:autoSpaceDN/>
        <w:bidi w:val="0"/>
        <w:adjustRightInd/>
        <w:snapToGrid/>
        <w:spacing w:line="360" w:lineRule="auto"/>
        <w:ind w:left="64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2.商务要求</w:t>
      </w:r>
    </w:p>
    <w:p w14:paraId="7E0733E1">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报价函（格式）</w:t>
      </w:r>
    </w:p>
    <w:p w14:paraId="755E2DC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4.中小企业声明函（格式）</w:t>
      </w:r>
    </w:p>
    <w:p w14:paraId="390F32F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1723EBF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81FB38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3370B3F">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1B75B7D">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吉林省公路交通应急保障中心</w:t>
      </w:r>
    </w:p>
    <w:p w14:paraId="723D7797">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14:paraId="3B21CA01">
      <w:pPr>
        <w:widowControl/>
        <w:jc w:val="left"/>
        <w:rPr>
          <w:rFonts w:hint="eastAsia" w:ascii="仿宋" w:hAnsi="仿宋" w:eastAsia="仿宋"/>
          <w:sz w:val="32"/>
          <w:szCs w:val="32"/>
        </w:rPr>
      </w:pPr>
      <w:r>
        <w:rPr>
          <w:rFonts w:ascii="仿宋" w:hAnsi="仿宋" w:eastAsia="仿宋"/>
          <w:sz w:val="32"/>
          <w:szCs w:val="32"/>
        </w:rPr>
        <w:br w:type="page"/>
      </w:r>
    </w:p>
    <w:p w14:paraId="1A4F535E">
      <w:pPr>
        <w:spacing w:line="560" w:lineRule="exact"/>
        <w:rPr>
          <w:rFonts w:hint="eastAsia" w:ascii="仿宋" w:hAnsi="仿宋" w:eastAsia="仿宋"/>
          <w:sz w:val="32"/>
          <w:szCs w:val="32"/>
        </w:rPr>
      </w:pPr>
      <w:r>
        <w:rPr>
          <w:rFonts w:hint="eastAsia" w:ascii="仿宋" w:hAnsi="仿宋" w:eastAsia="仿宋"/>
          <w:sz w:val="32"/>
          <w:szCs w:val="32"/>
        </w:rPr>
        <w:t>附件1</w:t>
      </w:r>
    </w:p>
    <w:p w14:paraId="703E102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技 术 要 求</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2196"/>
        <w:gridCol w:w="4816"/>
        <w:gridCol w:w="880"/>
        <w:gridCol w:w="882"/>
      </w:tblGrid>
      <w:tr w14:paraId="4910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AE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10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5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技术参数及性能（配置）要求</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EF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9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62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0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#二分频会议音箱</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6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▲1.采用≥2只8寸低音喇叭单元和≥6只1寸高音单元；（提供检测报告复印件并加盖生产厂商公章，检测报告封页需带CMA及CNAS认证标识且在全国认证认可信息公共服务平台（http://cx.cnca.cn）可查。）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▲2.配置：≥1只5.5英寸低音单元，音盆采用高强拉力；（提供检测报告复印件并加盖生产厂商公章，检测报告封页需带CMA及CNAS认证标识且在全国认证认可信息公共服务平台（http://cx.cnca.cn）可查。）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3.箱体用ABS材质，具备室外防水功能；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3.二分频设计，低频更加饱满，声音更加丰富；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4.阻抗：16</w:t>
            </w:r>
            <w:r>
              <w:rPr>
                <w:rStyle w:val="17"/>
                <w:rFonts w:eastAsia="宋体"/>
                <w:lang w:val="en-US" w:eastAsia="zh-CN" w:bidi="ar"/>
              </w:rPr>
              <w:t>Ω</w:t>
            </w:r>
            <w:r>
              <w:rPr>
                <w:rStyle w:val="18"/>
                <w:lang w:val="en-US" w:eastAsia="zh-CN" w:bidi="ar"/>
              </w:rPr>
              <w:br w:type="textWrapping"/>
            </w:r>
            <w:r>
              <w:rPr>
                <w:rStyle w:val="18"/>
                <w:lang w:val="en-US" w:eastAsia="zh-CN" w:bidi="ar"/>
              </w:rPr>
              <w:t>5.频响≥60Hz-20KHz</w:t>
            </w:r>
            <w:r>
              <w:rPr>
                <w:rStyle w:val="18"/>
                <w:lang w:val="en-US" w:eastAsia="zh-CN" w:bidi="ar"/>
              </w:rPr>
              <w:br w:type="textWrapping"/>
            </w:r>
            <w:r>
              <w:rPr>
                <w:rStyle w:val="18"/>
                <w:lang w:val="en-US" w:eastAsia="zh-CN" w:bidi="ar"/>
              </w:rPr>
              <w:t>6.额定功率≥250W</w:t>
            </w:r>
            <w:r>
              <w:rPr>
                <w:rStyle w:val="18"/>
                <w:lang w:val="en-US" w:eastAsia="zh-CN" w:bidi="ar"/>
              </w:rPr>
              <w:br w:type="textWrapping"/>
            </w:r>
            <w:r>
              <w:rPr>
                <w:rStyle w:val="18"/>
                <w:lang w:val="en-US" w:eastAsia="zh-CN" w:bidi="ar"/>
              </w:rPr>
              <w:t>7.峰值功率≥750W</w:t>
            </w:r>
            <w:r>
              <w:rPr>
                <w:rStyle w:val="18"/>
                <w:lang w:val="en-US" w:eastAsia="zh-CN" w:bidi="ar"/>
              </w:rPr>
              <w:br w:type="textWrapping"/>
            </w:r>
            <w:r>
              <w:rPr>
                <w:rStyle w:val="18"/>
                <w:lang w:val="en-US" w:eastAsia="zh-CN" w:bidi="ar"/>
              </w:rPr>
              <w:t>8.灵敏度（1W/1m）≥96dB</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322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14:paraId="0DA8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3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F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#4CH数字功放</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5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▲1.内置数字功放，同时支持定压定阻输出：100V、70V、8欧、4欧输出。支持≥2*300W@8</w:t>
            </w:r>
            <w:r>
              <w:rPr>
                <w:rStyle w:val="17"/>
                <w:rFonts w:eastAsia="宋体"/>
                <w:lang w:val="en-US" w:eastAsia="zh-CN" w:bidi="ar"/>
              </w:rPr>
              <w:t>Ω</w:t>
            </w:r>
            <w:r>
              <w:rPr>
                <w:rStyle w:val="18"/>
                <w:lang w:val="en-US" w:eastAsia="zh-CN" w:bidi="ar"/>
              </w:rPr>
              <w:t>，≥2*500W@4</w:t>
            </w:r>
            <w:r>
              <w:rPr>
                <w:rStyle w:val="17"/>
                <w:rFonts w:eastAsia="宋体"/>
                <w:lang w:val="en-US" w:eastAsia="zh-CN" w:bidi="ar"/>
              </w:rPr>
              <w:t>Ω</w:t>
            </w:r>
            <w:r>
              <w:rPr>
                <w:rStyle w:val="18"/>
                <w:lang w:val="en-US" w:eastAsia="zh-CN" w:bidi="ar"/>
              </w:rPr>
              <w:t>，可桥接成≥1000W@8</w:t>
            </w:r>
            <w:r>
              <w:rPr>
                <w:rStyle w:val="17"/>
                <w:rFonts w:eastAsia="宋体"/>
                <w:lang w:val="en-US" w:eastAsia="zh-CN" w:bidi="ar"/>
              </w:rPr>
              <w:t>Ω</w:t>
            </w:r>
            <w:r>
              <w:rPr>
                <w:rStyle w:val="18"/>
                <w:lang w:val="en-US" w:eastAsia="zh-CN" w:bidi="ar"/>
              </w:rPr>
              <w:t>或定压100V-≥1000W输出；（提供检测报告复印件并加盖生产厂商公章，检测报告封页需带CMA及CNAS认证标识且在全国认证认可信息公共服务平台（http://cx.cnca.cn）可查。）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2.全面支持网络TCP/IP控制，可实现多台设备管理，通过wifi可以连接软件，简单便捷；</w:t>
            </w:r>
            <w:r>
              <w:rPr>
                <w:rStyle w:val="18"/>
                <w:lang w:val="en-US" w:eastAsia="zh-CN" w:bidi="ar"/>
              </w:rPr>
              <w:br w:type="textWrapping"/>
            </w:r>
            <w:r>
              <w:rPr>
                <w:rStyle w:val="18"/>
                <w:lang w:val="en-US" w:eastAsia="zh-CN" w:bidi="ar"/>
              </w:rPr>
              <w:t>3.支持远程开关机控制，节省时间，方便控制；</w:t>
            </w:r>
            <w:r>
              <w:rPr>
                <w:rStyle w:val="18"/>
                <w:lang w:val="en-US" w:eastAsia="zh-CN" w:bidi="ar"/>
              </w:rPr>
              <w:br w:type="textWrapping"/>
            </w:r>
            <w:r>
              <w:rPr>
                <w:rStyle w:val="18"/>
                <w:lang w:val="en-US" w:eastAsia="zh-CN" w:bidi="ar"/>
              </w:rPr>
              <w:t>▲4.采用彩色液晶显示屏，分辨率≥240x240像素，充满时尚感，能设置DSP功能，具有电平检测、输入源、输入灵敏度、音量显示、存档预设、通道静音、功放温度、功放模式等功能；（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5.内置DSP数字处理器，输入≥15段，输出≥10段均衡，满足不同的需求；</w:t>
            </w:r>
            <w:r>
              <w:rPr>
                <w:rStyle w:val="18"/>
                <w:lang w:val="en-US" w:eastAsia="zh-CN" w:bidi="ar"/>
              </w:rPr>
              <w:br w:type="textWrapping"/>
            </w:r>
            <w:r>
              <w:rPr>
                <w:rStyle w:val="18"/>
                <w:lang w:val="en-US" w:eastAsia="zh-CN" w:bidi="ar"/>
              </w:rPr>
              <w:t>6.支持多种联机方式：USB、TCP/IP、RS232、RS485；</w:t>
            </w:r>
            <w:r>
              <w:rPr>
                <w:rStyle w:val="18"/>
                <w:lang w:val="en-US" w:eastAsia="zh-CN" w:bidi="ar"/>
              </w:rPr>
              <w:br w:type="textWrapping"/>
            </w:r>
            <w:r>
              <w:rPr>
                <w:rStyle w:val="18"/>
                <w:lang w:val="en-US" w:eastAsia="zh-CN" w:bidi="ar"/>
              </w:rPr>
              <w:t>7.可实时远程监控功放工作状态，包括温度、功率、电压、电流；</w:t>
            </w:r>
            <w:r>
              <w:rPr>
                <w:rStyle w:val="18"/>
                <w:lang w:val="en-US" w:eastAsia="zh-CN" w:bidi="ar"/>
              </w:rPr>
              <w:br w:type="textWrapping"/>
            </w:r>
            <w:r>
              <w:rPr>
                <w:rStyle w:val="18"/>
                <w:lang w:val="en-US" w:eastAsia="zh-CN" w:bidi="ar"/>
              </w:rPr>
              <w:t>▲8.可通过软件识别功放，点击软件端呼叫按钮，可使对应功放显示屏和状态灯同时闪烁，可快速从“功放群组”里，找到您所需设置的功放；（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9.支持平衡XLR输入与非平衡RCA输入，具有≥2路RCA输入口，≥2路XLR输入口；支持≥2路平衡XLR音频输出口，≥2路定阻4-8欧功放输出口，≥1路定压100V/70V输出口；（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10.工作模式可选择立体声、桥接、单声道、自由矩阵,并且可通过软件或显示屏自由切换；</w:t>
            </w:r>
            <w:r>
              <w:rPr>
                <w:rStyle w:val="18"/>
                <w:lang w:val="en-US" w:eastAsia="zh-CN" w:bidi="ar"/>
              </w:rPr>
              <w:br w:type="textWrapping"/>
            </w:r>
            <w:r>
              <w:rPr>
                <w:rStyle w:val="18"/>
                <w:lang w:val="en-US" w:eastAsia="zh-CN" w:bidi="ar"/>
              </w:rPr>
              <w:t>11.输入灵敏度两档可调0dBu/6dBu,软件或彩液晶屏设置；</w:t>
            </w:r>
            <w:r>
              <w:rPr>
                <w:rStyle w:val="18"/>
                <w:lang w:val="en-US" w:eastAsia="zh-CN" w:bidi="ar"/>
              </w:rPr>
              <w:br w:type="textWrapping"/>
            </w:r>
            <w:r>
              <w:rPr>
                <w:rStyle w:val="18"/>
                <w:lang w:val="en-US" w:eastAsia="zh-CN" w:bidi="ar"/>
              </w:rPr>
              <w:t>▲12.通过软件可限制功放输出功率（300瓦以内的任意功率值可自行设定）/电压/电流，保护音响系统安全工作，适应更多的音响系统；（提供CMA或CNAS出具的满足此参数功能的检测报告复印件，并加盖生产厂商公章）</w:t>
            </w:r>
            <w:r>
              <w:rPr>
                <w:rStyle w:val="18"/>
                <w:lang w:val="en-US" w:eastAsia="zh-CN" w:bidi="ar"/>
              </w:rPr>
              <w:br w:type="textWrapping"/>
            </w:r>
            <w:r>
              <w:rPr>
                <w:rStyle w:val="18"/>
                <w:lang w:val="en-US" w:eastAsia="zh-CN" w:bidi="ar"/>
              </w:rPr>
              <w:t>13.≥48KHz采样频率，≥32-bitDSP处理器，≥24-bitA/D及D/A转换；</w:t>
            </w:r>
            <w:r>
              <w:rPr>
                <w:rStyle w:val="18"/>
                <w:lang w:val="en-US" w:eastAsia="zh-CN" w:bidi="ar"/>
              </w:rPr>
              <w:br w:type="textWrapping"/>
            </w:r>
            <w:r>
              <w:rPr>
                <w:rStyle w:val="18"/>
                <w:lang w:val="en-US" w:eastAsia="zh-CN" w:bidi="ar"/>
              </w:rPr>
              <w:t>14.可扩展配置DANTE网络音频功能；</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112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A53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E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C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2编组8路调音台</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B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1.≥8路XLR平衡式话筒输入，话筒输入接口带48V幻象电源，可以单独控制每路幻象电源开关，兼容≥8路6.35mm非平衡输入；≥1组6.35mm立体声输入，可连接立体声设备；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2.≥4组母线（立体声+两编组）输出，≥2路AUX辅助输出；≥1路监听输出，≥1路录音输出；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3.高品质、低噪音的话筒输入，低噪音的前置放大，具有强大的抗干扰能力；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4.≥2组AUX辅助输出，AUX1为推子前和推子后，AUX2为推子后；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5.内置≥24种模式DSP数字效果器，数字显示效果种类；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6.高精度三色精确电平柱，准确显示输出电平；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7.MP3播放器带USB电脑声卡输入，手机蓝牙连接；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0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3EC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2FBB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5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9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#音频处理器会议矩阵4*4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0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1.≥4路平衡式话筒\线路输入，≥4路平衡式音频输出，采用凤凰插接口；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2.内置USB声卡，支持音乐播放、录制和软视频会议；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3.输入通道具有不低于增益共享自动混音、拓展器、滤波器、压缩器、信号发生器、自动增益、8段参量均衡、AFC(反馈抑制)、ANS(噪声抑制)等调节；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4.输出通道具有不低于高低通、8段参量均衡、延时器、滤波器、限幅器等调节；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5.具有自定义的用户操作界面，实现多台设备集中控制；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6.每个输入通道具有≥8个点的自适应反馈抑制；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7.每个输入通道具有幻象电源、反相、静音开关控制；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8.独立通道的AFC（反馈抑制），采用陷波式算法，传声增益提升幅度：10dB；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9.AFC(反馈抑制)具有≥5个等级选择；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▲10.信号发生器具有不低于正弦波、白噪声、粉红噪声选择；(提供对应软件功能界面截图，并加盖生产厂商公章）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11.具有不低于Parametric,Lowshelf,Highshelf,Lowpass,Highpass等5种滤波器选择；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12.具有全功能矩阵混音功能，输入混音电平可调节；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13.具有≥16组预设，每个预设独立工作；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14.支持通道拷贝、LINK和分组功能；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15.支持R232＆UDP中控，UDP端口可自由设定，可查看控制软件代码；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16.处理器芯片采用ADI架构，40bitDSP浮点运算引擎，提供自由配制软件架构；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17.具有多种控制方式，可通过电脑、手机、平板、按键面板、触摸面板等方式管理；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数字指向性可变技术，使用者可根据不同环境、位置、会议方式、演讲者的需求来调整指向性，从而达到一个最佳拾音效果，支持5种模式：全指向性、心形指向性、超心型指向性、锐心形指向性、8字型指向性等；（提供检测报告复印件并加盖生产厂商公章，检测报告封页需带CMA及CNAS认证标识且在全国认证认可信息公共服务平台（http://cx.cnca.cn）可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定时功能，支持每天20组定时开关设置，带程序记忆，一次设置，长期循环，一劳永逸。提供检测报告复印件并加盖生产厂商公章，检测报告封页需带CMA及CNAS认证标识且在全国认证认可信息公共服务平台（http://cx.cnca.cn）可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9A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2DC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8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5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#高效抑制处理器</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5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1.有效抑制话筒啸叫，消除反馈于未然，一键式操作模式，简单好用；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适应全频带反馈抑制功能(AFC)，高效处理高清语音环境中的声反馈问题，对于高灵敏度、全指向型、锐心形、超心形等话筒有显著的抑制啸叫功能，提升灵敏度高、声音通透干净无压缩感，传声增益提升幅度≥9-18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3.采用非传统反馈处理技术的自适应房间反馈预测消除数字处理，实现反馈一键操作，无需复杂调试；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4.接口丰富，支持高低电平的输入和输出，卡侬XLR-3与大三芯1/4”TRS直插兼顾，可灵活应用，输入带48V幻象；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5.平衡和非平衡两种输出方式，输出大小连续可调，输出有总的信号指示灯和峰值指示灯，调试方便；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▲6.输入接口：≥2路卡侬XLR平衡输入（支持幻象48V供电）、≥2路6.35mm大二芯非平衡输入；（提供对应产品接口截图，并加盖生产厂商公章）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7.输出接口：≥1路卡侬XLR平衡输出，≥1路6.35mm大二芯非平衡输出；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1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8A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1777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6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U段一拖四无线会议</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28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接收机参数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1.TFT2.68寸彩色高清显示屏，具有高亮度、高对比度、宽可视角度、分级菜单设计，使操作简明方便。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2.接收机可以按照用户需求定制个性化logo，让使用更加人性化。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3.话筒自带5V充电功能，使用更方便，更环保。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4.工作频率:610-670MHz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5.采用微电脑CPU控制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6.PLL锁相环频率合成技术, 红外对频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7.使用距离：100米以上，空阔空间可达150米以上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8.音频频率响应：50Hz-15KHz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9.音频总增益：≦20dB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10.信噪比：&gt;85dB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11.音频总谐波失真：≦0.8%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12.电源输入：DC12V，≧1A</w:t>
            </w:r>
            <w:r>
              <w:rPr>
                <w:rFonts w:hint="eastAsia" w:ascii="宋体" w:hAnsi="宋体" w:eastAsia="宋体" w:cs="宋体"/>
                <w:i w:val="0"/>
                <w:iCs w:val="0"/>
                <w:color w:val="000000"/>
                <w:kern w:val="0"/>
                <w:sz w:val="20"/>
                <w:szCs w:val="20"/>
                <w:u w:val="none"/>
                <w:lang w:val="en-US" w:eastAsia="zh-CN" w:bidi="ar"/>
              </w:rPr>
              <w:br w:type="textWrapping"/>
            </w:r>
          </w:p>
          <w:p w14:paraId="62F819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1.通信方式：UHF无线，红外对频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2.会议话筒具有不小于2.6寸高清彩色显示器，显示会议模式，具有高亮度、高对比度、宽可视角度。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3.无声按键，无机械按键声，寿命长，并具防水功能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4.工作频率:610-670MHz最大调制度:±45KHz红外线对频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PLL锁相环频率合成技术200频道自由选择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6.超低功耗，话筒单元大于8小时的连续发言时间和大于10小时的待机时间。</w:t>
            </w:r>
          </w:p>
          <w:p w14:paraId="6F5A0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7.会议单元话筒自带充电功能，会议话筒3节5号普通电池，需要充电：另购厂家原配镍氢电池。配套的智能充电器，有效保护电池，延长电池使用寿。                                         8.输出功率：10mW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9.供电方式：三节5号碱性或镍氢电池，充电电流：≤ 540mA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10.音频动态范围：≥106dB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11.载波频段：UHF610MKz-670MHz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12.谐波辐射：&lt;-65dBm</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132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4A57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8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#4进4出高清HDMI矩阵</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7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19"/>
                <w:lang w:val="en-US" w:eastAsia="zh-CN" w:bidi="ar"/>
              </w:rPr>
              <w:t>⽀</w:t>
            </w:r>
            <w:r>
              <w:rPr>
                <w:rStyle w:val="20"/>
                <w:lang w:val="en-US" w:eastAsia="zh-CN" w:bidi="ar"/>
              </w:rPr>
              <w:t>持</w:t>
            </w:r>
            <w:r>
              <w:rPr>
                <w:rStyle w:val="21"/>
                <w:lang w:val="en-US" w:eastAsia="zh-CN" w:bidi="ar"/>
              </w:rPr>
              <w:t>≥</w:t>
            </w:r>
            <w:r>
              <w:rPr>
                <w:rStyle w:val="20"/>
                <w:lang w:val="en-US" w:eastAsia="zh-CN" w:bidi="ar"/>
              </w:rPr>
              <w:t>4路HDMI输</w:t>
            </w:r>
            <w:r>
              <w:rPr>
                <w:rStyle w:val="19"/>
                <w:lang w:val="en-US" w:eastAsia="zh-CN" w:bidi="ar"/>
              </w:rPr>
              <w:t>⼊</w:t>
            </w:r>
            <w:r>
              <w:rPr>
                <w:rStyle w:val="20"/>
                <w:lang w:val="en-US" w:eastAsia="zh-CN" w:bidi="ar"/>
              </w:rPr>
              <w:t>到</w:t>
            </w:r>
            <w:r>
              <w:rPr>
                <w:rStyle w:val="21"/>
                <w:lang w:val="en-US" w:eastAsia="zh-CN" w:bidi="ar"/>
              </w:rPr>
              <w:t>≥</w:t>
            </w:r>
            <w:r>
              <w:rPr>
                <w:rStyle w:val="20"/>
                <w:lang w:val="en-US" w:eastAsia="zh-CN" w:bidi="ar"/>
              </w:rPr>
              <w:t>4路HDMI输出有缝快速切换；</w:t>
            </w:r>
            <w:r>
              <w:rPr>
                <w:rStyle w:val="20"/>
                <w:lang w:val="en-US" w:eastAsia="zh-CN" w:bidi="ar"/>
              </w:rPr>
              <w:br w:type="textWrapping"/>
            </w:r>
            <w:r>
              <w:rPr>
                <w:rStyle w:val="20"/>
                <w:lang w:val="en-US" w:eastAsia="zh-CN" w:bidi="ar"/>
              </w:rPr>
              <w:t>2.支持输入输出支持HDMI1.4，最</w:t>
            </w:r>
            <w:r>
              <w:rPr>
                <w:rStyle w:val="19"/>
                <w:lang w:val="en-US" w:eastAsia="zh-CN" w:bidi="ar"/>
              </w:rPr>
              <w:t>⾼</w:t>
            </w:r>
            <w:r>
              <w:rPr>
                <w:rStyle w:val="20"/>
                <w:lang w:val="en-US" w:eastAsia="zh-CN" w:bidi="ar"/>
              </w:rPr>
              <w:t>分辨率</w:t>
            </w:r>
            <w:r>
              <w:rPr>
                <w:rStyle w:val="21"/>
                <w:lang w:val="en-US" w:eastAsia="zh-CN" w:bidi="ar"/>
              </w:rPr>
              <w:t>≥</w:t>
            </w:r>
            <w:r>
              <w:rPr>
                <w:rStyle w:val="20"/>
                <w:lang w:val="en-US" w:eastAsia="zh-CN" w:bidi="ar"/>
              </w:rPr>
              <w:t>3840x2160@30Hz；</w:t>
            </w:r>
            <w:r>
              <w:rPr>
                <w:rStyle w:val="20"/>
                <w:lang w:val="en-US" w:eastAsia="zh-CN" w:bidi="ar"/>
              </w:rPr>
              <w:br w:type="textWrapping"/>
            </w:r>
            <w:r>
              <w:rPr>
                <w:rStyle w:val="20"/>
                <w:lang w:val="en-US" w:eastAsia="zh-CN" w:bidi="ar"/>
              </w:rPr>
              <w:t>3.输入输出支持HDCP1.4；</w:t>
            </w:r>
            <w:r>
              <w:rPr>
                <w:rStyle w:val="20"/>
                <w:lang w:val="en-US" w:eastAsia="zh-CN" w:bidi="ar"/>
              </w:rPr>
              <w:br w:type="textWrapping"/>
            </w:r>
            <w:r>
              <w:rPr>
                <w:rStyle w:val="20"/>
                <w:lang w:val="en-US" w:eastAsia="zh-CN" w:bidi="ar"/>
              </w:rPr>
              <w:t>4.色彩空间支持RGB4:4:4, YCbCr4:4:4,YCbCr4:2:2等；</w:t>
            </w:r>
            <w:r>
              <w:rPr>
                <w:rStyle w:val="20"/>
                <w:lang w:val="en-US" w:eastAsia="zh-CN" w:bidi="ar"/>
              </w:rPr>
              <w:br w:type="textWrapping"/>
            </w:r>
            <w:r>
              <w:rPr>
                <w:rStyle w:val="20"/>
                <w:lang w:val="en-US" w:eastAsia="zh-CN" w:bidi="ar"/>
              </w:rPr>
              <w:t>5.输入内置≥7种EDID，1920x1080@60Hz 双声道（默认），支持自定义EDID；</w:t>
            </w:r>
            <w:r>
              <w:rPr>
                <w:rStyle w:val="20"/>
                <w:lang w:val="en-US" w:eastAsia="zh-CN" w:bidi="ar"/>
              </w:rPr>
              <w:br w:type="textWrapping"/>
            </w:r>
            <w:r>
              <w:rPr>
                <w:rStyle w:val="20"/>
                <w:lang w:val="en-US" w:eastAsia="zh-CN" w:bidi="ar"/>
              </w:rPr>
              <w:t>6.输出</w:t>
            </w:r>
            <w:r>
              <w:rPr>
                <w:rStyle w:val="19"/>
                <w:lang w:val="en-US" w:eastAsia="zh-CN" w:bidi="ar"/>
              </w:rPr>
              <w:t>⽀</w:t>
            </w:r>
            <w:r>
              <w:rPr>
                <w:rStyle w:val="20"/>
                <w:lang w:val="en-US" w:eastAsia="zh-CN" w:bidi="ar"/>
              </w:rPr>
              <w:t>持</w:t>
            </w:r>
            <w:r>
              <w:rPr>
                <w:rStyle w:val="21"/>
                <w:lang w:val="en-US" w:eastAsia="zh-CN" w:bidi="ar"/>
              </w:rPr>
              <w:t>≥</w:t>
            </w:r>
            <w:r>
              <w:rPr>
                <w:rStyle w:val="20"/>
                <w:lang w:val="en-US" w:eastAsia="zh-CN" w:bidi="ar"/>
              </w:rPr>
              <w:t>9种分辨率，且各个端</w:t>
            </w:r>
            <w:r>
              <w:rPr>
                <w:rStyle w:val="19"/>
                <w:lang w:val="en-US" w:eastAsia="zh-CN" w:bidi="ar"/>
              </w:rPr>
              <w:t>⼝</w:t>
            </w:r>
            <w:r>
              <w:rPr>
                <w:rStyle w:val="20"/>
                <w:lang w:val="en-US" w:eastAsia="zh-CN" w:bidi="ar"/>
              </w:rPr>
              <w:t>独</w:t>
            </w:r>
            <w:r>
              <w:rPr>
                <w:rStyle w:val="19"/>
                <w:lang w:val="en-US" w:eastAsia="zh-CN" w:bidi="ar"/>
              </w:rPr>
              <w:t>⽴</w:t>
            </w:r>
            <w:r>
              <w:rPr>
                <w:rStyle w:val="20"/>
                <w:lang w:val="en-US" w:eastAsia="zh-CN" w:bidi="ar"/>
              </w:rPr>
              <w:t>可调；</w:t>
            </w:r>
            <w:r>
              <w:rPr>
                <w:rStyle w:val="20"/>
                <w:lang w:val="en-US" w:eastAsia="zh-CN" w:bidi="ar"/>
              </w:rPr>
              <w:br w:type="textWrapping"/>
            </w:r>
            <w:r>
              <w:rPr>
                <w:rStyle w:val="20"/>
                <w:lang w:val="en-US" w:eastAsia="zh-CN" w:bidi="ar"/>
              </w:rPr>
              <w:t>7.输出支持组合端口开关HDCP功能；</w:t>
            </w:r>
            <w:r>
              <w:rPr>
                <w:rStyle w:val="20"/>
                <w:lang w:val="en-US" w:eastAsia="zh-CN" w:bidi="ar"/>
              </w:rPr>
              <w:br w:type="textWrapping"/>
            </w:r>
            <w:r>
              <w:rPr>
                <w:rStyle w:val="20"/>
                <w:lang w:val="en-US" w:eastAsia="zh-CN" w:bidi="ar"/>
              </w:rPr>
              <w:t>▲8.</w:t>
            </w:r>
            <w:r>
              <w:rPr>
                <w:rStyle w:val="19"/>
                <w:lang w:val="en-US" w:eastAsia="zh-CN" w:bidi="ar"/>
              </w:rPr>
              <w:t>⽀</w:t>
            </w:r>
            <w:r>
              <w:rPr>
                <w:rStyle w:val="20"/>
                <w:lang w:val="en-US" w:eastAsia="zh-CN" w:bidi="ar"/>
              </w:rPr>
              <w:t>持按键、串</w:t>
            </w:r>
            <w:r>
              <w:rPr>
                <w:rStyle w:val="19"/>
                <w:lang w:val="en-US" w:eastAsia="zh-CN" w:bidi="ar"/>
              </w:rPr>
              <w:t>⼝</w:t>
            </w:r>
            <w:r>
              <w:rPr>
                <w:rStyle w:val="20"/>
                <w:lang w:val="en-US" w:eastAsia="zh-CN" w:bidi="ar"/>
              </w:rPr>
              <w:t>、上位机软件等多种控制</w:t>
            </w:r>
            <w:r>
              <w:rPr>
                <w:rStyle w:val="19"/>
                <w:lang w:val="en-US" w:eastAsia="zh-CN" w:bidi="ar"/>
              </w:rPr>
              <w:t>⽅</w:t>
            </w:r>
            <w:r>
              <w:rPr>
                <w:rStyle w:val="20"/>
                <w:lang w:val="en-US" w:eastAsia="zh-CN" w:bidi="ar"/>
              </w:rPr>
              <w:t>式；网口可扩展选配；（提供对应产品接口截图，并加盖生产厂商公章）</w:t>
            </w:r>
            <w:r>
              <w:rPr>
                <w:rStyle w:val="20"/>
                <w:lang w:val="en-US" w:eastAsia="zh-CN" w:bidi="ar"/>
              </w:rPr>
              <w:br w:type="textWrapping"/>
            </w:r>
            <w:r>
              <w:rPr>
                <w:rStyle w:val="20"/>
                <w:lang w:val="en-US" w:eastAsia="zh-CN" w:bidi="ar"/>
              </w:rPr>
              <w:t>9.支持断电记忆功能；</w:t>
            </w:r>
            <w:r>
              <w:rPr>
                <w:rStyle w:val="20"/>
                <w:lang w:val="en-US" w:eastAsia="zh-CN" w:bidi="ar"/>
              </w:rPr>
              <w:br w:type="textWrapping"/>
            </w:r>
            <w:r>
              <w:rPr>
                <w:rStyle w:val="20"/>
                <w:lang w:val="en-US" w:eastAsia="zh-CN" w:bidi="ar"/>
              </w:rPr>
              <w:t>10.支持HDMI接口连续热拔插；</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D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442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D7E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B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高清会议摄像机</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5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1、▲图像传感器尺寸不小于1/2.8 英寸、有效像素不低于850万；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2、输出信号格式；4KP30/25、1080P30/P25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3、▲水平视场角不小于80.5°，光学变焦不低于12倍，数字变焦不低于16倍；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4、▲内置人脸和人形识别、框选取景AI算法，实时进行会议室全景扫描，自动旋转和变焦将参会人全部框入画面获得最佳取景（提供与会人框选功能实际演示视频）；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5、★内置人脸和人形识别、ReID等AI算法，支持自主设定演讲者对象，摄影机会自动旋转和变焦/聚焦以跟随演讲者在会议室移动，确保其始终处于视图中心位置（提供演讲者跟踪功能实际演示视频）；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6、支持2D和3D数字降噪。图像信噪比≥55dB；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7、支持USB音视频编码输出，支持UVC1.5协议；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8、▲预置位数量不少于255个，预置位精度需≤0.1°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9、云台水平转动范围不小于：±170°(转速不低于35.7°/s)，垂直转动范围不小于：-30°～+90°(转速不低于31.5°/s)；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10、▲具备USB3.0 Type-C、HDMI1.4b、网络视频输出接口，支持同步输出超清视频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11、支持3.5mm音频接口LINE IN输入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12、▲支持RS232、UVC、网络三种PTZ控制接口；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13、▲具备100M网络接口，支持PoE供电、控制、视频和音频单线传输。</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5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44A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14:paraId="190A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2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HDMI转USB采集器</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7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HDMI视频采集卡高清4K环出 笔记本电脑相机手机switch游戏ps4直播录制HDMI转USB采集盒 黑色 Z812-A</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ECC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11EB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5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7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电源时序器（带RS232控制)</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D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1.≥8通道电源口顺序开启逆序关闭,每路输出带指示灯；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2.具有≥1路短路触发接口，可以通过短接信号控制开关；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3.额定输出电压：交流220V，50Hz；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4.每路动作延时时间≥1秒；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5.单路最大承受无功功率≥2200W；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6.最大承受无功总功率≥6000W；</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43F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10D4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C0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38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辅材及施工</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7B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结合现场所需音频线，音箱线，电源线，网线，视频线，以及各种接头等。</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3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C83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3849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15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987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腾讯会议会员</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F8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专业版1账户一年会员费。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29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A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14:paraId="2DFB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7A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A63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中兴5G移动路由器</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75E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包含一年的服务费，每月不少于1000G中兴官方流量。</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7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EE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14:paraId="313D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4"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B0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E4B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会议平板灯</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EF5A">
            <w:pPr>
              <w:pStyle w:val="5"/>
              <w:keepNext w:val="0"/>
              <w:keepLines w:val="0"/>
              <w:widowControl/>
              <w:suppressLineNumbers w:val="0"/>
              <w:spacing w:before="0" w:beforeAutospacing="0" w:after="0" w:afterAutospacing="0"/>
              <w:ind w:left="0" w:right="0"/>
              <w:jc w:val="both"/>
              <w:rPr>
                <w:rFonts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额定功率：不小于118W</w:t>
            </w:r>
          </w:p>
          <w:p w14:paraId="52950663">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输入电压：DC 110-220V</w:t>
            </w:r>
          </w:p>
          <w:p w14:paraId="3A9A8A9F">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色温：不小于6500K</w:t>
            </w:r>
          </w:p>
          <w:p w14:paraId="06215487">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灯体尺寸：600*600</w:t>
            </w:r>
          </w:p>
          <w:p w14:paraId="05582E71">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工作温度：-40°C~+50°C</w:t>
            </w:r>
          </w:p>
          <w:p w14:paraId="0EF565DF">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显色指数：CRI≥90，TLCI≥90</w:t>
            </w:r>
          </w:p>
          <w:p w14:paraId="3583FF7F">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光效：≥100lm/W</w:t>
            </w:r>
          </w:p>
          <w:p w14:paraId="27C4A602">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其他参数：边框采用阻燃PC或全铝材质，面罩采用高透光材质，灯光支持防眩目和频闪，使用恒流驱动电源进行供电。</w:t>
            </w:r>
          </w:p>
          <w:p w14:paraId="706A7B86">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5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5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bl>
    <w:p w14:paraId="2BC2B3F6">
      <w:pPr>
        <w:widowControl/>
        <w:jc w:val="left"/>
        <w:rPr>
          <w:rFonts w:hint="eastAsia" w:ascii="仿宋" w:hAnsi="仿宋" w:eastAsia="仿宋"/>
          <w:sz w:val="32"/>
          <w:szCs w:val="32"/>
        </w:rPr>
      </w:pPr>
      <w:r>
        <w:rPr>
          <w:rFonts w:ascii="仿宋" w:hAnsi="仿宋" w:eastAsia="仿宋"/>
          <w:sz w:val="32"/>
          <w:szCs w:val="32"/>
        </w:rPr>
        <w:br w:type="page"/>
      </w:r>
    </w:p>
    <w:p w14:paraId="677EB98F">
      <w:pPr>
        <w:spacing w:line="560" w:lineRule="exact"/>
        <w:rPr>
          <w:rFonts w:hint="eastAsia" w:ascii="仿宋" w:hAnsi="仿宋" w:eastAsia="仿宋"/>
          <w:sz w:val="32"/>
          <w:szCs w:val="32"/>
        </w:rPr>
      </w:pPr>
      <w:r>
        <w:rPr>
          <w:rFonts w:hint="eastAsia" w:ascii="仿宋" w:hAnsi="仿宋" w:eastAsia="仿宋"/>
          <w:sz w:val="32"/>
          <w:szCs w:val="32"/>
        </w:rPr>
        <w:t>附件2</w:t>
      </w:r>
    </w:p>
    <w:p w14:paraId="03A190F3">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商 务 要 求</w:t>
      </w:r>
    </w:p>
    <w:p w14:paraId="6D09A4CD">
      <w:pPr>
        <w:ind w:firstLine="482"/>
        <w:rPr>
          <w:rFonts w:ascii="宋体" w:hAnsi="宋体" w:cs="宋体"/>
          <w:b/>
          <w:sz w:val="24"/>
          <w:szCs w:val="24"/>
          <w:highlight w:val="none"/>
          <w:lang w:val="zh-CN"/>
        </w:rPr>
      </w:pPr>
      <w:r>
        <w:rPr>
          <w:rFonts w:hint="eastAsia" w:ascii="宋体" w:hAnsi="宋体" w:cs="宋体"/>
          <w:b/>
          <w:sz w:val="24"/>
          <w:szCs w:val="24"/>
          <w:lang w:val="zh-CN"/>
        </w:rPr>
        <w:t>其</w:t>
      </w:r>
      <w:r>
        <w:rPr>
          <w:rFonts w:hint="eastAsia" w:ascii="宋体" w:hAnsi="宋体" w:cs="宋体"/>
          <w:b/>
          <w:sz w:val="24"/>
          <w:szCs w:val="24"/>
          <w:highlight w:val="none"/>
          <w:lang w:val="zh-CN"/>
        </w:rPr>
        <w:t>他要求：</w:t>
      </w:r>
    </w:p>
    <w:p w14:paraId="3FD09E49">
      <w:pPr>
        <w:ind w:firstLine="480"/>
        <w:rPr>
          <w:rFonts w:hint="eastAsia" w:ascii="宋体" w:hAnsi="宋体" w:cs="宋体"/>
          <w:sz w:val="24"/>
          <w:highlight w:val="none"/>
          <w:lang w:val="zh-CN"/>
        </w:rPr>
      </w:pPr>
      <w:r>
        <w:rPr>
          <w:rFonts w:hint="eastAsia" w:ascii="宋体" w:hAnsi="宋体" w:cs="宋体"/>
          <w:bCs/>
          <w:kern w:val="36"/>
          <w:sz w:val="24"/>
          <w:highlight w:val="none"/>
          <w:lang w:val="en-US" w:eastAsia="zh-CN"/>
        </w:rPr>
        <w:t>1</w:t>
      </w:r>
      <w:r>
        <w:rPr>
          <w:rFonts w:hint="eastAsia" w:ascii="宋体" w:hAnsi="宋体" w:cs="宋体"/>
          <w:sz w:val="24"/>
          <w:highlight w:val="none"/>
          <w:lang w:val="zh-CN"/>
        </w:rPr>
        <w:t>.标“</w:t>
      </w:r>
      <w:r>
        <w:rPr>
          <w:rFonts w:hint="eastAsia" w:ascii="宋体" w:hAnsi="宋体" w:cs="宋体"/>
          <w:b w:val="0"/>
          <w:bCs w:val="0"/>
          <w:sz w:val="24"/>
          <w:highlight w:val="none"/>
          <w:lang w:val="en-US" w:eastAsia="zh-CN"/>
        </w:rPr>
        <w:t>#</w:t>
      </w:r>
      <w:r>
        <w:rPr>
          <w:rFonts w:hint="eastAsia" w:ascii="宋体" w:hAnsi="宋体" w:cs="宋体"/>
          <w:sz w:val="24"/>
          <w:highlight w:val="none"/>
          <w:lang w:val="zh-CN"/>
        </w:rPr>
        <w:t>”的产品为本项目的核心产品；</w:t>
      </w:r>
    </w:p>
    <w:p w14:paraId="32ECCF87">
      <w:pPr>
        <w:ind w:firstLine="480"/>
        <w:rPr>
          <w:rFonts w:hint="eastAsia" w:ascii="宋体" w:hAnsi="宋体" w:cs="宋体"/>
          <w:sz w:val="24"/>
          <w:highlight w:val="none"/>
          <w:lang w:val="zh-CN"/>
        </w:rPr>
      </w:pPr>
      <w:r>
        <w:rPr>
          <w:rFonts w:hint="eastAsia" w:ascii="宋体" w:hAnsi="宋体" w:cs="宋体"/>
          <w:sz w:val="24"/>
          <w:highlight w:val="none"/>
          <w:lang w:val="en-US" w:eastAsia="zh-CN"/>
        </w:rPr>
        <w:t>2.</w:t>
      </w:r>
      <w:r>
        <w:rPr>
          <w:rFonts w:hint="eastAsia" w:ascii="宋体" w:hAnsi="宋体" w:cs="宋体"/>
          <w:sz w:val="24"/>
          <w:highlight w:val="none"/>
          <w:lang w:val="zh-CN"/>
        </w:rPr>
        <w:t>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sz w:val="24"/>
          <w:highlight w:val="none"/>
          <w:lang w:val="zh-CN"/>
        </w:rPr>
        <w:t>”的</w:t>
      </w:r>
      <w:r>
        <w:rPr>
          <w:rFonts w:hint="eastAsia" w:ascii="宋体" w:hAnsi="宋体" w:cs="宋体"/>
          <w:sz w:val="24"/>
          <w:szCs w:val="24"/>
          <w:highlight w:val="none"/>
        </w:rPr>
        <w:t>功能配置及其技术指标</w:t>
      </w:r>
      <w:r>
        <w:rPr>
          <w:rFonts w:hint="eastAsia" w:ascii="宋体" w:hAnsi="宋体" w:cs="宋体"/>
          <w:sz w:val="24"/>
          <w:highlight w:val="none"/>
          <w:lang w:val="zh-CN"/>
        </w:rPr>
        <w:t>为</w:t>
      </w:r>
      <w:r>
        <w:rPr>
          <w:rFonts w:hint="eastAsia" w:ascii="宋体" w:hAnsi="宋体" w:cs="宋体"/>
          <w:sz w:val="24"/>
          <w:szCs w:val="24"/>
          <w:highlight w:val="none"/>
        </w:rPr>
        <w:t>各种设备所要求的主要功能配置及其技术指标</w:t>
      </w:r>
      <w:r>
        <w:rPr>
          <w:rFonts w:hint="eastAsia" w:ascii="宋体" w:hAnsi="宋体" w:cs="宋体"/>
          <w:sz w:val="24"/>
          <w:highlight w:val="none"/>
          <w:lang w:val="zh-CN"/>
        </w:rPr>
        <w:t>。</w:t>
      </w:r>
    </w:p>
    <w:p w14:paraId="3EEF1990">
      <w:pPr>
        <w:ind w:firstLine="480"/>
        <w:rPr>
          <w:rFonts w:hint="eastAsia" w:ascii="宋体" w:hAnsi="宋体" w:cs="宋体"/>
          <w:sz w:val="24"/>
          <w:highlight w:val="none"/>
          <w:lang w:val="zh-CN"/>
        </w:rPr>
      </w:pPr>
    </w:p>
    <w:p w14:paraId="70428A41">
      <w:pPr>
        <w:ind w:firstLine="480"/>
        <w:rPr>
          <w:rFonts w:ascii="宋体" w:hAnsi="宋体" w:cs="宋体"/>
          <w:color w:val="auto"/>
          <w:sz w:val="24"/>
          <w:szCs w:val="24"/>
          <w:highlight w:val="none"/>
          <w:lang w:val="zh-CN"/>
        </w:rPr>
      </w:pPr>
      <w:r>
        <w:rPr>
          <w:rFonts w:hint="eastAsia" w:ascii="宋体" w:cs="宋体"/>
          <w:sz w:val="24"/>
          <w:highlight w:val="none"/>
          <w:lang w:val="zh-CN"/>
        </w:rPr>
        <w:t>技术标</w:t>
      </w:r>
      <w:r>
        <w:rPr>
          <w:rFonts w:hint="eastAsia" w:ascii="宋体" w:cs="宋体"/>
          <w:color w:val="auto"/>
          <w:sz w:val="24"/>
          <w:highlight w:val="none"/>
          <w:lang w:val="zh-CN"/>
        </w:rPr>
        <w:t>准：国家标准、行业标准、企业标准</w:t>
      </w:r>
    </w:p>
    <w:p w14:paraId="16C542AA">
      <w:pPr>
        <w:ind w:firstLine="470" w:firstLineChars="196"/>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质量保证期：</w:t>
      </w:r>
      <w:r>
        <w:rPr>
          <w:rFonts w:hint="eastAsia" w:ascii="宋体"/>
          <w:color w:val="auto"/>
          <w:sz w:val="24"/>
          <w:szCs w:val="24"/>
          <w:highlight w:val="none"/>
          <w:lang w:val="en-US" w:eastAsia="zh-CN"/>
        </w:rPr>
        <w:t>1</w:t>
      </w:r>
      <w:r>
        <w:rPr>
          <w:rFonts w:hint="eastAsia" w:ascii="宋体"/>
          <w:color w:val="auto"/>
          <w:sz w:val="24"/>
          <w:szCs w:val="24"/>
          <w:highlight w:val="none"/>
          <w:lang w:val="zh-CN"/>
        </w:rPr>
        <w:t>年</w:t>
      </w:r>
    </w:p>
    <w:p w14:paraId="2BF78967">
      <w:pPr>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交货时间：</w:t>
      </w:r>
      <w:r>
        <w:rPr>
          <w:rFonts w:hint="eastAsia" w:ascii="宋体"/>
          <w:bCs/>
          <w:color w:val="auto"/>
          <w:sz w:val="24"/>
          <w:highlight w:val="none"/>
        </w:rPr>
        <w:t>签订合同之日起</w:t>
      </w:r>
      <w:r>
        <w:rPr>
          <w:rFonts w:hint="eastAsia" w:ascii="宋体"/>
          <w:bCs/>
          <w:color w:val="auto"/>
          <w:sz w:val="24"/>
          <w:highlight w:val="none"/>
          <w:lang w:val="en-US" w:eastAsia="zh-CN"/>
        </w:rPr>
        <w:t>30</w:t>
      </w:r>
      <w:r>
        <w:rPr>
          <w:rFonts w:hint="eastAsia" w:ascii="宋体"/>
          <w:bCs/>
          <w:color w:val="auto"/>
          <w:sz w:val="24"/>
          <w:highlight w:val="none"/>
        </w:rPr>
        <w:t>天</w:t>
      </w:r>
    </w:p>
    <w:p w14:paraId="239483AD">
      <w:pPr>
        <w:tabs>
          <w:tab w:val="left" w:pos="3120"/>
        </w:tabs>
        <w:ind w:firstLine="482"/>
        <w:rPr>
          <w:rFonts w:ascii="宋体"/>
          <w:color w:val="000000"/>
          <w:sz w:val="24"/>
          <w:szCs w:val="24"/>
          <w:highlight w:val="none"/>
          <w:lang w:val="zh-CN"/>
        </w:rPr>
      </w:pPr>
      <w:r>
        <w:rPr>
          <w:rFonts w:hint="eastAsia" w:ascii="宋体" w:hAnsi="宋体" w:cs="宋体"/>
          <w:sz w:val="24"/>
          <w:szCs w:val="24"/>
          <w:highlight w:val="none"/>
          <w:lang w:val="zh-CN"/>
        </w:rPr>
        <w:t>交货方式：</w:t>
      </w:r>
      <w:r>
        <w:rPr>
          <w:rFonts w:hint="eastAsia" w:ascii="宋体" w:hAnsi="宋体"/>
          <w:bCs/>
          <w:color w:val="000000"/>
          <w:sz w:val="24"/>
          <w:szCs w:val="24"/>
          <w:highlight w:val="none"/>
        </w:rPr>
        <w:t>由</w:t>
      </w:r>
      <w:r>
        <w:rPr>
          <w:rFonts w:hint="eastAsia" w:ascii="宋体" w:hAnsi="宋体" w:cs="宋体"/>
          <w:color w:val="000000"/>
          <w:sz w:val="24"/>
          <w:szCs w:val="24"/>
          <w:highlight w:val="none"/>
          <w:lang w:val="zh-CN"/>
        </w:rPr>
        <w:t>中标人负责将货物安全完好运抵交货地点、安装调试并保证验收合格</w:t>
      </w:r>
    </w:p>
    <w:p w14:paraId="50B6400C">
      <w:pPr>
        <w:tabs>
          <w:tab w:val="left" w:pos="3120"/>
        </w:tabs>
        <w:ind w:firstLine="482"/>
        <w:rPr>
          <w:rFonts w:ascii="宋体" w:hAnsi="宋体"/>
          <w:b/>
          <w:bCs/>
          <w:color w:val="000000"/>
          <w:sz w:val="24"/>
          <w:szCs w:val="24"/>
          <w:highlight w:val="none"/>
          <w:lang w:val="zh-CN"/>
        </w:rPr>
      </w:pPr>
    </w:p>
    <w:p w14:paraId="3BA79B1A">
      <w:pPr>
        <w:tabs>
          <w:tab w:val="left" w:pos="3120"/>
        </w:tabs>
        <w:ind w:firstLine="482"/>
        <w:rPr>
          <w:rFonts w:hint="eastAsia"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请投标人注意：（</w:t>
      </w:r>
      <w:r>
        <w:rPr>
          <w:rFonts w:ascii="宋体" w:hAnsi="宋体" w:cs="宋体"/>
          <w:b/>
          <w:bCs/>
          <w:color w:val="000000"/>
          <w:sz w:val="24"/>
          <w:szCs w:val="24"/>
          <w:highlight w:val="none"/>
          <w:lang w:val="zh-CN"/>
        </w:rPr>
        <w:t>1</w:t>
      </w:r>
      <w:r>
        <w:rPr>
          <w:rFonts w:hint="eastAsia" w:ascii="宋体" w:hAnsi="宋体" w:cs="宋体"/>
          <w:b/>
          <w:bCs/>
          <w:color w:val="000000"/>
          <w:sz w:val="24"/>
          <w:szCs w:val="24"/>
          <w:highlight w:val="none"/>
          <w:lang w:val="zh-CN"/>
        </w:rPr>
        <w:t>）</w:t>
      </w:r>
      <w:r>
        <w:rPr>
          <w:rFonts w:hint="eastAsia" w:ascii="宋体" w:hAnsi="宋体" w:cs="宋体"/>
          <w:b/>
          <w:bCs/>
          <w:color w:val="000000"/>
          <w:sz w:val="24"/>
          <w:szCs w:val="24"/>
          <w:highlight w:val="none"/>
          <w:lang w:val="en-US" w:eastAsia="zh-CN"/>
        </w:rPr>
        <w:t>供应商响应文件</w:t>
      </w:r>
      <w:r>
        <w:rPr>
          <w:rFonts w:hint="eastAsia" w:ascii="宋体" w:hAnsi="宋体" w:cs="宋体"/>
          <w:b/>
          <w:bCs/>
          <w:color w:val="000000"/>
          <w:sz w:val="24"/>
          <w:szCs w:val="24"/>
          <w:highlight w:val="none"/>
          <w:lang w:val="zh-CN"/>
        </w:rPr>
        <w:t>对</w:t>
      </w:r>
      <w:r>
        <w:rPr>
          <w:rFonts w:hint="eastAsia" w:ascii="宋体" w:hAnsi="宋体" w:cs="宋体"/>
          <w:b/>
          <w:bCs/>
          <w:color w:val="000000"/>
          <w:sz w:val="24"/>
          <w:szCs w:val="24"/>
          <w:highlight w:val="none"/>
          <w:lang w:val="en-US" w:eastAsia="zh-CN"/>
        </w:rPr>
        <w:t>比选</w:t>
      </w:r>
      <w:r>
        <w:rPr>
          <w:rFonts w:hint="eastAsia" w:ascii="宋体" w:hAnsi="宋体" w:cs="宋体"/>
          <w:b/>
          <w:bCs/>
          <w:color w:val="000000"/>
          <w:sz w:val="24"/>
          <w:szCs w:val="24"/>
          <w:highlight w:val="none"/>
          <w:lang w:val="zh-CN"/>
        </w:rPr>
        <w:t>文件</w:t>
      </w:r>
      <w:r>
        <w:rPr>
          <w:rFonts w:hint="eastAsia" w:ascii="宋体" w:hAnsi="宋体" w:cs="宋体"/>
          <w:b/>
          <w:bCs/>
          <w:color w:val="000000"/>
          <w:sz w:val="24"/>
          <w:szCs w:val="24"/>
          <w:highlight w:val="none"/>
          <w:lang w:val="en-US" w:eastAsia="zh-CN"/>
        </w:rPr>
        <w:t>内</w:t>
      </w:r>
      <w:r>
        <w:rPr>
          <w:rFonts w:hint="eastAsia" w:ascii="宋体" w:hAnsi="宋体" w:cs="宋体"/>
          <w:b/>
          <w:bCs/>
          <w:color w:val="000000"/>
          <w:sz w:val="24"/>
          <w:szCs w:val="24"/>
          <w:highlight w:val="none"/>
          <w:lang w:val="zh-CN"/>
        </w:rPr>
        <w:t>各种设备所要求的主要功能配置及其技术指标必须全部满足，不允许有缺项或者负偏离，如果不满足将导致废标。（</w:t>
      </w:r>
      <w:r>
        <w:rPr>
          <w:rFonts w:ascii="宋体" w:hAnsi="宋体" w:cs="宋体"/>
          <w:b/>
          <w:bCs/>
          <w:color w:val="000000"/>
          <w:sz w:val="24"/>
          <w:szCs w:val="24"/>
          <w:highlight w:val="none"/>
          <w:lang w:val="zh-CN"/>
        </w:rPr>
        <w:t>2</w:t>
      </w:r>
      <w:r>
        <w:rPr>
          <w:rFonts w:hint="eastAsia" w:ascii="宋体" w:hAnsi="宋体" w:cs="宋体"/>
          <w:b/>
          <w:bCs/>
          <w:color w:val="000000"/>
          <w:sz w:val="24"/>
          <w:szCs w:val="24"/>
          <w:highlight w:val="none"/>
          <w:lang w:val="zh-CN"/>
        </w:rPr>
        <w:t>）辅助功能配置缺项或者辅助功能配置的技术指标有负偏离，不影响投标文件的实质性响应，但影响投标人的得分。</w:t>
      </w:r>
    </w:p>
    <w:p w14:paraId="35F29BAF">
      <w:pPr>
        <w:spacing w:line="560" w:lineRule="exact"/>
        <w:rPr>
          <w:rFonts w:hint="eastAsia" w:ascii="仿宋" w:hAnsi="仿宋" w:eastAsia="仿宋"/>
          <w:sz w:val="32"/>
          <w:szCs w:val="32"/>
        </w:rPr>
      </w:pPr>
      <w:r>
        <w:rPr>
          <w:rFonts w:hint="eastAsia" w:ascii="仿宋" w:hAnsi="仿宋" w:eastAsia="仿宋"/>
          <w:sz w:val="32"/>
          <w:szCs w:val="32"/>
        </w:rPr>
        <w:br w:type="textWrapping"/>
      </w:r>
    </w:p>
    <w:p w14:paraId="5827A341">
      <w:pPr>
        <w:rPr>
          <w:rFonts w:hint="eastAsia" w:ascii="仿宋" w:hAnsi="仿宋" w:eastAsia="仿宋"/>
          <w:sz w:val="32"/>
          <w:szCs w:val="32"/>
        </w:rPr>
      </w:pPr>
      <w:r>
        <w:rPr>
          <w:rFonts w:hint="eastAsia" w:ascii="仿宋" w:hAnsi="仿宋" w:eastAsia="仿宋"/>
          <w:sz w:val="32"/>
          <w:szCs w:val="32"/>
        </w:rPr>
        <w:br w:type="page"/>
      </w:r>
    </w:p>
    <w:p w14:paraId="1A2D542A">
      <w:pPr>
        <w:spacing w:line="560" w:lineRule="exact"/>
        <w:rPr>
          <w:rFonts w:hint="eastAsia" w:ascii="仿宋" w:hAnsi="仿宋" w:eastAsia="仿宋"/>
          <w:sz w:val="32"/>
          <w:szCs w:val="32"/>
        </w:rPr>
      </w:pPr>
      <w:r>
        <w:rPr>
          <w:rFonts w:hint="eastAsia" w:ascii="仿宋" w:hAnsi="仿宋" w:eastAsia="仿宋"/>
          <w:sz w:val="32"/>
          <w:szCs w:val="32"/>
        </w:rPr>
        <w:t>附件3</w:t>
      </w:r>
    </w:p>
    <w:p w14:paraId="58029F5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报 价 函</w:t>
      </w:r>
    </w:p>
    <w:p w14:paraId="77A84690">
      <w:pPr>
        <w:spacing w:line="560" w:lineRule="exact"/>
        <w:rPr>
          <w:rFonts w:hint="eastAsia" w:ascii="仿宋" w:hAnsi="仿宋" w:eastAsia="仿宋"/>
          <w:sz w:val="32"/>
          <w:szCs w:val="32"/>
        </w:rPr>
      </w:pPr>
    </w:p>
    <w:p w14:paraId="0DA800B8">
      <w:pPr>
        <w:spacing w:line="560" w:lineRule="exact"/>
        <w:rPr>
          <w:rFonts w:hint="eastAsia" w:ascii="仿宋" w:hAnsi="仿宋" w:eastAsia="仿宋"/>
          <w:sz w:val="32"/>
          <w:szCs w:val="32"/>
        </w:rPr>
      </w:pPr>
      <w:r>
        <w:rPr>
          <w:rFonts w:hint="eastAsia" w:ascii="仿宋" w:hAnsi="仿宋" w:eastAsia="仿宋"/>
          <w:sz w:val="32"/>
          <w:szCs w:val="32"/>
        </w:rPr>
        <w:t>致：吉林省公路交通应急保障中心</w:t>
      </w:r>
    </w:p>
    <w:p w14:paraId="013056C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贵方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项目的</w:t>
      </w:r>
      <w:r>
        <w:rPr>
          <w:rFonts w:hint="eastAsia" w:ascii="仿宋" w:hAnsi="仿宋" w:eastAsia="仿宋"/>
          <w:sz w:val="32"/>
          <w:szCs w:val="32"/>
          <w:lang w:eastAsia="zh-CN"/>
        </w:rPr>
        <w:t>比选文件</w:t>
      </w:r>
      <w:r>
        <w:rPr>
          <w:rFonts w:hint="eastAsia" w:ascii="仿宋" w:hAnsi="仿宋" w:eastAsia="仿宋"/>
          <w:sz w:val="32"/>
          <w:szCs w:val="32"/>
        </w:rPr>
        <w:t>已收悉，我方经研究决定，接受贵方</w:t>
      </w:r>
      <w:r>
        <w:rPr>
          <w:rFonts w:hint="eastAsia" w:ascii="仿宋" w:hAnsi="仿宋" w:eastAsia="仿宋"/>
          <w:sz w:val="32"/>
          <w:szCs w:val="32"/>
          <w:lang w:eastAsia="zh-CN"/>
        </w:rPr>
        <w:t>比选文件</w:t>
      </w:r>
      <w:r>
        <w:rPr>
          <w:rFonts w:hint="eastAsia" w:ascii="仿宋" w:hAnsi="仿宋" w:eastAsia="仿宋"/>
          <w:sz w:val="32"/>
          <w:szCs w:val="32"/>
        </w:rPr>
        <w:t>中的各项要求，现就该项目进行唯一、有效报价。</w:t>
      </w:r>
    </w:p>
    <w:p w14:paraId="367EED03">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报价表（人民币）：</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993"/>
        <w:gridCol w:w="1666"/>
        <w:gridCol w:w="2045"/>
        <w:gridCol w:w="2734"/>
      </w:tblGrid>
      <w:tr w14:paraId="175E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3E574D34">
            <w:pPr>
              <w:spacing w:line="400" w:lineRule="exact"/>
              <w:jc w:val="center"/>
              <w:rPr>
                <w:rFonts w:hint="eastAsia" w:ascii="仿宋" w:hAnsi="仿宋" w:eastAsia="仿宋"/>
                <w:sz w:val="32"/>
                <w:szCs w:val="32"/>
              </w:rPr>
            </w:pPr>
            <w:r>
              <w:rPr>
                <w:rFonts w:hint="eastAsia" w:ascii="仿宋" w:hAnsi="仿宋" w:eastAsia="仿宋"/>
                <w:sz w:val="32"/>
                <w:szCs w:val="32"/>
              </w:rPr>
              <w:t>序号</w:t>
            </w:r>
          </w:p>
        </w:tc>
        <w:tc>
          <w:tcPr>
            <w:tcW w:w="1060" w:type="pct"/>
            <w:vAlign w:val="center"/>
          </w:tcPr>
          <w:p w14:paraId="3639A346">
            <w:pPr>
              <w:spacing w:line="400" w:lineRule="exact"/>
              <w:jc w:val="center"/>
              <w:rPr>
                <w:rFonts w:hint="eastAsia" w:ascii="仿宋" w:hAnsi="仿宋" w:eastAsia="仿宋"/>
                <w:sz w:val="32"/>
                <w:szCs w:val="32"/>
              </w:rPr>
            </w:pPr>
            <w:r>
              <w:rPr>
                <w:rFonts w:hint="eastAsia" w:ascii="仿宋" w:hAnsi="仿宋" w:eastAsia="仿宋"/>
                <w:sz w:val="32"/>
                <w:szCs w:val="32"/>
              </w:rPr>
              <w:t>标的名称</w:t>
            </w:r>
          </w:p>
        </w:tc>
        <w:tc>
          <w:tcPr>
            <w:tcW w:w="886" w:type="pct"/>
            <w:vAlign w:val="center"/>
          </w:tcPr>
          <w:p w14:paraId="5C399709">
            <w:pPr>
              <w:spacing w:line="400" w:lineRule="exact"/>
              <w:jc w:val="center"/>
              <w:rPr>
                <w:rFonts w:hint="eastAsia" w:ascii="仿宋" w:hAnsi="仿宋" w:eastAsia="仿宋"/>
                <w:sz w:val="32"/>
                <w:szCs w:val="32"/>
              </w:rPr>
            </w:pPr>
            <w:r>
              <w:rPr>
                <w:rFonts w:hint="eastAsia" w:ascii="仿宋" w:hAnsi="仿宋" w:eastAsia="仿宋"/>
                <w:sz w:val="32"/>
                <w:szCs w:val="32"/>
              </w:rPr>
              <w:t>数 量</w:t>
            </w:r>
          </w:p>
          <w:p w14:paraId="28640F9C">
            <w:pPr>
              <w:spacing w:line="400" w:lineRule="exact"/>
              <w:jc w:val="center"/>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w:t>
            </w:r>
          </w:p>
        </w:tc>
        <w:tc>
          <w:tcPr>
            <w:tcW w:w="1088" w:type="pct"/>
            <w:vAlign w:val="center"/>
          </w:tcPr>
          <w:p w14:paraId="21B79742">
            <w:pPr>
              <w:spacing w:line="400" w:lineRule="exact"/>
              <w:jc w:val="center"/>
              <w:rPr>
                <w:rFonts w:hint="eastAsia" w:ascii="仿宋" w:hAnsi="仿宋" w:eastAsia="仿宋"/>
                <w:sz w:val="32"/>
                <w:szCs w:val="32"/>
              </w:rPr>
            </w:pPr>
            <w:r>
              <w:rPr>
                <w:rFonts w:hint="eastAsia" w:ascii="仿宋" w:hAnsi="仿宋" w:eastAsia="仿宋"/>
                <w:sz w:val="32"/>
                <w:szCs w:val="32"/>
              </w:rPr>
              <w:t>单 价</w:t>
            </w:r>
          </w:p>
          <w:p w14:paraId="1B3292AD">
            <w:pPr>
              <w:spacing w:line="400" w:lineRule="exact"/>
              <w:jc w:val="center"/>
              <w:rPr>
                <w:rFonts w:hint="eastAsia" w:ascii="仿宋" w:hAnsi="仿宋" w:eastAsia="仿宋"/>
                <w:sz w:val="32"/>
                <w:szCs w:val="32"/>
              </w:rPr>
            </w:pPr>
            <w:r>
              <w:rPr>
                <w:rFonts w:hint="eastAsia" w:ascii="仿宋" w:hAnsi="仿宋" w:eastAsia="仿宋"/>
                <w:sz w:val="32"/>
                <w:szCs w:val="32"/>
              </w:rPr>
              <w:t>（元/单位）</w:t>
            </w:r>
          </w:p>
        </w:tc>
        <w:tc>
          <w:tcPr>
            <w:tcW w:w="1454" w:type="pct"/>
            <w:vAlign w:val="center"/>
          </w:tcPr>
          <w:p w14:paraId="7E31A633">
            <w:pPr>
              <w:spacing w:line="400" w:lineRule="exact"/>
              <w:jc w:val="center"/>
              <w:rPr>
                <w:rFonts w:hint="eastAsia" w:ascii="仿宋" w:hAnsi="仿宋" w:eastAsia="仿宋"/>
                <w:sz w:val="32"/>
                <w:szCs w:val="32"/>
              </w:rPr>
            </w:pPr>
            <w:r>
              <w:rPr>
                <w:rFonts w:hint="eastAsia" w:ascii="仿宋" w:hAnsi="仿宋" w:eastAsia="仿宋"/>
                <w:sz w:val="32"/>
                <w:szCs w:val="32"/>
              </w:rPr>
              <w:t>金 额</w:t>
            </w:r>
          </w:p>
          <w:p w14:paraId="51C1EAF0">
            <w:pPr>
              <w:spacing w:line="400" w:lineRule="exact"/>
              <w:jc w:val="center"/>
              <w:rPr>
                <w:rFonts w:hint="eastAsia" w:ascii="仿宋" w:hAnsi="仿宋" w:eastAsia="仿宋"/>
                <w:sz w:val="32"/>
                <w:szCs w:val="32"/>
              </w:rPr>
            </w:pPr>
            <w:r>
              <w:rPr>
                <w:rFonts w:hint="eastAsia" w:ascii="仿宋" w:hAnsi="仿宋" w:eastAsia="仿宋"/>
                <w:sz w:val="32"/>
                <w:szCs w:val="32"/>
              </w:rPr>
              <w:t>（元）</w:t>
            </w:r>
          </w:p>
        </w:tc>
      </w:tr>
      <w:tr w14:paraId="35FA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B3D0BF1">
            <w:pPr>
              <w:spacing w:line="560" w:lineRule="exact"/>
              <w:jc w:val="center"/>
              <w:rPr>
                <w:rFonts w:hint="eastAsia" w:ascii="仿宋" w:hAnsi="仿宋" w:eastAsia="仿宋"/>
                <w:sz w:val="32"/>
                <w:szCs w:val="32"/>
              </w:rPr>
            </w:pPr>
            <w:r>
              <w:rPr>
                <w:rFonts w:hint="eastAsia" w:ascii="仿宋" w:hAnsi="仿宋" w:eastAsia="仿宋"/>
                <w:sz w:val="32"/>
                <w:szCs w:val="32"/>
              </w:rPr>
              <w:t>1</w:t>
            </w:r>
          </w:p>
        </w:tc>
        <w:tc>
          <w:tcPr>
            <w:tcW w:w="1060" w:type="pct"/>
            <w:vAlign w:val="center"/>
          </w:tcPr>
          <w:p w14:paraId="5FFFE60E">
            <w:pPr>
              <w:spacing w:line="560" w:lineRule="exact"/>
              <w:jc w:val="center"/>
              <w:rPr>
                <w:rFonts w:hint="eastAsia" w:ascii="仿宋" w:hAnsi="仿宋" w:eastAsia="仿宋"/>
                <w:sz w:val="32"/>
                <w:szCs w:val="32"/>
              </w:rPr>
            </w:pPr>
          </w:p>
        </w:tc>
        <w:tc>
          <w:tcPr>
            <w:tcW w:w="886" w:type="pct"/>
            <w:vAlign w:val="center"/>
          </w:tcPr>
          <w:p w14:paraId="77298831">
            <w:pPr>
              <w:spacing w:line="560" w:lineRule="exact"/>
              <w:jc w:val="center"/>
              <w:rPr>
                <w:rFonts w:hint="eastAsia" w:ascii="仿宋" w:hAnsi="仿宋" w:eastAsia="仿宋"/>
                <w:sz w:val="32"/>
                <w:szCs w:val="32"/>
              </w:rPr>
            </w:pPr>
          </w:p>
        </w:tc>
        <w:tc>
          <w:tcPr>
            <w:tcW w:w="1088" w:type="pct"/>
            <w:vAlign w:val="center"/>
          </w:tcPr>
          <w:p w14:paraId="0F5AA93A">
            <w:pPr>
              <w:spacing w:line="560" w:lineRule="exact"/>
              <w:jc w:val="center"/>
              <w:rPr>
                <w:rFonts w:hint="eastAsia" w:ascii="仿宋" w:hAnsi="仿宋" w:eastAsia="仿宋"/>
                <w:sz w:val="32"/>
                <w:szCs w:val="32"/>
              </w:rPr>
            </w:pPr>
          </w:p>
        </w:tc>
        <w:tc>
          <w:tcPr>
            <w:tcW w:w="1454" w:type="pct"/>
            <w:vAlign w:val="center"/>
          </w:tcPr>
          <w:p w14:paraId="241ADF6D">
            <w:pPr>
              <w:spacing w:line="560" w:lineRule="exact"/>
              <w:jc w:val="center"/>
              <w:rPr>
                <w:rFonts w:hint="eastAsia" w:ascii="仿宋" w:hAnsi="仿宋" w:eastAsia="仿宋"/>
                <w:sz w:val="32"/>
                <w:szCs w:val="32"/>
              </w:rPr>
            </w:pPr>
          </w:p>
        </w:tc>
      </w:tr>
      <w:tr w14:paraId="6436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596DEFDE">
            <w:pPr>
              <w:spacing w:line="560" w:lineRule="exact"/>
              <w:jc w:val="center"/>
              <w:rPr>
                <w:rFonts w:hint="eastAsia" w:ascii="仿宋" w:hAnsi="仿宋" w:eastAsia="仿宋"/>
                <w:sz w:val="32"/>
                <w:szCs w:val="32"/>
              </w:rPr>
            </w:pPr>
            <w:r>
              <w:rPr>
                <w:rFonts w:hint="eastAsia" w:ascii="仿宋" w:hAnsi="仿宋" w:eastAsia="仿宋"/>
                <w:sz w:val="32"/>
                <w:szCs w:val="32"/>
              </w:rPr>
              <w:t>2</w:t>
            </w:r>
          </w:p>
        </w:tc>
        <w:tc>
          <w:tcPr>
            <w:tcW w:w="1060" w:type="pct"/>
            <w:vAlign w:val="center"/>
          </w:tcPr>
          <w:p w14:paraId="6998068A">
            <w:pPr>
              <w:spacing w:line="560" w:lineRule="exact"/>
              <w:jc w:val="center"/>
              <w:rPr>
                <w:rFonts w:hint="eastAsia" w:ascii="仿宋" w:hAnsi="仿宋" w:eastAsia="仿宋"/>
                <w:sz w:val="32"/>
                <w:szCs w:val="32"/>
              </w:rPr>
            </w:pPr>
          </w:p>
        </w:tc>
        <w:tc>
          <w:tcPr>
            <w:tcW w:w="886" w:type="pct"/>
            <w:vAlign w:val="center"/>
          </w:tcPr>
          <w:p w14:paraId="083FD5BF">
            <w:pPr>
              <w:spacing w:line="560" w:lineRule="exact"/>
              <w:jc w:val="center"/>
              <w:rPr>
                <w:rFonts w:hint="eastAsia" w:ascii="仿宋" w:hAnsi="仿宋" w:eastAsia="仿宋"/>
                <w:sz w:val="32"/>
                <w:szCs w:val="32"/>
              </w:rPr>
            </w:pPr>
          </w:p>
        </w:tc>
        <w:tc>
          <w:tcPr>
            <w:tcW w:w="1088" w:type="pct"/>
            <w:vAlign w:val="center"/>
          </w:tcPr>
          <w:p w14:paraId="13F7AC4C">
            <w:pPr>
              <w:spacing w:line="560" w:lineRule="exact"/>
              <w:jc w:val="center"/>
              <w:rPr>
                <w:rFonts w:hint="eastAsia" w:ascii="仿宋" w:hAnsi="仿宋" w:eastAsia="仿宋"/>
                <w:sz w:val="32"/>
                <w:szCs w:val="32"/>
              </w:rPr>
            </w:pPr>
          </w:p>
        </w:tc>
        <w:tc>
          <w:tcPr>
            <w:tcW w:w="1454" w:type="pct"/>
            <w:vAlign w:val="center"/>
          </w:tcPr>
          <w:p w14:paraId="1F99A405">
            <w:pPr>
              <w:spacing w:line="560" w:lineRule="exact"/>
              <w:jc w:val="center"/>
              <w:rPr>
                <w:rFonts w:hint="eastAsia" w:ascii="仿宋" w:hAnsi="仿宋" w:eastAsia="仿宋"/>
                <w:sz w:val="32"/>
                <w:szCs w:val="32"/>
              </w:rPr>
            </w:pPr>
          </w:p>
        </w:tc>
      </w:tr>
      <w:tr w14:paraId="2AC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0C93C271">
            <w:pPr>
              <w:spacing w:line="560" w:lineRule="exact"/>
              <w:jc w:val="center"/>
              <w:rPr>
                <w:rFonts w:hint="eastAsia" w:ascii="仿宋" w:hAnsi="仿宋" w:eastAsia="仿宋"/>
                <w:sz w:val="32"/>
                <w:szCs w:val="32"/>
              </w:rPr>
            </w:pPr>
            <w:r>
              <w:rPr>
                <w:rFonts w:hint="eastAsia" w:ascii="仿宋" w:hAnsi="仿宋" w:eastAsia="仿宋"/>
                <w:sz w:val="32"/>
                <w:szCs w:val="32"/>
              </w:rPr>
              <w:t>3</w:t>
            </w:r>
          </w:p>
        </w:tc>
        <w:tc>
          <w:tcPr>
            <w:tcW w:w="1060" w:type="pct"/>
            <w:vAlign w:val="center"/>
          </w:tcPr>
          <w:p w14:paraId="1B9718DC">
            <w:pPr>
              <w:spacing w:line="560" w:lineRule="exact"/>
              <w:jc w:val="center"/>
              <w:rPr>
                <w:rFonts w:hint="eastAsia" w:ascii="仿宋" w:hAnsi="仿宋" w:eastAsia="仿宋"/>
                <w:sz w:val="32"/>
                <w:szCs w:val="32"/>
              </w:rPr>
            </w:pPr>
          </w:p>
        </w:tc>
        <w:tc>
          <w:tcPr>
            <w:tcW w:w="886" w:type="pct"/>
            <w:vAlign w:val="center"/>
          </w:tcPr>
          <w:p w14:paraId="0EA15F0E">
            <w:pPr>
              <w:spacing w:line="560" w:lineRule="exact"/>
              <w:jc w:val="center"/>
              <w:rPr>
                <w:rFonts w:hint="eastAsia" w:ascii="仿宋" w:hAnsi="仿宋" w:eastAsia="仿宋"/>
                <w:sz w:val="32"/>
                <w:szCs w:val="32"/>
              </w:rPr>
            </w:pPr>
          </w:p>
        </w:tc>
        <w:tc>
          <w:tcPr>
            <w:tcW w:w="1088" w:type="pct"/>
            <w:vAlign w:val="center"/>
          </w:tcPr>
          <w:p w14:paraId="5FC8593A">
            <w:pPr>
              <w:spacing w:line="560" w:lineRule="exact"/>
              <w:jc w:val="center"/>
              <w:rPr>
                <w:rFonts w:hint="eastAsia" w:ascii="仿宋" w:hAnsi="仿宋" w:eastAsia="仿宋"/>
                <w:sz w:val="32"/>
                <w:szCs w:val="32"/>
              </w:rPr>
            </w:pPr>
          </w:p>
        </w:tc>
        <w:tc>
          <w:tcPr>
            <w:tcW w:w="1454" w:type="pct"/>
            <w:vAlign w:val="center"/>
          </w:tcPr>
          <w:p w14:paraId="2413E84E">
            <w:pPr>
              <w:spacing w:line="560" w:lineRule="exact"/>
              <w:jc w:val="center"/>
              <w:rPr>
                <w:rFonts w:hint="eastAsia" w:ascii="仿宋" w:hAnsi="仿宋" w:eastAsia="仿宋"/>
                <w:sz w:val="32"/>
                <w:szCs w:val="32"/>
              </w:rPr>
            </w:pPr>
          </w:p>
        </w:tc>
      </w:tr>
      <w:tr w14:paraId="7C4C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3063B392">
            <w:pPr>
              <w:spacing w:line="560" w:lineRule="exact"/>
              <w:jc w:val="center"/>
              <w:rPr>
                <w:rFonts w:hint="eastAsia" w:ascii="仿宋" w:hAnsi="仿宋" w:eastAsia="仿宋"/>
                <w:sz w:val="32"/>
                <w:szCs w:val="32"/>
              </w:rPr>
            </w:pPr>
            <w:r>
              <w:rPr>
                <w:rFonts w:hint="eastAsia" w:ascii="仿宋" w:hAnsi="仿宋" w:eastAsia="仿宋"/>
                <w:sz w:val="32"/>
                <w:szCs w:val="32"/>
              </w:rPr>
              <w:t>4</w:t>
            </w:r>
          </w:p>
        </w:tc>
        <w:tc>
          <w:tcPr>
            <w:tcW w:w="1060" w:type="pct"/>
            <w:vAlign w:val="center"/>
          </w:tcPr>
          <w:p w14:paraId="7BECB9DC">
            <w:pPr>
              <w:spacing w:line="560" w:lineRule="exact"/>
              <w:jc w:val="center"/>
              <w:rPr>
                <w:rFonts w:hint="eastAsia" w:ascii="仿宋" w:hAnsi="仿宋" w:eastAsia="仿宋"/>
                <w:sz w:val="32"/>
                <w:szCs w:val="32"/>
              </w:rPr>
            </w:pPr>
          </w:p>
        </w:tc>
        <w:tc>
          <w:tcPr>
            <w:tcW w:w="886" w:type="pct"/>
            <w:vAlign w:val="center"/>
          </w:tcPr>
          <w:p w14:paraId="43A31440">
            <w:pPr>
              <w:spacing w:line="560" w:lineRule="exact"/>
              <w:jc w:val="center"/>
              <w:rPr>
                <w:rFonts w:hint="eastAsia" w:ascii="仿宋" w:hAnsi="仿宋" w:eastAsia="仿宋"/>
                <w:sz w:val="32"/>
                <w:szCs w:val="32"/>
              </w:rPr>
            </w:pPr>
          </w:p>
        </w:tc>
        <w:tc>
          <w:tcPr>
            <w:tcW w:w="1088" w:type="pct"/>
            <w:vAlign w:val="center"/>
          </w:tcPr>
          <w:p w14:paraId="624CA14E">
            <w:pPr>
              <w:spacing w:line="560" w:lineRule="exact"/>
              <w:jc w:val="center"/>
              <w:rPr>
                <w:rFonts w:hint="eastAsia" w:ascii="仿宋" w:hAnsi="仿宋" w:eastAsia="仿宋"/>
                <w:sz w:val="32"/>
                <w:szCs w:val="32"/>
              </w:rPr>
            </w:pPr>
          </w:p>
        </w:tc>
        <w:tc>
          <w:tcPr>
            <w:tcW w:w="1454" w:type="pct"/>
            <w:vAlign w:val="center"/>
          </w:tcPr>
          <w:p w14:paraId="30D5272C">
            <w:pPr>
              <w:spacing w:line="560" w:lineRule="exact"/>
              <w:jc w:val="center"/>
              <w:rPr>
                <w:rFonts w:hint="eastAsia" w:ascii="仿宋" w:hAnsi="仿宋" w:eastAsia="仿宋"/>
                <w:sz w:val="32"/>
                <w:szCs w:val="32"/>
              </w:rPr>
            </w:pPr>
          </w:p>
        </w:tc>
      </w:tr>
      <w:tr w14:paraId="1748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E690785">
            <w:pPr>
              <w:spacing w:line="560" w:lineRule="exact"/>
              <w:jc w:val="center"/>
              <w:rPr>
                <w:rFonts w:hint="eastAsia" w:ascii="仿宋" w:hAnsi="仿宋" w:eastAsia="仿宋"/>
                <w:sz w:val="32"/>
                <w:szCs w:val="32"/>
              </w:rPr>
            </w:pPr>
          </w:p>
        </w:tc>
        <w:tc>
          <w:tcPr>
            <w:tcW w:w="1060" w:type="pct"/>
            <w:vAlign w:val="center"/>
          </w:tcPr>
          <w:p w14:paraId="3E524E10">
            <w:pPr>
              <w:spacing w:line="560" w:lineRule="exact"/>
              <w:jc w:val="center"/>
              <w:rPr>
                <w:rFonts w:hint="eastAsia" w:ascii="仿宋" w:hAnsi="仿宋" w:eastAsia="仿宋"/>
                <w:sz w:val="32"/>
                <w:szCs w:val="32"/>
              </w:rPr>
            </w:pPr>
          </w:p>
        </w:tc>
        <w:tc>
          <w:tcPr>
            <w:tcW w:w="886" w:type="pct"/>
            <w:vAlign w:val="center"/>
          </w:tcPr>
          <w:p w14:paraId="76897FFF">
            <w:pPr>
              <w:spacing w:line="560" w:lineRule="exact"/>
              <w:jc w:val="center"/>
              <w:rPr>
                <w:rFonts w:hint="eastAsia" w:ascii="仿宋" w:hAnsi="仿宋" w:eastAsia="仿宋"/>
                <w:sz w:val="32"/>
                <w:szCs w:val="32"/>
              </w:rPr>
            </w:pPr>
          </w:p>
        </w:tc>
        <w:tc>
          <w:tcPr>
            <w:tcW w:w="1088" w:type="pct"/>
            <w:vAlign w:val="center"/>
          </w:tcPr>
          <w:p w14:paraId="14003EB8">
            <w:pPr>
              <w:spacing w:line="560" w:lineRule="exact"/>
              <w:jc w:val="center"/>
              <w:rPr>
                <w:rFonts w:hint="eastAsia" w:ascii="仿宋" w:hAnsi="仿宋" w:eastAsia="仿宋"/>
                <w:sz w:val="32"/>
                <w:szCs w:val="32"/>
              </w:rPr>
            </w:pPr>
          </w:p>
        </w:tc>
        <w:tc>
          <w:tcPr>
            <w:tcW w:w="1454" w:type="pct"/>
            <w:vAlign w:val="center"/>
          </w:tcPr>
          <w:p w14:paraId="6872CDAB">
            <w:pPr>
              <w:spacing w:line="560" w:lineRule="exact"/>
              <w:jc w:val="center"/>
              <w:rPr>
                <w:rFonts w:hint="eastAsia" w:ascii="仿宋" w:hAnsi="仿宋" w:eastAsia="仿宋"/>
                <w:sz w:val="32"/>
                <w:szCs w:val="32"/>
              </w:rPr>
            </w:pPr>
          </w:p>
        </w:tc>
      </w:tr>
      <w:tr w14:paraId="6A8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64F0F549">
            <w:pPr>
              <w:spacing w:line="560" w:lineRule="exact"/>
              <w:jc w:val="center"/>
              <w:rPr>
                <w:rFonts w:hint="eastAsia" w:ascii="仿宋" w:hAnsi="仿宋" w:eastAsia="仿宋"/>
                <w:sz w:val="32"/>
                <w:szCs w:val="32"/>
              </w:rPr>
            </w:pPr>
          </w:p>
        </w:tc>
        <w:tc>
          <w:tcPr>
            <w:tcW w:w="1060" w:type="pct"/>
            <w:vAlign w:val="center"/>
          </w:tcPr>
          <w:p w14:paraId="0AFEECDB">
            <w:pPr>
              <w:spacing w:line="560" w:lineRule="exact"/>
              <w:jc w:val="center"/>
              <w:rPr>
                <w:rFonts w:hint="eastAsia" w:ascii="仿宋" w:hAnsi="仿宋" w:eastAsia="仿宋"/>
                <w:sz w:val="32"/>
                <w:szCs w:val="32"/>
              </w:rPr>
            </w:pPr>
          </w:p>
        </w:tc>
        <w:tc>
          <w:tcPr>
            <w:tcW w:w="886" w:type="pct"/>
            <w:vAlign w:val="center"/>
          </w:tcPr>
          <w:p w14:paraId="70D14048">
            <w:pPr>
              <w:spacing w:line="560" w:lineRule="exact"/>
              <w:jc w:val="center"/>
              <w:rPr>
                <w:rFonts w:hint="eastAsia" w:ascii="仿宋" w:hAnsi="仿宋" w:eastAsia="仿宋"/>
                <w:sz w:val="32"/>
                <w:szCs w:val="32"/>
              </w:rPr>
            </w:pPr>
          </w:p>
        </w:tc>
        <w:tc>
          <w:tcPr>
            <w:tcW w:w="1088" w:type="pct"/>
            <w:vAlign w:val="center"/>
          </w:tcPr>
          <w:p w14:paraId="269C093D">
            <w:pPr>
              <w:spacing w:line="560" w:lineRule="exact"/>
              <w:jc w:val="center"/>
              <w:rPr>
                <w:rFonts w:hint="eastAsia" w:ascii="仿宋" w:hAnsi="仿宋" w:eastAsia="仿宋"/>
                <w:sz w:val="32"/>
                <w:szCs w:val="32"/>
              </w:rPr>
            </w:pPr>
          </w:p>
        </w:tc>
        <w:tc>
          <w:tcPr>
            <w:tcW w:w="1454" w:type="pct"/>
            <w:vAlign w:val="center"/>
          </w:tcPr>
          <w:p w14:paraId="4B1B1F09">
            <w:pPr>
              <w:spacing w:line="560" w:lineRule="exact"/>
              <w:jc w:val="center"/>
              <w:rPr>
                <w:rFonts w:hint="eastAsia" w:ascii="仿宋" w:hAnsi="仿宋" w:eastAsia="仿宋"/>
                <w:sz w:val="32"/>
                <w:szCs w:val="32"/>
              </w:rPr>
            </w:pPr>
          </w:p>
        </w:tc>
      </w:tr>
      <w:tr w14:paraId="2F75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7AC9C5B">
            <w:pPr>
              <w:spacing w:line="560" w:lineRule="exact"/>
              <w:jc w:val="center"/>
              <w:rPr>
                <w:rFonts w:hint="eastAsia" w:ascii="仿宋" w:hAnsi="仿宋" w:eastAsia="仿宋"/>
                <w:sz w:val="32"/>
                <w:szCs w:val="32"/>
              </w:rPr>
            </w:pPr>
          </w:p>
        </w:tc>
        <w:tc>
          <w:tcPr>
            <w:tcW w:w="1060" w:type="pct"/>
            <w:vAlign w:val="center"/>
          </w:tcPr>
          <w:p w14:paraId="23F72946">
            <w:pPr>
              <w:spacing w:line="560" w:lineRule="exact"/>
              <w:jc w:val="center"/>
              <w:rPr>
                <w:rFonts w:hint="eastAsia" w:ascii="仿宋" w:hAnsi="仿宋" w:eastAsia="仿宋"/>
                <w:sz w:val="32"/>
                <w:szCs w:val="32"/>
              </w:rPr>
            </w:pPr>
          </w:p>
        </w:tc>
        <w:tc>
          <w:tcPr>
            <w:tcW w:w="886" w:type="pct"/>
            <w:vAlign w:val="center"/>
          </w:tcPr>
          <w:p w14:paraId="5BF73094">
            <w:pPr>
              <w:spacing w:line="560" w:lineRule="exact"/>
              <w:jc w:val="center"/>
              <w:rPr>
                <w:rFonts w:hint="eastAsia" w:ascii="仿宋" w:hAnsi="仿宋" w:eastAsia="仿宋"/>
                <w:sz w:val="32"/>
                <w:szCs w:val="32"/>
              </w:rPr>
            </w:pPr>
          </w:p>
        </w:tc>
        <w:tc>
          <w:tcPr>
            <w:tcW w:w="1088" w:type="pct"/>
            <w:vAlign w:val="center"/>
          </w:tcPr>
          <w:p w14:paraId="350F88EA">
            <w:pPr>
              <w:spacing w:line="560" w:lineRule="exact"/>
              <w:jc w:val="center"/>
              <w:rPr>
                <w:rFonts w:hint="eastAsia" w:ascii="仿宋" w:hAnsi="仿宋" w:eastAsia="仿宋"/>
                <w:sz w:val="32"/>
                <w:szCs w:val="32"/>
              </w:rPr>
            </w:pPr>
          </w:p>
        </w:tc>
        <w:tc>
          <w:tcPr>
            <w:tcW w:w="1454" w:type="pct"/>
            <w:vAlign w:val="center"/>
          </w:tcPr>
          <w:p w14:paraId="3004491C">
            <w:pPr>
              <w:spacing w:line="560" w:lineRule="exact"/>
              <w:jc w:val="center"/>
              <w:rPr>
                <w:rFonts w:hint="eastAsia" w:ascii="仿宋" w:hAnsi="仿宋" w:eastAsia="仿宋"/>
                <w:sz w:val="32"/>
                <w:szCs w:val="32"/>
              </w:rPr>
            </w:pPr>
          </w:p>
        </w:tc>
      </w:tr>
      <w:tr w14:paraId="532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pct"/>
            <w:gridSpan w:val="2"/>
            <w:vMerge w:val="restart"/>
            <w:vAlign w:val="center"/>
          </w:tcPr>
          <w:p w14:paraId="47890877">
            <w:pPr>
              <w:spacing w:line="560" w:lineRule="exact"/>
              <w:jc w:val="center"/>
              <w:rPr>
                <w:rFonts w:hint="eastAsia" w:ascii="仿宋" w:hAnsi="仿宋" w:eastAsia="仿宋"/>
                <w:sz w:val="32"/>
                <w:szCs w:val="32"/>
              </w:rPr>
            </w:pPr>
            <w:r>
              <w:rPr>
                <w:rFonts w:hint="eastAsia" w:ascii="仿宋" w:hAnsi="仿宋" w:eastAsia="仿宋"/>
                <w:sz w:val="32"/>
                <w:szCs w:val="32"/>
              </w:rPr>
              <w:t>总价金额（含税）</w:t>
            </w:r>
          </w:p>
        </w:tc>
        <w:tc>
          <w:tcPr>
            <w:tcW w:w="3428" w:type="pct"/>
            <w:gridSpan w:val="3"/>
            <w:vAlign w:val="center"/>
          </w:tcPr>
          <w:p w14:paraId="6F16A77A">
            <w:pPr>
              <w:spacing w:line="560" w:lineRule="exact"/>
              <w:ind w:firstLine="259" w:firstLineChars="81"/>
              <w:rPr>
                <w:rFonts w:hint="eastAsia" w:ascii="仿宋" w:hAnsi="仿宋" w:eastAsia="仿宋"/>
                <w:sz w:val="32"/>
                <w:szCs w:val="32"/>
              </w:rPr>
            </w:pPr>
            <w:r>
              <w:rPr>
                <w:rFonts w:hint="eastAsia" w:ascii="仿宋" w:hAnsi="仿宋" w:eastAsia="仿宋"/>
                <w:sz w:val="32"/>
                <w:szCs w:val="32"/>
              </w:rPr>
              <w:t>小写：</w:t>
            </w:r>
          </w:p>
        </w:tc>
      </w:tr>
      <w:tr w14:paraId="1DAC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pct"/>
            <w:gridSpan w:val="2"/>
            <w:vMerge w:val="continue"/>
            <w:vAlign w:val="center"/>
          </w:tcPr>
          <w:p w14:paraId="22C40A24">
            <w:pPr>
              <w:spacing w:line="560" w:lineRule="exact"/>
              <w:jc w:val="center"/>
              <w:rPr>
                <w:rFonts w:hint="eastAsia" w:ascii="仿宋" w:hAnsi="仿宋" w:eastAsia="仿宋"/>
                <w:sz w:val="32"/>
                <w:szCs w:val="32"/>
              </w:rPr>
            </w:pPr>
          </w:p>
        </w:tc>
        <w:tc>
          <w:tcPr>
            <w:tcW w:w="3428" w:type="pct"/>
            <w:gridSpan w:val="3"/>
            <w:vAlign w:val="center"/>
          </w:tcPr>
          <w:p w14:paraId="55C5BB3A">
            <w:pPr>
              <w:spacing w:line="560" w:lineRule="exact"/>
              <w:ind w:firstLine="259" w:firstLineChars="81"/>
              <w:rPr>
                <w:rFonts w:hint="eastAsia" w:ascii="仿宋" w:hAnsi="仿宋" w:eastAsia="仿宋"/>
                <w:sz w:val="32"/>
                <w:szCs w:val="32"/>
              </w:rPr>
            </w:pPr>
            <w:r>
              <w:rPr>
                <w:rFonts w:hint="eastAsia" w:ascii="仿宋" w:hAnsi="仿宋" w:eastAsia="仿宋"/>
                <w:sz w:val="32"/>
                <w:szCs w:val="32"/>
              </w:rPr>
              <w:t>大写：</w:t>
            </w:r>
          </w:p>
        </w:tc>
      </w:tr>
    </w:tbl>
    <w:p w14:paraId="7F3A956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注：以上报价包括</w:t>
      </w:r>
      <w:bookmarkStart w:id="4" w:name="_Hlk137213374"/>
      <w:r>
        <w:rPr>
          <w:rFonts w:hint="eastAsia" w:ascii="仿宋" w:hAnsi="仿宋" w:eastAsia="仿宋"/>
          <w:sz w:val="32"/>
          <w:szCs w:val="32"/>
        </w:rPr>
        <w:t>我方按贵方要求完成本项目的全部费用，报价之外我方不再收取其他任何费用。</w:t>
      </w:r>
      <w:bookmarkEnd w:id="4"/>
    </w:p>
    <w:p w14:paraId="0581A234">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主要参数：</w:t>
      </w:r>
    </w:p>
    <w:p w14:paraId="5938510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（可另附件）</w:t>
      </w:r>
    </w:p>
    <w:p w14:paraId="60892C7E">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服务承诺：</w:t>
      </w:r>
    </w:p>
    <w:p w14:paraId="097CCB6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（可另附件）</w:t>
      </w:r>
    </w:p>
    <w:p w14:paraId="1393B191">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联系方式：</w:t>
      </w:r>
    </w:p>
    <w:p w14:paraId="240FD34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联系人：</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联系电话：</w:t>
      </w:r>
    </w:p>
    <w:p w14:paraId="0E292F33">
      <w:pPr>
        <w:spacing w:line="560" w:lineRule="exact"/>
        <w:rPr>
          <w:rFonts w:hint="eastAsia" w:ascii="仿宋" w:hAnsi="仿宋" w:eastAsia="仿宋"/>
          <w:sz w:val="32"/>
          <w:szCs w:val="32"/>
        </w:rPr>
      </w:pPr>
    </w:p>
    <w:p w14:paraId="5D047A49">
      <w:pPr>
        <w:spacing w:line="560" w:lineRule="exact"/>
        <w:rPr>
          <w:rFonts w:hint="eastAsia" w:ascii="仿宋" w:hAnsi="仿宋" w:eastAsia="仿宋"/>
          <w:sz w:val="32"/>
          <w:szCs w:val="32"/>
        </w:rPr>
      </w:pPr>
    </w:p>
    <w:p w14:paraId="0FD43CA8">
      <w:pPr>
        <w:spacing w:line="560" w:lineRule="exact"/>
        <w:rPr>
          <w:rFonts w:hint="eastAsia" w:ascii="仿宋" w:hAnsi="仿宋" w:eastAsia="仿宋"/>
          <w:sz w:val="32"/>
          <w:szCs w:val="32"/>
        </w:rPr>
      </w:pPr>
    </w:p>
    <w:p w14:paraId="5C27AF5A">
      <w:pPr>
        <w:spacing w:line="560" w:lineRule="exact"/>
        <w:rPr>
          <w:rFonts w:hint="eastAsia" w:ascii="仿宋" w:hAnsi="仿宋" w:eastAsia="仿宋"/>
          <w:sz w:val="32"/>
          <w:szCs w:val="32"/>
        </w:rPr>
      </w:pPr>
    </w:p>
    <w:p w14:paraId="797F03F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（供应商名称）</w:t>
      </w:r>
    </w:p>
    <w:p w14:paraId="18C8B0C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（日期）</w:t>
      </w:r>
    </w:p>
    <w:p w14:paraId="663311EB">
      <w:pPr>
        <w:spacing w:line="560" w:lineRule="exact"/>
        <w:rPr>
          <w:rFonts w:hint="eastAsia" w:ascii="仿宋" w:hAnsi="仿宋" w:eastAsia="仿宋"/>
          <w:sz w:val="32"/>
          <w:szCs w:val="32"/>
        </w:rPr>
      </w:pPr>
    </w:p>
    <w:p w14:paraId="50434AB9">
      <w:pPr>
        <w:spacing w:line="560" w:lineRule="exact"/>
        <w:rPr>
          <w:rFonts w:hint="eastAsia" w:ascii="仿宋" w:hAnsi="仿宋" w:eastAsia="仿宋"/>
          <w:sz w:val="32"/>
          <w:szCs w:val="32"/>
        </w:rPr>
      </w:pPr>
    </w:p>
    <w:p w14:paraId="409679B1">
      <w:pPr>
        <w:widowControl/>
        <w:jc w:val="left"/>
        <w:rPr>
          <w:rFonts w:hint="eastAsia" w:ascii="仿宋" w:hAnsi="仿宋" w:eastAsia="仿宋"/>
          <w:sz w:val="32"/>
          <w:szCs w:val="32"/>
        </w:rPr>
      </w:pPr>
      <w:r>
        <w:rPr>
          <w:rFonts w:ascii="仿宋" w:hAnsi="仿宋" w:eastAsia="仿宋"/>
          <w:sz w:val="32"/>
          <w:szCs w:val="32"/>
        </w:rPr>
        <w:br w:type="page"/>
      </w:r>
    </w:p>
    <w:p w14:paraId="05649A12">
      <w:pPr>
        <w:rPr>
          <w:rFonts w:hint="eastAsia"/>
        </w:rPr>
      </w:pPr>
    </w:p>
    <w:p w14:paraId="2266CCE2">
      <w:pPr>
        <w:widowControl/>
        <w:jc w:val="left"/>
        <w:rPr>
          <w:rFonts w:hint="eastAsia" w:ascii="仿宋" w:hAnsi="仿宋" w:eastAsia="仿宋"/>
          <w:sz w:val="32"/>
          <w:szCs w:val="32"/>
        </w:rPr>
      </w:pPr>
      <w:r>
        <w:rPr>
          <w:rFonts w:hint="eastAsia" w:ascii="仿宋" w:hAnsi="仿宋" w:eastAsia="仿宋"/>
          <w:sz w:val="32"/>
          <w:szCs w:val="32"/>
        </w:rPr>
        <w:t>附件4</w:t>
      </w:r>
    </w:p>
    <w:p w14:paraId="5CCEC15B">
      <w:pPr>
        <w:spacing w:line="7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中小企业声明函（服务）</w:t>
      </w:r>
    </w:p>
    <w:p w14:paraId="02DCB64D">
      <w:pPr>
        <w:spacing w:line="360" w:lineRule="auto"/>
        <w:jc w:val="center"/>
        <w:rPr>
          <w:rFonts w:hint="eastAsia" w:asciiTheme="majorEastAsia" w:hAnsiTheme="majorEastAsia" w:eastAsiaTheme="majorEastAsia" w:cstheme="majorEastAsia"/>
          <w:b/>
          <w:bCs/>
          <w:szCs w:val="21"/>
        </w:rPr>
      </w:pPr>
    </w:p>
    <w:p w14:paraId="684A4D36">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本公司（联合体）郑重声明，根据《政府采购促进中小企业发展管理办法》（财库﹝2020﹞46号）的规定，本公司（联合体）参加</w:t>
      </w:r>
      <w:r>
        <w:rPr>
          <w:rFonts w:hint="eastAsia" w:ascii="仿宋_GB2312" w:hAnsi="仿宋_GB2312" w:eastAsia="仿宋_GB2312" w:cs="仿宋_GB2312"/>
          <w:szCs w:val="21"/>
          <w:u w:val="single"/>
        </w:rPr>
        <w:t>（单位名称）</w:t>
      </w:r>
      <w:r>
        <w:rPr>
          <w:rFonts w:hint="eastAsia" w:ascii="仿宋_GB2312" w:hAnsi="仿宋_GB2312" w:eastAsia="仿宋_GB2312" w:cs="仿宋_GB2312"/>
          <w:szCs w:val="21"/>
        </w:rPr>
        <w:t>的</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采购活动，服务全部由符合政策要求的中小企业承接。相关企业（含联合体中的中小企业、签订分包意向协议的中小企业）的具体情况如下：</w:t>
      </w:r>
    </w:p>
    <w:p w14:paraId="0580F507">
      <w:pPr>
        <w:spacing w:line="360" w:lineRule="auto"/>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1.</w:t>
      </w:r>
      <w:r>
        <w:rPr>
          <w:rFonts w:hint="eastAsia" w:ascii="仿宋_GB2312" w:hAnsi="仿宋_GB2312" w:eastAsia="仿宋_GB2312" w:cs="仿宋_GB2312"/>
          <w:szCs w:val="21"/>
          <w:u w:val="single"/>
        </w:rPr>
        <w:t>（标的名称）</w:t>
      </w:r>
      <w:r>
        <w:rPr>
          <w:rFonts w:hint="eastAsia" w:ascii="仿宋_GB2312" w:hAnsi="仿宋_GB2312" w:eastAsia="仿宋_GB2312" w:cs="仿宋_GB2312"/>
          <w:szCs w:val="21"/>
        </w:rPr>
        <w:t>，属于</w:t>
      </w:r>
      <w:r>
        <w:rPr>
          <w:rFonts w:hint="eastAsia" w:ascii="仿宋_GB2312" w:hAnsi="仿宋_GB2312" w:eastAsia="仿宋_GB2312" w:cs="仿宋_GB2312"/>
          <w:szCs w:val="21"/>
          <w:u w:val="single"/>
        </w:rPr>
        <w:t>（采购文件中明确的所属行业）</w:t>
      </w:r>
      <w:r>
        <w:rPr>
          <w:rFonts w:hint="eastAsia" w:ascii="仿宋_GB2312" w:hAnsi="仿宋_GB2312" w:eastAsia="仿宋_GB2312" w:cs="仿宋_GB2312"/>
          <w:szCs w:val="21"/>
        </w:rPr>
        <w:t>；承接企业为</w:t>
      </w:r>
      <w:r>
        <w:rPr>
          <w:rFonts w:hint="eastAsia" w:ascii="仿宋_GB2312" w:hAnsi="仿宋_GB2312" w:eastAsia="仿宋_GB2312" w:cs="仿宋_GB2312"/>
          <w:szCs w:val="21"/>
          <w:u w:val="single"/>
        </w:rPr>
        <w:t>（企业名称）</w:t>
      </w:r>
      <w:r>
        <w:rPr>
          <w:rFonts w:hint="eastAsia" w:ascii="仿宋_GB2312" w:hAnsi="仿宋_GB2312" w:eastAsia="仿宋_GB2312" w:cs="仿宋_GB2312"/>
          <w:szCs w:val="21"/>
        </w:rPr>
        <w:t>，从业人员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人，营业收入为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万元，资产总额为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万元，属于</w:t>
      </w:r>
      <w:r>
        <w:rPr>
          <w:rFonts w:hint="eastAsia" w:ascii="仿宋_GB2312" w:hAnsi="仿宋_GB2312" w:eastAsia="仿宋_GB2312" w:cs="仿宋_GB2312"/>
          <w:szCs w:val="21"/>
          <w:u w:val="single"/>
        </w:rPr>
        <w:t>（中型企业、小型企业、微型企业）</w:t>
      </w:r>
      <w:r>
        <w:rPr>
          <w:rFonts w:hint="eastAsia" w:ascii="仿宋_GB2312" w:hAnsi="仿宋_GB2312" w:eastAsia="仿宋_GB2312" w:cs="仿宋_GB2312"/>
          <w:szCs w:val="21"/>
        </w:rPr>
        <w:t>；</w:t>
      </w:r>
    </w:p>
    <w:p w14:paraId="3F44C0F2">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u w:val="single"/>
        </w:rPr>
        <w:t>（标的名称）</w:t>
      </w:r>
      <w:r>
        <w:rPr>
          <w:rFonts w:hint="eastAsia" w:ascii="仿宋_GB2312" w:hAnsi="仿宋_GB2312" w:eastAsia="仿宋_GB2312" w:cs="仿宋_GB2312"/>
          <w:szCs w:val="21"/>
        </w:rPr>
        <w:t>，属于</w:t>
      </w:r>
      <w:r>
        <w:rPr>
          <w:rFonts w:hint="eastAsia" w:ascii="仿宋_GB2312" w:hAnsi="仿宋_GB2312" w:eastAsia="仿宋_GB2312" w:cs="仿宋_GB2312"/>
          <w:szCs w:val="21"/>
          <w:u w:val="single"/>
        </w:rPr>
        <w:t>（采购文件中明确的所属行业）</w:t>
      </w:r>
      <w:r>
        <w:rPr>
          <w:rFonts w:hint="eastAsia" w:ascii="仿宋_GB2312" w:hAnsi="仿宋_GB2312" w:eastAsia="仿宋_GB2312" w:cs="仿宋_GB2312"/>
          <w:szCs w:val="21"/>
        </w:rPr>
        <w:t>；承接企业为</w:t>
      </w:r>
      <w:r>
        <w:rPr>
          <w:rFonts w:hint="eastAsia" w:ascii="仿宋_GB2312" w:hAnsi="仿宋_GB2312" w:eastAsia="仿宋_GB2312" w:cs="仿宋_GB2312"/>
          <w:szCs w:val="21"/>
          <w:u w:val="single"/>
        </w:rPr>
        <w:t>（企业名称）</w:t>
      </w:r>
      <w:r>
        <w:rPr>
          <w:rFonts w:hint="eastAsia" w:ascii="仿宋_GB2312" w:hAnsi="仿宋_GB2312" w:eastAsia="仿宋_GB2312" w:cs="仿宋_GB2312"/>
          <w:szCs w:val="21"/>
        </w:rPr>
        <w:t>，从业人员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人，营业收入为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万元，资产总额为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万元，属于</w:t>
      </w:r>
      <w:r>
        <w:rPr>
          <w:rFonts w:hint="eastAsia" w:ascii="仿宋_GB2312" w:hAnsi="仿宋_GB2312" w:eastAsia="仿宋_GB2312" w:cs="仿宋_GB2312"/>
          <w:szCs w:val="21"/>
          <w:u w:val="single"/>
        </w:rPr>
        <w:t>（中型企业、小型企业、微型企业）</w:t>
      </w:r>
      <w:r>
        <w:rPr>
          <w:rFonts w:hint="eastAsia" w:ascii="仿宋_GB2312" w:hAnsi="仿宋_GB2312" w:eastAsia="仿宋_GB2312" w:cs="仿宋_GB2312"/>
          <w:szCs w:val="21"/>
        </w:rPr>
        <w:t>；</w:t>
      </w:r>
    </w:p>
    <w:p w14:paraId="4BAACE9E">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p>
    <w:p w14:paraId="72C560E8">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以上企业，不属于大企业的分支机构，不存在控股股东为大企业的情形，也不存在与大企业的负责人为同一人的情形。</w:t>
      </w:r>
    </w:p>
    <w:p w14:paraId="1923987F">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本企业对上述声明内容的真实性负责。如有虚假，将依法承担相应责任。 </w:t>
      </w:r>
    </w:p>
    <w:p w14:paraId="059E0F7D">
      <w:pPr>
        <w:spacing w:line="360" w:lineRule="auto"/>
        <w:ind w:firstLine="420" w:firstLineChars="200"/>
        <w:rPr>
          <w:rFonts w:hint="eastAsia" w:ascii="仿宋_GB2312" w:hAnsi="仿宋_GB2312" w:eastAsia="仿宋_GB2312" w:cs="仿宋_GB2312"/>
          <w:szCs w:val="21"/>
        </w:rPr>
      </w:pPr>
    </w:p>
    <w:p w14:paraId="1BC4EF9A">
      <w:pPr>
        <w:spacing w:line="360" w:lineRule="auto"/>
        <w:ind w:firstLine="4200" w:firstLineChars="2000"/>
        <w:rPr>
          <w:rFonts w:hint="eastAsia" w:ascii="仿宋_GB2312" w:hAnsi="仿宋_GB2312" w:eastAsia="仿宋_GB2312" w:cs="仿宋_GB2312"/>
          <w:szCs w:val="21"/>
        </w:rPr>
      </w:pPr>
    </w:p>
    <w:p w14:paraId="6D289B78">
      <w:pPr>
        <w:spacing w:line="360" w:lineRule="auto"/>
        <w:ind w:firstLine="4200" w:firstLineChars="2000"/>
        <w:rPr>
          <w:rFonts w:hint="eastAsia" w:ascii="仿宋_GB2312" w:hAnsi="仿宋_GB2312" w:eastAsia="仿宋_GB2312" w:cs="仿宋_GB2312"/>
          <w:szCs w:val="21"/>
        </w:rPr>
      </w:pPr>
    </w:p>
    <w:p w14:paraId="49E13118">
      <w:pPr>
        <w:spacing w:line="360" w:lineRule="auto"/>
        <w:ind w:firstLine="4200" w:firstLineChars="2000"/>
        <w:rPr>
          <w:rFonts w:hint="eastAsia" w:ascii="仿宋_GB2312" w:hAnsi="仿宋_GB2312" w:eastAsia="仿宋_GB2312" w:cs="仿宋_GB2312"/>
          <w:szCs w:val="21"/>
        </w:rPr>
      </w:pPr>
    </w:p>
    <w:p w14:paraId="5F255223">
      <w:pPr>
        <w:spacing w:line="360" w:lineRule="auto"/>
        <w:ind w:firstLine="4200" w:firstLineChars="2000"/>
        <w:rPr>
          <w:rFonts w:hint="eastAsia" w:ascii="仿宋_GB2312" w:hAnsi="仿宋_GB2312" w:eastAsia="仿宋_GB2312" w:cs="仿宋_GB2312"/>
          <w:szCs w:val="21"/>
        </w:rPr>
      </w:pPr>
    </w:p>
    <w:p w14:paraId="35CD028D">
      <w:pPr>
        <w:spacing w:line="360" w:lineRule="auto"/>
        <w:ind w:firstLine="4200" w:firstLineChars="2000"/>
        <w:rPr>
          <w:rFonts w:hint="eastAsia" w:ascii="仿宋_GB2312" w:hAnsi="仿宋_GB2312" w:eastAsia="仿宋_GB2312" w:cs="仿宋_GB2312"/>
          <w:szCs w:val="21"/>
        </w:rPr>
      </w:pPr>
    </w:p>
    <w:p w14:paraId="14E79C0A">
      <w:pPr>
        <w:spacing w:line="360" w:lineRule="auto"/>
        <w:ind w:firstLine="4200" w:firstLineChars="2000"/>
        <w:rPr>
          <w:rFonts w:hint="eastAsia" w:ascii="仿宋_GB2312" w:hAnsi="仿宋_GB2312" w:eastAsia="仿宋_GB2312" w:cs="仿宋_GB2312"/>
          <w:szCs w:val="21"/>
        </w:rPr>
      </w:pPr>
      <w:r>
        <w:rPr>
          <w:rFonts w:hint="eastAsia" w:ascii="仿宋_GB2312" w:hAnsi="仿宋_GB2312" w:eastAsia="仿宋_GB2312" w:cs="仿宋_GB2312"/>
          <w:szCs w:val="21"/>
        </w:rPr>
        <w:t>企业名称（盖章）：</w:t>
      </w:r>
    </w:p>
    <w:p w14:paraId="1459E3AF">
      <w:pPr>
        <w:spacing w:line="360" w:lineRule="auto"/>
        <w:ind w:firstLine="4200" w:firstLineChars="2000"/>
        <w:rPr>
          <w:rFonts w:hint="eastAsia" w:ascii="仿宋_GB2312" w:hAnsi="仿宋_GB2312" w:eastAsia="仿宋_GB2312" w:cs="仿宋_GB2312"/>
          <w:szCs w:val="21"/>
        </w:rPr>
      </w:pPr>
      <w:r>
        <w:rPr>
          <w:rFonts w:hint="eastAsia" w:ascii="仿宋_GB2312" w:hAnsi="仿宋_GB2312" w:eastAsia="仿宋_GB2312" w:cs="仿宋_GB2312"/>
          <w:szCs w:val="21"/>
        </w:rPr>
        <w:t>日 期：</w:t>
      </w:r>
    </w:p>
    <w:p w14:paraId="57805EF4">
      <w:pPr>
        <w:pStyle w:val="14"/>
        <w:ind w:left="0"/>
      </w:pPr>
    </w:p>
    <w:p w14:paraId="72C7A130">
      <w:pPr>
        <w:rPr>
          <w:rFonts w:hint="eastAsia"/>
        </w:rPr>
      </w:pPr>
    </w:p>
    <w:p w14:paraId="6F7F9383">
      <w:pPr>
        <w:rPr>
          <w:rFonts w:hint="eastAsia"/>
        </w:rPr>
      </w:pPr>
    </w:p>
    <w:p w14:paraId="0C4B0A25">
      <w:pPr>
        <w:rPr>
          <w:rFonts w:hint="eastAsia"/>
        </w:rPr>
      </w:pPr>
    </w:p>
    <w:p w14:paraId="35D0E32A">
      <w:pPr>
        <w:pStyle w:val="2"/>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备注：1、从业人员、营业收入、资产总额填报上一年度数据，无上一年度数据的新成立企业可不填报。</w:t>
      </w:r>
    </w:p>
    <w:p w14:paraId="29A7A52A">
      <w:pPr>
        <w:pStyle w:val="14"/>
        <w:numPr>
          <w:ilvl w:val="0"/>
          <w:numId w:val="0"/>
        </w:numPr>
        <w:spacing w:line="360" w:lineRule="auto"/>
        <w:ind w:left="1060" w:leftChars="0"/>
        <w:rPr>
          <w:rFonts w:hint="eastAsia" w:ascii="仿宋" w:hAnsi="仿宋" w:eastAsia="仿宋" w:cs="仿宋"/>
          <w:sz w:val="21"/>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本项目采购标的对应的中小企业划分标准所属行业为</w:t>
      </w:r>
      <w:r>
        <w:rPr>
          <w:rFonts w:hint="eastAsia" w:ascii="仿宋" w:hAnsi="仿宋" w:eastAsia="仿宋" w:cs="仿宋"/>
          <w:sz w:val="21"/>
          <w:szCs w:val="21"/>
          <w:lang w:val="en-US" w:eastAsia="zh-CN"/>
        </w:rPr>
        <w:t>软件和信息技术服务业</w:t>
      </w:r>
      <w:r>
        <w:rPr>
          <w:rFonts w:hint="eastAsia" w:ascii="仿宋" w:hAnsi="仿宋" w:eastAsia="仿宋" w:cs="仿宋"/>
          <w:sz w:val="21"/>
          <w:szCs w:val="21"/>
        </w:rPr>
        <w:t>。</w:t>
      </w:r>
    </w:p>
    <w:p w14:paraId="1F780D1C">
      <w:pPr>
        <w:pStyle w:val="14"/>
        <w:numPr>
          <w:ilvl w:val="0"/>
          <w:numId w:val="0"/>
        </w:numPr>
        <w:spacing w:line="360" w:lineRule="auto"/>
        <w:ind w:left="1060" w:left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如投标人不适用本声明函，填写不适用即可。</w:t>
      </w:r>
    </w:p>
    <w:p w14:paraId="5B9B9E46">
      <w:pPr>
        <w:widowControl/>
        <w:jc w:val="left"/>
        <w:rPr>
          <w:rFonts w:hint="eastAsia"/>
        </w:rPr>
      </w:pPr>
    </w:p>
    <w:p w14:paraId="1DD16961">
      <w:pPr>
        <w:rPr>
          <w:rFonts w:hint="eastAsia"/>
        </w:rPr>
      </w:pPr>
    </w:p>
    <w:sectPr>
      <w:headerReference r:id="rId3" w:type="default"/>
      <w:footerReference r:id="rId4" w:type="default"/>
      <w:pgSz w:w="11906" w:h="16838"/>
      <w:pgMar w:top="1418" w:right="1191" w:bottom="1418" w:left="1531" w:header="680" w:footer="68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2A5ECE-8536-4064-A009-20E3328DC6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87AF97-B740-4137-AC4C-262F8BB00E6E}"/>
  </w:font>
  <w:font w:name="等线">
    <w:panose1 w:val="02010600030101010101"/>
    <w:charset w:val="86"/>
    <w:family w:val="auto"/>
    <w:pitch w:val="default"/>
    <w:sig w:usb0="A00002BF" w:usb1="38CF7CFA" w:usb2="00000016" w:usb3="00000000" w:csb0="0004000F" w:csb1="00000000"/>
    <w:embedRegular r:id="rId3" w:fontKey="{BD9B7ACB-D710-4356-B25E-35E06B6D6609}"/>
  </w:font>
  <w:font w:name="微软雅黑">
    <w:panose1 w:val="020B0503020204020204"/>
    <w:charset w:val="86"/>
    <w:family w:val="auto"/>
    <w:pitch w:val="default"/>
    <w:sig w:usb0="80000287" w:usb1="280F3C52" w:usb2="00000016" w:usb3="00000000" w:csb0="0004001F" w:csb1="00000000"/>
    <w:embedRegular r:id="rId4" w:fontKey="{0D5DE390-B4D7-4A32-A9CE-0E747C0CA258}"/>
  </w:font>
  <w:font w:name="Cambria Math">
    <w:panose1 w:val="02040503050406030204"/>
    <w:charset w:val="00"/>
    <w:family w:val="auto"/>
    <w:pitch w:val="default"/>
    <w:sig w:usb0="E00002FF" w:usb1="420024FF" w:usb2="00000000" w:usb3="00000000" w:csb0="2000019F" w:csb1="00000000"/>
    <w:embedRegular r:id="rId5" w:fontKey="{BEFA978A-22F8-4673-9375-244FB4037477}"/>
  </w:font>
  <w:font w:name="仿宋_GB2312">
    <w:panose1 w:val="02010609030101010101"/>
    <w:charset w:val="86"/>
    <w:family w:val="modern"/>
    <w:pitch w:val="default"/>
    <w:sig w:usb0="00000001" w:usb1="080E0000" w:usb2="00000000" w:usb3="00000000" w:csb0="00040000" w:csb1="00000000"/>
    <w:embedRegular r:id="rId6" w:fontKey="{D2327C19-FE52-4963-8B7B-8A29C638F208}"/>
  </w:font>
  <w:font w:name="仿宋">
    <w:panose1 w:val="02010609060101010101"/>
    <w:charset w:val="86"/>
    <w:family w:val="modern"/>
    <w:pitch w:val="default"/>
    <w:sig w:usb0="800002BF" w:usb1="38CF7CFA" w:usb2="00000016" w:usb3="00000000" w:csb0="00040001" w:csb1="00000000"/>
    <w:embedRegular r:id="rId7" w:fontKey="{03E456F1-5637-4005-BF0C-1DE82FFA444A}"/>
  </w:font>
  <w:font w:name="楷体_GB2312">
    <w:panose1 w:val="02010609030101010101"/>
    <w:charset w:val="86"/>
    <w:family w:val="modern"/>
    <w:pitch w:val="default"/>
    <w:sig w:usb0="00000001" w:usb1="080E0000" w:usb2="00000000" w:usb3="00000000" w:csb0="00040000" w:csb1="00000000"/>
    <w:embedRegular r:id="rId8" w:fontKey="{EE358E3A-F396-44F7-A3E1-453FDF10E02D}"/>
  </w:font>
  <w:font w:name="Segoe UI Symbol">
    <w:panose1 w:val="020B0502040204020203"/>
    <w:charset w:val="00"/>
    <w:family w:val="swiss"/>
    <w:pitch w:val="default"/>
    <w:sig w:usb0="8000006F" w:usb1="1200FBEF" w:usb2="0064C000" w:usb3="00000002" w:csb0="00000001" w:csb1="40000000"/>
    <w:embedRegular r:id="rId9" w:fontKey="{4D901444-18C7-46CB-B7BD-68172CF07340}"/>
  </w:font>
  <w:font w:name="方正小标宋简体">
    <w:panose1 w:val="03000509000000000000"/>
    <w:charset w:val="86"/>
    <w:family w:val="auto"/>
    <w:pitch w:val="default"/>
    <w:sig w:usb0="00000001" w:usb1="080E0000" w:usb2="00000000" w:usb3="00000000" w:csb0="00040000" w:csb1="00000000"/>
    <w:embedRegular r:id="rId10" w:fontKey="{7DDA5FDD-050E-4B2B-B28D-CE57977965EF}"/>
  </w:font>
  <w:font w:name="等线 Light">
    <w:panose1 w:val="02010600030101010101"/>
    <w:charset w:val="86"/>
    <w:family w:val="auto"/>
    <w:pitch w:val="default"/>
    <w:sig w:usb0="A00002BF" w:usb1="38CF7CFA" w:usb2="00000016" w:usb3="00000000" w:csb0="0004000F" w:csb1="00000000"/>
    <w:embedRegular r:id="rId11" w:fontKey="{D7568AED-FB84-4D69-808A-5ECA0D61AF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820855"/>
      <w:docPartObj>
        <w:docPartGallery w:val="autotext"/>
      </w:docPartObj>
    </w:sdtPr>
    <w:sdtEndPr>
      <w:rPr>
        <w:rFonts w:ascii="宋体" w:hAnsi="宋体" w:eastAsia="宋体"/>
        <w:sz w:val="28"/>
        <w:szCs w:val="28"/>
      </w:rPr>
    </w:sdtEndPr>
    <w:sdtContent>
      <w:p w14:paraId="34EC5278">
        <w:pPr>
          <w:pStyle w:val="3"/>
          <w:jc w:val="center"/>
          <w:rPr>
            <w:rFonts w:hint="eastAsia"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49F4">
    <w:pPr>
      <w:pStyle w:val="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90A1C"/>
    <w:multiLevelType w:val="multilevel"/>
    <w:tmpl w:val="03590A1C"/>
    <w:lvl w:ilvl="0" w:tentative="0">
      <w:start w:val="1"/>
      <w:numFmt w:val="chineseCountingThousand"/>
      <w:lvlText w:val="(%1)"/>
      <w:lvlJc w:val="left"/>
      <w:pPr>
        <w:ind w:left="1080" w:hanging="440"/>
      </w:pPr>
    </w:lvl>
    <w:lvl w:ilvl="1" w:tentative="0">
      <w:start w:val="1"/>
      <w:numFmt w:val="chineseCountingThousand"/>
      <w:suff w:val="nothing"/>
      <w:lvlText w:val="(%2)"/>
      <w:lvlJc w:val="left"/>
      <w:pPr>
        <w:ind w:left="1520" w:hanging="440"/>
      </w:pPr>
      <w:rPr>
        <w:rFonts w:hint="eastAsia"/>
        <w:b/>
        <w:bCs/>
      </w:r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17C93FA0"/>
    <w:multiLevelType w:val="multilevel"/>
    <w:tmpl w:val="17C93FA0"/>
    <w:lvl w:ilvl="0" w:tentative="0">
      <w:start w:val="1"/>
      <w:numFmt w:val="chineseCountingThousand"/>
      <w:suff w:val="nothing"/>
      <w:lvlText w:val="(%1)"/>
      <w:lvlJc w:val="left"/>
      <w:pPr>
        <w:ind w:left="1060" w:hanging="420"/>
      </w:pPr>
      <w:rPr>
        <w:rFonts w:hint="eastAsia" w:ascii="楷体_GB2312" w:eastAsia="楷体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FB1C16"/>
    <w:multiLevelType w:val="multilevel"/>
    <w:tmpl w:val="1FFB1C16"/>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2C6FA7"/>
    <w:multiLevelType w:val="multilevel"/>
    <w:tmpl w:val="272C6FA7"/>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2D43129E"/>
    <w:multiLevelType w:val="multilevel"/>
    <w:tmpl w:val="2D43129E"/>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2D60791F"/>
    <w:multiLevelType w:val="multilevel"/>
    <w:tmpl w:val="2D60791F"/>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896BC9"/>
    <w:multiLevelType w:val="multilevel"/>
    <w:tmpl w:val="36896BC9"/>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3A283D37"/>
    <w:multiLevelType w:val="multilevel"/>
    <w:tmpl w:val="3A283D3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51B6DEF"/>
    <w:multiLevelType w:val="multilevel"/>
    <w:tmpl w:val="451B6DEF"/>
    <w:lvl w:ilvl="0" w:tentative="0">
      <w:start w:val="1"/>
      <w:numFmt w:val="chineseCountingThousand"/>
      <w:suff w:val="nothing"/>
      <w:lvlText w:val="%1、"/>
      <w:lvlJc w:val="left"/>
      <w:pPr>
        <w:ind w:left="1060" w:hanging="420"/>
      </w:pPr>
      <w:rPr>
        <w:rFonts w:hint="eastAsia"/>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52085067"/>
    <w:multiLevelType w:val="multilevel"/>
    <w:tmpl w:val="5208506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164848"/>
    <w:multiLevelType w:val="multilevel"/>
    <w:tmpl w:val="56164848"/>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62232AE7"/>
    <w:multiLevelType w:val="multilevel"/>
    <w:tmpl w:val="62232AE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D605EB"/>
    <w:multiLevelType w:val="multilevel"/>
    <w:tmpl w:val="65D605E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726B380E"/>
    <w:multiLevelType w:val="multilevel"/>
    <w:tmpl w:val="726B380E"/>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0"/>
  </w:num>
  <w:num w:numId="4">
    <w:abstractNumId w:val="3"/>
  </w:num>
  <w:num w:numId="5">
    <w:abstractNumId w:val="4"/>
  </w:num>
  <w:num w:numId="6">
    <w:abstractNumId w:val="13"/>
  </w:num>
  <w:num w:numId="7">
    <w:abstractNumId w:val="11"/>
  </w:num>
  <w:num w:numId="8">
    <w:abstractNumId w:val="7"/>
  </w:num>
  <w:num w:numId="9">
    <w:abstractNumId w:val="10"/>
  </w:num>
  <w:num w:numId="10">
    <w:abstractNumId w:val="2"/>
  </w:num>
  <w:num w:numId="11">
    <w:abstractNumId w:val="1"/>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rawingGridHorizontalSpacing w:val="210"/>
  <w:drawingGridVerticalSpacing w:val="3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kNmVmY2M5MGY0ODBkNWI5OWQ2N2MyYWFhMmRkODAifQ=="/>
  </w:docVars>
  <w:rsids>
    <w:rsidRoot w:val="002D780C"/>
    <w:rsid w:val="000074F3"/>
    <w:rsid w:val="00030364"/>
    <w:rsid w:val="0004554F"/>
    <w:rsid w:val="00055705"/>
    <w:rsid w:val="00057E92"/>
    <w:rsid w:val="000727F5"/>
    <w:rsid w:val="00074679"/>
    <w:rsid w:val="00081901"/>
    <w:rsid w:val="000B6A2A"/>
    <w:rsid w:val="000D3632"/>
    <w:rsid w:val="000D77D3"/>
    <w:rsid w:val="00151F8E"/>
    <w:rsid w:val="00164D49"/>
    <w:rsid w:val="00175D4F"/>
    <w:rsid w:val="00191EF6"/>
    <w:rsid w:val="001928CB"/>
    <w:rsid w:val="001A56B0"/>
    <w:rsid w:val="001A769C"/>
    <w:rsid w:val="001C40E7"/>
    <w:rsid w:val="002072FE"/>
    <w:rsid w:val="002236CE"/>
    <w:rsid w:val="00231CB6"/>
    <w:rsid w:val="002320D0"/>
    <w:rsid w:val="00243605"/>
    <w:rsid w:val="00257ECA"/>
    <w:rsid w:val="00286371"/>
    <w:rsid w:val="00292527"/>
    <w:rsid w:val="00297CF2"/>
    <w:rsid w:val="002A29E8"/>
    <w:rsid w:val="002B4C07"/>
    <w:rsid w:val="002B5257"/>
    <w:rsid w:val="002D780C"/>
    <w:rsid w:val="002F7055"/>
    <w:rsid w:val="00315201"/>
    <w:rsid w:val="003252D5"/>
    <w:rsid w:val="0035600E"/>
    <w:rsid w:val="00357A8E"/>
    <w:rsid w:val="00363592"/>
    <w:rsid w:val="0036752F"/>
    <w:rsid w:val="00371891"/>
    <w:rsid w:val="003A3D2A"/>
    <w:rsid w:val="003A5BB3"/>
    <w:rsid w:val="003D166F"/>
    <w:rsid w:val="003D7F80"/>
    <w:rsid w:val="003E7C0B"/>
    <w:rsid w:val="00411541"/>
    <w:rsid w:val="00422DC5"/>
    <w:rsid w:val="00434A72"/>
    <w:rsid w:val="004D20F4"/>
    <w:rsid w:val="004E12EC"/>
    <w:rsid w:val="00502C5A"/>
    <w:rsid w:val="00545768"/>
    <w:rsid w:val="00560E9A"/>
    <w:rsid w:val="005A11A0"/>
    <w:rsid w:val="005C7A46"/>
    <w:rsid w:val="005D1903"/>
    <w:rsid w:val="005E0AAA"/>
    <w:rsid w:val="005F0870"/>
    <w:rsid w:val="005F0CB4"/>
    <w:rsid w:val="005F38D3"/>
    <w:rsid w:val="005F700E"/>
    <w:rsid w:val="00613302"/>
    <w:rsid w:val="006229E5"/>
    <w:rsid w:val="00632906"/>
    <w:rsid w:val="00640425"/>
    <w:rsid w:val="00675D12"/>
    <w:rsid w:val="00684B13"/>
    <w:rsid w:val="00697481"/>
    <w:rsid w:val="006A23C6"/>
    <w:rsid w:val="006D411C"/>
    <w:rsid w:val="006E1132"/>
    <w:rsid w:val="006E2DDE"/>
    <w:rsid w:val="006E47CB"/>
    <w:rsid w:val="00724154"/>
    <w:rsid w:val="00727A54"/>
    <w:rsid w:val="00792550"/>
    <w:rsid w:val="00792B08"/>
    <w:rsid w:val="007A11A9"/>
    <w:rsid w:val="007B1820"/>
    <w:rsid w:val="007B78CE"/>
    <w:rsid w:val="007C283E"/>
    <w:rsid w:val="007F6E22"/>
    <w:rsid w:val="00843033"/>
    <w:rsid w:val="008549AB"/>
    <w:rsid w:val="008965BA"/>
    <w:rsid w:val="008E44BA"/>
    <w:rsid w:val="008F63A2"/>
    <w:rsid w:val="00900AFF"/>
    <w:rsid w:val="00901C9C"/>
    <w:rsid w:val="0091139B"/>
    <w:rsid w:val="00924B49"/>
    <w:rsid w:val="009268AE"/>
    <w:rsid w:val="009329BA"/>
    <w:rsid w:val="009A2530"/>
    <w:rsid w:val="009E1729"/>
    <w:rsid w:val="00A06D12"/>
    <w:rsid w:val="00A551D4"/>
    <w:rsid w:val="00A5625F"/>
    <w:rsid w:val="00A648AE"/>
    <w:rsid w:val="00A73A22"/>
    <w:rsid w:val="00A76585"/>
    <w:rsid w:val="00AB54B4"/>
    <w:rsid w:val="00AD34E9"/>
    <w:rsid w:val="00AE346C"/>
    <w:rsid w:val="00AF71CF"/>
    <w:rsid w:val="00B76B57"/>
    <w:rsid w:val="00B9243B"/>
    <w:rsid w:val="00C46BE6"/>
    <w:rsid w:val="00C5403A"/>
    <w:rsid w:val="00C926D3"/>
    <w:rsid w:val="00C93AF9"/>
    <w:rsid w:val="00CB70E4"/>
    <w:rsid w:val="00D20885"/>
    <w:rsid w:val="00D27123"/>
    <w:rsid w:val="00D401E9"/>
    <w:rsid w:val="00D50CA6"/>
    <w:rsid w:val="00D914CB"/>
    <w:rsid w:val="00D968A8"/>
    <w:rsid w:val="00DB3078"/>
    <w:rsid w:val="00DC4910"/>
    <w:rsid w:val="00DE4DD4"/>
    <w:rsid w:val="00DF4584"/>
    <w:rsid w:val="00E03A0D"/>
    <w:rsid w:val="00E472CA"/>
    <w:rsid w:val="00EA45AA"/>
    <w:rsid w:val="00EB007C"/>
    <w:rsid w:val="00EB4A50"/>
    <w:rsid w:val="00F477FD"/>
    <w:rsid w:val="00F53224"/>
    <w:rsid w:val="00F92A09"/>
    <w:rsid w:val="00FD4832"/>
    <w:rsid w:val="01980343"/>
    <w:rsid w:val="02F94AB6"/>
    <w:rsid w:val="031511C4"/>
    <w:rsid w:val="05104339"/>
    <w:rsid w:val="06B524FE"/>
    <w:rsid w:val="07A33243"/>
    <w:rsid w:val="17F37190"/>
    <w:rsid w:val="18E72B91"/>
    <w:rsid w:val="19161A72"/>
    <w:rsid w:val="1A02029D"/>
    <w:rsid w:val="1AFA719E"/>
    <w:rsid w:val="1E4C5E76"/>
    <w:rsid w:val="1EB61656"/>
    <w:rsid w:val="21371B8F"/>
    <w:rsid w:val="21FF3500"/>
    <w:rsid w:val="22BB36DF"/>
    <w:rsid w:val="230C3F3A"/>
    <w:rsid w:val="245060A9"/>
    <w:rsid w:val="259B3353"/>
    <w:rsid w:val="259F60C6"/>
    <w:rsid w:val="262228C1"/>
    <w:rsid w:val="26875F13"/>
    <w:rsid w:val="2A1077E6"/>
    <w:rsid w:val="30940EAD"/>
    <w:rsid w:val="32314367"/>
    <w:rsid w:val="361409DD"/>
    <w:rsid w:val="365052B5"/>
    <w:rsid w:val="39E773ED"/>
    <w:rsid w:val="3B1C5AB0"/>
    <w:rsid w:val="3BBC6E11"/>
    <w:rsid w:val="3E817133"/>
    <w:rsid w:val="40784565"/>
    <w:rsid w:val="410C362B"/>
    <w:rsid w:val="443303EF"/>
    <w:rsid w:val="492B4900"/>
    <w:rsid w:val="497A2792"/>
    <w:rsid w:val="4AB56AE2"/>
    <w:rsid w:val="4DAF42A9"/>
    <w:rsid w:val="4EFC7D15"/>
    <w:rsid w:val="503C6F0D"/>
    <w:rsid w:val="5726041F"/>
    <w:rsid w:val="5DE3753C"/>
    <w:rsid w:val="61263332"/>
    <w:rsid w:val="617B3F30"/>
    <w:rsid w:val="618160E2"/>
    <w:rsid w:val="64175CC0"/>
    <w:rsid w:val="656732BA"/>
    <w:rsid w:val="67AE5C68"/>
    <w:rsid w:val="68DE4FFE"/>
    <w:rsid w:val="6C07661A"/>
    <w:rsid w:val="708F7F54"/>
    <w:rsid w:val="73B34E6D"/>
    <w:rsid w:val="79FA77AD"/>
    <w:rsid w:val="7A9419C0"/>
    <w:rsid w:val="7D443D0F"/>
    <w:rsid w:val="7EE750D0"/>
    <w:rsid w:val="7F1714D0"/>
    <w:rsid w:val="7F24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Calibri" w:hAnsi="Calibri" w:eastAsia="宋体" w:cs="宋体"/>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styleId="12">
    <w:name w:val="Placeholder Text"/>
    <w:basedOn w:val="8"/>
    <w:semiHidden/>
    <w:qFormat/>
    <w:uiPriority w:val="99"/>
    <w:rPr>
      <w:color w:val="808080"/>
    </w:rPr>
  </w:style>
  <w:style w:type="character" w:customStyle="1" w:styleId="13">
    <w:name w:val="正文文本 字符"/>
    <w:basedOn w:val="8"/>
    <w:link w:val="2"/>
    <w:qFormat/>
    <w:uiPriority w:val="0"/>
    <w:rPr>
      <w:rFonts w:ascii="Calibri" w:hAnsi="Calibri" w:eastAsia="宋体" w:cs="宋体"/>
    </w:rPr>
  </w:style>
  <w:style w:type="paragraph" w:customStyle="1" w:styleId="1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15">
    <w:name w:val="font31"/>
    <w:basedOn w:val="8"/>
    <w:qFormat/>
    <w:uiPriority w:val="0"/>
    <w:rPr>
      <w:rFonts w:ascii="Calibri" w:hAnsi="Calibri" w:cs="Calibri"/>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font71"/>
    <w:basedOn w:val="8"/>
    <w:qFormat/>
    <w:uiPriority w:val="0"/>
    <w:rPr>
      <w:rFonts w:ascii="Calibri" w:hAnsi="Calibri" w:cs="Calibri"/>
      <w:color w:val="000000"/>
      <w:sz w:val="20"/>
      <w:szCs w:val="20"/>
      <w:u w:val="none"/>
    </w:rPr>
  </w:style>
  <w:style w:type="character" w:customStyle="1" w:styleId="18">
    <w:name w:val="font41"/>
    <w:basedOn w:val="8"/>
    <w:qFormat/>
    <w:uiPriority w:val="0"/>
    <w:rPr>
      <w:rFonts w:hint="eastAsia" w:ascii="宋体" w:hAnsi="宋体" w:eastAsia="宋体" w:cs="宋体"/>
      <w:color w:val="000000"/>
      <w:sz w:val="20"/>
      <w:szCs w:val="20"/>
      <w:u w:val="none"/>
    </w:rPr>
  </w:style>
  <w:style w:type="character" w:customStyle="1" w:styleId="19">
    <w:name w:val="font81"/>
    <w:basedOn w:val="8"/>
    <w:qFormat/>
    <w:uiPriority w:val="0"/>
    <w:rPr>
      <w:rFonts w:ascii="微软雅黑" w:hAnsi="微软雅黑" w:eastAsia="微软雅黑" w:cs="微软雅黑"/>
      <w:color w:val="000000"/>
      <w:sz w:val="18"/>
      <w:szCs w:val="18"/>
      <w:u w:val="none"/>
    </w:rPr>
  </w:style>
  <w:style w:type="character" w:customStyle="1" w:styleId="20">
    <w:name w:val="font61"/>
    <w:basedOn w:val="8"/>
    <w:qFormat/>
    <w:uiPriority w:val="0"/>
    <w:rPr>
      <w:rFonts w:hint="eastAsia" w:ascii="宋体" w:hAnsi="宋体" w:eastAsia="宋体" w:cs="宋体"/>
      <w:color w:val="000000"/>
      <w:sz w:val="18"/>
      <w:szCs w:val="18"/>
      <w:u w:val="none"/>
    </w:rPr>
  </w:style>
  <w:style w:type="character" w:customStyle="1" w:styleId="21">
    <w:name w:val="font91"/>
    <w:basedOn w:val="8"/>
    <w:qFormat/>
    <w:uiPriority w:val="0"/>
    <w:rPr>
      <w:rFonts w:ascii="Cambria Math" w:hAnsi="Cambria Math" w:eastAsia="Cambria Math" w:cs="Cambria Math"/>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33258;&#23450;&#20041;%20Office%20&#27169;&#26495;\&#20223;&#23435;&#25991;&#267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仿宋文档.dotx</Template>
  <Pages>15</Pages>
  <Words>6316</Words>
  <Characters>7410</Characters>
  <Lines>30</Lines>
  <Paragraphs>8</Paragraphs>
  <TotalTime>46</TotalTime>
  <ScaleCrop>false</ScaleCrop>
  <LinksUpToDate>false</LinksUpToDate>
  <CharactersWithSpaces>7573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2024-06-05T08:21:00Z</dcterms:created>
  <dc:creator>许先生</dc:creator>
  <cp:lastModifiedBy>Administrator</cp:lastModifiedBy>
  <cp:lastPrinted>2025-12-05T07:40:00Z</cp:lastPrinted>
  <dcterms:modified xsi:type="dcterms:W3CDTF">2026-03-04T05:16:00Z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17CC571D758E48328CC0D76FDADDC750_13</vt:lpwstr>
  </property>
  <property fmtid="{D5CDD505-2E9C-101B-9397-08002B2CF9AE}" pid="4" name="KSOTemplateDocerSaveRecord">
    <vt:lpwstr>eyJoZGlkIjoiYjg4MWZkZTg4ZGY0MDVjMjVlMmMwY2I4YzkwNGZkMTEiLCJ1c2VySWQiOiI3NDM2MDU2NjkifQ==</vt:lpwstr>
  </property>
</Properties>
</file>