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89E135"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 w14:paraId="5930B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2022年交通运输更贴近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民生实事</w:t>
      </w:r>
    </w:p>
    <w:p w14:paraId="5461998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9BCF62D">
      <w:pPr>
        <w:pStyle w:val="2"/>
        <w:ind w:left="0" w:leftChars="0"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1.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新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改建农村公路2500公里</w:t>
      </w:r>
    </w:p>
    <w:p w14:paraId="37644DCC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firstLine="643" w:firstLineChars="200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lang w:val="en-US" w:eastAsia="zh-CN" w:bidi="ar-SA"/>
        </w:rPr>
        <w:t>主要目标：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进一步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巩固脱贫攻坚成果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提升服务乡村振兴和农业农村现代化建设能力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，新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</w:rPr>
        <w:t>改建农村公路2500公里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0B7ADA3D">
      <w:pPr>
        <w:ind w:firstLine="643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承办单位：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省公路管理局、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综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合规划处，各地交通运输主管部门</w:t>
      </w:r>
    </w:p>
    <w:p w14:paraId="54B7B6B5">
      <w:pPr>
        <w:pStyle w:val="2"/>
        <w:ind w:left="0" w:leftChars="0" w:firstLine="640" w:firstLineChars="200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2.改造农村危桥200座，实施农村公路安防工程1000公里</w:t>
      </w:r>
    </w:p>
    <w:p w14:paraId="0BE50E29">
      <w:pPr>
        <w:ind w:firstLine="643" w:firstLineChars="200"/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CN" w:bidi="ar-SA"/>
        </w:rPr>
        <w:t>主要目标：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提高农村公路安全保障水平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,提升人民群众安全感，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改造农村危桥200座，实施农村公路安防工程1000公里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。</w:t>
      </w:r>
    </w:p>
    <w:p w14:paraId="400E9F32">
      <w:pPr>
        <w:ind w:firstLine="643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承办单位：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省公路管理局、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综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合规划处，各地交通运输主管部门</w:t>
      </w:r>
    </w:p>
    <w:p w14:paraId="6191D9CD"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实施农村公路大中修工程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35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00公里以上</w:t>
      </w:r>
    </w:p>
    <w:p w14:paraId="207CB24B">
      <w:pPr>
        <w:ind w:firstLine="643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主要目标：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逐步提升路况水平，服务群众安全便捷出行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实施农村公路大中修工程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35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00公里以上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32"/>
          <w:szCs w:val="32"/>
          <w:highlight w:val="none"/>
          <w:lang w:val="en-US" w:eastAsia="zh-CN"/>
        </w:rPr>
        <w:t>。</w:t>
      </w:r>
    </w:p>
    <w:p w14:paraId="07A5B235">
      <w:pPr>
        <w:ind w:firstLine="643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承办单位：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省公路管理局、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综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合规划处，各地交通运输主管部门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</w:p>
    <w:p w14:paraId="6C4A0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.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推行适老化交通出行服务</w:t>
      </w:r>
    </w:p>
    <w:p w14:paraId="7D1907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主要目标：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持续提升巡游出租汽车电召服务，</w:t>
      </w:r>
      <w:r>
        <w:rPr>
          <w:rFonts w:hint="eastAsia" w:ascii="仿宋_GB2312" w:hAnsi="仿宋_GB2312" w:eastAsia="仿宋_GB2312" w:cs="仿宋_GB2312"/>
          <w:sz w:val="32"/>
          <w:szCs w:val="32"/>
        </w:rPr>
        <w:t>推动95128服务号码应用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引导网约车平台公司优化约车软件，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完善</w:t>
      </w:r>
      <w:r>
        <w:rPr>
          <w:rFonts w:hint="eastAsia" w:ascii="仿宋_GB2312" w:hAnsi="仿宋_GB2312" w:eastAsia="仿宋_GB2312" w:cs="仿宋_GB2312"/>
          <w:sz w:val="32"/>
          <w:szCs w:val="32"/>
        </w:rPr>
        <w:t>“一键叫车”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、电话叫车和优先派车服务响应等功能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完善轨道交通地铁车站轮椅渡板配备设施，方便老年人上下车，提升老年人城市交通出行便利化水平。配合省卫健委在人流密集公共场所投放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100台自动体外除颤器。</w:t>
      </w:r>
    </w:p>
    <w:p w14:paraId="504314AC">
      <w:pPr>
        <w:ind w:firstLine="643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承办单位：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省运输管理局、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综合运输服务处，各地交通运输主管部门</w:t>
      </w:r>
    </w:p>
    <w:p w14:paraId="30D1C6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5.实施交通运输新业态平台企业抽成“阳光行动”</w:t>
      </w:r>
    </w:p>
    <w:p w14:paraId="291269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主要目标：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督促主要网约车平台公司向社会公开计价规则，合理设定本平台抽成比例；在驾驶员端实时显示每单抽成比例。</w:t>
      </w:r>
    </w:p>
    <w:p w14:paraId="48323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承办单位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省运输管理局、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综合运输服务处，各地交通运输主管部门</w:t>
      </w:r>
    </w:p>
    <w:p w14:paraId="11188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6.推进道路运输高频事项“跨省通办”服务提质增效</w:t>
      </w:r>
    </w:p>
    <w:p w14:paraId="20AFA3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主要目标：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现“跨省通办”办理政策、办理渠道和办理流程的宣传推广全覆盖，破解从业人员“不知道网上能办”“不会网上办”“无法网上办”等问题；提高线下政务服务窗口工作人员应用“跨省通办”等相关系统能力，保障“跨省通办”业务办理质量，持续提高业务办理成功率。</w:t>
      </w:r>
    </w:p>
    <w:p w14:paraId="32B5A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承办单位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省运输管理局、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综合运输服务处，各地交通运输主管部门</w:t>
      </w:r>
    </w:p>
    <w:p w14:paraId="66544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7.持续扩大道路运输电子证照应用服务范围</w:t>
      </w:r>
    </w:p>
    <w:p w14:paraId="16EA7C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主要目标：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加快实现省级道路运输电子证照系统与部级道路运输电子证照系统、吉林省统一电子证照系统等相关系统的业务对接、数据共享和联网运行；依托部省道路运输电子证照系统联网运行，实现道路运输电子证照全国范围内互信互认，进一步提高经营性道路客货运输、道路危险货物运输从业人员证件申领、诚信考核、跨省查验等业务办理便捷程度。</w:t>
      </w:r>
    </w:p>
    <w:p w14:paraId="1F7D1A2B">
      <w:pPr>
        <w:ind w:firstLine="643" w:firstLineChars="200"/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承办单位：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省运输管理局、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综合运输服务处，各地交通运输主管部门</w:t>
      </w:r>
    </w:p>
    <w:p w14:paraId="00331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8.推进农村物流高质量发展，畅通农村物流“最后一公里”</w:t>
      </w:r>
    </w:p>
    <w:p w14:paraId="4583A2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主要目标：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2022年，40%的县（市、区）客运站完成“客货邮融合”升级改造，45%以上的乡镇建成乡镇运输服务站，40%的建制村建成农村物流服务点。</w:t>
      </w:r>
    </w:p>
    <w:p w14:paraId="0CB97105">
      <w:pPr>
        <w:ind w:firstLine="643" w:firstLineChars="200"/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承办单位：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省运输管理局、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综合运输服务处，各地交通运输主管部门</w:t>
      </w:r>
    </w:p>
    <w:p w14:paraId="1AFF2B30"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9.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推进客运班线公交化改造</w:t>
      </w:r>
    </w:p>
    <w:p w14:paraId="27E49FE6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主要目标：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针对改革发展中的痛点、难点问题，提出有针对性的解决措施，加强典型经验推广和政策引领，指导各地进一步解放思想，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全省计划完成客运班线公交化改造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100条。</w:t>
      </w:r>
    </w:p>
    <w:p w14:paraId="7E96BCD8">
      <w:pPr>
        <w:ind w:firstLine="643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承办单位：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省运输管理局、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综合运输服务处，各地交通运输主管部门</w:t>
      </w:r>
    </w:p>
    <w:p w14:paraId="66A74899"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10.提升“司机之家”便民惠民服务水平</w:t>
      </w:r>
    </w:p>
    <w:p w14:paraId="0F30C94F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主要目标：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持续扩大“司机之家”覆盖范围，2022年底前，完成3个功能齐备、经济实惠、布局合理、方便快捷的“司机之家”建设，推动已建成的12个“司机之家”稳定运行。</w:t>
      </w:r>
    </w:p>
    <w:p w14:paraId="04D151F9">
      <w:pPr>
        <w:ind w:firstLine="643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承办单位：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省运输管理局、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综合运输服务处，各地交通运输主管部门</w:t>
      </w:r>
    </w:p>
    <w:p w14:paraId="0F043DD2">
      <w:pPr>
        <w:pStyle w:val="6"/>
        <w:spacing w:after="0"/>
        <w:ind w:left="0" w:leftChars="0"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11.推动新能源装备应用和充电设施建设</w:t>
      </w:r>
    </w:p>
    <w:p w14:paraId="1846FC50">
      <w:pPr>
        <w:pStyle w:val="6"/>
        <w:spacing w:after="0"/>
        <w:ind w:left="0" w:leftChars="0"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主要目标：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继续实施“旗E春城 旗动吉林”行动和绿色出行“续航工程”，全力支持新能源出租汽车更换投放和服务区充电桩建设。</w:t>
      </w:r>
    </w:p>
    <w:p w14:paraId="6E32559D">
      <w:pPr>
        <w:ind w:firstLine="643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承办单位：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综合运输服务处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、省运输管理局、吉高集团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，各地交通运输主管部门</w:t>
      </w:r>
    </w:p>
    <w:p w14:paraId="69F81747"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12.把服务送到船头，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打通渔船检验“最后一公里”</w:t>
      </w:r>
    </w:p>
    <w:p w14:paraId="77AC10A7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主要目标：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在图们江、鸭绿江、白山湖、松花江、嫩江等重点水域，推行“打通</w:t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最后一公里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服务送到船头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”的渔船检验模式，通过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简化渔船检验办事流程，让渔民少跑腿，节约渔民的渔船检验成本，提升服务水平，保障渔船质量，打造人民满意、工作高效的吉林渔船检验品牌。</w:t>
      </w:r>
    </w:p>
    <w:p w14:paraId="576E13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承办单位：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吉林省地方海事局，相关渔船检验机构，各地交通运输主管部门</w:t>
      </w:r>
    </w:p>
    <w:p w14:paraId="456F96E7">
      <w:pPr>
        <w:pStyle w:val="2"/>
        <w:ind w:left="0" w:leftChars="0"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13.新增高速公路服务区货车停车位</w:t>
      </w:r>
    </w:p>
    <w:p w14:paraId="495BE057">
      <w:pPr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 xml:space="preserve">    主要目标：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设置潮汐车位，夜间将部分小客车车位临时调整为货车车位；通过剩余车位提示，引导货车科学选择服务区，分散有序停放。</w:t>
      </w:r>
    </w:p>
    <w:p w14:paraId="04841561">
      <w:pPr>
        <w:pStyle w:val="6"/>
        <w:spacing w:after="0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承办单位：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吉高集团</w:t>
      </w:r>
    </w:p>
    <w:p w14:paraId="68DBEA9E">
      <w:pPr>
        <w:pStyle w:val="6"/>
        <w:spacing w:after="0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14.实现高速公路服务区无障碍设施全覆盖</w:t>
      </w:r>
    </w:p>
    <w:p w14:paraId="6E1F4320">
      <w:pPr>
        <w:pStyle w:val="6"/>
        <w:spacing w:after="0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主要目标：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持续完善高速公路服务区无障碍设施，实现无障碍厕位、无障碍通道、无障碍停车位100%覆盖。</w:t>
      </w:r>
    </w:p>
    <w:p w14:paraId="47DE6C55">
      <w:pPr>
        <w:pStyle w:val="6"/>
        <w:spacing w:after="0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承办单位：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吉高集团</w:t>
      </w:r>
    </w:p>
    <w:p w14:paraId="67FD335A">
      <w:pPr>
        <w:pStyle w:val="6"/>
        <w:spacing w:after="0"/>
        <w:ind w:left="0" w:leftChars="0"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253C9CD">
      <w:pPr>
        <w:rPr>
          <w:rFonts w:ascii="仿宋_GB2312" w:eastAsia="仿宋_GB2312"/>
          <w:sz w:val="32"/>
          <w:szCs w:val="32"/>
        </w:rPr>
      </w:pPr>
    </w:p>
    <w:p w14:paraId="6783E875">
      <w:pPr>
        <w:rPr>
          <w:rFonts w:ascii="仿宋_GB2312" w:eastAsia="仿宋_GB2312"/>
          <w:sz w:val="32"/>
          <w:szCs w:val="32"/>
        </w:rPr>
      </w:pPr>
    </w:p>
    <w:p w14:paraId="65100DB0"/>
    <w:p w14:paraId="3C4B243D">
      <w:pPr>
        <w:tabs>
          <w:tab w:val="left" w:pos="7560"/>
        </w:tabs>
        <w:spacing w:line="600" w:lineRule="exact"/>
        <w:ind w:firstLine="600" w:firstLineChars="200"/>
        <w:rPr>
          <w:rFonts w:hint="default" w:ascii="仿宋_GB2312" w:eastAsia="仿宋_GB2312"/>
          <w:spacing w:val="-10"/>
          <w:sz w:val="32"/>
          <w:szCs w:val="32"/>
          <w:lang w:val="en"/>
        </w:rPr>
      </w:pPr>
    </w:p>
    <w:p w14:paraId="5CAB13A8">
      <w:pPr>
        <w:tabs>
          <w:tab w:val="left" w:pos="7560"/>
        </w:tabs>
        <w:spacing w:line="600" w:lineRule="exact"/>
        <w:rPr>
          <w:rFonts w:ascii="仿宋_GB2312" w:eastAsia="仿宋_GB2312"/>
          <w:spacing w:val="-10"/>
          <w:sz w:val="32"/>
          <w:szCs w:val="32"/>
        </w:rPr>
      </w:pPr>
    </w:p>
    <w:p w14:paraId="45F5BCAC">
      <w:pPr>
        <w:tabs>
          <w:tab w:val="left" w:pos="7560"/>
        </w:tabs>
        <w:spacing w:line="600" w:lineRule="exact"/>
        <w:rPr>
          <w:rFonts w:ascii="仿宋_GB2312" w:eastAsia="仿宋_GB2312"/>
          <w:spacing w:val="-10"/>
          <w:sz w:val="32"/>
          <w:szCs w:val="32"/>
        </w:rPr>
      </w:pPr>
    </w:p>
    <w:p w14:paraId="609CCE6C">
      <w:pPr>
        <w:tabs>
          <w:tab w:val="left" w:pos="7560"/>
        </w:tabs>
        <w:spacing w:line="600" w:lineRule="exact"/>
        <w:rPr>
          <w:rFonts w:ascii="仿宋_GB2312" w:eastAsia="仿宋_GB2312"/>
          <w:spacing w:val="-10"/>
          <w:sz w:val="32"/>
          <w:szCs w:val="32"/>
        </w:rPr>
      </w:pPr>
    </w:p>
    <w:p w14:paraId="4778CE6C">
      <w:pPr>
        <w:tabs>
          <w:tab w:val="left" w:pos="7560"/>
          <w:tab w:val="left" w:pos="7740"/>
        </w:tabs>
        <w:spacing w:line="500" w:lineRule="exact"/>
        <w:jc w:val="center"/>
        <w:rPr>
          <w:rFonts w:ascii="方正小标宋简体" w:hAnsi="宋体" w:eastAsia="方正小标宋简体" w:cs="宋体"/>
          <w:sz w:val="44"/>
          <w:szCs w:val="44"/>
        </w:rPr>
      </w:pPr>
    </w:p>
    <w:p w14:paraId="16386352">
      <w:pPr>
        <w:tabs>
          <w:tab w:val="left" w:pos="7560"/>
          <w:tab w:val="left" w:pos="7740"/>
        </w:tabs>
        <w:spacing w:line="500" w:lineRule="exact"/>
        <w:jc w:val="center"/>
        <w:rPr>
          <w:rFonts w:ascii="方正小标宋简体" w:hAnsi="宋体" w:eastAsia="方正小标宋简体" w:cs="宋体"/>
          <w:sz w:val="44"/>
          <w:szCs w:val="44"/>
        </w:rPr>
      </w:pPr>
    </w:p>
    <w:p w14:paraId="6D393254">
      <w:pPr>
        <w:tabs>
          <w:tab w:val="left" w:pos="7560"/>
          <w:tab w:val="left" w:pos="7740"/>
        </w:tabs>
        <w:spacing w:line="500" w:lineRule="exact"/>
        <w:ind w:firstLine="616" w:firstLineChars="200"/>
        <w:jc w:val="left"/>
        <w:rPr>
          <w:rFonts w:ascii="仿宋_GB2312" w:hAnsi="宋体" w:eastAsia="仿宋_GB2312" w:cs="宋体"/>
          <w:spacing w:val="-6"/>
          <w:sz w:val="32"/>
          <w:szCs w:val="32"/>
        </w:rPr>
      </w:pPr>
    </w:p>
    <w:p w14:paraId="135B87C0">
      <w:pPr>
        <w:tabs>
          <w:tab w:val="left" w:pos="7560"/>
          <w:tab w:val="left" w:pos="7740"/>
        </w:tabs>
        <w:spacing w:line="500" w:lineRule="exact"/>
        <w:jc w:val="left"/>
        <w:rPr>
          <w:rFonts w:ascii="仿宋_GB2312" w:hAnsi="宋体" w:eastAsia="仿宋_GB2312" w:cs="宋体"/>
          <w:spacing w:val="-6"/>
          <w:sz w:val="32"/>
          <w:szCs w:val="32"/>
        </w:rPr>
      </w:pPr>
    </w:p>
    <w:p w14:paraId="40C71F5F">
      <w:pPr>
        <w:tabs>
          <w:tab w:val="left" w:pos="7560"/>
          <w:tab w:val="left" w:pos="7740"/>
        </w:tabs>
        <w:spacing w:line="500" w:lineRule="exact"/>
        <w:jc w:val="left"/>
        <w:rPr>
          <w:rFonts w:ascii="仿宋_GB2312" w:hAnsi="宋体" w:eastAsia="仿宋_GB2312" w:cs="宋体"/>
          <w:spacing w:val="-6"/>
          <w:sz w:val="32"/>
          <w:szCs w:val="32"/>
        </w:rPr>
      </w:pPr>
    </w:p>
    <w:p w14:paraId="2A98991D">
      <w:pPr>
        <w:tabs>
          <w:tab w:val="left" w:pos="7560"/>
          <w:tab w:val="left" w:pos="7740"/>
        </w:tabs>
        <w:spacing w:line="500" w:lineRule="exact"/>
        <w:jc w:val="left"/>
        <w:rPr>
          <w:rFonts w:ascii="仿宋_GB2312" w:hAnsi="宋体" w:eastAsia="仿宋_GB2312" w:cs="宋体"/>
          <w:spacing w:val="-6"/>
          <w:sz w:val="32"/>
          <w:szCs w:val="32"/>
        </w:rPr>
      </w:pPr>
    </w:p>
    <w:p w14:paraId="2C58E32A"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3B2AB3E-0C93-4A9C-ADFA-340F93E0958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FBF10F3-519B-41E9-B14C-F3CA61D689E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7014D5C7-2627-4E53-9189-234E9421C3D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2C3A2AA-6595-4AC7-8B9B-CDA36930B73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26597435-1BBB-4340-9DBB-0A18BE93EFD0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AABD9D76-B6BE-4BCA-8AA9-961F4A83AA33}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7" w:fontKey="{B16D041E-2818-4511-940C-FE3B945AFD5B}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140CA">
    <w:pPr>
      <w:pStyle w:val="5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1 -</w:t>
    </w:r>
    <w:r>
      <w:rPr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7BFB7">
    <w:pPr>
      <w:pStyle w:val="5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2 -</w:t>
    </w:r>
    <w:r>
      <w:rPr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F0A41"/>
    <w:rsid w:val="17804F58"/>
    <w:rsid w:val="5DCF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"/>
    <w:basedOn w:val="3"/>
    <w:qFormat/>
    <w:uiPriority w:val="0"/>
    <w:pPr>
      <w:spacing w:after="0" w:afterLines="0"/>
      <w:ind w:firstLine="200" w:firstLineChars="200"/>
    </w:pPr>
    <w:rPr>
      <w:rFonts w:ascii="Calibri" w:hAnsi="Calibri" w:cs="Times New Roman"/>
      <w:lang w:bidi="ar-SA"/>
    </w:rPr>
  </w:style>
  <w:style w:type="paragraph" w:customStyle="1" w:styleId="3">
    <w:name w:val="Body Text Indent"/>
    <w:basedOn w:val="1"/>
    <w:next w:val="4"/>
    <w:qFormat/>
    <w:uiPriority w:val="0"/>
    <w:pPr>
      <w:spacing w:after="120" w:afterLines="0"/>
      <w:ind w:left="200" w:leftChars="200"/>
    </w:pPr>
    <w:rPr>
      <w:rFonts w:ascii="Calibri" w:hAnsi="Calibri" w:eastAsia="宋体" w:cs="Times New Roman"/>
    </w:rPr>
  </w:style>
  <w:style w:type="paragraph" w:customStyle="1" w:styleId="4">
    <w:name w:val="Normal Indent"/>
    <w:basedOn w:val="1"/>
    <w:qFormat/>
    <w:uiPriority w:val="0"/>
    <w:pPr>
      <w:ind w:firstLine="200" w:firstLineChars="200"/>
    </w:pPr>
    <w:rPr>
      <w:rFonts w:ascii="Calibri" w:hAnsi="Calibri" w:eastAsia="仿宋" w:cs="Times New Roman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6">
    <w:name w:val="Body Text First Indent"/>
    <w:unhideWhenUsed/>
    <w:qFormat/>
    <w:uiPriority w:val="99"/>
    <w:pPr>
      <w:widowControl w:val="0"/>
      <w:spacing w:after="120"/>
      <w:ind w:firstLine="420" w:firstLineChars="1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9">
    <w:name w:val="样式 正文11 + 首行缩进:  2 字符"/>
    <w:basedOn w:val="1"/>
    <w:qFormat/>
    <w:uiPriority w:val="0"/>
    <w:pPr>
      <w:ind w:firstLine="560"/>
    </w:pPr>
    <w:rPr>
      <w:rFonts w:ascii="宋体" w:hAnsi="宋体" w:eastAsia="宋体" w:cs="宋体"/>
      <w:color w:val="FF000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1777</Words>
  <Characters>1848</Characters>
  <Lines>0</Lines>
  <Paragraphs>0</Paragraphs>
  <TotalTime>1</TotalTime>
  <ScaleCrop>false</ScaleCrop>
  <LinksUpToDate>false</LinksUpToDate>
  <CharactersWithSpaces>1858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2022-03-10T04:00:00Z</dcterms:created>
  <dc:creator>2504ysy</dc:creator>
  <cp:lastModifiedBy>泠岚</cp:lastModifiedBy>
  <dcterms:modified xsi:type="dcterms:W3CDTF">2026-05-27T01:39:48Z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9F4826C595AE429FB5DE9C77C8F6AD73</vt:lpwstr>
  </property>
  <property fmtid="{D5CDD505-2E9C-101B-9397-08002B2CF9AE}" pid="4" name="KSOTemplateDocerSaveRecord">
    <vt:lpwstr>eyJoZGlkIjoiMjAwODQyYTRmNDQ1MGNjMWEyY2NkMDM2NjFhOTRhZmYiLCJ1c2VySWQiOiIyNjM5MTU1NDkifQ==</vt:lpwstr>
  </property>
</Properties>
</file>