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02A5D">
      <w:pPr>
        <w:adjustRightInd w:val="0"/>
        <w:snapToGrid w:val="0"/>
        <w:jc w:val="center"/>
        <w:rPr>
          <w:rFonts w:ascii="黑体" w:hAnsi="黑体" w:eastAsia="黑体" w:cs="Times New Roman"/>
          <w:bCs/>
          <w:color w:val="auto"/>
          <w:sz w:val="24"/>
          <w:szCs w:val="24"/>
        </w:rPr>
      </w:pPr>
      <w:r>
        <w:rPr>
          <w:rFonts w:hint="eastAsia" w:ascii="黑体" w:hAnsi="黑体" w:eastAsia="黑体" w:cs="Times New Roman"/>
          <w:bCs/>
          <w:color w:val="auto"/>
          <w:sz w:val="24"/>
          <w:szCs w:val="24"/>
        </w:rPr>
        <w:t>吉林省公路交通基础设施数字化转型升级工程施工</w:t>
      </w:r>
      <w:r>
        <w:rPr>
          <w:rFonts w:ascii="黑体" w:hAnsi="黑体" w:eastAsia="黑体" w:cs="Times New Roman"/>
          <w:bCs/>
          <w:color w:val="auto"/>
          <w:sz w:val="24"/>
          <w:szCs w:val="24"/>
        </w:rPr>
        <w:t>招标</w:t>
      </w:r>
      <w:r>
        <w:rPr>
          <w:rFonts w:hint="eastAsia" w:ascii="黑体" w:hAnsi="黑体" w:eastAsia="黑体" w:cs="Times New Roman"/>
          <w:bCs/>
          <w:color w:val="auto"/>
          <w:sz w:val="24"/>
          <w:szCs w:val="24"/>
        </w:rPr>
        <w:t>文件关键内容</w:t>
      </w:r>
    </w:p>
    <w:p w14:paraId="48F5F871">
      <w:pPr>
        <w:snapToGrid w:val="0"/>
        <w:jc w:val="center"/>
        <w:rPr>
          <w:rFonts w:cs="Times New Roman"/>
          <w:b/>
          <w:color w:val="auto"/>
          <w:sz w:val="18"/>
        </w:rPr>
      </w:pPr>
    </w:p>
    <w:p w14:paraId="1F48EBE8">
      <w:pPr>
        <w:keepNext/>
        <w:keepLines/>
        <w:pageBreakBefore w:val="0"/>
        <w:kinsoku/>
        <w:wordWrap/>
        <w:overflowPunct/>
        <w:topLinePunct w:val="0"/>
        <w:bidi w:val="0"/>
        <w:adjustRightInd w:val="0"/>
        <w:snapToGrid w:val="0"/>
        <w:spacing w:line="240" w:lineRule="exact"/>
        <w:textAlignment w:val="auto"/>
        <w:outlineLvl w:val="3"/>
        <w:rPr>
          <w:rFonts w:cs="Times New Roman"/>
          <w:bCs/>
          <w:color w:val="auto"/>
          <w:sz w:val="18"/>
          <w:szCs w:val="18"/>
        </w:rPr>
      </w:pPr>
      <w:bookmarkStart w:id="0" w:name="_Toc184704554"/>
      <w:r>
        <w:rPr>
          <w:rFonts w:hint="eastAsia" w:cs="Times New Roman"/>
          <w:bCs/>
          <w:color w:val="auto"/>
          <w:sz w:val="18"/>
          <w:szCs w:val="18"/>
        </w:rPr>
        <w:t>一、项目概况与招标范围</w:t>
      </w:r>
      <w:bookmarkEnd w:id="0"/>
    </w:p>
    <w:p w14:paraId="4B8EE97D">
      <w:pPr>
        <w:pageBreakBefore w:val="0"/>
        <w:kinsoku/>
        <w:wordWrap/>
        <w:overflowPunct/>
        <w:topLinePunct w:val="0"/>
        <w:bidi w:val="0"/>
        <w:adjustRightInd w:val="0"/>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详见招标公告。</w:t>
      </w:r>
    </w:p>
    <w:p w14:paraId="44A041D1">
      <w:pPr>
        <w:keepNext/>
        <w:keepLines/>
        <w:pageBreakBefore w:val="0"/>
        <w:kinsoku/>
        <w:wordWrap/>
        <w:overflowPunct/>
        <w:topLinePunct w:val="0"/>
        <w:bidi w:val="0"/>
        <w:adjustRightInd w:val="0"/>
        <w:snapToGrid w:val="0"/>
        <w:spacing w:line="240" w:lineRule="exact"/>
        <w:textAlignment w:val="auto"/>
        <w:outlineLvl w:val="3"/>
        <w:rPr>
          <w:rFonts w:cs="Times New Roman"/>
          <w:bCs/>
          <w:color w:val="auto"/>
          <w:sz w:val="18"/>
          <w:szCs w:val="18"/>
        </w:rPr>
      </w:pPr>
      <w:r>
        <w:rPr>
          <w:rFonts w:hint="eastAsia" w:cs="Times New Roman"/>
          <w:bCs/>
          <w:color w:val="auto"/>
          <w:sz w:val="18"/>
          <w:szCs w:val="18"/>
        </w:rPr>
        <w:t>二、资格条件要求</w:t>
      </w:r>
    </w:p>
    <w:p w14:paraId="5309CDDC">
      <w:pPr>
        <w:pageBreakBefore w:val="0"/>
        <w:kinsoku/>
        <w:wordWrap/>
        <w:overflowPunct/>
        <w:topLinePunct w:val="0"/>
        <w:bidi w:val="0"/>
        <w:adjustRightInd w:val="0"/>
        <w:snapToGrid w:val="0"/>
        <w:spacing w:line="240" w:lineRule="exact"/>
        <w:ind w:firstLine="361" w:firstLineChars="200"/>
        <w:textAlignment w:val="auto"/>
        <w:rPr>
          <w:rFonts w:hint="eastAsia" w:cs="Times New Roman"/>
          <w:b/>
          <w:color w:val="auto"/>
          <w:sz w:val="18"/>
          <w:szCs w:val="18"/>
        </w:rPr>
      </w:pPr>
      <w:r>
        <w:rPr>
          <w:rFonts w:hint="eastAsia" w:cs="Times New Roman"/>
          <w:b/>
          <w:color w:val="auto"/>
          <w:sz w:val="18"/>
          <w:szCs w:val="18"/>
        </w:rPr>
        <w:t>投标人须知前附表（投标人资格要求部分）</w:t>
      </w:r>
    </w:p>
    <w:p w14:paraId="5DC980F9">
      <w:pPr>
        <w:pageBreakBefore w:val="0"/>
        <w:kinsoku/>
        <w:wordWrap/>
        <w:overflowPunct/>
        <w:topLinePunct w:val="0"/>
        <w:bidi w:val="0"/>
        <w:adjustRightInd w:val="0"/>
        <w:snapToGrid w:val="0"/>
        <w:spacing w:line="240" w:lineRule="exact"/>
        <w:ind w:firstLine="361" w:firstLineChars="200"/>
        <w:textAlignment w:val="auto"/>
        <w:rPr>
          <w:rFonts w:hint="eastAsia" w:cs="Times New Roman"/>
          <w:b/>
          <w:color w:val="auto"/>
          <w:sz w:val="18"/>
          <w:szCs w:val="18"/>
        </w:rPr>
      </w:pPr>
    </w:p>
    <w:tbl>
      <w:tblPr>
        <w:tblStyle w:val="10"/>
        <w:tblW w:w="9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2"/>
        <w:gridCol w:w="2251"/>
        <w:gridCol w:w="6279"/>
      </w:tblGrid>
      <w:tr w14:paraId="01F42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072" w:type="dxa"/>
            <w:tcBorders>
              <w:tl2br w:val="nil"/>
              <w:tr2bl w:val="nil"/>
            </w:tcBorders>
            <w:vAlign w:val="center"/>
          </w:tcPr>
          <w:p w14:paraId="3E631B4E">
            <w:pPr>
              <w:keepNext w:val="0"/>
              <w:keepLines w:val="0"/>
              <w:pageBreakBefore w:val="0"/>
              <w:suppressLineNumbers w:val="0"/>
              <w:shd w:val="clear"/>
              <w:kinsoku/>
              <w:wordWrap/>
              <w:overflowPunct/>
              <w:topLinePunct w:val="0"/>
              <w:bidi w:val="0"/>
              <w:adjustRightInd w:val="0"/>
              <w:spacing w:before="0" w:beforeAutospacing="0" w:after="0" w:afterAutospacing="0" w:line="240" w:lineRule="exact"/>
              <w:ind w:left="0" w:right="0"/>
              <w:jc w:val="center"/>
              <w:textAlignment w:val="auto"/>
              <w:rPr>
                <w:rFonts w:hint="default" w:ascii="宋体" w:hAnsi="宋体"/>
                <w:sz w:val="18"/>
                <w:szCs w:val="18"/>
                <w:highlight w:val="none"/>
                <w:vertAlign w:val="superscript"/>
              </w:rPr>
            </w:pPr>
            <w:r>
              <w:rPr>
                <w:rFonts w:hint="default" w:ascii="宋体" w:hAnsi="宋体"/>
                <w:sz w:val="18"/>
                <w:szCs w:val="18"/>
                <w:highlight w:val="none"/>
              </w:rPr>
              <w:t>1.4.</w:t>
            </w:r>
            <w:r>
              <w:rPr>
                <w:rFonts w:hint="eastAsia" w:ascii="宋体" w:hAnsi="宋体"/>
                <w:sz w:val="18"/>
                <w:szCs w:val="18"/>
                <w:highlight w:val="none"/>
              </w:rPr>
              <w:t>1</w:t>
            </w:r>
            <w:r>
              <w:rPr>
                <w:rFonts w:hint="eastAsia" w:ascii="宋体" w:hAnsi="宋体"/>
                <w:sz w:val="18"/>
                <w:szCs w:val="18"/>
                <w:highlight w:val="none"/>
                <w:vertAlign w:val="superscript"/>
              </w:rPr>
              <w:t xml:space="preserve"> </w:t>
            </w:r>
          </w:p>
        </w:tc>
        <w:tc>
          <w:tcPr>
            <w:tcW w:w="2251" w:type="dxa"/>
            <w:tcBorders>
              <w:tl2br w:val="nil"/>
              <w:tr2bl w:val="nil"/>
            </w:tcBorders>
            <w:vAlign w:val="center"/>
          </w:tcPr>
          <w:p w14:paraId="1E0B1868">
            <w:pPr>
              <w:keepNext w:val="0"/>
              <w:keepLines w:val="0"/>
              <w:pageBreakBefore w:val="0"/>
              <w:suppressLineNumbers w:val="0"/>
              <w:shd w:val="clear"/>
              <w:kinsoku/>
              <w:wordWrap/>
              <w:overflowPunct/>
              <w:topLinePunct w:val="0"/>
              <w:bidi w:val="0"/>
              <w:adjustRightInd w:val="0"/>
              <w:spacing w:before="0" w:beforeAutospacing="0" w:after="0" w:afterAutospacing="0" w:line="240" w:lineRule="exact"/>
              <w:ind w:left="0" w:right="0"/>
              <w:jc w:val="center"/>
              <w:textAlignment w:val="auto"/>
              <w:rPr>
                <w:rFonts w:hint="eastAsia" w:ascii="宋体" w:hAnsi="宋体"/>
                <w:sz w:val="18"/>
                <w:szCs w:val="18"/>
                <w:highlight w:val="none"/>
              </w:rPr>
            </w:pPr>
            <w:r>
              <w:rPr>
                <w:rFonts w:hint="eastAsia" w:ascii="宋体" w:hAnsi="宋体"/>
                <w:sz w:val="18"/>
                <w:szCs w:val="18"/>
                <w:highlight w:val="none"/>
              </w:rPr>
              <w:t>投标人资质条件、能力和</w:t>
            </w:r>
          </w:p>
          <w:p w14:paraId="7B1B4F6E">
            <w:pPr>
              <w:keepNext w:val="0"/>
              <w:keepLines w:val="0"/>
              <w:pageBreakBefore w:val="0"/>
              <w:suppressLineNumbers w:val="0"/>
              <w:shd w:val="clear"/>
              <w:kinsoku/>
              <w:wordWrap/>
              <w:overflowPunct/>
              <w:topLinePunct w:val="0"/>
              <w:bidi w:val="0"/>
              <w:adjustRightInd w:val="0"/>
              <w:spacing w:before="0" w:beforeAutospacing="0" w:after="0" w:afterAutospacing="0" w:line="240" w:lineRule="exact"/>
              <w:ind w:left="0" w:right="0"/>
              <w:jc w:val="center"/>
              <w:textAlignment w:val="auto"/>
              <w:rPr>
                <w:rFonts w:hint="default" w:ascii="宋体" w:hAnsi="宋体"/>
                <w:sz w:val="18"/>
                <w:szCs w:val="18"/>
                <w:highlight w:val="none"/>
              </w:rPr>
            </w:pPr>
            <w:r>
              <w:rPr>
                <w:rFonts w:hint="eastAsia" w:ascii="宋体" w:hAnsi="宋体"/>
                <w:sz w:val="18"/>
                <w:szCs w:val="18"/>
                <w:highlight w:val="none"/>
              </w:rPr>
              <w:t>信誉</w:t>
            </w:r>
          </w:p>
        </w:tc>
        <w:tc>
          <w:tcPr>
            <w:tcW w:w="6279" w:type="dxa"/>
            <w:tcBorders>
              <w:tl2br w:val="nil"/>
              <w:tr2bl w:val="nil"/>
            </w:tcBorders>
            <w:vAlign w:val="center"/>
          </w:tcPr>
          <w:p w14:paraId="61C335D5">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240" w:lineRule="exact"/>
              <w:ind w:left="0" w:right="0" w:firstLine="180" w:firstLineChars="100"/>
              <w:textAlignment w:val="auto"/>
              <w:rPr>
                <w:rFonts w:hint="default" w:ascii="宋体" w:hAnsi="宋体"/>
                <w:kern w:val="0"/>
                <w:sz w:val="18"/>
                <w:szCs w:val="18"/>
                <w:highlight w:val="none"/>
              </w:rPr>
            </w:pPr>
            <w:r>
              <w:rPr>
                <w:rFonts w:hint="eastAsia" w:ascii="宋体" w:hAnsi="宋体"/>
                <w:kern w:val="0"/>
                <w:sz w:val="18"/>
                <w:szCs w:val="18"/>
                <w:highlight w:val="none"/>
                <w:lang w:val="zh-CN"/>
              </w:rPr>
              <w:t>资质要求：见</w:t>
            </w:r>
            <w:r>
              <w:rPr>
                <w:rFonts w:hint="eastAsia" w:ascii="宋体" w:hAnsi="宋体"/>
                <w:kern w:val="0"/>
                <w:sz w:val="18"/>
                <w:szCs w:val="18"/>
                <w:highlight w:val="none"/>
              </w:rPr>
              <w:t>附录1</w:t>
            </w:r>
          </w:p>
          <w:p w14:paraId="18F5046C">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240" w:lineRule="exact"/>
              <w:ind w:left="0" w:right="0" w:firstLine="180" w:firstLineChars="100"/>
              <w:textAlignment w:val="auto"/>
              <w:rPr>
                <w:rFonts w:hint="default" w:ascii="宋体" w:hAnsi="宋体"/>
                <w:kern w:val="0"/>
                <w:sz w:val="18"/>
                <w:szCs w:val="18"/>
                <w:highlight w:val="none"/>
                <w:lang w:val="zh-CN"/>
              </w:rPr>
            </w:pPr>
            <w:r>
              <w:rPr>
                <w:rFonts w:hint="eastAsia" w:ascii="宋体" w:hAnsi="宋体"/>
                <w:kern w:val="0"/>
                <w:sz w:val="18"/>
                <w:szCs w:val="18"/>
                <w:highlight w:val="none"/>
                <w:lang w:val="zh-CN"/>
              </w:rPr>
              <w:t>财务要求：见</w:t>
            </w:r>
            <w:r>
              <w:rPr>
                <w:rFonts w:hint="eastAsia" w:ascii="宋体" w:hAnsi="宋体"/>
                <w:kern w:val="0"/>
                <w:sz w:val="18"/>
                <w:szCs w:val="18"/>
                <w:highlight w:val="none"/>
              </w:rPr>
              <w:t>附录2</w:t>
            </w:r>
          </w:p>
          <w:p w14:paraId="0AB7671F">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240" w:lineRule="exact"/>
              <w:ind w:left="0" w:right="0" w:firstLine="180" w:firstLineChars="100"/>
              <w:textAlignment w:val="auto"/>
              <w:rPr>
                <w:rFonts w:hint="default" w:ascii="宋体" w:hAnsi="宋体"/>
                <w:kern w:val="0"/>
                <w:sz w:val="18"/>
                <w:szCs w:val="18"/>
                <w:highlight w:val="none"/>
                <w:lang w:val="zh-CN"/>
              </w:rPr>
            </w:pPr>
            <w:r>
              <w:rPr>
                <w:rFonts w:hint="eastAsia" w:ascii="宋体" w:hAnsi="宋体"/>
                <w:kern w:val="0"/>
                <w:sz w:val="18"/>
                <w:szCs w:val="18"/>
                <w:highlight w:val="none"/>
                <w:lang w:val="zh-CN"/>
              </w:rPr>
              <w:t>业绩要求：见</w:t>
            </w:r>
            <w:r>
              <w:rPr>
                <w:rFonts w:hint="eastAsia" w:ascii="宋体" w:hAnsi="宋体"/>
                <w:kern w:val="0"/>
                <w:sz w:val="18"/>
                <w:szCs w:val="18"/>
                <w:highlight w:val="none"/>
              </w:rPr>
              <w:t>附录3</w:t>
            </w:r>
          </w:p>
          <w:p w14:paraId="38FBD978">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240" w:lineRule="exact"/>
              <w:ind w:left="0" w:right="0" w:firstLine="180" w:firstLineChars="100"/>
              <w:textAlignment w:val="auto"/>
              <w:rPr>
                <w:rFonts w:hint="default" w:ascii="宋体" w:hAnsi="宋体"/>
                <w:kern w:val="0"/>
                <w:sz w:val="18"/>
                <w:szCs w:val="18"/>
                <w:highlight w:val="none"/>
                <w:lang w:val="zh-CN"/>
              </w:rPr>
            </w:pPr>
            <w:r>
              <w:rPr>
                <w:rFonts w:hint="eastAsia" w:ascii="宋体" w:hAnsi="宋体"/>
                <w:kern w:val="0"/>
                <w:sz w:val="18"/>
                <w:szCs w:val="18"/>
                <w:highlight w:val="none"/>
                <w:lang w:val="zh-CN"/>
              </w:rPr>
              <w:t>信誉要求：见</w:t>
            </w:r>
            <w:r>
              <w:rPr>
                <w:rFonts w:hint="eastAsia" w:ascii="宋体" w:hAnsi="宋体"/>
                <w:kern w:val="0"/>
                <w:sz w:val="18"/>
                <w:szCs w:val="18"/>
                <w:highlight w:val="none"/>
              </w:rPr>
              <w:t>附录4</w:t>
            </w:r>
          </w:p>
          <w:p w14:paraId="30D295D4">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240" w:lineRule="exact"/>
              <w:ind w:left="0" w:right="0" w:firstLine="180" w:firstLineChars="100"/>
              <w:textAlignment w:val="auto"/>
              <w:rPr>
                <w:rFonts w:hint="default" w:ascii="宋体" w:hAnsi="宋体"/>
                <w:kern w:val="0"/>
                <w:sz w:val="18"/>
                <w:szCs w:val="18"/>
                <w:highlight w:val="none"/>
              </w:rPr>
            </w:pPr>
            <w:r>
              <w:rPr>
                <w:rFonts w:hint="eastAsia" w:ascii="宋体" w:hAnsi="宋体"/>
                <w:kern w:val="0"/>
                <w:sz w:val="18"/>
                <w:szCs w:val="18"/>
                <w:highlight w:val="none"/>
                <w:lang w:val="zh-CN"/>
              </w:rPr>
              <w:t>项目经理和项目总工资格要求：见</w:t>
            </w:r>
            <w:r>
              <w:rPr>
                <w:rFonts w:hint="eastAsia" w:ascii="宋体" w:hAnsi="宋体"/>
                <w:kern w:val="0"/>
                <w:sz w:val="18"/>
                <w:szCs w:val="18"/>
                <w:highlight w:val="none"/>
              </w:rPr>
              <w:t>附录5</w:t>
            </w:r>
          </w:p>
          <w:p w14:paraId="19CAB990">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240" w:lineRule="exact"/>
              <w:ind w:left="0" w:right="0" w:firstLine="180" w:firstLineChars="100"/>
              <w:textAlignment w:val="auto"/>
              <w:rPr>
                <w:rFonts w:hint="default" w:ascii="宋体" w:hAnsi="宋体"/>
                <w:kern w:val="0"/>
                <w:sz w:val="18"/>
                <w:szCs w:val="18"/>
                <w:highlight w:val="none"/>
                <w:lang w:val="zh-CN"/>
              </w:rPr>
            </w:pPr>
            <w:r>
              <w:rPr>
                <w:rFonts w:hint="eastAsia" w:ascii="宋体" w:hAnsi="宋体"/>
                <w:kern w:val="0"/>
                <w:sz w:val="18"/>
                <w:szCs w:val="18"/>
                <w:highlight w:val="none"/>
                <w:lang w:val="zh-CN"/>
              </w:rPr>
              <w:t>其他联合体成员主要负责人最低要求：</w:t>
            </w:r>
            <w:r>
              <w:rPr>
                <w:rFonts w:hint="eastAsia" w:ascii="宋体" w:hAnsi="宋体"/>
                <w:kern w:val="0"/>
                <w:sz w:val="18"/>
                <w:szCs w:val="18"/>
                <w:highlight w:val="none"/>
              </w:rPr>
              <w:t>见</w:t>
            </w:r>
            <w:r>
              <w:rPr>
                <w:rFonts w:hint="eastAsia" w:ascii="宋体" w:hAnsi="宋体"/>
                <w:kern w:val="0"/>
                <w:sz w:val="18"/>
                <w:szCs w:val="18"/>
                <w:highlight w:val="none"/>
                <w:lang w:val="zh-CN"/>
              </w:rPr>
              <w:t>附录6</w:t>
            </w:r>
          </w:p>
          <w:p w14:paraId="113D9119">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240" w:lineRule="exact"/>
              <w:ind w:left="0" w:right="0" w:firstLine="180" w:firstLineChars="100"/>
              <w:textAlignment w:val="auto"/>
              <w:rPr>
                <w:rFonts w:hint="default" w:ascii="宋体" w:hAnsi="宋体"/>
                <w:sz w:val="18"/>
                <w:szCs w:val="18"/>
                <w:highlight w:val="none"/>
              </w:rPr>
            </w:pPr>
            <w:r>
              <w:rPr>
                <w:rFonts w:hint="eastAsia" w:ascii="宋体" w:hAnsi="宋体"/>
                <w:kern w:val="0"/>
                <w:sz w:val="18"/>
                <w:szCs w:val="18"/>
                <w:highlight w:val="none"/>
                <w:lang w:val="zh-CN"/>
              </w:rPr>
              <w:t>其他要求：无</w:t>
            </w:r>
          </w:p>
        </w:tc>
      </w:tr>
      <w:tr w14:paraId="2692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072" w:type="dxa"/>
            <w:tcBorders>
              <w:tl2br w:val="nil"/>
              <w:tr2bl w:val="nil"/>
            </w:tcBorders>
            <w:vAlign w:val="center"/>
          </w:tcPr>
          <w:p w14:paraId="0D7CC1D9">
            <w:pPr>
              <w:keepNext w:val="0"/>
              <w:keepLines w:val="0"/>
              <w:pageBreakBefore w:val="0"/>
              <w:suppressLineNumbers w:val="0"/>
              <w:shd w:val="clear"/>
              <w:kinsoku/>
              <w:wordWrap/>
              <w:overflowPunct/>
              <w:topLinePunct w:val="0"/>
              <w:bidi w:val="0"/>
              <w:adjustRightInd w:val="0"/>
              <w:spacing w:before="0" w:beforeAutospacing="0" w:after="0" w:afterAutospacing="0" w:line="240" w:lineRule="exact"/>
              <w:ind w:left="0" w:right="0"/>
              <w:jc w:val="center"/>
              <w:textAlignment w:val="auto"/>
              <w:rPr>
                <w:rFonts w:hint="default" w:ascii="宋体" w:hAnsi="宋体"/>
                <w:sz w:val="18"/>
                <w:szCs w:val="18"/>
                <w:highlight w:val="none"/>
              </w:rPr>
            </w:pPr>
            <w:r>
              <w:rPr>
                <w:rFonts w:hint="default" w:ascii="宋体" w:hAnsi="宋体"/>
                <w:sz w:val="18"/>
                <w:szCs w:val="18"/>
                <w:highlight w:val="none"/>
              </w:rPr>
              <w:t>1.4.2</w:t>
            </w:r>
          </w:p>
        </w:tc>
        <w:tc>
          <w:tcPr>
            <w:tcW w:w="2251" w:type="dxa"/>
            <w:tcBorders>
              <w:tl2br w:val="nil"/>
              <w:tr2bl w:val="nil"/>
            </w:tcBorders>
            <w:vAlign w:val="center"/>
          </w:tcPr>
          <w:p w14:paraId="06256280">
            <w:pPr>
              <w:keepNext w:val="0"/>
              <w:keepLines w:val="0"/>
              <w:pageBreakBefore w:val="0"/>
              <w:suppressLineNumbers w:val="0"/>
              <w:shd w:val="clear"/>
              <w:kinsoku/>
              <w:wordWrap/>
              <w:overflowPunct/>
              <w:topLinePunct w:val="0"/>
              <w:bidi w:val="0"/>
              <w:adjustRightInd w:val="0"/>
              <w:spacing w:before="0" w:beforeAutospacing="0" w:after="0" w:afterAutospacing="0" w:line="240" w:lineRule="exact"/>
              <w:ind w:left="0" w:right="0"/>
              <w:jc w:val="center"/>
              <w:textAlignment w:val="auto"/>
              <w:rPr>
                <w:rFonts w:hint="default" w:ascii="宋体" w:hAnsi="宋体"/>
                <w:sz w:val="18"/>
                <w:szCs w:val="18"/>
                <w:highlight w:val="none"/>
              </w:rPr>
            </w:pPr>
            <w:r>
              <w:rPr>
                <w:rFonts w:hint="default" w:ascii="宋体" w:hAnsi="宋体"/>
                <w:sz w:val="18"/>
                <w:szCs w:val="18"/>
                <w:highlight w:val="none"/>
              </w:rPr>
              <w:t>是否接受联合体投标</w:t>
            </w:r>
          </w:p>
        </w:tc>
        <w:tc>
          <w:tcPr>
            <w:tcW w:w="6279" w:type="dxa"/>
            <w:tcBorders>
              <w:tl2br w:val="nil"/>
              <w:tr2bl w:val="nil"/>
            </w:tcBorders>
            <w:vAlign w:val="center"/>
          </w:tcPr>
          <w:p w14:paraId="6340899C">
            <w:pPr>
              <w:keepNext w:val="0"/>
              <w:keepLines w:val="0"/>
              <w:pageBreakBefore w:val="0"/>
              <w:widowControl/>
              <w:suppressLineNumbers w:val="0"/>
              <w:shd w:val="clear"/>
              <w:kinsoku/>
              <w:wordWrap/>
              <w:overflowPunct/>
              <w:topLinePunct w:val="0"/>
              <w:bidi w:val="0"/>
              <w:adjustRightInd w:val="0"/>
              <w:snapToGrid w:val="0"/>
              <w:spacing w:before="0" w:beforeAutospacing="0" w:after="0" w:afterAutospacing="0" w:line="240" w:lineRule="exact"/>
              <w:ind w:left="0" w:right="0" w:firstLine="180" w:firstLineChars="100"/>
              <w:jc w:val="left"/>
              <w:textAlignment w:val="auto"/>
              <w:rPr>
                <w:rFonts w:hint="default" w:ascii="宋体" w:hAnsi="宋体"/>
                <w:kern w:val="0"/>
                <w:sz w:val="18"/>
                <w:szCs w:val="18"/>
                <w:highlight w:val="none"/>
                <w:lang w:val="zh-CN"/>
              </w:rPr>
            </w:pPr>
            <w:r>
              <w:rPr>
                <w:rFonts w:hint="eastAsia" w:ascii="Segoe UI Emoji" w:hAnsi="Segoe UI Emoji" w:cs="Segoe UI Emoji"/>
                <w:kern w:val="0"/>
                <w:sz w:val="18"/>
                <w:szCs w:val="18"/>
                <w:highlight w:val="none"/>
                <w:lang w:val="zh-CN"/>
              </w:rPr>
              <w:t>□</w:t>
            </w:r>
            <w:r>
              <w:rPr>
                <w:rFonts w:hint="eastAsia" w:ascii="宋体" w:hAnsi="宋体" w:cs="宋体"/>
                <w:kern w:val="0"/>
                <w:sz w:val="18"/>
                <w:szCs w:val="18"/>
                <w:highlight w:val="none"/>
                <w:lang w:val="zh-CN"/>
              </w:rPr>
              <w:t>不接受</w:t>
            </w:r>
            <w:r>
              <w:rPr>
                <w:rFonts w:hint="eastAsia" w:ascii="宋体" w:hAnsi="宋体"/>
                <w:kern w:val="0"/>
                <w:sz w:val="18"/>
                <w:szCs w:val="18"/>
                <w:highlight w:val="none"/>
                <w:lang w:val="zh-CN"/>
              </w:rPr>
              <w:t xml:space="preserve"> </w:t>
            </w:r>
          </w:p>
          <w:p w14:paraId="3DEC1FF5">
            <w:pPr>
              <w:keepNext w:val="0"/>
              <w:keepLines w:val="0"/>
              <w:pageBreakBefore w:val="0"/>
              <w:widowControl/>
              <w:suppressLineNumbers w:val="0"/>
              <w:shd w:val="clear"/>
              <w:kinsoku/>
              <w:wordWrap/>
              <w:overflowPunct/>
              <w:topLinePunct w:val="0"/>
              <w:bidi w:val="0"/>
              <w:spacing w:before="0" w:beforeAutospacing="0" w:after="0" w:afterAutospacing="0" w:line="240" w:lineRule="exact"/>
              <w:ind w:left="0" w:right="0" w:firstLine="180" w:firstLineChars="100"/>
              <w:jc w:val="left"/>
              <w:textAlignment w:val="auto"/>
              <w:rPr>
                <w:rFonts w:hint="default" w:ascii="宋体" w:hAnsi="宋体"/>
                <w:sz w:val="18"/>
                <w:szCs w:val="18"/>
                <w:highlight w:val="none"/>
              </w:rPr>
            </w:pPr>
            <w:r>
              <w:rPr>
                <w:rFonts w:hint="eastAsia" w:ascii="Segoe UI Emoji" w:hAnsi="Segoe UI Emoji" w:cs="Segoe UI Emoji"/>
                <w:kern w:val="0"/>
                <w:sz w:val="18"/>
                <w:szCs w:val="18"/>
                <w:highlight w:val="none"/>
              </w:rPr>
              <w:t>☑</w:t>
            </w:r>
            <w:r>
              <w:rPr>
                <w:rFonts w:hint="eastAsia" w:ascii="宋体" w:hAnsi="宋体"/>
                <w:kern w:val="0"/>
                <w:sz w:val="18"/>
                <w:szCs w:val="18"/>
                <w:highlight w:val="none"/>
                <w:lang w:val="zh-CN"/>
              </w:rPr>
              <w:t>接受</w:t>
            </w:r>
            <w:r>
              <w:rPr>
                <w:rFonts w:hint="eastAsia" w:ascii="宋体" w:hAnsi="宋体" w:cs="宋体"/>
                <w:color w:val="000000"/>
                <w:kern w:val="0"/>
                <w:sz w:val="18"/>
                <w:szCs w:val="18"/>
                <w:highlight w:val="none"/>
                <w:lang w:bidi="ar"/>
              </w:rPr>
              <w:t>，</w:t>
            </w:r>
            <w:r>
              <w:rPr>
                <w:rFonts w:hint="eastAsia" w:ascii="宋体" w:hAnsi="宋体" w:cs="宋体"/>
                <w:kern w:val="0"/>
                <w:sz w:val="18"/>
                <w:szCs w:val="18"/>
                <w:highlight w:val="none"/>
              </w:rPr>
              <w:t>应满足下列要求：见招标公告。</w:t>
            </w:r>
          </w:p>
        </w:tc>
      </w:tr>
      <w:tr w14:paraId="74290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072" w:type="dxa"/>
            <w:tcBorders>
              <w:tl2br w:val="nil"/>
              <w:tr2bl w:val="nil"/>
            </w:tcBorders>
            <w:vAlign w:val="center"/>
          </w:tcPr>
          <w:p w14:paraId="6699FC62">
            <w:pPr>
              <w:keepNext w:val="0"/>
              <w:keepLines w:val="0"/>
              <w:pageBreakBefore w:val="0"/>
              <w:suppressLineNumbers w:val="0"/>
              <w:shd w:val="clear"/>
              <w:kinsoku/>
              <w:wordWrap/>
              <w:overflowPunct/>
              <w:topLinePunct w:val="0"/>
              <w:bidi w:val="0"/>
              <w:adjustRightInd w:val="0"/>
              <w:spacing w:before="0" w:beforeAutospacing="0" w:after="0" w:afterAutospacing="0" w:line="240" w:lineRule="exact"/>
              <w:ind w:left="0" w:right="0"/>
              <w:jc w:val="center"/>
              <w:textAlignment w:val="auto"/>
              <w:rPr>
                <w:rFonts w:hint="default" w:ascii="宋体" w:hAnsi="宋体"/>
                <w:sz w:val="18"/>
                <w:szCs w:val="18"/>
                <w:highlight w:val="none"/>
              </w:rPr>
            </w:pPr>
            <w:r>
              <w:rPr>
                <w:rFonts w:hint="default" w:ascii="宋体" w:hAnsi="宋体"/>
                <w:sz w:val="18"/>
                <w:szCs w:val="18"/>
                <w:highlight w:val="none"/>
              </w:rPr>
              <w:t>1.4.3</w:t>
            </w:r>
          </w:p>
        </w:tc>
        <w:tc>
          <w:tcPr>
            <w:tcW w:w="2251" w:type="dxa"/>
            <w:tcBorders>
              <w:tl2br w:val="nil"/>
              <w:tr2bl w:val="nil"/>
            </w:tcBorders>
            <w:vAlign w:val="center"/>
          </w:tcPr>
          <w:p w14:paraId="3C7438F5">
            <w:pPr>
              <w:keepNext w:val="0"/>
              <w:keepLines w:val="0"/>
              <w:pageBreakBefore w:val="0"/>
              <w:suppressLineNumbers w:val="0"/>
              <w:shd w:val="clear"/>
              <w:kinsoku/>
              <w:wordWrap/>
              <w:overflowPunct/>
              <w:topLinePunct w:val="0"/>
              <w:bidi w:val="0"/>
              <w:adjustRightInd w:val="0"/>
              <w:spacing w:before="0" w:beforeAutospacing="0" w:after="0" w:afterAutospacing="0" w:line="240" w:lineRule="exact"/>
              <w:ind w:left="0" w:right="0"/>
              <w:jc w:val="center"/>
              <w:textAlignment w:val="auto"/>
              <w:rPr>
                <w:rFonts w:hint="default" w:ascii="宋体" w:hAnsi="宋体"/>
                <w:kern w:val="0"/>
                <w:sz w:val="18"/>
                <w:szCs w:val="18"/>
                <w:highlight w:val="none"/>
                <w:lang w:val="zh-CN"/>
              </w:rPr>
            </w:pPr>
            <w:r>
              <w:rPr>
                <w:rFonts w:hint="default" w:ascii="宋体" w:hAnsi="宋体"/>
                <w:kern w:val="0"/>
                <w:sz w:val="18"/>
                <w:szCs w:val="18"/>
                <w:highlight w:val="none"/>
                <w:lang w:val="zh-CN"/>
              </w:rPr>
              <w:t>投标人不得</w:t>
            </w:r>
          </w:p>
          <w:p w14:paraId="51B9E46C">
            <w:pPr>
              <w:keepNext w:val="0"/>
              <w:keepLines w:val="0"/>
              <w:pageBreakBefore w:val="0"/>
              <w:suppressLineNumbers w:val="0"/>
              <w:shd w:val="clear"/>
              <w:kinsoku/>
              <w:wordWrap/>
              <w:overflowPunct/>
              <w:topLinePunct w:val="0"/>
              <w:bidi w:val="0"/>
              <w:adjustRightInd w:val="0"/>
              <w:spacing w:before="0" w:beforeAutospacing="0" w:after="0" w:afterAutospacing="0" w:line="240" w:lineRule="exact"/>
              <w:ind w:left="0" w:right="0"/>
              <w:jc w:val="center"/>
              <w:textAlignment w:val="auto"/>
              <w:rPr>
                <w:rFonts w:hint="default" w:ascii="宋体" w:hAnsi="宋体"/>
                <w:kern w:val="0"/>
                <w:sz w:val="18"/>
                <w:szCs w:val="18"/>
                <w:highlight w:val="none"/>
                <w:lang w:val="zh-CN"/>
              </w:rPr>
            </w:pPr>
            <w:r>
              <w:rPr>
                <w:rFonts w:hint="default" w:ascii="宋体" w:hAnsi="宋体"/>
                <w:kern w:val="0"/>
                <w:sz w:val="18"/>
                <w:szCs w:val="18"/>
                <w:highlight w:val="none"/>
                <w:lang w:val="zh-CN"/>
              </w:rPr>
              <w:t>存在的</w:t>
            </w:r>
            <w:r>
              <w:rPr>
                <w:rFonts w:hint="eastAsia" w:ascii="宋体" w:hAnsi="宋体"/>
                <w:kern w:val="0"/>
                <w:sz w:val="18"/>
                <w:szCs w:val="18"/>
                <w:highlight w:val="none"/>
                <w:lang w:val="zh-CN"/>
              </w:rPr>
              <w:t>其他</w:t>
            </w:r>
          </w:p>
          <w:p w14:paraId="637CDFC5">
            <w:pPr>
              <w:keepNext w:val="0"/>
              <w:keepLines w:val="0"/>
              <w:pageBreakBefore w:val="0"/>
              <w:suppressLineNumbers w:val="0"/>
              <w:shd w:val="clear"/>
              <w:kinsoku/>
              <w:wordWrap/>
              <w:overflowPunct/>
              <w:topLinePunct w:val="0"/>
              <w:bidi w:val="0"/>
              <w:adjustRightInd w:val="0"/>
              <w:spacing w:before="0" w:beforeAutospacing="0" w:after="0" w:afterAutospacing="0" w:line="240" w:lineRule="exact"/>
              <w:ind w:left="0" w:right="0"/>
              <w:jc w:val="center"/>
              <w:textAlignment w:val="auto"/>
              <w:rPr>
                <w:rFonts w:hint="default" w:ascii="宋体" w:hAnsi="宋体"/>
                <w:sz w:val="18"/>
                <w:szCs w:val="18"/>
                <w:highlight w:val="none"/>
              </w:rPr>
            </w:pPr>
            <w:r>
              <w:rPr>
                <w:rFonts w:hint="eastAsia" w:ascii="宋体" w:hAnsi="宋体"/>
                <w:kern w:val="0"/>
                <w:sz w:val="18"/>
                <w:szCs w:val="18"/>
                <w:highlight w:val="none"/>
                <w:lang w:val="zh-CN"/>
              </w:rPr>
              <w:t>关联情况</w:t>
            </w:r>
          </w:p>
        </w:tc>
        <w:tc>
          <w:tcPr>
            <w:tcW w:w="6279" w:type="dxa"/>
            <w:tcBorders>
              <w:tl2br w:val="nil"/>
              <w:tr2bl w:val="nil"/>
            </w:tcBorders>
            <w:vAlign w:val="center"/>
          </w:tcPr>
          <w:p w14:paraId="48A16EEB">
            <w:pPr>
              <w:pStyle w:val="21"/>
              <w:keepNext w:val="0"/>
              <w:keepLines w:val="0"/>
              <w:pageBreakBefore w:val="0"/>
              <w:suppressLineNumbers w:val="0"/>
              <w:shd w:val="clear" w:color="auto"/>
              <w:tabs>
                <w:tab w:val="left" w:pos="1169"/>
              </w:tabs>
              <w:kinsoku/>
              <w:wordWrap/>
              <w:overflowPunct/>
              <w:topLinePunct w:val="0"/>
              <w:bidi w:val="0"/>
              <w:adjustRightInd w:val="0"/>
              <w:snapToGrid w:val="0"/>
              <w:spacing w:before="0" w:beforeAutospacing="0" w:after="0" w:afterAutospacing="0" w:line="240" w:lineRule="exact"/>
              <w:ind w:left="0" w:right="0" w:firstLine="180" w:firstLineChars="100"/>
              <w:jc w:val="both"/>
              <w:textAlignment w:val="auto"/>
              <w:rPr>
                <w:rFonts w:hint="default"/>
                <w:sz w:val="18"/>
                <w:szCs w:val="18"/>
                <w:highlight w:val="none"/>
                <w:lang w:val="zh-CN"/>
              </w:rPr>
            </w:pPr>
            <w:r>
              <w:rPr>
                <w:rFonts w:hint="eastAsia"/>
                <w:sz w:val="18"/>
                <w:szCs w:val="18"/>
                <w:highlight w:val="none"/>
              </w:rPr>
              <w:t>/</w:t>
            </w:r>
          </w:p>
        </w:tc>
      </w:tr>
      <w:tr w14:paraId="2E21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072" w:type="dxa"/>
            <w:tcBorders>
              <w:tl2br w:val="nil"/>
              <w:tr2bl w:val="nil"/>
            </w:tcBorders>
            <w:vAlign w:val="center"/>
          </w:tcPr>
          <w:p w14:paraId="65B8AC45">
            <w:pPr>
              <w:keepNext w:val="0"/>
              <w:keepLines w:val="0"/>
              <w:pageBreakBefore w:val="0"/>
              <w:suppressLineNumbers w:val="0"/>
              <w:shd w:val="clear"/>
              <w:kinsoku/>
              <w:wordWrap/>
              <w:overflowPunct/>
              <w:topLinePunct w:val="0"/>
              <w:bidi w:val="0"/>
              <w:adjustRightInd w:val="0"/>
              <w:spacing w:before="0" w:beforeAutospacing="0" w:after="0" w:afterAutospacing="0" w:line="240" w:lineRule="exact"/>
              <w:ind w:left="0" w:right="0"/>
              <w:jc w:val="center"/>
              <w:textAlignment w:val="auto"/>
              <w:rPr>
                <w:rFonts w:hint="default" w:ascii="宋体" w:hAnsi="宋体"/>
                <w:sz w:val="18"/>
                <w:szCs w:val="18"/>
                <w:highlight w:val="none"/>
              </w:rPr>
            </w:pPr>
            <w:r>
              <w:rPr>
                <w:rFonts w:hint="eastAsia" w:ascii="宋体" w:hAnsi="宋体"/>
                <w:sz w:val="18"/>
                <w:szCs w:val="18"/>
                <w:highlight w:val="none"/>
              </w:rPr>
              <w:t>1.4.4</w:t>
            </w:r>
          </w:p>
        </w:tc>
        <w:tc>
          <w:tcPr>
            <w:tcW w:w="2251" w:type="dxa"/>
            <w:tcBorders>
              <w:tl2br w:val="nil"/>
              <w:tr2bl w:val="nil"/>
            </w:tcBorders>
            <w:vAlign w:val="center"/>
          </w:tcPr>
          <w:p w14:paraId="78B5B97E">
            <w:pPr>
              <w:keepNext w:val="0"/>
              <w:keepLines w:val="0"/>
              <w:pageBreakBefore w:val="0"/>
              <w:suppressLineNumbers w:val="0"/>
              <w:shd w:val="clear"/>
              <w:kinsoku/>
              <w:wordWrap/>
              <w:overflowPunct/>
              <w:topLinePunct w:val="0"/>
              <w:bidi w:val="0"/>
              <w:adjustRightInd w:val="0"/>
              <w:spacing w:before="0" w:beforeAutospacing="0" w:after="0" w:afterAutospacing="0" w:line="240" w:lineRule="exact"/>
              <w:ind w:left="0" w:right="0"/>
              <w:jc w:val="center"/>
              <w:textAlignment w:val="auto"/>
              <w:rPr>
                <w:rFonts w:hint="default" w:ascii="宋体" w:hAnsi="宋体"/>
                <w:sz w:val="18"/>
                <w:szCs w:val="18"/>
                <w:highlight w:val="none"/>
              </w:rPr>
            </w:pPr>
            <w:r>
              <w:rPr>
                <w:rFonts w:hint="eastAsia" w:ascii="宋体" w:hAnsi="宋体"/>
                <w:sz w:val="18"/>
                <w:szCs w:val="18"/>
                <w:highlight w:val="none"/>
              </w:rPr>
              <w:t>投标人不得存在的其他不良状况或不良信用记录</w:t>
            </w:r>
          </w:p>
        </w:tc>
        <w:tc>
          <w:tcPr>
            <w:tcW w:w="6279" w:type="dxa"/>
            <w:tcBorders>
              <w:tl2br w:val="nil"/>
              <w:tr2bl w:val="nil"/>
            </w:tcBorders>
            <w:vAlign w:val="center"/>
          </w:tcPr>
          <w:p w14:paraId="6E99FC39">
            <w:pPr>
              <w:keepNext w:val="0"/>
              <w:keepLines w:val="0"/>
              <w:pageBreakBefore w:val="0"/>
              <w:suppressLineNumbers w:val="0"/>
              <w:shd w:val="clear"/>
              <w:kinsoku/>
              <w:wordWrap/>
              <w:overflowPunct/>
              <w:topLinePunct w:val="0"/>
              <w:autoSpaceDE w:val="0"/>
              <w:autoSpaceDN w:val="0"/>
              <w:bidi w:val="0"/>
              <w:adjustRightInd w:val="0"/>
              <w:snapToGrid w:val="0"/>
              <w:spacing w:before="0" w:beforeAutospacing="0" w:after="0" w:afterAutospacing="0" w:line="240" w:lineRule="exact"/>
              <w:ind w:left="0" w:right="0" w:firstLine="180" w:firstLineChars="100"/>
              <w:textAlignment w:val="auto"/>
              <w:rPr>
                <w:rFonts w:hint="default" w:ascii="宋体" w:hAnsi="宋体"/>
                <w:sz w:val="18"/>
                <w:szCs w:val="18"/>
                <w:highlight w:val="none"/>
              </w:rPr>
            </w:pPr>
            <w:r>
              <w:rPr>
                <w:rFonts w:hint="default" w:ascii="宋体" w:hAnsi="宋体"/>
                <w:sz w:val="18"/>
                <w:szCs w:val="18"/>
                <w:highlight w:val="none"/>
              </w:rPr>
              <w:t>本款内容第（</w:t>
            </w:r>
            <w:r>
              <w:rPr>
                <w:rFonts w:hint="eastAsia" w:ascii="宋体" w:hAnsi="宋体"/>
                <w:sz w:val="18"/>
                <w:szCs w:val="18"/>
                <w:highlight w:val="none"/>
              </w:rPr>
              <w:t>6</w:t>
            </w:r>
            <w:r>
              <w:rPr>
                <w:rFonts w:hint="default" w:ascii="宋体" w:hAnsi="宋体"/>
                <w:sz w:val="18"/>
                <w:szCs w:val="18"/>
                <w:highlight w:val="none"/>
              </w:rPr>
              <w:t>）</w:t>
            </w:r>
            <w:r>
              <w:rPr>
                <w:rFonts w:hint="eastAsia" w:ascii="宋体" w:hAnsi="宋体"/>
                <w:sz w:val="18"/>
                <w:szCs w:val="18"/>
                <w:highlight w:val="none"/>
              </w:rPr>
              <w:t>条修改为</w:t>
            </w:r>
            <w:r>
              <w:rPr>
                <w:rFonts w:hint="default" w:ascii="宋体" w:hAnsi="宋体"/>
                <w:sz w:val="18"/>
                <w:szCs w:val="18"/>
                <w:highlight w:val="none"/>
              </w:rPr>
              <w:t>：</w:t>
            </w:r>
          </w:p>
          <w:p w14:paraId="246E14D0">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240" w:lineRule="exact"/>
              <w:ind w:left="0" w:right="0" w:firstLine="180" w:firstLineChars="100"/>
              <w:textAlignment w:val="auto"/>
              <w:rPr>
                <w:rFonts w:hint="default" w:ascii="宋体" w:hAnsi="宋体"/>
                <w:sz w:val="18"/>
                <w:szCs w:val="18"/>
                <w:highlight w:val="none"/>
              </w:rPr>
            </w:pPr>
            <w:r>
              <w:rPr>
                <w:rFonts w:hint="default" w:ascii="宋体" w:hAnsi="宋体"/>
                <w:kern w:val="0"/>
                <w:sz w:val="18"/>
                <w:szCs w:val="18"/>
                <w:highlight w:val="none"/>
                <w:lang w:val="zh-CN"/>
              </w:rPr>
              <w:t>（</w:t>
            </w:r>
            <w:r>
              <w:rPr>
                <w:rFonts w:hint="eastAsia" w:ascii="宋体" w:hAnsi="宋体"/>
                <w:kern w:val="0"/>
                <w:sz w:val="18"/>
                <w:szCs w:val="18"/>
                <w:highlight w:val="none"/>
                <w:lang w:val="zh-CN"/>
              </w:rPr>
              <w:t>6</w:t>
            </w:r>
            <w:r>
              <w:rPr>
                <w:rFonts w:hint="default" w:ascii="宋体" w:hAnsi="宋体"/>
                <w:kern w:val="0"/>
                <w:sz w:val="18"/>
                <w:szCs w:val="18"/>
                <w:highlight w:val="none"/>
                <w:lang w:val="zh-CN"/>
              </w:rPr>
              <w:t>）</w:t>
            </w:r>
            <w:r>
              <w:rPr>
                <w:rFonts w:hint="eastAsia" w:ascii="宋体" w:hAnsi="宋体"/>
                <w:sz w:val="18"/>
                <w:szCs w:val="18"/>
                <w:highlight w:val="none"/>
              </w:rPr>
              <w:t>投标人或其法定代表人、拟委任的项目经理在近三年内有行贿犯罪行为的。</w:t>
            </w:r>
          </w:p>
        </w:tc>
      </w:tr>
    </w:tbl>
    <w:p w14:paraId="00618B34">
      <w:pPr>
        <w:pageBreakBefore w:val="0"/>
        <w:kinsoku/>
        <w:wordWrap/>
        <w:overflowPunct/>
        <w:topLinePunct w:val="0"/>
        <w:bidi w:val="0"/>
        <w:adjustRightInd w:val="0"/>
        <w:snapToGrid w:val="0"/>
        <w:spacing w:line="240" w:lineRule="exact"/>
        <w:ind w:firstLine="361" w:firstLineChars="200"/>
        <w:textAlignment w:val="auto"/>
        <w:rPr>
          <w:rFonts w:hint="eastAsia" w:cs="Times New Roman"/>
          <w:b/>
          <w:color w:val="auto"/>
          <w:sz w:val="18"/>
          <w:szCs w:val="18"/>
        </w:rPr>
      </w:pPr>
    </w:p>
    <w:p w14:paraId="2AF2A620">
      <w:pPr>
        <w:pageBreakBefore w:val="0"/>
        <w:kinsoku/>
        <w:wordWrap/>
        <w:overflowPunct/>
        <w:topLinePunct w:val="0"/>
        <w:bidi w:val="0"/>
        <w:adjustRightInd w:val="0"/>
        <w:snapToGrid w:val="0"/>
        <w:spacing w:line="240" w:lineRule="exact"/>
        <w:ind w:firstLine="361" w:firstLineChars="200"/>
        <w:textAlignment w:val="auto"/>
        <w:rPr>
          <w:rFonts w:hint="eastAsia" w:cs="Times New Roman"/>
          <w:b/>
          <w:color w:val="auto"/>
          <w:sz w:val="18"/>
          <w:szCs w:val="18"/>
        </w:rPr>
      </w:pPr>
      <w:r>
        <w:rPr>
          <w:rFonts w:hint="eastAsia" w:cs="Times New Roman"/>
          <w:b/>
          <w:color w:val="auto"/>
          <w:sz w:val="18"/>
          <w:szCs w:val="18"/>
        </w:rPr>
        <w:t>附录 1 资格审查条件（资质最低要求）</w:t>
      </w:r>
    </w:p>
    <w:p w14:paraId="12C6BCE5">
      <w:pPr>
        <w:pageBreakBefore w:val="0"/>
        <w:kinsoku/>
        <w:wordWrap/>
        <w:overflowPunct/>
        <w:topLinePunct w:val="0"/>
        <w:bidi w:val="0"/>
        <w:adjustRightInd w:val="0"/>
        <w:snapToGrid w:val="0"/>
        <w:spacing w:line="240" w:lineRule="exact"/>
        <w:ind w:firstLine="361" w:firstLineChars="200"/>
        <w:textAlignment w:val="auto"/>
        <w:rPr>
          <w:rFonts w:hint="eastAsia" w:cs="Times New Roman"/>
          <w:b/>
          <w:color w:val="auto"/>
          <w:sz w:val="18"/>
          <w:szCs w:val="18"/>
        </w:rPr>
      </w:pPr>
    </w:p>
    <w:p w14:paraId="205C52E1">
      <w:pPr>
        <w:pageBreakBefore w:val="0"/>
        <w:shd w:val="clear"/>
        <w:kinsoku/>
        <w:wordWrap/>
        <w:overflowPunct/>
        <w:topLinePunct w:val="0"/>
        <w:bidi w:val="0"/>
        <w:spacing w:before="57" w:line="240" w:lineRule="exact"/>
        <w:ind w:left="2381"/>
        <w:textAlignment w:val="auto"/>
        <w:rPr>
          <w:rFonts w:ascii="宋体" w:hAnsi="宋体" w:cs="宋体"/>
          <w:sz w:val="18"/>
          <w:szCs w:val="18"/>
          <w:highlight w:val="none"/>
        </w:rPr>
      </w:pPr>
      <w:bookmarkStart w:id="1" w:name="_Toc197967119"/>
      <w:bookmarkStart w:id="2" w:name="_Toc197965598"/>
      <w:bookmarkStart w:id="3" w:name="_Toc197950683"/>
      <w:bookmarkStart w:id="4" w:name="_Toc197951589"/>
      <w:bookmarkStart w:id="5" w:name="_Toc197967267"/>
      <w:bookmarkStart w:id="6" w:name="_Toc197960494"/>
      <w:bookmarkStart w:id="7" w:name="_Toc197950804"/>
      <w:bookmarkStart w:id="8" w:name="_Toc197960546"/>
      <w:r>
        <w:rPr>
          <w:rFonts w:hint="eastAsia" w:ascii="宋体" w:hAnsi="宋体" w:cs="宋体"/>
          <w:b/>
          <w:bCs/>
          <w:spacing w:val="-5"/>
          <w:sz w:val="18"/>
          <w:szCs w:val="18"/>
          <w:highlight w:val="none"/>
        </w:rPr>
        <w:t>附录1</w:t>
      </w:r>
      <w:r>
        <w:rPr>
          <w:rFonts w:hint="eastAsia" w:ascii="宋体" w:hAnsi="宋体" w:cs="宋体"/>
          <w:spacing w:val="-5"/>
          <w:sz w:val="18"/>
          <w:szCs w:val="18"/>
          <w:highlight w:val="none"/>
        </w:rPr>
        <w:t xml:space="preserve"> </w:t>
      </w:r>
      <w:r>
        <w:rPr>
          <w:rFonts w:hint="eastAsia" w:ascii="宋体" w:hAnsi="宋体" w:cs="宋体"/>
          <w:b/>
          <w:bCs/>
          <w:spacing w:val="-5"/>
          <w:sz w:val="18"/>
          <w:szCs w:val="18"/>
          <w:highlight w:val="none"/>
        </w:rPr>
        <w:t>资格审查条件（资质最低要求）</w:t>
      </w:r>
    </w:p>
    <w:tbl>
      <w:tblPr>
        <w:tblStyle w:val="17"/>
        <w:tblW w:w="9520" w:type="dxa"/>
        <w:tblInd w:w="1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34"/>
        <w:gridCol w:w="8386"/>
      </w:tblGrid>
      <w:tr w14:paraId="46DAA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134" w:type="dxa"/>
            <w:tcBorders>
              <w:bottom w:val="single" w:color="000000" w:sz="2" w:space="0"/>
              <w:right w:val="single" w:color="000000" w:sz="2" w:space="0"/>
            </w:tcBorders>
            <w:vAlign w:val="center"/>
          </w:tcPr>
          <w:p w14:paraId="10E454B0">
            <w:pPr>
              <w:pStyle w:val="16"/>
              <w:pageBreakBefore w:val="0"/>
              <w:shd w:val="clear"/>
              <w:kinsoku/>
              <w:wordWrap/>
              <w:overflowPunct/>
              <w:topLinePunct w:val="0"/>
              <w:bidi w:val="0"/>
              <w:spacing w:line="240" w:lineRule="exact"/>
              <w:jc w:val="center"/>
              <w:textAlignment w:val="auto"/>
              <w:rPr>
                <w:sz w:val="18"/>
                <w:szCs w:val="18"/>
                <w:highlight w:val="none"/>
              </w:rPr>
            </w:pPr>
            <w:r>
              <w:rPr>
                <w:rFonts w:hint="eastAsia"/>
                <w:spacing w:val="4"/>
                <w:sz w:val="18"/>
                <w:szCs w:val="18"/>
                <w:highlight w:val="none"/>
              </w:rPr>
              <w:t>标段</w:t>
            </w:r>
          </w:p>
        </w:tc>
        <w:tc>
          <w:tcPr>
            <w:tcW w:w="8386" w:type="dxa"/>
            <w:tcBorders>
              <w:left w:val="single" w:color="000000" w:sz="2" w:space="0"/>
              <w:bottom w:val="single" w:color="000000" w:sz="2" w:space="0"/>
            </w:tcBorders>
            <w:vAlign w:val="center"/>
          </w:tcPr>
          <w:p w14:paraId="22919A56">
            <w:pPr>
              <w:pStyle w:val="16"/>
              <w:pageBreakBefore w:val="0"/>
              <w:shd w:val="clear"/>
              <w:kinsoku/>
              <w:wordWrap/>
              <w:overflowPunct/>
              <w:topLinePunct w:val="0"/>
              <w:bidi w:val="0"/>
              <w:spacing w:line="240" w:lineRule="exact"/>
              <w:jc w:val="center"/>
              <w:textAlignment w:val="auto"/>
              <w:rPr>
                <w:sz w:val="18"/>
                <w:szCs w:val="18"/>
                <w:highlight w:val="none"/>
                <w:lang w:eastAsia="zh-CN"/>
              </w:rPr>
            </w:pPr>
            <w:r>
              <w:rPr>
                <w:rFonts w:hint="eastAsia"/>
                <w:spacing w:val="9"/>
                <w:sz w:val="18"/>
                <w:szCs w:val="18"/>
                <w:highlight w:val="none"/>
                <w:lang w:eastAsia="zh-CN"/>
              </w:rPr>
              <w:t>施工企业资质等级要求</w:t>
            </w:r>
          </w:p>
        </w:tc>
      </w:tr>
      <w:tr w14:paraId="01DD6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5" w:hRule="atLeast"/>
        </w:trPr>
        <w:tc>
          <w:tcPr>
            <w:tcW w:w="1134" w:type="dxa"/>
            <w:tcBorders>
              <w:top w:val="single" w:color="000000" w:sz="2" w:space="0"/>
              <w:bottom w:val="single" w:color="000000" w:sz="2" w:space="0"/>
              <w:right w:val="single" w:color="000000" w:sz="2" w:space="0"/>
            </w:tcBorders>
            <w:vAlign w:val="center"/>
          </w:tcPr>
          <w:p w14:paraId="4DBDD2D6">
            <w:pPr>
              <w:pStyle w:val="16"/>
              <w:pageBreakBefore w:val="0"/>
              <w:shd w:val="clear"/>
              <w:kinsoku/>
              <w:wordWrap/>
              <w:overflowPunct/>
              <w:topLinePunct w:val="0"/>
              <w:bidi w:val="0"/>
              <w:spacing w:line="240" w:lineRule="exact"/>
              <w:jc w:val="center"/>
              <w:textAlignment w:val="auto"/>
              <w:rPr>
                <w:spacing w:val="9"/>
                <w:sz w:val="18"/>
                <w:szCs w:val="18"/>
                <w:highlight w:val="none"/>
              </w:rPr>
            </w:pPr>
            <w:r>
              <w:rPr>
                <w:rFonts w:hint="eastAsia"/>
                <w:spacing w:val="9"/>
                <w:sz w:val="18"/>
                <w:szCs w:val="18"/>
                <w:highlight w:val="none"/>
                <w:lang w:eastAsia="zh-CN"/>
              </w:rPr>
              <w:t>SZ01</w:t>
            </w:r>
          </w:p>
        </w:tc>
        <w:tc>
          <w:tcPr>
            <w:tcW w:w="8386" w:type="dxa"/>
            <w:tcBorders>
              <w:top w:val="single" w:color="000000" w:sz="2" w:space="0"/>
              <w:left w:val="single" w:color="000000" w:sz="2" w:space="0"/>
              <w:bottom w:val="single" w:color="000000" w:sz="2" w:space="0"/>
            </w:tcBorders>
            <w:vAlign w:val="center"/>
          </w:tcPr>
          <w:p w14:paraId="064E3895">
            <w:pPr>
              <w:pStyle w:val="16"/>
              <w:pageBreakBefore w:val="0"/>
              <w:shd w:val="clear"/>
              <w:kinsoku/>
              <w:wordWrap/>
              <w:overflowPunct/>
              <w:topLinePunct w:val="0"/>
              <w:bidi w:val="0"/>
              <w:spacing w:line="240" w:lineRule="exact"/>
              <w:ind w:hanging="6"/>
              <w:jc w:val="left"/>
              <w:textAlignment w:val="auto"/>
              <w:rPr>
                <w:spacing w:val="9"/>
                <w:sz w:val="18"/>
                <w:szCs w:val="18"/>
                <w:highlight w:val="none"/>
                <w:lang w:eastAsia="zh-CN"/>
              </w:rPr>
            </w:pPr>
            <w:r>
              <w:rPr>
                <w:rFonts w:hint="eastAsia"/>
                <w:spacing w:val="9"/>
                <w:sz w:val="18"/>
                <w:szCs w:val="18"/>
                <w:highlight w:val="none"/>
                <w:lang w:eastAsia="zh-CN"/>
              </w:rPr>
              <w:t>投标人须同时具备建设主管部门颁发的公路交通工程（</w:t>
            </w:r>
            <w:bookmarkStart w:id="28" w:name="_GoBack"/>
            <w:bookmarkEnd w:id="28"/>
            <w:r>
              <w:rPr>
                <w:rFonts w:hint="eastAsia"/>
                <w:spacing w:val="9"/>
                <w:sz w:val="18"/>
                <w:szCs w:val="18"/>
                <w:highlight w:val="none"/>
                <w:lang w:eastAsia="zh-CN"/>
              </w:rPr>
              <w:t>公路机电工程分项）专业承包一级资质和公路交通工程（公路安全设施分项）专业承包一级资质。</w:t>
            </w:r>
          </w:p>
        </w:tc>
      </w:tr>
    </w:tbl>
    <w:p w14:paraId="24F72B7E">
      <w:pPr>
        <w:pageBreakBefore w:val="0"/>
        <w:shd w:val="clear"/>
        <w:kinsoku/>
        <w:wordWrap/>
        <w:overflowPunct/>
        <w:topLinePunct w:val="0"/>
        <w:bidi w:val="0"/>
        <w:spacing w:before="322" w:line="240" w:lineRule="exact"/>
        <w:ind w:left="2381"/>
        <w:textAlignment w:val="auto"/>
        <w:outlineLvl w:val="2"/>
        <w:rPr>
          <w:rFonts w:ascii="宋体" w:hAnsi="宋体" w:cs="宋体"/>
          <w:sz w:val="18"/>
          <w:szCs w:val="18"/>
          <w:highlight w:val="none"/>
        </w:rPr>
      </w:pPr>
      <w:r>
        <w:rPr>
          <w:rFonts w:hint="eastAsia" w:ascii="宋体" w:hAnsi="宋体" w:cs="宋体"/>
          <w:b/>
          <w:bCs/>
          <w:sz w:val="18"/>
          <w:szCs w:val="18"/>
          <w:highlight w:val="none"/>
        </w:rPr>
        <w:t>附录2</w:t>
      </w:r>
      <w:r>
        <w:rPr>
          <w:rFonts w:hint="eastAsia" w:ascii="宋体" w:hAnsi="宋体" w:cs="宋体"/>
          <w:sz w:val="18"/>
          <w:szCs w:val="18"/>
          <w:highlight w:val="none"/>
        </w:rPr>
        <w:t xml:space="preserve"> </w:t>
      </w:r>
      <w:r>
        <w:rPr>
          <w:rFonts w:hint="eastAsia" w:ascii="宋体" w:hAnsi="宋体" w:cs="宋体"/>
          <w:b/>
          <w:bCs/>
          <w:sz w:val="18"/>
          <w:szCs w:val="18"/>
          <w:highlight w:val="none"/>
        </w:rPr>
        <w:t>资格审查条件（财务最低要求）</w:t>
      </w:r>
    </w:p>
    <w:tbl>
      <w:tblPr>
        <w:tblStyle w:val="17"/>
        <w:tblW w:w="9520" w:type="dxa"/>
        <w:tblInd w:w="1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34"/>
        <w:gridCol w:w="8386"/>
      </w:tblGrid>
      <w:tr w14:paraId="36CFE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1134" w:type="dxa"/>
            <w:tcBorders>
              <w:bottom w:val="single" w:color="000000" w:sz="2" w:space="0"/>
              <w:right w:val="single" w:color="000000" w:sz="2" w:space="0"/>
            </w:tcBorders>
          </w:tcPr>
          <w:p w14:paraId="394C37A0">
            <w:pPr>
              <w:pStyle w:val="16"/>
              <w:pageBreakBefore w:val="0"/>
              <w:shd w:val="clear"/>
              <w:kinsoku/>
              <w:wordWrap/>
              <w:overflowPunct/>
              <w:topLinePunct w:val="0"/>
              <w:bidi w:val="0"/>
              <w:spacing w:before="139" w:line="240" w:lineRule="exact"/>
              <w:jc w:val="center"/>
              <w:textAlignment w:val="auto"/>
              <w:rPr>
                <w:spacing w:val="4"/>
                <w:sz w:val="18"/>
                <w:szCs w:val="18"/>
                <w:highlight w:val="none"/>
              </w:rPr>
            </w:pPr>
            <w:r>
              <w:rPr>
                <w:rFonts w:hint="eastAsia"/>
                <w:spacing w:val="4"/>
                <w:sz w:val="18"/>
                <w:szCs w:val="18"/>
                <w:highlight w:val="none"/>
              </w:rPr>
              <w:t>标段</w:t>
            </w:r>
          </w:p>
        </w:tc>
        <w:tc>
          <w:tcPr>
            <w:tcW w:w="8386" w:type="dxa"/>
            <w:tcBorders>
              <w:left w:val="single" w:color="000000" w:sz="2" w:space="0"/>
              <w:bottom w:val="single" w:color="000000" w:sz="2" w:space="0"/>
            </w:tcBorders>
          </w:tcPr>
          <w:p w14:paraId="3BFEBE1B">
            <w:pPr>
              <w:pStyle w:val="16"/>
              <w:pageBreakBefore w:val="0"/>
              <w:shd w:val="clear"/>
              <w:kinsoku/>
              <w:wordWrap/>
              <w:overflowPunct/>
              <w:topLinePunct w:val="0"/>
              <w:bidi w:val="0"/>
              <w:spacing w:before="139" w:line="240" w:lineRule="exact"/>
              <w:jc w:val="center"/>
              <w:textAlignment w:val="auto"/>
              <w:rPr>
                <w:spacing w:val="4"/>
                <w:sz w:val="18"/>
                <w:szCs w:val="18"/>
                <w:highlight w:val="none"/>
              </w:rPr>
            </w:pPr>
            <w:r>
              <w:rPr>
                <w:rFonts w:hint="eastAsia"/>
                <w:spacing w:val="4"/>
                <w:sz w:val="18"/>
                <w:szCs w:val="18"/>
                <w:highlight w:val="none"/>
              </w:rPr>
              <w:t>财务要求</w:t>
            </w:r>
          </w:p>
        </w:tc>
      </w:tr>
      <w:tr w14:paraId="4FA35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1134" w:type="dxa"/>
            <w:tcBorders>
              <w:top w:val="single" w:color="000000" w:sz="2" w:space="0"/>
              <w:right w:val="single" w:color="000000" w:sz="2" w:space="0"/>
            </w:tcBorders>
            <w:vAlign w:val="center"/>
          </w:tcPr>
          <w:p w14:paraId="61175668">
            <w:pPr>
              <w:pStyle w:val="16"/>
              <w:pageBreakBefore w:val="0"/>
              <w:shd w:val="clear"/>
              <w:kinsoku/>
              <w:wordWrap/>
              <w:overflowPunct/>
              <w:topLinePunct w:val="0"/>
              <w:bidi w:val="0"/>
              <w:spacing w:before="65" w:line="240" w:lineRule="exact"/>
              <w:jc w:val="center"/>
              <w:textAlignment w:val="auto"/>
              <w:rPr>
                <w:sz w:val="18"/>
                <w:szCs w:val="18"/>
                <w:highlight w:val="none"/>
                <w:lang w:eastAsia="zh-CN"/>
              </w:rPr>
            </w:pPr>
            <w:r>
              <w:rPr>
                <w:rFonts w:hint="eastAsia"/>
                <w:spacing w:val="9"/>
                <w:sz w:val="18"/>
                <w:szCs w:val="18"/>
                <w:highlight w:val="none"/>
                <w:lang w:eastAsia="zh-CN"/>
              </w:rPr>
              <w:t>SZ01</w:t>
            </w:r>
          </w:p>
        </w:tc>
        <w:tc>
          <w:tcPr>
            <w:tcW w:w="8386" w:type="dxa"/>
            <w:tcBorders>
              <w:top w:val="single" w:color="000000" w:sz="2" w:space="0"/>
              <w:left w:val="single" w:color="000000" w:sz="2" w:space="0"/>
            </w:tcBorders>
            <w:vAlign w:val="center"/>
          </w:tcPr>
          <w:p w14:paraId="575AC0CD">
            <w:pPr>
              <w:pStyle w:val="16"/>
              <w:pageBreakBefore w:val="0"/>
              <w:shd w:val="clear"/>
              <w:kinsoku/>
              <w:wordWrap/>
              <w:overflowPunct/>
              <w:topLinePunct w:val="0"/>
              <w:bidi w:val="0"/>
              <w:spacing w:before="100" w:after="100" w:line="240" w:lineRule="exact"/>
              <w:ind w:left="119" w:right="164" w:hanging="6"/>
              <w:textAlignment w:val="auto"/>
              <w:rPr>
                <w:spacing w:val="9"/>
                <w:sz w:val="18"/>
                <w:szCs w:val="18"/>
                <w:highlight w:val="none"/>
                <w:lang w:eastAsia="zh-CN"/>
              </w:rPr>
            </w:pPr>
            <w:r>
              <w:rPr>
                <w:rFonts w:hint="eastAsia"/>
                <w:spacing w:val="9"/>
                <w:sz w:val="18"/>
                <w:szCs w:val="18"/>
                <w:highlight w:val="none"/>
                <w:lang w:eastAsia="zh-CN"/>
              </w:rPr>
              <w:t>投标人近三年（2023年～投标截止时间）应当具有良好的商业信誉和健全的财务会计制度（</w:t>
            </w:r>
            <w:r>
              <w:rPr>
                <w:rFonts w:hint="eastAsia"/>
                <w:spacing w:val="9"/>
                <w:sz w:val="18"/>
                <w:szCs w:val="18"/>
                <w:highlight w:val="none"/>
                <w:lang w:val="en-US" w:eastAsia="zh-CN"/>
              </w:rPr>
              <w:t>提供承诺函</w:t>
            </w:r>
            <w:r>
              <w:rPr>
                <w:rFonts w:hint="eastAsia"/>
                <w:spacing w:val="9"/>
                <w:sz w:val="18"/>
                <w:szCs w:val="18"/>
                <w:highlight w:val="none"/>
                <w:lang w:eastAsia="zh-CN"/>
              </w:rPr>
              <w:t>）。</w:t>
            </w:r>
          </w:p>
        </w:tc>
      </w:tr>
    </w:tbl>
    <w:p w14:paraId="494025B9">
      <w:pPr>
        <w:pageBreakBefore w:val="0"/>
        <w:shd w:val="clear"/>
        <w:kinsoku/>
        <w:wordWrap/>
        <w:overflowPunct/>
        <w:topLinePunct w:val="0"/>
        <w:bidi w:val="0"/>
        <w:spacing w:before="322" w:line="240" w:lineRule="exact"/>
        <w:ind w:left="2381"/>
        <w:textAlignment w:val="auto"/>
        <w:outlineLvl w:val="2"/>
        <w:rPr>
          <w:rFonts w:ascii="宋体" w:hAnsi="宋体" w:cs="宋体"/>
          <w:sz w:val="18"/>
          <w:szCs w:val="18"/>
          <w:highlight w:val="none"/>
        </w:rPr>
      </w:pPr>
      <w:r>
        <w:rPr>
          <w:rFonts w:hint="eastAsia" w:ascii="宋体" w:hAnsi="宋体" w:cs="宋体"/>
          <w:b/>
          <w:bCs/>
          <w:sz w:val="18"/>
          <w:szCs w:val="18"/>
          <w:highlight w:val="none"/>
        </w:rPr>
        <w:t>附录3</w:t>
      </w:r>
      <w:r>
        <w:rPr>
          <w:rFonts w:hint="eastAsia" w:ascii="宋体" w:hAnsi="宋体" w:cs="宋体"/>
          <w:sz w:val="18"/>
          <w:szCs w:val="18"/>
          <w:highlight w:val="none"/>
        </w:rPr>
        <w:t xml:space="preserve"> </w:t>
      </w:r>
      <w:r>
        <w:rPr>
          <w:rFonts w:hint="eastAsia" w:ascii="宋体" w:hAnsi="宋体" w:cs="宋体"/>
          <w:b/>
          <w:bCs/>
          <w:sz w:val="18"/>
          <w:szCs w:val="18"/>
          <w:highlight w:val="none"/>
        </w:rPr>
        <w:t>资格审查条件（业绩最低要求）</w:t>
      </w:r>
    </w:p>
    <w:tbl>
      <w:tblPr>
        <w:tblStyle w:val="17"/>
        <w:tblW w:w="9525" w:type="dxa"/>
        <w:tblInd w:w="1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36"/>
        <w:gridCol w:w="8389"/>
      </w:tblGrid>
      <w:tr w14:paraId="1B245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1136" w:type="dxa"/>
            <w:tcBorders>
              <w:bottom w:val="single" w:color="000000" w:sz="2" w:space="0"/>
              <w:right w:val="single" w:color="000000" w:sz="2" w:space="0"/>
            </w:tcBorders>
          </w:tcPr>
          <w:p w14:paraId="3CF40B9D">
            <w:pPr>
              <w:pStyle w:val="16"/>
              <w:pageBreakBefore w:val="0"/>
              <w:shd w:val="clear"/>
              <w:kinsoku/>
              <w:wordWrap/>
              <w:overflowPunct/>
              <w:topLinePunct w:val="0"/>
              <w:bidi w:val="0"/>
              <w:spacing w:before="139" w:line="240" w:lineRule="exact"/>
              <w:jc w:val="center"/>
              <w:textAlignment w:val="auto"/>
              <w:rPr>
                <w:sz w:val="18"/>
                <w:szCs w:val="18"/>
                <w:highlight w:val="none"/>
              </w:rPr>
            </w:pPr>
            <w:r>
              <w:rPr>
                <w:rFonts w:hint="eastAsia"/>
                <w:spacing w:val="4"/>
                <w:sz w:val="18"/>
                <w:szCs w:val="18"/>
                <w:highlight w:val="none"/>
              </w:rPr>
              <w:t>标段</w:t>
            </w:r>
          </w:p>
        </w:tc>
        <w:tc>
          <w:tcPr>
            <w:tcW w:w="8389" w:type="dxa"/>
            <w:tcBorders>
              <w:left w:val="single" w:color="000000" w:sz="2" w:space="0"/>
              <w:bottom w:val="single" w:color="000000" w:sz="2" w:space="0"/>
            </w:tcBorders>
          </w:tcPr>
          <w:p w14:paraId="796E64F7">
            <w:pPr>
              <w:pStyle w:val="16"/>
              <w:pageBreakBefore w:val="0"/>
              <w:shd w:val="clear"/>
              <w:kinsoku/>
              <w:wordWrap/>
              <w:overflowPunct/>
              <w:topLinePunct w:val="0"/>
              <w:bidi w:val="0"/>
              <w:spacing w:before="150" w:line="240" w:lineRule="exact"/>
              <w:ind w:left="3662"/>
              <w:textAlignment w:val="auto"/>
              <w:rPr>
                <w:sz w:val="18"/>
                <w:szCs w:val="18"/>
                <w:highlight w:val="none"/>
              </w:rPr>
            </w:pPr>
            <w:r>
              <w:rPr>
                <w:rFonts w:hint="eastAsia"/>
                <w:spacing w:val="7"/>
                <w:sz w:val="18"/>
                <w:szCs w:val="18"/>
                <w:highlight w:val="none"/>
              </w:rPr>
              <w:t>业绩要求</w:t>
            </w:r>
          </w:p>
        </w:tc>
      </w:tr>
      <w:tr w14:paraId="22F59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40" w:hRule="atLeast"/>
        </w:trPr>
        <w:tc>
          <w:tcPr>
            <w:tcW w:w="1136" w:type="dxa"/>
            <w:tcBorders>
              <w:top w:val="single" w:color="000000" w:sz="2" w:space="0"/>
              <w:bottom w:val="single" w:color="000000" w:sz="2" w:space="0"/>
              <w:right w:val="single" w:color="000000" w:sz="2" w:space="0"/>
            </w:tcBorders>
            <w:vAlign w:val="center"/>
          </w:tcPr>
          <w:p w14:paraId="5D1A5476">
            <w:pPr>
              <w:pStyle w:val="16"/>
              <w:pageBreakBefore w:val="0"/>
              <w:shd w:val="clear"/>
              <w:kinsoku/>
              <w:wordWrap/>
              <w:overflowPunct/>
              <w:topLinePunct w:val="0"/>
              <w:bidi w:val="0"/>
              <w:spacing w:before="65" w:line="240" w:lineRule="exact"/>
              <w:jc w:val="center"/>
              <w:textAlignment w:val="auto"/>
              <w:rPr>
                <w:spacing w:val="9"/>
                <w:sz w:val="18"/>
                <w:szCs w:val="18"/>
                <w:highlight w:val="none"/>
                <w:lang w:eastAsia="zh-CN"/>
              </w:rPr>
            </w:pPr>
            <w:r>
              <w:rPr>
                <w:rFonts w:hint="eastAsia"/>
                <w:spacing w:val="9"/>
                <w:sz w:val="18"/>
                <w:szCs w:val="18"/>
                <w:highlight w:val="none"/>
                <w:lang w:eastAsia="zh-CN"/>
              </w:rPr>
              <w:t>SZ01</w:t>
            </w:r>
          </w:p>
        </w:tc>
        <w:tc>
          <w:tcPr>
            <w:tcW w:w="8389" w:type="dxa"/>
            <w:tcBorders>
              <w:top w:val="single" w:color="000000" w:sz="2" w:space="0"/>
              <w:left w:val="single" w:color="000000" w:sz="2" w:space="0"/>
              <w:bottom w:val="single" w:color="000000" w:sz="2" w:space="0"/>
            </w:tcBorders>
            <w:vAlign w:val="center"/>
          </w:tcPr>
          <w:p w14:paraId="56272881">
            <w:pPr>
              <w:pStyle w:val="16"/>
              <w:keepNext w:val="0"/>
              <w:keepLines w:val="0"/>
              <w:pageBreakBefore w:val="0"/>
              <w:widowControl w:val="0"/>
              <w:shd w:val="clear"/>
              <w:kinsoku/>
              <w:wordWrap/>
              <w:overflowPunct/>
              <w:topLinePunct w:val="0"/>
              <w:autoSpaceDE/>
              <w:autoSpaceDN/>
              <w:bidi w:val="0"/>
              <w:adjustRightInd/>
              <w:snapToGrid/>
              <w:spacing w:before="100" w:after="100" w:line="240" w:lineRule="exact"/>
              <w:ind w:left="119" w:right="164" w:hanging="6"/>
              <w:textAlignment w:val="auto"/>
              <w:rPr>
                <w:spacing w:val="9"/>
                <w:sz w:val="18"/>
                <w:szCs w:val="18"/>
                <w:highlight w:val="none"/>
                <w:lang w:eastAsia="zh-CN"/>
              </w:rPr>
            </w:pPr>
            <w:r>
              <w:rPr>
                <w:rFonts w:hint="eastAsia"/>
                <w:spacing w:val="9"/>
                <w:sz w:val="18"/>
                <w:szCs w:val="18"/>
                <w:highlight w:val="none"/>
                <w:lang w:eastAsia="zh-CN"/>
              </w:rPr>
              <w:t>投标人（如为联合体则为联合体所有成员）近五年（2021年1月1日～投标截止时间，以交工时间为准）累计完成高速公路机电工程施工业绩合同额不低于5亿元。（如为高速公路综合业绩，业绩内必须体现机电工程施工内容，且以机电工程施工金额计算业绩）；</w:t>
            </w:r>
          </w:p>
          <w:p w14:paraId="3749BD72">
            <w:pPr>
              <w:pStyle w:val="16"/>
              <w:keepNext w:val="0"/>
              <w:keepLines w:val="0"/>
              <w:pageBreakBefore w:val="0"/>
              <w:widowControl w:val="0"/>
              <w:shd w:val="clear"/>
              <w:kinsoku/>
              <w:wordWrap/>
              <w:overflowPunct/>
              <w:topLinePunct w:val="0"/>
              <w:autoSpaceDE/>
              <w:autoSpaceDN/>
              <w:bidi w:val="0"/>
              <w:adjustRightInd/>
              <w:snapToGrid/>
              <w:spacing w:before="100" w:after="100" w:line="240" w:lineRule="exact"/>
              <w:ind w:left="119" w:right="164" w:hanging="6"/>
              <w:textAlignment w:val="auto"/>
              <w:rPr>
                <w:spacing w:val="9"/>
                <w:sz w:val="18"/>
                <w:szCs w:val="18"/>
                <w:highlight w:val="none"/>
                <w:lang w:eastAsia="zh-CN"/>
              </w:rPr>
            </w:pPr>
            <w:r>
              <w:rPr>
                <w:rFonts w:hint="eastAsia"/>
                <w:spacing w:val="9"/>
                <w:sz w:val="18"/>
                <w:szCs w:val="18"/>
                <w:highlight w:val="none"/>
                <w:lang w:eastAsia="zh-CN"/>
              </w:rPr>
              <w:t>（注：施工业绩应为国内高速公路新建、改扩建工程业绩；养护工程及国外工程业绩不能作为本次招标的施</w:t>
            </w:r>
            <w:r>
              <w:rPr>
                <w:rFonts w:hint="eastAsia"/>
                <w:spacing w:val="9"/>
                <w:sz w:val="18"/>
                <w:szCs w:val="18"/>
                <w:highlight w:val="none"/>
                <w:shd w:val="clear"/>
                <w:lang w:eastAsia="zh-CN"/>
              </w:rPr>
              <w:t>工业绩；</w:t>
            </w:r>
            <w:r>
              <w:rPr>
                <w:rFonts w:hint="eastAsia"/>
                <w:spacing w:val="9"/>
                <w:sz w:val="18"/>
                <w:szCs w:val="18"/>
                <w:highlight w:val="none"/>
                <w:shd w:val="clear"/>
                <w:lang w:val="en-US" w:eastAsia="zh-CN"/>
              </w:rPr>
              <w:t>以上业绩均应是已列入交通运输部“全国公路建设市场监督管理系统”或省级交通运输主管部门“公路建设市场信用信息管理系统”并公开可查的业绩</w:t>
            </w:r>
            <w:r>
              <w:rPr>
                <w:rFonts w:hint="eastAsia"/>
                <w:spacing w:val="9"/>
                <w:sz w:val="18"/>
                <w:szCs w:val="18"/>
                <w:highlight w:val="none"/>
                <w:lang w:eastAsia="zh-CN"/>
              </w:rPr>
              <w:t>）。</w:t>
            </w:r>
          </w:p>
        </w:tc>
      </w:tr>
    </w:tbl>
    <w:p w14:paraId="43A51E5D">
      <w:pPr>
        <w:pageBreakBefore w:val="0"/>
        <w:shd w:val="clear"/>
        <w:kinsoku/>
        <w:wordWrap/>
        <w:overflowPunct/>
        <w:topLinePunct w:val="0"/>
        <w:bidi w:val="0"/>
        <w:spacing w:before="322" w:line="240" w:lineRule="exact"/>
        <w:ind w:left="2381"/>
        <w:textAlignment w:val="auto"/>
        <w:outlineLvl w:val="2"/>
        <w:rPr>
          <w:rFonts w:ascii="宋体" w:hAnsi="宋体" w:cs="宋体"/>
          <w:sz w:val="18"/>
          <w:szCs w:val="18"/>
          <w:highlight w:val="none"/>
        </w:rPr>
      </w:pPr>
      <w:r>
        <w:rPr>
          <w:rFonts w:hint="eastAsia" w:ascii="宋体" w:hAnsi="宋体" w:cs="宋体"/>
          <w:b/>
          <w:bCs/>
          <w:sz w:val="18"/>
          <w:szCs w:val="18"/>
          <w:highlight w:val="none"/>
        </w:rPr>
        <w:t>附录4</w:t>
      </w:r>
      <w:r>
        <w:rPr>
          <w:rFonts w:hint="eastAsia" w:ascii="宋体" w:hAnsi="宋体" w:cs="宋体"/>
          <w:sz w:val="18"/>
          <w:szCs w:val="18"/>
          <w:highlight w:val="none"/>
        </w:rPr>
        <w:t xml:space="preserve"> </w:t>
      </w:r>
      <w:r>
        <w:rPr>
          <w:rFonts w:hint="eastAsia" w:ascii="宋体" w:hAnsi="宋体" w:cs="宋体"/>
          <w:b/>
          <w:bCs/>
          <w:sz w:val="18"/>
          <w:szCs w:val="18"/>
          <w:highlight w:val="none"/>
        </w:rPr>
        <w:t>资格审查条件（信誉最低要求）</w:t>
      </w:r>
    </w:p>
    <w:tbl>
      <w:tblPr>
        <w:tblStyle w:val="17"/>
        <w:tblW w:w="9520" w:type="dxa"/>
        <w:tblInd w:w="1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49"/>
        <w:gridCol w:w="8371"/>
      </w:tblGrid>
      <w:tr w14:paraId="0511C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 w:hRule="atLeast"/>
        </w:trPr>
        <w:tc>
          <w:tcPr>
            <w:tcW w:w="1149" w:type="dxa"/>
            <w:tcBorders>
              <w:bottom w:val="single" w:color="000000" w:sz="2" w:space="0"/>
              <w:right w:val="single" w:color="000000" w:sz="2" w:space="0"/>
            </w:tcBorders>
            <w:vAlign w:val="center"/>
          </w:tcPr>
          <w:p w14:paraId="308A9F5E">
            <w:pPr>
              <w:pStyle w:val="16"/>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spacing w:val="4"/>
                <w:sz w:val="18"/>
                <w:szCs w:val="18"/>
                <w:highlight w:val="none"/>
              </w:rPr>
            </w:pPr>
            <w:r>
              <w:rPr>
                <w:rFonts w:hint="eastAsia"/>
                <w:spacing w:val="4"/>
                <w:sz w:val="18"/>
                <w:szCs w:val="18"/>
                <w:highlight w:val="none"/>
              </w:rPr>
              <w:t>标段</w:t>
            </w:r>
          </w:p>
        </w:tc>
        <w:tc>
          <w:tcPr>
            <w:tcW w:w="8371" w:type="dxa"/>
            <w:tcBorders>
              <w:left w:val="single" w:color="000000" w:sz="2" w:space="0"/>
              <w:bottom w:val="single" w:color="000000" w:sz="2" w:space="0"/>
            </w:tcBorders>
            <w:vAlign w:val="center"/>
          </w:tcPr>
          <w:p w14:paraId="51109ADC">
            <w:pPr>
              <w:pStyle w:val="16"/>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spacing w:val="4"/>
                <w:sz w:val="18"/>
                <w:szCs w:val="18"/>
                <w:highlight w:val="none"/>
              </w:rPr>
            </w:pPr>
            <w:r>
              <w:rPr>
                <w:rFonts w:hint="eastAsia"/>
                <w:spacing w:val="4"/>
                <w:sz w:val="18"/>
                <w:szCs w:val="18"/>
                <w:highlight w:val="none"/>
              </w:rPr>
              <w:t>信誉要求</w:t>
            </w:r>
          </w:p>
        </w:tc>
      </w:tr>
      <w:tr w14:paraId="46CB5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8" w:hRule="atLeast"/>
        </w:trPr>
        <w:tc>
          <w:tcPr>
            <w:tcW w:w="1149" w:type="dxa"/>
            <w:tcBorders>
              <w:top w:val="single" w:color="000000" w:sz="2" w:space="0"/>
              <w:right w:val="single" w:color="000000" w:sz="2" w:space="0"/>
            </w:tcBorders>
            <w:vAlign w:val="center"/>
          </w:tcPr>
          <w:p w14:paraId="1747ADBA">
            <w:pPr>
              <w:pStyle w:val="16"/>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sz w:val="18"/>
                <w:szCs w:val="18"/>
                <w:highlight w:val="none"/>
                <w:lang w:eastAsia="zh-CN"/>
              </w:rPr>
            </w:pPr>
            <w:r>
              <w:rPr>
                <w:rFonts w:hint="eastAsia"/>
                <w:spacing w:val="9"/>
                <w:sz w:val="18"/>
                <w:szCs w:val="18"/>
                <w:highlight w:val="none"/>
                <w:lang w:eastAsia="zh-CN"/>
              </w:rPr>
              <w:t>SZ01</w:t>
            </w:r>
          </w:p>
        </w:tc>
        <w:tc>
          <w:tcPr>
            <w:tcW w:w="8371" w:type="dxa"/>
            <w:tcBorders>
              <w:top w:val="single" w:color="000000" w:sz="2" w:space="0"/>
              <w:left w:val="single" w:color="000000" w:sz="2" w:space="0"/>
            </w:tcBorders>
            <w:vAlign w:val="center"/>
          </w:tcPr>
          <w:p w14:paraId="33E08140">
            <w:pPr>
              <w:pStyle w:val="16"/>
              <w:keepNext w:val="0"/>
              <w:keepLines w:val="0"/>
              <w:pageBreakBefore w:val="0"/>
              <w:widowControl w:val="0"/>
              <w:shd w:val="clear"/>
              <w:kinsoku/>
              <w:wordWrap/>
              <w:overflowPunct/>
              <w:topLinePunct w:val="0"/>
              <w:autoSpaceDE/>
              <w:autoSpaceDN/>
              <w:bidi w:val="0"/>
              <w:adjustRightInd/>
              <w:snapToGrid/>
              <w:spacing w:line="240" w:lineRule="exact"/>
              <w:ind w:firstLine="180" w:firstLineChars="100"/>
              <w:jc w:val="left"/>
              <w:textAlignment w:val="auto"/>
              <w:rPr>
                <w:sz w:val="18"/>
                <w:szCs w:val="18"/>
                <w:highlight w:val="none"/>
                <w:lang w:eastAsia="zh-CN"/>
              </w:rPr>
            </w:pPr>
            <w:r>
              <w:rPr>
                <w:rFonts w:hint="eastAsia"/>
                <w:sz w:val="18"/>
                <w:szCs w:val="18"/>
                <w:highlight w:val="none"/>
                <w:lang w:eastAsia="zh-CN"/>
              </w:rPr>
              <w:t>满足“投标人须知1.4.4”的要求。</w:t>
            </w:r>
          </w:p>
        </w:tc>
      </w:tr>
    </w:tbl>
    <w:p w14:paraId="01994D5C">
      <w:pPr>
        <w:pageBreakBefore w:val="0"/>
        <w:shd w:val="clear"/>
        <w:kinsoku/>
        <w:wordWrap/>
        <w:overflowPunct/>
        <w:topLinePunct w:val="0"/>
        <w:bidi w:val="0"/>
        <w:spacing w:before="56" w:line="240" w:lineRule="exact"/>
        <w:ind w:left="2162"/>
        <w:textAlignment w:val="auto"/>
        <w:outlineLvl w:val="2"/>
        <w:rPr>
          <w:rFonts w:ascii="黑体" w:hAnsi="黑体" w:eastAsia="黑体" w:cs="黑体"/>
          <w:b/>
          <w:bCs/>
          <w:sz w:val="18"/>
          <w:szCs w:val="18"/>
          <w:highlight w:val="none"/>
        </w:rPr>
      </w:pPr>
    </w:p>
    <w:p w14:paraId="71396137">
      <w:pPr>
        <w:pageBreakBefore w:val="0"/>
        <w:shd w:val="clear"/>
        <w:kinsoku/>
        <w:wordWrap/>
        <w:overflowPunct/>
        <w:topLinePunct w:val="0"/>
        <w:bidi w:val="0"/>
        <w:spacing w:before="56" w:line="240" w:lineRule="exact"/>
        <w:ind w:left="2162"/>
        <w:textAlignment w:val="auto"/>
        <w:outlineLvl w:val="2"/>
        <w:rPr>
          <w:rFonts w:ascii="黑体" w:hAnsi="黑体" w:eastAsia="黑体" w:cs="黑体"/>
          <w:sz w:val="18"/>
          <w:szCs w:val="18"/>
          <w:highlight w:val="none"/>
        </w:rPr>
      </w:pPr>
      <w:r>
        <w:rPr>
          <w:rFonts w:hint="eastAsia" w:ascii="宋体" w:hAnsi="宋体" w:cs="宋体"/>
          <w:b/>
          <w:bCs/>
          <w:sz w:val="18"/>
          <w:szCs w:val="18"/>
          <w:highlight w:val="none"/>
        </w:rPr>
        <w:t>附录5 资格审查条件（项目经理和项目总工最低要求）</w:t>
      </w:r>
    </w:p>
    <w:tbl>
      <w:tblPr>
        <w:tblStyle w:val="17"/>
        <w:tblW w:w="965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6"/>
        <w:gridCol w:w="1095"/>
        <w:gridCol w:w="570"/>
        <w:gridCol w:w="6004"/>
        <w:gridCol w:w="1290"/>
      </w:tblGrid>
      <w:tr w14:paraId="3D1AC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696" w:type="dxa"/>
            <w:tcBorders>
              <w:top w:val="single" w:color="000000" w:sz="6" w:space="0"/>
              <w:left w:val="single" w:color="000000" w:sz="6" w:space="0"/>
            </w:tcBorders>
            <w:vAlign w:val="center"/>
          </w:tcPr>
          <w:p w14:paraId="41536DEC">
            <w:pPr>
              <w:pStyle w:val="16"/>
              <w:pageBreakBefore w:val="0"/>
              <w:shd w:val="clear"/>
              <w:kinsoku/>
              <w:wordWrap/>
              <w:overflowPunct/>
              <w:topLinePunct w:val="0"/>
              <w:bidi w:val="0"/>
              <w:spacing w:line="240" w:lineRule="exact"/>
              <w:jc w:val="center"/>
              <w:textAlignment w:val="auto"/>
              <w:rPr>
                <w:sz w:val="18"/>
                <w:szCs w:val="18"/>
                <w:highlight w:val="none"/>
              </w:rPr>
            </w:pPr>
            <w:r>
              <w:rPr>
                <w:spacing w:val="4"/>
                <w:sz w:val="18"/>
                <w:szCs w:val="18"/>
                <w:highlight w:val="none"/>
              </w:rPr>
              <w:t>标段</w:t>
            </w:r>
          </w:p>
        </w:tc>
        <w:tc>
          <w:tcPr>
            <w:tcW w:w="1095" w:type="dxa"/>
            <w:tcBorders>
              <w:top w:val="single" w:color="000000" w:sz="6" w:space="0"/>
            </w:tcBorders>
            <w:vAlign w:val="center"/>
          </w:tcPr>
          <w:p w14:paraId="38ACCE2D">
            <w:pPr>
              <w:pStyle w:val="16"/>
              <w:pageBreakBefore w:val="0"/>
              <w:shd w:val="clear"/>
              <w:kinsoku/>
              <w:wordWrap/>
              <w:overflowPunct/>
              <w:topLinePunct w:val="0"/>
              <w:bidi w:val="0"/>
              <w:spacing w:line="240" w:lineRule="exact"/>
              <w:jc w:val="center"/>
              <w:textAlignment w:val="auto"/>
              <w:rPr>
                <w:sz w:val="18"/>
                <w:szCs w:val="18"/>
                <w:highlight w:val="none"/>
              </w:rPr>
            </w:pPr>
            <w:r>
              <w:rPr>
                <w:spacing w:val="5"/>
                <w:sz w:val="18"/>
                <w:szCs w:val="18"/>
                <w:highlight w:val="none"/>
              </w:rPr>
              <w:t>人员</w:t>
            </w:r>
          </w:p>
        </w:tc>
        <w:tc>
          <w:tcPr>
            <w:tcW w:w="570" w:type="dxa"/>
            <w:tcBorders>
              <w:top w:val="single" w:color="000000" w:sz="6" w:space="0"/>
            </w:tcBorders>
            <w:vAlign w:val="center"/>
          </w:tcPr>
          <w:p w14:paraId="586E6D36">
            <w:pPr>
              <w:pStyle w:val="16"/>
              <w:pageBreakBefore w:val="0"/>
              <w:shd w:val="clear"/>
              <w:kinsoku/>
              <w:wordWrap/>
              <w:overflowPunct/>
              <w:topLinePunct w:val="0"/>
              <w:bidi w:val="0"/>
              <w:spacing w:line="240" w:lineRule="exact"/>
              <w:jc w:val="center"/>
              <w:textAlignment w:val="auto"/>
              <w:rPr>
                <w:sz w:val="18"/>
                <w:szCs w:val="18"/>
                <w:highlight w:val="none"/>
              </w:rPr>
            </w:pPr>
            <w:r>
              <w:rPr>
                <w:spacing w:val="3"/>
                <w:sz w:val="18"/>
                <w:szCs w:val="18"/>
                <w:highlight w:val="none"/>
              </w:rPr>
              <w:t>数量</w:t>
            </w:r>
          </w:p>
        </w:tc>
        <w:tc>
          <w:tcPr>
            <w:tcW w:w="6004" w:type="dxa"/>
            <w:tcBorders>
              <w:top w:val="single" w:color="000000" w:sz="6" w:space="0"/>
            </w:tcBorders>
            <w:vAlign w:val="center"/>
          </w:tcPr>
          <w:p w14:paraId="1F609ACB">
            <w:pPr>
              <w:pStyle w:val="16"/>
              <w:pageBreakBefore w:val="0"/>
              <w:shd w:val="clear"/>
              <w:kinsoku/>
              <w:wordWrap/>
              <w:overflowPunct/>
              <w:topLinePunct w:val="0"/>
              <w:bidi w:val="0"/>
              <w:spacing w:line="240" w:lineRule="exact"/>
              <w:jc w:val="center"/>
              <w:textAlignment w:val="auto"/>
              <w:rPr>
                <w:sz w:val="18"/>
                <w:szCs w:val="18"/>
                <w:highlight w:val="none"/>
              </w:rPr>
            </w:pPr>
            <w:r>
              <w:rPr>
                <w:spacing w:val="5"/>
                <w:sz w:val="18"/>
                <w:szCs w:val="18"/>
                <w:highlight w:val="none"/>
              </w:rPr>
              <w:t>资格要求</w:t>
            </w:r>
          </w:p>
        </w:tc>
        <w:tc>
          <w:tcPr>
            <w:tcW w:w="1290" w:type="dxa"/>
            <w:tcBorders>
              <w:top w:val="single" w:color="000000" w:sz="6" w:space="0"/>
              <w:right w:val="single" w:color="000000" w:sz="6" w:space="0"/>
            </w:tcBorders>
            <w:vAlign w:val="center"/>
          </w:tcPr>
          <w:p w14:paraId="581F1FFB">
            <w:pPr>
              <w:pStyle w:val="16"/>
              <w:pageBreakBefore w:val="0"/>
              <w:shd w:val="clear"/>
              <w:kinsoku/>
              <w:wordWrap/>
              <w:overflowPunct/>
              <w:topLinePunct w:val="0"/>
              <w:bidi w:val="0"/>
              <w:spacing w:line="240" w:lineRule="exact"/>
              <w:jc w:val="center"/>
              <w:textAlignment w:val="auto"/>
              <w:rPr>
                <w:sz w:val="18"/>
                <w:szCs w:val="18"/>
                <w:highlight w:val="none"/>
              </w:rPr>
            </w:pPr>
            <w:r>
              <w:rPr>
                <w:spacing w:val="7"/>
                <w:sz w:val="18"/>
                <w:szCs w:val="18"/>
                <w:highlight w:val="none"/>
              </w:rPr>
              <w:t>在岗要求</w:t>
            </w:r>
          </w:p>
        </w:tc>
      </w:tr>
      <w:tr w14:paraId="2215F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6" w:type="dxa"/>
            <w:vMerge w:val="restart"/>
            <w:tcBorders>
              <w:left w:val="single" w:color="000000" w:sz="6" w:space="0"/>
              <w:bottom w:val="nil"/>
            </w:tcBorders>
            <w:vAlign w:val="center"/>
          </w:tcPr>
          <w:p w14:paraId="48A6A417">
            <w:pPr>
              <w:pStyle w:val="16"/>
              <w:pageBreakBefore w:val="0"/>
              <w:shd w:val="clear"/>
              <w:kinsoku/>
              <w:wordWrap/>
              <w:overflowPunct/>
              <w:topLinePunct w:val="0"/>
              <w:bidi w:val="0"/>
              <w:spacing w:line="240" w:lineRule="exact"/>
              <w:jc w:val="center"/>
              <w:textAlignment w:val="auto"/>
              <w:rPr>
                <w:sz w:val="18"/>
                <w:szCs w:val="18"/>
                <w:highlight w:val="none"/>
              </w:rPr>
            </w:pPr>
            <w:r>
              <w:rPr>
                <w:rFonts w:hint="eastAsia"/>
                <w:spacing w:val="9"/>
                <w:sz w:val="18"/>
                <w:szCs w:val="18"/>
                <w:highlight w:val="none"/>
                <w:lang w:eastAsia="zh-CN"/>
              </w:rPr>
              <w:t>SZ01</w:t>
            </w:r>
          </w:p>
        </w:tc>
        <w:tc>
          <w:tcPr>
            <w:tcW w:w="1095" w:type="dxa"/>
            <w:vAlign w:val="center"/>
          </w:tcPr>
          <w:p w14:paraId="3BF1D1A9">
            <w:pPr>
              <w:pStyle w:val="16"/>
              <w:pageBreakBefore w:val="0"/>
              <w:shd w:val="clear"/>
              <w:kinsoku/>
              <w:wordWrap/>
              <w:overflowPunct/>
              <w:topLinePunct w:val="0"/>
              <w:bidi w:val="0"/>
              <w:spacing w:line="240" w:lineRule="exact"/>
              <w:jc w:val="center"/>
              <w:textAlignment w:val="auto"/>
              <w:rPr>
                <w:sz w:val="18"/>
                <w:szCs w:val="18"/>
                <w:highlight w:val="none"/>
              </w:rPr>
            </w:pPr>
            <w:r>
              <w:rPr>
                <w:spacing w:val="6"/>
                <w:sz w:val="18"/>
                <w:szCs w:val="18"/>
                <w:highlight w:val="none"/>
              </w:rPr>
              <w:t>项目经理</w:t>
            </w:r>
          </w:p>
        </w:tc>
        <w:tc>
          <w:tcPr>
            <w:tcW w:w="570" w:type="dxa"/>
            <w:vAlign w:val="center"/>
          </w:tcPr>
          <w:p w14:paraId="470508ED">
            <w:pPr>
              <w:pStyle w:val="16"/>
              <w:pageBreakBefore w:val="0"/>
              <w:shd w:val="clear"/>
              <w:kinsoku/>
              <w:wordWrap/>
              <w:overflowPunct/>
              <w:topLinePunct w:val="0"/>
              <w:bidi w:val="0"/>
              <w:spacing w:line="240" w:lineRule="exact"/>
              <w:jc w:val="center"/>
              <w:textAlignment w:val="auto"/>
              <w:rPr>
                <w:sz w:val="18"/>
                <w:szCs w:val="18"/>
                <w:highlight w:val="none"/>
              </w:rPr>
            </w:pPr>
            <w:r>
              <w:rPr>
                <w:position w:val="1"/>
                <w:sz w:val="18"/>
                <w:szCs w:val="18"/>
                <w:highlight w:val="none"/>
              </w:rPr>
              <w:t>1</w:t>
            </w:r>
          </w:p>
        </w:tc>
        <w:tc>
          <w:tcPr>
            <w:tcW w:w="6004" w:type="dxa"/>
            <w:vAlign w:val="center"/>
          </w:tcPr>
          <w:p w14:paraId="27343F58">
            <w:pPr>
              <w:pStyle w:val="16"/>
              <w:pageBreakBefore w:val="0"/>
              <w:shd w:val="clear"/>
              <w:kinsoku/>
              <w:wordWrap/>
              <w:overflowPunct/>
              <w:topLinePunct w:val="0"/>
              <w:bidi w:val="0"/>
              <w:spacing w:line="240" w:lineRule="exact"/>
              <w:ind w:firstLine="192" w:firstLineChars="100"/>
              <w:textAlignment w:val="auto"/>
              <w:rPr>
                <w:sz w:val="18"/>
                <w:szCs w:val="18"/>
                <w:highlight w:val="none"/>
                <w:lang w:eastAsia="zh-CN"/>
              </w:rPr>
            </w:pPr>
            <w:r>
              <w:rPr>
                <w:spacing w:val="6"/>
                <w:sz w:val="18"/>
                <w:szCs w:val="18"/>
                <w:highlight w:val="none"/>
                <w:lang w:eastAsia="zh-CN"/>
              </w:rPr>
              <w:t>（1</w:t>
            </w:r>
            <w:r>
              <w:rPr>
                <w:rFonts w:hint="eastAsia"/>
                <w:spacing w:val="6"/>
                <w:sz w:val="18"/>
                <w:szCs w:val="18"/>
                <w:highlight w:val="none"/>
                <w:lang w:eastAsia="zh-CN"/>
              </w:rPr>
              <w:t>）</w:t>
            </w:r>
            <w:r>
              <w:rPr>
                <w:spacing w:val="6"/>
                <w:sz w:val="18"/>
                <w:szCs w:val="18"/>
                <w:highlight w:val="none"/>
                <w:lang w:eastAsia="zh-CN"/>
              </w:rPr>
              <w:t>投标人</w:t>
            </w:r>
            <w:r>
              <w:rPr>
                <w:rFonts w:hint="eastAsia"/>
                <w:spacing w:val="6"/>
                <w:sz w:val="18"/>
                <w:szCs w:val="18"/>
                <w:highlight w:val="none"/>
                <w:lang w:eastAsia="zh-CN"/>
              </w:rPr>
              <w:t>（如为联合体则为联合体牵头人）</w:t>
            </w:r>
            <w:r>
              <w:rPr>
                <w:spacing w:val="6"/>
                <w:sz w:val="18"/>
                <w:szCs w:val="18"/>
                <w:highlight w:val="none"/>
                <w:lang w:eastAsia="zh-CN"/>
              </w:rPr>
              <w:t>自有人员</w:t>
            </w:r>
            <w:r>
              <w:rPr>
                <w:rFonts w:hint="eastAsia"/>
                <w:spacing w:val="6"/>
                <w:sz w:val="18"/>
                <w:szCs w:val="18"/>
                <w:highlight w:val="none"/>
                <w:lang w:eastAsia="zh-CN"/>
              </w:rPr>
              <w:t>；</w:t>
            </w:r>
          </w:p>
          <w:p w14:paraId="1A6EE53E">
            <w:pPr>
              <w:pStyle w:val="16"/>
              <w:pageBreakBefore w:val="0"/>
              <w:shd w:val="clear"/>
              <w:kinsoku/>
              <w:wordWrap/>
              <w:overflowPunct/>
              <w:topLinePunct w:val="0"/>
              <w:bidi w:val="0"/>
              <w:spacing w:line="240" w:lineRule="exact"/>
              <w:ind w:firstLine="196" w:firstLineChars="100"/>
              <w:textAlignment w:val="auto"/>
              <w:rPr>
                <w:sz w:val="18"/>
                <w:szCs w:val="18"/>
                <w:highlight w:val="none"/>
                <w:lang w:eastAsia="zh-CN"/>
              </w:rPr>
            </w:pPr>
            <w:r>
              <w:rPr>
                <w:spacing w:val="8"/>
                <w:sz w:val="18"/>
                <w:szCs w:val="18"/>
                <w:highlight w:val="none"/>
                <w:lang w:eastAsia="zh-CN"/>
              </w:rPr>
              <w:t>（2）</w:t>
            </w:r>
            <w:r>
              <w:rPr>
                <w:spacing w:val="11"/>
                <w:sz w:val="18"/>
                <w:szCs w:val="18"/>
                <w:highlight w:val="none"/>
                <w:lang w:eastAsia="zh-CN"/>
              </w:rPr>
              <w:t>具有</w:t>
            </w:r>
            <w:r>
              <w:rPr>
                <w:spacing w:val="6"/>
                <w:sz w:val="18"/>
                <w:szCs w:val="18"/>
                <w:highlight w:val="none"/>
                <w:lang w:eastAsia="zh-CN"/>
              </w:rPr>
              <w:t>建设</w:t>
            </w:r>
            <w:r>
              <w:rPr>
                <w:spacing w:val="11"/>
                <w:sz w:val="18"/>
                <w:szCs w:val="18"/>
                <w:highlight w:val="none"/>
                <w:lang w:eastAsia="zh-CN"/>
              </w:rPr>
              <w:t>行政主管部门颁发且已经在投标</w:t>
            </w:r>
            <w:r>
              <w:rPr>
                <w:spacing w:val="10"/>
                <w:sz w:val="18"/>
                <w:szCs w:val="18"/>
                <w:highlight w:val="none"/>
                <w:lang w:eastAsia="zh-CN"/>
              </w:rPr>
              <w:t>人单位注册的</w:t>
            </w:r>
            <w:r>
              <w:rPr>
                <w:spacing w:val="-7"/>
                <w:sz w:val="18"/>
                <w:szCs w:val="18"/>
                <w:highlight w:val="none"/>
                <w:lang w:eastAsia="zh-CN"/>
              </w:rPr>
              <w:t>公路工程或机电工程</w:t>
            </w:r>
            <w:r>
              <w:rPr>
                <w:spacing w:val="-70"/>
                <w:sz w:val="18"/>
                <w:szCs w:val="18"/>
                <w:highlight w:val="none"/>
                <w:lang w:eastAsia="zh-CN"/>
              </w:rPr>
              <w:t xml:space="preserve"> </w:t>
            </w:r>
            <w:r>
              <w:rPr>
                <w:spacing w:val="-7"/>
                <w:sz w:val="18"/>
                <w:szCs w:val="18"/>
                <w:highlight w:val="none"/>
                <w:lang w:eastAsia="zh-CN"/>
              </w:rPr>
              <w:t>专业一级建造师</w:t>
            </w:r>
            <w:r>
              <w:rPr>
                <w:rFonts w:hint="eastAsia"/>
                <w:spacing w:val="-7"/>
                <w:sz w:val="18"/>
                <w:szCs w:val="18"/>
                <w:highlight w:val="none"/>
                <w:lang w:eastAsia="zh-CN"/>
              </w:rPr>
              <w:t>电子</w:t>
            </w:r>
            <w:r>
              <w:rPr>
                <w:spacing w:val="-7"/>
                <w:sz w:val="18"/>
                <w:szCs w:val="18"/>
                <w:highlight w:val="none"/>
                <w:lang w:eastAsia="zh-CN"/>
              </w:rPr>
              <w:t>注册证书；</w:t>
            </w:r>
          </w:p>
          <w:p w14:paraId="2B5D3FEF">
            <w:pPr>
              <w:pStyle w:val="16"/>
              <w:pageBreakBefore w:val="0"/>
              <w:shd w:val="clear"/>
              <w:kinsoku/>
              <w:wordWrap/>
              <w:overflowPunct/>
              <w:topLinePunct w:val="0"/>
              <w:bidi w:val="0"/>
              <w:spacing w:line="240" w:lineRule="exact"/>
              <w:ind w:firstLine="200" w:firstLineChars="100"/>
              <w:textAlignment w:val="auto"/>
              <w:rPr>
                <w:spacing w:val="5"/>
                <w:sz w:val="18"/>
                <w:szCs w:val="18"/>
                <w:highlight w:val="none"/>
                <w:lang w:eastAsia="zh-CN"/>
              </w:rPr>
            </w:pPr>
            <w:r>
              <w:rPr>
                <w:spacing w:val="10"/>
                <w:sz w:val="18"/>
                <w:szCs w:val="18"/>
                <w:highlight w:val="none"/>
                <w:lang w:eastAsia="zh-CN"/>
              </w:rPr>
              <w:t>（3）具有</w:t>
            </w:r>
            <w:r>
              <w:rPr>
                <w:spacing w:val="6"/>
                <w:sz w:val="18"/>
                <w:szCs w:val="18"/>
                <w:highlight w:val="none"/>
                <w:lang w:eastAsia="zh-CN"/>
              </w:rPr>
              <w:t>交通</w:t>
            </w:r>
            <w:r>
              <w:rPr>
                <w:spacing w:val="10"/>
                <w:sz w:val="18"/>
                <w:szCs w:val="18"/>
                <w:highlight w:val="none"/>
                <w:lang w:eastAsia="zh-CN"/>
              </w:rPr>
              <w:t>运输主管部门颁发的有效的</w:t>
            </w:r>
            <w:r>
              <w:rPr>
                <w:spacing w:val="-42"/>
                <w:sz w:val="18"/>
                <w:szCs w:val="18"/>
                <w:highlight w:val="none"/>
                <w:lang w:eastAsia="zh-CN"/>
              </w:rPr>
              <w:t xml:space="preserve"> </w:t>
            </w:r>
            <w:r>
              <w:rPr>
                <w:spacing w:val="10"/>
                <w:sz w:val="18"/>
                <w:szCs w:val="18"/>
                <w:highlight w:val="none"/>
                <w:lang w:eastAsia="zh-CN"/>
              </w:rPr>
              <w:t>B</w:t>
            </w:r>
            <w:r>
              <w:rPr>
                <w:spacing w:val="-38"/>
                <w:sz w:val="18"/>
                <w:szCs w:val="18"/>
                <w:highlight w:val="none"/>
                <w:lang w:eastAsia="zh-CN"/>
              </w:rPr>
              <w:t xml:space="preserve"> </w:t>
            </w:r>
            <w:r>
              <w:rPr>
                <w:spacing w:val="10"/>
                <w:sz w:val="18"/>
                <w:szCs w:val="18"/>
                <w:highlight w:val="none"/>
                <w:lang w:eastAsia="zh-CN"/>
              </w:rPr>
              <w:t>类安全生产考核</w:t>
            </w:r>
            <w:r>
              <w:rPr>
                <w:spacing w:val="5"/>
                <w:sz w:val="18"/>
                <w:szCs w:val="18"/>
                <w:highlight w:val="none"/>
                <w:lang w:eastAsia="zh-CN"/>
              </w:rPr>
              <w:t>合格证书。</w:t>
            </w:r>
          </w:p>
          <w:p w14:paraId="336A8772">
            <w:pPr>
              <w:pStyle w:val="16"/>
              <w:pageBreakBefore w:val="0"/>
              <w:shd w:val="clear"/>
              <w:kinsoku/>
              <w:wordWrap/>
              <w:overflowPunct/>
              <w:topLinePunct w:val="0"/>
              <w:bidi w:val="0"/>
              <w:spacing w:line="240" w:lineRule="exact"/>
              <w:ind w:firstLine="190" w:firstLineChars="100"/>
              <w:textAlignment w:val="auto"/>
              <w:rPr>
                <w:spacing w:val="5"/>
                <w:sz w:val="18"/>
                <w:szCs w:val="18"/>
                <w:highlight w:val="none"/>
                <w:lang w:eastAsia="zh-CN"/>
              </w:rPr>
            </w:pPr>
            <w:r>
              <w:rPr>
                <w:rFonts w:hint="eastAsia"/>
                <w:spacing w:val="5"/>
                <w:sz w:val="18"/>
                <w:szCs w:val="18"/>
                <w:highlight w:val="none"/>
                <w:lang w:eastAsia="zh-CN"/>
              </w:rPr>
              <w:t>（4）曾担任过一项高速公路机电工程施工的项目经理（</w:t>
            </w:r>
            <w:r>
              <w:rPr>
                <w:rFonts w:hint="eastAsia"/>
                <w:spacing w:val="9"/>
                <w:sz w:val="18"/>
                <w:szCs w:val="18"/>
                <w:highlight w:val="none"/>
                <w:lang w:eastAsia="zh-CN"/>
              </w:rPr>
              <w:t>如为高速公路综合业绩，业绩内必须体现机电工程施工内容</w:t>
            </w:r>
            <w:r>
              <w:rPr>
                <w:rFonts w:hint="eastAsia"/>
                <w:spacing w:val="5"/>
                <w:sz w:val="18"/>
                <w:szCs w:val="18"/>
                <w:highlight w:val="none"/>
                <w:lang w:eastAsia="zh-CN"/>
              </w:rPr>
              <w:t>）。</w:t>
            </w:r>
          </w:p>
        </w:tc>
        <w:tc>
          <w:tcPr>
            <w:tcW w:w="1290" w:type="dxa"/>
            <w:vMerge w:val="restart"/>
            <w:tcBorders>
              <w:right w:val="single" w:color="000000" w:sz="6" w:space="0"/>
            </w:tcBorders>
            <w:vAlign w:val="center"/>
          </w:tcPr>
          <w:p w14:paraId="18DAEF2B">
            <w:pPr>
              <w:pStyle w:val="16"/>
              <w:pageBreakBefore w:val="0"/>
              <w:shd w:val="clear"/>
              <w:kinsoku/>
              <w:wordWrap/>
              <w:overflowPunct/>
              <w:topLinePunct w:val="0"/>
              <w:bidi w:val="0"/>
              <w:spacing w:line="240" w:lineRule="exact"/>
              <w:jc w:val="center"/>
              <w:textAlignment w:val="auto"/>
              <w:rPr>
                <w:sz w:val="18"/>
                <w:szCs w:val="18"/>
                <w:highlight w:val="none"/>
                <w:lang w:eastAsia="zh-CN"/>
              </w:rPr>
            </w:pPr>
            <w:r>
              <w:rPr>
                <w:rFonts w:hint="eastAsia"/>
                <w:spacing w:val="8"/>
                <w:sz w:val="18"/>
                <w:szCs w:val="18"/>
                <w:highlight w:val="none"/>
                <w:lang w:eastAsia="zh-CN"/>
              </w:rPr>
              <w:t>无在岗项目(指目前未在其他项目上任职，或虽在其他项目上任职但本项目中标后能够从该项目撤离)。</w:t>
            </w:r>
          </w:p>
        </w:tc>
      </w:tr>
      <w:tr w14:paraId="51347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6" w:type="dxa"/>
            <w:vMerge w:val="continue"/>
            <w:tcBorders>
              <w:top w:val="nil"/>
              <w:left w:val="single" w:color="000000" w:sz="6" w:space="0"/>
              <w:bottom w:val="single" w:color="auto" w:sz="4" w:space="0"/>
            </w:tcBorders>
          </w:tcPr>
          <w:p w14:paraId="3F4ECF17">
            <w:pPr>
              <w:pageBreakBefore w:val="0"/>
              <w:shd w:val="clear"/>
              <w:kinsoku/>
              <w:wordWrap/>
              <w:overflowPunct/>
              <w:topLinePunct w:val="0"/>
              <w:bidi w:val="0"/>
              <w:spacing w:line="240" w:lineRule="exact"/>
              <w:textAlignment w:val="auto"/>
              <w:rPr>
                <w:rFonts w:ascii="Arial"/>
                <w:sz w:val="18"/>
                <w:szCs w:val="18"/>
                <w:highlight w:val="none"/>
              </w:rPr>
            </w:pPr>
          </w:p>
        </w:tc>
        <w:tc>
          <w:tcPr>
            <w:tcW w:w="1095" w:type="dxa"/>
            <w:vAlign w:val="center"/>
          </w:tcPr>
          <w:p w14:paraId="4D6B88DC">
            <w:pPr>
              <w:pStyle w:val="16"/>
              <w:pageBreakBefore w:val="0"/>
              <w:shd w:val="clear"/>
              <w:kinsoku/>
              <w:wordWrap/>
              <w:overflowPunct/>
              <w:topLinePunct w:val="0"/>
              <w:bidi w:val="0"/>
              <w:spacing w:line="240" w:lineRule="exact"/>
              <w:jc w:val="center"/>
              <w:textAlignment w:val="auto"/>
              <w:rPr>
                <w:sz w:val="18"/>
                <w:szCs w:val="18"/>
                <w:highlight w:val="none"/>
              </w:rPr>
            </w:pPr>
            <w:r>
              <w:rPr>
                <w:spacing w:val="6"/>
                <w:sz w:val="18"/>
                <w:szCs w:val="18"/>
                <w:highlight w:val="none"/>
              </w:rPr>
              <w:t>项目总工</w:t>
            </w:r>
          </w:p>
        </w:tc>
        <w:tc>
          <w:tcPr>
            <w:tcW w:w="570" w:type="dxa"/>
            <w:vAlign w:val="center"/>
          </w:tcPr>
          <w:p w14:paraId="316E4227">
            <w:pPr>
              <w:pStyle w:val="16"/>
              <w:pageBreakBefore w:val="0"/>
              <w:shd w:val="clear"/>
              <w:kinsoku/>
              <w:wordWrap/>
              <w:overflowPunct/>
              <w:topLinePunct w:val="0"/>
              <w:bidi w:val="0"/>
              <w:spacing w:line="240" w:lineRule="exact"/>
              <w:jc w:val="center"/>
              <w:textAlignment w:val="auto"/>
              <w:rPr>
                <w:sz w:val="18"/>
                <w:szCs w:val="18"/>
                <w:highlight w:val="none"/>
              </w:rPr>
            </w:pPr>
            <w:r>
              <w:rPr>
                <w:position w:val="1"/>
                <w:sz w:val="18"/>
                <w:szCs w:val="18"/>
                <w:highlight w:val="none"/>
              </w:rPr>
              <w:t>1</w:t>
            </w:r>
          </w:p>
        </w:tc>
        <w:tc>
          <w:tcPr>
            <w:tcW w:w="6004" w:type="dxa"/>
            <w:vAlign w:val="center"/>
          </w:tcPr>
          <w:p w14:paraId="6DECB106">
            <w:pPr>
              <w:pStyle w:val="16"/>
              <w:pageBreakBefore w:val="0"/>
              <w:shd w:val="clear"/>
              <w:kinsoku/>
              <w:wordWrap/>
              <w:overflowPunct/>
              <w:topLinePunct w:val="0"/>
              <w:bidi w:val="0"/>
              <w:spacing w:line="240" w:lineRule="exact"/>
              <w:ind w:firstLine="192" w:firstLineChars="100"/>
              <w:textAlignment w:val="auto"/>
              <w:rPr>
                <w:spacing w:val="6"/>
                <w:sz w:val="18"/>
                <w:szCs w:val="18"/>
                <w:highlight w:val="none"/>
                <w:lang w:eastAsia="zh-CN"/>
              </w:rPr>
            </w:pPr>
            <w:r>
              <w:rPr>
                <w:spacing w:val="6"/>
                <w:sz w:val="18"/>
                <w:szCs w:val="18"/>
                <w:highlight w:val="none"/>
                <w:lang w:eastAsia="zh-CN"/>
              </w:rPr>
              <w:t>（1）投标人</w:t>
            </w:r>
            <w:r>
              <w:rPr>
                <w:rFonts w:hint="eastAsia"/>
                <w:spacing w:val="6"/>
                <w:sz w:val="18"/>
                <w:szCs w:val="18"/>
                <w:highlight w:val="none"/>
                <w:lang w:eastAsia="zh-CN"/>
              </w:rPr>
              <w:t>（如为联合体则为联合体牵头人）</w:t>
            </w:r>
            <w:r>
              <w:rPr>
                <w:spacing w:val="6"/>
                <w:sz w:val="18"/>
                <w:szCs w:val="18"/>
                <w:highlight w:val="none"/>
                <w:lang w:eastAsia="zh-CN"/>
              </w:rPr>
              <w:t>自有人员</w:t>
            </w:r>
          </w:p>
          <w:p w14:paraId="1B90CB32">
            <w:pPr>
              <w:pStyle w:val="16"/>
              <w:pageBreakBefore w:val="0"/>
              <w:shd w:val="clear"/>
              <w:kinsoku/>
              <w:wordWrap/>
              <w:overflowPunct/>
              <w:topLinePunct w:val="0"/>
              <w:bidi w:val="0"/>
              <w:spacing w:line="240" w:lineRule="exact"/>
              <w:ind w:firstLine="192" w:firstLineChars="100"/>
              <w:jc w:val="left"/>
              <w:textAlignment w:val="auto"/>
              <w:rPr>
                <w:spacing w:val="8"/>
                <w:sz w:val="18"/>
                <w:szCs w:val="18"/>
                <w:highlight w:val="none"/>
                <w:lang w:eastAsia="zh-CN"/>
              </w:rPr>
            </w:pPr>
            <w:r>
              <w:rPr>
                <w:spacing w:val="6"/>
                <w:sz w:val="18"/>
                <w:szCs w:val="18"/>
                <w:highlight w:val="none"/>
                <w:lang w:eastAsia="zh-CN"/>
              </w:rPr>
              <w:t>（</w:t>
            </w:r>
            <w:r>
              <w:rPr>
                <w:rFonts w:hint="eastAsia"/>
                <w:spacing w:val="6"/>
                <w:sz w:val="18"/>
                <w:szCs w:val="18"/>
                <w:highlight w:val="none"/>
                <w:lang w:eastAsia="zh-CN"/>
              </w:rPr>
              <w:t>2</w:t>
            </w:r>
            <w:r>
              <w:rPr>
                <w:spacing w:val="6"/>
                <w:sz w:val="18"/>
                <w:szCs w:val="18"/>
                <w:highlight w:val="none"/>
                <w:lang w:eastAsia="zh-CN"/>
              </w:rPr>
              <w:t>）</w:t>
            </w:r>
            <w:r>
              <w:rPr>
                <w:spacing w:val="11"/>
                <w:sz w:val="18"/>
                <w:szCs w:val="18"/>
                <w:highlight w:val="none"/>
                <w:lang w:eastAsia="zh-CN"/>
              </w:rPr>
              <w:t>具</w:t>
            </w:r>
            <w:r>
              <w:rPr>
                <w:rFonts w:hint="eastAsia"/>
                <w:spacing w:val="11"/>
                <w:sz w:val="18"/>
                <w:szCs w:val="18"/>
                <w:highlight w:val="none"/>
                <w:lang w:eastAsia="zh-CN"/>
              </w:rPr>
              <w:t>有</w:t>
            </w:r>
            <w:r>
              <w:rPr>
                <w:spacing w:val="6"/>
                <w:sz w:val="18"/>
                <w:szCs w:val="18"/>
                <w:highlight w:val="none"/>
                <w:lang w:eastAsia="zh-CN"/>
              </w:rPr>
              <w:t>公</w:t>
            </w:r>
            <w:r>
              <w:rPr>
                <w:spacing w:val="8"/>
                <w:sz w:val="18"/>
                <w:szCs w:val="18"/>
                <w:highlight w:val="none"/>
                <w:lang w:eastAsia="zh-CN"/>
              </w:rPr>
              <w:t>路工程</w:t>
            </w:r>
            <w:r>
              <w:rPr>
                <w:rFonts w:hint="eastAsia"/>
                <w:spacing w:val="8"/>
                <w:sz w:val="18"/>
                <w:szCs w:val="18"/>
                <w:highlight w:val="none"/>
                <w:lang w:eastAsia="zh-CN"/>
              </w:rPr>
              <w:t>相关专业</w:t>
            </w:r>
            <w:r>
              <w:rPr>
                <w:spacing w:val="8"/>
                <w:sz w:val="18"/>
                <w:szCs w:val="18"/>
                <w:highlight w:val="none"/>
                <w:lang w:eastAsia="zh-CN"/>
              </w:rPr>
              <w:t>或机电工程相关专业高级</w:t>
            </w:r>
            <w:r>
              <w:rPr>
                <w:rFonts w:hint="eastAsia"/>
                <w:spacing w:val="8"/>
                <w:sz w:val="18"/>
                <w:szCs w:val="18"/>
                <w:highlight w:val="none"/>
                <w:lang w:eastAsia="zh-CN"/>
              </w:rPr>
              <w:t>技术</w:t>
            </w:r>
            <w:r>
              <w:rPr>
                <w:spacing w:val="8"/>
                <w:sz w:val="18"/>
                <w:szCs w:val="18"/>
                <w:highlight w:val="none"/>
                <w:lang w:eastAsia="zh-CN"/>
              </w:rPr>
              <w:t>职称。</w:t>
            </w:r>
          </w:p>
          <w:p w14:paraId="1CD00519">
            <w:pPr>
              <w:pStyle w:val="16"/>
              <w:pageBreakBefore w:val="0"/>
              <w:shd w:val="clear"/>
              <w:kinsoku/>
              <w:wordWrap/>
              <w:overflowPunct/>
              <w:topLinePunct w:val="0"/>
              <w:bidi w:val="0"/>
              <w:spacing w:line="240" w:lineRule="exact"/>
              <w:ind w:firstLine="196" w:firstLineChars="100"/>
              <w:textAlignment w:val="auto"/>
              <w:rPr>
                <w:sz w:val="18"/>
                <w:szCs w:val="18"/>
                <w:highlight w:val="none"/>
                <w:lang w:eastAsia="zh-CN"/>
              </w:rPr>
            </w:pPr>
            <w:r>
              <w:rPr>
                <w:rFonts w:hint="eastAsia"/>
                <w:spacing w:val="8"/>
                <w:sz w:val="18"/>
                <w:szCs w:val="18"/>
                <w:highlight w:val="none"/>
                <w:lang w:eastAsia="zh-CN"/>
              </w:rPr>
              <w:t>（3）</w:t>
            </w:r>
            <w:r>
              <w:rPr>
                <w:rFonts w:hint="eastAsia"/>
                <w:spacing w:val="5"/>
                <w:sz w:val="18"/>
                <w:szCs w:val="18"/>
                <w:highlight w:val="none"/>
                <w:lang w:eastAsia="zh-CN"/>
              </w:rPr>
              <w:t>曾担任过一项高速公路机电工程施工的</w:t>
            </w:r>
            <w:r>
              <w:rPr>
                <w:rFonts w:hint="eastAsia"/>
                <w:spacing w:val="8"/>
                <w:sz w:val="18"/>
                <w:szCs w:val="18"/>
                <w:highlight w:val="none"/>
                <w:lang w:eastAsia="zh-CN"/>
              </w:rPr>
              <w:t>项目总工</w:t>
            </w:r>
            <w:r>
              <w:rPr>
                <w:rFonts w:hint="eastAsia"/>
                <w:spacing w:val="5"/>
                <w:sz w:val="18"/>
                <w:szCs w:val="18"/>
                <w:highlight w:val="none"/>
                <w:lang w:eastAsia="zh-CN"/>
              </w:rPr>
              <w:t>（</w:t>
            </w:r>
            <w:r>
              <w:rPr>
                <w:rFonts w:hint="eastAsia"/>
                <w:spacing w:val="9"/>
                <w:sz w:val="18"/>
                <w:szCs w:val="18"/>
                <w:highlight w:val="none"/>
                <w:lang w:eastAsia="zh-CN"/>
              </w:rPr>
              <w:t>如为高速公路综合业绩，业绩内必须体现机电工程施工内容</w:t>
            </w:r>
            <w:r>
              <w:rPr>
                <w:rFonts w:hint="eastAsia"/>
                <w:spacing w:val="5"/>
                <w:sz w:val="18"/>
                <w:szCs w:val="18"/>
                <w:highlight w:val="none"/>
                <w:lang w:eastAsia="zh-CN"/>
              </w:rPr>
              <w:t>）</w:t>
            </w:r>
            <w:r>
              <w:rPr>
                <w:rFonts w:hint="eastAsia"/>
                <w:spacing w:val="8"/>
                <w:sz w:val="18"/>
                <w:szCs w:val="18"/>
                <w:highlight w:val="none"/>
                <w:lang w:eastAsia="zh-CN"/>
              </w:rPr>
              <w:t>。</w:t>
            </w:r>
          </w:p>
        </w:tc>
        <w:tc>
          <w:tcPr>
            <w:tcW w:w="1290" w:type="dxa"/>
            <w:vMerge w:val="continue"/>
            <w:tcBorders>
              <w:right w:val="single" w:color="000000" w:sz="6" w:space="0"/>
            </w:tcBorders>
          </w:tcPr>
          <w:p w14:paraId="736051F1">
            <w:pPr>
              <w:pageBreakBefore w:val="0"/>
              <w:shd w:val="clear"/>
              <w:kinsoku/>
              <w:wordWrap/>
              <w:overflowPunct/>
              <w:topLinePunct w:val="0"/>
              <w:bidi w:val="0"/>
              <w:spacing w:line="240" w:lineRule="exact"/>
              <w:textAlignment w:val="auto"/>
              <w:rPr>
                <w:rFonts w:ascii="Arial"/>
                <w:sz w:val="18"/>
                <w:szCs w:val="18"/>
                <w:highlight w:val="none"/>
              </w:rPr>
            </w:pPr>
          </w:p>
        </w:tc>
      </w:tr>
    </w:tbl>
    <w:p w14:paraId="65CA964E">
      <w:pPr>
        <w:pageBreakBefore w:val="0"/>
        <w:shd w:val="clear"/>
        <w:kinsoku/>
        <w:wordWrap/>
        <w:overflowPunct/>
        <w:topLinePunct w:val="0"/>
        <w:bidi w:val="0"/>
        <w:spacing w:line="240" w:lineRule="exact"/>
        <w:textAlignment w:val="auto"/>
        <w:rPr>
          <w:rFonts w:ascii="楷体" w:hAnsi="楷体" w:eastAsia="楷体"/>
          <w:sz w:val="18"/>
          <w:szCs w:val="18"/>
          <w:highlight w:val="none"/>
        </w:rPr>
      </w:pPr>
      <w:r>
        <w:rPr>
          <w:rFonts w:hint="eastAsia" w:ascii="楷体" w:hAnsi="楷体" w:eastAsia="楷体"/>
          <w:sz w:val="18"/>
          <w:szCs w:val="18"/>
          <w:highlight w:val="none"/>
        </w:rPr>
        <w:t>注：①项目经理和项目总工不得互相兼职。</w:t>
      </w:r>
    </w:p>
    <w:p w14:paraId="27F52C11">
      <w:pPr>
        <w:pageBreakBefore w:val="0"/>
        <w:shd w:val="clear"/>
        <w:kinsoku/>
        <w:wordWrap/>
        <w:overflowPunct/>
        <w:topLinePunct w:val="0"/>
        <w:bidi w:val="0"/>
        <w:spacing w:line="240" w:lineRule="exact"/>
        <w:ind w:firstLine="420"/>
        <w:textAlignment w:val="auto"/>
        <w:rPr>
          <w:rFonts w:ascii="楷体" w:hAnsi="楷体" w:eastAsia="楷体"/>
          <w:sz w:val="18"/>
          <w:szCs w:val="18"/>
          <w:highlight w:val="none"/>
          <w:lang w:val="zh-CN"/>
        </w:rPr>
      </w:pPr>
      <w:r>
        <w:rPr>
          <w:rFonts w:hint="eastAsia" w:ascii="楷体" w:hAnsi="楷体" w:eastAsia="楷体"/>
          <w:sz w:val="18"/>
          <w:szCs w:val="18"/>
          <w:highlight w:val="none"/>
        </w:rPr>
        <w:t>②“投标人自有人员”指投标人为其申报社会保险登记，并为其缴纳社会保险费的人员。</w:t>
      </w:r>
    </w:p>
    <w:p w14:paraId="3D7D0F06">
      <w:pPr>
        <w:pageBreakBefore w:val="0"/>
        <w:shd w:val="clear"/>
        <w:kinsoku/>
        <w:wordWrap/>
        <w:overflowPunct/>
        <w:topLinePunct w:val="0"/>
        <w:bidi w:val="0"/>
        <w:spacing w:line="240" w:lineRule="exact"/>
        <w:ind w:firstLine="420"/>
        <w:textAlignment w:val="auto"/>
        <w:rPr>
          <w:rFonts w:hint="eastAsia" w:ascii="楷体" w:hAnsi="楷体" w:eastAsia="楷体"/>
          <w:sz w:val="18"/>
          <w:szCs w:val="18"/>
          <w:highlight w:val="none"/>
        </w:rPr>
      </w:pPr>
      <w:r>
        <w:rPr>
          <w:rFonts w:hint="eastAsia" w:ascii="楷体" w:hAnsi="楷体" w:eastAsia="楷体"/>
          <w:sz w:val="18"/>
          <w:szCs w:val="18"/>
          <w:highlight w:val="none"/>
        </w:rPr>
        <w:t>③公路工程相关专业职称包括公路工程、桥梁工程、公路与桥梁工程、交通土建、隧道（地下结构）工程、交通工程等专业职称；机电工程相关专业职称包括计算机、电子、通信、 自动化、电气等；如职称证上无专业，则以毕业证上的专业为准。</w:t>
      </w:r>
      <w:bookmarkEnd w:id="1"/>
      <w:bookmarkEnd w:id="2"/>
      <w:bookmarkEnd w:id="3"/>
      <w:bookmarkEnd w:id="4"/>
      <w:bookmarkEnd w:id="5"/>
      <w:bookmarkEnd w:id="6"/>
      <w:bookmarkEnd w:id="7"/>
      <w:bookmarkEnd w:id="8"/>
    </w:p>
    <w:p w14:paraId="113A9D9B">
      <w:pPr>
        <w:pageBreakBefore w:val="0"/>
        <w:shd w:val="clear"/>
        <w:kinsoku/>
        <w:wordWrap/>
        <w:overflowPunct/>
        <w:topLinePunct w:val="0"/>
        <w:bidi w:val="0"/>
        <w:spacing w:before="322" w:line="240" w:lineRule="exact"/>
        <w:jc w:val="center"/>
        <w:textAlignment w:val="auto"/>
        <w:outlineLvl w:val="2"/>
        <w:rPr>
          <w:rFonts w:hint="eastAsia" w:ascii="宋体" w:hAnsi="宋体" w:eastAsia="宋体" w:cs="宋体"/>
          <w:b/>
          <w:bCs/>
          <w:sz w:val="18"/>
          <w:szCs w:val="18"/>
          <w:highlight w:val="none"/>
          <w:lang w:val="zh-CN"/>
        </w:rPr>
      </w:pPr>
      <w:r>
        <w:rPr>
          <w:rFonts w:hint="eastAsia" w:ascii="宋体" w:hAnsi="宋体" w:eastAsia="宋体" w:cs="宋体"/>
          <w:b/>
          <w:bCs/>
          <w:sz w:val="18"/>
          <w:szCs w:val="18"/>
          <w:highlight w:val="none"/>
          <w:lang w:val="zh-CN" w:eastAsia="zh-CN"/>
        </w:rPr>
        <w:t>附录6</w:t>
      </w:r>
      <w:r>
        <w:rPr>
          <w:rFonts w:hint="eastAsia" w:ascii="宋体" w:hAnsi="宋体" w:eastAsia="宋体" w:cs="宋体"/>
          <w:b/>
          <w:bCs/>
          <w:sz w:val="18"/>
          <w:szCs w:val="18"/>
          <w:highlight w:val="none"/>
          <w:lang w:val="zh-CN"/>
        </w:rPr>
        <w:t xml:space="preserve"> 资格审查条件（其他联合体成员主要负责人最低要求）</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5"/>
        <w:gridCol w:w="1388"/>
        <w:gridCol w:w="5542"/>
      </w:tblGrid>
      <w:tr w14:paraId="3522B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484" w:type="pct"/>
            <w:vAlign w:val="center"/>
          </w:tcPr>
          <w:p w14:paraId="4025A2B9">
            <w:pPr>
              <w:keepNext w:val="0"/>
              <w:keepLines w:val="0"/>
              <w:pageBreakBefore w:val="0"/>
              <w:suppressLineNumbers w:val="0"/>
              <w:shd w:val="clear"/>
              <w:kinsoku/>
              <w:wordWrap/>
              <w:overflowPunct/>
              <w:topLinePunct w:val="0"/>
              <w:bidi w:val="0"/>
              <w:snapToGrid w:val="0"/>
              <w:spacing w:before="0" w:beforeAutospacing="0" w:after="0" w:afterAutospacing="0" w:line="240" w:lineRule="exact"/>
              <w:ind w:left="0" w:right="0"/>
              <w:jc w:val="center"/>
              <w:textAlignment w:val="auto"/>
              <w:rPr>
                <w:rFonts w:hint="default" w:ascii="宋体" w:hAnsi="宋体"/>
                <w:sz w:val="18"/>
                <w:szCs w:val="18"/>
                <w:highlight w:val="none"/>
              </w:rPr>
            </w:pPr>
            <w:r>
              <w:rPr>
                <w:rFonts w:hint="eastAsia" w:ascii="宋体" w:hAnsi="宋体"/>
                <w:sz w:val="18"/>
                <w:szCs w:val="18"/>
                <w:highlight w:val="none"/>
              </w:rPr>
              <w:t>人员</w:t>
            </w:r>
          </w:p>
        </w:tc>
        <w:tc>
          <w:tcPr>
            <w:tcW w:w="704" w:type="pct"/>
            <w:vAlign w:val="center"/>
          </w:tcPr>
          <w:p w14:paraId="7EE05883">
            <w:pPr>
              <w:keepNext w:val="0"/>
              <w:keepLines w:val="0"/>
              <w:pageBreakBefore w:val="0"/>
              <w:suppressLineNumbers w:val="0"/>
              <w:shd w:val="clear"/>
              <w:kinsoku/>
              <w:wordWrap/>
              <w:overflowPunct/>
              <w:topLinePunct w:val="0"/>
              <w:bidi w:val="0"/>
              <w:snapToGrid w:val="0"/>
              <w:spacing w:before="0" w:beforeAutospacing="0" w:after="0" w:afterAutospacing="0" w:line="240" w:lineRule="exact"/>
              <w:ind w:left="0" w:right="0"/>
              <w:jc w:val="center"/>
              <w:textAlignment w:val="auto"/>
              <w:rPr>
                <w:rFonts w:hint="default" w:ascii="宋体" w:hAnsi="宋体"/>
                <w:sz w:val="18"/>
                <w:szCs w:val="18"/>
                <w:highlight w:val="none"/>
              </w:rPr>
            </w:pPr>
            <w:r>
              <w:rPr>
                <w:rFonts w:hint="eastAsia" w:ascii="宋体" w:hAnsi="宋体"/>
                <w:sz w:val="18"/>
                <w:szCs w:val="18"/>
                <w:highlight w:val="none"/>
              </w:rPr>
              <w:t>数量</w:t>
            </w:r>
          </w:p>
        </w:tc>
        <w:tc>
          <w:tcPr>
            <w:tcW w:w="2812" w:type="pct"/>
            <w:vAlign w:val="center"/>
          </w:tcPr>
          <w:p w14:paraId="7FB09A77">
            <w:pPr>
              <w:keepNext w:val="0"/>
              <w:keepLines w:val="0"/>
              <w:pageBreakBefore w:val="0"/>
              <w:suppressLineNumbers w:val="0"/>
              <w:shd w:val="clear"/>
              <w:kinsoku/>
              <w:wordWrap/>
              <w:overflowPunct/>
              <w:topLinePunct w:val="0"/>
              <w:bidi w:val="0"/>
              <w:snapToGrid w:val="0"/>
              <w:spacing w:before="0" w:beforeAutospacing="0" w:after="0" w:afterAutospacing="0" w:line="240" w:lineRule="exact"/>
              <w:ind w:left="0" w:right="0"/>
              <w:jc w:val="center"/>
              <w:textAlignment w:val="auto"/>
              <w:rPr>
                <w:rFonts w:hint="default" w:ascii="宋体" w:hAnsi="宋体"/>
                <w:sz w:val="18"/>
                <w:szCs w:val="18"/>
                <w:highlight w:val="none"/>
              </w:rPr>
            </w:pPr>
            <w:r>
              <w:rPr>
                <w:rFonts w:hint="eastAsia" w:ascii="宋体" w:hAnsi="宋体"/>
                <w:sz w:val="18"/>
                <w:szCs w:val="18"/>
                <w:highlight w:val="none"/>
              </w:rPr>
              <w:t>资格要求</w:t>
            </w:r>
          </w:p>
        </w:tc>
      </w:tr>
      <w:tr w14:paraId="25D99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1484" w:type="pct"/>
            <w:vAlign w:val="center"/>
          </w:tcPr>
          <w:p w14:paraId="0EF6E55B">
            <w:pPr>
              <w:keepNext w:val="0"/>
              <w:keepLines w:val="0"/>
              <w:pageBreakBefore w:val="0"/>
              <w:suppressLineNumbers w:val="0"/>
              <w:shd w:val="clear"/>
              <w:kinsoku/>
              <w:wordWrap/>
              <w:overflowPunct/>
              <w:topLinePunct w:val="0"/>
              <w:bidi w:val="0"/>
              <w:snapToGrid w:val="0"/>
              <w:spacing w:before="0" w:beforeAutospacing="0" w:after="0" w:afterAutospacing="0" w:line="240" w:lineRule="exact"/>
              <w:ind w:left="0" w:right="0"/>
              <w:jc w:val="center"/>
              <w:textAlignment w:val="auto"/>
              <w:rPr>
                <w:rFonts w:hint="default" w:ascii="宋体" w:hAnsi="宋体"/>
                <w:sz w:val="18"/>
                <w:szCs w:val="18"/>
                <w:highlight w:val="none"/>
              </w:rPr>
            </w:pPr>
            <w:r>
              <w:rPr>
                <w:rFonts w:hint="eastAsia" w:ascii="宋体" w:hAnsi="宋体"/>
                <w:sz w:val="18"/>
                <w:szCs w:val="18"/>
                <w:highlight w:val="none"/>
              </w:rPr>
              <w:t>其他联合体成员</w:t>
            </w:r>
          </w:p>
          <w:p w14:paraId="30C98643">
            <w:pPr>
              <w:keepNext w:val="0"/>
              <w:keepLines w:val="0"/>
              <w:pageBreakBefore w:val="0"/>
              <w:suppressLineNumbers w:val="0"/>
              <w:shd w:val="clear"/>
              <w:kinsoku/>
              <w:wordWrap/>
              <w:overflowPunct/>
              <w:topLinePunct w:val="0"/>
              <w:bidi w:val="0"/>
              <w:snapToGrid w:val="0"/>
              <w:spacing w:before="0" w:beforeAutospacing="0" w:after="0" w:afterAutospacing="0" w:line="240" w:lineRule="exact"/>
              <w:ind w:left="0" w:right="0"/>
              <w:jc w:val="center"/>
              <w:textAlignment w:val="auto"/>
              <w:rPr>
                <w:rFonts w:hint="default" w:ascii="宋体" w:hAnsi="宋体"/>
                <w:sz w:val="18"/>
                <w:szCs w:val="18"/>
                <w:highlight w:val="none"/>
              </w:rPr>
            </w:pPr>
            <w:r>
              <w:rPr>
                <w:rFonts w:hint="eastAsia" w:ascii="宋体" w:hAnsi="宋体"/>
                <w:sz w:val="18"/>
                <w:szCs w:val="18"/>
                <w:highlight w:val="none"/>
              </w:rPr>
              <w:t>施工负责人</w:t>
            </w:r>
          </w:p>
        </w:tc>
        <w:tc>
          <w:tcPr>
            <w:tcW w:w="704" w:type="pct"/>
            <w:vAlign w:val="center"/>
          </w:tcPr>
          <w:p w14:paraId="3E3086A4">
            <w:pPr>
              <w:keepNext w:val="0"/>
              <w:keepLines w:val="0"/>
              <w:pageBreakBefore w:val="0"/>
              <w:suppressLineNumbers w:val="0"/>
              <w:shd w:val="clear"/>
              <w:kinsoku/>
              <w:wordWrap/>
              <w:overflowPunct/>
              <w:topLinePunct w:val="0"/>
              <w:bidi w:val="0"/>
              <w:snapToGrid w:val="0"/>
              <w:spacing w:before="0" w:beforeAutospacing="0" w:after="0" w:afterAutospacing="0" w:line="240" w:lineRule="exact"/>
              <w:ind w:left="0" w:right="0"/>
              <w:jc w:val="center"/>
              <w:textAlignment w:val="auto"/>
              <w:rPr>
                <w:rFonts w:hint="default" w:ascii="宋体" w:hAnsi="宋体"/>
                <w:sz w:val="18"/>
                <w:szCs w:val="18"/>
                <w:highlight w:val="none"/>
              </w:rPr>
            </w:pPr>
            <w:r>
              <w:rPr>
                <w:rFonts w:hint="eastAsia" w:ascii="宋体" w:hAnsi="宋体"/>
                <w:sz w:val="18"/>
                <w:szCs w:val="18"/>
                <w:highlight w:val="none"/>
              </w:rPr>
              <w:t>以不低于其他联合体成员数量填报</w:t>
            </w:r>
          </w:p>
        </w:tc>
        <w:tc>
          <w:tcPr>
            <w:tcW w:w="2812" w:type="pct"/>
            <w:vAlign w:val="center"/>
          </w:tcPr>
          <w:p w14:paraId="66AA144C">
            <w:pPr>
              <w:keepNext w:val="0"/>
              <w:keepLines w:val="0"/>
              <w:pageBreakBefore w:val="0"/>
              <w:suppressLineNumbers w:val="0"/>
              <w:shd w:val="clear"/>
              <w:kinsoku/>
              <w:wordWrap/>
              <w:overflowPunct/>
              <w:topLinePunct w:val="0"/>
              <w:bidi w:val="0"/>
              <w:snapToGrid w:val="0"/>
              <w:spacing w:before="0" w:beforeAutospacing="0" w:after="0" w:afterAutospacing="0" w:line="240" w:lineRule="exact"/>
              <w:ind w:left="0" w:right="0"/>
              <w:jc w:val="left"/>
              <w:textAlignment w:val="auto"/>
              <w:rPr>
                <w:rFonts w:hint="default" w:ascii="宋体" w:hAnsi="宋体"/>
                <w:sz w:val="18"/>
                <w:szCs w:val="18"/>
                <w:highlight w:val="none"/>
              </w:rPr>
            </w:pPr>
            <w:r>
              <w:rPr>
                <w:rFonts w:hint="eastAsia" w:ascii="宋体" w:hAnsi="宋体"/>
                <w:sz w:val="18"/>
                <w:szCs w:val="18"/>
                <w:highlight w:val="none"/>
              </w:rPr>
              <w:t>承担公路机电工程、公路安全设施施工任务的其他联合体成员委派的施工负责人，按其所承担的专业工程，具有建设行政主管部门颁发的公路工程或机电工程专业一级建造师电子注册证书，且具有交通运输主管部门颁发的有效的B类安全生产考核合格证书。</w:t>
            </w:r>
          </w:p>
        </w:tc>
      </w:tr>
      <w:tr w14:paraId="3E9A5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484" w:type="pct"/>
            <w:vAlign w:val="center"/>
          </w:tcPr>
          <w:p w14:paraId="2755C746">
            <w:pPr>
              <w:keepNext w:val="0"/>
              <w:keepLines w:val="0"/>
              <w:pageBreakBefore w:val="0"/>
              <w:suppressLineNumbers w:val="0"/>
              <w:shd w:val="clear"/>
              <w:kinsoku/>
              <w:wordWrap/>
              <w:overflowPunct/>
              <w:topLinePunct w:val="0"/>
              <w:bidi w:val="0"/>
              <w:snapToGrid w:val="0"/>
              <w:spacing w:before="0" w:beforeAutospacing="0" w:after="0" w:afterAutospacing="0" w:line="240" w:lineRule="exact"/>
              <w:ind w:left="0" w:right="0"/>
              <w:jc w:val="center"/>
              <w:textAlignment w:val="auto"/>
              <w:rPr>
                <w:rFonts w:hint="default" w:ascii="宋体" w:hAnsi="宋体"/>
                <w:sz w:val="18"/>
                <w:szCs w:val="18"/>
                <w:highlight w:val="none"/>
              </w:rPr>
            </w:pPr>
            <w:r>
              <w:rPr>
                <w:rFonts w:hint="eastAsia" w:ascii="宋体" w:hAnsi="宋体"/>
                <w:sz w:val="18"/>
                <w:szCs w:val="18"/>
                <w:highlight w:val="none"/>
              </w:rPr>
              <w:t>其他联合体成员</w:t>
            </w:r>
          </w:p>
          <w:p w14:paraId="20CA996E">
            <w:pPr>
              <w:keepNext w:val="0"/>
              <w:keepLines w:val="0"/>
              <w:pageBreakBefore w:val="0"/>
              <w:suppressLineNumbers w:val="0"/>
              <w:shd w:val="clear"/>
              <w:kinsoku/>
              <w:wordWrap/>
              <w:overflowPunct/>
              <w:topLinePunct w:val="0"/>
              <w:bidi w:val="0"/>
              <w:snapToGrid w:val="0"/>
              <w:spacing w:before="0" w:beforeAutospacing="0" w:after="0" w:afterAutospacing="0" w:line="240" w:lineRule="exact"/>
              <w:ind w:left="0" w:right="0"/>
              <w:jc w:val="center"/>
              <w:textAlignment w:val="auto"/>
              <w:rPr>
                <w:rFonts w:hint="default" w:ascii="宋体" w:hAnsi="宋体"/>
                <w:sz w:val="18"/>
                <w:szCs w:val="18"/>
                <w:highlight w:val="none"/>
              </w:rPr>
            </w:pPr>
            <w:r>
              <w:rPr>
                <w:rFonts w:hint="eastAsia" w:ascii="宋体" w:hAnsi="宋体"/>
                <w:sz w:val="18"/>
                <w:szCs w:val="18"/>
                <w:highlight w:val="none"/>
              </w:rPr>
              <w:t>技术负责人</w:t>
            </w:r>
          </w:p>
        </w:tc>
        <w:tc>
          <w:tcPr>
            <w:tcW w:w="704" w:type="pct"/>
            <w:vAlign w:val="center"/>
          </w:tcPr>
          <w:p w14:paraId="176CD200">
            <w:pPr>
              <w:keepNext w:val="0"/>
              <w:keepLines w:val="0"/>
              <w:pageBreakBefore w:val="0"/>
              <w:suppressLineNumbers w:val="0"/>
              <w:shd w:val="clear"/>
              <w:kinsoku/>
              <w:wordWrap/>
              <w:overflowPunct/>
              <w:topLinePunct w:val="0"/>
              <w:bidi w:val="0"/>
              <w:snapToGrid w:val="0"/>
              <w:spacing w:before="0" w:beforeAutospacing="0" w:after="0" w:afterAutospacing="0" w:line="240" w:lineRule="exact"/>
              <w:ind w:left="0" w:right="0"/>
              <w:jc w:val="center"/>
              <w:textAlignment w:val="auto"/>
              <w:rPr>
                <w:rFonts w:hint="default" w:ascii="宋体" w:hAnsi="宋体"/>
                <w:sz w:val="18"/>
                <w:szCs w:val="18"/>
                <w:highlight w:val="none"/>
              </w:rPr>
            </w:pPr>
            <w:r>
              <w:rPr>
                <w:rFonts w:hint="eastAsia" w:ascii="宋体" w:hAnsi="宋体"/>
                <w:sz w:val="18"/>
                <w:szCs w:val="18"/>
                <w:highlight w:val="none"/>
              </w:rPr>
              <w:t>以不低于其他联合体成员数量填报</w:t>
            </w:r>
          </w:p>
        </w:tc>
        <w:tc>
          <w:tcPr>
            <w:tcW w:w="2812" w:type="pct"/>
            <w:vAlign w:val="center"/>
          </w:tcPr>
          <w:p w14:paraId="44C116F4">
            <w:pPr>
              <w:keepNext w:val="0"/>
              <w:keepLines w:val="0"/>
              <w:pageBreakBefore w:val="0"/>
              <w:suppressLineNumbers w:val="0"/>
              <w:shd w:val="clear"/>
              <w:kinsoku/>
              <w:wordWrap/>
              <w:overflowPunct/>
              <w:topLinePunct w:val="0"/>
              <w:bidi w:val="0"/>
              <w:snapToGrid w:val="0"/>
              <w:spacing w:before="0" w:beforeAutospacing="0" w:after="0" w:afterAutospacing="0" w:line="240" w:lineRule="exact"/>
              <w:ind w:left="0" w:right="0"/>
              <w:jc w:val="left"/>
              <w:textAlignment w:val="auto"/>
              <w:rPr>
                <w:rFonts w:hint="default" w:ascii="宋体" w:hAnsi="宋体"/>
                <w:sz w:val="18"/>
                <w:szCs w:val="18"/>
                <w:highlight w:val="none"/>
              </w:rPr>
            </w:pPr>
            <w:r>
              <w:rPr>
                <w:rFonts w:hint="eastAsia" w:ascii="宋体" w:hAnsi="宋体"/>
                <w:sz w:val="18"/>
                <w:szCs w:val="18"/>
                <w:highlight w:val="none"/>
              </w:rPr>
              <w:t>承担公路机电工程、公路安全设施施工任务的其他联合体成员委派的技术负责人，具有公路工程相关专业或机电工程相关专业高级技术职称。</w:t>
            </w:r>
          </w:p>
        </w:tc>
      </w:tr>
    </w:tbl>
    <w:p w14:paraId="4209467D">
      <w:pPr>
        <w:pageBreakBefore w:val="0"/>
        <w:shd w:val="clear"/>
        <w:kinsoku/>
        <w:wordWrap/>
        <w:overflowPunct/>
        <w:topLinePunct w:val="0"/>
        <w:bidi w:val="0"/>
        <w:spacing w:line="240" w:lineRule="exact"/>
        <w:ind w:firstLine="420"/>
        <w:textAlignment w:val="auto"/>
        <w:rPr>
          <w:rFonts w:ascii="楷体" w:hAnsi="楷体" w:eastAsia="楷体"/>
          <w:sz w:val="18"/>
          <w:szCs w:val="18"/>
          <w:highlight w:val="none"/>
        </w:rPr>
      </w:pPr>
    </w:p>
    <w:p w14:paraId="78E203EC">
      <w:pPr>
        <w:pageBreakBefore w:val="0"/>
        <w:shd w:val="clear"/>
        <w:kinsoku/>
        <w:wordWrap/>
        <w:overflowPunct/>
        <w:topLinePunct w:val="0"/>
        <w:bidi w:val="0"/>
        <w:spacing w:line="240" w:lineRule="exact"/>
        <w:ind w:firstLine="420"/>
        <w:textAlignment w:val="auto"/>
        <w:rPr>
          <w:rFonts w:ascii="楷体" w:hAnsi="楷体" w:eastAsia="楷体"/>
          <w:sz w:val="18"/>
          <w:szCs w:val="18"/>
          <w:highlight w:val="none"/>
        </w:rPr>
      </w:pPr>
      <w:r>
        <w:rPr>
          <w:rFonts w:hint="eastAsia" w:ascii="楷体" w:hAnsi="楷体" w:eastAsia="楷体"/>
          <w:sz w:val="18"/>
          <w:szCs w:val="18"/>
          <w:highlight w:val="none"/>
        </w:rPr>
        <w:t>注：①本表仅适用于以联合体形式投标的投标人，独立投标人无需填报。</w:t>
      </w:r>
    </w:p>
    <w:p w14:paraId="11BD5EC3">
      <w:pPr>
        <w:pageBreakBefore w:val="0"/>
        <w:shd w:val="clear"/>
        <w:kinsoku/>
        <w:wordWrap/>
        <w:overflowPunct/>
        <w:topLinePunct w:val="0"/>
        <w:bidi w:val="0"/>
        <w:spacing w:line="240" w:lineRule="exact"/>
        <w:ind w:firstLine="720" w:firstLineChars="400"/>
        <w:textAlignment w:val="auto"/>
        <w:rPr>
          <w:rFonts w:hint="eastAsia" w:ascii="楷体" w:hAnsi="楷体" w:eastAsia="楷体"/>
          <w:sz w:val="18"/>
          <w:szCs w:val="18"/>
          <w:highlight w:val="none"/>
        </w:rPr>
      </w:pPr>
      <w:r>
        <w:rPr>
          <w:rFonts w:hint="eastAsia" w:ascii="楷体" w:hAnsi="楷体" w:eastAsia="楷体"/>
          <w:sz w:val="18"/>
          <w:szCs w:val="18"/>
          <w:highlight w:val="none"/>
        </w:rPr>
        <w:t>②</w:t>
      </w:r>
      <w:r>
        <w:rPr>
          <w:rFonts w:hint="eastAsia" w:ascii="楷体" w:hAnsi="楷体" w:eastAsia="楷体"/>
          <w:sz w:val="18"/>
          <w:szCs w:val="18"/>
          <w:highlight w:val="none"/>
          <w:lang w:val="zh-CN"/>
        </w:rPr>
        <w:t>主要负责人</w:t>
      </w:r>
      <w:r>
        <w:rPr>
          <w:rFonts w:hint="eastAsia" w:ascii="楷体" w:hAnsi="楷体" w:eastAsia="楷体"/>
          <w:sz w:val="18"/>
          <w:szCs w:val="18"/>
          <w:highlight w:val="none"/>
          <w:lang w:val="en-US" w:eastAsia="zh-CN"/>
        </w:rPr>
        <w:t>为其他联合体成员的</w:t>
      </w:r>
      <w:r>
        <w:rPr>
          <w:rFonts w:hint="eastAsia" w:ascii="楷体" w:hAnsi="楷体" w:eastAsia="楷体"/>
          <w:sz w:val="18"/>
          <w:szCs w:val="18"/>
          <w:highlight w:val="none"/>
        </w:rPr>
        <w:t>项目施工负责人和项目技术负责人</w:t>
      </w:r>
      <w:r>
        <w:rPr>
          <w:rFonts w:hint="eastAsia" w:ascii="楷体" w:hAnsi="楷体" w:eastAsia="楷体"/>
          <w:sz w:val="18"/>
          <w:szCs w:val="18"/>
          <w:highlight w:val="none"/>
          <w:lang w:eastAsia="zh-CN"/>
        </w:rPr>
        <w:t>，</w:t>
      </w:r>
      <w:r>
        <w:rPr>
          <w:rFonts w:hint="eastAsia" w:ascii="楷体" w:hAnsi="楷体" w:eastAsia="楷体"/>
          <w:sz w:val="18"/>
          <w:szCs w:val="18"/>
          <w:highlight w:val="none"/>
          <w:lang w:val="en-US" w:eastAsia="zh-CN"/>
        </w:rPr>
        <w:t>且二者</w:t>
      </w:r>
      <w:r>
        <w:rPr>
          <w:rFonts w:hint="eastAsia" w:ascii="楷体" w:hAnsi="楷体" w:eastAsia="楷体"/>
          <w:sz w:val="18"/>
          <w:szCs w:val="18"/>
          <w:highlight w:val="none"/>
        </w:rPr>
        <w:t>不得互相兼职。</w:t>
      </w:r>
    </w:p>
    <w:p w14:paraId="198B775B">
      <w:pPr>
        <w:pageBreakBefore w:val="0"/>
        <w:kinsoku/>
        <w:wordWrap/>
        <w:overflowPunct/>
        <w:topLinePunct w:val="0"/>
        <w:bidi w:val="0"/>
        <w:adjustRightInd w:val="0"/>
        <w:snapToGrid w:val="0"/>
        <w:spacing w:line="240" w:lineRule="exact"/>
        <w:ind w:firstLine="361" w:firstLineChars="200"/>
        <w:textAlignment w:val="auto"/>
        <w:rPr>
          <w:rFonts w:hint="eastAsia" w:cs="Times New Roman"/>
          <w:b/>
          <w:color w:val="auto"/>
          <w:sz w:val="18"/>
          <w:szCs w:val="18"/>
        </w:rPr>
      </w:pPr>
    </w:p>
    <w:p w14:paraId="65E769F6">
      <w:pPr>
        <w:pageBreakBefore w:val="0"/>
        <w:kinsoku/>
        <w:wordWrap/>
        <w:overflowPunct/>
        <w:topLinePunct w:val="0"/>
        <w:bidi w:val="0"/>
        <w:spacing w:line="240" w:lineRule="exact"/>
        <w:textAlignment w:val="auto"/>
        <w:rPr>
          <w:rFonts w:hint="eastAsia" w:ascii="黑体" w:hAnsi="Calibri" w:eastAsia="黑体" w:cs="Times New Roman"/>
          <w:bCs/>
          <w:color w:val="auto"/>
          <w:kern w:val="44"/>
          <w:sz w:val="18"/>
          <w:szCs w:val="18"/>
        </w:rPr>
      </w:pPr>
      <w:r>
        <w:rPr>
          <w:rFonts w:hint="eastAsia" w:ascii="黑体" w:hAnsi="Calibri" w:eastAsia="黑体" w:cs="Times New Roman"/>
          <w:bCs/>
          <w:color w:val="auto"/>
          <w:kern w:val="44"/>
          <w:sz w:val="18"/>
          <w:szCs w:val="18"/>
        </w:rPr>
        <w:br w:type="page"/>
      </w:r>
    </w:p>
    <w:p w14:paraId="78C2D155">
      <w:pPr>
        <w:keepNext/>
        <w:keepLines/>
        <w:pageBreakBefore w:val="0"/>
        <w:kinsoku/>
        <w:wordWrap/>
        <w:overflowPunct/>
        <w:topLinePunct w:val="0"/>
        <w:bidi w:val="0"/>
        <w:snapToGrid w:val="0"/>
        <w:spacing w:line="240" w:lineRule="exact"/>
        <w:jc w:val="center"/>
        <w:textAlignment w:val="auto"/>
        <w:outlineLvl w:val="0"/>
        <w:rPr>
          <w:rFonts w:ascii="黑体" w:hAnsi="Calibri" w:eastAsia="黑体" w:cs="Times New Roman"/>
          <w:bCs/>
          <w:color w:val="auto"/>
          <w:kern w:val="44"/>
          <w:sz w:val="18"/>
          <w:szCs w:val="18"/>
        </w:rPr>
      </w:pPr>
      <w:r>
        <w:rPr>
          <w:rFonts w:hint="eastAsia" w:ascii="黑体" w:hAnsi="Calibri" w:eastAsia="黑体" w:cs="Times New Roman"/>
          <w:bCs/>
          <w:color w:val="auto"/>
          <w:kern w:val="44"/>
          <w:sz w:val="18"/>
          <w:szCs w:val="18"/>
        </w:rPr>
        <w:t>评标办法（综合评分法）</w:t>
      </w:r>
    </w:p>
    <w:p w14:paraId="51A2D847">
      <w:pPr>
        <w:pageBreakBefore w:val="0"/>
        <w:kinsoku/>
        <w:wordWrap/>
        <w:overflowPunct/>
        <w:topLinePunct w:val="0"/>
        <w:bidi w:val="0"/>
        <w:snapToGrid w:val="0"/>
        <w:spacing w:line="240" w:lineRule="exact"/>
        <w:ind w:firstLine="360" w:firstLineChars="200"/>
        <w:textAlignment w:val="auto"/>
        <w:rPr>
          <w:rFonts w:cs="Times New Roman"/>
          <w:color w:val="auto"/>
          <w:sz w:val="18"/>
          <w:szCs w:val="18"/>
        </w:rPr>
      </w:pPr>
      <w:bookmarkStart w:id="9" w:name="_Toc64810268"/>
      <w:r>
        <w:rPr>
          <w:rFonts w:cs="Times New Roman"/>
          <w:color w:val="auto"/>
          <w:sz w:val="18"/>
          <w:szCs w:val="18"/>
        </w:rPr>
        <w:t>评标办法前附表</w:t>
      </w:r>
      <w:r>
        <w:rPr>
          <w:rFonts w:cs="Times New Roman"/>
          <w:color w:val="auto"/>
          <w:sz w:val="18"/>
          <w:szCs w:val="18"/>
          <w:vertAlign w:val="superscript"/>
        </w:rPr>
        <w:footnoteReference w:id="0"/>
      </w:r>
      <w:bookmarkEnd w:id="9"/>
    </w:p>
    <w:tbl>
      <w:tblPr>
        <w:tblStyle w:val="10"/>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6"/>
        <w:gridCol w:w="1389"/>
        <w:gridCol w:w="7383"/>
      </w:tblGrid>
      <w:tr w14:paraId="519E3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70" w:hRule="atLeast"/>
          <w:tblHeader/>
        </w:trPr>
        <w:tc>
          <w:tcPr>
            <w:tcW w:w="2245" w:type="dxa"/>
            <w:gridSpan w:val="2"/>
            <w:shd w:val="clear" w:color="auto" w:fill="auto"/>
            <w:vAlign w:val="center"/>
          </w:tcPr>
          <w:p w14:paraId="3D12C30F">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default" w:cs="Times New Roman"/>
                <w:color w:val="auto"/>
                <w:sz w:val="18"/>
                <w:szCs w:val="18"/>
              </w:rPr>
              <w:t>条款号</w:t>
            </w:r>
          </w:p>
        </w:tc>
        <w:tc>
          <w:tcPr>
            <w:tcW w:w="7383" w:type="dxa"/>
            <w:shd w:val="clear" w:color="auto" w:fill="auto"/>
            <w:vAlign w:val="center"/>
          </w:tcPr>
          <w:p w14:paraId="4B5DBB30">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default" w:cs="Times New Roman"/>
                <w:color w:val="auto"/>
                <w:sz w:val="18"/>
                <w:szCs w:val="18"/>
              </w:rPr>
              <w:t>评审因素与评审标准</w:t>
            </w:r>
          </w:p>
        </w:tc>
      </w:tr>
      <w:tr w14:paraId="2F401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557" w:hRule="atLeast"/>
        </w:trPr>
        <w:tc>
          <w:tcPr>
            <w:tcW w:w="856" w:type="dxa"/>
            <w:shd w:val="clear" w:color="auto" w:fill="auto"/>
            <w:vAlign w:val="center"/>
          </w:tcPr>
          <w:p w14:paraId="0CCC49C5">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1</w:t>
            </w:r>
          </w:p>
        </w:tc>
        <w:tc>
          <w:tcPr>
            <w:tcW w:w="1389" w:type="dxa"/>
            <w:shd w:val="clear" w:color="auto" w:fill="auto"/>
            <w:vAlign w:val="center"/>
          </w:tcPr>
          <w:p w14:paraId="246497B9">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评标方法</w:t>
            </w:r>
          </w:p>
        </w:tc>
        <w:tc>
          <w:tcPr>
            <w:tcW w:w="7383" w:type="dxa"/>
            <w:shd w:val="clear" w:color="auto" w:fill="auto"/>
            <w:vAlign w:val="center"/>
          </w:tcPr>
          <w:p w14:paraId="52FD8323">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本次评标采用综合评分法（施工组织设计采用“盲评”方式）。</w:t>
            </w:r>
          </w:p>
          <w:p w14:paraId="6D7D1D81">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综合评分相等时，评标委员会依次按照以下优先顺序推荐中标候选人：</w:t>
            </w:r>
          </w:p>
          <w:p w14:paraId="75FF0B16">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（1）评标价低的投标人优先；</w:t>
            </w:r>
          </w:p>
          <w:p w14:paraId="33C9CC3F">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（2）履约信誉得分高的优先；</w:t>
            </w:r>
          </w:p>
          <w:p w14:paraId="55C4BFB9">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（3）主要人员得分高的投标人优先。</w:t>
            </w:r>
          </w:p>
          <w:p w14:paraId="5082E1BA">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若以上均相等，则由评标委员会表决确定其排序先后。</w:t>
            </w:r>
          </w:p>
        </w:tc>
      </w:tr>
      <w:tr w14:paraId="6C03F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53" w:hRule="atLeast"/>
        </w:trPr>
        <w:tc>
          <w:tcPr>
            <w:tcW w:w="856" w:type="dxa"/>
            <w:shd w:val="clear" w:color="auto" w:fill="auto"/>
            <w:vAlign w:val="center"/>
          </w:tcPr>
          <w:p w14:paraId="7AD1884A">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default" w:cs="Times New Roman"/>
                <w:color w:val="auto"/>
                <w:sz w:val="18"/>
                <w:szCs w:val="18"/>
              </w:rPr>
              <w:t>2.1.1</w:t>
            </w:r>
          </w:p>
          <w:p w14:paraId="4C6A03E5">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default" w:cs="Times New Roman"/>
                <w:color w:val="auto"/>
                <w:sz w:val="18"/>
                <w:szCs w:val="18"/>
              </w:rPr>
              <w:t>2.1.3</w:t>
            </w:r>
          </w:p>
        </w:tc>
        <w:tc>
          <w:tcPr>
            <w:tcW w:w="1389" w:type="dxa"/>
            <w:shd w:val="clear" w:color="auto" w:fill="auto"/>
            <w:vAlign w:val="center"/>
          </w:tcPr>
          <w:p w14:paraId="6DDEB1B9">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形式评审与</w:t>
            </w:r>
          </w:p>
          <w:p w14:paraId="7C297C38">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响应性评审</w:t>
            </w:r>
          </w:p>
          <w:p w14:paraId="57D22C5F">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标准</w:t>
            </w:r>
          </w:p>
        </w:tc>
        <w:tc>
          <w:tcPr>
            <w:tcW w:w="7383" w:type="dxa"/>
            <w:shd w:val="clear" w:color="auto" w:fill="auto"/>
            <w:vAlign w:val="center"/>
          </w:tcPr>
          <w:p w14:paraId="35ECBF2C">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第一个信封（商务文件）评审标准：</w:t>
            </w:r>
          </w:p>
          <w:p w14:paraId="2FA3F021">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（1）投标文件按照招标文件规定的格式、内容填写，字迹清晰可辨：</w:t>
            </w:r>
          </w:p>
          <w:p w14:paraId="009727C5">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a.投标函按招标文件规定填报了项目名称、标段号、补遗书编号（如有）、工期、工程质量要求及安全目标；</w:t>
            </w:r>
          </w:p>
          <w:p w14:paraId="6194BC61">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b.投标函附录的所有数据均符合招标文件规定；</w:t>
            </w:r>
          </w:p>
          <w:p w14:paraId="24F02F40">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c.投标文件组成齐全完整，内容均按规定填写。</w:t>
            </w:r>
          </w:p>
          <w:p w14:paraId="1BE3A633">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（2）投标文件上法定代表人或其委托代理人的签字、投标人的单位章盖章齐全，符合招标文件规定。</w:t>
            </w:r>
          </w:p>
          <w:p w14:paraId="11EEBB3E">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（3）投标人按照招标文件的规定提供了投标保证金：</w:t>
            </w:r>
          </w:p>
          <w:p w14:paraId="181E66ED">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a.投标保证金金额符合招标文件规定的金额，且投标保证金有效期不少于投标有效期；</w:t>
            </w:r>
          </w:p>
          <w:p w14:paraId="1BC66F21">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b.若投标保证金采用现金或支票形式提交，投标人应在招标文件规定的截止时间之前，将投标保证金一次性由投标人的基本账户转入招标人指定账户；</w:t>
            </w:r>
          </w:p>
          <w:p w14:paraId="3FDE2BE2">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c.若投标保证金采用保函或保单形式提交，满足招标文件要求。</w:t>
            </w:r>
          </w:p>
          <w:p w14:paraId="19D5E777">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（4）投标人法定代表人授权委托代理人签署投标文件的，须提交授权委托书，</w:t>
            </w:r>
            <w:r>
              <w:rPr>
                <w:rFonts w:hint="default" w:cs="Times New Roman"/>
                <w:color w:val="auto"/>
                <w:sz w:val="18"/>
                <w:szCs w:val="18"/>
              </w:rPr>
              <w:t>授权委托书</w:t>
            </w:r>
            <w:r>
              <w:rPr>
                <w:rFonts w:hint="eastAsia" w:cs="Times New Roman"/>
                <w:color w:val="auto"/>
                <w:sz w:val="18"/>
                <w:szCs w:val="18"/>
              </w:rPr>
              <w:t>符合招标文件规定</w:t>
            </w:r>
            <w:r>
              <w:rPr>
                <w:rFonts w:hint="default" w:cs="Times New Roman"/>
                <w:color w:val="auto"/>
                <w:sz w:val="18"/>
                <w:szCs w:val="18"/>
              </w:rPr>
              <w:t>。</w:t>
            </w:r>
          </w:p>
        </w:tc>
      </w:tr>
      <w:tr w14:paraId="7D20E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56" w:hRule="atLeast"/>
        </w:trPr>
        <w:tc>
          <w:tcPr>
            <w:tcW w:w="856" w:type="dxa"/>
            <w:shd w:val="clear" w:color="auto" w:fill="auto"/>
            <w:vAlign w:val="center"/>
          </w:tcPr>
          <w:p w14:paraId="24F7ABAC">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default" w:cs="Times New Roman"/>
                <w:color w:val="auto"/>
                <w:sz w:val="18"/>
                <w:szCs w:val="18"/>
              </w:rPr>
              <w:t>2.1.1</w:t>
            </w:r>
          </w:p>
          <w:p w14:paraId="58B62955">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default" w:cs="Times New Roman"/>
                <w:color w:val="auto"/>
                <w:sz w:val="18"/>
                <w:szCs w:val="18"/>
              </w:rPr>
              <w:t>2.1.3</w:t>
            </w:r>
          </w:p>
        </w:tc>
        <w:tc>
          <w:tcPr>
            <w:tcW w:w="1389" w:type="dxa"/>
            <w:shd w:val="clear" w:color="auto" w:fill="auto"/>
            <w:vAlign w:val="center"/>
          </w:tcPr>
          <w:p w14:paraId="6953BDB3">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形式评审与</w:t>
            </w:r>
          </w:p>
          <w:p w14:paraId="34F2C0D9">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响应性评审</w:t>
            </w:r>
          </w:p>
          <w:p w14:paraId="408C6341">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标准</w:t>
            </w:r>
          </w:p>
        </w:tc>
        <w:tc>
          <w:tcPr>
            <w:tcW w:w="7383" w:type="dxa"/>
            <w:shd w:val="clear" w:color="auto" w:fill="auto"/>
            <w:vAlign w:val="center"/>
          </w:tcPr>
          <w:p w14:paraId="72118887">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（5）投标人法定代表人亲自签署投标文件的，提供了法定代表人身份证明，</w:t>
            </w:r>
            <w:r>
              <w:rPr>
                <w:rFonts w:hint="default" w:cs="Times New Roman"/>
                <w:color w:val="auto"/>
                <w:sz w:val="18"/>
                <w:szCs w:val="18"/>
              </w:rPr>
              <w:t>法定代表人身份证明</w:t>
            </w:r>
            <w:r>
              <w:rPr>
                <w:rFonts w:hint="eastAsia" w:cs="Times New Roman"/>
                <w:color w:val="auto"/>
                <w:sz w:val="18"/>
                <w:szCs w:val="18"/>
              </w:rPr>
              <w:t>符合招标文件规定</w:t>
            </w:r>
            <w:r>
              <w:rPr>
                <w:rFonts w:hint="default" w:cs="Times New Roman"/>
                <w:color w:val="auto"/>
                <w:sz w:val="18"/>
                <w:szCs w:val="18"/>
              </w:rPr>
              <w:t>。</w:t>
            </w:r>
          </w:p>
          <w:p w14:paraId="5C810372">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（6）投标人以联合体形式投标时，联合体满足招标文件的要求：投标人按照招标文件提供的格式签订了联合体协议书，明确各方承担连带责任，并明确了联合体牵头人。</w:t>
            </w:r>
          </w:p>
          <w:p w14:paraId="6649F9D8">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（7）投标人</w:t>
            </w:r>
            <w:r>
              <w:rPr>
                <w:rFonts w:hint="eastAsia" w:cs="Times New Roman"/>
                <w:color w:val="auto"/>
                <w:sz w:val="18"/>
                <w:szCs w:val="18"/>
                <w:lang w:val="en-US" w:eastAsia="zh-CN"/>
              </w:rPr>
              <w:t>的分包情况符合招标文件规定。</w:t>
            </w:r>
          </w:p>
          <w:p w14:paraId="20F5553F">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（8）同一投标人未提交两个以上不同的投标文件。</w:t>
            </w:r>
          </w:p>
          <w:p w14:paraId="58E60F82">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（9）投标文件中未出现有关投标报价的内容。</w:t>
            </w:r>
          </w:p>
          <w:p w14:paraId="280625EE">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（10）投标文件载明的招标项目完成期限未超过招标文件规定的时限。</w:t>
            </w:r>
          </w:p>
          <w:p w14:paraId="4DBEB6BF">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（11）投标文件对招标文件的实质性要求和条件作出响应。</w:t>
            </w:r>
          </w:p>
          <w:p w14:paraId="304F86EB">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（12）权利义务符合招标文件规定：</w:t>
            </w:r>
          </w:p>
          <w:p w14:paraId="088A3B22">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a.投标人应接受招标文件规定的风险划分原则，未提出新的风险划分办法；</w:t>
            </w:r>
          </w:p>
          <w:p w14:paraId="54428A9B">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b.投标人未增加发包人的责任范围，或减少投标人义务；</w:t>
            </w:r>
          </w:p>
          <w:p w14:paraId="16F4B03F">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c.投标人未提出不同的工程验收、计量、支付办法；</w:t>
            </w:r>
          </w:p>
          <w:p w14:paraId="6FE1E42C">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d.投标人对合同纠纷、事故处理办法未提出异议；</w:t>
            </w:r>
          </w:p>
          <w:p w14:paraId="71E8CF35">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e.投标人在投标活动中无欺诈行为；</w:t>
            </w:r>
          </w:p>
          <w:p w14:paraId="469ECB96">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f.投标人未对合同条款有重要保留。</w:t>
            </w:r>
          </w:p>
          <w:p w14:paraId="68AE2DC8">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第二个信封（报价文件）评审标准：</w:t>
            </w:r>
          </w:p>
          <w:p w14:paraId="1DF3AE3B">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（1）投标文件按照招标文件规定的格式、内容填写，字迹清晰可辨：</w:t>
            </w:r>
          </w:p>
          <w:p w14:paraId="1120EFE7">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a.投标函按招标文件规定填报了项目名称、标段号、补遗书编号（如有）、投标价（包括大写金额和小写金额）；</w:t>
            </w:r>
          </w:p>
          <w:p w14:paraId="6FA10D3D">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b.已标价工程量清单说明与招标文件规定一致，未进行实质性修改和删减；</w:t>
            </w:r>
          </w:p>
          <w:p w14:paraId="25EBB784">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c.投标文件组成齐全完整，内容均按规定填写。</w:t>
            </w:r>
          </w:p>
          <w:p w14:paraId="12685D3E">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（2）投标文件上法定代表人或其委托代理人的签字、投标人的单位章盖章齐全，符合招标文件规定。</w:t>
            </w:r>
          </w:p>
          <w:p w14:paraId="530A1F16">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（3）投标报价未超过招标文件设定的最高投标限价。</w:t>
            </w:r>
          </w:p>
          <w:p w14:paraId="7F80F615">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（4）投标报价中的大写金额能够确定具体数值。</w:t>
            </w:r>
          </w:p>
          <w:p w14:paraId="13BE803A">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（5）同一投标人未提交两个以上不同的投标报价。</w:t>
            </w:r>
          </w:p>
          <w:p w14:paraId="1A1D9877">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（6）投标人未提交调价函。</w:t>
            </w:r>
          </w:p>
          <w:p w14:paraId="45F4E236">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（7）投标人填写完毕的工程量固化清单未对工程量固化清单电子文件中的数据、格式和运算定义进行修改；工程量固化清单中的投标报价和投标函大写金额报价一致。</w:t>
            </w:r>
          </w:p>
        </w:tc>
      </w:tr>
      <w:tr w14:paraId="38342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275" w:hRule="atLeast"/>
        </w:trPr>
        <w:tc>
          <w:tcPr>
            <w:tcW w:w="856" w:type="dxa"/>
            <w:tcBorders>
              <w:bottom w:val="single" w:color="auto" w:sz="4" w:space="0"/>
            </w:tcBorders>
            <w:shd w:val="clear" w:color="auto" w:fill="auto"/>
            <w:vAlign w:val="center"/>
          </w:tcPr>
          <w:p w14:paraId="4BC3851C">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default" w:cs="Times New Roman"/>
                <w:color w:val="auto"/>
                <w:sz w:val="18"/>
                <w:szCs w:val="18"/>
              </w:rPr>
              <w:t>2.1.2</w:t>
            </w:r>
          </w:p>
        </w:tc>
        <w:tc>
          <w:tcPr>
            <w:tcW w:w="1389" w:type="dxa"/>
            <w:tcBorders>
              <w:bottom w:val="single" w:color="auto" w:sz="4" w:space="0"/>
            </w:tcBorders>
            <w:shd w:val="clear" w:color="auto" w:fill="auto"/>
            <w:vAlign w:val="center"/>
          </w:tcPr>
          <w:p w14:paraId="50148FFD">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资格评审</w:t>
            </w:r>
          </w:p>
          <w:p w14:paraId="538FBB27">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标准</w:t>
            </w:r>
          </w:p>
        </w:tc>
        <w:tc>
          <w:tcPr>
            <w:tcW w:w="7383" w:type="dxa"/>
            <w:tcBorders>
              <w:bottom w:val="single" w:color="auto" w:sz="4" w:space="0"/>
            </w:tcBorders>
            <w:shd w:val="clear" w:color="auto" w:fill="auto"/>
            <w:vAlign w:val="center"/>
          </w:tcPr>
          <w:p w14:paraId="6EE44DCF">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（1）投标人具备有效的营业执照、资质证书、安全生产许可证、基本账户开户许可证（或</w:t>
            </w:r>
            <w:r>
              <w:rPr>
                <w:rFonts w:hint="default" w:cs="Times New Roman"/>
                <w:color w:val="auto"/>
                <w:sz w:val="18"/>
                <w:szCs w:val="18"/>
              </w:rPr>
              <w:t>基本账户开户银行出具</w:t>
            </w:r>
            <w:r>
              <w:rPr>
                <w:rFonts w:hint="eastAsia" w:cs="Times New Roman"/>
                <w:color w:val="auto"/>
                <w:sz w:val="18"/>
                <w:szCs w:val="18"/>
              </w:rPr>
              <w:t>的开户证明）。</w:t>
            </w:r>
          </w:p>
          <w:p w14:paraId="4D2DCA48">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（2）投标人的资质等级符合招标文件规定。</w:t>
            </w:r>
          </w:p>
          <w:p w14:paraId="05959F02">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（3）投标人的财务状况符合招标文件规定。</w:t>
            </w:r>
          </w:p>
          <w:p w14:paraId="65B45C3C">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w:t>
            </w:r>
            <w:r>
              <w:rPr>
                <w:rFonts w:hint="default" w:cs="Times New Roman"/>
                <w:color w:val="auto"/>
                <w:sz w:val="18"/>
                <w:szCs w:val="18"/>
              </w:rPr>
              <w:t>4</w:t>
            </w:r>
            <w:r>
              <w:rPr>
                <w:rFonts w:hint="eastAsia" w:cs="Times New Roman"/>
                <w:color w:val="auto"/>
                <w:sz w:val="18"/>
                <w:szCs w:val="18"/>
              </w:rPr>
              <w:t>）</w:t>
            </w:r>
            <w:r>
              <w:rPr>
                <w:rFonts w:hint="default" w:cs="Times New Roman"/>
                <w:color w:val="auto"/>
                <w:sz w:val="18"/>
                <w:szCs w:val="18"/>
              </w:rPr>
              <w:t>投标人的类似项目业绩符合招标文件规定。</w:t>
            </w:r>
          </w:p>
          <w:p w14:paraId="026F011F">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w:t>
            </w:r>
            <w:r>
              <w:rPr>
                <w:rFonts w:hint="default" w:cs="Times New Roman"/>
                <w:color w:val="auto"/>
                <w:sz w:val="18"/>
                <w:szCs w:val="18"/>
              </w:rPr>
              <w:t>5</w:t>
            </w:r>
            <w:r>
              <w:rPr>
                <w:rFonts w:hint="eastAsia" w:cs="Times New Roman"/>
                <w:color w:val="auto"/>
                <w:sz w:val="18"/>
                <w:szCs w:val="18"/>
              </w:rPr>
              <w:t>）投标人的信誉符合招标文件规定。</w:t>
            </w:r>
          </w:p>
          <w:p w14:paraId="06CB69C9">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w:t>
            </w:r>
            <w:r>
              <w:rPr>
                <w:rFonts w:hint="default" w:cs="Times New Roman"/>
                <w:color w:val="auto"/>
                <w:sz w:val="18"/>
                <w:szCs w:val="18"/>
              </w:rPr>
              <w:t>6</w:t>
            </w:r>
            <w:r>
              <w:rPr>
                <w:rFonts w:hint="eastAsia" w:cs="Times New Roman"/>
                <w:color w:val="auto"/>
                <w:sz w:val="18"/>
                <w:szCs w:val="18"/>
              </w:rPr>
              <w:t>）投标人的项目经理和项目总工资格、在岗情况符合招标文件规定。</w:t>
            </w:r>
          </w:p>
          <w:p w14:paraId="6F724412">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w:t>
            </w:r>
            <w:r>
              <w:rPr>
                <w:rFonts w:hint="default" w:cs="Times New Roman"/>
                <w:color w:val="auto"/>
                <w:sz w:val="18"/>
                <w:szCs w:val="18"/>
              </w:rPr>
              <w:t>7</w:t>
            </w:r>
            <w:r>
              <w:rPr>
                <w:rFonts w:hint="eastAsia" w:cs="Times New Roman"/>
                <w:color w:val="auto"/>
                <w:sz w:val="18"/>
                <w:szCs w:val="18"/>
              </w:rPr>
              <w:t>）投标人的其他要求符合招标文件规定。</w:t>
            </w:r>
          </w:p>
          <w:p w14:paraId="7BEEE633">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w:t>
            </w:r>
            <w:r>
              <w:rPr>
                <w:rFonts w:hint="default" w:cs="Times New Roman"/>
                <w:color w:val="auto"/>
                <w:sz w:val="18"/>
                <w:szCs w:val="18"/>
              </w:rPr>
              <w:t>8</w:t>
            </w:r>
            <w:r>
              <w:rPr>
                <w:rFonts w:hint="eastAsia" w:cs="Times New Roman"/>
                <w:color w:val="auto"/>
                <w:sz w:val="18"/>
                <w:szCs w:val="18"/>
              </w:rPr>
              <w:t>）投标人不存在第二章“投标人须知”第1.4.3项或第1.4.4项规定的任何一种情形。</w:t>
            </w:r>
          </w:p>
          <w:p w14:paraId="4BCA89C6">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w:t>
            </w:r>
            <w:r>
              <w:rPr>
                <w:rFonts w:hint="default" w:cs="Times New Roman"/>
                <w:color w:val="auto"/>
                <w:sz w:val="18"/>
                <w:szCs w:val="18"/>
              </w:rPr>
              <w:t>9</w:t>
            </w:r>
            <w:r>
              <w:rPr>
                <w:rFonts w:hint="eastAsia" w:cs="Times New Roman"/>
                <w:color w:val="auto"/>
                <w:sz w:val="18"/>
                <w:szCs w:val="18"/>
              </w:rPr>
              <w:t>）</w:t>
            </w:r>
            <w:r>
              <w:rPr>
                <w:rFonts w:hint="default" w:cs="Times New Roman"/>
                <w:color w:val="auto"/>
                <w:sz w:val="18"/>
                <w:szCs w:val="18"/>
              </w:rPr>
              <w:t xml:space="preserve">投标人符合第二章“投标人须知 ”第 </w:t>
            </w:r>
            <w:r>
              <w:rPr>
                <w:rFonts w:hint="eastAsia" w:cs="Times New Roman"/>
                <w:color w:val="auto"/>
                <w:sz w:val="18"/>
                <w:szCs w:val="18"/>
              </w:rPr>
              <w:t xml:space="preserve">1.4.5 </w:t>
            </w:r>
            <w:r>
              <w:rPr>
                <w:rFonts w:hint="default" w:cs="Times New Roman"/>
                <w:color w:val="auto"/>
                <w:sz w:val="18"/>
                <w:szCs w:val="18"/>
              </w:rPr>
              <w:t>项规定。</w:t>
            </w:r>
          </w:p>
          <w:p w14:paraId="16B5B20B">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（10）以联合体形式参与投标的，联合体各方均未再以自己名义单独或参加其他联合体在同一标段中投标；独立参与投标的，投标人未同时参加联合体在同一标段中投标。</w:t>
            </w:r>
          </w:p>
        </w:tc>
      </w:tr>
    </w:tbl>
    <w:p w14:paraId="583B76E5">
      <w:pPr>
        <w:pageBreakBefore w:val="0"/>
        <w:kinsoku/>
        <w:wordWrap/>
        <w:overflowPunct/>
        <w:topLinePunct w:val="0"/>
        <w:bidi w:val="0"/>
        <w:snapToGrid w:val="0"/>
        <w:spacing w:line="240" w:lineRule="exact"/>
        <w:ind w:firstLine="360" w:firstLineChars="200"/>
        <w:textAlignment w:val="auto"/>
        <w:rPr>
          <w:rFonts w:cs="Times New Roman"/>
          <w:color w:val="auto"/>
          <w:sz w:val="18"/>
          <w:szCs w:val="18"/>
        </w:rPr>
      </w:pPr>
    </w:p>
    <w:p w14:paraId="3CEB7D9F">
      <w:pPr>
        <w:pageBreakBefore w:val="0"/>
        <w:kinsoku/>
        <w:wordWrap/>
        <w:overflowPunct/>
        <w:topLinePunct w:val="0"/>
        <w:bidi w:val="0"/>
        <w:snapToGrid w:val="0"/>
        <w:spacing w:line="240" w:lineRule="exact"/>
        <w:ind w:firstLine="360" w:firstLineChars="200"/>
        <w:textAlignment w:val="auto"/>
        <w:rPr>
          <w:rFonts w:cs="Times New Roman"/>
          <w:color w:val="auto"/>
          <w:sz w:val="18"/>
          <w:szCs w:val="18"/>
        </w:rPr>
      </w:pPr>
    </w:p>
    <w:p w14:paraId="12C93001">
      <w:pPr>
        <w:pageBreakBefore w:val="0"/>
        <w:kinsoku/>
        <w:wordWrap/>
        <w:overflowPunct/>
        <w:topLinePunct w:val="0"/>
        <w:bidi w:val="0"/>
        <w:snapToGrid w:val="0"/>
        <w:spacing w:line="240" w:lineRule="exact"/>
        <w:ind w:firstLine="360" w:firstLineChars="200"/>
        <w:textAlignment w:val="auto"/>
        <w:rPr>
          <w:rFonts w:cs="Times New Roman"/>
          <w:color w:val="auto"/>
          <w:sz w:val="18"/>
          <w:szCs w:val="18"/>
        </w:rPr>
      </w:pPr>
      <w:r>
        <w:rPr>
          <w:rFonts w:cs="Times New Roman"/>
          <w:color w:val="auto"/>
          <w:sz w:val="18"/>
          <w:szCs w:val="18"/>
        </w:rPr>
        <w:t>续上表</w:t>
      </w:r>
    </w:p>
    <w:p w14:paraId="7B1F2477">
      <w:pPr>
        <w:pageBreakBefore w:val="0"/>
        <w:kinsoku/>
        <w:wordWrap/>
        <w:overflowPunct/>
        <w:topLinePunct w:val="0"/>
        <w:bidi w:val="0"/>
        <w:snapToGrid w:val="0"/>
        <w:spacing w:line="240" w:lineRule="exact"/>
        <w:ind w:firstLine="360" w:firstLineChars="200"/>
        <w:textAlignment w:val="auto"/>
        <w:rPr>
          <w:rFonts w:cs="Times New Roman"/>
          <w:color w:val="auto"/>
          <w:sz w:val="18"/>
          <w:szCs w:val="18"/>
        </w:rPr>
      </w:pPr>
    </w:p>
    <w:tbl>
      <w:tblPr>
        <w:tblStyle w:val="10"/>
        <w:tblW w:w="93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2"/>
        <w:gridCol w:w="1765"/>
        <w:gridCol w:w="6790"/>
      </w:tblGrid>
      <w:tr w14:paraId="24E17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jc w:val="center"/>
        </w:trPr>
        <w:tc>
          <w:tcPr>
            <w:tcW w:w="772" w:type="dxa"/>
            <w:tcBorders>
              <w:top w:val="single" w:color="000000" w:sz="4" w:space="0"/>
              <w:left w:val="single" w:color="000000" w:sz="4" w:space="0"/>
              <w:bottom w:val="single" w:color="auto" w:sz="4" w:space="0"/>
              <w:right w:val="single" w:color="000000" w:sz="4" w:space="0"/>
            </w:tcBorders>
            <w:shd w:val="clear" w:color="auto" w:fill="auto"/>
            <w:vAlign w:val="center"/>
          </w:tcPr>
          <w:p w14:paraId="24622F77">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default" w:cs="Times New Roman"/>
                <w:color w:val="auto"/>
                <w:sz w:val="18"/>
                <w:szCs w:val="18"/>
              </w:rPr>
              <w:t>条款号</w:t>
            </w:r>
          </w:p>
        </w:tc>
        <w:tc>
          <w:tcPr>
            <w:tcW w:w="1765" w:type="dxa"/>
            <w:tcBorders>
              <w:top w:val="single" w:color="000000" w:sz="4" w:space="0"/>
              <w:left w:val="single" w:color="000000" w:sz="4" w:space="0"/>
              <w:bottom w:val="single" w:color="auto" w:sz="4" w:space="0"/>
              <w:right w:val="single" w:color="000000" w:sz="4" w:space="0"/>
            </w:tcBorders>
            <w:shd w:val="clear" w:color="auto" w:fill="auto"/>
            <w:vAlign w:val="center"/>
          </w:tcPr>
          <w:p w14:paraId="3FD54164">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条款内容</w:t>
            </w:r>
          </w:p>
        </w:tc>
        <w:tc>
          <w:tcPr>
            <w:tcW w:w="6790" w:type="dxa"/>
            <w:tcBorders>
              <w:top w:val="single" w:color="000000" w:sz="4" w:space="0"/>
              <w:left w:val="single" w:color="000000" w:sz="4" w:space="0"/>
              <w:bottom w:val="single" w:color="auto" w:sz="4" w:space="0"/>
              <w:right w:val="single" w:color="000000" w:sz="4" w:space="0"/>
            </w:tcBorders>
            <w:shd w:val="clear" w:color="auto" w:fill="auto"/>
            <w:vAlign w:val="center"/>
          </w:tcPr>
          <w:p w14:paraId="7E53A6AC">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编列内容</w:t>
            </w:r>
          </w:p>
        </w:tc>
      </w:tr>
      <w:tr w14:paraId="31A42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jc w:val="center"/>
        </w:trPr>
        <w:tc>
          <w:tcPr>
            <w:tcW w:w="772" w:type="dxa"/>
            <w:tcBorders>
              <w:top w:val="single" w:color="000000" w:sz="4" w:space="0"/>
              <w:left w:val="single" w:color="000000" w:sz="4" w:space="0"/>
              <w:bottom w:val="single" w:color="auto" w:sz="4" w:space="0"/>
              <w:right w:val="single" w:color="000000" w:sz="4" w:space="0"/>
            </w:tcBorders>
            <w:shd w:val="clear" w:color="auto" w:fill="auto"/>
            <w:vAlign w:val="center"/>
          </w:tcPr>
          <w:p w14:paraId="05BFCB6F">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default" w:cs="Times New Roman"/>
                <w:color w:val="auto"/>
                <w:sz w:val="18"/>
                <w:szCs w:val="18"/>
              </w:rPr>
              <w:t>2.2.1</w:t>
            </w:r>
          </w:p>
        </w:tc>
        <w:tc>
          <w:tcPr>
            <w:tcW w:w="1765" w:type="dxa"/>
            <w:tcBorders>
              <w:top w:val="single" w:color="000000" w:sz="4" w:space="0"/>
              <w:left w:val="single" w:color="000000" w:sz="4" w:space="0"/>
              <w:bottom w:val="single" w:color="auto" w:sz="4" w:space="0"/>
              <w:right w:val="single" w:color="000000" w:sz="4" w:space="0"/>
            </w:tcBorders>
            <w:shd w:val="clear" w:color="auto" w:fill="auto"/>
            <w:vAlign w:val="center"/>
          </w:tcPr>
          <w:p w14:paraId="0B7DAD4C">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分值构成</w:t>
            </w:r>
          </w:p>
          <w:p w14:paraId="4416FEF0">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（总分</w:t>
            </w:r>
            <w:r>
              <w:rPr>
                <w:rFonts w:hint="default" w:cs="Times New Roman"/>
                <w:color w:val="auto"/>
                <w:sz w:val="18"/>
                <w:szCs w:val="18"/>
              </w:rPr>
              <w:t>100</w:t>
            </w:r>
            <w:r>
              <w:rPr>
                <w:rFonts w:hint="eastAsia" w:cs="Times New Roman"/>
                <w:color w:val="auto"/>
                <w:sz w:val="18"/>
                <w:szCs w:val="18"/>
              </w:rPr>
              <w:t>分）</w:t>
            </w:r>
          </w:p>
        </w:tc>
        <w:tc>
          <w:tcPr>
            <w:tcW w:w="6790" w:type="dxa"/>
            <w:tcBorders>
              <w:top w:val="single" w:color="000000" w:sz="4" w:space="0"/>
              <w:left w:val="single" w:color="000000" w:sz="4" w:space="0"/>
              <w:bottom w:val="single" w:color="auto" w:sz="4" w:space="0"/>
              <w:right w:val="single" w:color="000000" w:sz="4" w:space="0"/>
            </w:tcBorders>
            <w:shd w:val="clear" w:color="auto" w:fill="auto"/>
            <w:vAlign w:val="center"/>
          </w:tcPr>
          <w:p w14:paraId="0266A467">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第一个信封（商务及技术文件）评分分值构成：</w:t>
            </w:r>
          </w:p>
          <w:p w14:paraId="1326E2E7">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施工组织设计：20 分</w:t>
            </w:r>
          </w:p>
          <w:p w14:paraId="6227E650">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主要人员：10 分</w:t>
            </w:r>
          </w:p>
          <w:p w14:paraId="13C046B1">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其他因素：2</w:t>
            </w:r>
            <w:r>
              <w:rPr>
                <w:rFonts w:hint="default" w:cs="Times New Roman"/>
                <w:color w:val="auto"/>
                <w:sz w:val="18"/>
                <w:szCs w:val="18"/>
              </w:rPr>
              <w:t>0</w:t>
            </w:r>
            <w:r>
              <w:rPr>
                <w:rFonts w:hint="eastAsia" w:cs="Times New Roman"/>
                <w:color w:val="auto"/>
                <w:sz w:val="18"/>
                <w:szCs w:val="18"/>
              </w:rPr>
              <w:t xml:space="preserve"> 分</w:t>
            </w:r>
          </w:p>
          <w:p w14:paraId="3B0B4C05">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第二个信封（报价文件）评分分值构成：</w:t>
            </w:r>
          </w:p>
          <w:p w14:paraId="3643576E">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评标价：50分</w:t>
            </w:r>
          </w:p>
        </w:tc>
      </w:tr>
      <w:tr w14:paraId="2B662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jc w:val="center"/>
        </w:trPr>
        <w:tc>
          <w:tcPr>
            <w:tcW w:w="772" w:type="dxa"/>
            <w:tcBorders>
              <w:top w:val="single" w:color="000000" w:sz="4" w:space="0"/>
              <w:left w:val="single" w:color="000000" w:sz="4" w:space="0"/>
              <w:bottom w:val="single" w:color="auto" w:sz="4" w:space="0"/>
              <w:right w:val="single" w:color="000000" w:sz="4" w:space="0"/>
            </w:tcBorders>
            <w:shd w:val="clear" w:color="auto" w:fill="auto"/>
            <w:vAlign w:val="center"/>
          </w:tcPr>
          <w:p w14:paraId="2C9AAD33">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2.2.2</w:t>
            </w:r>
          </w:p>
        </w:tc>
        <w:tc>
          <w:tcPr>
            <w:tcW w:w="1765" w:type="dxa"/>
            <w:tcBorders>
              <w:top w:val="single" w:color="000000" w:sz="4" w:space="0"/>
              <w:left w:val="single" w:color="000000" w:sz="4" w:space="0"/>
              <w:bottom w:val="single" w:color="auto" w:sz="4" w:space="0"/>
              <w:right w:val="single" w:color="000000" w:sz="4" w:space="0"/>
            </w:tcBorders>
            <w:shd w:val="clear" w:color="auto" w:fill="auto"/>
            <w:vAlign w:val="center"/>
          </w:tcPr>
          <w:p w14:paraId="30E9380E">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评标基准价计算方法</w:t>
            </w:r>
          </w:p>
        </w:tc>
        <w:tc>
          <w:tcPr>
            <w:tcW w:w="6790" w:type="dxa"/>
            <w:tcBorders>
              <w:top w:val="single" w:color="000000" w:sz="4" w:space="0"/>
              <w:left w:val="single" w:color="000000" w:sz="4" w:space="0"/>
              <w:bottom w:val="single" w:color="auto" w:sz="4" w:space="0"/>
              <w:right w:val="single" w:color="000000" w:sz="4" w:space="0"/>
            </w:tcBorders>
            <w:shd w:val="clear" w:color="auto" w:fill="auto"/>
            <w:vAlign w:val="center"/>
          </w:tcPr>
          <w:p w14:paraId="7A4729B6">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评标基准价的计算：</w:t>
            </w:r>
          </w:p>
          <w:p w14:paraId="4E6E545F">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在开标现场，招标人将当场计算并宣布评标基准价。</w:t>
            </w:r>
          </w:p>
          <w:p w14:paraId="1714A082">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（1）评标价的确定：</w:t>
            </w:r>
          </w:p>
          <w:p w14:paraId="0EDC09F2">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评标价=投标函文字报价</w:t>
            </w:r>
          </w:p>
          <w:p w14:paraId="73F3CABE">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（2）评标价平均值的计算：</w:t>
            </w:r>
          </w:p>
          <w:p w14:paraId="3BDE4460">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lang w:val="en-US" w:eastAsia="zh-CN"/>
              </w:rPr>
              <w:t>所有在最高投标限价的85%（含本数）至100%（含本数）范围内的</w:t>
            </w:r>
            <w:r>
              <w:rPr>
                <w:rFonts w:hint="eastAsia" w:cs="Times New Roman"/>
                <w:color w:val="auto"/>
                <w:sz w:val="18"/>
                <w:szCs w:val="18"/>
              </w:rPr>
              <w:t>投标人的评标价去掉一个最高值和一个最低值后的算术平均值作为评标基准价（如果参与评标基准价计算的有效投标人少于5家时，则计算评标基准价时不去掉最高值和最低值）。</w:t>
            </w:r>
          </w:p>
          <w:p w14:paraId="724E842B">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（3）评标基准价的确定：</w:t>
            </w:r>
          </w:p>
          <w:p w14:paraId="240A9360">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将评标价平均值直接作为评标基准价。</w:t>
            </w:r>
          </w:p>
          <w:p w14:paraId="2CE0A618">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51C07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jc w:val="center"/>
        </w:trPr>
        <w:tc>
          <w:tcPr>
            <w:tcW w:w="772" w:type="dxa"/>
            <w:tcBorders>
              <w:top w:val="single" w:color="000000" w:sz="4" w:space="0"/>
              <w:left w:val="single" w:color="000000" w:sz="4" w:space="0"/>
              <w:bottom w:val="single" w:color="auto" w:sz="4" w:space="0"/>
              <w:right w:val="single" w:color="000000" w:sz="4" w:space="0"/>
            </w:tcBorders>
            <w:shd w:val="clear" w:color="auto" w:fill="auto"/>
            <w:vAlign w:val="center"/>
          </w:tcPr>
          <w:p w14:paraId="4400785C">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2.2.3</w:t>
            </w:r>
          </w:p>
        </w:tc>
        <w:tc>
          <w:tcPr>
            <w:tcW w:w="1765" w:type="dxa"/>
            <w:tcBorders>
              <w:top w:val="single" w:color="000000" w:sz="4" w:space="0"/>
              <w:left w:val="single" w:color="000000" w:sz="4" w:space="0"/>
              <w:bottom w:val="single" w:color="auto" w:sz="4" w:space="0"/>
              <w:right w:val="single" w:color="000000" w:sz="4" w:space="0"/>
            </w:tcBorders>
            <w:shd w:val="clear" w:color="auto" w:fill="auto"/>
            <w:vAlign w:val="center"/>
          </w:tcPr>
          <w:p w14:paraId="21614EC9">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评标价的偏差率计算公式</w:t>
            </w:r>
          </w:p>
        </w:tc>
        <w:tc>
          <w:tcPr>
            <w:tcW w:w="6790" w:type="dxa"/>
            <w:tcBorders>
              <w:top w:val="single" w:color="000000" w:sz="4" w:space="0"/>
              <w:left w:val="single" w:color="000000" w:sz="4" w:space="0"/>
              <w:bottom w:val="single" w:color="auto" w:sz="4" w:space="0"/>
              <w:right w:val="single" w:color="000000" w:sz="4" w:space="0"/>
            </w:tcBorders>
            <w:shd w:val="clear" w:color="auto" w:fill="auto"/>
            <w:vAlign w:val="center"/>
          </w:tcPr>
          <w:p w14:paraId="1F07DDC4">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偏差率=100%×（投标人评标价-评标基准价）/评标基准价</w:t>
            </w:r>
          </w:p>
        </w:tc>
      </w:tr>
    </w:tbl>
    <w:p w14:paraId="42FADF8D">
      <w:pPr>
        <w:pageBreakBefore w:val="0"/>
        <w:kinsoku/>
        <w:wordWrap/>
        <w:overflowPunct/>
        <w:topLinePunct w:val="0"/>
        <w:bidi w:val="0"/>
        <w:snapToGrid w:val="0"/>
        <w:spacing w:line="240" w:lineRule="exact"/>
        <w:ind w:firstLine="360" w:firstLineChars="200"/>
        <w:textAlignment w:val="auto"/>
        <w:rPr>
          <w:rFonts w:cs="Times New Roman"/>
          <w:color w:val="auto"/>
          <w:sz w:val="18"/>
          <w:szCs w:val="18"/>
        </w:rPr>
      </w:pPr>
    </w:p>
    <w:p w14:paraId="2AD518C8">
      <w:pPr>
        <w:pageBreakBefore w:val="0"/>
        <w:kinsoku/>
        <w:wordWrap/>
        <w:overflowPunct/>
        <w:topLinePunct w:val="0"/>
        <w:bidi w:val="0"/>
        <w:snapToGrid w:val="0"/>
        <w:spacing w:line="240" w:lineRule="exact"/>
        <w:ind w:firstLine="360" w:firstLineChars="200"/>
        <w:textAlignment w:val="auto"/>
        <w:rPr>
          <w:rFonts w:cs="Times New Roman"/>
          <w:color w:val="auto"/>
          <w:sz w:val="18"/>
          <w:szCs w:val="18"/>
        </w:rPr>
        <w:sectPr>
          <w:footerReference r:id="rId4" w:type="default"/>
          <w:footnotePr>
            <w:numFmt w:val="decimalEnclosedCircleChinese"/>
            <w:numRestart w:val="eachPage"/>
          </w:footnotePr>
          <w:pgSz w:w="11907" w:h="16840"/>
          <w:pgMar w:top="1134" w:right="1134" w:bottom="1134" w:left="1134" w:header="0" w:footer="567" w:gutter="0"/>
          <w:pgNumType w:fmt="decimal" w:start="1"/>
          <w:cols w:space="720" w:num="1"/>
        </w:sectPr>
      </w:pPr>
    </w:p>
    <w:p w14:paraId="1B623ED1">
      <w:pPr>
        <w:pageBreakBefore w:val="0"/>
        <w:kinsoku/>
        <w:wordWrap/>
        <w:overflowPunct/>
        <w:topLinePunct w:val="0"/>
        <w:bidi w:val="0"/>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　　　　　　　　　　　　　　　　　　　　　　　　　　　　</w:t>
      </w:r>
    </w:p>
    <w:p w14:paraId="55DDD57F">
      <w:pPr>
        <w:pageBreakBefore w:val="0"/>
        <w:kinsoku/>
        <w:wordWrap/>
        <w:overflowPunct/>
        <w:topLinePunct w:val="0"/>
        <w:bidi w:val="0"/>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续上表</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30"/>
        <w:gridCol w:w="569"/>
        <w:gridCol w:w="944"/>
        <w:gridCol w:w="2419"/>
        <w:gridCol w:w="480"/>
        <w:gridCol w:w="4000"/>
      </w:tblGrid>
      <w:tr w14:paraId="6ED932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30" w:type="dxa"/>
            <w:vMerge w:val="restart"/>
            <w:vAlign w:val="center"/>
          </w:tcPr>
          <w:p w14:paraId="1588802D">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条款号</w:t>
            </w:r>
          </w:p>
        </w:tc>
        <w:tc>
          <w:tcPr>
            <w:tcW w:w="4412" w:type="dxa"/>
            <w:gridSpan w:val="4"/>
            <w:vAlign w:val="center"/>
          </w:tcPr>
          <w:p w14:paraId="1F306ABA">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评分因素与权重分值</w:t>
            </w:r>
          </w:p>
        </w:tc>
        <w:tc>
          <w:tcPr>
            <w:tcW w:w="4000" w:type="dxa"/>
            <w:vMerge w:val="restart"/>
            <w:vAlign w:val="center"/>
          </w:tcPr>
          <w:p w14:paraId="063F8609">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评分标准</w:t>
            </w:r>
          </w:p>
        </w:tc>
      </w:tr>
      <w:tr w14:paraId="28BCE0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30" w:type="dxa"/>
            <w:vMerge w:val="continue"/>
            <w:vAlign w:val="center"/>
          </w:tcPr>
          <w:p w14:paraId="6A8450D6">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p>
        </w:tc>
        <w:tc>
          <w:tcPr>
            <w:tcW w:w="569" w:type="dxa"/>
            <w:vAlign w:val="center"/>
          </w:tcPr>
          <w:p w14:paraId="438EF99C">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评分</w:t>
            </w:r>
          </w:p>
          <w:p w14:paraId="1F7FEB7D">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因素</w:t>
            </w:r>
          </w:p>
        </w:tc>
        <w:tc>
          <w:tcPr>
            <w:tcW w:w="944" w:type="dxa"/>
            <w:vAlign w:val="center"/>
          </w:tcPr>
          <w:p w14:paraId="5E8E1950">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评分因素</w:t>
            </w:r>
          </w:p>
          <w:p w14:paraId="2A4B991A">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权重分值</w:t>
            </w:r>
          </w:p>
        </w:tc>
        <w:tc>
          <w:tcPr>
            <w:tcW w:w="2419" w:type="dxa"/>
            <w:vAlign w:val="center"/>
          </w:tcPr>
          <w:p w14:paraId="6CC8FB29">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各评分因素细分项</w:t>
            </w:r>
          </w:p>
        </w:tc>
        <w:tc>
          <w:tcPr>
            <w:tcW w:w="480" w:type="dxa"/>
            <w:vAlign w:val="center"/>
          </w:tcPr>
          <w:p w14:paraId="6DB209C2">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分值</w:t>
            </w:r>
          </w:p>
        </w:tc>
        <w:tc>
          <w:tcPr>
            <w:tcW w:w="4000" w:type="dxa"/>
            <w:vMerge w:val="continue"/>
            <w:vAlign w:val="center"/>
          </w:tcPr>
          <w:p w14:paraId="5A53EAE5">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p>
        </w:tc>
      </w:tr>
      <w:tr w14:paraId="67C42E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30" w:type="dxa"/>
            <w:vMerge w:val="restart"/>
            <w:vAlign w:val="center"/>
          </w:tcPr>
          <w:p w14:paraId="1D652D04">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2.2.4（1）</w:t>
            </w:r>
          </w:p>
        </w:tc>
        <w:tc>
          <w:tcPr>
            <w:tcW w:w="569" w:type="dxa"/>
            <w:vMerge w:val="restart"/>
            <w:vAlign w:val="center"/>
          </w:tcPr>
          <w:p w14:paraId="48836EE0">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施工</w:t>
            </w:r>
          </w:p>
          <w:p w14:paraId="756FFDE0">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组织</w:t>
            </w:r>
          </w:p>
          <w:p w14:paraId="32A81281">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设计</w:t>
            </w:r>
          </w:p>
        </w:tc>
        <w:tc>
          <w:tcPr>
            <w:tcW w:w="944" w:type="dxa"/>
            <w:vMerge w:val="restart"/>
            <w:vAlign w:val="center"/>
          </w:tcPr>
          <w:p w14:paraId="27B518E3">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20分</w:t>
            </w:r>
          </w:p>
        </w:tc>
        <w:tc>
          <w:tcPr>
            <w:tcW w:w="2419" w:type="dxa"/>
            <w:vAlign w:val="center"/>
          </w:tcPr>
          <w:p w14:paraId="1B529554">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总体施工组织布置及规划</w:t>
            </w:r>
          </w:p>
        </w:tc>
        <w:tc>
          <w:tcPr>
            <w:tcW w:w="480" w:type="dxa"/>
            <w:vAlign w:val="center"/>
          </w:tcPr>
          <w:p w14:paraId="15396BFB">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2分</w:t>
            </w:r>
          </w:p>
        </w:tc>
        <w:tc>
          <w:tcPr>
            <w:tcW w:w="4000" w:type="dxa"/>
            <w:vAlign w:val="center"/>
          </w:tcPr>
          <w:p w14:paraId="2710E2CD">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一般，得 1.2～1.6 分；</w:t>
            </w:r>
          </w:p>
          <w:p w14:paraId="788F9FDD">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较好，得 1.6～2.0 分。</w:t>
            </w:r>
          </w:p>
        </w:tc>
      </w:tr>
      <w:tr w14:paraId="4D6F9A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30" w:type="dxa"/>
            <w:vMerge w:val="continue"/>
            <w:vAlign w:val="center"/>
          </w:tcPr>
          <w:p w14:paraId="0E9E9899">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p>
        </w:tc>
        <w:tc>
          <w:tcPr>
            <w:tcW w:w="569" w:type="dxa"/>
            <w:vMerge w:val="continue"/>
            <w:vAlign w:val="center"/>
          </w:tcPr>
          <w:p w14:paraId="611B2283">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p>
        </w:tc>
        <w:tc>
          <w:tcPr>
            <w:tcW w:w="944" w:type="dxa"/>
            <w:vMerge w:val="continue"/>
            <w:vAlign w:val="center"/>
          </w:tcPr>
          <w:p w14:paraId="70F9BFB4">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p>
        </w:tc>
        <w:tc>
          <w:tcPr>
            <w:tcW w:w="2419" w:type="dxa"/>
            <w:vAlign w:val="center"/>
          </w:tcPr>
          <w:p w14:paraId="4FE231FD">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主要工程项目的施工方案、方法与技术措施</w:t>
            </w:r>
          </w:p>
        </w:tc>
        <w:tc>
          <w:tcPr>
            <w:tcW w:w="480" w:type="dxa"/>
            <w:vAlign w:val="center"/>
          </w:tcPr>
          <w:p w14:paraId="402D7A13">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8分</w:t>
            </w:r>
          </w:p>
        </w:tc>
        <w:tc>
          <w:tcPr>
            <w:tcW w:w="4000" w:type="dxa"/>
            <w:vAlign w:val="center"/>
          </w:tcPr>
          <w:p w14:paraId="7FA01F15">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一般，得 4.8～6.4 分；</w:t>
            </w:r>
          </w:p>
          <w:p w14:paraId="2A52CFE8">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较好，得 6.4～8.0 分。</w:t>
            </w:r>
          </w:p>
        </w:tc>
      </w:tr>
      <w:tr w14:paraId="787F5E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30" w:type="dxa"/>
            <w:vMerge w:val="continue"/>
            <w:vAlign w:val="center"/>
          </w:tcPr>
          <w:p w14:paraId="69EDE72A">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p>
        </w:tc>
        <w:tc>
          <w:tcPr>
            <w:tcW w:w="569" w:type="dxa"/>
            <w:vMerge w:val="continue"/>
            <w:vAlign w:val="center"/>
          </w:tcPr>
          <w:p w14:paraId="100F3FD9">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p>
        </w:tc>
        <w:tc>
          <w:tcPr>
            <w:tcW w:w="944" w:type="dxa"/>
            <w:vMerge w:val="continue"/>
            <w:vAlign w:val="center"/>
          </w:tcPr>
          <w:p w14:paraId="31E401E6">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p>
        </w:tc>
        <w:tc>
          <w:tcPr>
            <w:tcW w:w="2419" w:type="dxa"/>
            <w:vAlign w:val="center"/>
          </w:tcPr>
          <w:p w14:paraId="10A7B91C">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工期、工程质量、安全生产、环境保护、文明施工管理保证体系及保证措施</w:t>
            </w:r>
          </w:p>
        </w:tc>
        <w:tc>
          <w:tcPr>
            <w:tcW w:w="480" w:type="dxa"/>
            <w:vAlign w:val="center"/>
          </w:tcPr>
          <w:p w14:paraId="16E4A9C3">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6分</w:t>
            </w:r>
          </w:p>
        </w:tc>
        <w:tc>
          <w:tcPr>
            <w:tcW w:w="4000" w:type="dxa"/>
            <w:vAlign w:val="center"/>
          </w:tcPr>
          <w:p w14:paraId="786A9C61">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一般，得 3.6～4.8 分；</w:t>
            </w:r>
          </w:p>
          <w:p w14:paraId="1C7EA51F">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较好，得 4.8～6.0 分。</w:t>
            </w:r>
          </w:p>
        </w:tc>
      </w:tr>
      <w:tr w14:paraId="7FA05B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30" w:type="dxa"/>
            <w:vMerge w:val="continue"/>
            <w:vAlign w:val="center"/>
          </w:tcPr>
          <w:p w14:paraId="59066649">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p>
        </w:tc>
        <w:tc>
          <w:tcPr>
            <w:tcW w:w="569" w:type="dxa"/>
            <w:vMerge w:val="continue"/>
            <w:vAlign w:val="center"/>
          </w:tcPr>
          <w:p w14:paraId="5F7C59C8">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p>
        </w:tc>
        <w:tc>
          <w:tcPr>
            <w:tcW w:w="944" w:type="dxa"/>
            <w:vMerge w:val="continue"/>
            <w:vAlign w:val="center"/>
          </w:tcPr>
          <w:p w14:paraId="3A2105AA">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p>
        </w:tc>
        <w:tc>
          <w:tcPr>
            <w:tcW w:w="2419" w:type="dxa"/>
            <w:vAlign w:val="center"/>
          </w:tcPr>
          <w:p w14:paraId="320337AC">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项目风险预测与防范，事故应急预案</w:t>
            </w:r>
          </w:p>
        </w:tc>
        <w:tc>
          <w:tcPr>
            <w:tcW w:w="480" w:type="dxa"/>
            <w:vAlign w:val="center"/>
          </w:tcPr>
          <w:p w14:paraId="5086340F">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2分</w:t>
            </w:r>
          </w:p>
        </w:tc>
        <w:tc>
          <w:tcPr>
            <w:tcW w:w="4000" w:type="dxa"/>
            <w:vAlign w:val="center"/>
          </w:tcPr>
          <w:p w14:paraId="79F02211">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一般，得 1.2～1.6 分；</w:t>
            </w:r>
          </w:p>
          <w:p w14:paraId="4C8A27CA">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较好，得 1.6～2.0 分。</w:t>
            </w:r>
          </w:p>
        </w:tc>
      </w:tr>
      <w:tr w14:paraId="685152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30" w:type="dxa"/>
            <w:vMerge w:val="continue"/>
            <w:vAlign w:val="center"/>
          </w:tcPr>
          <w:p w14:paraId="60FBAFA3">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p>
        </w:tc>
        <w:tc>
          <w:tcPr>
            <w:tcW w:w="569" w:type="dxa"/>
            <w:vMerge w:val="continue"/>
            <w:vAlign w:val="center"/>
          </w:tcPr>
          <w:p w14:paraId="297C9C37">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p>
        </w:tc>
        <w:tc>
          <w:tcPr>
            <w:tcW w:w="944" w:type="dxa"/>
            <w:vMerge w:val="continue"/>
            <w:vAlign w:val="center"/>
          </w:tcPr>
          <w:p w14:paraId="1C19A692">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p>
        </w:tc>
        <w:tc>
          <w:tcPr>
            <w:tcW w:w="2419" w:type="dxa"/>
            <w:vAlign w:val="center"/>
          </w:tcPr>
          <w:p w14:paraId="27259C43">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培训方案及售后服务方案</w:t>
            </w:r>
          </w:p>
        </w:tc>
        <w:tc>
          <w:tcPr>
            <w:tcW w:w="480" w:type="dxa"/>
            <w:vAlign w:val="center"/>
          </w:tcPr>
          <w:p w14:paraId="4F552B37">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2分</w:t>
            </w:r>
          </w:p>
        </w:tc>
        <w:tc>
          <w:tcPr>
            <w:tcW w:w="4000" w:type="dxa"/>
            <w:vAlign w:val="center"/>
          </w:tcPr>
          <w:p w14:paraId="2000D626">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一般，得 1.2～1.6 分；</w:t>
            </w:r>
          </w:p>
          <w:p w14:paraId="31127AE2">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较好，得 1.6～2.0 分。</w:t>
            </w:r>
          </w:p>
        </w:tc>
      </w:tr>
      <w:tr w14:paraId="0DF6F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7" w:hRule="atLeast"/>
          <w:jc w:val="center"/>
        </w:trPr>
        <w:tc>
          <w:tcPr>
            <w:tcW w:w="830" w:type="dxa"/>
            <w:vMerge w:val="restart"/>
            <w:vAlign w:val="center"/>
          </w:tcPr>
          <w:p w14:paraId="777FDBF0">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2.2.4（2）</w:t>
            </w:r>
          </w:p>
        </w:tc>
        <w:tc>
          <w:tcPr>
            <w:tcW w:w="569" w:type="dxa"/>
            <w:vMerge w:val="restart"/>
            <w:vAlign w:val="center"/>
          </w:tcPr>
          <w:p w14:paraId="0B35AB28">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主要</w:t>
            </w:r>
          </w:p>
          <w:p w14:paraId="32392AD2">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人员</w:t>
            </w:r>
          </w:p>
        </w:tc>
        <w:tc>
          <w:tcPr>
            <w:tcW w:w="944" w:type="dxa"/>
            <w:vMerge w:val="restart"/>
            <w:vAlign w:val="center"/>
          </w:tcPr>
          <w:p w14:paraId="11DDF1DB">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10分</w:t>
            </w:r>
          </w:p>
        </w:tc>
        <w:tc>
          <w:tcPr>
            <w:tcW w:w="2419" w:type="dxa"/>
            <w:vMerge w:val="restart"/>
            <w:vAlign w:val="center"/>
          </w:tcPr>
          <w:p w14:paraId="0D2C38F7">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项目经理</w:t>
            </w:r>
          </w:p>
          <w:p w14:paraId="7A9A99C6">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任职资格与业绩</w:t>
            </w:r>
          </w:p>
        </w:tc>
        <w:tc>
          <w:tcPr>
            <w:tcW w:w="480" w:type="dxa"/>
            <w:vMerge w:val="restart"/>
            <w:vAlign w:val="center"/>
          </w:tcPr>
          <w:p w14:paraId="4FE3C35A">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5分</w:t>
            </w:r>
          </w:p>
        </w:tc>
        <w:tc>
          <w:tcPr>
            <w:tcW w:w="4000" w:type="dxa"/>
            <w:vAlign w:val="center"/>
          </w:tcPr>
          <w:p w14:paraId="03642C3F">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满足资格审查条件最低要求得3</w:t>
            </w:r>
            <w:r>
              <w:rPr>
                <w:rFonts w:hint="eastAsia" w:cs="Times New Roman"/>
                <w:color w:val="auto"/>
                <w:sz w:val="18"/>
                <w:szCs w:val="18"/>
                <w:lang w:val="zh-CN"/>
              </w:rPr>
              <w:t>分。</w:t>
            </w:r>
          </w:p>
        </w:tc>
      </w:tr>
      <w:tr w14:paraId="420FE5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24" w:hRule="atLeast"/>
          <w:jc w:val="center"/>
        </w:trPr>
        <w:tc>
          <w:tcPr>
            <w:tcW w:w="830" w:type="dxa"/>
            <w:vMerge w:val="continue"/>
            <w:vAlign w:val="center"/>
          </w:tcPr>
          <w:p w14:paraId="71C2F062">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p>
        </w:tc>
        <w:tc>
          <w:tcPr>
            <w:tcW w:w="569" w:type="dxa"/>
            <w:vMerge w:val="continue"/>
            <w:vAlign w:val="center"/>
          </w:tcPr>
          <w:p w14:paraId="4085FAFA">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p>
        </w:tc>
        <w:tc>
          <w:tcPr>
            <w:tcW w:w="944" w:type="dxa"/>
            <w:vMerge w:val="continue"/>
            <w:vAlign w:val="center"/>
          </w:tcPr>
          <w:p w14:paraId="307C03D8">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p>
        </w:tc>
        <w:tc>
          <w:tcPr>
            <w:tcW w:w="2419" w:type="dxa"/>
            <w:vMerge w:val="continue"/>
            <w:vAlign w:val="center"/>
          </w:tcPr>
          <w:p w14:paraId="405BEC23">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p>
        </w:tc>
        <w:tc>
          <w:tcPr>
            <w:tcW w:w="480" w:type="dxa"/>
            <w:vMerge w:val="continue"/>
            <w:shd w:val="clear" w:color="auto" w:fill="auto"/>
            <w:vAlign w:val="center"/>
          </w:tcPr>
          <w:p w14:paraId="7D7B8DCF">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p>
        </w:tc>
        <w:tc>
          <w:tcPr>
            <w:tcW w:w="4000" w:type="dxa"/>
            <w:shd w:val="clear" w:color="auto" w:fill="auto"/>
            <w:vAlign w:val="center"/>
          </w:tcPr>
          <w:p w14:paraId="61793FD1">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在满足最低要求基础上，每增加1项以项目经理或项目副经理身份完成的高速公路机电工程施工业绩加2分，最多加2分。（如为高速公路综合业绩，业绩内必须体现机电工程施工内容）。</w:t>
            </w:r>
          </w:p>
          <w:p w14:paraId="6701FFEB">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有效业绩的确定：应为已建的国内新建或改扩建工程，不认可养护工程及国外工程业绩，人员业绩无年限要求。</w:t>
            </w:r>
          </w:p>
        </w:tc>
      </w:tr>
      <w:tr w14:paraId="70981E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8" w:hRule="atLeast"/>
          <w:jc w:val="center"/>
        </w:trPr>
        <w:tc>
          <w:tcPr>
            <w:tcW w:w="830" w:type="dxa"/>
            <w:vMerge w:val="continue"/>
            <w:vAlign w:val="center"/>
          </w:tcPr>
          <w:p w14:paraId="6E6B5FE0">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p>
        </w:tc>
        <w:tc>
          <w:tcPr>
            <w:tcW w:w="569" w:type="dxa"/>
            <w:vMerge w:val="continue"/>
            <w:vAlign w:val="center"/>
          </w:tcPr>
          <w:p w14:paraId="2744189D">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p>
        </w:tc>
        <w:tc>
          <w:tcPr>
            <w:tcW w:w="944" w:type="dxa"/>
            <w:vMerge w:val="continue"/>
            <w:vAlign w:val="center"/>
          </w:tcPr>
          <w:p w14:paraId="553DB780">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p>
        </w:tc>
        <w:tc>
          <w:tcPr>
            <w:tcW w:w="2419" w:type="dxa"/>
            <w:vMerge w:val="restart"/>
            <w:vAlign w:val="center"/>
          </w:tcPr>
          <w:p w14:paraId="06710D45">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项目总工</w:t>
            </w:r>
          </w:p>
          <w:p w14:paraId="6B89E337">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任职资格与业绩</w:t>
            </w:r>
          </w:p>
        </w:tc>
        <w:tc>
          <w:tcPr>
            <w:tcW w:w="480" w:type="dxa"/>
            <w:vMerge w:val="restart"/>
            <w:vAlign w:val="center"/>
          </w:tcPr>
          <w:p w14:paraId="0462092B">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5分</w:t>
            </w:r>
          </w:p>
        </w:tc>
        <w:tc>
          <w:tcPr>
            <w:tcW w:w="4000" w:type="dxa"/>
            <w:vAlign w:val="center"/>
          </w:tcPr>
          <w:p w14:paraId="1DE95C8D">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满足资格审查条件最低要求得3</w:t>
            </w:r>
            <w:r>
              <w:rPr>
                <w:rFonts w:hint="eastAsia" w:cs="Times New Roman"/>
                <w:color w:val="auto"/>
                <w:sz w:val="18"/>
                <w:szCs w:val="18"/>
                <w:lang w:val="zh-CN"/>
              </w:rPr>
              <w:t>分。</w:t>
            </w:r>
          </w:p>
        </w:tc>
      </w:tr>
      <w:tr w14:paraId="3C30E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52" w:hRule="atLeast"/>
          <w:jc w:val="center"/>
        </w:trPr>
        <w:tc>
          <w:tcPr>
            <w:tcW w:w="830" w:type="dxa"/>
            <w:vMerge w:val="continue"/>
            <w:vAlign w:val="center"/>
          </w:tcPr>
          <w:p w14:paraId="00B3071D">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p>
        </w:tc>
        <w:tc>
          <w:tcPr>
            <w:tcW w:w="569" w:type="dxa"/>
            <w:vMerge w:val="continue"/>
            <w:vAlign w:val="center"/>
          </w:tcPr>
          <w:p w14:paraId="4FFB3AE4">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p>
        </w:tc>
        <w:tc>
          <w:tcPr>
            <w:tcW w:w="944" w:type="dxa"/>
            <w:vMerge w:val="continue"/>
            <w:vAlign w:val="center"/>
          </w:tcPr>
          <w:p w14:paraId="40328084">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p>
        </w:tc>
        <w:tc>
          <w:tcPr>
            <w:tcW w:w="2419" w:type="dxa"/>
            <w:vMerge w:val="continue"/>
            <w:vAlign w:val="center"/>
          </w:tcPr>
          <w:p w14:paraId="0628E951">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p>
        </w:tc>
        <w:tc>
          <w:tcPr>
            <w:tcW w:w="480" w:type="dxa"/>
            <w:vMerge w:val="continue"/>
            <w:vAlign w:val="center"/>
          </w:tcPr>
          <w:p w14:paraId="04ACBEDE">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p>
        </w:tc>
        <w:tc>
          <w:tcPr>
            <w:tcW w:w="4000" w:type="dxa"/>
            <w:vAlign w:val="center"/>
          </w:tcPr>
          <w:p w14:paraId="5FF87904">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在满足最低要求基础上，每增加1项以项目总工或项目副总工身份完成的高速公路机电工程施工业绩加2分，最多加2分（如为高速公路综合业绩，业绩内必须体现机电工程施工内容）。</w:t>
            </w:r>
          </w:p>
          <w:p w14:paraId="55BF462D">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有效业绩的确定：应为已建的国内新建或改扩建工程，不认可养护工程及国外工程业绩，人员业绩无年限要求。</w:t>
            </w:r>
          </w:p>
        </w:tc>
      </w:tr>
      <w:tr w14:paraId="083351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30" w:type="dxa"/>
            <w:vAlign w:val="center"/>
          </w:tcPr>
          <w:p w14:paraId="66E3E534">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2.2.4（3）</w:t>
            </w:r>
          </w:p>
        </w:tc>
        <w:tc>
          <w:tcPr>
            <w:tcW w:w="569" w:type="dxa"/>
            <w:vAlign w:val="center"/>
          </w:tcPr>
          <w:p w14:paraId="09F92843">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评标价</w:t>
            </w:r>
          </w:p>
        </w:tc>
        <w:tc>
          <w:tcPr>
            <w:tcW w:w="944" w:type="dxa"/>
            <w:vAlign w:val="center"/>
          </w:tcPr>
          <w:p w14:paraId="2989F6B9">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50分</w:t>
            </w:r>
          </w:p>
        </w:tc>
        <w:tc>
          <w:tcPr>
            <w:tcW w:w="6899" w:type="dxa"/>
            <w:gridSpan w:val="3"/>
            <w:vAlign w:val="center"/>
          </w:tcPr>
          <w:p w14:paraId="737CFC2F">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评</w:t>
            </w:r>
            <w:r>
              <w:rPr>
                <w:rFonts w:hint="default" w:cs="Times New Roman"/>
                <w:color w:val="auto"/>
                <w:sz w:val="18"/>
                <w:szCs w:val="18"/>
              </w:rPr>
              <w:t>标价得分计算：</w:t>
            </w:r>
          </w:p>
          <w:p w14:paraId="663FD45E">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（1）如果投标人的评标价＞评标基准价</w:t>
            </w:r>
            <w:r>
              <w:rPr>
                <w:rFonts w:hint="default" w:cs="Times New Roman"/>
                <w:color w:val="auto"/>
                <w:sz w:val="18"/>
                <w:szCs w:val="18"/>
              </w:rPr>
              <w:t>，</w:t>
            </w:r>
            <w:r>
              <w:rPr>
                <w:rFonts w:hint="eastAsia" w:cs="Times New Roman"/>
                <w:color w:val="auto"/>
                <w:sz w:val="18"/>
                <w:szCs w:val="18"/>
              </w:rPr>
              <w:t>则评标价得分=50-偏差率绝对值×100×0.1；</w:t>
            </w:r>
          </w:p>
          <w:p w14:paraId="1EEE0B27">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（2）如果投标人的评标价≤评标基准价，则评标价得分=50-偏差率绝对值×100×0.05。</w:t>
            </w:r>
          </w:p>
          <w:p w14:paraId="6414BCE2">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评标价得分最低扣至0分。</w:t>
            </w:r>
          </w:p>
        </w:tc>
      </w:tr>
    </w:tbl>
    <w:p w14:paraId="588F13F9">
      <w:pPr>
        <w:pageBreakBefore w:val="0"/>
        <w:kinsoku/>
        <w:wordWrap/>
        <w:overflowPunct/>
        <w:topLinePunct w:val="0"/>
        <w:bidi w:val="0"/>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br w:type="page"/>
      </w:r>
    </w:p>
    <w:p w14:paraId="63AADCAC">
      <w:pPr>
        <w:pageBreakBefore w:val="0"/>
        <w:kinsoku/>
        <w:wordWrap/>
        <w:overflowPunct/>
        <w:topLinePunct w:val="0"/>
        <w:bidi w:val="0"/>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续上表</w:t>
      </w:r>
    </w:p>
    <w:tbl>
      <w:tblPr>
        <w:tblStyle w:val="10"/>
        <w:tblW w:w="93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860"/>
        <w:gridCol w:w="623"/>
        <w:gridCol w:w="653"/>
        <w:gridCol w:w="1028"/>
        <w:gridCol w:w="1057"/>
        <w:gridCol w:w="640"/>
        <w:gridCol w:w="4490"/>
      </w:tblGrid>
      <w:tr w14:paraId="043FA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21" w:hRule="atLeast"/>
          <w:jc w:val="center"/>
        </w:trPr>
        <w:tc>
          <w:tcPr>
            <w:tcW w:w="4861" w:type="dxa"/>
            <w:gridSpan w:val="6"/>
            <w:vAlign w:val="center"/>
          </w:tcPr>
          <w:p w14:paraId="7ED1AA6A">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评分因素与权重分值</w:t>
            </w:r>
          </w:p>
        </w:tc>
        <w:tc>
          <w:tcPr>
            <w:tcW w:w="4490" w:type="dxa"/>
            <w:vMerge w:val="restart"/>
            <w:vAlign w:val="center"/>
          </w:tcPr>
          <w:p w14:paraId="7BF1F525">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评分标准</w:t>
            </w:r>
          </w:p>
        </w:tc>
      </w:tr>
      <w:tr w14:paraId="63C193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67" w:hRule="atLeast"/>
          <w:jc w:val="center"/>
        </w:trPr>
        <w:tc>
          <w:tcPr>
            <w:tcW w:w="860" w:type="dxa"/>
            <w:vAlign w:val="center"/>
          </w:tcPr>
          <w:p w14:paraId="22276DF6">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条款号</w:t>
            </w:r>
          </w:p>
        </w:tc>
        <w:tc>
          <w:tcPr>
            <w:tcW w:w="1276" w:type="dxa"/>
            <w:gridSpan w:val="2"/>
            <w:vAlign w:val="center"/>
          </w:tcPr>
          <w:p w14:paraId="0DDC1C46">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评分因素</w:t>
            </w:r>
          </w:p>
        </w:tc>
        <w:tc>
          <w:tcPr>
            <w:tcW w:w="1028" w:type="dxa"/>
            <w:vAlign w:val="center"/>
          </w:tcPr>
          <w:p w14:paraId="5DE24FAE">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评分因素权重分值</w:t>
            </w:r>
          </w:p>
        </w:tc>
        <w:tc>
          <w:tcPr>
            <w:tcW w:w="1057" w:type="dxa"/>
            <w:vAlign w:val="center"/>
          </w:tcPr>
          <w:p w14:paraId="738A42DA">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各评分因素细分项</w:t>
            </w:r>
          </w:p>
        </w:tc>
        <w:tc>
          <w:tcPr>
            <w:tcW w:w="640" w:type="dxa"/>
            <w:vAlign w:val="center"/>
          </w:tcPr>
          <w:p w14:paraId="11358A63">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分值</w:t>
            </w:r>
          </w:p>
        </w:tc>
        <w:tc>
          <w:tcPr>
            <w:tcW w:w="4490" w:type="dxa"/>
            <w:vMerge w:val="continue"/>
            <w:vAlign w:val="center"/>
          </w:tcPr>
          <w:p w14:paraId="3D493820">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p>
        </w:tc>
      </w:tr>
      <w:tr w14:paraId="7A73A9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22" w:hRule="atLeast"/>
          <w:jc w:val="center"/>
        </w:trPr>
        <w:tc>
          <w:tcPr>
            <w:tcW w:w="860" w:type="dxa"/>
            <w:vMerge w:val="restart"/>
            <w:vAlign w:val="center"/>
          </w:tcPr>
          <w:p w14:paraId="6B213BA1">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2.2.4</w:t>
            </w:r>
          </w:p>
          <w:p w14:paraId="4B498A2E">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（4）</w:t>
            </w:r>
          </w:p>
        </w:tc>
        <w:tc>
          <w:tcPr>
            <w:tcW w:w="623" w:type="dxa"/>
            <w:vMerge w:val="restart"/>
            <w:vAlign w:val="center"/>
          </w:tcPr>
          <w:p w14:paraId="08D8EEE2">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其他因素（20分）</w:t>
            </w:r>
          </w:p>
        </w:tc>
        <w:tc>
          <w:tcPr>
            <w:tcW w:w="653" w:type="dxa"/>
            <w:vMerge w:val="restart"/>
            <w:vAlign w:val="center"/>
          </w:tcPr>
          <w:p w14:paraId="7B1217A6">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业绩</w:t>
            </w:r>
          </w:p>
        </w:tc>
        <w:tc>
          <w:tcPr>
            <w:tcW w:w="1028" w:type="dxa"/>
            <w:vMerge w:val="restart"/>
            <w:vAlign w:val="center"/>
          </w:tcPr>
          <w:p w14:paraId="2F62246D">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default" w:cs="Times New Roman"/>
                <w:color w:val="auto"/>
                <w:sz w:val="18"/>
                <w:szCs w:val="18"/>
              </w:rPr>
              <w:t>10</w:t>
            </w:r>
            <w:r>
              <w:rPr>
                <w:rFonts w:hint="eastAsia" w:cs="Times New Roman"/>
                <w:color w:val="auto"/>
                <w:sz w:val="18"/>
                <w:szCs w:val="18"/>
              </w:rPr>
              <w:t>分</w:t>
            </w:r>
          </w:p>
        </w:tc>
        <w:tc>
          <w:tcPr>
            <w:tcW w:w="1057" w:type="dxa"/>
            <w:vMerge w:val="restart"/>
            <w:vAlign w:val="center"/>
          </w:tcPr>
          <w:p w14:paraId="7AD15D88">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企业</w:t>
            </w:r>
          </w:p>
          <w:p w14:paraId="5CE2DB93">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业绩</w:t>
            </w:r>
          </w:p>
        </w:tc>
        <w:tc>
          <w:tcPr>
            <w:tcW w:w="640" w:type="dxa"/>
            <w:tcBorders>
              <w:bottom w:val="single" w:color="auto" w:sz="4" w:space="0"/>
            </w:tcBorders>
            <w:vAlign w:val="center"/>
          </w:tcPr>
          <w:p w14:paraId="1585D18E">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default" w:cs="Times New Roman"/>
                <w:color w:val="auto"/>
                <w:sz w:val="18"/>
                <w:szCs w:val="18"/>
              </w:rPr>
              <w:t>6</w:t>
            </w:r>
            <w:r>
              <w:rPr>
                <w:rFonts w:hint="eastAsia" w:cs="Times New Roman"/>
                <w:color w:val="auto"/>
                <w:sz w:val="18"/>
                <w:szCs w:val="18"/>
              </w:rPr>
              <w:t>分</w:t>
            </w:r>
          </w:p>
        </w:tc>
        <w:tc>
          <w:tcPr>
            <w:tcW w:w="4490" w:type="dxa"/>
            <w:tcBorders>
              <w:bottom w:val="single" w:color="auto" w:sz="4" w:space="0"/>
            </w:tcBorders>
            <w:vAlign w:val="center"/>
          </w:tcPr>
          <w:p w14:paraId="6BD6F557">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满足资格审查条件最低要求得6分。</w:t>
            </w:r>
          </w:p>
        </w:tc>
      </w:tr>
      <w:tr w14:paraId="272ACE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1991" w:hRule="atLeast"/>
          <w:jc w:val="center"/>
        </w:trPr>
        <w:tc>
          <w:tcPr>
            <w:tcW w:w="860" w:type="dxa"/>
            <w:vMerge w:val="continue"/>
            <w:vAlign w:val="center"/>
          </w:tcPr>
          <w:p w14:paraId="63CB3763">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p>
        </w:tc>
        <w:tc>
          <w:tcPr>
            <w:tcW w:w="623" w:type="dxa"/>
            <w:vMerge w:val="continue"/>
            <w:vAlign w:val="center"/>
          </w:tcPr>
          <w:p w14:paraId="02F11090">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p>
        </w:tc>
        <w:tc>
          <w:tcPr>
            <w:tcW w:w="653" w:type="dxa"/>
            <w:vMerge w:val="continue"/>
            <w:vAlign w:val="center"/>
          </w:tcPr>
          <w:p w14:paraId="02C819F1">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p>
        </w:tc>
        <w:tc>
          <w:tcPr>
            <w:tcW w:w="1028" w:type="dxa"/>
            <w:vMerge w:val="continue"/>
            <w:vAlign w:val="center"/>
          </w:tcPr>
          <w:p w14:paraId="6963B2DA">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p>
        </w:tc>
        <w:tc>
          <w:tcPr>
            <w:tcW w:w="1057" w:type="dxa"/>
            <w:vMerge w:val="continue"/>
            <w:vAlign w:val="center"/>
          </w:tcPr>
          <w:p w14:paraId="587670E2">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p>
        </w:tc>
        <w:tc>
          <w:tcPr>
            <w:tcW w:w="640" w:type="dxa"/>
            <w:tcBorders>
              <w:bottom w:val="single" w:color="auto" w:sz="4" w:space="0"/>
            </w:tcBorders>
            <w:vAlign w:val="center"/>
          </w:tcPr>
          <w:p w14:paraId="78823287">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default" w:cs="Times New Roman"/>
                <w:color w:val="auto"/>
                <w:sz w:val="18"/>
                <w:szCs w:val="18"/>
              </w:rPr>
              <w:t>4</w:t>
            </w:r>
            <w:r>
              <w:rPr>
                <w:rFonts w:hint="eastAsia" w:cs="Times New Roman"/>
                <w:color w:val="auto"/>
                <w:sz w:val="18"/>
                <w:szCs w:val="18"/>
              </w:rPr>
              <w:t>分</w:t>
            </w:r>
          </w:p>
        </w:tc>
        <w:tc>
          <w:tcPr>
            <w:tcW w:w="4490" w:type="dxa"/>
            <w:tcBorders>
              <w:bottom w:val="single" w:color="auto" w:sz="4" w:space="0"/>
            </w:tcBorders>
            <w:vAlign w:val="center"/>
          </w:tcPr>
          <w:p w14:paraId="19F9FC7B">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bookmarkStart w:id="10" w:name="_Hlk200551798"/>
            <w:r>
              <w:rPr>
                <w:rFonts w:hint="eastAsia" w:cs="Times New Roman"/>
                <w:color w:val="auto"/>
                <w:sz w:val="18"/>
                <w:szCs w:val="18"/>
              </w:rPr>
              <w:t>在满足最低要求基础上，近五年（2021年1月1日～投标截止时间，以交工时间为准）累计完成的高速公路机电工程施工业绩每增加1亿元加1分，最高加4分，中间值按比例内插（如为高速公路综合业绩，业绩内必须体现机电工程施工内容，且以机电工程施工金额计算业绩）。</w:t>
            </w:r>
          </w:p>
          <w:p w14:paraId="7133C33A">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有效业绩的确定：应为已建的国内新建或改扩建工程，不认可养护工程及国外工程业绩。</w:t>
            </w:r>
          </w:p>
        </w:tc>
      </w:tr>
      <w:tr w14:paraId="5AB963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612" w:hRule="atLeast"/>
          <w:jc w:val="center"/>
        </w:trPr>
        <w:tc>
          <w:tcPr>
            <w:tcW w:w="860" w:type="dxa"/>
            <w:vMerge w:val="continue"/>
            <w:vAlign w:val="center"/>
          </w:tcPr>
          <w:p w14:paraId="3EAB67A7">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p>
        </w:tc>
        <w:tc>
          <w:tcPr>
            <w:tcW w:w="623" w:type="dxa"/>
            <w:vMerge w:val="continue"/>
            <w:vAlign w:val="center"/>
          </w:tcPr>
          <w:p w14:paraId="2377190D">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p>
        </w:tc>
        <w:tc>
          <w:tcPr>
            <w:tcW w:w="653" w:type="dxa"/>
            <w:vAlign w:val="center"/>
          </w:tcPr>
          <w:p w14:paraId="7C38AEE9">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履约</w:t>
            </w:r>
          </w:p>
          <w:p w14:paraId="413F3A3E">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信誉</w:t>
            </w:r>
          </w:p>
        </w:tc>
        <w:tc>
          <w:tcPr>
            <w:tcW w:w="1028" w:type="dxa"/>
            <w:vAlign w:val="center"/>
          </w:tcPr>
          <w:p w14:paraId="26726DB2">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default" w:cs="Times New Roman"/>
                <w:color w:val="auto"/>
                <w:sz w:val="18"/>
                <w:szCs w:val="18"/>
              </w:rPr>
              <w:t>5</w:t>
            </w:r>
            <w:r>
              <w:rPr>
                <w:rFonts w:hint="eastAsia" w:cs="Times New Roman"/>
                <w:color w:val="auto"/>
                <w:sz w:val="18"/>
                <w:szCs w:val="18"/>
              </w:rPr>
              <w:t>分</w:t>
            </w:r>
          </w:p>
        </w:tc>
        <w:tc>
          <w:tcPr>
            <w:tcW w:w="1057" w:type="dxa"/>
            <w:vAlign w:val="center"/>
          </w:tcPr>
          <w:p w14:paraId="24FC2F34">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信用</w:t>
            </w:r>
          </w:p>
          <w:p w14:paraId="6C80ACA6">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评价</w:t>
            </w:r>
          </w:p>
        </w:tc>
        <w:tc>
          <w:tcPr>
            <w:tcW w:w="640" w:type="dxa"/>
            <w:vAlign w:val="center"/>
          </w:tcPr>
          <w:p w14:paraId="1ECE3036">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cs="Times New Roman"/>
                <w:color w:val="auto"/>
                <w:sz w:val="18"/>
                <w:szCs w:val="18"/>
              </w:rPr>
            </w:pPr>
            <w:r>
              <w:rPr>
                <w:rFonts w:hint="eastAsia" w:cs="Times New Roman"/>
                <w:color w:val="auto"/>
                <w:sz w:val="18"/>
                <w:szCs w:val="18"/>
              </w:rPr>
              <w:t>5分</w:t>
            </w:r>
          </w:p>
        </w:tc>
        <w:tc>
          <w:tcPr>
            <w:tcW w:w="4490" w:type="dxa"/>
            <w:vAlign w:val="center"/>
          </w:tcPr>
          <w:p w14:paraId="05137A23">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eastAsia" w:cs="Times New Roman"/>
                <w:color w:val="auto"/>
                <w:sz w:val="18"/>
                <w:szCs w:val="18"/>
              </w:rPr>
            </w:pPr>
            <w:r>
              <w:rPr>
                <w:rFonts w:hint="eastAsia" w:cs="Times New Roman"/>
                <w:color w:val="auto"/>
                <w:sz w:val="18"/>
                <w:szCs w:val="18"/>
              </w:rPr>
              <w:t>①投标人（如为联合体，则指联合体所有成员）的评价结果必须是以施工企业身份获得的，以设计企业或监理企业身份获得的评价在本次招标中无效。</w:t>
            </w:r>
          </w:p>
          <w:p w14:paraId="49699527">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eastAsia" w:cs="Times New Roman"/>
                <w:color w:val="auto"/>
                <w:sz w:val="18"/>
                <w:szCs w:val="18"/>
              </w:rPr>
            </w:pPr>
            <w:r>
              <w:rPr>
                <w:rFonts w:hint="eastAsia" w:cs="Times New Roman"/>
                <w:color w:val="auto"/>
                <w:sz w:val="18"/>
                <w:szCs w:val="18"/>
              </w:rPr>
              <w:t>②按照以下优先次序应用投标人的信用评价结果：</w:t>
            </w:r>
          </w:p>
          <w:p w14:paraId="1A0D82F1">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eastAsia" w:cs="Times New Roman"/>
                <w:color w:val="auto"/>
                <w:sz w:val="18"/>
                <w:szCs w:val="18"/>
              </w:rPr>
            </w:pPr>
            <w:r>
              <w:rPr>
                <w:rFonts w:hint="eastAsia" w:cs="Times New Roman"/>
                <w:color w:val="auto"/>
                <w:sz w:val="18"/>
                <w:szCs w:val="18"/>
              </w:rPr>
              <w:t>a. 投标人在吉林省交通运输厅发布的《关于发布吉林省2024年度公路建设市场省级信用评价结果的通告》中的信用评价等级；</w:t>
            </w:r>
          </w:p>
          <w:p w14:paraId="3C33710E">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eastAsia" w:cs="Times New Roman"/>
                <w:color w:val="auto"/>
                <w:sz w:val="18"/>
                <w:szCs w:val="18"/>
              </w:rPr>
            </w:pPr>
            <w:r>
              <w:rPr>
                <w:rFonts w:hint="eastAsia" w:cs="Times New Roman"/>
                <w:color w:val="auto"/>
                <w:sz w:val="18"/>
                <w:szCs w:val="18"/>
              </w:rPr>
              <w:t>b. 投标人在交通运输部“全国公路建设市场监督管理系统”中的2024年度</w:t>
            </w:r>
            <w:r>
              <w:rPr>
                <w:rFonts w:hint="eastAsia" w:cs="Times New Roman"/>
                <w:color w:val="auto"/>
                <w:sz w:val="18"/>
                <w:szCs w:val="18"/>
                <w:lang w:val="en-US" w:eastAsia="zh-CN"/>
              </w:rPr>
              <w:t>（如投标截止时间前交通运输部尚未发布2024年度公告则采用2023年度）</w:t>
            </w:r>
            <w:r>
              <w:rPr>
                <w:rFonts w:hint="eastAsia" w:cs="Times New Roman"/>
                <w:color w:val="auto"/>
                <w:sz w:val="18"/>
                <w:szCs w:val="18"/>
              </w:rPr>
              <w:t>全国综合信用评价等级；</w:t>
            </w:r>
          </w:p>
          <w:p w14:paraId="6E4CBC32">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eastAsia" w:cs="Times New Roman"/>
                <w:color w:val="auto"/>
                <w:sz w:val="18"/>
                <w:szCs w:val="18"/>
              </w:rPr>
            </w:pPr>
            <w:r>
              <w:rPr>
                <w:rFonts w:hint="eastAsia" w:cs="Times New Roman"/>
                <w:color w:val="auto"/>
                <w:sz w:val="18"/>
                <w:szCs w:val="18"/>
              </w:rPr>
              <w:t>c. 以上二者均有的，以信用等级较低的为准；</w:t>
            </w:r>
          </w:p>
          <w:p w14:paraId="00BE0369">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eastAsia" w:cs="Times New Roman"/>
                <w:color w:val="auto"/>
                <w:sz w:val="18"/>
                <w:szCs w:val="18"/>
              </w:rPr>
            </w:pPr>
            <w:r>
              <w:rPr>
                <w:rFonts w:hint="eastAsia" w:cs="Times New Roman"/>
                <w:color w:val="auto"/>
                <w:sz w:val="18"/>
                <w:szCs w:val="18"/>
              </w:rPr>
              <w:t>d. 两者均没有的（指无上述企业信用评价的），</w:t>
            </w:r>
            <w:r>
              <w:rPr>
                <w:rFonts w:hint="eastAsia" w:cs="Times New Roman"/>
                <w:color w:val="auto"/>
                <w:sz w:val="18"/>
                <w:szCs w:val="18"/>
                <w:lang w:val="en-US" w:eastAsia="zh-CN"/>
              </w:rPr>
              <w:t>根据“全国公路建设市场监督管理系统/不良行为记录”查询结果，若无在处罚期内的不良信用记录</w:t>
            </w:r>
            <w:r>
              <w:rPr>
                <w:rFonts w:hint="eastAsia" w:cs="Times New Roman"/>
                <w:color w:val="auto"/>
                <w:sz w:val="18"/>
                <w:szCs w:val="18"/>
              </w:rPr>
              <w:t>，按A级</w:t>
            </w:r>
            <w:r>
              <w:rPr>
                <w:rFonts w:hint="eastAsia" w:cs="Times New Roman"/>
                <w:color w:val="auto"/>
                <w:sz w:val="18"/>
                <w:szCs w:val="18"/>
                <w:lang w:val="en-US" w:eastAsia="zh-CN"/>
              </w:rPr>
              <w:t>评分</w:t>
            </w:r>
            <w:r>
              <w:rPr>
                <w:rFonts w:hint="eastAsia" w:cs="Times New Roman"/>
                <w:color w:val="auto"/>
                <w:sz w:val="18"/>
                <w:szCs w:val="18"/>
              </w:rPr>
              <w:t>；若有不良信用记录，按C级</w:t>
            </w:r>
            <w:r>
              <w:rPr>
                <w:rFonts w:hint="eastAsia" w:cs="Times New Roman"/>
                <w:color w:val="auto"/>
                <w:sz w:val="18"/>
                <w:szCs w:val="18"/>
                <w:lang w:val="en-US" w:eastAsia="zh-CN"/>
              </w:rPr>
              <w:t>评分</w:t>
            </w:r>
            <w:r>
              <w:rPr>
                <w:rFonts w:hint="eastAsia" w:cs="Times New Roman"/>
                <w:color w:val="auto"/>
                <w:sz w:val="18"/>
                <w:szCs w:val="18"/>
              </w:rPr>
              <w:t>。</w:t>
            </w:r>
          </w:p>
          <w:p w14:paraId="11F53868">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eastAsia" w:cs="Times New Roman"/>
                <w:color w:val="auto"/>
                <w:sz w:val="18"/>
                <w:szCs w:val="18"/>
              </w:rPr>
            </w:pPr>
            <w:r>
              <w:rPr>
                <w:rFonts w:hint="eastAsia" w:cs="Times New Roman"/>
                <w:color w:val="auto"/>
                <w:sz w:val="18"/>
                <w:szCs w:val="18"/>
              </w:rPr>
              <w:t>e.联合体参与投标的，按上述原则首先确定联合体各成员信用等级，最后按照联合体所有成员中最低等级方认定联合体信用等级。</w:t>
            </w:r>
          </w:p>
          <w:p w14:paraId="640568C6">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eastAsia" w:cs="Times New Roman"/>
                <w:color w:val="auto"/>
                <w:sz w:val="18"/>
                <w:szCs w:val="18"/>
              </w:rPr>
            </w:pPr>
            <w:r>
              <w:rPr>
                <w:rFonts w:hint="eastAsia" w:cs="Times New Roman"/>
                <w:color w:val="auto"/>
                <w:sz w:val="18"/>
                <w:szCs w:val="18"/>
              </w:rPr>
              <w:t>③评分标准</w:t>
            </w:r>
          </w:p>
          <w:p w14:paraId="6679CE12">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eastAsia" w:cs="Times New Roman"/>
                <w:color w:val="auto"/>
                <w:sz w:val="18"/>
                <w:szCs w:val="18"/>
              </w:rPr>
            </w:pPr>
            <w:r>
              <w:rPr>
                <w:rFonts w:hint="eastAsia" w:cs="Times New Roman"/>
                <w:color w:val="auto"/>
                <w:sz w:val="18"/>
                <w:szCs w:val="18"/>
              </w:rPr>
              <w:t>AA级、A级     5分</w:t>
            </w:r>
          </w:p>
          <w:p w14:paraId="5374FEF6">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eastAsia" w:cs="Times New Roman"/>
                <w:color w:val="auto"/>
                <w:sz w:val="18"/>
                <w:szCs w:val="18"/>
              </w:rPr>
            </w:pPr>
            <w:r>
              <w:rPr>
                <w:rFonts w:hint="eastAsia" w:cs="Times New Roman"/>
                <w:color w:val="auto"/>
                <w:sz w:val="18"/>
                <w:szCs w:val="18"/>
              </w:rPr>
              <w:t>B级            3分</w:t>
            </w:r>
          </w:p>
          <w:p w14:paraId="672129B2">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eastAsia" w:cs="Times New Roman"/>
                <w:color w:val="auto"/>
                <w:sz w:val="18"/>
                <w:szCs w:val="18"/>
              </w:rPr>
            </w:pPr>
            <w:r>
              <w:rPr>
                <w:rFonts w:hint="eastAsia" w:cs="Times New Roman"/>
                <w:color w:val="auto"/>
                <w:sz w:val="18"/>
                <w:szCs w:val="18"/>
                <w:lang w:val="en-US" w:eastAsia="zh-CN"/>
              </w:rPr>
              <w:t>C</w:t>
            </w:r>
            <w:r>
              <w:rPr>
                <w:rFonts w:hint="eastAsia" w:cs="Times New Roman"/>
                <w:color w:val="auto"/>
                <w:sz w:val="18"/>
                <w:szCs w:val="18"/>
              </w:rPr>
              <w:t>、D级         0分</w:t>
            </w:r>
          </w:p>
        </w:tc>
      </w:tr>
      <w:bookmarkEnd w:id="10"/>
      <w:tr w14:paraId="156748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1796" w:hRule="atLeast"/>
          <w:jc w:val="center"/>
        </w:trPr>
        <w:tc>
          <w:tcPr>
            <w:tcW w:w="860" w:type="dxa"/>
            <w:vMerge w:val="continue"/>
            <w:vAlign w:val="center"/>
          </w:tcPr>
          <w:p w14:paraId="16717185">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p>
        </w:tc>
        <w:tc>
          <w:tcPr>
            <w:tcW w:w="623" w:type="dxa"/>
            <w:vMerge w:val="continue"/>
            <w:vAlign w:val="center"/>
          </w:tcPr>
          <w:p w14:paraId="4CC79AC0">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p>
        </w:tc>
        <w:tc>
          <w:tcPr>
            <w:tcW w:w="653" w:type="dxa"/>
            <w:vAlign w:val="center"/>
          </w:tcPr>
          <w:p w14:paraId="5059BE22">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设备品牌与应用</w:t>
            </w:r>
          </w:p>
        </w:tc>
        <w:tc>
          <w:tcPr>
            <w:tcW w:w="1028" w:type="dxa"/>
            <w:vAlign w:val="center"/>
          </w:tcPr>
          <w:p w14:paraId="7ADCDD9D">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default" w:cs="Times New Roman"/>
                <w:color w:val="auto"/>
                <w:sz w:val="18"/>
                <w:szCs w:val="18"/>
              </w:rPr>
              <w:t>5</w:t>
            </w:r>
            <w:r>
              <w:rPr>
                <w:rFonts w:hint="eastAsia" w:cs="Times New Roman"/>
                <w:color w:val="auto"/>
                <w:sz w:val="18"/>
                <w:szCs w:val="18"/>
              </w:rPr>
              <w:t>分</w:t>
            </w:r>
          </w:p>
        </w:tc>
        <w:tc>
          <w:tcPr>
            <w:tcW w:w="1057" w:type="dxa"/>
            <w:vAlign w:val="center"/>
          </w:tcPr>
          <w:p w14:paraId="245A9F6B">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eastAsia" w:cs="Times New Roman"/>
                <w:color w:val="auto"/>
                <w:sz w:val="18"/>
                <w:szCs w:val="18"/>
              </w:rPr>
              <w:t>主要设备</w:t>
            </w:r>
          </w:p>
        </w:tc>
        <w:tc>
          <w:tcPr>
            <w:tcW w:w="640" w:type="dxa"/>
            <w:vAlign w:val="center"/>
          </w:tcPr>
          <w:p w14:paraId="6128D95D">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cs="Times New Roman"/>
                <w:color w:val="auto"/>
                <w:sz w:val="18"/>
                <w:szCs w:val="18"/>
              </w:rPr>
            </w:pPr>
            <w:r>
              <w:rPr>
                <w:rFonts w:hint="default" w:cs="Times New Roman"/>
                <w:color w:val="auto"/>
                <w:sz w:val="18"/>
                <w:szCs w:val="18"/>
              </w:rPr>
              <w:t>5</w:t>
            </w:r>
            <w:r>
              <w:rPr>
                <w:rFonts w:hint="eastAsia" w:cs="Times New Roman"/>
                <w:color w:val="auto"/>
                <w:sz w:val="18"/>
                <w:szCs w:val="18"/>
              </w:rPr>
              <w:t>分</w:t>
            </w:r>
          </w:p>
        </w:tc>
        <w:tc>
          <w:tcPr>
            <w:tcW w:w="4490" w:type="dxa"/>
            <w:vAlign w:val="center"/>
          </w:tcPr>
          <w:p w14:paraId="1D78B664">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综合比较投标设备品牌知名度和市场应用情况。</w:t>
            </w:r>
          </w:p>
          <w:p w14:paraId="724BB5D7">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①具体评分标准见附表一 主要机电设备评分内容及标准。</w:t>
            </w:r>
          </w:p>
          <w:p w14:paraId="1194B2AC">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②设备技术性能评分的计算方法：每个设备品 牌、应用得分=品牌、应用得分×品牌及应用加 权系数；</w:t>
            </w:r>
          </w:p>
          <w:p w14:paraId="5ACA14E4">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③得分计算保留两位小数，小数点后第三位 “ 四舍五入 ”。</w:t>
            </w:r>
          </w:p>
        </w:tc>
      </w:tr>
      <w:tr w14:paraId="4D1788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1785" w:hRule="atLeast"/>
          <w:jc w:val="center"/>
        </w:trPr>
        <w:tc>
          <w:tcPr>
            <w:tcW w:w="9351" w:type="dxa"/>
            <w:gridSpan w:val="7"/>
            <w:vAlign w:val="center"/>
          </w:tcPr>
          <w:p w14:paraId="29E57141">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需要补充的其他内容：</w:t>
            </w:r>
          </w:p>
          <w:p w14:paraId="34AF2C3F">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1.各评分因素（评标价和履约信誉评分项除外）得分一般不得低于其权重分值的60%，且各评分因素得分应以评标委员会各成员的打分平均值确定，该平均值以去掉一个最高分和一个最低分后计算。评标委员会成员对某一项评分因素的评分低于权重分值60%的，应在评标报告中作出说明。所有评分分值均保留至小数点后两位，小数点后第三位四舍五入。</w:t>
            </w:r>
          </w:p>
          <w:p w14:paraId="7F3BA860">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hint="default" w:cs="Times New Roman"/>
                <w:color w:val="auto"/>
                <w:sz w:val="18"/>
                <w:szCs w:val="18"/>
              </w:rPr>
            </w:pPr>
            <w:r>
              <w:rPr>
                <w:rFonts w:hint="eastAsia" w:cs="Times New Roman"/>
                <w:color w:val="auto"/>
                <w:sz w:val="18"/>
                <w:szCs w:val="18"/>
              </w:rPr>
              <w:t>2.施工组织设计采用“暗标”评审，如果某投标人的施工组织设计没有按照招标文件规定的格式、内容编制，且经评标委员会认定会暴露投标人信息的，评标委员会应一致将其施工组织设计评为0分，在详细评审汇总页面中做否决处理，并在评标报告中作出详细说明。</w:t>
            </w:r>
          </w:p>
        </w:tc>
      </w:tr>
    </w:tbl>
    <w:p w14:paraId="13528B3B">
      <w:pPr>
        <w:pageBreakBefore w:val="0"/>
        <w:kinsoku/>
        <w:wordWrap/>
        <w:overflowPunct/>
        <w:topLinePunct w:val="0"/>
        <w:bidi w:val="0"/>
        <w:snapToGrid w:val="0"/>
        <w:spacing w:line="240" w:lineRule="exact"/>
        <w:textAlignment w:val="auto"/>
        <w:rPr>
          <w:rFonts w:cs="Times New Roman"/>
          <w:color w:val="auto"/>
          <w:sz w:val="18"/>
          <w:szCs w:val="18"/>
        </w:rPr>
      </w:pPr>
      <w:bookmarkStart w:id="11" w:name="_Toc509492449"/>
    </w:p>
    <w:p w14:paraId="3AD0E82E">
      <w:pPr>
        <w:rPr>
          <w:rFonts w:cs="Times New Roman"/>
          <w:color w:val="auto"/>
          <w:sz w:val="18"/>
          <w:szCs w:val="18"/>
        </w:rPr>
      </w:pPr>
      <w:r>
        <w:rPr>
          <w:rFonts w:cs="Times New Roman"/>
          <w:color w:val="auto"/>
          <w:sz w:val="18"/>
          <w:szCs w:val="18"/>
        </w:rPr>
        <w:br w:type="page"/>
      </w:r>
    </w:p>
    <w:p w14:paraId="2B93C7DC">
      <w:pPr>
        <w:pageBreakBefore w:val="0"/>
        <w:kinsoku/>
        <w:wordWrap/>
        <w:overflowPunct/>
        <w:topLinePunct w:val="0"/>
        <w:bidi w:val="0"/>
        <w:snapToGrid w:val="0"/>
        <w:spacing w:line="240" w:lineRule="exact"/>
        <w:textAlignment w:val="auto"/>
        <w:rPr>
          <w:rFonts w:cs="Times New Roman"/>
          <w:color w:val="auto"/>
          <w:sz w:val="18"/>
          <w:szCs w:val="18"/>
        </w:rPr>
      </w:pPr>
      <w:r>
        <w:rPr>
          <w:rFonts w:cs="Times New Roman"/>
          <w:color w:val="auto"/>
          <w:sz w:val="18"/>
          <w:szCs w:val="18"/>
        </w:rPr>
        <w:t>附件一：主要机电设备评分内容及标准</w:t>
      </w:r>
    </w:p>
    <w:tbl>
      <w:tblPr>
        <w:tblStyle w:val="17"/>
        <w:tblpPr w:leftFromText="180" w:rightFromText="180" w:vertAnchor="text" w:horzAnchor="page" w:tblpX="1169" w:tblpY="70"/>
        <w:tblOverlap w:val="never"/>
        <w:tblW w:w="95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1"/>
        <w:gridCol w:w="2998"/>
        <w:gridCol w:w="1380"/>
        <w:gridCol w:w="1275"/>
        <w:gridCol w:w="2985"/>
      </w:tblGrid>
      <w:tr w14:paraId="5CDAD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891" w:type="dxa"/>
            <w:tcBorders>
              <w:top w:val="single" w:color="000000" w:sz="10" w:space="0"/>
              <w:left w:val="single" w:color="000000" w:sz="10" w:space="0"/>
            </w:tcBorders>
            <w:vAlign w:val="center"/>
          </w:tcPr>
          <w:p w14:paraId="3AB4E6EA">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cs="Times New Roman"/>
                <w:color w:val="auto"/>
                <w:sz w:val="18"/>
                <w:szCs w:val="18"/>
              </w:rPr>
            </w:pPr>
            <w:r>
              <w:rPr>
                <w:rFonts w:cs="Times New Roman"/>
                <w:color w:val="auto"/>
                <w:sz w:val="18"/>
                <w:szCs w:val="18"/>
              </w:rPr>
              <w:t>序号</w:t>
            </w:r>
          </w:p>
        </w:tc>
        <w:tc>
          <w:tcPr>
            <w:tcW w:w="2998" w:type="dxa"/>
            <w:tcBorders>
              <w:top w:val="single" w:color="000000" w:sz="10" w:space="0"/>
            </w:tcBorders>
            <w:vAlign w:val="center"/>
          </w:tcPr>
          <w:p w14:paraId="3B297DA1">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cs="Times New Roman"/>
                <w:color w:val="auto"/>
                <w:sz w:val="18"/>
                <w:szCs w:val="18"/>
              </w:rPr>
            </w:pPr>
            <w:r>
              <w:rPr>
                <w:rFonts w:cs="Times New Roman"/>
                <w:color w:val="auto"/>
                <w:sz w:val="18"/>
                <w:szCs w:val="18"/>
              </w:rPr>
              <w:t>设备名称</w:t>
            </w:r>
          </w:p>
        </w:tc>
        <w:tc>
          <w:tcPr>
            <w:tcW w:w="1380" w:type="dxa"/>
            <w:tcBorders>
              <w:top w:val="single" w:color="000000" w:sz="10" w:space="0"/>
            </w:tcBorders>
            <w:vAlign w:val="center"/>
          </w:tcPr>
          <w:p w14:paraId="6CC1DB0C">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cs="Times New Roman"/>
                <w:color w:val="auto"/>
                <w:sz w:val="18"/>
                <w:szCs w:val="18"/>
              </w:rPr>
            </w:pPr>
            <w:r>
              <w:rPr>
                <w:rFonts w:cs="Times New Roman"/>
                <w:color w:val="auto"/>
                <w:sz w:val="18"/>
                <w:szCs w:val="18"/>
              </w:rPr>
              <w:t>品牌、应用</w:t>
            </w:r>
          </w:p>
          <w:p w14:paraId="46737955">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cs="Times New Roman"/>
                <w:color w:val="auto"/>
                <w:sz w:val="18"/>
                <w:szCs w:val="18"/>
              </w:rPr>
            </w:pPr>
            <w:r>
              <w:rPr>
                <w:rFonts w:cs="Times New Roman"/>
                <w:color w:val="auto"/>
                <w:sz w:val="18"/>
                <w:szCs w:val="18"/>
              </w:rPr>
              <w:t>得分</w:t>
            </w:r>
          </w:p>
        </w:tc>
        <w:tc>
          <w:tcPr>
            <w:tcW w:w="1275" w:type="dxa"/>
            <w:tcBorders>
              <w:top w:val="single" w:color="000000" w:sz="10" w:space="0"/>
            </w:tcBorders>
            <w:vAlign w:val="center"/>
          </w:tcPr>
          <w:p w14:paraId="73BAA284">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cs="Times New Roman"/>
                <w:color w:val="auto"/>
                <w:sz w:val="18"/>
                <w:szCs w:val="18"/>
              </w:rPr>
            </w:pPr>
            <w:r>
              <w:rPr>
                <w:rFonts w:cs="Times New Roman"/>
                <w:color w:val="auto"/>
                <w:sz w:val="18"/>
                <w:szCs w:val="18"/>
              </w:rPr>
              <w:t>品牌、应用 加权系数</w:t>
            </w:r>
          </w:p>
        </w:tc>
        <w:tc>
          <w:tcPr>
            <w:tcW w:w="2985" w:type="dxa"/>
            <w:tcBorders>
              <w:top w:val="single" w:color="000000" w:sz="10" w:space="0"/>
              <w:right w:val="single" w:color="000000" w:sz="10" w:space="0"/>
            </w:tcBorders>
            <w:vAlign w:val="center"/>
          </w:tcPr>
          <w:p w14:paraId="2B2DF8F6">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cs="Times New Roman"/>
                <w:color w:val="auto"/>
                <w:sz w:val="18"/>
                <w:szCs w:val="18"/>
                <w:lang w:eastAsia="zh-CN"/>
              </w:rPr>
            </w:pPr>
            <w:r>
              <w:rPr>
                <w:rFonts w:hint="eastAsia" w:cs="Times New Roman"/>
                <w:color w:val="auto"/>
                <w:sz w:val="18"/>
                <w:szCs w:val="18"/>
                <w:lang w:eastAsia="zh-CN"/>
              </w:rPr>
              <w:t>品牌、应用加权系数标准</w:t>
            </w:r>
          </w:p>
        </w:tc>
      </w:tr>
      <w:tr w14:paraId="06DA0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891" w:type="dxa"/>
            <w:tcBorders>
              <w:left w:val="single" w:color="000000" w:sz="10" w:space="0"/>
            </w:tcBorders>
            <w:vAlign w:val="center"/>
          </w:tcPr>
          <w:p w14:paraId="618A7D8E">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cs="Times New Roman"/>
                <w:color w:val="auto"/>
                <w:sz w:val="18"/>
                <w:szCs w:val="18"/>
              </w:rPr>
            </w:pPr>
            <w:r>
              <w:rPr>
                <w:rFonts w:hint="eastAsia" w:cs="Times New Roman"/>
                <w:color w:val="auto"/>
                <w:sz w:val="18"/>
                <w:szCs w:val="18"/>
              </w:rPr>
              <w:t>1</w:t>
            </w:r>
          </w:p>
        </w:tc>
        <w:tc>
          <w:tcPr>
            <w:tcW w:w="2998" w:type="dxa"/>
            <w:vAlign w:val="center"/>
          </w:tcPr>
          <w:p w14:paraId="5F1CBBB0">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cs="Times New Roman"/>
                <w:color w:val="auto"/>
                <w:sz w:val="18"/>
                <w:szCs w:val="18"/>
              </w:rPr>
            </w:pPr>
            <w:r>
              <w:rPr>
                <w:rFonts w:hint="eastAsia" w:cs="Times New Roman"/>
                <w:color w:val="auto"/>
                <w:sz w:val="18"/>
                <w:szCs w:val="18"/>
              </w:rPr>
              <w:t>ETC天线</w:t>
            </w:r>
          </w:p>
        </w:tc>
        <w:tc>
          <w:tcPr>
            <w:tcW w:w="1380" w:type="dxa"/>
            <w:vAlign w:val="center"/>
          </w:tcPr>
          <w:p w14:paraId="6948714B">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cs="Times New Roman"/>
                <w:color w:val="auto"/>
                <w:sz w:val="18"/>
                <w:szCs w:val="18"/>
                <w:lang w:eastAsia="zh-CN"/>
              </w:rPr>
            </w:pPr>
            <w:r>
              <w:rPr>
                <w:rFonts w:hint="eastAsia" w:cs="Times New Roman"/>
                <w:color w:val="auto"/>
                <w:sz w:val="18"/>
                <w:szCs w:val="18"/>
                <w:lang w:eastAsia="zh-CN"/>
              </w:rPr>
              <w:t>1</w:t>
            </w:r>
          </w:p>
        </w:tc>
        <w:tc>
          <w:tcPr>
            <w:tcW w:w="1275" w:type="dxa"/>
            <w:vMerge w:val="restart"/>
            <w:tcBorders>
              <w:bottom w:val="nil"/>
            </w:tcBorders>
            <w:vAlign w:val="center"/>
          </w:tcPr>
          <w:p w14:paraId="63AFDD99">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cs="Times New Roman"/>
                <w:color w:val="auto"/>
                <w:sz w:val="18"/>
                <w:szCs w:val="18"/>
              </w:rPr>
            </w:pPr>
            <w:r>
              <w:rPr>
                <w:rFonts w:cs="Times New Roman"/>
                <w:color w:val="auto"/>
                <w:sz w:val="18"/>
                <w:szCs w:val="18"/>
              </w:rPr>
              <w:t>0.6～1</w:t>
            </w:r>
          </w:p>
        </w:tc>
        <w:tc>
          <w:tcPr>
            <w:tcW w:w="2985" w:type="dxa"/>
            <w:vMerge w:val="restart"/>
            <w:tcBorders>
              <w:bottom w:val="nil"/>
              <w:right w:val="single" w:color="000000" w:sz="10" w:space="0"/>
            </w:tcBorders>
            <w:vAlign w:val="center"/>
          </w:tcPr>
          <w:p w14:paraId="622EB089">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cs="Times New Roman"/>
                <w:color w:val="auto"/>
                <w:sz w:val="18"/>
                <w:szCs w:val="18"/>
                <w:lang w:eastAsia="zh-CN"/>
              </w:rPr>
            </w:pPr>
            <w:r>
              <w:rPr>
                <w:rFonts w:cs="Times New Roman"/>
                <w:color w:val="auto"/>
                <w:sz w:val="18"/>
                <w:szCs w:val="18"/>
                <w:lang w:eastAsia="zh-CN"/>
              </w:rPr>
              <w:t>①</w:t>
            </w:r>
            <w:r>
              <w:rPr>
                <w:rFonts w:hint="eastAsia" w:cs="Times New Roman"/>
                <w:color w:val="auto"/>
                <w:sz w:val="18"/>
                <w:szCs w:val="18"/>
                <w:lang w:eastAsia="zh-CN"/>
              </w:rPr>
              <w:t>选用知名品牌、在国内行业中大范围使用的取 1；</w:t>
            </w:r>
          </w:p>
          <w:p w14:paraId="445F3C94">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cs="Times New Roman"/>
                <w:color w:val="auto"/>
                <w:sz w:val="18"/>
                <w:szCs w:val="18"/>
                <w:lang w:eastAsia="zh-CN"/>
              </w:rPr>
            </w:pPr>
            <w:r>
              <w:rPr>
                <w:rFonts w:cs="Times New Roman"/>
                <w:color w:val="auto"/>
                <w:sz w:val="18"/>
                <w:szCs w:val="18"/>
                <w:lang w:eastAsia="zh-CN"/>
              </w:rPr>
              <w:t>②</w:t>
            </w:r>
            <w:r>
              <w:rPr>
                <w:rFonts w:hint="eastAsia" w:cs="Times New Roman"/>
                <w:color w:val="auto"/>
                <w:sz w:val="18"/>
                <w:szCs w:val="18"/>
                <w:lang w:eastAsia="zh-CN"/>
              </w:rPr>
              <w:t>选用一般品牌、在国内行业中有一定比例使用的取0.8；</w:t>
            </w:r>
          </w:p>
          <w:p w14:paraId="49AE1410">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cs="Times New Roman"/>
                <w:color w:val="auto"/>
                <w:sz w:val="18"/>
                <w:szCs w:val="18"/>
                <w:lang w:eastAsia="zh-CN"/>
              </w:rPr>
            </w:pPr>
            <w:r>
              <w:rPr>
                <w:rFonts w:hint="eastAsia" w:cs="Times New Roman"/>
                <w:color w:val="auto"/>
                <w:sz w:val="18"/>
                <w:szCs w:val="18"/>
                <w:lang w:eastAsia="zh-CN"/>
              </w:rPr>
              <w:t>③选用不知名品牌、在国内行业中有较少比例使用的取 0.6。</w:t>
            </w:r>
          </w:p>
        </w:tc>
      </w:tr>
      <w:tr w14:paraId="0DE65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891" w:type="dxa"/>
            <w:tcBorders>
              <w:left w:val="single" w:color="000000" w:sz="10" w:space="0"/>
            </w:tcBorders>
            <w:vAlign w:val="center"/>
          </w:tcPr>
          <w:p w14:paraId="139D2916">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cs="Times New Roman"/>
                <w:color w:val="auto"/>
                <w:sz w:val="18"/>
                <w:szCs w:val="18"/>
              </w:rPr>
            </w:pPr>
            <w:r>
              <w:rPr>
                <w:rFonts w:hint="eastAsia" w:cs="Times New Roman"/>
                <w:color w:val="auto"/>
                <w:sz w:val="18"/>
                <w:szCs w:val="18"/>
              </w:rPr>
              <w:t>2</w:t>
            </w:r>
          </w:p>
        </w:tc>
        <w:tc>
          <w:tcPr>
            <w:tcW w:w="2998" w:type="dxa"/>
            <w:vAlign w:val="center"/>
          </w:tcPr>
          <w:p w14:paraId="29AC5F6F">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cs="Times New Roman"/>
                <w:color w:val="auto"/>
                <w:sz w:val="18"/>
                <w:szCs w:val="18"/>
              </w:rPr>
            </w:pPr>
            <w:r>
              <w:rPr>
                <w:rFonts w:hint="eastAsia" w:cs="Times New Roman"/>
                <w:color w:val="auto"/>
                <w:sz w:val="18"/>
                <w:szCs w:val="18"/>
              </w:rPr>
              <w:t>悬臂式可变情报板</w:t>
            </w:r>
          </w:p>
        </w:tc>
        <w:tc>
          <w:tcPr>
            <w:tcW w:w="1380" w:type="dxa"/>
            <w:vAlign w:val="center"/>
          </w:tcPr>
          <w:p w14:paraId="447CF4FB">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cs="Times New Roman"/>
                <w:color w:val="auto"/>
                <w:sz w:val="18"/>
                <w:szCs w:val="18"/>
              </w:rPr>
            </w:pPr>
            <w:r>
              <w:rPr>
                <w:rFonts w:hint="eastAsia" w:cs="Times New Roman"/>
                <w:color w:val="auto"/>
                <w:sz w:val="18"/>
                <w:szCs w:val="18"/>
              </w:rPr>
              <w:t>1</w:t>
            </w:r>
          </w:p>
        </w:tc>
        <w:tc>
          <w:tcPr>
            <w:tcW w:w="1275" w:type="dxa"/>
            <w:vMerge w:val="continue"/>
            <w:tcBorders>
              <w:top w:val="nil"/>
              <w:bottom w:val="nil"/>
            </w:tcBorders>
            <w:vAlign w:val="center"/>
          </w:tcPr>
          <w:p w14:paraId="5E5AD679">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cs="Times New Roman"/>
                <w:color w:val="auto"/>
                <w:sz w:val="18"/>
                <w:szCs w:val="18"/>
              </w:rPr>
            </w:pPr>
          </w:p>
        </w:tc>
        <w:tc>
          <w:tcPr>
            <w:tcW w:w="2985" w:type="dxa"/>
            <w:vMerge w:val="continue"/>
            <w:tcBorders>
              <w:top w:val="nil"/>
              <w:bottom w:val="nil"/>
              <w:right w:val="single" w:color="000000" w:sz="10" w:space="0"/>
            </w:tcBorders>
            <w:vAlign w:val="center"/>
          </w:tcPr>
          <w:p w14:paraId="65000677">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cs="Times New Roman"/>
                <w:color w:val="auto"/>
                <w:sz w:val="18"/>
                <w:szCs w:val="18"/>
              </w:rPr>
            </w:pPr>
          </w:p>
        </w:tc>
      </w:tr>
      <w:tr w14:paraId="6F4E3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891" w:type="dxa"/>
            <w:tcBorders>
              <w:left w:val="single" w:color="000000" w:sz="10" w:space="0"/>
            </w:tcBorders>
            <w:vAlign w:val="center"/>
          </w:tcPr>
          <w:p w14:paraId="698DC527">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cs="Times New Roman"/>
                <w:color w:val="auto"/>
                <w:sz w:val="18"/>
                <w:szCs w:val="18"/>
              </w:rPr>
            </w:pPr>
            <w:r>
              <w:rPr>
                <w:rFonts w:hint="eastAsia" w:cs="Times New Roman"/>
                <w:color w:val="auto"/>
                <w:sz w:val="18"/>
                <w:szCs w:val="18"/>
              </w:rPr>
              <w:t>3</w:t>
            </w:r>
          </w:p>
        </w:tc>
        <w:tc>
          <w:tcPr>
            <w:tcW w:w="2998" w:type="dxa"/>
            <w:vAlign w:val="center"/>
          </w:tcPr>
          <w:p w14:paraId="066944DF">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cs="Times New Roman"/>
                <w:color w:val="auto"/>
                <w:sz w:val="18"/>
                <w:szCs w:val="18"/>
                <w:lang w:eastAsia="zh-CN"/>
              </w:rPr>
            </w:pPr>
            <w:r>
              <w:rPr>
                <w:rFonts w:hint="eastAsia" w:cs="Times New Roman"/>
                <w:color w:val="auto"/>
                <w:sz w:val="18"/>
                <w:szCs w:val="18"/>
                <w:lang w:eastAsia="zh-CN"/>
              </w:rPr>
              <w:t>车型识别设备</w:t>
            </w:r>
          </w:p>
        </w:tc>
        <w:tc>
          <w:tcPr>
            <w:tcW w:w="1380" w:type="dxa"/>
            <w:vAlign w:val="center"/>
          </w:tcPr>
          <w:p w14:paraId="5BF6CE72">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cs="Times New Roman"/>
                <w:color w:val="auto"/>
                <w:sz w:val="18"/>
                <w:szCs w:val="18"/>
              </w:rPr>
            </w:pPr>
            <w:r>
              <w:rPr>
                <w:rFonts w:hint="eastAsia" w:cs="Times New Roman"/>
                <w:color w:val="auto"/>
                <w:sz w:val="18"/>
                <w:szCs w:val="18"/>
              </w:rPr>
              <w:t>1</w:t>
            </w:r>
          </w:p>
        </w:tc>
        <w:tc>
          <w:tcPr>
            <w:tcW w:w="1275" w:type="dxa"/>
            <w:vMerge w:val="continue"/>
            <w:tcBorders>
              <w:top w:val="nil"/>
              <w:bottom w:val="nil"/>
            </w:tcBorders>
            <w:vAlign w:val="center"/>
          </w:tcPr>
          <w:p w14:paraId="546D4492">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cs="Times New Roman"/>
                <w:color w:val="auto"/>
                <w:sz w:val="18"/>
                <w:szCs w:val="18"/>
              </w:rPr>
            </w:pPr>
          </w:p>
        </w:tc>
        <w:tc>
          <w:tcPr>
            <w:tcW w:w="2985" w:type="dxa"/>
            <w:vMerge w:val="continue"/>
            <w:tcBorders>
              <w:top w:val="nil"/>
              <w:bottom w:val="nil"/>
              <w:right w:val="single" w:color="000000" w:sz="10" w:space="0"/>
            </w:tcBorders>
            <w:vAlign w:val="center"/>
          </w:tcPr>
          <w:p w14:paraId="003A41C3">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cs="Times New Roman"/>
                <w:color w:val="auto"/>
                <w:sz w:val="18"/>
                <w:szCs w:val="18"/>
              </w:rPr>
            </w:pPr>
          </w:p>
        </w:tc>
      </w:tr>
      <w:tr w14:paraId="4B5CF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891" w:type="dxa"/>
            <w:tcBorders>
              <w:left w:val="single" w:color="000000" w:sz="10" w:space="0"/>
            </w:tcBorders>
            <w:vAlign w:val="center"/>
          </w:tcPr>
          <w:p w14:paraId="2AFE7309">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cs="Times New Roman"/>
                <w:color w:val="auto"/>
                <w:sz w:val="18"/>
                <w:szCs w:val="18"/>
                <w:lang w:eastAsia="zh-CN"/>
              </w:rPr>
            </w:pPr>
            <w:r>
              <w:rPr>
                <w:rFonts w:hint="eastAsia" w:cs="Times New Roman"/>
                <w:color w:val="auto"/>
                <w:sz w:val="18"/>
                <w:szCs w:val="18"/>
                <w:lang w:eastAsia="zh-CN"/>
              </w:rPr>
              <w:t>4</w:t>
            </w:r>
          </w:p>
        </w:tc>
        <w:tc>
          <w:tcPr>
            <w:tcW w:w="2998" w:type="dxa"/>
            <w:vAlign w:val="center"/>
          </w:tcPr>
          <w:p w14:paraId="5A2BCF99">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cs="Times New Roman"/>
                <w:color w:val="auto"/>
                <w:sz w:val="18"/>
                <w:szCs w:val="18"/>
                <w:lang w:eastAsia="zh-CN"/>
              </w:rPr>
            </w:pPr>
            <w:r>
              <w:rPr>
                <w:rFonts w:hint="eastAsia" w:cs="Times New Roman"/>
                <w:color w:val="auto"/>
                <w:sz w:val="18"/>
                <w:szCs w:val="18"/>
                <w:lang w:eastAsia="zh-CN"/>
              </w:rPr>
              <w:t>UPS电源</w:t>
            </w:r>
          </w:p>
        </w:tc>
        <w:tc>
          <w:tcPr>
            <w:tcW w:w="1380" w:type="dxa"/>
            <w:vAlign w:val="center"/>
          </w:tcPr>
          <w:p w14:paraId="0BDC7EB9">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cs="Times New Roman"/>
                <w:color w:val="auto"/>
                <w:sz w:val="18"/>
                <w:szCs w:val="18"/>
                <w:lang w:eastAsia="zh-CN"/>
              </w:rPr>
            </w:pPr>
            <w:r>
              <w:rPr>
                <w:rFonts w:hint="eastAsia" w:cs="Times New Roman"/>
                <w:color w:val="auto"/>
                <w:sz w:val="18"/>
                <w:szCs w:val="18"/>
                <w:lang w:eastAsia="zh-CN"/>
              </w:rPr>
              <w:t>1</w:t>
            </w:r>
          </w:p>
        </w:tc>
        <w:tc>
          <w:tcPr>
            <w:tcW w:w="1275" w:type="dxa"/>
            <w:vMerge w:val="continue"/>
            <w:tcBorders>
              <w:top w:val="nil"/>
              <w:bottom w:val="nil"/>
            </w:tcBorders>
            <w:vAlign w:val="center"/>
          </w:tcPr>
          <w:p w14:paraId="16651AE4">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cs="Times New Roman"/>
                <w:color w:val="auto"/>
                <w:sz w:val="18"/>
                <w:szCs w:val="18"/>
              </w:rPr>
            </w:pPr>
          </w:p>
        </w:tc>
        <w:tc>
          <w:tcPr>
            <w:tcW w:w="2985" w:type="dxa"/>
            <w:vMerge w:val="continue"/>
            <w:tcBorders>
              <w:top w:val="nil"/>
              <w:bottom w:val="nil"/>
              <w:right w:val="single" w:color="000000" w:sz="10" w:space="0"/>
            </w:tcBorders>
            <w:vAlign w:val="center"/>
          </w:tcPr>
          <w:p w14:paraId="491D6073">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cs="Times New Roman"/>
                <w:color w:val="auto"/>
                <w:sz w:val="18"/>
                <w:szCs w:val="18"/>
              </w:rPr>
            </w:pPr>
          </w:p>
        </w:tc>
      </w:tr>
      <w:tr w14:paraId="71C3C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891" w:type="dxa"/>
            <w:tcBorders>
              <w:left w:val="single" w:color="000000" w:sz="10" w:space="0"/>
            </w:tcBorders>
            <w:vAlign w:val="center"/>
          </w:tcPr>
          <w:p w14:paraId="52E8CCAD">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cs="Times New Roman"/>
                <w:color w:val="auto"/>
                <w:sz w:val="18"/>
                <w:szCs w:val="18"/>
                <w:lang w:eastAsia="zh-CN"/>
              </w:rPr>
            </w:pPr>
            <w:r>
              <w:rPr>
                <w:rFonts w:hint="eastAsia" w:cs="Times New Roman"/>
                <w:color w:val="auto"/>
                <w:sz w:val="18"/>
                <w:szCs w:val="18"/>
                <w:lang w:eastAsia="zh-CN"/>
              </w:rPr>
              <w:t>5</w:t>
            </w:r>
          </w:p>
        </w:tc>
        <w:tc>
          <w:tcPr>
            <w:tcW w:w="2998" w:type="dxa"/>
            <w:vAlign w:val="center"/>
          </w:tcPr>
          <w:p w14:paraId="57B3A8B2">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cs="Times New Roman"/>
                <w:color w:val="auto"/>
                <w:sz w:val="18"/>
                <w:szCs w:val="18"/>
              </w:rPr>
            </w:pPr>
            <w:r>
              <w:rPr>
                <w:rFonts w:hint="eastAsia" w:cs="Times New Roman"/>
                <w:color w:val="auto"/>
                <w:sz w:val="18"/>
                <w:szCs w:val="18"/>
              </w:rPr>
              <w:t>雷达</w:t>
            </w:r>
          </w:p>
        </w:tc>
        <w:tc>
          <w:tcPr>
            <w:tcW w:w="1380" w:type="dxa"/>
            <w:vAlign w:val="center"/>
          </w:tcPr>
          <w:p w14:paraId="15AB9034">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cs="Times New Roman"/>
                <w:color w:val="auto"/>
                <w:sz w:val="18"/>
                <w:szCs w:val="18"/>
                <w:lang w:eastAsia="zh-CN"/>
              </w:rPr>
            </w:pPr>
            <w:r>
              <w:rPr>
                <w:rFonts w:hint="eastAsia" w:cs="Times New Roman"/>
                <w:color w:val="auto"/>
                <w:sz w:val="18"/>
                <w:szCs w:val="18"/>
                <w:lang w:eastAsia="zh-CN"/>
              </w:rPr>
              <w:t>1</w:t>
            </w:r>
          </w:p>
        </w:tc>
        <w:tc>
          <w:tcPr>
            <w:tcW w:w="1275" w:type="dxa"/>
            <w:vMerge w:val="continue"/>
            <w:tcBorders>
              <w:top w:val="nil"/>
              <w:bottom w:val="nil"/>
            </w:tcBorders>
            <w:vAlign w:val="center"/>
          </w:tcPr>
          <w:p w14:paraId="6D17D104">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cs="Times New Roman"/>
                <w:color w:val="auto"/>
                <w:sz w:val="18"/>
                <w:szCs w:val="18"/>
              </w:rPr>
            </w:pPr>
          </w:p>
        </w:tc>
        <w:tc>
          <w:tcPr>
            <w:tcW w:w="2985" w:type="dxa"/>
            <w:vMerge w:val="continue"/>
            <w:tcBorders>
              <w:top w:val="nil"/>
              <w:bottom w:val="nil"/>
              <w:right w:val="single" w:color="000000" w:sz="10" w:space="0"/>
            </w:tcBorders>
            <w:vAlign w:val="center"/>
          </w:tcPr>
          <w:p w14:paraId="16218BED">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cs="Times New Roman"/>
                <w:color w:val="auto"/>
                <w:sz w:val="18"/>
                <w:szCs w:val="18"/>
              </w:rPr>
            </w:pPr>
          </w:p>
        </w:tc>
      </w:tr>
      <w:tr w14:paraId="75FFE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3889" w:type="dxa"/>
            <w:gridSpan w:val="2"/>
            <w:tcBorders>
              <w:left w:val="single" w:color="000000" w:sz="10" w:space="0"/>
              <w:bottom w:val="single" w:color="000000" w:sz="10" w:space="0"/>
            </w:tcBorders>
            <w:vAlign w:val="center"/>
          </w:tcPr>
          <w:p w14:paraId="4CAF5CF2">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cs="Times New Roman"/>
                <w:color w:val="auto"/>
                <w:sz w:val="18"/>
                <w:szCs w:val="18"/>
              </w:rPr>
            </w:pPr>
            <w:r>
              <w:rPr>
                <w:rFonts w:hint="eastAsia" w:cs="Times New Roman"/>
                <w:color w:val="auto"/>
                <w:sz w:val="18"/>
                <w:szCs w:val="18"/>
              </w:rPr>
              <w:t>合计</w:t>
            </w:r>
          </w:p>
        </w:tc>
        <w:tc>
          <w:tcPr>
            <w:tcW w:w="1380" w:type="dxa"/>
            <w:tcBorders>
              <w:bottom w:val="single" w:color="000000" w:sz="10" w:space="0"/>
            </w:tcBorders>
            <w:vAlign w:val="center"/>
          </w:tcPr>
          <w:p w14:paraId="6E26FD3F">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cs="Times New Roman"/>
                <w:color w:val="auto"/>
                <w:sz w:val="18"/>
                <w:szCs w:val="18"/>
              </w:rPr>
            </w:pPr>
            <w:r>
              <w:rPr>
                <w:rFonts w:hint="eastAsia" w:cs="Times New Roman"/>
                <w:color w:val="auto"/>
                <w:sz w:val="18"/>
                <w:szCs w:val="18"/>
              </w:rPr>
              <w:t>5分</w:t>
            </w:r>
          </w:p>
        </w:tc>
        <w:tc>
          <w:tcPr>
            <w:tcW w:w="1275" w:type="dxa"/>
            <w:vMerge w:val="continue"/>
            <w:tcBorders>
              <w:top w:val="nil"/>
              <w:bottom w:val="single" w:color="000000" w:sz="10" w:space="0"/>
            </w:tcBorders>
            <w:vAlign w:val="center"/>
          </w:tcPr>
          <w:p w14:paraId="6EB4A18D">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cs="Times New Roman"/>
                <w:color w:val="auto"/>
                <w:sz w:val="18"/>
                <w:szCs w:val="18"/>
              </w:rPr>
            </w:pPr>
          </w:p>
        </w:tc>
        <w:tc>
          <w:tcPr>
            <w:tcW w:w="2985" w:type="dxa"/>
            <w:vMerge w:val="continue"/>
            <w:tcBorders>
              <w:top w:val="nil"/>
              <w:bottom w:val="single" w:color="000000" w:sz="10" w:space="0"/>
              <w:right w:val="single" w:color="000000" w:sz="10" w:space="0"/>
            </w:tcBorders>
            <w:vAlign w:val="center"/>
          </w:tcPr>
          <w:p w14:paraId="072CAF19">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cs="Times New Roman"/>
                <w:color w:val="auto"/>
                <w:sz w:val="18"/>
                <w:szCs w:val="18"/>
              </w:rPr>
            </w:pPr>
          </w:p>
        </w:tc>
      </w:tr>
      <w:bookmarkEnd w:id="11"/>
    </w:tbl>
    <w:p w14:paraId="25A0A23B">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评标办法</w:t>
      </w:r>
    </w:p>
    <w:p w14:paraId="0C62D880">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bookmarkStart w:id="12" w:name="_Toc35268506"/>
      <w:bookmarkStart w:id="13" w:name="_Toc234382664"/>
      <w:r>
        <w:rPr>
          <w:rFonts w:cs="Times New Roman"/>
          <w:color w:val="auto"/>
          <w:sz w:val="18"/>
          <w:szCs w:val="18"/>
        </w:rPr>
        <w:t>1. 评标方法</w:t>
      </w:r>
      <w:bookmarkEnd w:id="12"/>
      <w:bookmarkEnd w:id="13"/>
    </w:p>
    <w:p w14:paraId="25611487">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cs="Times New Roman"/>
          <w:color w:val="auto"/>
          <w:sz w:val="18"/>
          <w:szCs w:val="18"/>
        </w:rPr>
        <w:t>本次评标采用综合评</w:t>
      </w:r>
      <w:r>
        <w:rPr>
          <w:rFonts w:hint="eastAsia" w:cs="Times New Roman"/>
          <w:color w:val="auto"/>
          <w:sz w:val="18"/>
          <w:szCs w:val="18"/>
        </w:rPr>
        <w:t>分</w:t>
      </w:r>
      <w:r>
        <w:rPr>
          <w:rFonts w:cs="Times New Roman"/>
          <w:color w:val="auto"/>
          <w:sz w:val="18"/>
          <w:szCs w:val="18"/>
        </w:rPr>
        <w:t>法。评标委员会对满足招标文件实质性要求的投标文件，按照本章第2.2款规定的评分标准进行打分，并按得分由高到低顺序推荐中标候选人，或根据招标人授权直接确定中标人，但投标报价低于其成本的除外。综合评分相等时</w:t>
      </w:r>
      <w:r>
        <w:rPr>
          <w:rFonts w:hint="eastAsia" w:cs="Times New Roman"/>
          <w:color w:val="auto"/>
          <w:sz w:val="18"/>
          <w:szCs w:val="18"/>
        </w:rPr>
        <w:t>，评标委员会应按照评标办法前附表规定的优先次序推荐中标候选人或确定中标人</w:t>
      </w:r>
      <w:r>
        <w:rPr>
          <w:rFonts w:cs="Times New Roman"/>
          <w:color w:val="auto"/>
          <w:sz w:val="18"/>
          <w:szCs w:val="18"/>
        </w:rPr>
        <w:t>。</w:t>
      </w:r>
    </w:p>
    <w:p w14:paraId="6D47BD8E">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bookmarkStart w:id="14" w:name="_Toc234382665"/>
      <w:bookmarkStart w:id="15" w:name="_Toc35268507"/>
      <w:r>
        <w:rPr>
          <w:rFonts w:cs="Times New Roman"/>
          <w:color w:val="auto"/>
          <w:sz w:val="18"/>
          <w:szCs w:val="18"/>
        </w:rPr>
        <w:t>2. 评审标准</w:t>
      </w:r>
      <w:bookmarkEnd w:id="14"/>
      <w:bookmarkEnd w:id="15"/>
    </w:p>
    <w:p w14:paraId="75CF8F96">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bookmarkStart w:id="16" w:name="_Toc35268508"/>
      <w:r>
        <w:rPr>
          <w:rFonts w:cs="Times New Roman"/>
          <w:color w:val="auto"/>
          <w:sz w:val="18"/>
          <w:szCs w:val="18"/>
        </w:rPr>
        <w:t>2.1 初步评审标准</w:t>
      </w:r>
      <w:bookmarkEnd w:id="16"/>
    </w:p>
    <w:p w14:paraId="13A0A47C">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cs="Times New Roman"/>
          <w:color w:val="auto"/>
          <w:sz w:val="18"/>
          <w:szCs w:val="18"/>
        </w:rPr>
        <w:t>2.1.1 形式评审标准：见评标办法前附表。</w:t>
      </w:r>
    </w:p>
    <w:p w14:paraId="5BE36DE0">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cs="Times New Roman"/>
          <w:color w:val="auto"/>
          <w:sz w:val="18"/>
          <w:szCs w:val="18"/>
        </w:rPr>
        <w:t>2.1.2 资格评审标准：见评标办法前附表（适用于未进行资格预审的）。</w:t>
      </w:r>
    </w:p>
    <w:p w14:paraId="5C041DA3">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cs="Times New Roman"/>
          <w:color w:val="auto"/>
          <w:sz w:val="18"/>
          <w:szCs w:val="18"/>
        </w:rPr>
        <w:t>2.1.2 资格评审标准：见资格预审文件第三章“资格审查办法”详细审查标准（适用于已进行资格预审的）。</w:t>
      </w:r>
    </w:p>
    <w:p w14:paraId="3E1E5382">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cs="Times New Roman"/>
          <w:color w:val="auto"/>
          <w:sz w:val="18"/>
          <w:szCs w:val="18"/>
        </w:rPr>
        <w:t>2.1.3 响应性评审标准：见评标办法前附表。</w:t>
      </w:r>
    </w:p>
    <w:p w14:paraId="60F02A8E">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bookmarkStart w:id="17" w:name="_Toc35268509"/>
      <w:r>
        <w:rPr>
          <w:rFonts w:cs="Times New Roman"/>
          <w:color w:val="auto"/>
          <w:sz w:val="18"/>
          <w:szCs w:val="18"/>
        </w:rPr>
        <w:t xml:space="preserve">2.2 </w:t>
      </w:r>
      <w:r>
        <w:rPr>
          <w:rFonts w:hint="eastAsia" w:cs="Times New Roman"/>
          <w:color w:val="auto"/>
          <w:sz w:val="18"/>
          <w:szCs w:val="18"/>
        </w:rPr>
        <w:t>分值构成与评分标准</w:t>
      </w:r>
      <w:bookmarkEnd w:id="17"/>
    </w:p>
    <w:p w14:paraId="748C5E4F">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2.2.1分值构成</w:t>
      </w:r>
    </w:p>
    <w:p w14:paraId="68800143">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（1）施工组织设计：见评标办法前附表；</w:t>
      </w:r>
    </w:p>
    <w:p w14:paraId="73B76383">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（2）主要人员：见评标办法前附表；</w:t>
      </w:r>
    </w:p>
    <w:p w14:paraId="6CC8E734">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（3）投标报价：见评标办法前附表；</w:t>
      </w:r>
    </w:p>
    <w:p w14:paraId="0568D556">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（4）其他评分因素：见评标办法前附表。</w:t>
      </w:r>
    </w:p>
    <w:p w14:paraId="420BB113">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2.2.2评标基准价计算</w:t>
      </w:r>
    </w:p>
    <w:p w14:paraId="305684B1">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评标基准价计算方法：见评标办法前附表。</w:t>
      </w:r>
    </w:p>
    <w:p w14:paraId="5B53BC84">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2.2.3投标报价的偏差率计算</w:t>
      </w:r>
    </w:p>
    <w:p w14:paraId="4B5D4F14">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投标报价的偏差率计算公式：见评标办法前附表。</w:t>
      </w:r>
    </w:p>
    <w:p w14:paraId="63AC33EB">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2.2.4评分标准</w:t>
      </w:r>
    </w:p>
    <w:p w14:paraId="585484D2">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（1）施工组织设计评分标准：见评标办法前附表；</w:t>
      </w:r>
    </w:p>
    <w:p w14:paraId="168BF736">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（2）主要人员评分标准：见评标办法前附表；</w:t>
      </w:r>
    </w:p>
    <w:p w14:paraId="2BF0D1A0">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（3）投标报价评分标准：见评标办法前附表；</w:t>
      </w:r>
    </w:p>
    <w:p w14:paraId="6E0F265F">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（4）其他因素评分标准：见评标办法前附表。</w:t>
      </w:r>
    </w:p>
    <w:p w14:paraId="2386B102">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bookmarkStart w:id="18" w:name="_Toc35268510"/>
      <w:r>
        <w:rPr>
          <w:rFonts w:cs="Times New Roman"/>
          <w:color w:val="auto"/>
          <w:sz w:val="18"/>
          <w:szCs w:val="18"/>
        </w:rPr>
        <w:t>3. 评标程序</w:t>
      </w:r>
      <w:bookmarkEnd w:id="18"/>
    </w:p>
    <w:p w14:paraId="32A5B170">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bookmarkStart w:id="19" w:name="_Toc35268511"/>
      <w:r>
        <w:rPr>
          <w:rFonts w:cs="Times New Roman"/>
          <w:color w:val="auto"/>
          <w:sz w:val="18"/>
          <w:szCs w:val="18"/>
        </w:rPr>
        <w:t xml:space="preserve">3.1 </w:t>
      </w:r>
      <w:r>
        <w:rPr>
          <w:rFonts w:hint="eastAsia" w:cs="Times New Roman"/>
          <w:color w:val="auto"/>
          <w:sz w:val="18"/>
          <w:szCs w:val="18"/>
        </w:rPr>
        <w:t>第一个信封</w:t>
      </w:r>
      <w:r>
        <w:rPr>
          <w:rFonts w:cs="Times New Roman"/>
          <w:color w:val="auto"/>
          <w:sz w:val="18"/>
          <w:szCs w:val="18"/>
        </w:rPr>
        <w:t>初步评审</w:t>
      </w:r>
      <w:bookmarkEnd w:id="19"/>
    </w:p>
    <w:p w14:paraId="7F238E0F">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cs="Times New Roman"/>
          <w:color w:val="auto"/>
          <w:sz w:val="18"/>
          <w:szCs w:val="18"/>
        </w:rPr>
        <w:t>3.1.1 评标委员会可以要求投标人提交第二章“投标人须知”第3.5.1项至第3.5.</w:t>
      </w:r>
      <w:r>
        <w:rPr>
          <w:rFonts w:hint="eastAsia" w:cs="Times New Roman"/>
          <w:color w:val="auto"/>
          <w:sz w:val="18"/>
          <w:szCs w:val="18"/>
        </w:rPr>
        <w:t>6</w:t>
      </w:r>
      <w:r>
        <w:rPr>
          <w:rFonts w:cs="Times New Roman"/>
          <w:color w:val="auto"/>
          <w:sz w:val="18"/>
          <w:szCs w:val="18"/>
        </w:rPr>
        <w:t>项规定的有关证明和证件的原件，以便核验。评标委员会依据本章第2.1款规定的标准对投标文件</w:t>
      </w:r>
      <w:r>
        <w:rPr>
          <w:rFonts w:hint="eastAsia" w:cs="Times New Roman"/>
          <w:color w:val="auto"/>
          <w:sz w:val="18"/>
          <w:szCs w:val="18"/>
        </w:rPr>
        <w:t>第一个信封（商务及技术文件）</w:t>
      </w:r>
      <w:r>
        <w:rPr>
          <w:rFonts w:cs="Times New Roman"/>
          <w:color w:val="auto"/>
          <w:sz w:val="18"/>
          <w:szCs w:val="18"/>
        </w:rPr>
        <w:t>进行初步评审。有一项不符合评审标准的，</w:t>
      </w:r>
      <w:r>
        <w:rPr>
          <w:rFonts w:hint="eastAsia" w:cs="Times New Roman"/>
          <w:color w:val="auto"/>
          <w:sz w:val="18"/>
          <w:szCs w:val="18"/>
        </w:rPr>
        <w:t>评标委员会应否决其投标</w:t>
      </w:r>
      <w:r>
        <w:rPr>
          <w:rFonts w:cs="Times New Roman"/>
          <w:color w:val="auto"/>
          <w:sz w:val="18"/>
          <w:szCs w:val="18"/>
        </w:rPr>
        <w:t>。（适用于未进行资格预审的）</w:t>
      </w:r>
    </w:p>
    <w:p w14:paraId="79DEEA36">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cs="Times New Roman"/>
          <w:color w:val="auto"/>
          <w:sz w:val="18"/>
          <w:szCs w:val="18"/>
        </w:rPr>
        <w:t>3.1.1 评标委员会依据本章第2.1.1项、第2.1.3项规定的</w:t>
      </w:r>
      <w:r>
        <w:rPr>
          <w:rFonts w:hint="eastAsia" w:cs="Times New Roman"/>
          <w:color w:val="auto"/>
          <w:sz w:val="18"/>
          <w:szCs w:val="18"/>
        </w:rPr>
        <w:t>评审</w:t>
      </w:r>
      <w:r>
        <w:rPr>
          <w:rFonts w:cs="Times New Roman"/>
          <w:color w:val="auto"/>
          <w:sz w:val="18"/>
          <w:szCs w:val="18"/>
        </w:rPr>
        <w:t>标准对投标文件</w:t>
      </w:r>
      <w:r>
        <w:rPr>
          <w:rFonts w:hint="eastAsia" w:cs="Times New Roman"/>
          <w:color w:val="auto"/>
          <w:sz w:val="18"/>
          <w:szCs w:val="18"/>
        </w:rPr>
        <w:t>第一个信封（商务及技术文件）</w:t>
      </w:r>
      <w:r>
        <w:rPr>
          <w:rFonts w:cs="Times New Roman"/>
          <w:color w:val="auto"/>
          <w:sz w:val="18"/>
          <w:szCs w:val="18"/>
        </w:rPr>
        <w:t>进行初步评审。有一项不符合评审标准的，</w:t>
      </w:r>
      <w:r>
        <w:rPr>
          <w:rFonts w:hint="eastAsia" w:cs="Times New Roman"/>
          <w:color w:val="auto"/>
          <w:sz w:val="18"/>
          <w:szCs w:val="18"/>
        </w:rPr>
        <w:t>评标委员会应否决其投标</w:t>
      </w:r>
      <w:r>
        <w:rPr>
          <w:rFonts w:cs="Times New Roman"/>
          <w:color w:val="auto"/>
          <w:sz w:val="18"/>
          <w:szCs w:val="18"/>
        </w:rPr>
        <w:t>。当投标人资格预审申请文件的内容发生重大变化时，评标委员会依据本章第2.1.2项规定的标准对其更新资料进行评审。（适用于已进行资格预审的）</w:t>
      </w:r>
    </w:p>
    <w:p w14:paraId="4800F844">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bookmarkStart w:id="20" w:name="_Toc35268512"/>
      <w:r>
        <w:rPr>
          <w:rFonts w:cs="Times New Roman"/>
          <w:color w:val="auto"/>
          <w:sz w:val="18"/>
          <w:szCs w:val="18"/>
        </w:rPr>
        <w:t>3.</w:t>
      </w:r>
      <w:r>
        <w:rPr>
          <w:rFonts w:hint="eastAsia" w:cs="Times New Roman"/>
          <w:color w:val="auto"/>
          <w:sz w:val="18"/>
          <w:szCs w:val="18"/>
        </w:rPr>
        <w:t>2</w:t>
      </w:r>
      <w:r>
        <w:rPr>
          <w:rFonts w:cs="Times New Roman"/>
          <w:color w:val="auto"/>
          <w:sz w:val="18"/>
          <w:szCs w:val="18"/>
        </w:rPr>
        <w:t xml:space="preserve"> </w:t>
      </w:r>
      <w:r>
        <w:rPr>
          <w:rFonts w:hint="eastAsia" w:cs="Times New Roman"/>
          <w:color w:val="auto"/>
          <w:sz w:val="18"/>
          <w:szCs w:val="18"/>
        </w:rPr>
        <w:t>第一个信封详细评审</w:t>
      </w:r>
      <w:bookmarkEnd w:id="20"/>
    </w:p>
    <w:p w14:paraId="0FADE077">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3.2.1评标委员会按本章第2.2款规定的量化因素和分值进行打分，并计算出各投标人的商务和技术得分。</w:t>
      </w:r>
    </w:p>
    <w:p w14:paraId="0EB20A53">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（1）按本章第2.2.4（1）目规定的评审因素和分值对施工组织设计部分计算出得分A；</w:t>
      </w:r>
    </w:p>
    <w:p w14:paraId="10B2FD51">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（2）按本章第2.2.4（2）目规定的评审因素和分值对主要人员部分计算出得分B；</w:t>
      </w:r>
    </w:p>
    <w:p w14:paraId="7AAA8C20">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（3）按本章第2.2.4（4）目规定的评审因素和分值对其他部分计算出得分D。</w:t>
      </w:r>
    </w:p>
    <w:p w14:paraId="0B510C25">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3.2.2投标人的商务和技术得分分值计算保留小数点后两位，小数点后第三位“四舍五入”。</w:t>
      </w:r>
    </w:p>
    <w:p w14:paraId="1AB1EB83">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3.2.3投标人的商务和技术得分=A+B+D。</w:t>
      </w:r>
    </w:p>
    <w:p w14:paraId="34AB8CDD">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bookmarkStart w:id="21" w:name="_Toc35268513"/>
      <w:r>
        <w:rPr>
          <w:rFonts w:cs="Times New Roman"/>
          <w:color w:val="auto"/>
          <w:sz w:val="18"/>
          <w:szCs w:val="18"/>
        </w:rPr>
        <w:t>3.</w:t>
      </w:r>
      <w:r>
        <w:rPr>
          <w:rFonts w:hint="eastAsia" w:cs="Times New Roman"/>
          <w:color w:val="auto"/>
          <w:sz w:val="18"/>
          <w:szCs w:val="18"/>
        </w:rPr>
        <w:t>3</w:t>
      </w:r>
      <w:r>
        <w:rPr>
          <w:rFonts w:cs="Times New Roman"/>
          <w:color w:val="auto"/>
          <w:sz w:val="18"/>
          <w:szCs w:val="18"/>
        </w:rPr>
        <w:t xml:space="preserve"> </w:t>
      </w:r>
      <w:r>
        <w:rPr>
          <w:rFonts w:hint="eastAsia" w:cs="Times New Roman"/>
          <w:color w:val="auto"/>
          <w:sz w:val="18"/>
          <w:szCs w:val="18"/>
        </w:rPr>
        <w:t>第二个信封开标</w:t>
      </w:r>
      <w:bookmarkEnd w:id="21"/>
    </w:p>
    <w:p w14:paraId="315E1D98">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第一个信封（商务及技术文件）评审结束后，招标人将按照第二章“投标人须知”第5.1款规定的时间和地点对通过投标文件第一个信封（商务及技术文件）评审的投标文件第二个信封（报价文件）进行开标。</w:t>
      </w:r>
    </w:p>
    <w:p w14:paraId="7EA42009">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bookmarkStart w:id="22" w:name="_Toc35268514"/>
      <w:r>
        <w:rPr>
          <w:rFonts w:cs="Times New Roman"/>
          <w:color w:val="auto"/>
          <w:sz w:val="18"/>
          <w:szCs w:val="18"/>
        </w:rPr>
        <w:t>3.</w:t>
      </w:r>
      <w:r>
        <w:rPr>
          <w:rFonts w:hint="eastAsia" w:cs="Times New Roman"/>
          <w:color w:val="auto"/>
          <w:sz w:val="18"/>
          <w:szCs w:val="18"/>
        </w:rPr>
        <w:t>4</w:t>
      </w:r>
      <w:r>
        <w:rPr>
          <w:rFonts w:cs="Times New Roman"/>
          <w:color w:val="auto"/>
          <w:sz w:val="18"/>
          <w:szCs w:val="18"/>
        </w:rPr>
        <w:t xml:space="preserve"> </w:t>
      </w:r>
      <w:r>
        <w:rPr>
          <w:rFonts w:hint="eastAsia" w:cs="Times New Roman"/>
          <w:color w:val="auto"/>
          <w:sz w:val="18"/>
          <w:szCs w:val="18"/>
        </w:rPr>
        <w:t>第二个信封</w:t>
      </w:r>
      <w:r>
        <w:rPr>
          <w:rFonts w:cs="Times New Roman"/>
          <w:color w:val="auto"/>
          <w:sz w:val="18"/>
          <w:szCs w:val="18"/>
        </w:rPr>
        <w:t>初步评审</w:t>
      </w:r>
      <w:bookmarkEnd w:id="22"/>
    </w:p>
    <w:p w14:paraId="6F3A22B7">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cs="Times New Roman"/>
          <w:color w:val="auto"/>
          <w:sz w:val="18"/>
          <w:szCs w:val="18"/>
        </w:rPr>
        <w:t>3.</w:t>
      </w:r>
      <w:r>
        <w:rPr>
          <w:rFonts w:hint="eastAsia" w:cs="Times New Roman"/>
          <w:color w:val="auto"/>
          <w:sz w:val="18"/>
          <w:szCs w:val="18"/>
        </w:rPr>
        <w:t>4</w:t>
      </w:r>
      <w:r>
        <w:rPr>
          <w:rFonts w:cs="Times New Roman"/>
          <w:color w:val="auto"/>
          <w:sz w:val="18"/>
          <w:szCs w:val="18"/>
        </w:rPr>
        <w:t>.1 评标委员会依据本章第2.1.1项、第2.1.3项规定的</w:t>
      </w:r>
      <w:r>
        <w:rPr>
          <w:rFonts w:hint="eastAsia" w:cs="Times New Roman"/>
          <w:color w:val="auto"/>
          <w:sz w:val="18"/>
          <w:szCs w:val="18"/>
        </w:rPr>
        <w:t>评审</w:t>
      </w:r>
      <w:r>
        <w:rPr>
          <w:rFonts w:cs="Times New Roman"/>
          <w:color w:val="auto"/>
          <w:sz w:val="18"/>
          <w:szCs w:val="18"/>
        </w:rPr>
        <w:t>标准对投标文件</w:t>
      </w:r>
      <w:r>
        <w:rPr>
          <w:rFonts w:hint="eastAsia" w:cs="Times New Roman"/>
          <w:color w:val="auto"/>
          <w:sz w:val="18"/>
          <w:szCs w:val="18"/>
        </w:rPr>
        <w:t>第二个信封（报价文件）</w:t>
      </w:r>
      <w:r>
        <w:rPr>
          <w:rFonts w:cs="Times New Roman"/>
          <w:color w:val="auto"/>
          <w:sz w:val="18"/>
          <w:szCs w:val="18"/>
        </w:rPr>
        <w:t>进行初步评审。有一项不符合评审标准的，</w:t>
      </w:r>
      <w:r>
        <w:rPr>
          <w:rFonts w:hint="eastAsia" w:cs="Times New Roman"/>
          <w:color w:val="auto"/>
          <w:sz w:val="18"/>
          <w:szCs w:val="18"/>
        </w:rPr>
        <w:t>评标委员会应否决其投标</w:t>
      </w:r>
      <w:r>
        <w:rPr>
          <w:rFonts w:cs="Times New Roman"/>
          <w:color w:val="auto"/>
          <w:sz w:val="18"/>
          <w:szCs w:val="18"/>
        </w:rPr>
        <w:t>。</w:t>
      </w:r>
    </w:p>
    <w:p w14:paraId="7EC5855D">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cs="Times New Roman"/>
          <w:color w:val="auto"/>
          <w:sz w:val="18"/>
          <w:szCs w:val="18"/>
        </w:rPr>
        <w:t>3.</w:t>
      </w:r>
      <w:r>
        <w:rPr>
          <w:rFonts w:hint="eastAsia" w:cs="Times New Roman"/>
          <w:color w:val="auto"/>
          <w:sz w:val="18"/>
          <w:szCs w:val="18"/>
        </w:rPr>
        <w:t>4</w:t>
      </w:r>
      <w:r>
        <w:rPr>
          <w:rFonts w:cs="Times New Roman"/>
          <w:color w:val="auto"/>
          <w:sz w:val="18"/>
          <w:szCs w:val="18"/>
        </w:rPr>
        <w:t>.</w:t>
      </w:r>
      <w:r>
        <w:rPr>
          <w:rFonts w:hint="eastAsia" w:cs="Times New Roman"/>
          <w:color w:val="auto"/>
          <w:sz w:val="18"/>
          <w:szCs w:val="18"/>
        </w:rPr>
        <w:t>2</w:t>
      </w:r>
      <w:r>
        <w:rPr>
          <w:rFonts w:cs="Times New Roman"/>
          <w:color w:val="auto"/>
          <w:sz w:val="18"/>
          <w:szCs w:val="18"/>
          <w:vertAlign w:val="superscript"/>
        </w:rPr>
        <w:footnoteReference w:id="1"/>
      </w:r>
      <w:r>
        <w:rPr>
          <w:rFonts w:cs="Times New Roman"/>
          <w:color w:val="auto"/>
          <w:sz w:val="18"/>
          <w:szCs w:val="18"/>
        </w:rPr>
        <w:t xml:space="preserve"> 投标报价有算术错误的，评标委员会按以下原则对投标报价进行修正，修正的价格经投标人书面确认后具有约束力。投标人不接受修正价格的，</w:t>
      </w:r>
      <w:r>
        <w:rPr>
          <w:rFonts w:hint="eastAsia" w:cs="Times New Roman"/>
          <w:color w:val="auto"/>
          <w:sz w:val="18"/>
          <w:szCs w:val="18"/>
        </w:rPr>
        <w:t>评标委员会应否决其投标。</w:t>
      </w:r>
    </w:p>
    <w:p w14:paraId="66F7D0DD">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cs="Times New Roman"/>
          <w:color w:val="auto"/>
          <w:sz w:val="18"/>
          <w:szCs w:val="18"/>
        </w:rPr>
        <w:t>（1）投标文件中的大写金额与小写金额不一致的，以大写金额为准；</w:t>
      </w:r>
    </w:p>
    <w:p w14:paraId="3CBFB980">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cs="Times New Roman"/>
          <w:color w:val="auto"/>
          <w:sz w:val="18"/>
          <w:szCs w:val="18"/>
        </w:rPr>
        <w:t>（2）总价金额与依据单价计算出的结果不一致的，以单价金额为准修正总价，但单价金额小数点有明显错误的除外</w:t>
      </w:r>
      <w:r>
        <w:rPr>
          <w:rFonts w:hint="eastAsia" w:cs="Times New Roman"/>
          <w:color w:val="auto"/>
          <w:sz w:val="18"/>
          <w:szCs w:val="18"/>
        </w:rPr>
        <w:t>；</w:t>
      </w:r>
    </w:p>
    <w:p w14:paraId="5A9909F8">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（3）当单价与数量相乘不等于合价时，以单价计算为准，如果单价有明显的小数点位置差错，应以标出的合价为准，同时对单价予以修正；</w:t>
      </w:r>
    </w:p>
    <w:p w14:paraId="12FF3559">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（4）当各子目的合价累计不等于总价时，应以各子目合价累计数为准，修正总价。</w:t>
      </w:r>
    </w:p>
    <w:p w14:paraId="7009D6A2">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3.4.3 工程量清单中的投标报价有其他错误的，评标委员会按以下原则对投标报价进行修正，修正的价格经投标人书面确认后具有约束力。投标人不接受修正价格的，评标委员会应否决其投标。</w:t>
      </w:r>
    </w:p>
    <w:p w14:paraId="3C334055">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1）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79803BF3">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2）在招标人给定的工程量清单中多报了某个工程子目的单价、合价或总额价，或所报单价、合价或总额价增加了报价范围，则从投标报价中扣除多报的工程子目报价或工程子目报价中增加了报价范围的部分报价。</w:t>
      </w:r>
    </w:p>
    <w:p w14:paraId="77F15C24">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（3）当单价与数量的乘积与合价（金额）虽然一致，但投标人修改了该子目的工程数量，则其合价按招标人给定的工程数量乘以投标人所报单价予以修正。</w:t>
      </w:r>
    </w:p>
    <w:p w14:paraId="7CDA91EC">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3.4.4 修正后的最终投标报价若超过最高投标限价（如有），评标委员会应否决其投标。</w:t>
      </w:r>
    </w:p>
    <w:p w14:paraId="659C368C">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3.4.5修正后的最终投标报价仅作为签订合同的一个依据，不参与评标价得分的计算。</w:t>
      </w:r>
    </w:p>
    <w:p w14:paraId="6C17BDB0">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bookmarkStart w:id="23" w:name="_Toc35268515"/>
      <w:r>
        <w:rPr>
          <w:rFonts w:cs="Times New Roman"/>
          <w:color w:val="auto"/>
          <w:sz w:val="18"/>
          <w:szCs w:val="18"/>
        </w:rPr>
        <w:t>3.</w:t>
      </w:r>
      <w:r>
        <w:rPr>
          <w:rFonts w:hint="eastAsia" w:cs="Times New Roman"/>
          <w:color w:val="auto"/>
          <w:sz w:val="18"/>
          <w:szCs w:val="18"/>
        </w:rPr>
        <w:t>5</w:t>
      </w:r>
      <w:r>
        <w:rPr>
          <w:rFonts w:cs="Times New Roman"/>
          <w:color w:val="auto"/>
          <w:sz w:val="18"/>
          <w:szCs w:val="18"/>
        </w:rPr>
        <w:t xml:space="preserve">  </w:t>
      </w:r>
      <w:r>
        <w:rPr>
          <w:rFonts w:hint="eastAsia" w:cs="Times New Roman"/>
          <w:color w:val="auto"/>
          <w:sz w:val="18"/>
          <w:szCs w:val="18"/>
        </w:rPr>
        <w:t>第二个信封</w:t>
      </w:r>
      <w:r>
        <w:rPr>
          <w:rFonts w:cs="Times New Roman"/>
          <w:color w:val="auto"/>
          <w:sz w:val="18"/>
          <w:szCs w:val="18"/>
        </w:rPr>
        <w:t>详细评审</w:t>
      </w:r>
      <w:bookmarkEnd w:id="23"/>
    </w:p>
    <w:p w14:paraId="627F2343">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3.5.1 评标委员会按本章第2.2.4（3）目规定的评审因素和分值对投标报价计算出得分C。投标报价得分分值计算保留小数点后两位，小数点后第三位“四舍五入”。</w:t>
      </w:r>
    </w:p>
    <w:p w14:paraId="0E7F7B0C">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3.5.2投标人得分=投标人的商务和技术得分+C。</w:t>
      </w:r>
    </w:p>
    <w:p w14:paraId="309B138D">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3.5.3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14:paraId="1A617E8E">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bookmarkStart w:id="24" w:name="_Toc35268516"/>
      <w:r>
        <w:rPr>
          <w:rFonts w:cs="Times New Roman"/>
          <w:color w:val="auto"/>
          <w:sz w:val="18"/>
          <w:szCs w:val="18"/>
        </w:rPr>
        <w:t>3.</w:t>
      </w:r>
      <w:r>
        <w:rPr>
          <w:rFonts w:hint="eastAsia" w:cs="Times New Roman"/>
          <w:color w:val="auto"/>
          <w:sz w:val="18"/>
          <w:szCs w:val="18"/>
        </w:rPr>
        <w:t>6</w:t>
      </w:r>
      <w:r>
        <w:rPr>
          <w:rFonts w:cs="Times New Roman"/>
          <w:color w:val="auto"/>
          <w:sz w:val="18"/>
          <w:szCs w:val="18"/>
        </w:rPr>
        <w:t xml:space="preserve">  投标文件</w:t>
      </w:r>
      <w:r>
        <w:rPr>
          <w:rFonts w:hint="eastAsia" w:cs="Times New Roman"/>
          <w:color w:val="auto"/>
          <w:sz w:val="18"/>
          <w:szCs w:val="18"/>
        </w:rPr>
        <w:t>相关信息的核查</w:t>
      </w:r>
      <w:bookmarkEnd w:id="24"/>
    </w:p>
    <w:p w14:paraId="78169E99">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3.6.1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评标委员会应否决其投标。</w:t>
      </w:r>
    </w:p>
    <w:p w14:paraId="1C1FAFF1">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3.6.2评标委员会应对在评标过程中发现的投标人与投标人之间、投标人与招标人之间存在的串通投标的情形进行评审和认定。投标人存在串通投标、弄虚作假、行贿等违法行为的，评标委员会应否决其投标。</w:t>
      </w:r>
    </w:p>
    <w:p w14:paraId="23F62130">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（1）有下列情形之一的，属于投标人相互串通投标：</w:t>
      </w:r>
    </w:p>
    <w:p w14:paraId="5C86476F">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a.投标人之间协商投标报价等投标文件的实质性内容；</w:t>
      </w:r>
    </w:p>
    <w:p w14:paraId="1F89BF66">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b.投标人之间约定中标人；</w:t>
      </w:r>
    </w:p>
    <w:p w14:paraId="7734B9E1">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c.投标人之间约定部分投标人放弃投标或中标；</w:t>
      </w:r>
    </w:p>
    <w:p w14:paraId="69E99304">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d.属于同一集团、协会、商会等组织成员的投标人按照该组织要求协同投标；</w:t>
      </w:r>
    </w:p>
    <w:p w14:paraId="188861F2">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e.投标人之间为谋取中标或者排斥特定投标人而采取的其他联合行动。</w:t>
      </w:r>
    </w:p>
    <w:p w14:paraId="44051212">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（2）有下列情形之一的，视为投标人相互串通投标：</w:t>
      </w:r>
    </w:p>
    <w:p w14:paraId="4D41BDFE">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a.不同投标人的投标文件由同一单位或者个人编制；</w:t>
      </w:r>
    </w:p>
    <w:p w14:paraId="75FCEA17">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b.不同投标人委托同一单位或个人办理投标事宜；</w:t>
      </w:r>
    </w:p>
    <w:p w14:paraId="01CDB723">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c.不同投标人的投标文件载明的项目管理成员为同一人；</w:t>
      </w:r>
    </w:p>
    <w:p w14:paraId="023FD949">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d.不同投标人的投标文件异常一致或投标报价呈规律性差异；</w:t>
      </w:r>
    </w:p>
    <w:p w14:paraId="38B6D2C5">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e.不同投标人的投标文件相互混装；</w:t>
      </w:r>
    </w:p>
    <w:p w14:paraId="01EC2AA1">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f.不同投标人的投标保证金从同一单位或个人的账户转出。</w:t>
      </w:r>
    </w:p>
    <w:p w14:paraId="3A7190E7">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（3）有下列情形之一的，属于招标人与投标人串通投标：</w:t>
      </w:r>
    </w:p>
    <w:p w14:paraId="7975875B">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a.招标人在开标前开启投标文件并将有关信息泄露给其他投标人；</w:t>
      </w:r>
    </w:p>
    <w:p w14:paraId="444CFF06">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b.招标人直接或间接向投标人泄露标底、评标委员会成员等信息；</w:t>
      </w:r>
    </w:p>
    <w:p w14:paraId="56FF9AB2">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c.招标人明示或暗示投标人压低或抬高投标报价；</w:t>
      </w:r>
    </w:p>
    <w:p w14:paraId="21D13FA2">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d.招标人授意投标人撤换、修改投标文件；</w:t>
      </w:r>
    </w:p>
    <w:p w14:paraId="628C8262">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e.招标人明示或暗示投标人为特定投标人中标提供方便；</w:t>
      </w:r>
    </w:p>
    <w:p w14:paraId="3C2A7E8C">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f.招标人与投标人为谋求特定投标人中标而采取的其他串通行为。</w:t>
      </w:r>
    </w:p>
    <w:p w14:paraId="01A6ADC9">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（4）投标人有下列情形之一的，属于弄虚作假的行为：</w:t>
      </w:r>
    </w:p>
    <w:p w14:paraId="5EA2B511">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a.使用通过受让或租借等方式获取的资格、资质证书投标；</w:t>
      </w:r>
    </w:p>
    <w:p w14:paraId="57FF7F9D">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b.使用伪造、变造的许可证件；</w:t>
      </w:r>
    </w:p>
    <w:p w14:paraId="35D0B78D">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c.提供虚假的财务状况或业绩；</w:t>
      </w:r>
    </w:p>
    <w:p w14:paraId="59DA4F65">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d.提供虚假的项目负责人或主要技术人员简历、劳动关系证明；</w:t>
      </w:r>
    </w:p>
    <w:p w14:paraId="5064C602">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e.提供虚假的信用状况；</w:t>
      </w:r>
    </w:p>
    <w:p w14:paraId="2498E377">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f.其他弄虚作假的行为。</w:t>
      </w:r>
    </w:p>
    <w:p w14:paraId="4955FEF3">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bookmarkStart w:id="25" w:name="_Toc35268517"/>
      <w:r>
        <w:rPr>
          <w:rFonts w:cs="Times New Roman"/>
          <w:color w:val="auto"/>
          <w:sz w:val="18"/>
          <w:szCs w:val="18"/>
        </w:rPr>
        <w:t>3.</w:t>
      </w:r>
      <w:r>
        <w:rPr>
          <w:rFonts w:hint="eastAsia" w:cs="Times New Roman"/>
          <w:color w:val="auto"/>
          <w:sz w:val="18"/>
          <w:szCs w:val="18"/>
        </w:rPr>
        <w:t>7</w:t>
      </w:r>
      <w:r>
        <w:rPr>
          <w:rFonts w:cs="Times New Roman"/>
          <w:color w:val="auto"/>
          <w:sz w:val="18"/>
          <w:szCs w:val="18"/>
        </w:rPr>
        <w:t xml:space="preserve">  投标文件的澄清和</w:t>
      </w:r>
      <w:r>
        <w:rPr>
          <w:rFonts w:hint="eastAsia" w:cs="Times New Roman"/>
          <w:color w:val="auto"/>
          <w:sz w:val="18"/>
          <w:szCs w:val="18"/>
        </w:rPr>
        <w:t>说明</w:t>
      </w:r>
      <w:bookmarkEnd w:id="25"/>
    </w:p>
    <w:p w14:paraId="0ED2A9E6">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3.7.1在评标过程中，评标委员会可以书面形式要求投标人对所提交投标文件中含义不明确的内容、明显文字或计算错误进行书面澄清或说明。评标委员会不接受投标人主动提出的澄清、说明。投标人不按评标委员会要求澄清或说明的，评标委员会应否决其投标。</w:t>
      </w:r>
    </w:p>
    <w:p w14:paraId="13FFD281">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3.7.2 澄清和说明不得超出投标文件的范围或改变投标文件的实质性内容（算术性错误修正的除外）。投标人的书面澄清、说明属于投标文件的组成部分。</w:t>
      </w:r>
    </w:p>
    <w:p w14:paraId="4382E64E">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3.7.3 评标委员会不得暗示或诱导投标人作出澄清、说明，对投标人提交的澄清、说明有疑问的，可以要求投标人进一步澄清或说明，直至满足评标委员会的要求。</w:t>
      </w:r>
    </w:p>
    <w:p w14:paraId="229C7ED0">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3.7.4 凡超出招标文件规定的或给发包人带来未曾要求的利益的变化、偏差或其他因素在评标时不予考虑。</w:t>
      </w:r>
    </w:p>
    <w:p w14:paraId="1BEFB324">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bookmarkStart w:id="26" w:name="_Toc35268518"/>
      <w:r>
        <w:rPr>
          <w:rFonts w:cs="Times New Roman"/>
          <w:color w:val="auto"/>
          <w:sz w:val="18"/>
          <w:szCs w:val="18"/>
        </w:rPr>
        <w:t>3.</w:t>
      </w:r>
      <w:r>
        <w:rPr>
          <w:rFonts w:hint="eastAsia" w:cs="Times New Roman"/>
          <w:color w:val="auto"/>
          <w:sz w:val="18"/>
          <w:szCs w:val="18"/>
        </w:rPr>
        <w:t>8</w:t>
      </w:r>
      <w:r>
        <w:rPr>
          <w:rFonts w:cs="Times New Roman"/>
          <w:color w:val="auto"/>
          <w:sz w:val="18"/>
          <w:szCs w:val="18"/>
        </w:rPr>
        <w:t xml:space="preserve">  </w:t>
      </w:r>
      <w:r>
        <w:rPr>
          <w:rFonts w:hint="eastAsia" w:cs="Times New Roman"/>
          <w:color w:val="auto"/>
          <w:sz w:val="18"/>
          <w:szCs w:val="18"/>
        </w:rPr>
        <w:t>不得否决投标的情形</w:t>
      </w:r>
      <w:bookmarkEnd w:id="26"/>
    </w:p>
    <w:p w14:paraId="012165D7">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投标文件存在第二章“投标人须知”第1.12.3项所列情形的，均视为细微偏差，评标委员会不得否决投标人的投标，应按照第二章“投标人须知”第1.12.4项规定的原则处理。</w:t>
      </w:r>
    </w:p>
    <w:p w14:paraId="63E82795">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bookmarkStart w:id="27" w:name="_Toc35268519"/>
      <w:r>
        <w:rPr>
          <w:rFonts w:cs="Times New Roman"/>
          <w:color w:val="auto"/>
          <w:sz w:val="18"/>
          <w:szCs w:val="18"/>
        </w:rPr>
        <w:t>3.</w:t>
      </w:r>
      <w:r>
        <w:rPr>
          <w:rFonts w:hint="eastAsia" w:cs="Times New Roman"/>
          <w:color w:val="auto"/>
          <w:sz w:val="18"/>
          <w:szCs w:val="18"/>
        </w:rPr>
        <w:t>9</w:t>
      </w:r>
      <w:r>
        <w:rPr>
          <w:rFonts w:cs="Times New Roman"/>
          <w:color w:val="auto"/>
          <w:sz w:val="18"/>
          <w:szCs w:val="18"/>
        </w:rPr>
        <w:t xml:space="preserve">  评标结果</w:t>
      </w:r>
      <w:bookmarkEnd w:id="27"/>
    </w:p>
    <w:p w14:paraId="0C6100CB">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3.9.1除第二章“投标人须知”前附表授权直接确定中标人外，评标委员会按照得分由高到低的顺序推荐中标候选人，并标明排序。</w:t>
      </w:r>
    </w:p>
    <w:p w14:paraId="664F98BF">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3.9.2 评标委员会完成评标后，应向招标人提交书面评标报告。</w:t>
      </w:r>
    </w:p>
    <w:p w14:paraId="5A219D61">
      <w:pPr>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cs="Times New Roman"/>
          <w:color w:val="auto"/>
          <w:sz w:val="18"/>
          <w:szCs w:val="18"/>
        </w:rPr>
      </w:pPr>
    </w:p>
    <w:sectPr>
      <w:headerReference r:id="rId5" w:type="default"/>
      <w:footerReference r:id="rId6" w:type="default"/>
      <w:pgSz w:w="11907" w:h="16840"/>
      <w:pgMar w:top="1399" w:right="1174" w:bottom="1278" w:left="1173" w:header="397" w:footer="85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Segoe UI Emoji">
    <w:panose1 w:val="020B0502040204020203"/>
    <w:charset w:val="00"/>
    <w:family w:val="swiss"/>
    <w:pitch w:val="default"/>
    <w:sig w:usb0="00000001" w:usb1="02000000" w:usb2="00000000" w:usb3="00000000" w:csb0="0000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4CB75">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541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541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565A7C">
                          <w:pPr>
                            <w:pStyle w:val="6"/>
                            <w:jc w:val="cen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8.3pt;mso-position-horizontal:center;mso-position-horizontal-relative:margin;z-index:251660288;mso-width-relative:page;mso-height-relative:page;" filled="f" stroked="f" coordsize="21600,21600" o:gfxdata="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VD8oXdMAAAAEAQAADwAAAAAAAAABACAAAAAiAAAAZHJzL2Rvd25yZXYueG1s&#10;UEsBAhQAFAAAAAgAh07iQFO4eGc2AgAAYgQAAA4AAAAAAAAAAQAgAAAAIgEAAGRycy9lMm9Eb2Mu&#10;eG1sUEsFBgAAAAAGAAYAWQEAAMoFAAAAAA==&#10;">
              <v:fill on="f" focussize="0,0"/>
              <v:stroke on="f" weight="0.5pt"/>
              <v:imagedata o:title=""/>
              <o:lock v:ext="edit" aspectratio="f"/>
              <v:textbox inset="0mm,0mm,0mm,0mm" style="mso-fit-shape-to-text:t;">
                <w:txbxContent>
                  <w:p w14:paraId="25565A7C">
                    <w:pPr>
                      <w:pStyle w:val="6"/>
                      <w:jc w:val="cente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DB213">
    <w:pPr>
      <w:pStyle w:val="6"/>
    </w:pPr>
    <w:r>
      <mc:AlternateContent>
        <mc:Choice Requires="wps">
          <w:drawing>
            <wp:anchor distT="0" distB="0" distL="114300" distR="114300" simplePos="0" relativeHeight="251659264" behindDoc="0" locked="0" layoutInCell="1" allowOverlap="1">
              <wp:simplePos x="0" y="0"/>
              <wp:positionH relativeFrom="margin">
                <wp:posOffset>2908300</wp:posOffset>
              </wp:positionH>
              <wp:positionV relativeFrom="paragraph">
                <wp:posOffset>0</wp:posOffset>
              </wp:positionV>
              <wp:extent cx="254635" cy="13716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254635" cy="137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2BA85">
                          <w:pPr>
                            <w:pStyle w:val="6"/>
                            <w:jc w:val="cente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29pt;margin-top:0pt;height:10.8pt;width:20.05pt;mso-position-horizontal-relative:margin;z-index:251659264;mso-width-relative:page;mso-height-relative:page;" filled="f" stroked="f" coordsize="21600,21600" o:gfxdata="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VPeZw1wAAAAcBAAAPAAAAAAAAAAEAIAAAACIAAABkcnMvZG93bnJldi54bWxQ&#10;SwECFAAUAAAACACHTuJAaU208jECAABXBAAADgAAAAAAAAABACAAAAAmAQAAZHJzL2Uyb0RvYy54&#10;bWxQSwUGAAAAAAYABgBZAQAAyQUAAAAA&#10;">
              <v:fill on="f" focussize="0,0"/>
              <v:stroke on="f" weight="0.5pt"/>
              <v:imagedata o:title=""/>
              <o:lock v:ext="edit" aspectratio="f"/>
              <v:textbox inset="0mm,0mm,0mm,0mm">
                <w:txbxContent>
                  <w:p w14:paraId="5E02BA85">
                    <w:pPr>
                      <w:pStyle w:val="6"/>
                      <w:jc w:val="cente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6FC5A518">
      <w:pPr>
        <w:pStyle w:val="8"/>
        <w:jc w:val="both"/>
        <w:rPr>
          <w:rFonts w:ascii="楷体" w:hAnsi="楷体" w:eastAsia="楷体"/>
        </w:rPr>
      </w:pPr>
      <w:r>
        <w:rPr>
          <w:rStyle w:val="12"/>
        </w:rPr>
        <w:footnoteRef/>
      </w:r>
      <w:r>
        <w:rPr>
          <w:rFonts w:hint="eastAsia" w:ascii="楷体" w:hAnsi="楷体" w:eastAsia="楷体"/>
        </w:rPr>
        <w:t>“评标办法前附表”用于明确评标的方法、因素、标准和程序。没有列明的因素和标准不得作为评标的依据。凡“评标办法前附表”对本章正文内容进行完善和补充的，均以“评标办法前附表”为准；未进行补充、完善的，以本章正文内容为准。</w:t>
      </w:r>
    </w:p>
  </w:footnote>
  <w:footnote w:id="1">
    <w:p w14:paraId="23E40D52">
      <w:pPr>
        <w:pStyle w:val="8"/>
      </w:pPr>
      <w:r>
        <w:rPr>
          <w:rStyle w:val="12"/>
        </w:rPr>
        <w:footnoteRef/>
      </w:r>
      <w:r>
        <w:t xml:space="preserve"> </w:t>
      </w:r>
      <w:r>
        <w:rPr>
          <w:rFonts w:hint="eastAsia"/>
        </w:rPr>
        <w:t>如本项目招标采用第二章“投标人须知”第3.2.1项（2）目规定的由投标人按照招标人提供的工程量清单填写本合同各工程子目的单价、合价和总额价方式，则评标委员会按照本章第3.4.2项和第3.4.3项的规定对投标人的投标报价进行修正。如本项目招标采用第二章“投标人须知”第3.2.1项（1）目规定的投标人按照招标人提供的工程量固化清单电子文件填写工程量清单的，无须按照本章第3.4.2项和第3.4.3项的规定对投标报价进行修正，第3.4.2项至第3.4.5项内容不适用。</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D159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numFmt w:val="decimalEnclosedCircleChinese"/>
    <w:numRestart w:val="eachPage"/>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556"/>
    <w:rsid w:val="00072602"/>
    <w:rsid w:val="003131E4"/>
    <w:rsid w:val="00331785"/>
    <w:rsid w:val="00335916"/>
    <w:rsid w:val="003E4654"/>
    <w:rsid w:val="0044084B"/>
    <w:rsid w:val="00621434"/>
    <w:rsid w:val="006D0394"/>
    <w:rsid w:val="007275A9"/>
    <w:rsid w:val="007349BD"/>
    <w:rsid w:val="007D3B24"/>
    <w:rsid w:val="007F1306"/>
    <w:rsid w:val="00865F13"/>
    <w:rsid w:val="00884C31"/>
    <w:rsid w:val="0095543D"/>
    <w:rsid w:val="00956AB5"/>
    <w:rsid w:val="00AA1E7B"/>
    <w:rsid w:val="00AB0AD0"/>
    <w:rsid w:val="00B00301"/>
    <w:rsid w:val="00BB37C8"/>
    <w:rsid w:val="00C2706A"/>
    <w:rsid w:val="00C32C79"/>
    <w:rsid w:val="00C917FB"/>
    <w:rsid w:val="00CB3556"/>
    <w:rsid w:val="00CF74DE"/>
    <w:rsid w:val="00DB2DB0"/>
    <w:rsid w:val="00DB7305"/>
    <w:rsid w:val="00E74397"/>
    <w:rsid w:val="00F66964"/>
    <w:rsid w:val="00F94ED7"/>
    <w:rsid w:val="00FB44F5"/>
    <w:rsid w:val="05706B86"/>
    <w:rsid w:val="0C2D57D1"/>
    <w:rsid w:val="15FD3F36"/>
    <w:rsid w:val="19AA562D"/>
    <w:rsid w:val="1BA30646"/>
    <w:rsid w:val="1C4F5D10"/>
    <w:rsid w:val="22543660"/>
    <w:rsid w:val="22EC6BCB"/>
    <w:rsid w:val="24840858"/>
    <w:rsid w:val="2BA03472"/>
    <w:rsid w:val="360A0561"/>
    <w:rsid w:val="3F781FFE"/>
    <w:rsid w:val="405748C0"/>
    <w:rsid w:val="421B6683"/>
    <w:rsid w:val="49967804"/>
    <w:rsid w:val="4DF25957"/>
    <w:rsid w:val="4E8F31A6"/>
    <w:rsid w:val="51340035"/>
    <w:rsid w:val="52287B99"/>
    <w:rsid w:val="52D27B05"/>
    <w:rsid w:val="585316E8"/>
    <w:rsid w:val="758B767C"/>
    <w:rsid w:val="77366005"/>
    <w:rsid w:val="78DA3572"/>
    <w:rsid w:val="7BA63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Arial"/>
      <w:color w:val="000000"/>
      <w:kern w:val="2"/>
      <w:sz w:val="21"/>
      <w:szCs w:val="18"/>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4"/>
    <w:basedOn w:val="1"/>
    <w:next w:val="1"/>
    <w:qFormat/>
    <w:uiPriority w:val="9"/>
    <w:pPr>
      <w:tabs>
        <w:tab w:val="left" w:pos="315"/>
      </w:tabs>
      <w:spacing w:before="120" w:after="120"/>
      <w:outlineLvl w:val="3"/>
    </w:pPr>
    <w:rPr>
      <w:rFonts w:ascii="Cambria" w:hAnsi="Cambria" w:eastAsia="黑体"/>
      <w:bCs/>
      <w:sz w:val="24"/>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rPr>
      <w:rFonts w:ascii="Times New Roman" w:hAnsi="Times New Roman"/>
      <w:sz w:val="28"/>
      <w:szCs w:val="24"/>
    </w:rPr>
  </w:style>
  <w:style w:type="paragraph" w:styleId="6">
    <w:name w:val="footer"/>
    <w:basedOn w:val="1"/>
    <w:link w:val="15"/>
    <w:unhideWhenUsed/>
    <w:qFormat/>
    <w:uiPriority w:val="99"/>
    <w:pPr>
      <w:tabs>
        <w:tab w:val="center" w:pos="4153"/>
        <w:tab w:val="right" w:pos="8306"/>
      </w:tabs>
      <w:snapToGrid w:val="0"/>
      <w:jc w:val="left"/>
    </w:pPr>
    <w:rPr>
      <w:sz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rPr>
  </w:style>
  <w:style w:type="paragraph" w:styleId="8">
    <w:name w:val="footnote text"/>
    <w:basedOn w:val="1"/>
    <w:link w:val="13"/>
    <w:semiHidden/>
    <w:unhideWhenUsed/>
    <w:qFormat/>
    <w:uiPriority w:val="99"/>
    <w:pPr>
      <w:snapToGrid w:val="0"/>
      <w:jc w:val="left"/>
    </w:pPr>
    <w:rPr>
      <w:sz w:val="18"/>
    </w:rPr>
  </w:style>
  <w:style w:type="paragraph" w:styleId="9">
    <w:name w:val="Normal (Web)"/>
    <w:basedOn w:val="1"/>
    <w:qFormat/>
    <w:uiPriority w:val="99"/>
    <w:pPr>
      <w:widowControl/>
      <w:spacing w:before="100" w:beforeAutospacing="1" w:after="100" w:afterAutospacing="1"/>
      <w:jc w:val="left"/>
    </w:pPr>
    <w:rPr>
      <w:kern w:val="0"/>
      <w:sz w:val="24"/>
      <w:szCs w:val="24"/>
    </w:rPr>
  </w:style>
  <w:style w:type="character" w:styleId="12">
    <w:name w:val="footnote reference"/>
    <w:basedOn w:val="11"/>
    <w:qFormat/>
    <w:uiPriority w:val="0"/>
    <w:rPr>
      <w:vertAlign w:val="superscript"/>
    </w:rPr>
  </w:style>
  <w:style w:type="character" w:customStyle="1" w:styleId="13">
    <w:name w:val="脚注文本 字符"/>
    <w:basedOn w:val="11"/>
    <w:link w:val="8"/>
    <w:semiHidden/>
    <w:qFormat/>
    <w:uiPriority w:val="99"/>
    <w:rPr>
      <w:sz w:val="18"/>
    </w:rPr>
  </w:style>
  <w:style w:type="character" w:customStyle="1" w:styleId="14">
    <w:name w:val="页眉 字符"/>
    <w:basedOn w:val="11"/>
    <w:link w:val="7"/>
    <w:qFormat/>
    <w:uiPriority w:val="99"/>
    <w:rPr>
      <w:sz w:val="18"/>
    </w:rPr>
  </w:style>
  <w:style w:type="character" w:customStyle="1" w:styleId="15">
    <w:name w:val="页脚 字符"/>
    <w:basedOn w:val="11"/>
    <w:link w:val="6"/>
    <w:qFormat/>
    <w:uiPriority w:val="99"/>
    <w:rPr>
      <w:sz w:val="18"/>
    </w:rPr>
  </w:style>
  <w:style w:type="paragraph" w:customStyle="1" w:styleId="16">
    <w:name w:val="Table Text"/>
    <w:basedOn w:val="1"/>
    <w:semiHidden/>
    <w:qFormat/>
    <w:uiPriority w:val="0"/>
    <w:rPr>
      <w:rFonts w:cs="宋体"/>
      <w:sz w:val="20"/>
      <w:szCs w:val="20"/>
      <w:lang w:eastAsia="en-US"/>
    </w:rPr>
  </w:style>
  <w:style w:type="table" w:customStyle="1" w:styleId="17">
    <w:name w:val="Table Normal"/>
    <w:semiHidden/>
    <w:unhideWhenUsed/>
    <w:qFormat/>
    <w:uiPriority w:val="0"/>
    <w:tblPr>
      <w:tblCellMar>
        <w:top w:w="0" w:type="dxa"/>
        <w:left w:w="0" w:type="dxa"/>
        <w:bottom w:w="0" w:type="dxa"/>
        <w:right w:w="0" w:type="dxa"/>
      </w:tblCellMar>
    </w:tblPr>
  </w:style>
  <w:style w:type="table" w:customStyle="1" w:styleId="18">
    <w:name w:val="Table Normal1"/>
    <w:semiHidden/>
    <w:unhideWhenUsed/>
    <w:qFormat/>
    <w:uiPriority w:val="0"/>
    <w:rPr>
      <w:rFonts w:ascii="Times New Roman" w:hAnsi="Times New Roman" w:cs="Times New Roman"/>
    </w:rPr>
    <w:tblPr>
      <w:tblCellMar>
        <w:top w:w="0" w:type="dxa"/>
        <w:left w:w="0" w:type="dxa"/>
        <w:bottom w:w="0" w:type="dxa"/>
        <w:right w:w="0" w:type="dxa"/>
      </w:tblCellMar>
    </w:tblPr>
  </w:style>
  <w:style w:type="character" w:customStyle="1" w:styleId="19">
    <w:name w:val="标题 2 字符"/>
    <w:basedOn w:val="11"/>
    <w:link w:val="3"/>
    <w:semiHidden/>
    <w:qFormat/>
    <w:uiPriority w:val="9"/>
    <w:rPr>
      <w:rFonts w:asciiTheme="majorHAnsi" w:hAnsiTheme="majorHAnsi" w:eastAsiaTheme="majorEastAsia" w:cstheme="majorBidi"/>
      <w:b/>
      <w:bCs/>
      <w:color w:val="000000"/>
      <w:kern w:val="2"/>
      <w:sz w:val="32"/>
      <w:szCs w:val="32"/>
    </w:rPr>
  </w:style>
  <w:style w:type="table" w:customStyle="1" w:styleId="20">
    <w:name w:val="Table Normal2"/>
    <w:semiHidden/>
    <w:unhideWhenUsed/>
    <w:qFormat/>
    <w:uiPriority w:val="0"/>
    <w:rPr>
      <w:rFonts w:ascii="Times New Roman" w:hAnsi="Times New Roman" w:cs="Times New Roman"/>
    </w:rPr>
    <w:tblPr>
      <w:tblCellMar>
        <w:top w:w="0" w:type="dxa"/>
        <w:left w:w="0" w:type="dxa"/>
        <w:bottom w:w="0" w:type="dxa"/>
        <w:right w:w="0" w:type="dxa"/>
      </w:tblCellMar>
    </w:tblPr>
  </w:style>
  <w:style w:type="paragraph" w:customStyle="1" w:styleId="21">
    <w:name w:val="正文文本 (2)"/>
    <w:basedOn w:val="1"/>
    <w:qFormat/>
    <w:uiPriority w:val="0"/>
    <w:pPr>
      <w:shd w:val="clear" w:color="auto" w:fill="FFFFFF"/>
      <w:spacing w:before="300" w:line="439" w:lineRule="exact"/>
      <w:jc w:val="distribute"/>
    </w:pPr>
    <w:rPr>
      <w:rFonts w:ascii="宋体" w:hAnsi="宋体" w:cs="宋体"/>
      <w:kern w:val="0"/>
      <w:sz w:val="22"/>
    </w:rPr>
  </w:style>
  <w:style w:type="table" w:customStyle="1" w:styleId="22">
    <w:name w:val="网格型2"/>
    <w:basedOn w:val="10"/>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9079</Words>
  <Characters>9543</Characters>
  <Lines>87</Lines>
  <Paragraphs>24</Paragraphs>
  <TotalTime>8</TotalTime>
  <ScaleCrop>false</ScaleCrop>
  <LinksUpToDate>false</LinksUpToDate>
  <CharactersWithSpaces>9684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2024-07-30T09:12:00Z</dcterms:created>
  <cp:lastPrinted>2026-02-11T00:53:00Z</cp:lastPrinted>
  <dcterms:modified xsi:type="dcterms:W3CDTF">2026-02-11T06:51:36Z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eyJoZGlkIjoiMzUwMTdjMmZiZjFkYzAzMjAxOTJlYjM2OTYzYmQ2ZDgiLCJ1c2VySWQiOiIxNzczNzI5OTA4In0=</vt:lpwstr>
  </property>
  <property fmtid="{D5CDD505-2E9C-101B-9397-08002B2CF9AE}" pid="3" name="KSOProductBuildVer">
    <vt:lpwstr>2052-12.1.0.24657</vt:lpwstr>
  </property>
  <property fmtid="{D5CDD505-2E9C-101B-9397-08002B2CF9AE}" pid="4" name="ICV">
    <vt:lpwstr>5513B63654664154A47EE8FAFE1382D1_12</vt:lpwstr>
  </property>
</Properties>
</file>