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B31C3F">
      <w:pPr>
        <w:jc w:val="center"/>
        <w:rPr>
          <w:rFonts w:hint="eastAsia" w:ascii="宋体" w:hAnsi="宋体"/>
          <w:b/>
          <w:sz w:val="32"/>
          <w:szCs w:val="32"/>
        </w:rPr>
      </w:pPr>
      <w:r>
        <w:rPr>
          <w:rFonts w:hint="eastAsia" w:ascii="宋体" w:hAnsi="宋体"/>
          <w:b/>
          <w:sz w:val="32"/>
          <w:szCs w:val="32"/>
        </w:rPr>
        <w:t>辽源市2024年国道集阿公路永安至青龙互通段路面改造工程施工</w:t>
      </w:r>
    </w:p>
    <w:p w14:paraId="02FF4997">
      <w:pPr>
        <w:jc w:val="center"/>
        <w:rPr>
          <w:rFonts w:hint="eastAsia" w:ascii="宋体" w:hAnsi="宋体"/>
          <w:b/>
          <w:sz w:val="32"/>
          <w:szCs w:val="32"/>
        </w:rPr>
      </w:pPr>
      <w:r>
        <w:rPr>
          <w:rFonts w:hint="eastAsia" w:ascii="宋体" w:hAnsi="宋体"/>
          <w:b/>
          <w:sz w:val="32"/>
          <w:szCs w:val="32"/>
        </w:rPr>
        <w:t>招标</w:t>
      </w:r>
      <w:r>
        <w:rPr>
          <w:rFonts w:hint="eastAsia" w:ascii="宋体" w:hAnsi="宋体"/>
          <w:b/>
          <w:sz w:val="32"/>
          <w:szCs w:val="32"/>
          <w:lang w:val="en-US" w:eastAsia="zh-CN"/>
        </w:rPr>
        <w:t>文件</w:t>
      </w:r>
      <w:r>
        <w:rPr>
          <w:rFonts w:hint="eastAsia" w:ascii="宋体" w:hAnsi="宋体"/>
          <w:b/>
          <w:sz w:val="32"/>
          <w:szCs w:val="32"/>
        </w:rPr>
        <w:t>关键内容信息公开</w:t>
      </w:r>
    </w:p>
    <w:p w14:paraId="7ADF526E">
      <w:pPr>
        <w:jc w:val="center"/>
        <w:rPr>
          <w:rFonts w:hint="eastAsia" w:ascii="宋体" w:hAnsi="宋体"/>
          <w:b/>
          <w:sz w:val="32"/>
          <w:szCs w:val="32"/>
        </w:rPr>
      </w:pPr>
    </w:p>
    <w:p w14:paraId="1B86EFA2">
      <w:pPr>
        <w:pStyle w:val="15"/>
        <w:tabs>
          <w:tab w:val="left" w:pos="426"/>
        </w:tabs>
        <w:spacing w:line="360" w:lineRule="auto"/>
        <w:jc w:val="left"/>
        <w:outlineLvl w:val="2"/>
        <w:rPr>
          <w:rFonts w:ascii="宋体" w:hAnsi="宋体"/>
          <w:b w:val="0"/>
        </w:rPr>
      </w:pPr>
      <w:bookmarkStart w:id="0" w:name="_Toc257655327"/>
      <w:bookmarkStart w:id="1" w:name="_Toc458772797"/>
      <w:bookmarkStart w:id="2" w:name="_Toc444517388"/>
      <w:bookmarkStart w:id="3" w:name="_Toc474499945"/>
      <w:bookmarkStart w:id="4" w:name="_Toc361838103"/>
      <w:bookmarkStart w:id="5" w:name="_Toc356741788"/>
      <w:bookmarkStart w:id="6" w:name="_Toc257655326"/>
      <w:bookmarkStart w:id="7" w:name="_Toc474499946"/>
      <w:bookmarkStart w:id="8" w:name="_Toc444517387"/>
      <w:bookmarkStart w:id="9" w:name="_Toc356741789"/>
      <w:bookmarkStart w:id="10" w:name="_Toc361838102"/>
      <w:bookmarkStart w:id="11" w:name="_Toc458772798"/>
      <w:bookmarkStart w:id="12" w:name="_Toc31255"/>
      <w:bookmarkStart w:id="13" w:name="_Toc508633107"/>
      <w:bookmarkStart w:id="14" w:name="_Toc6168"/>
      <w:bookmarkStart w:id="15" w:name="_Toc4577"/>
      <w:bookmarkStart w:id="16" w:name="_Toc22563"/>
      <w:bookmarkStart w:id="17" w:name="_Toc361838105"/>
      <w:bookmarkStart w:id="18" w:name="_Toc356741791"/>
      <w:bookmarkStart w:id="19" w:name="_Toc29184"/>
      <w:bookmarkStart w:id="20" w:name="_Toc257655330"/>
      <w:r>
        <w:rPr>
          <w:rFonts w:hint="eastAsia" w:ascii="宋体" w:hAnsi="宋体"/>
          <w:b w:val="0"/>
        </w:rPr>
        <w:t>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Pr>
          <w:rFonts w:hint="eastAsia" w:ascii="宋体" w:hAnsi="宋体"/>
          <w:b w:val="0"/>
        </w:rPr>
        <w:t>招标条件</w:t>
      </w:r>
      <w:bookmarkEnd w:id="15"/>
    </w:p>
    <w:p w14:paraId="4D3C073B">
      <w:pPr>
        <w:spacing w:line="360" w:lineRule="auto"/>
        <w:ind w:firstLine="420" w:firstLineChars="200"/>
        <w:jc w:val="left"/>
        <w:rPr>
          <w:rFonts w:ascii="宋体" w:hAnsi="宋体"/>
          <w:szCs w:val="21"/>
        </w:rPr>
      </w:pPr>
      <w:r>
        <w:rPr>
          <w:rFonts w:hint="eastAsia" w:ascii="宋体" w:hAnsi="宋体"/>
          <w:szCs w:val="21"/>
        </w:rPr>
        <w:t>本招标项目辽源市2024年国道集阿公路永安至青龙互通段路面改造工程施工图设计已由吉林省公路管理局以吉公路技【</w:t>
      </w:r>
      <w:r>
        <w:rPr>
          <w:rFonts w:hint="eastAsia" w:ascii="宋体" w:hAnsi="宋体"/>
          <w:szCs w:val="21"/>
          <w:lang w:val="en-US" w:eastAsia="zh-CN"/>
        </w:rPr>
        <w:t>2026</w:t>
      </w:r>
      <w:r>
        <w:rPr>
          <w:rFonts w:hint="eastAsia" w:ascii="宋体" w:hAnsi="宋体"/>
          <w:szCs w:val="21"/>
        </w:rPr>
        <w:t>】</w:t>
      </w:r>
      <w:r>
        <w:rPr>
          <w:rFonts w:hint="eastAsia" w:ascii="宋体" w:hAnsi="宋体"/>
          <w:szCs w:val="21"/>
          <w:lang w:val="en-US" w:eastAsia="zh-CN"/>
        </w:rPr>
        <w:t>20</w:t>
      </w:r>
      <w:r>
        <w:rPr>
          <w:rFonts w:hint="eastAsia" w:ascii="宋体" w:hAnsi="宋体"/>
          <w:szCs w:val="21"/>
        </w:rPr>
        <w:t>号文件批准，</w:t>
      </w:r>
      <w:r>
        <w:rPr>
          <w:rFonts w:hint="eastAsia" w:ascii="宋体" w:hAnsi="宋体"/>
          <w:szCs w:val="21"/>
          <w:lang w:val="en-US" w:eastAsia="zh-CN"/>
        </w:rPr>
        <w:t>项目法人为吉林省公路管理局，</w:t>
      </w:r>
      <w:r>
        <w:rPr>
          <w:rFonts w:hint="eastAsia" w:ascii="宋体" w:hAnsi="宋体" w:eastAsia="宋体" w:cs="宋体"/>
          <w:b w:val="0"/>
          <w:bCs w:val="0"/>
          <w:kern w:val="2"/>
          <w:sz w:val="21"/>
          <w:szCs w:val="21"/>
          <w:highlight w:val="none"/>
          <w:lang w:val="en-US" w:eastAsia="zh-CN" w:bidi="ar-SA"/>
        </w:rPr>
        <w:t>招标人（项目实施管理法人）为辽源市公路管理处，</w:t>
      </w:r>
      <w:r>
        <w:rPr>
          <w:rFonts w:hint="eastAsia" w:ascii="宋体" w:hAnsi="宋体"/>
          <w:szCs w:val="21"/>
          <w:lang w:val="en-US" w:eastAsia="zh-CN"/>
        </w:rPr>
        <w:t>建设资金来自</w:t>
      </w:r>
      <w:r>
        <w:rPr>
          <w:rFonts w:hint="eastAsia" w:ascii="宋体" w:hAnsi="宋体"/>
          <w:szCs w:val="21"/>
          <w:highlight w:val="none"/>
          <w:lang w:val="en-US" w:eastAsia="zh-CN"/>
        </w:rPr>
        <w:t>财政资金，出</w:t>
      </w:r>
      <w:r>
        <w:rPr>
          <w:rFonts w:hint="eastAsia" w:ascii="宋体" w:hAnsi="宋体"/>
          <w:szCs w:val="21"/>
          <w:lang w:val="en-US" w:eastAsia="zh-CN"/>
        </w:rPr>
        <w:t>资比例为100%。</w:t>
      </w:r>
      <w:r>
        <w:rPr>
          <w:rFonts w:hint="eastAsia" w:ascii="宋体" w:hAnsi="宋体"/>
          <w:szCs w:val="21"/>
        </w:rPr>
        <w:t>项目已具备招标条件，现对该项目施工采用资格后审方式进行公开招标。</w:t>
      </w:r>
    </w:p>
    <w:p w14:paraId="11860ED0">
      <w:pPr>
        <w:pStyle w:val="15"/>
        <w:tabs>
          <w:tab w:val="left" w:pos="426"/>
        </w:tabs>
        <w:spacing w:line="360" w:lineRule="auto"/>
        <w:jc w:val="left"/>
        <w:outlineLvl w:val="2"/>
        <w:rPr>
          <w:rFonts w:ascii="宋体" w:hAnsi="宋体"/>
          <w:b w:val="0"/>
        </w:rPr>
      </w:pPr>
      <w:bookmarkStart w:id="21" w:name="_Toc510098970"/>
      <w:bookmarkStart w:id="22" w:name="_Toc14130"/>
      <w:bookmarkStart w:id="23" w:name="_Toc19071"/>
      <w:bookmarkStart w:id="24" w:name="_Toc4576"/>
      <w:r>
        <w:rPr>
          <w:rFonts w:hint="eastAsia" w:ascii="宋体" w:hAnsi="宋体"/>
          <w:b w:val="0"/>
        </w:rPr>
        <w:t>2.项目概况与招标范围</w:t>
      </w:r>
      <w:bookmarkEnd w:id="21"/>
      <w:bookmarkEnd w:id="22"/>
      <w:bookmarkEnd w:id="23"/>
      <w:bookmarkEnd w:id="24"/>
    </w:p>
    <w:p w14:paraId="42C4DD6E">
      <w:pPr>
        <w:spacing w:line="360" w:lineRule="auto"/>
        <w:ind w:firstLine="411" w:firstLineChars="196"/>
        <w:rPr>
          <w:rFonts w:ascii="宋体" w:hAnsi="宋体"/>
          <w:szCs w:val="21"/>
        </w:rPr>
      </w:pPr>
      <w:bookmarkStart w:id="25" w:name="_Toc356741790"/>
      <w:bookmarkStart w:id="26" w:name="_Toc257655328"/>
      <w:bookmarkStart w:id="27" w:name="_Toc361838104"/>
      <w:r>
        <w:rPr>
          <w:rFonts w:hint="eastAsia" w:ascii="宋体" w:hAnsi="宋体"/>
          <w:szCs w:val="21"/>
        </w:rPr>
        <w:t>2.1建设地点：吉林省</w:t>
      </w:r>
      <w:r>
        <w:rPr>
          <w:rFonts w:hint="eastAsia" w:ascii="宋体" w:hAnsi="宋体"/>
          <w:szCs w:val="21"/>
          <w:lang w:val="en-US" w:eastAsia="zh-CN"/>
        </w:rPr>
        <w:t>辽源市</w:t>
      </w:r>
      <w:r>
        <w:rPr>
          <w:rFonts w:hint="eastAsia" w:ascii="宋体" w:hAnsi="宋体"/>
          <w:szCs w:val="21"/>
        </w:rPr>
        <w:t>。</w:t>
      </w:r>
    </w:p>
    <w:p w14:paraId="09B707DA">
      <w:pPr>
        <w:spacing w:line="360" w:lineRule="auto"/>
        <w:ind w:firstLine="420" w:firstLineChars="200"/>
        <w:rPr>
          <w:rFonts w:hint="default" w:ascii="宋体" w:hAnsi="宋体" w:eastAsia="宋体" w:cs="宋体"/>
          <w:lang w:val="en-US" w:eastAsia="zh-CN"/>
        </w:rPr>
      </w:pPr>
      <w:r>
        <w:rPr>
          <w:rFonts w:ascii="宋体" w:hAnsi="宋体"/>
          <w:szCs w:val="21"/>
        </w:rPr>
        <w:t>2.</w:t>
      </w:r>
      <w:r>
        <w:rPr>
          <w:rFonts w:hint="eastAsia" w:ascii="宋体" w:hAnsi="宋体"/>
          <w:szCs w:val="21"/>
        </w:rPr>
        <w:t>2</w:t>
      </w:r>
      <w:r>
        <w:rPr>
          <w:rFonts w:hint="eastAsia" w:ascii="宋体" w:hAnsi="宋体" w:cs="宋体"/>
          <w:szCs w:val="21"/>
        </w:rPr>
        <w:t>建设规模：</w:t>
      </w:r>
      <w:r>
        <w:rPr>
          <w:rFonts w:hint="eastAsia" w:ascii="宋体" w:hAnsi="宋体" w:cs="宋体"/>
          <w:lang w:val="en-US" w:eastAsia="zh-CN"/>
        </w:rPr>
        <w:t>国道集阿公路（G303）永安至青龙互通段位于辽源市境内，里程桩号K237+428</w:t>
      </w:r>
      <w:r>
        <w:rPr>
          <w:rFonts w:hint="eastAsia" w:ascii="宋体" w:hAnsi="宋体" w:cs="宋体"/>
          <w:szCs w:val="21"/>
        </w:rPr>
        <w:t>～</w:t>
      </w:r>
      <w:r>
        <w:rPr>
          <w:rFonts w:hint="eastAsia" w:ascii="宋体" w:hAnsi="宋体" w:cs="宋体"/>
          <w:szCs w:val="21"/>
          <w:lang w:val="en-US" w:eastAsia="zh-CN"/>
        </w:rPr>
        <w:t>K247+500,路线全长10.072公里，采用设计速度100公里/小时的一级公路标准，路基宽度25.5米，路面宽度22米，全线共有大桥2座、小桥10座、涵洞12道，与等级道路平面交叉33处</w:t>
      </w:r>
      <w:r>
        <w:rPr>
          <w:rFonts w:hint="eastAsia" w:ascii="宋体" w:hAnsi="宋体" w:cs="宋体"/>
        </w:rPr>
        <w:t>。</w:t>
      </w:r>
    </w:p>
    <w:p w14:paraId="1AE2A2B5">
      <w:pPr>
        <w:spacing w:line="360" w:lineRule="auto"/>
        <w:ind w:firstLine="411" w:firstLineChars="196"/>
        <w:rPr>
          <w:rFonts w:hint="eastAsia" w:ascii="宋体" w:hAnsi="宋体" w:cs="宋体"/>
        </w:rPr>
      </w:pPr>
      <w:r>
        <w:rPr>
          <w:rFonts w:hint="eastAsia" w:ascii="宋体" w:hAnsi="宋体"/>
          <w:szCs w:val="21"/>
        </w:rPr>
        <w:t>2.3标段划分：本次招标共</w:t>
      </w:r>
      <w:r>
        <w:rPr>
          <w:rFonts w:hint="eastAsia" w:ascii="宋体" w:hAnsi="宋体"/>
          <w:szCs w:val="21"/>
          <w:highlight w:val="none"/>
        </w:rPr>
        <w:t>划</w:t>
      </w:r>
      <w:r>
        <w:rPr>
          <w:rFonts w:hint="eastAsia" w:ascii="宋体" w:hAnsi="宋体" w:cs="宋体"/>
          <w:highlight w:val="none"/>
        </w:rPr>
        <w:t>分</w:t>
      </w:r>
      <w:r>
        <w:rPr>
          <w:rFonts w:hint="eastAsia" w:ascii="宋体" w:hAnsi="宋体" w:cs="宋体"/>
          <w:highlight w:val="none"/>
          <w:lang w:val="en-US" w:eastAsia="zh-CN"/>
        </w:rPr>
        <w:t>3</w:t>
      </w:r>
      <w:r>
        <w:rPr>
          <w:rFonts w:hint="eastAsia" w:ascii="宋体" w:hAnsi="宋体" w:cs="宋体"/>
          <w:highlight w:val="none"/>
        </w:rPr>
        <w:t>个标段</w:t>
      </w:r>
      <w:r>
        <w:rPr>
          <w:rFonts w:hint="eastAsia" w:ascii="宋体" w:hAnsi="宋体" w:cs="宋体"/>
        </w:rPr>
        <w:t>，具体划分如下：</w:t>
      </w:r>
    </w:p>
    <w:tbl>
      <w:tblPr>
        <w:tblStyle w:val="11"/>
        <w:tblW w:w="50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29"/>
        <w:gridCol w:w="2427"/>
        <w:gridCol w:w="1266"/>
        <w:gridCol w:w="5177"/>
      </w:tblGrid>
      <w:tr w14:paraId="0D45F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474" w:type="pct"/>
            <w:noWrap w:val="0"/>
            <w:tcMar>
              <w:left w:w="28" w:type="dxa"/>
              <w:right w:w="28" w:type="dxa"/>
            </w:tcMar>
            <w:vAlign w:val="center"/>
          </w:tcPr>
          <w:p w14:paraId="43085928">
            <w:pPr>
              <w:spacing w:line="360" w:lineRule="auto"/>
              <w:jc w:val="center"/>
              <w:rPr>
                <w:rFonts w:hint="eastAsia" w:ascii="宋体" w:hAnsi="宋体" w:cs="宋体"/>
                <w:szCs w:val="21"/>
              </w:rPr>
            </w:pPr>
            <w:r>
              <w:rPr>
                <w:rFonts w:hint="eastAsia" w:ascii="宋体" w:hAnsi="宋体" w:cs="宋体"/>
                <w:szCs w:val="21"/>
              </w:rPr>
              <w:t>标段</w:t>
            </w:r>
          </w:p>
        </w:tc>
        <w:tc>
          <w:tcPr>
            <w:tcW w:w="1238" w:type="pct"/>
            <w:noWrap w:val="0"/>
            <w:tcMar>
              <w:left w:w="28" w:type="dxa"/>
              <w:right w:w="28" w:type="dxa"/>
            </w:tcMar>
            <w:vAlign w:val="center"/>
          </w:tcPr>
          <w:p w14:paraId="57BEDB41">
            <w:pPr>
              <w:spacing w:line="360" w:lineRule="auto"/>
              <w:jc w:val="center"/>
              <w:rPr>
                <w:rFonts w:hint="eastAsia" w:ascii="宋体" w:hAnsi="宋体" w:eastAsia="宋体" w:cs="宋体"/>
                <w:szCs w:val="21"/>
                <w:lang w:eastAsia="zh-CN"/>
              </w:rPr>
            </w:pPr>
            <w:r>
              <w:rPr>
                <w:rFonts w:hint="eastAsia" w:ascii="宋体" w:hAnsi="宋体" w:cs="宋体"/>
                <w:szCs w:val="21"/>
                <w:lang w:val="en-US" w:eastAsia="zh-CN"/>
              </w:rPr>
              <w:t>桩号</w:t>
            </w:r>
          </w:p>
        </w:tc>
        <w:tc>
          <w:tcPr>
            <w:tcW w:w="646" w:type="pct"/>
            <w:noWrap w:val="0"/>
            <w:tcMar>
              <w:left w:w="28" w:type="dxa"/>
              <w:right w:w="28" w:type="dxa"/>
            </w:tcMar>
            <w:vAlign w:val="center"/>
          </w:tcPr>
          <w:p w14:paraId="25551061">
            <w:pPr>
              <w:spacing w:line="360" w:lineRule="auto"/>
              <w:jc w:val="center"/>
              <w:rPr>
                <w:rFonts w:hint="eastAsia" w:ascii="宋体" w:hAnsi="宋体" w:cs="宋体"/>
                <w:szCs w:val="21"/>
              </w:rPr>
            </w:pPr>
            <w:r>
              <w:rPr>
                <w:rFonts w:hint="eastAsia" w:ascii="宋体" w:hAnsi="宋体" w:cs="宋体"/>
                <w:szCs w:val="21"/>
              </w:rPr>
              <w:t>长度（KM）</w:t>
            </w:r>
          </w:p>
        </w:tc>
        <w:tc>
          <w:tcPr>
            <w:tcW w:w="2641" w:type="pct"/>
            <w:noWrap w:val="0"/>
            <w:tcMar>
              <w:left w:w="28" w:type="dxa"/>
              <w:right w:w="28" w:type="dxa"/>
            </w:tcMar>
            <w:vAlign w:val="center"/>
          </w:tcPr>
          <w:p w14:paraId="3059FE50">
            <w:pPr>
              <w:spacing w:line="360" w:lineRule="auto"/>
              <w:jc w:val="center"/>
              <w:rPr>
                <w:rFonts w:hint="eastAsia" w:ascii="宋体" w:hAnsi="宋体" w:cs="宋体"/>
                <w:szCs w:val="21"/>
              </w:rPr>
            </w:pPr>
            <w:r>
              <w:rPr>
                <w:rFonts w:hint="eastAsia" w:ascii="宋体" w:hAnsi="宋体" w:cs="宋体"/>
                <w:szCs w:val="21"/>
              </w:rPr>
              <w:t>主要工程内容</w:t>
            </w:r>
          </w:p>
        </w:tc>
      </w:tr>
      <w:tr w14:paraId="72536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474" w:type="pct"/>
            <w:noWrap w:val="0"/>
            <w:tcMar>
              <w:left w:w="28" w:type="dxa"/>
              <w:right w:w="28" w:type="dxa"/>
            </w:tcMar>
            <w:vAlign w:val="center"/>
          </w:tcPr>
          <w:p w14:paraId="1273D2CB">
            <w:pPr>
              <w:spacing w:line="360" w:lineRule="auto"/>
              <w:jc w:val="center"/>
              <w:rPr>
                <w:rFonts w:hint="eastAsia" w:ascii="宋体" w:hAnsi="宋体" w:cs="宋体"/>
                <w:szCs w:val="21"/>
              </w:rPr>
            </w:pPr>
            <w:bookmarkStart w:id="28" w:name="OLE_LINK4"/>
            <w:r>
              <w:rPr>
                <w:rFonts w:hint="eastAsia" w:ascii="宋体" w:hAnsi="宋体" w:cs="宋体"/>
                <w:szCs w:val="21"/>
                <w:lang w:val="en-US" w:eastAsia="zh-CN"/>
              </w:rPr>
              <w:t>LY</w:t>
            </w:r>
            <w:r>
              <w:rPr>
                <w:rFonts w:hint="eastAsia" w:ascii="宋体" w:hAnsi="宋体" w:cs="宋体"/>
                <w:szCs w:val="21"/>
              </w:rPr>
              <w:t>01</w:t>
            </w:r>
            <w:bookmarkEnd w:id="28"/>
          </w:p>
        </w:tc>
        <w:tc>
          <w:tcPr>
            <w:tcW w:w="1238" w:type="pct"/>
            <w:noWrap w:val="0"/>
            <w:tcMar>
              <w:left w:w="28" w:type="dxa"/>
              <w:right w:w="28" w:type="dxa"/>
            </w:tcMar>
            <w:vAlign w:val="center"/>
          </w:tcPr>
          <w:p w14:paraId="48636EEB">
            <w:pPr>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K237+428-K240+528</w:t>
            </w:r>
          </w:p>
        </w:tc>
        <w:tc>
          <w:tcPr>
            <w:tcW w:w="646" w:type="pct"/>
            <w:noWrap w:val="0"/>
            <w:tcMar>
              <w:left w:w="28" w:type="dxa"/>
              <w:right w:w="28" w:type="dxa"/>
            </w:tcMar>
            <w:vAlign w:val="center"/>
          </w:tcPr>
          <w:p w14:paraId="39D907CF">
            <w:pPr>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3.1</w:t>
            </w:r>
          </w:p>
        </w:tc>
        <w:tc>
          <w:tcPr>
            <w:tcW w:w="2641" w:type="pct"/>
            <w:noWrap w:val="0"/>
            <w:tcMar>
              <w:left w:w="28" w:type="dxa"/>
              <w:right w:w="28" w:type="dxa"/>
            </w:tcMar>
            <w:vAlign w:val="center"/>
          </w:tcPr>
          <w:p w14:paraId="3FB8F4EB">
            <w:pPr>
              <w:spacing w:line="360" w:lineRule="auto"/>
              <w:jc w:val="center"/>
              <w:rPr>
                <w:rFonts w:hint="default" w:ascii="宋体" w:hAnsi="宋体" w:eastAsia="宋体" w:cs="宋体"/>
                <w:szCs w:val="21"/>
                <w:lang w:val="en-US" w:eastAsia="zh-CN"/>
              </w:rPr>
            </w:pPr>
            <w:bookmarkStart w:id="29" w:name="_Hlk186101553"/>
            <w:bookmarkEnd w:id="29"/>
            <w:r>
              <w:rPr>
                <w:rFonts w:hint="eastAsia" w:ascii="宋体" w:hAnsi="宋体" w:cs="宋体"/>
                <w:szCs w:val="21"/>
                <w:lang w:val="en-US" w:eastAsia="zh-CN"/>
              </w:rPr>
              <w:t>路基、沥青混凝土路面、</w:t>
            </w:r>
            <w:r>
              <w:rPr>
                <w:rFonts w:hint="eastAsia" w:ascii="宋体" w:hAnsi="宋体" w:cs="宋体"/>
                <w:lang w:val="en-US" w:eastAsia="zh-CN"/>
              </w:rPr>
              <w:t>更换上部结构桥梁、</w:t>
            </w:r>
            <w:r>
              <w:rPr>
                <w:rFonts w:hint="eastAsia" w:ascii="宋体" w:hAnsi="宋体" w:cs="宋体"/>
                <w:szCs w:val="21"/>
                <w:lang w:val="en-US" w:eastAsia="zh-CN"/>
              </w:rPr>
              <w:t>桥涵维修，交通安全设施等</w:t>
            </w:r>
          </w:p>
        </w:tc>
      </w:tr>
      <w:tr w14:paraId="6A67B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6" w:hRule="atLeast"/>
          <w:jc w:val="center"/>
        </w:trPr>
        <w:tc>
          <w:tcPr>
            <w:tcW w:w="474" w:type="pct"/>
            <w:noWrap w:val="0"/>
            <w:tcMar>
              <w:left w:w="28" w:type="dxa"/>
              <w:right w:w="28" w:type="dxa"/>
            </w:tcMar>
            <w:vAlign w:val="center"/>
          </w:tcPr>
          <w:p w14:paraId="74F3DB25">
            <w:pPr>
              <w:spacing w:line="360" w:lineRule="auto"/>
              <w:jc w:val="center"/>
              <w:rPr>
                <w:rFonts w:hint="eastAsia" w:ascii="宋体" w:hAnsi="宋体" w:eastAsia="宋体" w:cs="宋体"/>
                <w:szCs w:val="21"/>
                <w:lang w:val="en-US" w:eastAsia="zh-CN"/>
              </w:rPr>
            </w:pPr>
            <w:r>
              <w:rPr>
                <w:rFonts w:hint="eastAsia" w:ascii="宋体" w:hAnsi="宋体" w:cs="宋体"/>
                <w:szCs w:val="21"/>
                <w:lang w:val="en-US" w:eastAsia="zh-CN"/>
              </w:rPr>
              <w:t>LY</w:t>
            </w:r>
            <w:r>
              <w:rPr>
                <w:rFonts w:hint="eastAsia" w:ascii="宋体" w:hAnsi="宋体" w:cs="宋体"/>
                <w:szCs w:val="21"/>
              </w:rPr>
              <w:t>0</w:t>
            </w:r>
            <w:r>
              <w:rPr>
                <w:rFonts w:hint="eastAsia" w:ascii="宋体" w:hAnsi="宋体" w:cs="宋体"/>
                <w:szCs w:val="21"/>
                <w:lang w:val="en-US" w:eastAsia="zh-CN"/>
              </w:rPr>
              <w:t>2</w:t>
            </w:r>
          </w:p>
        </w:tc>
        <w:tc>
          <w:tcPr>
            <w:tcW w:w="1238" w:type="pct"/>
            <w:noWrap w:val="0"/>
            <w:tcMar>
              <w:left w:w="28" w:type="dxa"/>
              <w:right w:w="28" w:type="dxa"/>
            </w:tcMar>
            <w:vAlign w:val="center"/>
          </w:tcPr>
          <w:p w14:paraId="1C51A4BB">
            <w:pPr>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K240+528-K244+199</w:t>
            </w:r>
          </w:p>
        </w:tc>
        <w:tc>
          <w:tcPr>
            <w:tcW w:w="646" w:type="pct"/>
            <w:noWrap w:val="0"/>
            <w:tcMar>
              <w:left w:w="28" w:type="dxa"/>
              <w:right w:w="28" w:type="dxa"/>
            </w:tcMar>
            <w:vAlign w:val="center"/>
          </w:tcPr>
          <w:p w14:paraId="48220042">
            <w:pPr>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3.671</w:t>
            </w:r>
          </w:p>
        </w:tc>
        <w:tc>
          <w:tcPr>
            <w:tcW w:w="2641" w:type="pct"/>
            <w:noWrap w:val="0"/>
            <w:tcMar>
              <w:left w:w="28" w:type="dxa"/>
              <w:right w:w="28" w:type="dxa"/>
            </w:tcMar>
            <w:vAlign w:val="center"/>
          </w:tcPr>
          <w:p w14:paraId="55457E16">
            <w:pPr>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路基、沥青混凝土路面、桥涵维修、交通安全设施等</w:t>
            </w:r>
          </w:p>
        </w:tc>
      </w:tr>
      <w:tr w14:paraId="74B92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6" w:hRule="atLeast"/>
          <w:jc w:val="center"/>
        </w:trPr>
        <w:tc>
          <w:tcPr>
            <w:tcW w:w="474" w:type="pct"/>
            <w:noWrap w:val="0"/>
            <w:tcMar>
              <w:left w:w="28" w:type="dxa"/>
              <w:right w:w="28" w:type="dxa"/>
            </w:tcMar>
            <w:vAlign w:val="center"/>
          </w:tcPr>
          <w:p w14:paraId="0C96BD20">
            <w:pPr>
              <w:spacing w:line="360" w:lineRule="auto"/>
              <w:jc w:val="center"/>
              <w:rPr>
                <w:rFonts w:hint="eastAsia" w:ascii="宋体" w:hAnsi="宋体" w:eastAsia="宋体" w:cs="宋体"/>
                <w:szCs w:val="21"/>
                <w:lang w:val="en-US" w:eastAsia="zh-CN"/>
              </w:rPr>
            </w:pPr>
            <w:r>
              <w:rPr>
                <w:rFonts w:hint="eastAsia" w:ascii="宋体" w:hAnsi="宋体" w:cs="宋体"/>
                <w:szCs w:val="21"/>
                <w:lang w:val="en-US" w:eastAsia="zh-CN"/>
              </w:rPr>
              <w:t>LY</w:t>
            </w:r>
            <w:r>
              <w:rPr>
                <w:rFonts w:hint="eastAsia" w:ascii="宋体" w:hAnsi="宋体" w:cs="宋体"/>
                <w:szCs w:val="21"/>
              </w:rPr>
              <w:t>0</w:t>
            </w:r>
            <w:r>
              <w:rPr>
                <w:rFonts w:hint="eastAsia" w:ascii="宋体" w:hAnsi="宋体" w:cs="宋体"/>
                <w:szCs w:val="21"/>
                <w:lang w:val="en-US" w:eastAsia="zh-CN"/>
              </w:rPr>
              <w:t>3</w:t>
            </w:r>
          </w:p>
        </w:tc>
        <w:tc>
          <w:tcPr>
            <w:tcW w:w="1238" w:type="pct"/>
            <w:noWrap w:val="0"/>
            <w:tcMar>
              <w:left w:w="28" w:type="dxa"/>
              <w:right w:w="28" w:type="dxa"/>
            </w:tcMar>
            <w:vAlign w:val="center"/>
          </w:tcPr>
          <w:p w14:paraId="46D6B90F">
            <w:pPr>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K244+199-K247+500</w:t>
            </w:r>
          </w:p>
        </w:tc>
        <w:tc>
          <w:tcPr>
            <w:tcW w:w="646" w:type="pct"/>
            <w:noWrap w:val="0"/>
            <w:tcMar>
              <w:left w:w="28" w:type="dxa"/>
              <w:right w:w="28" w:type="dxa"/>
            </w:tcMar>
            <w:vAlign w:val="center"/>
          </w:tcPr>
          <w:p w14:paraId="0D54B42D">
            <w:pPr>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3.301</w:t>
            </w:r>
          </w:p>
        </w:tc>
        <w:tc>
          <w:tcPr>
            <w:tcW w:w="2641" w:type="pct"/>
            <w:noWrap w:val="0"/>
            <w:tcMar>
              <w:left w:w="28" w:type="dxa"/>
              <w:right w:w="28" w:type="dxa"/>
            </w:tcMar>
            <w:vAlign w:val="center"/>
          </w:tcPr>
          <w:p w14:paraId="3E3F779F">
            <w:pPr>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路基、沥青混凝土路面、桥涵维修、交通安全设施等</w:t>
            </w:r>
          </w:p>
        </w:tc>
      </w:tr>
    </w:tbl>
    <w:p w14:paraId="7D2600B6">
      <w:pPr>
        <w:spacing w:line="360" w:lineRule="auto"/>
        <w:ind w:firstLine="420" w:firstLineChars="200"/>
        <w:rPr>
          <w:rFonts w:ascii="宋体" w:hAnsi="宋体"/>
          <w:szCs w:val="21"/>
          <w:highlight w:val="none"/>
        </w:rPr>
      </w:pPr>
      <w:r>
        <w:rPr>
          <w:rFonts w:hint="eastAsia" w:ascii="宋体" w:hAnsi="宋体"/>
          <w:szCs w:val="21"/>
          <w:highlight w:val="none"/>
        </w:rPr>
        <w:t>2.4招标范围：</w:t>
      </w:r>
      <w:r>
        <w:rPr>
          <w:rFonts w:hint="eastAsia" w:ascii="宋体" w:hAnsi="宋体"/>
          <w:szCs w:val="21"/>
        </w:rPr>
        <w:t>辽源市2024年国道集阿公路永安至青龙互通段路面改造工程</w:t>
      </w:r>
      <w:r>
        <w:rPr>
          <w:rFonts w:hint="eastAsia" w:ascii="宋体" w:hAnsi="宋体"/>
          <w:szCs w:val="21"/>
          <w:highlight w:val="none"/>
        </w:rPr>
        <w:t>经批复的施工图设计范围内所有工程的施工。</w:t>
      </w:r>
    </w:p>
    <w:p w14:paraId="3886F539">
      <w:pPr>
        <w:spacing w:line="360" w:lineRule="auto"/>
        <w:ind w:firstLine="420" w:firstLineChars="200"/>
        <w:rPr>
          <w:rFonts w:ascii="宋体" w:hAnsi="宋体"/>
          <w:szCs w:val="21"/>
          <w:highlight w:val="none"/>
        </w:rPr>
      </w:pPr>
      <w:r>
        <w:rPr>
          <w:rFonts w:ascii="宋体" w:hAnsi="宋体"/>
          <w:szCs w:val="21"/>
          <w:highlight w:val="none"/>
        </w:rPr>
        <w:t>2.</w:t>
      </w:r>
      <w:bookmarkStart w:id="30" w:name="_Hlk130808948"/>
      <w:r>
        <w:rPr>
          <w:rFonts w:hint="eastAsia" w:ascii="宋体" w:hAnsi="宋体"/>
          <w:szCs w:val="21"/>
          <w:highlight w:val="none"/>
        </w:rPr>
        <w:t>5计划工期：</w:t>
      </w:r>
      <w:bookmarkEnd w:id="30"/>
      <w:r>
        <w:rPr>
          <w:rFonts w:hint="eastAsia" w:ascii="宋体" w:hAnsi="宋体"/>
          <w:szCs w:val="21"/>
          <w:highlight w:val="none"/>
        </w:rPr>
        <w:t>202</w:t>
      </w:r>
      <w:r>
        <w:rPr>
          <w:rFonts w:hint="eastAsia" w:ascii="宋体" w:hAnsi="宋体"/>
          <w:szCs w:val="21"/>
          <w:highlight w:val="none"/>
          <w:lang w:val="en-US" w:eastAsia="zh-CN"/>
        </w:rPr>
        <w:t>6</w:t>
      </w:r>
      <w:r>
        <w:rPr>
          <w:rFonts w:hint="eastAsia" w:ascii="宋体" w:hAnsi="宋体"/>
          <w:szCs w:val="21"/>
          <w:highlight w:val="none"/>
        </w:rPr>
        <w:t>年</w:t>
      </w:r>
      <w:r>
        <w:rPr>
          <w:rFonts w:hint="eastAsia" w:ascii="宋体" w:hAnsi="宋体"/>
          <w:szCs w:val="21"/>
          <w:highlight w:val="none"/>
          <w:lang w:val="en-US" w:eastAsia="zh-CN"/>
        </w:rPr>
        <w:t>5</w:t>
      </w:r>
      <w:r>
        <w:rPr>
          <w:rFonts w:hint="eastAsia" w:ascii="宋体" w:hAnsi="宋体"/>
          <w:szCs w:val="21"/>
          <w:highlight w:val="none"/>
        </w:rPr>
        <w:t>月</w:t>
      </w:r>
      <w:r>
        <w:rPr>
          <w:rFonts w:hint="eastAsia" w:ascii="宋体" w:hAnsi="宋体"/>
          <w:szCs w:val="21"/>
          <w:highlight w:val="none"/>
          <w:lang w:val="en-US" w:eastAsia="zh-CN"/>
        </w:rPr>
        <w:t>1</w:t>
      </w:r>
      <w:r>
        <w:rPr>
          <w:rFonts w:hint="eastAsia" w:ascii="宋体" w:hAnsi="宋体"/>
          <w:szCs w:val="21"/>
          <w:highlight w:val="none"/>
        </w:rPr>
        <w:t>日-202</w:t>
      </w:r>
      <w:r>
        <w:rPr>
          <w:rFonts w:hint="eastAsia" w:ascii="宋体" w:hAnsi="宋体"/>
          <w:szCs w:val="21"/>
          <w:highlight w:val="none"/>
          <w:lang w:val="en-US" w:eastAsia="zh-CN"/>
        </w:rPr>
        <w:t>6</w:t>
      </w:r>
      <w:r>
        <w:rPr>
          <w:rFonts w:hint="eastAsia" w:ascii="宋体" w:hAnsi="宋体"/>
          <w:szCs w:val="21"/>
          <w:highlight w:val="none"/>
        </w:rPr>
        <w:t>年</w:t>
      </w:r>
      <w:r>
        <w:rPr>
          <w:rFonts w:hint="eastAsia" w:ascii="宋体" w:hAnsi="宋体"/>
          <w:szCs w:val="21"/>
          <w:highlight w:val="none"/>
          <w:lang w:val="en-US" w:eastAsia="zh-CN"/>
        </w:rPr>
        <w:t>10</w:t>
      </w:r>
      <w:r>
        <w:rPr>
          <w:rFonts w:hint="eastAsia" w:ascii="宋体" w:hAnsi="宋体"/>
          <w:szCs w:val="21"/>
          <w:highlight w:val="none"/>
        </w:rPr>
        <w:t>月</w:t>
      </w:r>
      <w:r>
        <w:rPr>
          <w:rFonts w:hint="eastAsia" w:ascii="宋体" w:hAnsi="宋体"/>
          <w:szCs w:val="21"/>
          <w:highlight w:val="none"/>
          <w:lang w:val="en-US" w:eastAsia="zh-CN"/>
        </w:rPr>
        <w:t>30</w:t>
      </w:r>
      <w:r>
        <w:rPr>
          <w:rFonts w:hint="eastAsia" w:ascii="宋体" w:hAnsi="宋体"/>
          <w:szCs w:val="21"/>
          <w:highlight w:val="none"/>
        </w:rPr>
        <w:t>日，共计</w:t>
      </w:r>
      <w:r>
        <w:rPr>
          <w:rFonts w:hint="eastAsia" w:ascii="宋体" w:hAnsi="宋体"/>
          <w:szCs w:val="21"/>
          <w:highlight w:val="none"/>
          <w:lang w:val="en-US" w:eastAsia="zh-CN"/>
        </w:rPr>
        <w:t>182</w:t>
      </w:r>
      <w:r>
        <w:rPr>
          <w:rFonts w:hint="eastAsia" w:ascii="宋体" w:hAnsi="宋体"/>
          <w:szCs w:val="21"/>
          <w:highlight w:val="none"/>
        </w:rPr>
        <w:t>日历天。</w:t>
      </w:r>
    </w:p>
    <w:p w14:paraId="7FF940DA">
      <w:pPr>
        <w:pStyle w:val="15"/>
        <w:tabs>
          <w:tab w:val="left" w:pos="426"/>
        </w:tabs>
        <w:spacing w:line="360" w:lineRule="auto"/>
        <w:jc w:val="left"/>
        <w:outlineLvl w:val="2"/>
        <w:rPr>
          <w:rFonts w:ascii="宋体" w:hAnsi="宋体"/>
          <w:b w:val="0"/>
        </w:rPr>
      </w:pPr>
      <w:bookmarkStart w:id="31" w:name="_Toc458772799"/>
      <w:bookmarkStart w:id="32" w:name="_Toc510098971"/>
      <w:bookmarkStart w:id="33" w:name="_Toc2137"/>
      <w:bookmarkStart w:id="34" w:name="_Toc444517389"/>
      <w:bookmarkStart w:id="35" w:name="_Toc17409"/>
      <w:bookmarkStart w:id="36" w:name="_Toc18613"/>
      <w:bookmarkStart w:id="37" w:name="_Toc474499947"/>
      <w:r>
        <w:rPr>
          <w:rFonts w:hint="eastAsia" w:ascii="宋体" w:hAnsi="宋体"/>
          <w:b w:val="0"/>
        </w:rPr>
        <w:t>3.投标人资格要求</w:t>
      </w:r>
      <w:bookmarkEnd w:id="25"/>
      <w:bookmarkEnd w:id="26"/>
      <w:bookmarkEnd w:id="27"/>
      <w:bookmarkEnd w:id="31"/>
      <w:bookmarkEnd w:id="32"/>
      <w:bookmarkEnd w:id="33"/>
      <w:bookmarkEnd w:id="34"/>
      <w:bookmarkEnd w:id="35"/>
      <w:bookmarkEnd w:id="36"/>
      <w:bookmarkEnd w:id="37"/>
    </w:p>
    <w:p w14:paraId="3428BB98">
      <w:pPr>
        <w:spacing w:line="360" w:lineRule="auto"/>
        <w:ind w:firstLine="420" w:firstLineChars="200"/>
        <w:rPr>
          <w:rFonts w:hint="eastAsia" w:ascii="宋体" w:hAnsi="宋体" w:eastAsia="宋体" w:cs="Times New Roman"/>
          <w:szCs w:val="21"/>
          <w:highlight w:val="none"/>
        </w:rPr>
      </w:pPr>
      <w:bookmarkStart w:id="38" w:name="_Toc452639674"/>
      <w:r>
        <w:rPr>
          <w:rFonts w:hint="eastAsia" w:ascii="宋体" w:hAnsi="宋体" w:eastAsia="宋体" w:cs="Times New Roman"/>
          <w:szCs w:val="21"/>
          <w:highlight w:val="none"/>
        </w:rPr>
        <w:t>3.1</w:t>
      </w:r>
      <w:bookmarkEnd w:id="38"/>
      <w:r>
        <w:rPr>
          <w:rFonts w:hint="eastAsia" w:ascii="宋体" w:hAnsi="宋体" w:eastAsia="宋体" w:cs="Times New Roman"/>
          <w:szCs w:val="21"/>
          <w:highlight w:val="none"/>
        </w:rPr>
        <w:t>本次招标要求投标人</w:t>
      </w:r>
      <w:r>
        <w:rPr>
          <w:rFonts w:hint="eastAsia" w:ascii="宋体" w:hAnsi="宋体" w:eastAsia="宋体" w:cs="Times New Roman"/>
          <w:szCs w:val="21"/>
          <w:highlight w:val="none"/>
          <w:lang w:val="en-US" w:eastAsia="zh-CN"/>
        </w:rPr>
        <w:t>应</w:t>
      </w:r>
      <w:r>
        <w:rPr>
          <w:rFonts w:hint="eastAsia" w:ascii="宋体" w:hAnsi="宋体" w:eastAsia="宋体" w:cs="Times New Roman"/>
          <w:szCs w:val="21"/>
          <w:highlight w:val="none"/>
        </w:rPr>
        <w:t>具备以下资质，并在人员、设备、资金等方面具有相应的施工能力：</w:t>
      </w:r>
    </w:p>
    <w:tbl>
      <w:tblPr>
        <w:tblStyle w:val="11"/>
        <w:tblW w:w="0" w:type="auto"/>
        <w:tblInd w:w="1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6"/>
        <w:gridCol w:w="8237"/>
      </w:tblGrid>
      <w:tr w14:paraId="08D4A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476" w:type="dxa"/>
            <w:noWrap w:val="0"/>
            <w:vAlign w:val="center"/>
          </w:tcPr>
          <w:p w14:paraId="280C1E40">
            <w:pPr>
              <w:pStyle w:val="10"/>
              <w:spacing w:line="360" w:lineRule="auto"/>
              <w:ind w:firstLine="0" w:firstLineChars="0"/>
              <w:jc w:val="center"/>
              <w:rPr>
                <w:rFonts w:hint="eastAsia" w:eastAsia="宋体" w:cs="宋体"/>
                <w:kern w:val="0"/>
                <w:szCs w:val="21"/>
                <w:lang w:val="en-US" w:eastAsia="zh-CN"/>
              </w:rPr>
            </w:pPr>
            <w:r>
              <w:rPr>
                <w:rFonts w:hint="eastAsia" w:cs="宋体"/>
                <w:kern w:val="0"/>
                <w:szCs w:val="21"/>
                <w:lang w:val="en-US" w:eastAsia="zh-CN"/>
              </w:rPr>
              <w:t>标段</w:t>
            </w:r>
          </w:p>
        </w:tc>
        <w:tc>
          <w:tcPr>
            <w:tcW w:w="8237" w:type="dxa"/>
            <w:noWrap w:val="0"/>
            <w:vAlign w:val="center"/>
          </w:tcPr>
          <w:p w14:paraId="3C094B2F">
            <w:pPr>
              <w:pStyle w:val="10"/>
              <w:spacing w:line="360" w:lineRule="auto"/>
              <w:ind w:firstLine="0" w:firstLineChars="0"/>
              <w:jc w:val="center"/>
              <w:rPr>
                <w:rFonts w:hint="eastAsia" w:cs="宋体"/>
                <w:kern w:val="0"/>
                <w:szCs w:val="21"/>
              </w:rPr>
            </w:pPr>
            <w:r>
              <w:rPr>
                <w:rFonts w:hint="eastAsia" w:cs="宋体"/>
                <w:kern w:val="0"/>
                <w:szCs w:val="21"/>
                <w:lang w:val="en-US" w:eastAsia="zh-CN"/>
              </w:rPr>
              <w:t>最低</w:t>
            </w:r>
            <w:r>
              <w:rPr>
                <w:rFonts w:hint="eastAsia" w:cs="宋体"/>
                <w:kern w:val="0"/>
                <w:szCs w:val="21"/>
              </w:rPr>
              <w:t>资格要求</w:t>
            </w:r>
          </w:p>
        </w:tc>
      </w:tr>
      <w:tr w14:paraId="28EDB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76" w:type="dxa"/>
            <w:noWrap w:val="0"/>
            <w:vAlign w:val="center"/>
          </w:tcPr>
          <w:p w14:paraId="452B14CE">
            <w:pPr>
              <w:widowControl/>
              <w:shd w:val="clear" w:color="auto" w:fill="FFFFFF"/>
              <w:spacing w:before="156" w:after="156"/>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LY01</w:t>
            </w:r>
          </w:p>
        </w:tc>
        <w:tc>
          <w:tcPr>
            <w:tcW w:w="8237" w:type="dxa"/>
            <w:noWrap w:val="0"/>
            <w:vAlign w:val="center"/>
          </w:tcPr>
          <w:p w14:paraId="0FD9B1AF">
            <w:pPr>
              <w:widowControl/>
              <w:numPr>
                <w:ilvl w:val="0"/>
                <w:numId w:val="0"/>
              </w:numPr>
              <w:shd w:val="clear" w:color="auto" w:fill="FFFFFF"/>
              <w:spacing w:before="156" w:after="156"/>
              <w:jc w:val="left"/>
              <w:rPr>
                <w:rFonts w:hint="eastAsia" w:ascii="宋体" w:hAnsi="宋体" w:cs="宋体"/>
                <w:kern w:val="0"/>
                <w:szCs w:val="21"/>
                <w:highlight w:val="none"/>
              </w:rPr>
            </w:pP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1</w:t>
            </w:r>
            <w:r>
              <w:rPr>
                <w:rFonts w:hint="eastAsia" w:ascii="宋体" w:hAnsi="宋体" w:cs="宋体"/>
                <w:kern w:val="0"/>
                <w:szCs w:val="21"/>
                <w:highlight w:val="none"/>
                <w:lang w:eastAsia="zh-CN"/>
              </w:rPr>
              <w:t>）</w:t>
            </w:r>
            <w:r>
              <w:rPr>
                <w:rFonts w:hint="eastAsia" w:ascii="宋体" w:hAnsi="宋体" w:cs="宋体"/>
                <w:kern w:val="0"/>
                <w:szCs w:val="21"/>
                <w:highlight w:val="none"/>
              </w:rPr>
              <w:t>交通运输主管部门颁发的路基路面养护甲级资质；</w:t>
            </w:r>
          </w:p>
          <w:p w14:paraId="1019FBA5">
            <w:pPr>
              <w:widowControl/>
              <w:shd w:val="clear" w:color="auto" w:fill="FFFFFF"/>
              <w:spacing w:before="156" w:after="156"/>
              <w:jc w:val="left"/>
              <w:rPr>
                <w:rFonts w:hint="eastAsia" w:ascii="宋体" w:hAnsi="宋体" w:eastAsia="宋体" w:cs="宋体"/>
                <w:kern w:val="0"/>
                <w:szCs w:val="21"/>
                <w:highlight w:val="none"/>
                <w:lang w:eastAsia="zh-CN"/>
              </w:rPr>
            </w:pPr>
            <w:r>
              <w:rPr>
                <w:rFonts w:hint="eastAsia" w:ascii="宋体" w:hAnsi="宋体" w:cs="宋体"/>
                <w:kern w:val="0"/>
                <w:szCs w:val="21"/>
                <w:highlight w:val="none"/>
              </w:rPr>
              <w:t>（2）交通运输主管部门颁发的桥梁养护</w:t>
            </w:r>
            <w:r>
              <w:rPr>
                <w:rFonts w:hint="eastAsia" w:ascii="宋体" w:hAnsi="宋体" w:cs="宋体"/>
                <w:kern w:val="0"/>
                <w:szCs w:val="21"/>
                <w:highlight w:val="none"/>
                <w:lang w:val="en-US" w:eastAsia="zh-CN"/>
              </w:rPr>
              <w:t>乙</w:t>
            </w:r>
            <w:r>
              <w:rPr>
                <w:rFonts w:hint="eastAsia" w:ascii="宋体" w:hAnsi="宋体" w:cs="宋体"/>
                <w:kern w:val="0"/>
                <w:szCs w:val="21"/>
                <w:highlight w:val="none"/>
              </w:rPr>
              <w:t>级资质</w:t>
            </w:r>
            <w:r>
              <w:rPr>
                <w:rFonts w:hint="eastAsia" w:ascii="宋体" w:hAnsi="宋体" w:cs="宋体"/>
                <w:kern w:val="0"/>
                <w:szCs w:val="21"/>
                <w:highlight w:val="none"/>
                <w:lang w:eastAsia="zh-CN"/>
              </w:rPr>
              <w:t>；</w:t>
            </w:r>
          </w:p>
          <w:p w14:paraId="1015B274">
            <w:pPr>
              <w:widowControl/>
              <w:shd w:val="clear" w:color="auto" w:fill="FFFFFF"/>
              <w:spacing w:before="156" w:after="156"/>
              <w:jc w:val="left"/>
              <w:rPr>
                <w:rFonts w:hint="eastAsia" w:ascii="宋体" w:hAnsi="宋体" w:cs="宋体"/>
                <w:kern w:val="0"/>
                <w:szCs w:val="21"/>
              </w:rPr>
            </w:pP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3</w:t>
            </w:r>
            <w:r>
              <w:rPr>
                <w:rFonts w:hint="eastAsia" w:ascii="宋体" w:hAnsi="宋体" w:cs="宋体"/>
                <w:kern w:val="0"/>
                <w:szCs w:val="21"/>
                <w:highlight w:val="none"/>
                <w:lang w:eastAsia="zh-CN"/>
              </w:rPr>
              <w:t>）</w:t>
            </w:r>
            <w:r>
              <w:rPr>
                <w:rFonts w:hint="eastAsia" w:ascii="宋体" w:hAnsi="宋体" w:cs="宋体"/>
                <w:kern w:val="0"/>
                <w:szCs w:val="21"/>
                <w:highlight w:val="none"/>
              </w:rPr>
              <w:t>交通运输主管部门颁发的交通安全设施养护资质（可以承担各等级公路交通安全设施的各类养护工程）</w:t>
            </w:r>
          </w:p>
        </w:tc>
      </w:tr>
      <w:tr w14:paraId="3D9AA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76" w:type="dxa"/>
            <w:noWrap w:val="0"/>
            <w:vAlign w:val="center"/>
          </w:tcPr>
          <w:p w14:paraId="159448E8">
            <w:pPr>
              <w:widowControl/>
              <w:shd w:val="clear" w:color="auto" w:fill="FFFFFF"/>
              <w:spacing w:before="156" w:after="156"/>
              <w:jc w:val="center"/>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LY02</w:t>
            </w:r>
          </w:p>
        </w:tc>
        <w:tc>
          <w:tcPr>
            <w:tcW w:w="8237" w:type="dxa"/>
            <w:noWrap w:val="0"/>
            <w:vAlign w:val="center"/>
          </w:tcPr>
          <w:p w14:paraId="281080ED">
            <w:pPr>
              <w:widowControl/>
              <w:numPr>
                <w:ilvl w:val="0"/>
                <w:numId w:val="0"/>
              </w:numPr>
              <w:shd w:val="clear" w:color="auto" w:fill="FFFFFF"/>
              <w:spacing w:before="156" w:after="156"/>
              <w:jc w:val="left"/>
              <w:rPr>
                <w:rFonts w:hint="eastAsia" w:ascii="宋体" w:hAnsi="宋体" w:cs="宋体"/>
                <w:kern w:val="0"/>
                <w:szCs w:val="21"/>
                <w:highlight w:val="none"/>
              </w:rPr>
            </w:pP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1</w:t>
            </w:r>
            <w:r>
              <w:rPr>
                <w:rFonts w:hint="eastAsia" w:ascii="宋体" w:hAnsi="宋体" w:cs="宋体"/>
                <w:kern w:val="0"/>
                <w:szCs w:val="21"/>
                <w:highlight w:val="none"/>
                <w:lang w:eastAsia="zh-CN"/>
              </w:rPr>
              <w:t>）</w:t>
            </w:r>
            <w:r>
              <w:rPr>
                <w:rFonts w:hint="eastAsia" w:ascii="宋体" w:hAnsi="宋体" w:cs="宋体"/>
                <w:kern w:val="0"/>
                <w:szCs w:val="21"/>
                <w:highlight w:val="none"/>
              </w:rPr>
              <w:t>交通运输主管部门颁发的路基路面养护甲级资质；</w:t>
            </w:r>
          </w:p>
          <w:p w14:paraId="5251D582">
            <w:pPr>
              <w:widowControl/>
              <w:shd w:val="clear" w:color="auto" w:fill="FFFFFF"/>
              <w:spacing w:before="156" w:after="156"/>
              <w:jc w:val="left"/>
              <w:rPr>
                <w:rFonts w:hint="eastAsia" w:ascii="宋体" w:hAnsi="宋体" w:eastAsia="宋体" w:cs="宋体"/>
                <w:kern w:val="0"/>
                <w:szCs w:val="21"/>
                <w:highlight w:val="none"/>
                <w:lang w:eastAsia="zh-CN"/>
              </w:rPr>
            </w:pPr>
            <w:r>
              <w:rPr>
                <w:rFonts w:hint="eastAsia" w:ascii="宋体" w:hAnsi="宋体" w:cs="宋体"/>
                <w:kern w:val="0"/>
                <w:szCs w:val="21"/>
                <w:highlight w:val="none"/>
              </w:rPr>
              <w:t>（2）交通运输主管部门颁发的桥梁养护</w:t>
            </w:r>
            <w:r>
              <w:rPr>
                <w:rFonts w:hint="eastAsia" w:ascii="宋体" w:hAnsi="宋体" w:cs="宋体"/>
                <w:kern w:val="0"/>
                <w:szCs w:val="21"/>
                <w:highlight w:val="none"/>
                <w:lang w:val="en-US" w:eastAsia="zh-CN"/>
              </w:rPr>
              <w:t>甲</w:t>
            </w:r>
            <w:r>
              <w:rPr>
                <w:rFonts w:hint="eastAsia" w:ascii="宋体" w:hAnsi="宋体" w:cs="宋体"/>
                <w:kern w:val="0"/>
                <w:szCs w:val="21"/>
                <w:highlight w:val="none"/>
              </w:rPr>
              <w:t>级资质</w:t>
            </w:r>
            <w:r>
              <w:rPr>
                <w:rFonts w:hint="eastAsia" w:ascii="宋体" w:hAnsi="宋体" w:cs="宋体"/>
                <w:kern w:val="0"/>
                <w:szCs w:val="21"/>
                <w:highlight w:val="none"/>
                <w:lang w:eastAsia="zh-CN"/>
              </w:rPr>
              <w:t>；</w:t>
            </w:r>
          </w:p>
          <w:p w14:paraId="45670EB5">
            <w:pPr>
              <w:widowControl/>
              <w:shd w:val="clear" w:color="auto" w:fill="FFFFFF"/>
              <w:spacing w:before="156" w:after="156"/>
              <w:jc w:val="left"/>
              <w:rPr>
                <w:rFonts w:hint="eastAsia" w:ascii="宋体" w:hAnsi="宋体" w:cs="宋体"/>
                <w:kern w:val="0"/>
                <w:szCs w:val="21"/>
                <w:highlight w:val="none"/>
                <w:lang w:eastAsia="zh-CN"/>
              </w:rPr>
            </w:pP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3</w:t>
            </w:r>
            <w:r>
              <w:rPr>
                <w:rFonts w:hint="eastAsia" w:ascii="宋体" w:hAnsi="宋体" w:cs="宋体"/>
                <w:kern w:val="0"/>
                <w:szCs w:val="21"/>
                <w:highlight w:val="none"/>
                <w:lang w:eastAsia="zh-CN"/>
              </w:rPr>
              <w:t>）</w:t>
            </w:r>
            <w:r>
              <w:rPr>
                <w:rFonts w:hint="eastAsia" w:ascii="宋体" w:hAnsi="宋体" w:cs="宋体"/>
                <w:kern w:val="0"/>
                <w:szCs w:val="21"/>
                <w:highlight w:val="none"/>
              </w:rPr>
              <w:t>交通运输主管部门颁发的交通安全设施养护资质（可以承担各等级公路交通安全设施的各类养护工程）</w:t>
            </w:r>
          </w:p>
        </w:tc>
      </w:tr>
      <w:tr w14:paraId="09C38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76" w:type="dxa"/>
            <w:noWrap w:val="0"/>
            <w:vAlign w:val="center"/>
          </w:tcPr>
          <w:p w14:paraId="5F126938">
            <w:pPr>
              <w:widowControl/>
              <w:shd w:val="clear" w:color="auto" w:fill="FFFFFF"/>
              <w:spacing w:before="156" w:after="156"/>
              <w:jc w:val="center"/>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LY03</w:t>
            </w:r>
          </w:p>
        </w:tc>
        <w:tc>
          <w:tcPr>
            <w:tcW w:w="8237" w:type="dxa"/>
            <w:noWrap w:val="0"/>
            <w:vAlign w:val="center"/>
          </w:tcPr>
          <w:p w14:paraId="2A764F0A">
            <w:pPr>
              <w:widowControl/>
              <w:numPr>
                <w:ilvl w:val="0"/>
                <w:numId w:val="0"/>
              </w:numPr>
              <w:shd w:val="clear" w:color="auto" w:fill="FFFFFF"/>
              <w:spacing w:before="156" w:after="156"/>
              <w:jc w:val="left"/>
              <w:rPr>
                <w:rFonts w:hint="eastAsia" w:ascii="宋体" w:hAnsi="宋体" w:cs="宋体"/>
                <w:kern w:val="0"/>
                <w:szCs w:val="21"/>
                <w:highlight w:val="none"/>
              </w:rPr>
            </w:pP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1</w:t>
            </w:r>
            <w:r>
              <w:rPr>
                <w:rFonts w:hint="eastAsia" w:ascii="宋体" w:hAnsi="宋体" w:cs="宋体"/>
                <w:kern w:val="0"/>
                <w:szCs w:val="21"/>
                <w:highlight w:val="none"/>
                <w:lang w:eastAsia="zh-CN"/>
              </w:rPr>
              <w:t>）</w:t>
            </w:r>
            <w:r>
              <w:rPr>
                <w:rFonts w:hint="eastAsia" w:ascii="宋体" w:hAnsi="宋体" w:cs="宋体"/>
                <w:kern w:val="0"/>
                <w:szCs w:val="21"/>
                <w:highlight w:val="none"/>
              </w:rPr>
              <w:t>交通运输主管部门颁发的路基路面养护甲级资质；</w:t>
            </w:r>
          </w:p>
          <w:p w14:paraId="01F37E13">
            <w:pPr>
              <w:widowControl/>
              <w:shd w:val="clear" w:color="auto" w:fill="FFFFFF"/>
              <w:spacing w:before="156" w:after="156"/>
              <w:jc w:val="left"/>
              <w:rPr>
                <w:rFonts w:hint="eastAsia" w:ascii="宋体" w:hAnsi="宋体" w:eastAsia="宋体" w:cs="宋体"/>
                <w:kern w:val="0"/>
                <w:szCs w:val="21"/>
                <w:highlight w:val="none"/>
                <w:lang w:eastAsia="zh-CN"/>
              </w:rPr>
            </w:pPr>
            <w:r>
              <w:rPr>
                <w:rFonts w:hint="eastAsia" w:ascii="宋体" w:hAnsi="宋体" w:cs="宋体"/>
                <w:kern w:val="0"/>
                <w:szCs w:val="21"/>
                <w:highlight w:val="none"/>
              </w:rPr>
              <w:t>（2）交通运输主管部门颁发的桥梁养护</w:t>
            </w:r>
            <w:r>
              <w:rPr>
                <w:rFonts w:hint="eastAsia" w:ascii="宋体" w:hAnsi="宋体" w:cs="宋体"/>
                <w:kern w:val="0"/>
                <w:szCs w:val="21"/>
                <w:highlight w:val="none"/>
                <w:lang w:val="en-US" w:eastAsia="zh-CN"/>
              </w:rPr>
              <w:t>乙</w:t>
            </w:r>
            <w:r>
              <w:rPr>
                <w:rFonts w:hint="eastAsia" w:ascii="宋体" w:hAnsi="宋体" w:cs="宋体"/>
                <w:kern w:val="0"/>
                <w:szCs w:val="21"/>
                <w:highlight w:val="none"/>
              </w:rPr>
              <w:t>级资质</w:t>
            </w:r>
            <w:r>
              <w:rPr>
                <w:rFonts w:hint="eastAsia" w:ascii="宋体" w:hAnsi="宋体" w:cs="宋体"/>
                <w:kern w:val="0"/>
                <w:szCs w:val="21"/>
                <w:highlight w:val="none"/>
                <w:lang w:eastAsia="zh-CN"/>
              </w:rPr>
              <w:t>；</w:t>
            </w:r>
          </w:p>
          <w:p w14:paraId="55FA4F3F">
            <w:pPr>
              <w:widowControl/>
              <w:shd w:val="clear" w:color="auto" w:fill="FFFFFF"/>
              <w:spacing w:before="156" w:after="156"/>
              <w:jc w:val="left"/>
              <w:rPr>
                <w:rFonts w:hint="eastAsia" w:ascii="宋体" w:hAnsi="宋体" w:cs="宋体"/>
                <w:kern w:val="0"/>
                <w:szCs w:val="21"/>
                <w:highlight w:val="none"/>
                <w:lang w:eastAsia="zh-CN"/>
              </w:rPr>
            </w:pP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3</w:t>
            </w:r>
            <w:r>
              <w:rPr>
                <w:rFonts w:hint="eastAsia" w:ascii="宋体" w:hAnsi="宋体" w:cs="宋体"/>
                <w:kern w:val="0"/>
                <w:szCs w:val="21"/>
                <w:highlight w:val="none"/>
                <w:lang w:eastAsia="zh-CN"/>
              </w:rPr>
              <w:t>）</w:t>
            </w:r>
            <w:r>
              <w:rPr>
                <w:rFonts w:hint="eastAsia" w:ascii="宋体" w:hAnsi="宋体" w:cs="宋体"/>
                <w:kern w:val="0"/>
                <w:szCs w:val="21"/>
                <w:highlight w:val="none"/>
              </w:rPr>
              <w:t>交通运输主管部门颁发的交通安全设施养护资质（可以承担各等级公路交通安全设施的各类养护工程）</w:t>
            </w:r>
          </w:p>
        </w:tc>
      </w:tr>
    </w:tbl>
    <w:p w14:paraId="15927C32">
      <w:pPr>
        <w:pStyle w:val="10"/>
        <w:spacing w:line="360" w:lineRule="auto"/>
        <w:ind w:firstLine="432" w:firstLineChars="206"/>
        <w:rPr>
          <w:rFonts w:hint="eastAsia" w:cs="宋体"/>
          <w:kern w:val="0"/>
          <w:szCs w:val="21"/>
        </w:rPr>
      </w:pPr>
      <w:r>
        <w:rPr>
          <w:rFonts w:hint="eastAsia" w:ascii="宋体" w:hAnsi="宋体" w:cs="宋体"/>
          <w:kern w:val="0"/>
          <w:szCs w:val="21"/>
        </w:rPr>
        <w:t>3.2</w:t>
      </w:r>
      <w:r>
        <w:rPr>
          <w:rFonts w:hint="eastAsia" w:cs="宋体"/>
          <w:kern w:val="0"/>
          <w:szCs w:val="21"/>
        </w:rPr>
        <w:t>本次招标项目接受联合体投标。联合体形式投标应符合下列要求：</w:t>
      </w:r>
    </w:p>
    <w:p w14:paraId="097282FB">
      <w:pPr>
        <w:numPr>
          <w:ilvl w:val="0"/>
          <w:numId w:val="1"/>
        </w:numPr>
        <w:spacing w:line="360" w:lineRule="auto"/>
        <w:ind w:firstLine="420" w:firstLineChars="200"/>
        <w:rPr>
          <w:rFonts w:hint="eastAsia" w:ascii="宋体" w:hAnsi="宋体"/>
          <w:kern w:val="0"/>
          <w:szCs w:val="21"/>
          <w:highlight w:val="none"/>
          <w:lang w:val="zh-CN"/>
        </w:rPr>
      </w:pPr>
      <w:r>
        <w:rPr>
          <w:rFonts w:hint="eastAsia" w:ascii="宋体" w:hAnsi="宋体"/>
          <w:kern w:val="0"/>
          <w:szCs w:val="21"/>
          <w:highlight w:val="none"/>
          <w:lang w:val="zh-CN"/>
        </w:rPr>
        <w:t>联合体所有成员数量不得超过</w:t>
      </w:r>
      <w:r>
        <w:rPr>
          <w:rFonts w:hint="eastAsia" w:ascii="宋体" w:hAnsi="宋体"/>
          <w:kern w:val="0"/>
          <w:szCs w:val="21"/>
          <w:highlight w:val="none"/>
          <w:lang w:val="en-US" w:eastAsia="zh-CN"/>
        </w:rPr>
        <w:t>3</w:t>
      </w:r>
      <w:r>
        <w:rPr>
          <w:rFonts w:hint="eastAsia" w:ascii="宋体" w:hAnsi="宋体"/>
          <w:kern w:val="0"/>
          <w:szCs w:val="21"/>
          <w:highlight w:val="none"/>
          <w:lang w:val="zh-CN"/>
        </w:rPr>
        <w:t>家；</w:t>
      </w:r>
    </w:p>
    <w:p w14:paraId="24768074">
      <w:pPr>
        <w:numPr>
          <w:ilvl w:val="0"/>
          <w:numId w:val="1"/>
        </w:numPr>
        <w:spacing w:line="360" w:lineRule="auto"/>
        <w:ind w:firstLine="420" w:firstLineChars="200"/>
        <w:rPr>
          <w:rFonts w:hint="eastAsia" w:ascii="宋体" w:hAnsi="宋体"/>
          <w:kern w:val="0"/>
          <w:szCs w:val="21"/>
          <w:highlight w:val="none"/>
          <w:lang w:val="zh-CN"/>
        </w:rPr>
      </w:pPr>
      <w:r>
        <w:rPr>
          <w:rFonts w:hint="eastAsia" w:ascii="宋体" w:hAnsi="宋体"/>
          <w:kern w:val="0"/>
          <w:szCs w:val="21"/>
          <w:highlight w:val="none"/>
          <w:lang w:val="zh-CN"/>
        </w:rPr>
        <w:t>联合体牵头人应具备交通运输主管部门颁发的路基路面养护</w:t>
      </w:r>
      <w:r>
        <w:rPr>
          <w:rFonts w:hint="eastAsia" w:ascii="宋体" w:hAnsi="宋体" w:cs="宋体"/>
          <w:szCs w:val="21"/>
          <w:highlight w:val="none"/>
        </w:rPr>
        <w:t>甲级</w:t>
      </w:r>
      <w:r>
        <w:rPr>
          <w:rFonts w:hint="eastAsia" w:ascii="宋体" w:hAnsi="宋体"/>
          <w:kern w:val="0"/>
          <w:szCs w:val="21"/>
          <w:highlight w:val="none"/>
          <w:lang w:val="zh-CN"/>
        </w:rPr>
        <w:t>资质，</w:t>
      </w:r>
      <w:r>
        <w:rPr>
          <w:rFonts w:hint="eastAsia" w:ascii="宋体" w:hAnsi="宋体"/>
          <w:kern w:val="0"/>
          <w:szCs w:val="21"/>
          <w:highlight w:val="none"/>
        </w:rPr>
        <w:t>并</w:t>
      </w:r>
      <w:r>
        <w:rPr>
          <w:rFonts w:hint="eastAsia" w:ascii="宋体" w:hAnsi="宋体"/>
          <w:kern w:val="0"/>
          <w:szCs w:val="21"/>
          <w:highlight w:val="none"/>
          <w:lang w:val="zh-CN"/>
        </w:rPr>
        <w:t>至少承担路基路面</w:t>
      </w:r>
      <w:r>
        <w:rPr>
          <w:rFonts w:hint="eastAsia" w:ascii="宋体" w:hAnsi="宋体"/>
          <w:kern w:val="0"/>
          <w:szCs w:val="21"/>
          <w:highlight w:val="none"/>
        </w:rPr>
        <w:t>养护施工；</w:t>
      </w:r>
    </w:p>
    <w:p w14:paraId="0F9F28EC">
      <w:pPr>
        <w:pStyle w:val="10"/>
        <w:spacing w:line="360" w:lineRule="auto"/>
        <w:ind w:firstLine="432" w:firstLineChars="206"/>
        <w:rPr>
          <w:rFonts w:hint="eastAsia" w:ascii="宋体" w:hAnsi="宋体" w:eastAsia="宋体" w:cs="Times New Roman"/>
          <w:kern w:val="0"/>
          <w:szCs w:val="21"/>
          <w:lang w:val="zh-CN"/>
        </w:rPr>
      </w:pPr>
      <w:r>
        <w:rPr>
          <w:rFonts w:hint="eastAsia" w:ascii="宋体" w:hAnsi="宋体" w:eastAsia="宋体" w:cs="Times New Roman"/>
          <w:kern w:val="0"/>
          <w:szCs w:val="21"/>
          <w:lang w:val="zh-CN"/>
        </w:rPr>
        <w:t>（3）符合招标文件对联合体的其他要求。</w:t>
      </w:r>
    </w:p>
    <w:p w14:paraId="44BF5CA9">
      <w:pPr>
        <w:pStyle w:val="10"/>
        <w:spacing w:line="360" w:lineRule="auto"/>
        <w:ind w:firstLine="432" w:firstLineChars="206"/>
        <w:rPr>
          <w:rFonts w:hint="default" w:ascii="宋体" w:hAnsi="宋体" w:eastAsia="宋体" w:cs="Times New Roman"/>
          <w:kern w:val="0"/>
          <w:szCs w:val="21"/>
          <w:lang w:val="en-US" w:eastAsia="zh-CN"/>
        </w:rPr>
      </w:pPr>
      <w:r>
        <w:rPr>
          <w:rFonts w:hint="eastAsia" w:ascii="宋体" w:hAnsi="宋体" w:eastAsia="宋体" w:cs="Times New Roman"/>
          <w:kern w:val="0"/>
          <w:szCs w:val="21"/>
          <w:lang w:val="en-US" w:eastAsia="zh-CN"/>
        </w:rPr>
        <w:t>3.3每个投标人可对多个标段进行投标，每个投标人允许按评标顺序中1个标段，在前面标段被推荐为中标候选人的投标人（包括联合体各方），在后续标段中，无论该中标候选人（包括联合体各方）以自己名义单独或参加其他联合体投标，均不参加该后续标段的中标候选人推荐。评标顺序为LY01标段</w:t>
      </w:r>
      <w:r>
        <w:rPr>
          <w:rFonts w:hint="eastAsia" w:ascii="宋体" w:hAnsi="宋体" w:eastAsia="宋体" w:cs="Times New Roman"/>
          <w:kern w:val="0"/>
          <w:szCs w:val="21"/>
        </w:rPr>
        <w:t>→</w:t>
      </w:r>
      <w:r>
        <w:rPr>
          <w:rFonts w:hint="eastAsia" w:ascii="宋体" w:hAnsi="宋体" w:eastAsia="宋体" w:cs="Times New Roman"/>
          <w:kern w:val="0"/>
          <w:szCs w:val="21"/>
          <w:lang w:val="en-US" w:eastAsia="zh-CN"/>
        </w:rPr>
        <w:t>LY02标段</w:t>
      </w:r>
      <w:r>
        <w:rPr>
          <w:rFonts w:hint="eastAsia" w:ascii="宋体" w:hAnsi="宋体" w:eastAsia="宋体" w:cs="Times New Roman"/>
          <w:kern w:val="0"/>
          <w:szCs w:val="21"/>
        </w:rPr>
        <w:t>→</w:t>
      </w:r>
      <w:r>
        <w:rPr>
          <w:rFonts w:hint="eastAsia" w:ascii="宋体" w:hAnsi="宋体" w:eastAsia="宋体" w:cs="Times New Roman"/>
          <w:kern w:val="0"/>
          <w:szCs w:val="21"/>
          <w:lang w:val="en-US" w:eastAsia="zh-CN"/>
        </w:rPr>
        <w:t>LY03标段。</w:t>
      </w:r>
    </w:p>
    <w:p w14:paraId="430C2A5A">
      <w:pPr>
        <w:pStyle w:val="10"/>
        <w:spacing w:line="360" w:lineRule="auto"/>
        <w:ind w:firstLine="432" w:firstLineChars="206"/>
        <w:rPr>
          <w:rFonts w:ascii="宋体" w:hAnsi="宋体"/>
          <w:kern w:val="0"/>
          <w:szCs w:val="21"/>
          <w:lang w:val="zh-CN"/>
        </w:rPr>
      </w:pPr>
      <w:r>
        <w:rPr>
          <w:rFonts w:hint="eastAsia" w:ascii="宋体" w:hAnsi="宋体"/>
          <w:kern w:val="0"/>
          <w:szCs w:val="21"/>
        </w:rPr>
        <w:t>3.</w:t>
      </w:r>
      <w:r>
        <w:rPr>
          <w:rFonts w:hint="eastAsia" w:ascii="宋体" w:hAnsi="宋体"/>
          <w:kern w:val="0"/>
          <w:szCs w:val="21"/>
          <w:lang w:val="en-US" w:eastAsia="zh-CN"/>
        </w:rPr>
        <w:t>4</w:t>
      </w:r>
      <w:r>
        <w:rPr>
          <w:rFonts w:hint="eastAsia" w:ascii="宋体" w:hAnsi="宋体"/>
          <w:kern w:val="0"/>
          <w:szCs w:val="21"/>
          <w:lang w:val="zh-CN"/>
        </w:rPr>
        <w:t>与招标人存在利害关系可能影响招标公正性的单位，不得参加投标。单位负责人为同一人或者存在控股、管理关系的不同单位，不得参加同一标段投标，否则，相关投标均无效。</w:t>
      </w:r>
    </w:p>
    <w:p w14:paraId="5D89D458">
      <w:pPr>
        <w:autoSpaceDE w:val="0"/>
        <w:autoSpaceDN w:val="0"/>
        <w:adjustRightInd w:val="0"/>
        <w:spacing w:line="360" w:lineRule="auto"/>
        <w:ind w:firstLine="420" w:firstLineChars="200"/>
        <w:jc w:val="left"/>
        <w:rPr>
          <w:rFonts w:hint="eastAsia" w:ascii="宋体" w:hAnsi="宋体"/>
          <w:kern w:val="0"/>
          <w:szCs w:val="21"/>
        </w:rPr>
      </w:pPr>
      <w:r>
        <w:rPr>
          <w:rFonts w:hint="eastAsia" w:ascii="宋体" w:hAnsi="宋体"/>
          <w:kern w:val="0"/>
          <w:szCs w:val="21"/>
        </w:rPr>
        <w:t>3.</w:t>
      </w:r>
      <w:r>
        <w:rPr>
          <w:rFonts w:hint="eastAsia" w:ascii="宋体" w:hAnsi="宋体"/>
          <w:kern w:val="0"/>
          <w:szCs w:val="21"/>
          <w:lang w:val="en-US" w:eastAsia="zh-CN"/>
        </w:rPr>
        <w:t>5</w:t>
      </w:r>
      <w:r>
        <w:rPr>
          <w:rFonts w:ascii="宋体" w:hAnsi="宋体"/>
          <w:kern w:val="0"/>
          <w:szCs w:val="21"/>
        </w:rPr>
        <w:t xml:space="preserve"> 在“信用中国”网站(http://www.creditchina.gov.cn/)中被列入失信被执行人名单的投标人，不得参加投标，否则，相关投标均无效。</w:t>
      </w:r>
    </w:p>
    <w:p w14:paraId="445498E0">
      <w:pPr>
        <w:pStyle w:val="10"/>
        <w:spacing w:line="360" w:lineRule="auto"/>
        <w:ind w:firstLine="432" w:firstLineChars="206"/>
        <w:rPr>
          <w:rFonts w:hint="eastAsia" w:ascii="宋体" w:hAnsi="宋体" w:eastAsia="宋体" w:cs="宋体"/>
          <w:kern w:val="0"/>
          <w:szCs w:val="21"/>
          <w:highlight w:val="none"/>
          <w:lang w:eastAsia="zh-CN"/>
        </w:rPr>
      </w:pPr>
    </w:p>
    <w:p w14:paraId="07A72F11">
      <w:pPr>
        <w:pStyle w:val="15"/>
        <w:tabs>
          <w:tab w:val="left" w:pos="426"/>
        </w:tabs>
        <w:spacing w:line="360" w:lineRule="auto"/>
        <w:jc w:val="left"/>
        <w:outlineLvl w:val="2"/>
        <w:rPr>
          <w:rFonts w:ascii="宋体" w:hAnsi="宋体"/>
          <w:b w:val="0"/>
        </w:rPr>
      </w:pPr>
      <w:r>
        <w:rPr>
          <w:rFonts w:hint="eastAsia" w:ascii="宋体" w:hAnsi="宋体"/>
          <w:b w:val="0"/>
        </w:rPr>
        <w:t>4.评标办法</w:t>
      </w:r>
    </w:p>
    <w:p w14:paraId="6735A60A">
      <w:pPr>
        <w:pStyle w:val="15"/>
        <w:tabs>
          <w:tab w:val="left" w:pos="426"/>
        </w:tabs>
        <w:spacing w:line="360" w:lineRule="auto"/>
        <w:ind w:firstLine="420" w:firstLineChars="200"/>
        <w:jc w:val="left"/>
        <w:outlineLvl w:val="2"/>
        <w:rPr>
          <w:rFonts w:ascii="宋体" w:hAnsi="宋体"/>
          <w:b w:val="0"/>
          <w:sz w:val="21"/>
          <w:szCs w:val="21"/>
        </w:rPr>
      </w:pPr>
      <w:r>
        <w:rPr>
          <w:rFonts w:hint="eastAsia" w:ascii="宋体" w:hAnsi="宋体"/>
          <w:b w:val="0"/>
          <w:sz w:val="21"/>
          <w:szCs w:val="21"/>
        </w:rPr>
        <w:t>评标办法采用双信封形式的技术评分最低标价法。</w:t>
      </w:r>
    </w:p>
    <w:bookmarkEnd w:id="16"/>
    <w:bookmarkEnd w:id="17"/>
    <w:bookmarkEnd w:id="18"/>
    <w:bookmarkEnd w:id="19"/>
    <w:bookmarkEnd w:id="20"/>
    <w:p w14:paraId="6BE59ED6">
      <w:pPr>
        <w:pStyle w:val="15"/>
        <w:tabs>
          <w:tab w:val="left" w:pos="426"/>
        </w:tabs>
        <w:spacing w:line="360" w:lineRule="auto"/>
        <w:jc w:val="left"/>
        <w:outlineLvl w:val="2"/>
        <w:rPr>
          <w:rFonts w:ascii="宋体" w:hAnsi="宋体"/>
          <w:b w:val="0"/>
        </w:rPr>
      </w:pPr>
      <w:bookmarkStart w:id="39" w:name="_Toc27122"/>
      <w:bookmarkStart w:id="40" w:name="_Toc458772805"/>
      <w:bookmarkStart w:id="41" w:name="_Toc444517394"/>
      <w:bookmarkStart w:id="42" w:name="_Toc257655333"/>
      <w:bookmarkStart w:id="43" w:name="_Toc361838108"/>
      <w:bookmarkStart w:id="44" w:name="_Toc356741794"/>
      <w:bookmarkStart w:id="45" w:name="_Toc474499953"/>
      <w:bookmarkStart w:id="46" w:name="_Toc510098975"/>
      <w:bookmarkStart w:id="47" w:name="_Toc10092"/>
      <w:bookmarkStart w:id="48" w:name="_Toc6967"/>
      <w:r>
        <w:rPr>
          <w:rFonts w:hint="eastAsia" w:ascii="宋体" w:hAnsi="宋体"/>
          <w:b w:val="0"/>
        </w:rPr>
        <w:t>5.最低要求</w:t>
      </w:r>
    </w:p>
    <w:bookmarkEnd w:id="39"/>
    <w:p w14:paraId="33AC765E">
      <w:pPr>
        <w:rPr>
          <w:rFonts w:hint="eastAsia"/>
        </w:rPr>
      </w:pPr>
      <w:bookmarkStart w:id="49" w:name="_Toc12629"/>
      <w:bookmarkStart w:id="50" w:name="_Toc441605621"/>
    </w:p>
    <w:p w14:paraId="502F5C08">
      <w:pPr>
        <w:pStyle w:val="3"/>
        <w:spacing w:before="0" w:after="0" w:line="240" w:lineRule="auto"/>
        <w:jc w:val="center"/>
        <w:rPr>
          <w:rFonts w:hint="eastAsia"/>
        </w:rPr>
      </w:pPr>
      <w:r>
        <w:rPr>
          <w:rFonts w:hint="eastAsia"/>
        </w:rPr>
        <w:t>附录1 资格审查条件（资质最低要求）</w:t>
      </w:r>
    </w:p>
    <w:p w14:paraId="777FA967">
      <w:pPr>
        <w:rPr>
          <w:rFonts w:hint="eastAsia"/>
        </w:rPr>
      </w:pPr>
    </w:p>
    <w:tbl>
      <w:tblPr>
        <w:tblStyle w:val="11"/>
        <w:tblW w:w="0" w:type="auto"/>
        <w:tblInd w:w="1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6"/>
        <w:gridCol w:w="8237"/>
      </w:tblGrid>
      <w:tr w14:paraId="6EFC4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476" w:type="dxa"/>
            <w:noWrap w:val="0"/>
            <w:vAlign w:val="center"/>
          </w:tcPr>
          <w:p w14:paraId="0342DC66">
            <w:pPr>
              <w:pStyle w:val="10"/>
              <w:spacing w:line="360" w:lineRule="auto"/>
              <w:ind w:firstLine="0" w:firstLineChars="0"/>
              <w:jc w:val="center"/>
              <w:rPr>
                <w:rFonts w:hint="eastAsia" w:eastAsia="宋体" w:cs="宋体"/>
                <w:kern w:val="0"/>
                <w:szCs w:val="21"/>
                <w:lang w:val="en-US" w:eastAsia="zh-CN"/>
              </w:rPr>
            </w:pPr>
            <w:r>
              <w:rPr>
                <w:rFonts w:hint="eastAsia" w:cs="宋体"/>
                <w:kern w:val="0"/>
                <w:szCs w:val="21"/>
                <w:lang w:val="en-US" w:eastAsia="zh-CN"/>
              </w:rPr>
              <w:t>标段</w:t>
            </w:r>
          </w:p>
        </w:tc>
        <w:tc>
          <w:tcPr>
            <w:tcW w:w="8237" w:type="dxa"/>
            <w:noWrap w:val="0"/>
            <w:vAlign w:val="center"/>
          </w:tcPr>
          <w:p w14:paraId="03DA67C7">
            <w:pPr>
              <w:pStyle w:val="10"/>
              <w:spacing w:line="360" w:lineRule="auto"/>
              <w:ind w:firstLine="0" w:firstLineChars="0"/>
              <w:jc w:val="center"/>
              <w:rPr>
                <w:rFonts w:hint="eastAsia" w:cs="宋体"/>
                <w:kern w:val="0"/>
                <w:szCs w:val="21"/>
              </w:rPr>
            </w:pPr>
            <w:r>
              <w:rPr>
                <w:rFonts w:hint="eastAsia" w:cs="宋体"/>
                <w:kern w:val="0"/>
                <w:szCs w:val="21"/>
              </w:rPr>
              <w:t>资格要求</w:t>
            </w:r>
          </w:p>
        </w:tc>
      </w:tr>
      <w:tr w14:paraId="2CAA4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76" w:type="dxa"/>
            <w:noWrap w:val="0"/>
            <w:vAlign w:val="center"/>
          </w:tcPr>
          <w:p w14:paraId="0FAF12A8">
            <w:pPr>
              <w:widowControl/>
              <w:shd w:val="clear" w:color="auto" w:fill="FFFFFF"/>
              <w:spacing w:before="156" w:after="156"/>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LY01</w:t>
            </w:r>
          </w:p>
        </w:tc>
        <w:tc>
          <w:tcPr>
            <w:tcW w:w="8237" w:type="dxa"/>
            <w:noWrap w:val="0"/>
            <w:vAlign w:val="center"/>
          </w:tcPr>
          <w:p w14:paraId="14ED5248">
            <w:pPr>
              <w:widowControl/>
              <w:numPr>
                <w:ilvl w:val="0"/>
                <w:numId w:val="0"/>
              </w:numPr>
              <w:shd w:val="clear" w:color="auto" w:fill="FFFFFF"/>
              <w:spacing w:before="156" w:after="156"/>
              <w:jc w:val="left"/>
              <w:rPr>
                <w:rFonts w:hint="eastAsia" w:ascii="宋体" w:hAnsi="宋体" w:cs="宋体"/>
                <w:kern w:val="0"/>
                <w:szCs w:val="21"/>
                <w:highlight w:val="none"/>
              </w:rPr>
            </w:pP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1</w:t>
            </w:r>
            <w:r>
              <w:rPr>
                <w:rFonts w:hint="eastAsia" w:ascii="宋体" w:hAnsi="宋体" w:cs="宋体"/>
                <w:kern w:val="0"/>
                <w:szCs w:val="21"/>
                <w:highlight w:val="none"/>
                <w:lang w:eastAsia="zh-CN"/>
              </w:rPr>
              <w:t>）</w:t>
            </w:r>
            <w:r>
              <w:rPr>
                <w:rFonts w:hint="eastAsia" w:ascii="宋体" w:hAnsi="宋体" w:cs="宋体"/>
                <w:kern w:val="0"/>
                <w:szCs w:val="21"/>
                <w:highlight w:val="none"/>
              </w:rPr>
              <w:t>交通运输主管部门颁发的路基路面养护甲级资质；</w:t>
            </w:r>
          </w:p>
          <w:p w14:paraId="2B8765E3">
            <w:pPr>
              <w:widowControl/>
              <w:shd w:val="clear" w:color="auto" w:fill="FFFFFF"/>
              <w:spacing w:before="156" w:after="156"/>
              <w:jc w:val="left"/>
              <w:rPr>
                <w:rFonts w:hint="eastAsia" w:ascii="宋体" w:hAnsi="宋体" w:eastAsia="宋体" w:cs="宋体"/>
                <w:kern w:val="0"/>
                <w:szCs w:val="21"/>
                <w:highlight w:val="none"/>
                <w:lang w:eastAsia="zh-CN"/>
              </w:rPr>
            </w:pPr>
            <w:r>
              <w:rPr>
                <w:rFonts w:hint="eastAsia" w:ascii="宋体" w:hAnsi="宋体" w:cs="宋体"/>
                <w:kern w:val="0"/>
                <w:szCs w:val="21"/>
                <w:highlight w:val="none"/>
              </w:rPr>
              <w:t>（2）交通运输主管部门颁发的桥梁养护</w:t>
            </w:r>
            <w:r>
              <w:rPr>
                <w:rFonts w:hint="eastAsia" w:ascii="宋体" w:hAnsi="宋体" w:cs="宋体"/>
                <w:kern w:val="0"/>
                <w:szCs w:val="21"/>
                <w:highlight w:val="none"/>
                <w:lang w:val="en-US" w:eastAsia="zh-CN"/>
              </w:rPr>
              <w:t>乙</w:t>
            </w:r>
            <w:r>
              <w:rPr>
                <w:rFonts w:hint="eastAsia" w:ascii="宋体" w:hAnsi="宋体" w:cs="宋体"/>
                <w:kern w:val="0"/>
                <w:szCs w:val="21"/>
                <w:highlight w:val="none"/>
              </w:rPr>
              <w:t>级资质</w:t>
            </w:r>
            <w:r>
              <w:rPr>
                <w:rFonts w:hint="eastAsia" w:ascii="宋体" w:hAnsi="宋体" w:cs="宋体"/>
                <w:kern w:val="0"/>
                <w:szCs w:val="21"/>
                <w:highlight w:val="none"/>
                <w:lang w:eastAsia="zh-CN"/>
              </w:rPr>
              <w:t>；</w:t>
            </w:r>
          </w:p>
          <w:p w14:paraId="5989DAED">
            <w:pPr>
              <w:widowControl/>
              <w:shd w:val="clear" w:color="auto" w:fill="FFFFFF"/>
              <w:spacing w:before="156" w:after="156"/>
              <w:jc w:val="left"/>
              <w:rPr>
                <w:rFonts w:hint="eastAsia" w:ascii="宋体" w:hAnsi="宋体" w:cs="宋体"/>
                <w:kern w:val="0"/>
                <w:szCs w:val="21"/>
              </w:rPr>
            </w:pP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3</w:t>
            </w:r>
            <w:r>
              <w:rPr>
                <w:rFonts w:hint="eastAsia" w:ascii="宋体" w:hAnsi="宋体" w:cs="宋体"/>
                <w:kern w:val="0"/>
                <w:szCs w:val="21"/>
                <w:highlight w:val="none"/>
                <w:lang w:eastAsia="zh-CN"/>
              </w:rPr>
              <w:t>）</w:t>
            </w:r>
            <w:r>
              <w:rPr>
                <w:rFonts w:hint="eastAsia" w:ascii="宋体" w:hAnsi="宋体" w:cs="宋体"/>
                <w:kern w:val="0"/>
                <w:szCs w:val="21"/>
                <w:highlight w:val="none"/>
              </w:rPr>
              <w:t>交通运输主管部门颁发的交通安全设施养护资质（可以承担各等级公路交通安全设施的各类养护工程）</w:t>
            </w:r>
          </w:p>
        </w:tc>
      </w:tr>
      <w:tr w14:paraId="532EE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76" w:type="dxa"/>
            <w:noWrap w:val="0"/>
            <w:vAlign w:val="center"/>
          </w:tcPr>
          <w:p w14:paraId="3B37216B">
            <w:pPr>
              <w:widowControl/>
              <w:shd w:val="clear" w:color="auto" w:fill="FFFFFF"/>
              <w:spacing w:before="156" w:after="156"/>
              <w:jc w:val="center"/>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LY02</w:t>
            </w:r>
          </w:p>
        </w:tc>
        <w:tc>
          <w:tcPr>
            <w:tcW w:w="8237" w:type="dxa"/>
            <w:noWrap w:val="0"/>
            <w:vAlign w:val="center"/>
          </w:tcPr>
          <w:p w14:paraId="40A3C4D4">
            <w:pPr>
              <w:widowControl/>
              <w:numPr>
                <w:ilvl w:val="0"/>
                <w:numId w:val="0"/>
              </w:numPr>
              <w:shd w:val="clear" w:color="auto" w:fill="FFFFFF"/>
              <w:spacing w:before="156" w:after="156"/>
              <w:jc w:val="left"/>
              <w:rPr>
                <w:rFonts w:hint="eastAsia" w:ascii="宋体" w:hAnsi="宋体" w:cs="宋体"/>
                <w:kern w:val="0"/>
                <w:szCs w:val="21"/>
                <w:highlight w:val="none"/>
              </w:rPr>
            </w:pP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1</w:t>
            </w:r>
            <w:r>
              <w:rPr>
                <w:rFonts w:hint="eastAsia" w:ascii="宋体" w:hAnsi="宋体" w:cs="宋体"/>
                <w:kern w:val="0"/>
                <w:szCs w:val="21"/>
                <w:highlight w:val="none"/>
                <w:lang w:eastAsia="zh-CN"/>
              </w:rPr>
              <w:t>）</w:t>
            </w:r>
            <w:r>
              <w:rPr>
                <w:rFonts w:hint="eastAsia" w:ascii="宋体" w:hAnsi="宋体" w:cs="宋体"/>
                <w:kern w:val="0"/>
                <w:szCs w:val="21"/>
                <w:highlight w:val="none"/>
              </w:rPr>
              <w:t>交通运输主管部门颁发的路基路面养护甲级资质；</w:t>
            </w:r>
          </w:p>
          <w:p w14:paraId="722FE2AD">
            <w:pPr>
              <w:widowControl/>
              <w:shd w:val="clear" w:color="auto" w:fill="FFFFFF"/>
              <w:spacing w:before="156" w:after="156"/>
              <w:jc w:val="left"/>
              <w:rPr>
                <w:rFonts w:hint="eastAsia" w:ascii="宋体" w:hAnsi="宋体" w:eastAsia="宋体" w:cs="宋体"/>
                <w:kern w:val="0"/>
                <w:szCs w:val="21"/>
                <w:highlight w:val="none"/>
                <w:lang w:eastAsia="zh-CN"/>
              </w:rPr>
            </w:pPr>
            <w:r>
              <w:rPr>
                <w:rFonts w:hint="eastAsia" w:ascii="宋体" w:hAnsi="宋体" w:cs="宋体"/>
                <w:kern w:val="0"/>
                <w:szCs w:val="21"/>
                <w:highlight w:val="none"/>
              </w:rPr>
              <w:t>（2）交通运输主管部门颁发的桥梁养护</w:t>
            </w:r>
            <w:r>
              <w:rPr>
                <w:rFonts w:hint="eastAsia" w:ascii="宋体" w:hAnsi="宋体" w:cs="宋体"/>
                <w:kern w:val="0"/>
                <w:szCs w:val="21"/>
                <w:highlight w:val="none"/>
                <w:lang w:val="en-US" w:eastAsia="zh-CN"/>
              </w:rPr>
              <w:t>甲</w:t>
            </w:r>
            <w:r>
              <w:rPr>
                <w:rFonts w:hint="eastAsia" w:ascii="宋体" w:hAnsi="宋体" w:cs="宋体"/>
                <w:kern w:val="0"/>
                <w:szCs w:val="21"/>
                <w:highlight w:val="none"/>
              </w:rPr>
              <w:t>级资质</w:t>
            </w:r>
            <w:r>
              <w:rPr>
                <w:rFonts w:hint="eastAsia" w:ascii="宋体" w:hAnsi="宋体" w:cs="宋体"/>
                <w:kern w:val="0"/>
                <w:szCs w:val="21"/>
                <w:highlight w:val="none"/>
                <w:lang w:eastAsia="zh-CN"/>
              </w:rPr>
              <w:t>；</w:t>
            </w:r>
          </w:p>
          <w:p w14:paraId="62E80A20">
            <w:pPr>
              <w:widowControl/>
              <w:shd w:val="clear" w:color="auto" w:fill="FFFFFF"/>
              <w:spacing w:before="156" w:after="156"/>
              <w:jc w:val="left"/>
              <w:rPr>
                <w:rFonts w:hint="eastAsia" w:ascii="宋体" w:hAnsi="宋体" w:cs="宋体"/>
                <w:kern w:val="0"/>
                <w:szCs w:val="21"/>
                <w:highlight w:val="none"/>
                <w:lang w:eastAsia="zh-CN"/>
              </w:rPr>
            </w:pP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3</w:t>
            </w:r>
            <w:r>
              <w:rPr>
                <w:rFonts w:hint="eastAsia" w:ascii="宋体" w:hAnsi="宋体" w:cs="宋体"/>
                <w:kern w:val="0"/>
                <w:szCs w:val="21"/>
                <w:highlight w:val="none"/>
                <w:lang w:eastAsia="zh-CN"/>
              </w:rPr>
              <w:t>）</w:t>
            </w:r>
            <w:r>
              <w:rPr>
                <w:rFonts w:hint="eastAsia" w:ascii="宋体" w:hAnsi="宋体" w:cs="宋体"/>
                <w:kern w:val="0"/>
                <w:szCs w:val="21"/>
                <w:highlight w:val="none"/>
              </w:rPr>
              <w:t>交通运输主管部门颁发的交通安全设施养护资质（可以承担各等级公路交通安全设施的各类养护工程）</w:t>
            </w:r>
          </w:p>
        </w:tc>
      </w:tr>
      <w:tr w14:paraId="61AAA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76" w:type="dxa"/>
            <w:noWrap w:val="0"/>
            <w:vAlign w:val="center"/>
          </w:tcPr>
          <w:p w14:paraId="120F5179">
            <w:pPr>
              <w:widowControl/>
              <w:shd w:val="clear" w:color="auto" w:fill="FFFFFF"/>
              <w:spacing w:before="156" w:after="156"/>
              <w:jc w:val="center"/>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LY03</w:t>
            </w:r>
          </w:p>
        </w:tc>
        <w:tc>
          <w:tcPr>
            <w:tcW w:w="8237" w:type="dxa"/>
            <w:noWrap w:val="0"/>
            <w:vAlign w:val="center"/>
          </w:tcPr>
          <w:p w14:paraId="540BB157">
            <w:pPr>
              <w:widowControl/>
              <w:numPr>
                <w:ilvl w:val="0"/>
                <w:numId w:val="0"/>
              </w:numPr>
              <w:shd w:val="clear" w:color="auto" w:fill="FFFFFF"/>
              <w:spacing w:before="156" w:after="156"/>
              <w:jc w:val="left"/>
              <w:rPr>
                <w:rFonts w:hint="eastAsia" w:ascii="宋体" w:hAnsi="宋体" w:cs="宋体"/>
                <w:kern w:val="0"/>
                <w:szCs w:val="21"/>
                <w:highlight w:val="none"/>
              </w:rPr>
            </w:pP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1</w:t>
            </w:r>
            <w:r>
              <w:rPr>
                <w:rFonts w:hint="eastAsia" w:ascii="宋体" w:hAnsi="宋体" w:cs="宋体"/>
                <w:kern w:val="0"/>
                <w:szCs w:val="21"/>
                <w:highlight w:val="none"/>
                <w:lang w:eastAsia="zh-CN"/>
              </w:rPr>
              <w:t>）</w:t>
            </w:r>
            <w:r>
              <w:rPr>
                <w:rFonts w:hint="eastAsia" w:ascii="宋体" w:hAnsi="宋体" w:cs="宋体"/>
                <w:kern w:val="0"/>
                <w:szCs w:val="21"/>
                <w:highlight w:val="none"/>
              </w:rPr>
              <w:t>交通运输主管部门颁发的路基路面养护甲级资质；</w:t>
            </w:r>
          </w:p>
          <w:p w14:paraId="184E149C">
            <w:pPr>
              <w:widowControl/>
              <w:shd w:val="clear" w:color="auto" w:fill="FFFFFF"/>
              <w:spacing w:before="156" w:after="156"/>
              <w:jc w:val="left"/>
              <w:rPr>
                <w:rFonts w:hint="eastAsia" w:ascii="宋体" w:hAnsi="宋体" w:eastAsia="宋体" w:cs="宋体"/>
                <w:kern w:val="0"/>
                <w:szCs w:val="21"/>
                <w:highlight w:val="none"/>
                <w:lang w:eastAsia="zh-CN"/>
              </w:rPr>
            </w:pPr>
            <w:r>
              <w:rPr>
                <w:rFonts w:hint="eastAsia" w:ascii="宋体" w:hAnsi="宋体" w:cs="宋体"/>
                <w:kern w:val="0"/>
                <w:szCs w:val="21"/>
                <w:highlight w:val="none"/>
              </w:rPr>
              <w:t>（2）交通运输主管部门颁发的桥梁养护</w:t>
            </w:r>
            <w:r>
              <w:rPr>
                <w:rFonts w:hint="eastAsia" w:ascii="宋体" w:hAnsi="宋体" w:cs="宋体"/>
                <w:kern w:val="0"/>
                <w:szCs w:val="21"/>
                <w:highlight w:val="none"/>
                <w:lang w:val="en-US" w:eastAsia="zh-CN"/>
              </w:rPr>
              <w:t>乙</w:t>
            </w:r>
            <w:r>
              <w:rPr>
                <w:rFonts w:hint="eastAsia" w:ascii="宋体" w:hAnsi="宋体" w:cs="宋体"/>
                <w:kern w:val="0"/>
                <w:szCs w:val="21"/>
                <w:highlight w:val="none"/>
              </w:rPr>
              <w:t>级资质</w:t>
            </w:r>
            <w:r>
              <w:rPr>
                <w:rFonts w:hint="eastAsia" w:ascii="宋体" w:hAnsi="宋体" w:cs="宋体"/>
                <w:kern w:val="0"/>
                <w:szCs w:val="21"/>
                <w:highlight w:val="none"/>
                <w:lang w:eastAsia="zh-CN"/>
              </w:rPr>
              <w:t>；</w:t>
            </w:r>
          </w:p>
          <w:p w14:paraId="68DF5BA0">
            <w:pPr>
              <w:widowControl/>
              <w:shd w:val="clear" w:color="auto" w:fill="FFFFFF"/>
              <w:spacing w:before="156" w:after="156"/>
              <w:jc w:val="left"/>
              <w:rPr>
                <w:rFonts w:hint="eastAsia" w:ascii="宋体" w:hAnsi="宋体" w:cs="宋体"/>
                <w:kern w:val="0"/>
                <w:szCs w:val="21"/>
                <w:highlight w:val="none"/>
                <w:lang w:eastAsia="zh-CN"/>
              </w:rPr>
            </w:pP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3</w:t>
            </w:r>
            <w:r>
              <w:rPr>
                <w:rFonts w:hint="eastAsia" w:ascii="宋体" w:hAnsi="宋体" w:cs="宋体"/>
                <w:kern w:val="0"/>
                <w:szCs w:val="21"/>
                <w:highlight w:val="none"/>
                <w:lang w:eastAsia="zh-CN"/>
              </w:rPr>
              <w:t>）</w:t>
            </w:r>
            <w:r>
              <w:rPr>
                <w:rFonts w:hint="eastAsia" w:ascii="宋体" w:hAnsi="宋体" w:cs="宋体"/>
                <w:kern w:val="0"/>
                <w:szCs w:val="21"/>
                <w:highlight w:val="none"/>
              </w:rPr>
              <w:t>交通运输主管部门颁发的交通安全设施养护资质（可以承担各等级公路交通安全设施的各类养护工程）</w:t>
            </w:r>
          </w:p>
        </w:tc>
      </w:tr>
    </w:tbl>
    <w:p w14:paraId="0F1E7566">
      <w:pPr>
        <w:pStyle w:val="15"/>
        <w:jc w:val="center"/>
        <w:outlineLvl w:val="9"/>
        <w:rPr>
          <w:rFonts w:hint="eastAsia"/>
          <w:vertAlign w:val="superscript"/>
        </w:rPr>
      </w:pPr>
    </w:p>
    <w:p w14:paraId="7A18358C">
      <w:pPr>
        <w:spacing w:before="0" w:after="0" w:line="240" w:lineRule="auto"/>
        <w:jc w:val="center"/>
        <w:outlineLvl w:val="9"/>
        <w:rPr>
          <w:rFonts w:hint="eastAsia" w:ascii="Times New Roman" w:hAnsi="Times New Roman" w:eastAsia="宋体" w:cs="Times New Roman"/>
          <w:b/>
          <w:bCs/>
          <w:kern w:val="0"/>
          <w:sz w:val="32"/>
          <w:szCs w:val="32"/>
          <w:lang w:val="en-US" w:eastAsia="zh-CN" w:bidi="ar-SA"/>
        </w:rPr>
      </w:pPr>
      <w:bookmarkStart w:id="51" w:name="_Toc287967393"/>
      <w:r>
        <w:rPr>
          <w:rFonts w:hint="eastAsia" w:ascii="Times New Roman" w:hAnsi="Times New Roman" w:eastAsia="宋体" w:cs="Times New Roman"/>
          <w:b/>
          <w:bCs/>
          <w:kern w:val="0"/>
          <w:sz w:val="32"/>
          <w:szCs w:val="32"/>
          <w:lang w:val="en-US" w:eastAsia="zh-CN" w:bidi="ar-SA"/>
        </w:rPr>
        <w:t>附录2 资格审查条件（财务最低要求）</w:t>
      </w:r>
      <w:bookmarkEnd w:id="51"/>
    </w:p>
    <w:p w14:paraId="1E3F3822">
      <w:pPr>
        <w:pStyle w:val="15"/>
        <w:jc w:val="center"/>
        <w:outlineLvl w:val="9"/>
        <w:rPr>
          <w:rFonts w:hint="eastAsia" w:ascii="Times New Roman" w:hAnsi="Times New Roman" w:eastAsia="宋体" w:cs="Times New Roman"/>
          <w:b/>
          <w:bCs/>
          <w:kern w:val="0"/>
          <w:sz w:val="32"/>
          <w:szCs w:val="32"/>
          <w:lang w:val="en-US" w:eastAsia="zh-CN" w:bidi="ar-SA"/>
        </w:rPr>
      </w:pPr>
    </w:p>
    <w:tbl>
      <w:tblPr>
        <w:tblStyle w:val="11"/>
        <w:tblW w:w="97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4"/>
      </w:tblGrid>
      <w:tr w14:paraId="04514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704" w:type="dxa"/>
            <w:noWrap w:val="0"/>
            <w:vAlign w:val="center"/>
          </w:tcPr>
          <w:p w14:paraId="1DB4513A">
            <w:pPr>
              <w:ind w:firstLine="420" w:firstLineChars="200"/>
              <w:jc w:val="center"/>
              <w:rPr>
                <w:rFonts w:hint="eastAsia" w:ascii="宋体" w:hAnsi="宋体"/>
                <w:szCs w:val="21"/>
              </w:rPr>
            </w:pPr>
            <w:r>
              <w:rPr>
                <w:rFonts w:hint="eastAsia"/>
                <w:szCs w:val="21"/>
              </w:rPr>
              <w:t>财务要求</w:t>
            </w:r>
          </w:p>
        </w:tc>
      </w:tr>
      <w:tr w14:paraId="41D70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9704" w:type="dxa"/>
            <w:noWrap w:val="0"/>
            <w:vAlign w:val="center"/>
          </w:tcPr>
          <w:p w14:paraId="0F3036AA">
            <w:pPr>
              <w:tabs>
                <w:tab w:val="left" w:pos="540"/>
              </w:tabs>
              <w:spacing w:line="400" w:lineRule="exact"/>
              <w:ind w:firstLine="420" w:firstLineChars="200"/>
              <w:rPr>
                <w:rFonts w:hint="eastAsia" w:ascii="宋体" w:hAnsi="宋体" w:cs="宋体"/>
                <w:kern w:val="0"/>
                <w:szCs w:val="21"/>
              </w:rPr>
            </w:pPr>
            <w:r>
              <w:rPr>
                <w:rFonts w:hint="eastAsia" w:ascii="宋体" w:hAnsi="宋体" w:cs="宋体"/>
                <w:kern w:val="0"/>
                <w:szCs w:val="21"/>
              </w:rPr>
              <w:t>投标人近三年应当具有良好的商业信誉和健全的财务会计制度（要求提供加盖公章的承诺书）</w:t>
            </w:r>
          </w:p>
        </w:tc>
      </w:tr>
    </w:tbl>
    <w:p w14:paraId="27BBF5C9">
      <w:pPr>
        <w:autoSpaceDE w:val="0"/>
        <w:autoSpaceDN w:val="0"/>
        <w:adjustRightInd w:val="0"/>
        <w:rPr>
          <w:rFonts w:hint="eastAsia"/>
          <w:b/>
          <w:sz w:val="18"/>
          <w:szCs w:val="18"/>
        </w:rPr>
      </w:pPr>
    </w:p>
    <w:p w14:paraId="14FFE6A5">
      <w:pPr>
        <w:pStyle w:val="3"/>
        <w:spacing w:before="0" w:after="0" w:line="240" w:lineRule="auto"/>
        <w:jc w:val="center"/>
        <w:rPr>
          <w:rFonts w:hint="eastAsia"/>
        </w:rPr>
      </w:pPr>
      <w:bookmarkStart w:id="52" w:name="_Toc668"/>
      <w:bookmarkStart w:id="53" w:name="_Toc287967394"/>
      <w:bookmarkStart w:id="54" w:name="_Toc24659"/>
      <w:r>
        <w:rPr>
          <w:rFonts w:hint="eastAsia"/>
        </w:rPr>
        <w:t>附录3 资格审查条件（业绩最低要求）</w:t>
      </w:r>
      <w:bookmarkEnd w:id="52"/>
      <w:bookmarkEnd w:id="53"/>
      <w:bookmarkEnd w:id="54"/>
    </w:p>
    <w:p w14:paraId="6755ED4C">
      <w:pPr>
        <w:rPr>
          <w:rFonts w:hint="eastAsia"/>
        </w:rPr>
      </w:pPr>
    </w:p>
    <w:tbl>
      <w:tblPr>
        <w:tblStyle w:val="11"/>
        <w:tblW w:w="97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6"/>
      </w:tblGrid>
      <w:tr w14:paraId="0B201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726" w:type="dxa"/>
            <w:noWrap w:val="0"/>
            <w:vAlign w:val="center"/>
          </w:tcPr>
          <w:p w14:paraId="74D542CE">
            <w:pPr>
              <w:ind w:firstLine="420" w:firstLineChars="200"/>
              <w:jc w:val="center"/>
              <w:rPr>
                <w:rFonts w:hint="eastAsia" w:ascii="宋体" w:hAnsi="宋体"/>
                <w:szCs w:val="21"/>
              </w:rPr>
            </w:pPr>
            <w:r>
              <w:rPr>
                <w:rFonts w:hint="eastAsia" w:ascii="宋体" w:hAnsi="宋体"/>
                <w:bCs/>
                <w:szCs w:val="21"/>
              </w:rPr>
              <w:t>企业业绩要求</w:t>
            </w:r>
          </w:p>
        </w:tc>
      </w:tr>
      <w:tr w14:paraId="03F95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9726" w:type="dxa"/>
            <w:noWrap w:val="0"/>
            <w:vAlign w:val="center"/>
          </w:tcPr>
          <w:p w14:paraId="61E59CD9">
            <w:pPr>
              <w:spacing w:line="340" w:lineRule="exact"/>
              <w:ind w:firstLine="420" w:firstLineChars="200"/>
              <w:jc w:val="left"/>
              <w:rPr>
                <w:rFonts w:hint="eastAsia" w:ascii="宋体" w:hAnsi="宋体"/>
                <w:szCs w:val="21"/>
              </w:rPr>
            </w:pPr>
            <w:r>
              <w:rPr>
                <w:rFonts w:hint="eastAsia" w:ascii="宋体" w:hAnsi="宋体" w:eastAsia="宋体" w:cs="宋体"/>
                <w:kern w:val="0"/>
                <w:szCs w:val="21"/>
                <w:lang w:val="en-US" w:eastAsia="zh-CN"/>
              </w:rPr>
              <w:t>无业绩最低要求</w:t>
            </w:r>
          </w:p>
        </w:tc>
      </w:tr>
    </w:tbl>
    <w:p w14:paraId="572D6807">
      <w:pPr>
        <w:spacing w:before="0" w:after="0" w:line="240" w:lineRule="auto"/>
        <w:jc w:val="center"/>
        <w:outlineLvl w:val="9"/>
        <w:rPr>
          <w:rFonts w:hint="eastAsia"/>
        </w:rPr>
      </w:pPr>
      <w:bookmarkStart w:id="55" w:name="_Toc287967395"/>
    </w:p>
    <w:p w14:paraId="70064204">
      <w:pPr>
        <w:rPr>
          <w:rFonts w:hint="eastAsia"/>
        </w:rPr>
      </w:pPr>
    </w:p>
    <w:p w14:paraId="50F1EB23">
      <w:pPr>
        <w:rPr>
          <w:rFonts w:hint="eastAsia"/>
        </w:rPr>
      </w:pPr>
    </w:p>
    <w:p w14:paraId="473E2DAA">
      <w:pPr>
        <w:pStyle w:val="3"/>
        <w:spacing w:before="0" w:after="0" w:line="240" w:lineRule="auto"/>
        <w:jc w:val="center"/>
        <w:rPr>
          <w:rFonts w:hint="eastAsia"/>
        </w:rPr>
      </w:pPr>
      <w:bookmarkStart w:id="56" w:name="_Toc7741"/>
      <w:bookmarkStart w:id="57" w:name="_Toc2408"/>
      <w:r>
        <w:rPr>
          <w:rFonts w:hint="eastAsia"/>
        </w:rPr>
        <w:t>附录4 资格审查条件（信誉最低要求）</w:t>
      </w:r>
      <w:bookmarkEnd w:id="55"/>
      <w:bookmarkEnd w:id="56"/>
      <w:bookmarkEnd w:id="57"/>
    </w:p>
    <w:p w14:paraId="03593A9D">
      <w:pPr>
        <w:rPr>
          <w:rFonts w:hint="eastAsia"/>
        </w:rPr>
      </w:pPr>
    </w:p>
    <w:tbl>
      <w:tblPr>
        <w:tblStyle w:val="11"/>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1"/>
      </w:tblGrid>
      <w:tr w14:paraId="640C3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711" w:type="dxa"/>
            <w:noWrap w:val="0"/>
            <w:vAlign w:val="center"/>
          </w:tcPr>
          <w:p w14:paraId="1C493ADE">
            <w:pPr>
              <w:ind w:firstLine="420" w:firstLineChars="200"/>
              <w:jc w:val="center"/>
              <w:rPr>
                <w:rFonts w:hint="eastAsia" w:ascii="宋体" w:hAnsi="宋体"/>
                <w:b/>
                <w:szCs w:val="21"/>
              </w:rPr>
            </w:pPr>
            <w:r>
              <w:rPr>
                <w:rFonts w:hAnsi="宋体"/>
                <w:szCs w:val="21"/>
              </w:rPr>
              <w:t>信誉要求</w:t>
            </w:r>
          </w:p>
        </w:tc>
      </w:tr>
      <w:tr w14:paraId="310F9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9711" w:type="dxa"/>
            <w:noWrap w:val="0"/>
            <w:vAlign w:val="center"/>
          </w:tcPr>
          <w:p w14:paraId="481DF4D5">
            <w:pPr>
              <w:numPr>
                <w:ilvl w:val="0"/>
                <w:numId w:val="0"/>
              </w:numPr>
              <w:tabs>
                <w:tab w:val="left" w:pos="540"/>
              </w:tabs>
              <w:spacing w:line="400" w:lineRule="exact"/>
              <w:ind w:firstLine="420" w:firstLineChars="200"/>
              <w:rPr>
                <w:rFonts w:hint="eastAsia" w:ascii="宋体" w:hAnsi="宋体" w:cs="宋体"/>
                <w:kern w:val="0"/>
                <w:szCs w:val="21"/>
              </w:rPr>
            </w:pPr>
            <w:r>
              <w:rPr>
                <w:rFonts w:hint="eastAsia" w:ascii="宋体" w:hAnsi="宋体" w:cs="宋体"/>
                <w:kern w:val="0"/>
                <w:szCs w:val="21"/>
                <w:lang w:val="en-US" w:eastAsia="zh-CN"/>
              </w:rPr>
              <w:t>1、</w:t>
            </w:r>
            <w:r>
              <w:rPr>
                <w:rFonts w:hint="eastAsia" w:ascii="宋体" w:hAnsi="宋体" w:cs="宋体"/>
                <w:kern w:val="0"/>
                <w:szCs w:val="21"/>
              </w:rPr>
              <w:t>投标人（包括联合体各方）不得存在“投标人须知”第 1.4.4 项规定的不良状况或不良信用记录；</w:t>
            </w:r>
          </w:p>
          <w:p w14:paraId="552E5088">
            <w:pPr>
              <w:numPr>
                <w:ilvl w:val="0"/>
                <w:numId w:val="0"/>
              </w:numPr>
              <w:tabs>
                <w:tab w:val="left" w:pos="540"/>
              </w:tabs>
              <w:spacing w:line="400" w:lineRule="exact"/>
              <w:ind w:firstLine="420" w:firstLineChars="200"/>
              <w:rPr>
                <w:rFonts w:hint="eastAsia" w:ascii="宋体" w:hAnsi="宋体" w:cs="宋体"/>
                <w:kern w:val="0"/>
                <w:szCs w:val="21"/>
              </w:rPr>
            </w:pPr>
            <w:r>
              <w:rPr>
                <w:rFonts w:hint="eastAsia" w:ascii="宋体" w:hAnsi="宋体" w:eastAsia="宋体"/>
                <w:szCs w:val="21"/>
                <w:highlight w:val="none"/>
                <w:lang w:val="en-US" w:eastAsia="zh-CN"/>
              </w:rPr>
              <w:t>2、</w:t>
            </w:r>
            <w:r>
              <w:rPr>
                <w:rFonts w:hint="eastAsia" w:ascii="宋体" w:hAnsi="宋体" w:eastAsia="宋体"/>
                <w:szCs w:val="21"/>
                <w:highlight w:val="none"/>
              </w:rPr>
              <w:t>投标人在《吉林省公路管理局2024年度普通干线公路养护工程企业信用评价公告》</w:t>
            </w:r>
            <w:r>
              <w:rPr>
                <w:rFonts w:hint="eastAsia" w:ascii="宋体" w:hAnsi="宋体" w:eastAsia="宋体"/>
                <w:szCs w:val="21"/>
                <w:highlight w:val="none"/>
                <w:lang w:eastAsia="zh-CN"/>
              </w:rPr>
              <w:t>（含调整结果公告）</w:t>
            </w:r>
            <w:r>
              <w:rPr>
                <w:rFonts w:hint="eastAsia" w:ascii="宋体" w:hAnsi="宋体" w:eastAsia="宋体"/>
                <w:szCs w:val="21"/>
                <w:highlight w:val="none"/>
              </w:rPr>
              <w:t>中的</w:t>
            </w:r>
            <w:r>
              <w:rPr>
                <w:rFonts w:hint="eastAsia" w:ascii="宋体" w:hAnsi="宋体" w:eastAsia="宋体"/>
                <w:szCs w:val="21"/>
                <w:highlight w:val="none"/>
                <w:lang w:val="en-US" w:eastAsia="zh-CN"/>
              </w:rPr>
              <w:t>信用等级</w:t>
            </w:r>
            <w:r>
              <w:rPr>
                <w:rFonts w:hint="eastAsia" w:ascii="宋体" w:hAnsi="宋体" w:eastAsia="宋体"/>
                <w:szCs w:val="21"/>
                <w:highlight w:val="none"/>
              </w:rPr>
              <w:t>不得为D级</w:t>
            </w:r>
            <w:r>
              <w:rPr>
                <w:rFonts w:hint="eastAsia" w:ascii="宋体" w:hAnsi="宋体" w:cs="宋体"/>
                <w:kern w:val="0"/>
                <w:szCs w:val="21"/>
                <w:highlight w:val="none"/>
              </w:rPr>
              <w:t>。</w:t>
            </w:r>
          </w:p>
        </w:tc>
      </w:tr>
    </w:tbl>
    <w:p w14:paraId="6E05FC33">
      <w:pPr>
        <w:rPr>
          <w:rFonts w:hint="eastAsia"/>
        </w:rPr>
      </w:pPr>
    </w:p>
    <w:p w14:paraId="2348E153">
      <w:pPr>
        <w:pStyle w:val="3"/>
        <w:spacing w:before="0" w:after="0" w:line="240" w:lineRule="auto"/>
        <w:jc w:val="center"/>
        <w:rPr>
          <w:rFonts w:hint="eastAsia"/>
        </w:rPr>
      </w:pPr>
      <w:bookmarkStart w:id="58" w:name="_Toc30650"/>
      <w:bookmarkStart w:id="59" w:name="_Toc287967396"/>
      <w:bookmarkStart w:id="60" w:name="_Toc2875"/>
      <w:r>
        <w:rPr>
          <w:rFonts w:hint="eastAsia"/>
        </w:rPr>
        <w:t xml:space="preserve">附录5 </w:t>
      </w:r>
      <w:r>
        <w:rPr>
          <w:rFonts w:hint="eastAsia"/>
          <w:highlight w:val="none"/>
        </w:rPr>
        <w:t>资格审查条件（项目经理、项目总工最低要求）</w:t>
      </w:r>
      <w:bookmarkEnd w:id="58"/>
      <w:bookmarkEnd w:id="59"/>
      <w:bookmarkEnd w:id="60"/>
    </w:p>
    <w:tbl>
      <w:tblPr>
        <w:tblStyle w:val="11"/>
        <w:tblpPr w:leftFromText="180" w:rightFromText="180" w:vertAnchor="text" w:horzAnchor="page" w:tblpX="1260" w:tblpY="306"/>
        <w:tblOverlap w:val="never"/>
        <w:tblW w:w="91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847"/>
        <w:gridCol w:w="5285"/>
        <w:gridCol w:w="1857"/>
      </w:tblGrid>
      <w:tr w14:paraId="7457D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134" w:type="dxa"/>
            <w:noWrap w:val="0"/>
            <w:vAlign w:val="center"/>
          </w:tcPr>
          <w:p w14:paraId="5796C866">
            <w:pPr>
              <w:snapToGrid w:val="0"/>
              <w:jc w:val="center"/>
              <w:rPr>
                <w:rFonts w:ascii="宋体" w:hAnsi="宋体"/>
                <w:color w:val="000000"/>
                <w:szCs w:val="21"/>
              </w:rPr>
            </w:pPr>
            <w:r>
              <w:rPr>
                <w:rFonts w:hint="eastAsia" w:ascii="宋体" w:hAnsi="宋体"/>
                <w:color w:val="000000"/>
                <w:szCs w:val="21"/>
              </w:rPr>
              <w:t>人员</w:t>
            </w:r>
          </w:p>
        </w:tc>
        <w:tc>
          <w:tcPr>
            <w:tcW w:w="847" w:type="dxa"/>
            <w:noWrap w:val="0"/>
            <w:vAlign w:val="center"/>
          </w:tcPr>
          <w:p w14:paraId="6CB4C7EE">
            <w:pPr>
              <w:snapToGrid w:val="0"/>
              <w:jc w:val="center"/>
              <w:rPr>
                <w:rFonts w:ascii="宋体" w:hAnsi="宋体"/>
                <w:color w:val="000000"/>
                <w:szCs w:val="21"/>
              </w:rPr>
            </w:pPr>
            <w:r>
              <w:rPr>
                <w:rFonts w:hint="eastAsia" w:ascii="宋体" w:hAnsi="宋体"/>
                <w:color w:val="000000"/>
                <w:szCs w:val="21"/>
              </w:rPr>
              <w:t>数量</w:t>
            </w:r>
          </w:p>
        </w:tc>
        <w:tc>
          <w:tcPr>
            <w:tcW w:w="5285" w:type="dxa"/>
            <w:noWrap w:val="0"/>
            <w:vAlign w:val="center"/>
          </w:tcPr>
          <w:p w14:paraId="550AD18D">
            <w:pPr>
              <w:snapToGrid w:val="0"/>
              <w:jc w:val="center"/>
              <w:rPr>
                <w:rFonts w:ascii="宋体" w:hAnsi="宋体"/>
                <w:color w:val="000000"/>
                <w:szCs w:val="21"/>
              </w:rPr>
            </w:pPr>
            <w:r>
              <w:rPr>
                <w:rFonts w:hint="eastAsia" w:ascii="宋体" w:hAnsi="宋体"/>
                <w:color w:val="000000"/>
                <w:szCs w:val="21"/>
              </w:rPr>
              <w:t>资格最低要求</w:t>
            </w:r>
          </w:p>
        </w:tc>
        <w:tc>
          <w:tcPr>
            <w:tcW w:w="1857" w:type="dxa"/>
            <w:noWrap w:val="0"/>
            <w:vAlign w:val="center"/>
          </w:tcPr>
          <w:p w14:paraId="59E9CB36">
            <w:pPr>
              <w:snapToGrid w:val="0"/>
              <w:jc w:val="center"/>
              <w:rPr>
                <w:rFonts w:ascii="宋体" w:hAnsi="宋体"/>
                <w:szCs w:val="21"/>
              </w:rPr>
            </w:pPr>
            <w:r>
              <w:rPr>
                <w:rFonts w:hint="eastAsia" w:ascii="宋体" w:hAnsi="宋体"/>
                <w:szCs w:val="21"/>
              </w:rPr>
              <w:t>在岗要求</w:t>
            </w:r>
          </w:p>
        </w:tc>
      </w:tr>
      <w:tr w14:paraId="0E2E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3" w:hRule="atLeast"/>
        </w:trPr>
        <w:tc>
          <w:tcPr>
            <w:tcW w:w="1134" w:type="dxa"/>
            <w:noWrap w:val="0"/>
            <w:vAlign w:val="center"/>
          </w:tcPr>
          <w:p w14:paraId="7E20215B">
            <w:pPr>
              <w:snapToGrid w:val="0"/>
              <w:jc w:val="center"/>
              <w:rPr>
                <w:rFonts w:ascii="宋体" w:hAnsi="宋体"/>
                <w:color w:val="000000"/>
                <w:szCs w:val="21"/>
              </w:rPr>
            </w:pPr>
            <w:r>
              <w:rPr>
                <w:rFonts w:hint="eastAsia" w:ascii="宋体" w:hAnsi="宋体"/>
                <w:color w:val="000000"/>
                <w:szCs w:val="21"/>
              </w:rPr>
              <w:t>项目经理</w:t>
            </w:r>
          </w:p>
        </w:tc>
        <w:tc>
          <w:tcPr>
            <w:tcW w:w="847" w:type="dxa"/>
            <w:noWrap w:val="0"/>
            <w:vAlign w:val="center"/>
          </w:tcPr>
          <w:p w14:paraId="2D6B227D">
            <w:pPr>
              <w:snapToGrid w:val="0"/>
              <w:jc w:val="center"/>
              <w:rPr>
                <w:rFonts w:ascii="宋体" w:hAnsi="宋体"/>
                <w:color w:val="000000"/>
                <w:szCs w:val="21"/>
              </w:rPr>
            </w:pPr>
            <w:r>
              <w:rPr>
                <w:rFonts w:hint="eastAsia" w:ascii="宋体" w:hAnsi="宋体"/>
                <w:color w:val="000000"/>
                <w:szCs w:val="21"/>
              </w:rPr>
              <w:t>1</w:t>
            </w:r>
          </w:p>
        </w:tc>
        <w:tc>
          <w:tcPr>
            <w:tcW w:w="5285" w:type="dxa"/>
            <w:noWrap w:val="0"/>
            <w:vAlign w:val="center"/>
          </w:tcPr>
          <w:p w14:paraId="54347CE1">
            <w:pPr>
              <w:spacing w:line="360" w:lineRule="exact"/>
              <w:jc w:val="left"/>
              <w:rPr>
                <w:rFonts w:hint="eastAsia" w:ascii="宋体" w:hAnsi="宋体"/>
                <w:szCs w:val="21"/>
              </w:rPr>
            </w:pPr>
            <w:r>
              <w:rPr>
                <w:rFonts w:hint="eastAsia" w:ascii="宋体" w:hAnsi="宋体"/>
                <w:szCs w:val="21"/>
              </w:rPr>
              <w:t>（1）投标人</w:t>
            </w:r>
            <w:r>
              <w:rPr>
                <w:rFonts w:hint="eastAsia" w:ascii="宋体" w:hAnsi="宋体"/>
                <w:b/>
                <w:bCs/>
                <w:szCs w:val="21"/>
              </w:rPr>
              <w:t>自有人员</w:t>
            </w:r>
            <w:r>
              <w:rPr>
                <w:rFonts w:hint="eastAsia" w:ascii="宋体" w:hAnsi="宋体" w:cs="宋体"/>
                <w:szCs w:val="21"/>
              </w:rPr>
              <w:t>（以联合体形式投标，项目经理须为联合体牵头人自有人员）</w:t>
            </w:r>
            <w:r>
              <w:rPr>
                <w:rFonts w:hint="eastAsia" w:ascii="宋体" w:hAnsi="宋体"/>
                <w:szCs w:val="21"/>
              </w:rPr>
              <w:t>；</w:t>
            </w:r>
          </w:p>
          <w:p w14:paraId="3DCBA1EC">
            <w:pPr>
              <w:spacing w:line="360" w:lineRule="exact"/>
              <w:jc w:val="left"/>
              <w:rPr>
                <w:rFonts w:hint="eastAsia" w:ascii="宋体" w:hAnsi="宋体"/>
                <w:szCs w:val="21"/>
              </w:rPr>
            </w:pPr>
            <w:r>
              <w:rPr>
                <w:rFonts w:hint="eastAsia" w:ascii="宋体" w:hAnsi="宋体"/>
                <w:szCs w:val="21"/>
              </w:rPr>
              <w:t>（2）具有公路工程相关专</w:t>
            </w:r>
            <w:r>
              <w:rPr>
                <w:rFonts w:hint="eastAsia" w:ascii="宋体" w:hAnsi="宋体"/>
                <w:szCs w:val="21"/>
                <w:highlight w:val="none"/>
              </w:rPr>
              <w:t>业</w:t>
            </w:r>
            <w:r>
              <w:rPr>
                <w:rFonts w:hint="eastAsia" w:ascii="宋体" w:hAnsi="宋体"/>
                <w:b/>
                <w:bCs/>
                <w:szCs w:val="21"/>
                <w:highlight w:val="none"/>
              </w:rPr>
              <w:t>工程师</w:t>
            </w:r>
            <w:r>
              <w:rPr>
                <w:rFonts w:hint="eastAsia" w:ascii="宋体" w:hAnsi="宋体"/>
                <w:szCs w:val="21"/>
                <w:highlight w:val="none"/>
              </w:rPr>
              <w:t>职称；</w:t>
            </w:r>
          </w:p>
          <w:p w14:paraId="69A9FE2E">
            <w:pPr>
              <w:spacing w:line="360" w:lineRule="exact"/>
              <w:jc w:val="left"/>
              <w:rPr>
                <w:rFonts w:hint="eastAsia" w:ascii="宋体" w:hAnsi="宋体"/>
                <w:szCs w:val="21"/>
              </w:rPr>
            </w:pPr>
            <w:r>
              <w:rPr>
                <w:rFonts w:hint="eastAsia" w:ascii="宋体" w:hAnsi="宋体"/>
                <w:szCs w:val="21"/>
              </w:rPr>
              <w:t>（3）具有建设行政主管部门颁发的“</w:t>
            </w:r>
            <w:r>
              <w:rPr>
                <w:rFonts w:hint="eastAsia" w:ascii="宋体" w:hAnsi="宋体"/>
                <w:b/>
                <w:bCs/>
                <w:szCs w:val="21"/>
              </w:rPr>
              <w:t>公路工程</w:t>
            </w:r>
            <w:r>
              <w:rPr>
                <w:rFonts w:hint="eastAsia" w:ascii="宋体" w:hAnsi="宋体"/>
                <w:szCs w:val="21"/>
              </w:rPr>
              <w:t>”专业《</w:t>
            </w:r>
            <w:r>
              <w:rPr>
                <w:rFonts w:hint="eastAsia" w:ascii="宋体" w:hAnsi="宋体"/>
                <w:b/>
                <w:bCs/>
                <w:szCs w:val="21"/>
                <w:lang w:val="en-US" w:eastAsia="zh-CN"/>
              </w:rPr>
              <w:t>二</w:t>
            </w:r>
            <w:r>
              <w:rPr>
                <w:rFonts w:hint="eastAsia" w:ascii="宋体" w:hAnsi="宋体"/>
                <w:b/>
                <w:bCs/>
                <w:szCs w:val="21"/>
              </w:rPr>
              <w:t>级建造师注册证书</w:t>
            </w:r>
            <w:r>
              <w:rPr>
                <w:rFonts w:hint="eastAsia" w:ascii="宋体" w:hAnsi="宋体"/>
                <w:szCs w:val="21"/>
              </w:rPr>
              <w:t>》，且现注册单位为投标人；</w:t>
            </w:r>
          </w:p>
          <w:p w14:paraId="16334460">
            <w:pPr>
              <w:spacing w:line="360" w:lineRule="exact"/>
              <w:jc w:val="left"/>
              <w:rPr>
                <w:rFonts w:ascii="宋体" w:hAnsi="宋体"/>
                <w:szCs w:val="21"/>
              </w:rPr>
            </w:pPr>
            <w:r>
              <w:rPr>
                <w:rFonts w:hint="eastAsia" w:ascii="宋体" w:hAnsi="宋体"/>
                <w:szCs w:val="21"/>
              </w:rPr>
              <w:t>（4）具有交通运输主管部门颁</w:t>
            </w:r>
            <w:r>
              <w:rPr>
                <w:rFonts w:hint="eastAsia" w:ascii="宋体" w:hAnsi="宋体"/>
                <w:szCs w:val="21"/>
                <w:highlight w:val="none"/>
              </w:rPr>
              <w:t>发</w:t>
            </w:r>
            <w:r>
              <w:rPr>
                <w:rFonts w:hint="eastAsia" w:ascii="宋体" w:hAnsi="宋体"/>
                <w:szCs w:val="21"/>
              </w:rPr>
              <w:t>的有效的</w:t>
            </w:r>
            <w:r>
              <w:rPr>
                <w:rFonts w:hint="eastAsia" w:ascii="宋体" w:hAnsi="宋体"/>
                <w:b/>
                <w:bCs/>
                <w:szCs w:val="21"/>
              </w:rPr>
              <w:t>B类安全生产考核合格证书</w:t>
            </w:r>
          </w:p>
        </w:tc>
        <w:tc>
          <w:tcPr>
            <w:tcW w:w="1857" w:type="dxa"/>
            <w:vMerge w:val="restart"/>
            <w:noWrap w:val="0"/>
            <w:vAlign w:val="center"/>
          </w:tcPr>
          <w:p w14:paraId="521D06BE">
            <w:pPr>
              <w:tabs>
                <w:tab w:val="left" w:pos="540"/>
              </w:tabs>
              <w:spacing w:line="400" w:lineRule="exact"/>
              <w:rPr>
                <w:rFonts w:hint="eastAsia"/>
                <w:szCs w:val="21"/>
              </w:rPr>
            </w:pPr>
            <w:r>
              <w:rPr>
                <w:rFonts w:hint="eastAsia" w:ascii="宋体" w:hAnsi="宋体"/>
                <w:szCs w:val="21"/>
              </w:rPr>
              <w:t>无在岗项目(指目前未在其他项目上任职，或虽在其他项目上任职但本项目中标后能够从该项目撤离)</w:t>
            </w:r>
          </w:p>
        </w:tc>
      </w:tr>
      <w:tr w14:paraId="63624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1134" w:type="dxa"/>
            <w:noWrap w:val="0"/>
            <w:vAlign w:val="center"/>
          </w:tcPr>
          <w:p w14:paraId="194CB5A4">
            <w:pPr>
              <w:snapToGrid w:val="0"/>
              <w:jc w:val="center"/>
              <w:rPr>
                <w:rFonts w:ascii="宋体" w:hAnsi="宋体"/>
                <w:szCs w:val="21"/>
              </w:rPr>
            </w:pPr>
            <w:r>
              <w:rPr>
                <w:rFonts w:hint="eastAsia" w:ascii="宋体" w:hAnsi="宋体"/>
                <w:szCs w:val="21"/>
              </w:rPr>
              <w:t>项目总工</w:t>
            </w:r>
          </w:p>
        </w:tc>
        <w:tc>
          <w:tcPr>
            <w:tcW w:w="847" w:type="dxa"/>
            <w:noWrap w:val="0"/>
            <w:vAlign w:val="center"/>
          </w:tcPr>
          <w:p w14:paraId="34433FE0">
            <w:pPr>
              <w:snapToGrid w:val="0"/>
              <w:jc w:val="center"/>
              <w:rPr>
                <w:rFonts w:ascii="宋体" w:hAnsi="宋体"/>
                <w:szCs w:val="21"/>
              </w:rPr>
            </w:pPr>
            <w:r>
              <w:rPr>
                <w:rFonts w:hint="eastAsia" w:ascii="宋体" w:hAnsi="宋体"/>
                <w:szCs w:val="21"/>
              </w:rPr>
              <w:t>1</w:t>
            </w:r>
          </w:p>
        </w:tc>
        <w:tc>
          <w:tcPr>
            <w:tcW w:w="5285" w:type="dxa"/>
            <w:noWrap w:val="0"/>
            <w:vAlign w:val="center"/>
          </w:tcPr>
          <w:p w14:paraId="416F3903">
            <w:pPr>
              <w:adjustRightInd w:val="0"/>
              <w:snapToGrid w:val="0"/>
              <w:rPr>
                <w:rFonts w:ascii="宋体" w:hAnsi="宋体"/>
                <w:szCs w:val="21"/>
              </w:rPr>
            </w:pPr>
            <w:r>
              <w:rPr>
                <w:rFonts w:hint="eastAsia" w:ascii="宋体" w:hAnsi="宋体"/>
                <w:szCs w:val="21"/>
              </w:rPr>
              <w:t>（1）</w:t>
            </w:r>
            <w:r>
              <w:rPr>
                <w:rFonts w:ascii="宋体" w:hAnsi="宋体"/>
                <w:szCs w:val="21"/>
              </w:rPr>
              <w:t>投标人</w:t>
            </w:r>
            <w:r>
              <w:rPr>
                <w:rFonts w:ascii="宋体" w:hAnsi="宋体"/>
                <w:b/>
                <w:bCs/>
                <w:szCs w:val="21"/>
              </w:rPr>
              <w:t>自有人员</w:t>
            </w:r>
            <w:r>
              <w:rPr>
                <w:rFonts w:hint="eastAsia" w:ascii="宋体" w:hAnsi="宋体" w:cs="宋体"/>
                <w:szCs w:val="21"/>
              </w:rPr>
              <w:t>（以联合体形式投标，项目总工须为联合体牵头人自有人员）</w:t>
            </w:r>
            <w:r>
              <w:rPr>
                <w:rFonts w:hint="eastAsia" w:ascii="宋体" w:hAnsi="宋体"/>
                <w:szCs w:val="21"/>
              </w:rPr>
              <w:t>；</w:t>
            </w:r>
          </w:p>
          <w:p w14:paraId="562F24DC">
            <w:pPr>
              <w:spacing w:line="360" w:lineRule="exact"/>
              <w:jc w:val="left"/>
              <w:rPr>
                <w:rFonts w:hint="eastAsia"/>
                <w:bCs/>
                <w:szCs w:val="21"/>
              </w:rPr>
            </w:pPr>
            <w:r>
              <w:rPr>
                <w:rFonts w:hint="eastAsia" w:ascii="宋体" w:hAnsi="宋体"/>
                <w:szCs w:val="21"/>
              </w:rPr>
              <w:t>（</w:t>
            </w:r>
            <w:r>
              <w:rPr>
                <w:rFonts w:ascii="宋体" w:hAnsi="宋体"/>
                <w:szCs w:val="21"/>
              </w:rPr>
              <w:t>2</w:t>
            </w:r>
            <w:r>
              <w:rPr>
                <w:rFonts w:hint="eastAsia" w:ascii="宋体" w:hAnsi="宋体"/>
                <w:szCs w:val="21"/>
              </w:rPr>
              <w:t>）</w:t>
            </w:r>
            <w:r>
              <w:rPr>
                <w:rFonts w:hint="eastAsia"/>
                <w:bCs/>
                <w:szCs w:val="21"/>
              </w:rPr>
              <w:t>具有公路工程相关专业</w:t>
            </w:r>
            <w:r>
              <w:rPr>
                <w:rFonts w:hint="eastAsia"/>
                <w:b/>
                <w:szCs w:val="21"/>
              </w:rPr>
              <w:t>高级</w:t>
            </w:r>
            <w:r>
              <w:rPr>
                <w:rFonts w:hint="eastAsia"/>
                <w:b/>
                <w:bCs/>
                <w:szCs w:val="21"/>
              </w:rPr>
              <w:t>工程师</w:t>
            </w:r>
            <w:r>
              <w:rPr>
                <w:rFonts w:hint="eastAsia"/>
                <w:bCs/>
                <w:szCs w:val="21"/>
              </w:rPr>
              <w:t>职称</w:t>
            </w:r>
          </w:p>
        </w:tc>
        <w:tc>
          <w:tcPr>
            <w:tcW w:w="1857" w:type="dxa"/>
            <w:vMerge w:val="continue"/>
            <w:noWrap w:val="0"/>
            <w:vAlign w:val="center"/>
          </w:tcPr>
          <w:p w14:paraId="29ECC413">
            <w:pPr>
              <w:tabs>
                <w:tab w:val="left" w:pos="540"/>
              </w:tabs>
              <w:spacing w:line="400" w:lineRule="exact"/>
              <w:ind w:firstLine="411" w:firstLineChars="196"/>
              <w:rPr>
                <w:rFonts w:hint="eastAsia"/>
                <w:szCs w:val="21"/>
              </w:rPr>
            </w:pPr>
          </w:p>
        </w:tc>
      </w:tr>
    </w:tbl>
    <w:p w14:paraId="5C22378A">
      <w:pPr>
        <w:rPr>
          <w:rFonts w:hint="eastAsia"/>
        </w:rPr>
      </w:pPr>
    </w:p>
    <w:p w14:paraId="5FCECE5F">
      <w:pPr>
        <w:rPr>
          <w:rFonts w:hint="eastAsia"/>
        </w:rPr>
      </w:pPr>
      <w:r>
        <w:rPr>
          <w:rFonts w:hint="eastAsia"/>
        </w:rPr>
        <w:t>注：1.本表所列人员不得互相兼职。</w:t>
      </w:r>
    </w:p>
    <w:p w14:paraId="28612F99">
      <w:pPr>
        <w:ind w:firstLine="420" w:firstLineChars="200"/>
        <w:rPr>
          <w:rFonts w:hint="default" w:eastAsia="宋体"/>
          <w:lang w:val="en-US" w:eastAsia="zh-CN"/>
        </w:rPr>
      </w:pPr>
      <w:r>
        <w:rPr>
          <w:rFonts w:hint="eastAsia"/>
          <w:lang w:val="en-US" w:eastAsia="zh-CN"/>
        </w:rPr>
        <w:t>2.“投标人自有人员”指现由投标人为其申报社会保险登记，并为其缴纳社会保险费的人员；如拟任职人员已退休，指现由投标人正式聘用的退休人员。</w:t>
      </w:r>
    </w:p>
    <w:p w14:paraId="3492553D">
      <w:pPr>
        <w:ind w:firstLine="420" w:firstLineChars="200"/>
      </w:pPr>
      <w:r>
        <w:rPr>
          <w:rFonts w:hint="eastAsia" w:ascii="宋体" w:hAnsi="宋体" w:cs="宋体"/>
          <w:lang w:val="en-US" w:eastAsia="zh-CN"/>
        </w:rPr>
        <w:t>3</w:t>
      </w:r>
      <w:r>
        <w:rPr>
          <w:rFonts w:hint="eastAsia" w:ascii="宋体" w:hAnsi="宋体" w:cs="宋体"/>
        </w:rPr>
        <w:t>.公</w:t>
      </w:r>
      <w:r>
        <w:rPr>
          <w:rFonts w:hint="eastAsia"/>
        </w:rPr>
        <w:t>路工程相关专业职称包括公路工程、桥梁工程、公路与桥梁工程、交通土建、隧道（地下结构）工程、交通工程等专业职称。如职称证中无专业，则在投标文件中必须附毕业证书，且毕业证上的专业为公路工程、桥梁工程、公路与桥梁工程、交通土建、隧道（地下结构）工程、交通工程等专业。</w:t>
      </w:r>
    </w:p>
    <w:p w14:paraId="40572D10">
      <w:pPr>
        <w:ind w:firstLine="420" w:firstLineChars="200"/>
      </w:pPr>
    </w:p>
    <w:p w14:paraId="22172A2E">
      <w:pPr>
        <w:rPr>
          <w:rFonts w:hint="eastAsia" w:ascii="宋体" w:hAnsi="宋体"/>
          <w:b w:val="0"/>
        </w:rPr>
      </w:pPr>
      <w:r>
        <w:rPr>
          <w:rFonts w:hint="eastAsia" w:ascii="宋体" w:hAnsi="宋体"/>
          <w:b w:val="0"/>
        </w:rPr>
        <w:br w:type="page"/>
      </w:r>
    </w:p>
    <w:p w14:paraId="1E0B8646">
      <w:pPr>
        <w:pStyle w:val="15"/>
        <w:tabs>
          <w:tab w:val="left" w:pos="426"/>
        </w:tabs>
        <w:spacing w:line="360" w:lineRule="auto"/>
        <w:jc w:val="left"/>
        <w:outlineLvl w:val="2"/>
        <w:rPr>
          <w:rFonts w:ascii="宋体" w:hAnsi="宋体"/>
          <w:b w:val="0"/>
        </w:rPr>
      </w:pPr>
      <w:r>
        <w:rPr>
          <w:rFonts w:hint="eastAsia" w:ascii="宋体" w:hAnsi="宋体"/>
          <w:b w:val="0"/>
        </w:rPr>
        <w:t>6.评标办法</w:t>
      </w:r>
    </w:p>
    <w:bookmarkEnd w:id="49"/>
    <w:bookmarkEnd w:id="50"/>
    <w:p w14:paraId="4F57813A">
      <w:pPr>
        <w:pStyle w:val="3"/>
        <w:keepNext w:val="0"/>
        <w:keepLines w:val="0"/>
        <w:spacing w:before="0" w:after="0" w:line="415" w:lineRule="auto"/>
        <w:jc w:val="left"/>
        <w:rPr>
          <w:rFonts w:eastAsia="黑体"/>
          <w:b w:val="0"/>
          <w:bCs w:val="0"/>
        </w:rPr>
      </w:pPr>
      <w:bookmarkStart w:id="61" w:name="_Toc30447"/>
      <w:bookmarkStart w:id="62" w:name="_Toc197967128"/>
      <w:bookmarkStart w:id="63" w:name="_Toc197960549"/>
      <w:bookmarkStart w:id="64" w:name="_Toc197967274"/>
      <w:bookmarkStart w:id="65" w:name="_Toc197950807"/>
      <w:bookmarkStart w:id="66" w:name="_Toc197960497"/>
      <w:bookmarkStart w:id="67" w:name="_Toc197950686"/>
      <w:bookmarkStart w:id="68" w:name="_Toc197965612"/>
      <w:bookmarkStart w:id="69" w:name="_Toc197951592"/>
      <w:r>
        <w:rPr>
          <w:rFonts w:eastAsia="黑体"/>
          <w:b w:val="0"/>
          <w:bCs w:val="0"/>
        </w:rPr>
        <w:t>评标办法前附表</w:t>
      </w:r>
      <w:bookmarkEnd w:id="61"/>
    </w:p>
    <w:tbl>
      <w:tblPr>
        <w:tblStyle w:val="11"/>
        <w:tblW w:w="0" w:type="auto"/>
        <w:tblInd w:w="0" w:type="dxa"/>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1394"/>
        <w:gridCol w:w="7159"/>
      </w:tblGrid>
      <w:tr w14:paraId="1B144E8E">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blHeader/>
        </w:trPr>
        <w:tc>
          <w:tcPr>
            <w:tcW w:w="2328" w:type="dxa"/>
            <w:gridSpan w:val="2"/>
            <w:tcBorders>
              <w:top w:val="single" w:color="auto" w:sz="4" w:space="0"/>
            </w:tcBorders>
            <w:noWrap w:val="0"/>
            <w:vAlign w:val="center"/>
          </w:tcPr>
          <w:p w14:paraId="7C4C7E2B">
            <w:pPr>
              <w:autoSpaceDE w:val="0"/>
              <w:autoSpaceDN w:val="0"/>
              <w:adjustRightInd w:val="0"/>
              <w:spacing w:line="400" w:lineRule="exact"/>
              <w:jc w:val="center"/>
              <w:rPr>
                <w:bCs/>
                <w:szCs w:val="21"/>
                <w:lang w:val="zh-CN"/>
              </w:rPr>
            </w:pPr>
            <w:r>
              <w:rPr>
                <w:bCs/>
                <w:szCs w:val="21"/>
                <w:lang w:val="zh-CN"/>
              </w:rPr>
              <w:t>条款号</w:t>
            </w:r>
          </w:p>
        </w:tc>
        <w:tc>
          <w:tcPr>
            <w:tcW w:w="7159" w:type="dxa"/>
            <w:tcBorders>
              <w:top w:val="single" w:color="auto" w:sz="4" w:space="0"/>
            </w:tcBorders>
            <w:noWrap w:val="0"/>
            <w:vAlign w:val="center"/>
          </w:tcPr>
          <w:p w14:paraId="61CB5C5B">
            <w:pPr>
              <w:autoSpaceDE w:val="0"/>
              <w:autoSpaceDN w:val="0"/>
              <w:adjustRightInd w:val="0"/>
              <w:spacing w:line="400" w:lineRule="exact"/>
              <w:jc w:val="center"/>
              <w:rPr>
                <w:bCs/>
                <w:szCs w:val="21"/>
                <w:lang w:val="zh-CN"/>
              </w:rPr>
            </w:pPr>
            <w:r>
              <w:rPr>
                <w:bCs/>
                <w:szCs w:val="21"/>
                <w:lang w:val="zh-CN"/>
              </w:rPr>
              <w:t>评审因素与标准</w:t>
            </w:r>
          </w:p>
        </w:tc>
      </w:tr>
      <w:tr w14:paraId="72F14A28">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34" w:type="dxa"/>
            <w:noWrap w:val="0"/>
            <w:vAlign w:val="center"/>
          </w:tcPr>
          <w:p w14:paraId="493D0722">
            <w:pPr>
              <w:autoSpaceDE w:val="0"/>
              <w:autoSpaceDN w:val="0"/>
              <w:adjustRightInd w:val="0"/>
              <w:spacing w:line="400" w:lineRule="exact"/>
              <w:jc w:val="center"/>
              <w:rPr>
                <w:bCs/>
                <w:szCs w:val="21"/>
                <w:lang w:val="zh-CN"/>
              </w:rPr>
            </w:pPr>
            <w:r>
              <w:rPr>
                <w:bCs/>
                <w:szCs w:val="21"/>
                <w:lang w:val="zh-CN"/>
              </w:rPr>
              <w:t>1</w:t>
            </w:r>
          </w:p>
        </w:tc>
        <w:tc>
          <w:tcPr>
            <w:tcW w:w="1394" w:type="dxa"/>
            <w:noWrap w:val="0"/>
            <w:vAlign w:val="center"/>
          </w:tcPr>
          <w:p w14:paraId="18A4B783">
            <w:pPr>
              <w:autoSpaceDE w:val="0"/>
              <w:autoSpaceDN w:val="0"/>
              <w:adjustRightInd w:val="0"/>
              <w:spacing w:line="400" w:lineRule="exact"/>
              <w:jc w:val="center"/>
              <w:rPr>
                <w:bCs/>
                <w:szCs w:val="21"/>
                <w:lang w:val="zh-CN"/>
              </w:rPr>
            </w:pPr>
            <w:r>
              <w:rPr>
                <w:bCs/>
                <w:szCs w:val="21"/>
                <w:lang w:val="zh-CN"/>
              </w:rPr>
              <w:t>评标办法</w:t>
            </w:r>
          </w:p>
        </w:tc>
        <w:tc>
          <w:tcPr>
            <w:tcW w:w="7159" w:type="dxa"/>
            <w:noWrap w:val="0"/>
            <w:vAlign w:val="center"/>
          </w:tcPr>
          <w:p w14:paraId="2C7E9849">
            <w:pPr>
              <w:autoSpaceDE w:val="0"/>
              <w:autoSpaceDN w:val="0"/>
              <w:adjustRightInd w:val="0"/>
              <w:spacing w:line="320" w:lineRule="exact"/>
              <w:ind w:firstLine="420" w:firstLineChars="200"/>
              <w:rPr>
                <w:rFonts w:hint="eastAsia" w:ascii="宋体" w:hAnsi="宋体"/>
                <w:szCs w:val="21"/>
              </w:rPr>
            </w:pPr>
            <w:r>
              <w:rPr>
                <w:rFonts w:hint="eastAsia" w:ascii="宋体" w:hAnsi="宋体"/>
                <w:szCs w:val="21"/>
              </w:rPr>
              <w:t>本次评标采用技术评分最低标价法。评标委员会对满足招标文件实质性要求的投标文件的施工组织设计、主要人员、企业业绩等因素进行评分，按照得分由高到低排序，对排名在招标文件规定数量以内的投标人的报价文件进行评审，按照评标价由低到高的顺序推荐中标候选人，但投标报价低于其成本的除外。</w:t>
            </w:r>
          </w:p>
          <w:p w14:paraId="422CB323">
            <w:pPr>
              <w:autoSpaceDE w:val="0"/>
              <w:autoSpaceDN w:val="0"/>
              <w:adjustRightInd w:val="0"/>
              <w:spacing w:line="360" w:lineRule="exact"/>
              <w:ind w:firstLine="420" w:firstLineChars="200"/>
              <w:rPr>
                <w:rFonts w:ascii="宋体" w:hAnsi="宋体" w:cs="宋体"/>
              </w:rPr>
            </w:pPr>
            <w:r>
              <w:rPr>
                <w:rFonts w:hint="eastAsia" w:ascii="宋体" w:hAnsi="宋体"/>
                <w:szCs w:val="21"/>
              </w:rPr>
              <w:t>评标价相等时，投标文件第一个信封（商务及技术文件）排序在前的投标人优先。</w:t>
            </w:r>
            <w:r>
              <w:rPr>
                <w:rFonts w:hint="eastAsia" w:ascii="宋体" w:hAnsi="宋体" w:cs="宋体"/>
              </w:rPr>
              <w:t>如同一标段出现多名投标人的第一个信封（商务及技术文件）综合得分相等时，则按照以下所列顺位在前的优先：</w:t>
            </w:r>
          </w:p>
          <w:p w14:paraId="30D1E732">
            <w:pPr>
              <w:autoSpaceDE w:val="0"/>
              <w:autoSpaceDN w:val="0"/>
              <w:adjustRightInd w:val="0"/>
              <w:spacing w:line="360" w:lineRule="exact"/>
              <w:ind w:firstLine="420" w:firstLineChars="200"/>
              <w:rPr>
                <w:rFonts w:ascii="宋体" w:hAnsi="宋体" w:cs="宋体"/>
              </w:rPr>
            </w:pPr>
            <w:r>
              <w:rPr>
                <w:rFonts w:hint="eastAsia" w:ascii="宋体" w:hAnsi="宋体" w:cs="宋体"/>
              </w:rPr>
              <w:t>a.业绩得分较高者；</w:t>
            </w:r>
          </w:p>
          <w:p w14:paraId="310348EC">
            <w:pPr>
              <w:autoSpaceDE w:val="0"/>
              <w:autoSpaceDN w:val="0"/>
              <w:adjustRightInd w:val="0"/>
              <w:spacing w:line="360" w:lineRule="exact"/>
              <w:ind w:firstLine="420" w:firstLineChars="200"/>
              <w:rPr>
                <w:rFonts w:ascii="宋体" w:hAnsi="宋体" w:cs="宋体"/>
              </w:rPr>
            </w:pPr>
            <w:r>
              <w:rPr>
                <w:rFonts w:hint="eastAsia" w:ascii="宋体" w:hAnsi="宋体" w:cs="宋体"/>
              </w:rPr>
              <w:t>b.履约信誉得分较高者；</w:t>
            </w:r>
          </w:p>
          <w:p w14:paraId="11812DF4">
            <w:pPr>
              <w:autoSpaceDE w:val="0"/>
              <w:autoSpaceDN w:val="0"/>
              <w:adjustRightInd w:val="0"/>
              <w:spacing w:line="360" w:lineRule="exact"/>
              <w:ind w:firstLine="420" w:firstLineChars="200"/>
              <w:rPr>
                <w:rFonts w:ascii="宋体" w:hAnsi="宋体" w:cs="宋体"/>
              </w:rPr>
            </w:pPr>
            <w:r>
              <w:rPr>
                <w:rFonts w:hint="eastAsia" w:ascii="宋体" w:hAnsi="宋体" w:cs="宋体"/>
              </w:rPr>
              <w:t>c.施工组织设计得分较高者；</w:t>
            </w:r>
          </w:p>
          <w:p w14:paraId="62A945DF">
            <w:pPr>
              <w:autoSpaceDE w:val="0"/>
              <w:autoSpaceDN w:val="0"/>
              <w:adjustRightInd w:val="0"/>
              <w:spacing w:line="360" w:lineRule="exact"/>
              <w:ind w:firstLine="420" w:firstLineChars="200"/>
              <w:rPr>
                <w:rFonts w:ascii="宋体" w:hAnsi="宋体" w:cs="宋体"/>
              </w:rPr>
            </w:pPr>
            <w:r>
              <w:rPr>
                <w:rFonts w:hint="eastAsia" w:ascii="宋体" w:hAnsi="宋体" w:cs="宋体"/>
              </w:rPr>
              <w:t xml:space="preserve">d.主要人员得分较高者； </w:t>
            </w:r>
          </w:p>
          <w:p w14:paraId="00F6F8B1">
            <w:pPr>
              <w:autoSpaceDE w:val="0"/>
              <w:autoSpaceDN w:val="0"/>
              <w:adjustRightInd w:val="0"/>
              <w:spacing w:line="320" w:lineRule="exact"/>
              <w:ind w:firstLine="420" w:firstLineChars="200"/>
              <w:rPr>
                <w:rFonts w:hint="eastAsia" w:ascii="宋体" w:hAnsi="宋体" w:cs="宋体"/>
              </w:rPr>
            </w:pPr>
            <w:r>
              <w:rPr>
                <w:rFonts w:hint="eastAsia" w:ascii="宋体" w:hAnsi="宋体" w:cs="宋体"/>
              </w:rPr>
              <w:t>若以上各项评分因素得分都相等，则通过评委会投票表决，推荐票数多的投标人评分排序在先。</w:t>
            </w:r>
          </w:p>
          <w:p w14:paraId="6BAFA554">
            <w:pPr>
              <w:autoSpaceDE w:val="0"/>
              <w:autoSpaceDN w:val="0"/>
              <w:adjustRightInd w:val="0"/>
              <w:spacing w:line="360" w:lineRule="exact"/>
              <w:ind w:firstLine="420" w:firstLineChars="200"/>
              <w:rPr>
                <w:rFonts w:hint="eastAsia"/>
                <w:lang w:val="zh-CN"/>
              </w:rPr>
            </w:pPr>
            <w:r>
              <w:rPr>
                <w:rFonts w:hint="eastAsia" w:ascii="宋体" w:hAnsi="宋体" w:eastAsia="宋体" w:cs="Times New Roman"/>
                <w:szCs w:val="21"/>
                <w:lang w:val="zh-CN"/>
              </w:rPr>
              <w:t>每个投标人允许按评标顺序中1个标段，</w:t>
            </w:r>
            <w:r>
              <w:rPr>
                <w:rFonts w:hint="eastAsia" w:ascii="宋体" w:hAnsi="宋体" w:eastAsia="宋体" w:cs="Times New Roman"/>
                <w:szCs w:val="21"/>
                <w:lang w:val="en-US" w:eastAsia="zh-CN"/>
              </w:rPr>
              <w:t>在前面标段被推荐为中标候选人的投标人（包括联合体各方），在后续标段中，无论该中标候选人（包括联合体各方）以自己名义单独或参加其他联合体投标，均不参加该后续标段的中标候选人推荐。</w:t>
            </w:r>
            <w:r>
              <w:rPr>
                <w:rFonts w:hint="eastAsia" w:ascii="宋体" w:hAnsi="宋体" w:eastAsia="宋体" w:cs="Times New Roman"/>
                <w:szCs w:val="21"/>
                <w:lang w:val="zh-CN"/>
              </w:rPr>
              <w:t>评标顺序为LY01标段→LY02标段→LY03标段</w:t>
            </w:r>
          </w:p>
        </w:tc>
      </w:tr>
      <w:tr w14:paraId="38D56192">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934" w:type="dxa"/>
            <w:tcBorders>
              <w:top w:val="single" w:color="auto" w:sz="4" w:space="0"/>
            </w:tcBorders>
            <w:noWrap w:val="0"/>
            <w:vAlign w:val="center"/>
          </w:tcPr>
          <w:p w14:paraId="371ABF41">
            <w:pPr>
              <w:autoSpaceDE w:val="0"/>
              <w:autoSpaceDN w:val="0"/>
              <w:adjustRightInd w:val="0"/>
              <w:spacing w:line="400" w:lineRule="exact"/>
              <w:jc w:val="center"/>
              <w:rPr>
                <w:bCs/>
                <w:szCs w:val="21"/>
                <w:lang w:val="zh-CN"/>
              </w:rPr>
            </w:pPr>
            <w:r>
              <w:rPr>
                <w:bCs/>
                <w:szCs w:val="21"/>
                <w:lang w:val="zh-CN"/>
              </w:rPr>
              <w:t>2.1.1</w:t>
            </w:r>
          </w:p>
          <w:p w14:paraId="4C13ED30">
            <w:pPr>
              <w:autoSpaceDE w:val="0"/>
              <w:autoSpaceDN w:val="0"/>
              <w:adjustRightInd w:val="0"/>
              <w:spacing w:line="400" w:lineRule="exact"/>
              <w:jc w:val="center"/>
              <w:rPr>
                <w:bCs/>
                <w:szCs w:val="21"/>
                <w:lang w:val="zh-CN"/>
              </w:rPr>
            </w:pPr>
            <w:r>
              <w:rPr>
                <w:bCs/>
                <w:szCs w:val="21"/>
                <w:lang w:val="zh-CN"/>
              </w:rPr>
              <w:t>2.1.3</w:t>
            </w:r>
          </w:p>
        </w:tc>
        <w:tc>
          <w:tcPr>
            <w:tcW w:w="1394" w:type="dxa"/>
            <w:tcBorders>
              <w:top w:val="single" w:color="auto" w:sz="4" w:space="0"/>
            </w:tcBorders>
            <w:noWrap w:val="0"/>
            <w:vAlign w:val="center"/>
          </w:tcPr>
          <w:p w14:paraId="0A45BD98">
            <w:pPr>
              <w:autoSpaceDE w:val="0"/>
              <w:autoSpaceDN w:val="0"/>
              <w:adjustRightInd w:val="0"/>
              <w:spacing w:line="400" w:lineRule="exact"/>
              <w:jc w:val="center"/>
              <w:rPr>
                <w:bCs/>
                <w:szCs w:val="21"/>
                <w:lang w:val="zh-CN"/>
              </w:rPr>
            </w:pPr>
            <w:r>
              <w:rPr>
                <w:rFonts w:eastAsia="黑体"/>
                <w:szCs w:val="21"/>
              </w:rPr>
              <w:t>第一</w:t>
            </w:r>
            <w:r>
              <w:rPr>
                <w:rFonts w:hint="eastAsia" w:eastAsia="黑体"/>
                <w:szCs w:val="21"/>
              </w:rPr>
              <w:t>个</w:t>
            </w:r>
            <w:r>
              <w:rPr>
                <w:rFonts w:eastAsia="黑体"/>
                <w:szCs w:val="21"/>
              </w:rPr>
              <w:t>信封</w:t>
            </w:r>
          </w:p>
          <w:p w14:paraId="52348ACA">
            <w:pPr>
              <w:autoSpaceDE w:val="0"/>
              <w:autoSpaceDN w:val="0"/>
              <w:adjustRightInd w:val="0"/>
              <w:spacing w:line="400" w:lineRule="exact"/>
              <w:jc w:val="center"/>
              <w:rPr>
                <w:bCs/>
                <w:szCs w:val="21"/>
                <w:lang w:val="zh-CN"/>
              </w:rPr>
            </w:pPr>
            <w:r>
              <w:rPr>
                <w:bCs/>
                <w:szCs w:val="21"/>
                <w:lang w:val="zh-CN"/>
              </w:rPr>
              <w:t>形式评审</w:t>
            </w:r>
          </w:p>
          <w:p w14:paraId="784CB5CE">
            <w:pPr>
              <w:autoSpaceDE w:val="0"/>
              <w:autoSpaceDN w:val="0"/>
              <w:adjustRightInd w:val="0"/>
              <w:spacing w:line="400" w:lineRule="exact"/>
              <w:jc w:val="center"/>
              <w:rPr>
                <w:bCs/>
                <w:szCs w:val="21"/>
                <w:lang w:val="zh-CN"/>
              </w:rPr>
            </w:pPr>
            <w:r>
              <w:rPr>
                <w:bCs/>
                <w:szCs w:val="21"/>
                <w:lang w:val="zh-CN"/>
              </w:rPr>
              <w:t>与响应性</w:t>
            </w:r>
          </w:p>
          <w:p w14:paraId="1A47EFB7">
            <w:pPr>
              <w:autoSpaceDE w:val="0"/>
              <w:autoSpaceDN w:val="0"/>
              <w:adjustRightInd w:val="0"/>
              <w:spacing w:line="400" w:lineRule="exact"/>
              <w:jc w:val="center"/>
              <w:rPr>
                <w:bCs/>
                <w:szCs w:val="21"/>
                <w:lang w:val="zh-CN"/>
              </w:rPr>
            </w:pPr>
            <w:r>
              <w:rPr>
                <w:bCs/>
                <w:szCs w:val="21"/>
                <w:lang w:val="zh-CN"/>
              </w:rPr>
              <w:t>评审标准</w:t>
            </w:r>
          </w:p>
        </w:tc>
        <w:tc>
          <w:tcPr>
            <w:tcW w:w="7159" w:type="dxa"/>
            <w:tcBorders>
              <w:top w:val="single" w:color="auto" w:sz="4" w:space="0"/>
              <w:bottom w:val="single" w:color="auto" w:sz="4" w:space="0"/>
            </w:tcBorders>
            <w:noWrap w:val="0"/>
            <w:vAlign w:val="center"/>
          </w:tcPr>
          <w:p w14:paraId="077AAD0D">
            <w:pPr>
              <w:adjustRightInd w:val="0"/>
              <w:snapToGrid w:val="0"/>
              <w:rPr>
                <w:rFonts w:eastAsia="黑体"/>
                <w:szCs w:val="21"/>
              </w:rPr>
            </w:pPr>
            <w:r>
              <w:rPr>
                <w:rFonts w:eastAsia="黑体"/>
                <w:szCs w:val="21"/>
              </w:rPr>
              <w:t>第一</w:t>
            </w:r>
            <w:r>
              <w:rPr>
                <w:rFonts w:hint="eastAsia" w:eastAsia="黑体"/>
                <w:szCs w:val="21"/>
              </w:rPr>
              <w:t>个</w:t>
            </w:r>
            <w:r>
              <w:rPr>
                <w:rFonts w:eastAsia="黑体"/>
                <w:szCs w:val="21"/>
              </w:rPr>
              <w:t>信封（商务及技术文件）</w:t>
            </w:r>
          </w:p>
          <w:p w14:paraId="52196823">
            <w:pPr>
              <w:autoSpaceDE w:val="0"/>
              <w:autoSpaceDN w:val="0"/>
              <w:adjustRightInd w:val="0"/>
              <w:spacing w:line="320" w:lineRule="exact"/>
              <w:ind w:firstLine="420" w:firstLineChars="200"/>
              <w:jc w:val="left"/>
              <w:rPr>
                <w:rFonts w:ascii="宋体" w:hAnsi="宋体"/>
                <w:bCs/>
                <w:szCs w:val="21"/>
                <w:lang w:val="zh-CN"/>
              </w:rPr>
            </w:pPr>
            <w:r>
              <w:rPr>
                <w:rFonts w:ascii="宋体" w:hAnsi="宋体"/>
                <w:bCs/>
                <w:szCs w:val="21"/>
                <w:lang w:val="zh-CN"/>
              </w:rPr>
              <w:t>(1)投标文件按照招标文件规定的格式、内容填写，字迹清晰可辨：</w:t>
            </w:r>
          </w:p>
          <w:p w14:paraId="429D26AC">
            <w:pPr>
              <w:autoSpaceDE w:val="0"/>
              <w:autoSpaceDN w:val="0"/>
              <w:adjustRightInd w:val="0"/>
              <w:spacing w:line="320" w:lineRule="exact"/>
              <w:ind w:firstLine="420" w:firstLineChars="200"/>
              <w:jc w:val="left"/>
              <w:rPr>
                <w:rFonts w:ascii="宋体" w:hAnsi="宋体"/>
                <w:bCs/>
                <w:szCs w:val="21"/>
                <w:lang w:val="zh-CN"/>
              </w:rPr>
            </w:pPr>
            <w:r>
              <w:rPr>
                <w:rFonts w:ascii="宋体" w:hAnsi="宋体"/>
                <w:bCs/>
                <w:szCs w:val="21"/>
                <w:lang w:val="zh-CN"/>
              </w:rPr>
              <w:t>a.投标函按招标文件规定填报了项目名称、标段号、补遗书编号（如有）、工期、工程质量要求及安全目标；</w:t>
            </w:r>
          </w:p>
          <w:p w14:paraId="4AE81559">
            <w:pPr>
              <w:autoSpaceDE w:val="0"/>
              <w:autoSpaceDN w:val="0"/>
              <w:adjustRightInd w:val="0"/>
              <w:spacing w:line="320" w:lineRule="exact"/>
              <w:ind w:firstLine="420" w:firstLineChars="200"/>
              <w:jc w:val="left"/>
              <w:rPr>
                <w:rFonts w:ascii="宋体" w:hAnsi="宋体"/>
                <w:bCs/>
                <w:szCs w:val="21"/>
                <w:lang w:val="zh-CN"/>
              </w:rPr>
            </w:pPr>
            <w:r>
              <w:rPr>
                <w:rFonts w:ascii="宋体" w:hAnsi="宋体"/>
                <w:bCs/>
                <w:szCs w:val="21"/>
                <w:lang w:val="zh-CN"/>
              </w:rPr>
              <w:t>b.投标函附录的所有数据均符合招标文件规定</w:t>
            </w:r>
            <w:r>
              <w:rPr>
                <w:rFonts w:hint="eastAsia" w:ascii="宋体" w:hAnsi="宋体"/>
                <w:bCs/>
                <w:szCs w:val="21"/>
                <w:lang w:val="zh-CN"/>
              </w:rPr>
              <w:t>；</w:t>
            </w:r>
          </w:p>
          <w:p w14:paraId="74E94628">
            <w:pPr>
              <w:autoSpaceDE w:val="0"/>
              <w:autoSpaceDN w:val="0"/>
              <w:adjustRightInd w:val="0"/>
              <w:spacing w:line="320" w:lineRule="exact"/>
              <w:ind w:firstLine="420" w:firstLineChars="200"/>
              <w:jc w:val="left"/>
              <w:rPr>
                <w:rFonts w:ascii="宋体" w:hAnsi="宋体"/>
                <w:bCs/>
                <w:szCs w:val="21"/>
                <w:lang w:val="zh-CN"/>
              </w:rPr>
            </w:pPr>
            <w:r>
              <w:rPr>
                <w:rFonts w:ascii="宋体" w:hAnsi="宋体"/>
                <w:bCs/>
                <w:szCs w:val="21"/>
                <w:lang w:val="zh-CN"/>
              </w:rPr>
              <w:t>c.投标文件组成齐全完整，内容均按规定填写。</w:t>
            </w:r>
          </w:p>
          <w:p w14:paraId="04C0A6FF">
            <w:pPr>
              <w:autoSpaceDE w:val="0"/>
              <w:autoSpaceDN w:val="0"/>
              <w:adjustRightInd w:val="0"/>
              <w:spacing w:line="320" w:lineRule="exact"/>
              <w:ind w:firstLine="315" w:firstLineChars="150"/>
              <w:rPr>
                <w:lang w:val="zh-CN"/>
              </w:rPr>
            </w:pPr>
            <w:r>
              <w:rPr>
                <w:lang w:val="zh-CN"/>
              </w:rPr>
              <w:t xml:space="preserve"> </w:t>
            </w:r>
            <w:r>
              <w:rPr>
                <w:rFonts w:ascii="宋体" w:hAnsi="宋体"/>
                <w:bCs/>
                <w:szCs w:val="21"/>
                <w:lang w:val="zh-CN"/>
              </w:rPr>
              <w:t>(2)投</w:t>
            </w:r>
            <w:r>
              <w:rPr>
                <w:lang w:val="zh-CN"/>
              </w:rPr>
              <w:t>标文件上法定代表人或其授权代理人的签字、投标人的单位章盖章齐全，符合招标文件规定</w:t>
            </w:r>
            <w:r>
              <w:rPr>
                <w:rFonts w:hint="eastAsia"/>
                <w:lang w:val="zh-CN"/>
              </w:rPr>
              <w:t>。</w:t>
            </w:r>
          </w:p>
          <w:p w14:paraId="46D8E871">
            <w:pPr>
              <w:autoSpaceDE w:val="0"/>
              <w:autoSpaceDN w:val="0"/>
              <w:adjustRightInd w:val="0"/>
              <w:spacing w:line="360" w:lineRule="exact"/>
              <w:ind w:firstLine="420" w:firstLineChars="200"/>
              <w:jc w:val="left"/>
              <w:rPr>
                <w:rFonts w:hint="eastAsia" w:ascii="宋体" w:hAnsi="宋体"/>
                <w:bCs/>
                <w:szCs w:val="21"/>
                <w:lang w:val="zh-CN"/>
              </w:rPr>
            </w:pPr>
            <w:r>
              <w:rPr>
                <w:rFonts w:ascii="宋体" w:hAnsi="宋体"/>
                <w:bCs/>
                <w:szCs w:val="21"/>
                <w:lang w:val="zh-CN"/>
              </w:rPr>
              <w:t>(</w:t>
            </w:r>
            <w:r>
              <w:rPr>
                <w:rFonts w:hint="eastAsia" w:ascii="宋体" w:hAnsi="宋体"/>
                <w:bCs/>
                <w:szCs w:val="21"/>
              </w:rPr>
              <w:t>3</w:t>
            </w:r>
            <w:r>
              <w:rPr>
                <w:rFonts w:ascii="宋体" w:hAnsi="宋体"/>
                <w:bCs/>
                <w:szCs w:val="21"/>
                <w:lang w:val="zh-CN"/>
              </w:rPr>
              <w:t>)</w:t>
            </w:r>
            <w:r>
              <w:rPr>
                <w:rFonts w:hint="eastAsia" w:ascii="宋体" w:hAnsi="宋体"/>
                <w:bCs/>
                <w:szCs w:val="21"/>
                <w:lang w:val="zh-CN"/>
              </w:rPr>
              <w:t>投标人按照招标文件的规定提供了投标保证金：</w:t>
            </w:r>
          </w:p>
          <w:p w14:paraId="55F24FC1">
            <w:pPr>
              <w:autoSpaceDE w:val="0"/>
              <w:autoSpaceDN w:val="0"/>
              <w:adjustRightInd w:val="0"/>
              <w:spacing w:line="360" w:lineRule="exact"/>
              <w:ind w:firstLine="420" w:firstLineChars="200"/>
              <w:jc w:val="left"/>
              <w:rPr>
                <w:rFonts w:hint="eastAsia" w:ascii="宋体"/>
                <w:bCs/>
                <w:highlight w:val="none"/>
                <w:lang w:val="zh-CN" w:eastAsia="zh-CN"/>
              </w:rPr>
            </w:pPr>
            <w:r>
              <w:rPr>
                <w:rFonts w:hint="eastAsia" w:ascii="宋体"/>
                <w:bCs/>
                <w:highlight w:val="none"/>
                <w:lang w:val="zh-CN" w:eastAsia="zh-CN"/>
              </w:rPr>
              <w:t>a.投标保证金金额符合招标文件规定的金额，且投标保证金有效期不少于投标有效期；</w:t>
            </w:r>
          </w:p>
          <w:p w14:paraId="5B6FCCB0">
            <w:pPr>
              <w:adjustRightInd w:val="0"/>
              <w:snapToGrid w:val="0"/>
              <w:spacing w:line="360" w:lineRule="exact"/>
              <w:ind w:firstLine="420" w:firstLineChars="200"/>
              <w:rPr>
                <w:rFonts w:hint="eastAsia" w:ascii="宋体"/>
                <w:bCs/>
                <w:highlight w:val="none"/>
                <w:lang w:val="zh-CN" w:eastAsia="zh-CN"/>
              </w:rPr>
            </w:pPr>
            <w:r>
              <w:rPr>
                <w:rFonts w:hint="eastAsia" w:ascii="宋体"/>
                <w:bCs/>
                <w:highlight w:val="none"/>
                <w:lang w:val="zh-CN" w:eastAsia="zh-CN"/>
              </w:rPr>
              <w:t>b.若投标保证金采用现金或支票形式提交，投标人应在递交投标文件截止时间之前，将投标保证金由投标人的基本账户转入招标人指定账户；</w:t>
            </w:r>
          </w:p>
          <w:p w14:paraId="4B0D7CD2">
            <w:pPr>
              <w:autoSpaceDE w:val="0"/>
              <w:autoSpaceDN w:val="0"/>
              <w:adjustRightInd w:val="0"/>
              <w:spacing w:line="320" w:lineRule="exact"/>
              <w:ind w:firstLine="420" w:firstLineChars="200"/>
              <w:jc w:val="left"/>
              <w:rPr>
                <w:rFonts w:hint="eastAsia" w:ascii="宋体" w:hAnsi="宋体"/>
                <w:bCs/>
                <w:szCs w:val="21"/>
                <w:lang w:val="zh-CN"/>
              </w:rPr>
            </w:pPr>
            <w:r>
              <w:rPr>
                <w:rFonts w:hint="eastAsia" w:ascii="宋体"/>
                <w:bCs/>
                <w:highlight w:val="none"/>
              </w:rPr>
              <w:t>c.</w:t>
            </w:r>
            <w:r>
              <w:rPr>
                <w:rFonts w:hint="eastAsia" w:ascii="宋体"/>
                <w:bCs/>
                <w:highlight w:val="none"/>
                <w:lang w:val="zh-CN" w:eastAsia="zh-CN"/>
              </w:rPr>
              <w:t>若投标保证金采用保函形式提交，保函的格式、开具保函的</w:t>
            </w:r>
            <w:r>
              <w:rPr>
                <w:rFonts w:hint="eastAsia" w:ascii="宋体"/>
                <w:bCs/>
                <w:highlight w:val="none"/>
                <w:lang w:val="en-US" w:eastAsia="zh-CN"/>
              </w:rPr>
              <w:t>机构</w:t>
            </w:r>
            <w:r>
              <w:rPr>
                <w:rFonts w:hint="eastAsia" w:ascii="宋体"/>
                <w:bCs/>
                <w:highlight w:val="none"/>
                <w:lang w:val="zh-CN" w:eastAsia="zh-CN"/>
              </w:rPr>
              <w:t>均满足招标文件要求。</w:t>
            </w:r>
          </w:p>
          <w:p w14:paraId="5544CA52">
            <w:pPr>
              <w:autoSpaceDE w:val="0"/>
              <w:autoSpaceDN w:val="0"/>
              <w:adjustRightInd w:val="0"/>
              <w:spacing w:line="320" w:lineRule="exact"/>
              <w:ind w:firstLine="420" w:firstLineChars="200"/>
              <w:jc w:val="left"/>
              <w:rPr>
                <w:rFonts w:hint="eastAsia" w:ascii="宋体" w:hAnsi="宋体"/>
                <w:bCs/>
                <w:szCs w:val="21"/>
                <w:lang w:val="zh-CN"/>
              </w:rPr>
            </w:pPr>
            <w:r>
              <w:rPr>
                <w:rFonts w:hint="eastAsia" w:ascii="宋体" w:hAnsi="宋体"/>
                <w:bCs/>
                <w:szCs w:val="21"/>
                <w:lang w:val="zh-CN"/>
              </w:rPr>
              <w:t>(</w:t>
            </w:r>
            <w:r>
              <w:rPr>
                <w:rFonts w:hint="eastAsia" w:ascii="宋体" w:hAnsi="宋体"/>
                <w:bCs/>
                <w:szCs w:val="21"/>
              </w:rPr>
              <w:t>4</w:t>
            </w:r>
            <w:r>
              <w:rPr>
                <w:rFonts w:hint="eastAsia" w:ascii="宋体" w:hAnsi="宋体"/>
                <w:bCs/>
                <w:szCs w:val="21"/>
                <w:lang w:val="zh-CN"/>
              </w:rPr>
              <w:t>)</w:t>
            </w:r>
            <w:r>
              <w:rPr>
                <w:rFonts w:hint="eastAsia" w:ascii="宋体" w:cs="宋体"/>
                <w:szCs w:val="21"/>
                <w:highlight w:val="none"/>
                <w:lang w:bidi="ar-SA"/>
              </w:rPr>
              <w:t>投标人法定代表人授权委托代理人签署投标文件的，需提交授权委托书，且授权人和被授权人均在授权委托书上签名</w:t>
            </w:r>
            <w:r>
              <w:rPr>
                <w:rFonts w:hint="eastAsia" w:ascii="宋体"/>
                <w:szCs w:val="21"/>
                <w:highlight w:val="none"/>
              </w:rPr>
              <w:t>（可使用</w:t>
            </w:r>
            <w:r>
              <w:rPr>
                <w:rFonts w:hint="eastAsia" w:ascii="宋体" w:cs="宋体"/>
                <w:color w:val="363D45"/>
                <w:szCs w:val="21"/>
                <w:highlight w:val="none"/>
                <w:lang w:bidi="ar-SA"/>
              </w:rPr>
              <w:t>公共资源交易一体化平台系统</w:t>
            </w:r>
            <w:r>
              <w:rPr>
                <w:rFonts w:hint="eastAsia" w:ascii="宋体"/>
                <w:szCs w:val="21"/>
                <w:highlight w:val="none"/>
              </w:rPr>
              <w:t>备案的电子签名</w:t>
            </w:r>
            <w:r>
              <w:rPr>
                <w:rFonts w:hint="eastAsia" w:ascii="宋体"/>
                <w:szCs w:val="21"/>
                <w:highlight w:val="none"/>
                <w:lang w:val="en-US" w:eastAsia="zh-CN"/>
              </w:rPr>
              <w:t>及签章</w:t>
            </w:r>
            <w:r>
              <w:rPr>
                <w:rFonts w:hint="eastAsia" w:ascii="宋体"/>
                <w:szCs w:val="21"/>
                <w:highlight w:val="none"/>
              </w:rPr>
              <w:t>）</w:t>
            </w:r>
            <w:r>
              <w:rPr>
                <w:rFonts w:hint="eastAsia" w:ascii="宋体" w:hAnsi="宋体"/>
                <w:szCs w:val="21"/>
              </w:rPr>
              <w:t>。</w:t>
            </w:r>
          </w:p>
          <w:p w14:paraId="01AB8767">
            <w:pPr>
              <w:autoSpaceDE w:val="0"/>
              <w:autoSpaceDN w:val="0"/>
              <w:adjustRightInd w:val="0"/>
              <w:spacing w:line="320" w:lineRule="exact"/>
              <w:ind w:firstLine="420" w:firstLineChars="200"/>
              <w:jc w:val="left"/>
              <w:rPr>
                <w:rFonts w:hint="eastAsia" w:ascii="宋体" w:hAnsi="宋体"/>
                <w:bCs/>
                <w:szCs w:val="21"/>
                <w:lang w:val="zh-CN"/>
              </w:rPr>
            </w:pPr>
            <w:r>
              <w:rPr>
                <w:rFonts w:hint="eastAsia" w:ascii="宋体" w:hAnsi="宋体"/>
                <w:bCs/>
                <w:szCs w:val="21"/>
                <w:lang w:val="zh-CN"/>
              </w:rPr>
              <w:t>(</w:t>
            </w:r>
            <w:r>
              <w:rPr>
                <w:rFonts w:hint="eastAsia" w:ascii="宋体" w:hAnsi="宋体"/>
                <w:bCs/>
                <w:szCs w:val="21"/>
              </w:rPr>
              <w:t>5</w:t>
            </w:r>
            <w:r>
              <w:rPr>
                <w:rFonts w:hint="eastAsia" w:ascii="宋体" w:hAnsi="宋体"/>
                <w:bCs/>
                <w:szCs w:val="21"/>
                <w:lang w:val="zh-CN"/>
              </w:rPr>
              <w:t>)</w:t>
            </w:r>
            <w:r>
              <w:rPr>
                <w:rFonts w:hint="eastAsia" w:ascii="宋体" w:cs="宋体"/>
                <w:szCs w:val="21"/>
                <w:highlight w:val="none"/>
                <w:lang w:bidi="ar-SA"/>
              </w:rPr>
              <w:t>投标人法定代表人亲自签署投标文件的，提供了法定代表人身份证明，且法定代表人在法定代表人身份证明上签名</w:t>
            </w:r>
            <w:r>
              <w:rPr>
                <w:rFonts w:hint="eastAsia" w:ascii="宋体"/>
                <w:szCs w:val="21"/>
                <w:highlight w:val="none"/>
              </w:rPr>
              <w:t>（可使用</w:t>
            </w:r>
            <w:r>
              <w:rPr>
                <w:rFonts w:hint="eastAsia" w:ascii="宋体" w:cs="宋体"/>
                <w:color w:val="363D45"/>
                <w:szCs w:val="21"/>
                <w:highlight w:val="none"/>
                <w:lang w:bidi="ar-SA"/>
              </w:rPr>
              <w:t>公共资源交易一体化平台系统</w:t>
            </w:r>
            <w:r>
              <w:rPr>
                <w:rFonts w:hint="eastAsia" w:ascii="宋体"/>
                <w:szCs w:val="21"/>
                <w:highlight w:val="none"/>
              </w:rPr>
              <w:t>备案的电子签名</w:t>
            </w:r>
            <w:r>
              <w:rPr>
                <w:rFonts w:hint="eastAsia" w:ascii="宋体"/>
                <w:szCs w:val="21"/>
                <w:highlight w:val="none"/>
                <w:lang w:val="en-US" w:eastAsia="zh-CN"/>
              </w:rPr>
              <w:t>及签章</w:t>
            </w:r>
            <w:r>
              <w:rPr>
                <w:rFonts w:hint="eastAsia" w:ascii="宋体"/>
                <w:szCs w:val="21"/>
                <w:highlight w:val="none"/>
              </w:rPr>
              <w:t>）</w:t>
            </w:r>
            <w:r>
              <w:rPr>
                <w:rFonts w:hint="eastAsia" w:ascii="宋体" w:hAnsi="宋体"/>
                <w:bCs/>
                <w:szCs w:val="21"/>
                <w:lang w:val="zh-CN"/>
              </w:rPr>
              <w:t>。</w:t>
            </w:r>
          </w:p>
          <w:p w14:paraId="4829DD54">
            <w:pPr>
              <w:autoSpaceDE w:val="0"/>
              <w:autoSpaceDN w:val="0"/>
              <w:adjustRightInd w:val="0"/>
              <w:spacing w:line="320" w:lineRule="exact"/>
              <w:ind w:firstLine="420" w:firstLineChars="200"/>
              <w:jc w:val="left"/>
              <w:rPr>
                <w:rFonts w:ascii="宋体" w:hAnsi="宋体"/>
                <w:bCs/>
                <w:szCs w:val="21"/>
              </w:rPr>
            </w:pPr>
            <w:r>
              <w:rPr>
                <w:rFonts w:hint="eastAsia" w:ascii="宋体" w:hAnsi="宋体"/>
                <w:bCs/>
                <w:szCs w:val="21"/>
                <w:lang w:val="zh-CN"/>
              </w:rPr>
              <w:t>(</w:t>
            </w:r>
            <w:r>
              <w:rPr>
                <w:rFonts w:hint="eastAsia" w:ascii="宋体" w:hAnsi="宋体"/>
                <w:bCs/>
                <w:szCs w:val="21"/>
              </w:rPr>
              <w:t>6</w:t>
            </w:r>
            <w:r>
              <w:rPr>
                <w:rFonts w:hint="eastAsia" w:ascii="宋体" w:hAnsi="宋体"/>
                <w:bCs/>
                <w:szCs w:val="21"/>
                <w:lang w:val="zh-CN"/>
              </w:rPr>
              <w:t>)投标人以联合体形式投标时，联合体满足招标文件的要求：投标人按照招标文件提供的格式签订了联合体协议书，明确各方承担连带责任，并明确了联合体牵头人</w:t>
            </w:r>
            <w:r>
              <w:rPr>
                <w:rFonts w:hint="eastAsia" w:ascii="宋体" w:hAnsi="宋体"/>
                <w:bCs/>
                <w:szCs w:val="21"/>
              </w:rPr>
              <w:t>。</w:t>
            </w:r>
          </w:p>
          <w:p w14:paraId="270A4A63">
            <w:pPr>
              <w:autoSpaceDE w:val="0"/>
              <w:autoSpaceDN w:val="0"/>
              <w:adjustRightInd w:val="0"/>
              <w:spacing w:line="320" w:lineRule="exact"/>
              <w:ind w:firstLine="420" w:firstLineChars="200"/>
              <w:jc w:val="left"/>
              <w:rPr>
                <w:rFonts w:hint="eastAsia" w:ascii="宋体" w:hAnsi="宋体"/>
                <w:bCs/>
                <w:szCs w:val="21"/>
                <w:lang w:val="zh-CN"/>
              </w:rPr>
            </w:pPr>
            <w:r>
              <w:rPr>
                <w:rFonts w:hint="eastAsia" w:ascii="宋体" w:hAnsi="宋体"/>
                <w:bCs/>
                <w:szCs w:val="21"/>
                <w:lang w:val="zh-CN"/>
              </w:rPr>
              <w:t>(</w:t>
            </w:r>
            <w:r>
              <w:rPr>
                <w:rFonts w:hint="eastAsia" w:ascii="宋体" w:hAnsi="宋体"/>
                <w:bCs/>
                <w:szCs w:val="21"/>
              </w:rPr>
              <w:t>7</w:t>
            </w:r>
            <w:r>
              <w:rPr>
                <w:rFonts w:hint="eastAsia" w:ascii="宋体" w:hAnsi="宋体"/>
                <w:bCs/>
                <w:szCs w:val="21"/>
                <w:lang w:val="zh-CN"/>
              </w:rPr>
              <w:t>)</w:t>
            </w:r>
            <w:r>
              <w:rPr>
                <w:rFonts w:ascii="宋体" w:hAnsi="宋体"/>
                <w:bCs/>
                <w:szCs w:val="21"/>
                <w:lang w:val="zh-CN"/>
              </w:rPr>
              <w:t>投标人</w:t>
            </w:r>
            <w:r>
              <w:rPr>
                <w:rFonts w:hint="eastAsia" w:ascii="宋体" w:hAnsi="宋体"/>
                <w:bCs/>
                <w:szCs w:val="21"/>
                <w:lang w:val="zh-CN"/>
              </w:rPr>
              <w:t>未有分包计划。</w:t>
            </w:r>
          </w:p>
          <w:p w14:paraId="250D7C28">
            <w:pPr>
              <w:autoSpaceDE w:val="0"/>
              <w:autoSpaceDN w:val="0"/>
              <w:adjustRightInd w:val="0"/>
              <w:spacing w:line="320" w:lineRule="exact"/>
              <w:ind w:firstLine="420" w:firstLineChars="200"/>
              <w:jc w:val="left"/>
              <w:rPr>
                <w:rFonts w:hint="eastAsia" w:ascii="宋体" w:hAnsi="宋体"/>
                <w:bCs/>
                <w:szCs w:val="21"/>
                <w:lang w:val="zh-CN"/>
              </w:rPr>
            </w:pPr>
            <w:r>
              <w:rPr>
                <w:rFonts w:hint="eastAsia" w:ascii="宋体" w:hAnsi="宋体"/>
                <w:bCs/>
                <w:szCs w:val="21"/>
                <w:lang w:val="zh-CN"/>
              </w:rPr>
              <w:t>(</w:t>
            </w:r>
            <w:r>
              <w:rPr>
                <w:rFonts w:hint="eastAsia" w:ascii="宋体" w:hAnsi="宋体"/>
                <w:bCs/>
                <w:szCs w:val="21"/>
              </w:rPr>
              <w:t>8</w:t>
            </w:r>
            <w:r>
              <w:rPr>
                <w:rFonts w:hint="eastAsia" w:ascii="宋体" w:hAnsi="宋体"/>
                <w:bCs/>
                <w:szCs w:val="21"/>
                <w:lang w:val="zh-CN"/>
              </w:rPr>
              <w:t>)同一投标人未提交两个以上不同的投标文件，但招标文件要求提交备选投标的除外。</w:t>
            </w:r>
          </w:p>
          <w:p w14:paraId="54F168E7">
            <w:pPr>
              <w:autoSpaceDE w:val="0"/>
              <w:autoSpaceDN w:val="0"/>
              <w:adjustRightInd w:val="0"/>
              <w:spacing w:line="320" w:lineRule="exact"/>
              <w:ind w:firstLine="420" w:firstLineChars="200"/>
              <w:jc w:val="left"/>
              <w:rPr>
                <w:rFonts w:hint="eastAsia" w:ascii="宋体" w:hAnsi="宋体"/>
                <w:bCs/>
                <w:szCs w:val="21"/>
                <w:lang w:val="zh-CN"/>
              </w:rPr>
            </w:pPr>
            <w:r>
              <w:rPr>
                <w:rFonts w:hint="eastAsia" w:ascii="宋体" w:hAnsi="宋体"/>
                <w:bCs/>
                <w:szCs w:val="21"/>
                <w:lang w:val="zh-CN"/>
              </w:rPr>
              <w:t>(</w:t>
            </w:r>
            <w:r>
              <w:rPr>
                <w:rFonts w:hint="eastAsia" w:ascii="宋体" w:hAnsi="宋体"/>
                <w:bCs/>
                <w:szCs w:val="21"/>
              </w:rPr>
              <w:t>9</w:t>
            </w:r>
            <w:r>
              <w:rPr>
                <w:rFonts w:hint="eastAsia" w:ascii="宋体" w:hAnsi="宋体"/>
                <w:bCs/>
                <w:szCs w:val="21"/>
                <w:lang w:val="zh-CN"/>
              </w:rPr>
              <w:t>)投标文件中未出现有关投标报价的内容。</w:t>
            </w:r>
          </w:p>
          <w:p w14:paraId="48D9BEA0">
            <w:pPr>
              <w:autoSpaceDE w:val="0"/>
              <w:autoSpaceDN w:val="0"/>
              <w:adjustRightInd w:val="0"/>
              <w:spacing w:line="320" w:lineRule="exact"/>
              <w:ind w:firstLine="420" w:firstLineChars="200"/>
              <w:jc w:val="left"/>
              <w:rPr>
                <w:rFonts w:hint="eastAsia" w:ascii="宋体" w:hAnsi="宋体"/>
                <w:bCs/>
                <w:szCs w:val="21"/>
                <w:lang w:val="zh-CN"/>
              </w:rPr>
            </w:pPr>
            <w:r>
              <w:rPr>
                <w:rFonts w:hint="eastAsia" w:ascii="宋体" w:hAnsi="宋体"/>
                <w:bCs/>
                <w:szCs w:val="21"/>
                <w:lang w:val="zh-CN"/>
              </w:rPr>
              <w:t>(</w:t>
            </w:r>
            <w:r>
              <w:rPr>
                <w:rFonts w:hint="eastAsia" w:ascii="宋体" w:hAnsi="宋体"/>
                <w:bCs/>
                <w:szCs w:val="21"/>
              </w:rPr>
              <w:t>10</w:t>
            </w:r>
            <w:r>
              <w:rPr>
                <w:rFonts w:hint="eastAsia" w:ascii="宋体" w:hAnsi="宋体"/>
                <w:bCs/>
                <w:szCs w:val="21"/>
                <w:lang w:val="zh-CN"/>
              </w:rPr>
              <w:t>)投标文件载明的招标项目完成期限未超过招标文件规定的时限。</w:t>
            </w:r>
          </w:p>
          <w:p w14:paraId="7B9D1E54">
            <w:pPr>
              <w:autoSpaceDE w:val="0"/>
              <w:autoSpaceDN w:val="0"/>
              <w:adjustRightInd w:val="0"/>
              <w:spacing w:line="320" w:lineRule="exact"/>
              <w:ind w:firstLine="420" w:firstLineChars="200"/>
              <w:jc w:val="left"/>
              <w:rPr>
                <w:rFonts w:hint="eastAsia" w:ascii="宋体" w:hAnsi="宋体"/>
                <w:bCs/>
                <w:szCs w:val="21"/>
                <w:lang w:val="zh-CN"/>
              </w:rPr>
            </w:pPr>
            <w:r>
              <w:rPr>
                <w:rFonts w:hint="eastAsia" w:ascii="宋体" w:hAnsi="宋体"/>
                <w:bCs/>
                <w:szCs w:val="21"/>
                <w:lang w:val="zh-CN"/>
              </w:rPr>
              <w:t>(</w:t>
            </w:r>
            <w:r>
              <w:rPr>
                <w:rFonts w:hint="eastAsia" w:ascii="宋体" w:hAnsi="宋体"/>
                <w:bCs/>
                <w:szCs w:val="21"/>
              </w:rPr>
              <w:t>11</w:t>
            </w:r>
            <w:r>
              <w:rPr>
                <w:rFonts w:hint="eastAsia" w:ascii="宋体" w:hAnsi="宋体"/>
                <w:bCs/>
                <w:szCs w:val="21"/>
                <w:lang w:val="zh-CN"/>
              </w:rPr>
              <w:t>)投标文件对招标文件的实质性要求和条件作出响应。</w:t>
            </w:r>
          </w:p>
          <w:p w14:paraId="4B230342">
            <w:pPr>
              <w:autoSpaceDE w:val="0"/>
              <w:autoSpaceDN w:val="0"/>
              <w:adjustRightInd w:val="0"/>
              <w:spacing w:line="320" w:lineRule="exact"/>
              <w:ind w:firstLine="420" w:firstLineChars="200"/>
              <w:jc w:val="left"/>
              <w:rPr>
                <w:rFonts w:hint="eastAsia" w:ascii="宋体" w:hAnsi="宋体"/>
                <w:bCs/>
                <w:szCs w:val="21"/>
                <w:lang w:val="zh-CN"/>
              </w:rPr>
            </w:pPr>
            <w:r>
              <w:rPr>
                <w:rFonts w:hint="eastAsia" w:ascii="宋体" w:hAnsi="宋体"/>
                <w:bCs/>
                <w:szCs w:val="21"/>
                <w:lang w:val="zh-CN"/>
              </w:rPr>
              <w:t>(</w:t>
            </w:r>
            <w:r>
              <w:rPr>
                <w:rFonts w:hint="eastAsia" w:ascii="宋体" w:hAnsi="宋体"/>
                <w:bCs/>
                <w:szCs w:val="21"/>
              </w:rPr>
              <w:t>12</w:t>
            </w:r>
            <w:r>
              <w:rPr>
                <w:rFonts w:hint="eastAsia" w:ascii="宋体" w:hAnsi="宋体"/>
                <w:bCs/>
                <w:szCs w:val="21"/>
                <w:lang w:val="zh-CN"/>
              </w:rPr>
              <w:t>)权利义务符合招标文件规定：</w:t>
            </w:r>
          </w:p>
          <w:p w14:paraId="44A902DD">
            <w:pPr>
              <w:autoSpaceDE w:val="0"/>
              <w:autoSpaceDN w:val="0"/>
              <w:adjustRightInd w:val="0"/>
              <w:spacing w:line="320" w:lineRule="exact"/>
              <w:ind w:firstLine="360"/>
              <w:jc w:val="left"/>
              <w:rPr>
                <w:rFonts w:hint="eastAsia" w:ascii="宋体" w:hAnsi="宋体" w:cs="宋体"/>
                <w:bCs/>
                <w:szCs w:val="21"/>
                <w:lang w:val="zh-CN"/>
              </w:rPr>
            </w:pPr>
            <w:r>
              <w:rPr>
                <w:rFonts w:hint="eastAsia" w:ascii="宋体" w:hAnsi="宋体" w:cs="宋体"/>
                <w:bCs/>
                <w:szCs w:val="21"/>
                <w:lang w:val="zh-CN"/>
              </w:rPr>
              <w:t>a.投标人应接受招标文件规定的风险划分原则，未提出新的风险划分办法；</w:t>
            </w:r>
          </w:p>
          <w:p w14:paraId="7C671292">
            <w:pPr>
              <w:autoSpaceDE w:val="0"/>
              <w:autoSpaceDN w:val="0"/>
              <w:adjustRightInd w:val="0"/>
              <w:spacing w:line="320" w:lineRule="exact"/>
              <w:ind w:firstLine="360"/>
              <w:jc w:val="left"/>
              <w:rPr>
                <w:rFonts w:hint="eastAsia" w:ascii="宋体" w:hAnsi="宋体" w:cs="宋体"/>
                <w:bCs/>
                <w:szCs w:val="21"/>
                <w:lang w:val="zh-CN"/>
              </w:rPr>
            </w:pPr>
            <w:r>
              <w:rPr>
                <w:rFonts w:hint="eastAsia" w:ascii="宋体" w:hAnsi="宋体" w:cs="宋体"/>
                <w:bCs/>
                <w:szCs w:val="21"/>
                <w:lang w:val="zh-CN"/>
              </w:rPr>
              <w:t>b.投标人未增加发包人的责任范围、或减少投标人的义务；</w:t>
            </w:r>
          </w:p>
          <w:p w14:paraId="05C8D326">
            <w:pPr>
              <w:autoSpaceDE w:val="0"/>
              <w:autoSpaceDN w:val="0"/>
              <w:adjustRightInd w:val="0"/>
              <w:spacing w:line="320" w:lineRule="exact"/>
              <w:ind w:firstLine="360"/>
              <w:jc w:val="left"/>
              <w:rPr>
                <w:rFonts w:hint="eastAsia" w:ascii="宋体" w:hAnsi="宋体" w:cs="宋体"/>
                <w:bCs/>
                <w:szCs w:val="21"/>
                <w:lang w:val="zh-CN"/>
              </w:rPr>
            </w:pPr>
            <w:r>
              <w:rPr>
                <w:rFonts w:hint="eastAsia" w:ascii="宋体" w:hAnsi="宋体" w:cs="宋体"/>
                <w:bCs/>
                <w:szCs w:val="21"/>
                <w:lang w:val="zh-CN"/>
              </w:rPr>
              <w:t>c.投标人未提出不同的工程验收、计量、支付办法；</w:t>
            </w:r>
          </w:p>
          <w:p w14:paraId="33C67180">
            <w:pPr>
              <w:autoSpaceDE w:val="0"/>
              <w:autoSpaceDN w:val="0"/>
              <w:adjustRightInd w:val="0"/>
              <w:spacing w:line="320" w:lineRule="exact"/>
              <w:ind w:firstLine="360"/>
              <w:jc w:val="left"/>
              <w:rPr>
                <w:rFonts w:hint="eastAsia" w:ascii="宋体" w:hAnsi="宋体" w:cs="宋体"/>
                <w:bCs/>
                <w:szCs w:val="21"/>
                <w:lang w:val="zh-CN"/>
              </w:rPr>
            </w:pPr>
            <w:r>
              <w:rPr>
                <w:rFonts w:hint="eastAsia" w:ascii="宋体" w:hAnsi="宋体" w:cs="宋体"/>
                <w:bCs/>
                <w:szCs w:val="21"/>
                <w:lang w:val="zh-CN"/>
              </w:rPr>
              <w:t>d.投标人对合同纠纷、事故处理办法未提出异议；</w:t>
            </w:r>
          </w:p>
          <w:p w14:paraId="27FFE6F7">
            <w:pPr>
              <w:autoSpaceDE w:val="0"/>
              <w:autoSpaceDN w:val="0"/>
              <w:adjustRightInd w:val="0"/>
              <w:spacing w:line="320" w:lineRule="exact"/>
              <w:ind w:firstLine="360"/>
              <w:jc w:val="left"/>
              <w:rPr>
                <w:rFonts w:hint="eastAsia" w:ascii="宋体" w:hAnsi="宋体" w:cs="宋体"/>
                <w:bCs/>
                <w:szCs w:val="21"/>
                <w:lang w:val="zh-CN"/>
              </w:rPr>
            </w:pPr>
            <w:r>
              <w:rPr>
                <w:rFonts w:hint="eastAsia" w:ascii="宋体" w:hAnsi="宋体" w:cs="宋体"/>
                <w:bCs/>
                <w:szCs w:val="21"/>
                <w:lang w:val="zh-CN"/>
              </w:rPr>
              <w:t>e.投标人在投标活动中无欺诈行为；</w:t>
            </w:r>
          </w:p>
          <w:p w14:paraId="0AEC713D">
            <w:pPr>
              <w:autoSpaceDE w:val="0"/>
              <w:autoSpaceDN w:val="0"/>
              <w:adjustRightInd w:val="0"/>
              <w:spacing w:line="320" w:lineRule="exact"/>
              <w:ind w:firstLine="360"/>
              <w:jc w:val="left"/>
              <w:rPr>
                <w:rFonts w:hint="eastAsia" w:ascii="宋体" w:hAnsi="宋体" w:cs="宋体"/>
                <w:bCs/>
                <w:szCs w:val="21"/>
                <w:lang w:val="zh-CN"/>
              </w:rPr>
            </w:pPr>
            <w:r>
              <w:rPr>
                <w:rFonts w:hint="eastAsia" w:ascii="宋体" w:hAnsi="宋体" w:cs="宋体"/>
                <w:bCs/>
                <w:szCs w:val="21"/>
                <w:lang w:val="zh-CN"/>
              </w:rPr>
              <w:t>f.投标人未对合同条款有重要保留。</w:t>
            </w:r>
          </w:p>
        </w:tc>
      </w:tr>
      <w:tr w14:paraId="00DCAAB9">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tcBorders>
              <w:top w:val="single" w:color="auto" w:sz="4" w:space="0"/>
              <w:left w:val="single" w:color="auto" w:sz="4" w:space="0"/>
              <w:bottom w:val="single" w:color="auto" w:sz="4" w:space="0"/>
              <w:right w:val="single" w:color="auto" w:sz="4" w:space="0"/>
            </w:tcBorders>
            <w:noWrap w:val="0"/>
            <w:vAlign w:val="center"/>
          </w:tcPr>
          <w:p w14:paraId="0FC6A1FF">
            <w:pPr>
              <w:autoSpaceDE w:val="0"/>
              <w:autoSpaceDN w:val="0"/>
              <w:adjustRightInd w:val="0"/>
              <w:spacing w:line="400" w:lineRule="exact"/>
              <w:jc w:val="center"/>
              <w:rPr>
                <w:bCs/>
                <w:szCs w:val="21"/>
                <w:lang w:val="zh-CN"/>
              </w:rPr>
            </w:pPr>
            <w:r>
              <w:rPr>
                <w:bCs/>
                <w:szCs w:val="21"/>
                <w:lang w:val="zh-CN"/>
              </w:rPr>
              <w:t>2.1.1</w:t>
            </w:r>
          </w:p>
          <w:p w14:paraId="0943CA8B">
            <w:pPr>
              <w:autoSpaceDE w:val="0"/>
              <w:autoSpaceDN w:val="0"/>
              <w:adjustRightInd w:val="0"/>
              <w:spacing w:line="400" w:lineRule="exact"/>
              <w:jc w:val="center"/>
              <w:rPr>
                <w:rFonts w:eastAsia="黑体"/>
                <w:szCs w:val="21"/>
              </w:rPr>
            </w:pPr>
            <w:r>
              <w:rPr>
                <w:bCs/>
                <w:szCs w:val="21"/>
                <w:lang w:val="zh-CN"/>
              </w:rPr>
              <w:t>2.1.3</w:t>
            </w:r>
          </w:p>
        </w:tc>
        <w:tc>
          <w:tcPr>
            <w:tcW w:w="1394" w:type="dxa"/>
            <w:tcBorders>
              <w:top w:val="single" w:color="auto" w:sz="4" w:space="0"/>
              <w:left w:val="single" w:color="auto" w:sz="4" w:space="0"/>
              <w:bottom w:val="single" w:color="auto" w:sz="4" w:space="0"/>
            </w:tcBorders>
            <w:noWrap w:val="0"/>
            <w:vAlign w:val="center"/>
          </w:tcPr>
          <w:p w14:paraId="626F7E41">
            <w:pPr>
              <w:autoSpaceDE w:val="0"/>
              <w:autoSpaceDN w:val="0"/>
              <w:adjustRightInd w:val="0"/>
              <w:jc w:val="center"/>
              <w:rPr>
                <w:bCs/>
                <w:szCs w:val="21"/>
                <w:lang w:val="zh-CN"/>
              </w:rPr>
            </w:pPr>
            <w:r>
              <w:rPr>
                <w:rFonts w:eastAsia="黑体"/>
                <w:szCs w:val="21"/>
              </w:rPr>
              <w:t>第二</w:t>
            </w:r>
            <w:r>
              <w:rPr>
                <w:rFonts w:hint="eastAsia" w:eastAsia="黑体"/>
                <w:szCs w:val="21"/>
              </w:rPr>
              <w:t>个</w:t>
            </w:r>
            <w:r>
              <w:rPr>
                <w:rFonts w:eastAsia="黑体"/>
                <w:szCs w:val="21"/>
              </w:rPr>
              <w:t>信封</w:t>
            </w:r>
          </w:p>
          <w:p w14:paraId="32CCEB23">
            <w:pPr>
              <w:autoSpaceDE w:val="0"/>
              <w:autoSpaceDN w:val="0"/>
              <w:adjustRightInd w:val="0"/>
              <w:jc w:val="center"/>
              <w:rPr>
                <w:bCs/>
                <w:szCs w:val="21"/>
                <w:lang w:val="zh-CN"/>
              </w:rPr>
            </w:pPr>
            <w:r>
              <w:rPr>
                <w:bCs/>
                <w:szCs w:val="21"/>
                <w:lang w:val="zh-CN"/>
              </w:rPr>
              <w:t>形式评审</w:t>
            </w:r>
          </w:p>
          <w:p w14:paraId="352BDD07">
            <w:pPr>
              <w:autoSpaceDE w:val="0"/>
              <w:autoSpaceDN w:val="0"/>
              <w:adjustRightInd w:val="0"/>
              <w:jc w:val="center"/>
              <w:rPr>
                <w:bCs/>
                <w:szCs w:val="21"/>
                <w:lang w:val="zh-CN"/>
              </w:rPr>
            </w:pPr>
            <w:r>
              <w:rPr>
                <w:bCs/>
                <w:szCs w:val="21"/>
                <w:lang w:val="zh-CN"/>
              </w:rPr>
              <w:t>与响应性</w:t>
            </w:r>
          </w:p>
          <w:p w14:paraId="083C58E5">
            <w:pPr>
              <w:autoSpaceDE w:val="0"/>
              <w:autoSpaceDN w:val="0"/>
              <w:adjustRightInd w:val="0"/>
              <w:jc w:val="center"/>
              <w:rPr>
                <w:bCs/>
                <w:szCs w:val="21"/>
                <w:lang w:val="zh-CN"/>
              </w:rPr>
            </w:pPr>
            <w:r>
              <w:rPr>
                <w:bCs/>
                <w:szCs w:val="21"/>
                <w:lang w:val="zh-CN"/>
              </w:rPr>
              <w:t>评审标准</w:t>
            </w:r>
          </w:p>
        </w:tc>
        <w:tc>
          <w:tcPr>
            <w:tcW w:w="7159" w:type="dxa"/>
            <w:noWrap w:val="0"/>
            <w:vAlign w:val="center"/>
          </w:tcPr>
          <w:p w14:paraId="1C538797">
            <w:pPr>
              <w:adjustRightInd w:val="0"/>
              <w:snapToGrid w:val="0"/>
              <w:spacing w:before="62" w:beforeLines="20" w:after="62" w:afterLines="20"/>
              <w:rPr>
                <w:rFonts w:eastAsia="黑体"/>
                <w:szCs w:val="21"/>
              </w:rPr>
            </w:pPr>
            <w:r>
              <w:rPr>
                <w:rFonts w:eastAsia="黑体"/>
                <w:szCs w:val="21"/>
              </w:rPr>
              <w:t>第二</w:t>
            </w:r>
            <w:r>
              <w:rPr>
                <w:rFonts w:hint="eastAsia" w:eastAsia="黑体"/>
                <w:szCs w:val="21"/>
              </w:rPr>
              <w:t>个</w:t>
            </w:r>
            <w:r>
              <w:rPr>
                <w:rFonts w:eastAsia="黑体"/>
                <w:szCs w:val="21"/>
              </w:rPr>
              <w:t>信封（</w:t>
            </w:r>
            <w:r>
              <w:rPr>
                <w:rFonts w:hint="eastAsia" w:eastAsia="黑体"/>
                <w:szCs w:val="21"/>
              </w:rPr>
              <w:t>报价文件</w:t>
            </w:r>
            <w:r>
              <w:rPr>
                <w:rFonts w:eastAsia="黑体"/>
                <w:szCs w:val="21"/>
              </w:rPr>
              <w:t>）</w:t>
            </w:r>
          </w:p>
          <w:p w14:paraId="0CD18768">
            <w:pPr>
              <w:adjustRightInd w:val="0"/>
              <w:snapToGrid w:val="0"/>
              <w:spacing w:before="62" w:beforeLines="20" w:after="62" w:afterLines="20"/>
              <w:ind w:left="420"/>
              <w:rPr>
                <w:rFonts w:ascii="宋体" w:hAnsi="宋体" w:cs="宋体"/>
              </w:rPr>
            </w:pPr>
            <w:r>
              <w:rPr>
                <w:rFonts w:hint="eastAsia" w:ascii="宋体" w:hAnsi="宋体" w:cs="宋体"/>
              </w:rPr>
              <w:t>(1)投标文件按照招标文件规定的格式、内容填写，字迹清晰可辨：</w:t>
            </w:r>
          </w:p>
          <w:p w14:paraId="4801642D">
            <w:pPr>
              <w:adjustRightInd w:val="0"/>
              <w:snapToGrid w:val="0"/>
              <w:spacing w:before="62" w:beforeLines="20" w:after="62" w:afterLines="20"/>
              <w:ind w:left="420"/>
              <w:rPr>
                <w:rFonts w:hint="eastAsia" w:ascii="宋体" w:hAnsi="宋体" w:cs="宋体"/>
              </w:rPr>
            </w:pPr>
            <w:r>
              <w:rPr>
                <w:rFonts w:hint="eastAsia" w:ascii="宋体" w:hAnsi="宋体" w:cs="宋体"/>
              </w:rPr>
              <w:t>a.投标函按招标文件规定填报了</w:t>
            </w:r>
            <w:r>
              <w:rPr>
                <w:rFonts w:hint="eastAsia" w:ascii="宋体" w:hAnsi="宋体" w:cs="宋体"/>
                <w:bCs/>
                <w:lang w:val="zh-CN"/>
              </w:rPr>
              <w:t>项目名称、标段号、补遗书编号（如有）、投标价（包括大写金额和小写金额）</w:t>
            </w:r>
            <w:r>
              <w:rPr>
                <w:rFonts w:hint="eastAsia" w:ascii="宋体" w:hAnsi="宋体" w:cs="宋体"/>
              </w:rPr>
              <w:t>；</w:t>
            </w:r>
          </w:p>
          <w:p w14:paraId="7982A94D">
            <w:pPr>
              <w:adjustRightInd w:val="0"/>
              <w:snapToGrid w:val="0"/>
              <w:spacing w:before="62" w:beforeLines="20" w:after="62" w:afterLines="20"/>
              <w:rPr>
                <w:rFonts w:hint="eastAsia" w:ascii="宋体" w:hAnsi="宋体" w:cs="宋体"/>
              </w:rPr>
            </w:pPr>
            <w:r>
              <w:rPr>
                <w:rFonts w:hint="eastAsia" w:ascii="宋体" w:hAnsi="宋体" w:cs="宋体"/>
              </w:rPr>
              <w:t xml:space="preserve">    b.已标价工程量清单说明与招标文件规定一致，未进行实质性修改和删减；</w:t>
            </w:r>
          </w:p>
          <w:p w14:paraId="5344EBA9">
            <w:pPr>
              <w:adjustRightInd w:val="0"/>
              <w:snapToGrid w:val="0"/>
              <w:spacing w:before="62" w:beforeLines="20" w:after="62" w:afterLines="20"/>
              <w:rPr>
                <w:rFonts w:hint="eastAsia" w:ascii="宋体" w:hAnsi="宋体" w:eastAsia="宋体" w:cs="宋体"/>
                <w:lang w:eastAsia="zh-CN"/>
              </w:rPr>
            </w:pPr>
            <w:r>
              <w:rPr>
                <w:rFonts w:hint="eastAsia" w:ascii="宋体" w:hAnsi="宋体" w:cs="宋体"/>
              </w:rPr>
              <w:t xml:space="preserve">    c.投标文件组成齐全完整，内容均按规定填写</w:t>
            </w:r>
            <w:r>
              <w:rPr>
                <w:rFonts w:hint="eastAsia" w:ascii="宋体" w:hAnsi="宋体" w:cs="宋体"/>
                <w:lang w:eastAsia="zh-CN"/>
              </w:rPr>
              <w:t>。</w:t>
            </w:r>
          </w:p>
          <w:p w14:paraId="73A8B5C2">
            <w:pPr>
              <w:adjustRightInd w:val="0"/>
              <w:snapToGrid w:val="0"/>
              <w:spacing w:before="62" w:beforeLines="20" w:after="62" w:afterLines="20"/>
              <w:ind w:firstLine="420" w:firstLineChars="200"/>
              <w:rPr>
                <w:rFonts w:hint="eastAsia" w:ascii="宋体" w:hAnsi="宋体" w:eastAsia="宋体" w:cs="宋体"/>
              </w:rPr>
            </w:pPr>
            <w:r>
              <w:rPr>
                <w:rFonts w:hint="eastAsia" w:ascii="宋体" w:hAnsi="宋体" w:eastAsia="宋体" w:cs="宋体"/>
              </w:rPr>
              <w:t>(2)投标文件上法定代表人或其授权代理人的签字、投标人的单位章盖章齐全，符合招标文件规定（可使用公共资源交易一体化平台系统备案的电子签名及签章）。</w:t>
            </w:r>
          </w:p>
          <w:p w14:paraId="07F4359C">
            <w:pPr>
              <w:adjustRightInd w:val="0"/>
              <w:snapToGrid w:val="0"/>
              <w:spacing w:before="62" w:beforeLines="20" w:after="62" w:afterLines="20"/>
              <w:ind w:firstLine="420" w:firstLineChars="200"/>
              <w:rPr>
                <w:rFonts w:hint="eastAsia" w:ascii="宋体" w:hAnsi="宋体" w:eastAsia="宋体" w:cs="宋体"/>
                <w:lang w:eastAsia="zh-CN"/>
              </w:rPr>
            </w:pPr>
            <w:r>
              <w:rPr>
                <w:rFonts w:hint="eastAsia" w:ascii="宋体" w:hAnsi="宋体" w:eastAsia="宋体" w:cs="宋体"/>
              </w:rPr>
              <w:t>(3)投标报价或调价函中的报价未超过招标文件设定的最高投标限价（如有）</w:t>
            </w:r>
            <w:r>
              <w:rPr>
                <w:rFonts w:hint="eastAsia" w:ascii="宋体" w:hAnsi="宋体" w:eastAsia="宋体" w:cs="宋体"/>
                <w:lang w:eastAsia="zh-CN"/>
              </w:rPr>
              <w:t>。</w:t>
            </w:r>
          </w:p>
          <w:p w14:paraId="1C4BB857">
            <w:pPr>
              <w:adjustRightInd w:val="0"/>
              <w:snapToGrid w:val="0"/>
              <w:spacing w:before="62" w:beforeLines="20" w:after="62" w:afterLines="20"/>
              <w:ind w:firstLine="420" w:firstLineChars="200"/>
              <w:rPr>
                <w:rFonts w:hint="eastAsia" w:ascii="宋体" w:hAnsi="宋体" w:cs="宋体"/>
              </w:rPr>
            </w:pPr>
            <w:r>
              <w:rPr>
                <w:rFonts w:hint="eastAsia" w:ascii="宋体" w:hAnsi="宋体" w:cs="宋体"/>
              </w:rPr>
              <w:t>(4)投标报价或调价函中的报价的大写金额能够确定具体数值。</w:t>
            </w:r>
          </w:p>
          <w:p w14:paraId="6C3CA3BA">
            <w:pPr>
              <w:adjustRightInd w:val="0"/>
              <w:snapToGrid w:val="0"/>
              <w:spacing w:before="62" w:beforeLines="20" w:after="62" w:afterLines="20"/>
              <w:ind w:firstLine="420" w:firstLineChars="200"/>
              <w:rPr>
                <w:rFonts w:hint="eastAsia" w:ascii="宋体" w:hAnsi="宋体" w:cs="宋体"/>
              </w:rPr>
            </w:pPr>
            <w:r>
              <w:rPr>
                <w:rFonts w:hint="eastAsia" w:ascii="宋体" w:hAnsi="宋体" w:cs="宋体"/>
              </w:rPr>
              <w:t>(5)同一投标人未提交两个以上不同的投标报价，但招标文件要求提交备选投标的除外。</w:t>
            </w:r>
          </w:p>
          <w:p w14:paraId="64B3C783">
            <w:pPr>
              <w:adjustRightInd w:val="0"/>
              <w:snapToGrid w:val="0"/>
              <w:spacing w:before="62" w:beforeLines="20" w:after="62" w:afterLines="20"/>
              <w:ind w:firstLine="420" w:firstLineChars="200"/>
              <w:rPr>
                <w:rFonts w:hint="eastAsia" w:ascii="宋体" w:hAnsi="宋体" w:cs="宋体"/>
              </w:rPr>
            </w:pPr>
            <w:r>
              <w:rPr>
                <w:rFonts w:hint="eastAsia" w:ascii="宋体" w:hAnsi="宋体" w:cs="宋体"/>
              </w:rPr>
              <w:t>(6)投标人未提交调价函。</w:t>
            </w:r>
          </w:p>
          <w:p w14:paraId="2D57E61E">
            <w:pPr>
              <w:adjustRightInd w:val="0"/>
              <w:snapToGrid w:val="0"/>
              <w:spacing w:before="62" w:beforeLines="20" w:after="62" w:afterLines="20"/>
              <w:ind w:firstLine="420" w:firstLineChars="200"/>
              <w:rPr>
                <w:rFonts w:hint="eastAsia" w:ascii="宋体" w:hAnsi="宋体" w:cs="宋体"/>
                <w:szCs w:val="21"/>
              </w:rPr>
            </w:pPr>
            <w:r>
              <w:rPr>
                <w:rFonts w:hint="eastAsia" w:ascii="宋体" w:hAnsi="宋体" w:cs="宋体"/>
              </w:rPr>
              <w:t>(7)投标人填写完毕的工程量固化清单未对工程量固化清单电子文件中的数据、格式和运算定义进行修改；工程量固化清单中的投标报价和投标函大写金额报价一致。</w:t>
            </w:r>
          </w:p>
        </w:tc>
      </w:tr>
      <w:tr w14:paraId="0138C9F0">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tcBorders>
              <w:top w:val="single" w:color="auto" w:sz="4" w:space="0"/>
              <w:left w:val="single" w:color="auto" w:sz="4" w:space="0"/>
              <w:bottom w:val="single" w:color="auto" w:sz="4" w:space="0"/>
              <w:right w:val="single" w:color="auto" w:sz="4" w:space="0"/>
            </w:tcBorders>
            <w:noWrap w:val="0"/>
            <w:vAlign w:val="center"/>
          </w:tcPr>
          <w:p w14:paraId="2C59AC01">
            <w:pPr>
              <w:autoSpaceDE w:val="0"/>
              <w:autoSpaceDN w:val="0"/>
              <w:adjustRightInd w:val="0"/>
              <w:spacing w:line="400" w:lineRule="exact"/>
              <w:jc w:val="center"/>
              <w:rPr>
                <w:bCs/>
                <w:szCs w:val="21"/>
                <w:lang w:val="zh-CN"/>
              </w:rPr>
            </w:pPr>
            <w:r>
              <w:rPr>
                <w:bCs/>
                <w:szCs w:val="21"/>
                <w:lang w:val="zh-CN"/>
              </w:rPr>
              <w:t>2.1.2</w:t>
            </w:r>
          </w:p>
        </w:tc>
        <w:tc>
          <w:tcPr>
            <w:tcW w:w="1394" w:type="dxa"/>
            <w:tcBorders>
              <w:top w:val="single" w:color="auto" w:sz="4" w:space="0"/>
              <w:left w:val="single" w:color="auto" w:sz="4" w:space="0"/>
              <w:bottom w:val="single" w:color="auto" w:sz="4" w:space="0"/>
            </w:tcBorders>
            <w:noWrap w:val="0"/>
            <w:vAlign w:val="center"/>
          </w:tcPr>
          <w:p w14:paraId="20E05D55">
            <w:pPr>
              <w:autoSpaceDE w:val="0"/>
              <w:autoSpaceDN w:val="0"/>
              <w:adjustRightInd w:val="0"/>
              <w:spacing w:line="400" w:lineRule="exact"/>
              <w:jc w:val="center"/>
              <w:rPr>
                <w:bCs/>
                <w:szCs w:val="21"/>
                <w:lang w:val="zh-CN"/>
              </w:rPr>
            </w:pPr>
            <w:r>
              <w:rPr>
                <w:rFonts w:eastAsia="黑体"/>
                <w:szCs w:val="21"/>
              </w:rPr>
              <w:t>第一</w:t>
            </w:r>
            <w:r>
              <w:rPr>
                <w:rFonts w:hint="eastAsia" w:eastAsia="黑体"/>
                <w:szCs w:val="21"/>
              </w:rPr>
              <w:t>个</w:t>
            </w:r>
            <w:r>
              <w:rPr>
                <w:rFonts w:eastAsia="黑体"/>
                <w:szCs w:val="21"/>
              </w:rPr>
              <w:t>信封</w:t>
            </w:r>
          </w:p>
          <w:p w14:paraId="46AC2B2A">
            <w:pPr>
              <w:autoSpaceDE w:val="0"/>
              <w:autoSpaceDN w:val="0"/>
              <w:adjustRightInd w:val="0"/>
              <w:spacing w:line="400" w:lineRule="exact"/>
              <w:jc w:val="center"/>
              <w:rPr>
                <w:bCs/>
                <w:szCs w:val="21"/>
                <w:lang w:val="zh-CN"/>
              </w:rPr>
            </w:pPr>
            <w:r>
              <w:rPr>
                <w:bCs/>
                <w:szCs w:val="21"/>
                <w:lang w:val="zh-CN"/>
              </w:rPr>
              <w:t>资格</w:t>
            </w:r>
          </w:p>
          <w:p w14:paraId="5FFE9667">
            <w:pPr>
              <w:autoSpaceDE w:val="0"/>
              <w:autoSpaceDN w:val="0"/>
              <w:adjustRightInd w:val="0"/>
              <w:spacing w:line="400" w:lineRule="exact"/>
              <w:jc w:val="center"/>
              <w:rPr>
                <w:rFonts w:eastAsia="黑体"/>
                <w:szCs w:val="21"/>
              </w:rPr>
            </w:pPr>
            <w:r>
              <w:rPr>
                <w:bCs/>
                <w:szCs w:val="21"/>
                <w:lang w:val="zh-CN"/>
              </w:rPr>
              <w:t>评审标准</w:t>
            </w:r>
          </w:p>
        </w:tc>
        <w:tc>
          <w:tcPr>
            <w:tcW w:w="7159" w:type="dxa"/>
            <w:tcBorders>
              <w:bottom w:val="single" w:color="auto" w:sz="4" w:space="0"/>
            </w:tcBorders>
            <w:noWrap w:val="0"/>
            <w:vAlign w:val="center"/>
          </w:tcPr>
          <w:p w14:paraId="4E35C5FA">
            <w:pPr>
              <w:adjustRightInd w:val="0"/>
              <w:snapToGrid w:val="0"/>
              <w:spacing w:before="62" w:beforeLines="20" w:after="62" w:afterLines="20" w:line="360" w:lineRule="exact"/>
              <w:ind w:firstLine="420" w:firstLineChars="200"/>
              <w:rPr>
                <w:szCs w:val="21"/>
              </w:rPr>
            </w:pPr>
            <w:r>
              <w:rPr>
                <w:rFonts w:hint="eastAsia" w:ascii="宋体" w:hAnsi="宋体" w:cs="宋体"/>
              </w:rPr>
              <w:t>(1)投标</w:t>
            </w:r>
            <w:r>
              <w:rPr>
                <w:rFonts w:hint="eastAsia" w:ascii="宋体" w:hAnsi="宋体"/>
                <w:szCs w:val="21"/>
              </w:rPr>
              <w:t>人具备有效的营业执照、组织机构代码证、资质证书、基本账户开户许可证（或基本存款账户信息）</w:t>
            </w:r>
            <w:r>
              <w:rPr>
                <w:rFonts w:ascii="宋体" w:hAnsi="宋体"/>
                <w:szCs w:val="21"/>
              </w:rPr>
              <w:t>和</w:t>
            </w:r>
            <w:r>
              <w:rPr>
                <w:rFonts w:hint="eastAsia" w:ascii="宋体" w:hAnsi="宋体"/>
                <w:szCs w:val="21"/>
              </w:rPr>
              <w:t>投</w:t>
            </w:r>
            <w:r>
              <w:rPr>
                <w:rFonts w:hint="eastAsia"/>
                <w:szCs w:val="21"/>
              </w:rPr>
              <w:t>标人在《国家企业信用信息公示系统》中相关出资信息的网页截图</w:t>
            </w:r>
            <w:r>
              <w:rPr>
                <w:szCs w:val="21"/>
              </w:rPr>
              <w:t>。</w:t>
            </w:r>
          </w:p>
          <w:p w14:paraId="08B0A5A1">
            <w:pPr>
              <w:adjustRightInd w:val="0"/>
              <w:snapToGrid w:val="0"/>
              <w:spacing w:before="62" w:beforeLines="20" w:after="62" w:afterLines="20"/>
              <w:ind w:firstLine="420" w:firstLineChars="200"/>
              <w:rPr>
                <w:rFonts w:hint="eastAsia" w:ascii="宋体" w:hAnsi="宋体" w:cs="宋体"/>
                <w:szCs w:val="21"/>
              </w:rPr>
            </w:pPr>
            <w:r>
              <w:rPr>
                <w:rFonts w:hint="eastAsia" w:ascii="宋体" w:hAnsi="宋体" w:cs="宋体"/>
                <w:szCs w:val="21"/>
              </w:rPr>
              <w:t>(2)投标人的资质等级符合招标文件规定。</w:t>
            </w:r>
          </w:p>
          <w:p w14:paraId="60F44B51">
            <w:pPr>
              <w:adjustRightInd w:val="0"/>
              <w:snapToGrid w:val="0"/>
              <w:spacing w:before="62" w:beforeLines="20" w:after="62" w:afterLines="20"/>
              <w:ind w:firstLine="420" w:firstLineChars="200"/>
              <w:rPr>
                <w:rFonts w:hint="eastAsia" w:ascii="宋体" w:hAnsi="宋体" w:cs="宋体"/>
                <w:szCs w:val="21"/>
              </w:rPr>
            </w:pPr>
            <w:r>
              <w:rPr>
                <w:rFonts w:hint="eastAsia" w:ascii="宋体" w:hAnsi="宋体" w:cs="宋体"/>
                <w:szCs w:val="21"/>
              </w:rPr>
              <w:t>(3)投标人的财务状况符合招标文件规定。</w:t>
            </w:r>
          </w:p>
          <w:p w14:paraId="1D665BD5">
            <w:pPr>
              <w:adjustRightInd w:val="0"/>
              <w:snapToGrid w:val="0"/>
              <w:spacing w:before="62" w:beforeLines="20" w:after="62" w:afterLines="20"/>
              <w:ind w:firstLine="420" w:firstLineChars="200"/>
              <w:rPr>
                <w:rFonts w:hint="eastAsia" w:ascii="宋体" w:hAnsi="宋体" w:cs="宋体"/>
                <w:szCs w:val="21"/>
              </w:rPr>
            </w:pPr>
            <w:r>
              <w:rPr>
                <w:rFonts w:hint="eastAsia" w:ascii="宋体" w:hAnsi="宋体" w:cs="宋体"/>
                <w:szCs w:val="21"/>
              </w:rPr>
              <w:t>(4)投标人的类似项目业绩符合招标文件规定。</w:t>
            </w:r>
          </w:p>
          <w:p w14:paraId="6CDFD219">
            <w:pPr>
              <w:adjustRightInd w:val="0"/>
              <w:snapToGrid w:val="0"/>
              <w:spacing w:before="62" w:beforeLines="20" w:after="62" w:afterLines="20"/>
              <w:ind w:firstLine="420" w:firstLineChars="200"/>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5</w:t>
            </w:r>
            <w:r>
              <w:rPr>
                <w:rFonts w:hint="eastAsia" w:ascii="宋体" w:hAnsi="宋体" w:cs="宋体"/>
                <w:szCs w:val="21"/>
              </w:rPr>
              <w:t>)投标人的信誉符合招标文件规定。</w:t>
            </w:r>
          </w:p>
          <w:p w14:paraId="6C2CBA70">
            <w:pPr>
              <w:adjustRightInd w:val="0"/>
              <w:snapToGrid w:val="0"/>
              <w:spacing w:before="62" w:beforeLines="20" w:after="62" w:afterLines="20"/>
              <w:ind w:firstLine="420" w:firstLineChars="200"/>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6</w:t>
            </w:r>
            <w:r>
              <w:rPr>
                <w:rFonts w:hint="eastAsia" w:ascii="宋体" w:hAnsi="宋体" w:cs="宋体"/>
                <w:szCs w:val="21"/>
              </w:rPr>
              <w:t>)</w:t>
            </w:r>
            <w:r>
              <w:rPr>
                <w:rFonts w:hint="eastAsia" w:ascii="宋体" w:hAnsi="宋体" w:cs="宋体"/>
                <w:szCs w:val="21"/>
                <w:lang w:val="zh-CN"/>
              </w:rPr>
              <w:t>投标人的项目经理和项目总工资格、在岗情况符合招标文件规定，</w:t>
            </w:r>
            <w:r>
              <w:rPr>
                <w:rFonts w:hint="eastAsia" w:ascii="宋体" w:hAnsi="宋体" w:cs="宋体"/>
                <w:szCs w:val="21"/>
              </w:rPr>
              <w:t>且提供了满足招标文件要求的证明资料。</w:t>
            </w:r>
          </w:p>
          <w:p w14:paraId="6FC46396">
            <w:pPr>
              <w:adjustRightInd w:val="0"/>
              <w:snapToGrid w:val="0"/>
              <w:spacing w:before="62" w:beforeLines="20" w:after="62" w:afterLines="20"/>
              <w:ind w:firstLine="420" w:firstLineChars="200"/>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7</w:t>
            </w:r>
            <w:r>
              <w:rPr>
                <w:rFonts w:hint="eastAsia" w:ascii="宋体" w:hAnsi="宋体" w:cs="宋体"/>
                <w:szCs w:val="21"/>
              </w:rPr>
              <w:t>)</w:t>
            </w:r>
            <w:r>
              <w:rPr>
                <w:rFonts w:hint="eastAsia" w:ascii="宋体" w:hAnsi="宋体" w:cs="宋体"/>
                <w:szCs w:val="21"/>
                <w:lang w:val="zh-CN"/>
              </w:rPr>
              <w:t>投标人不存在第二章“投标人须知”第1.4.3项或第1.4.4项规定的任何一种情形。</w:t>
            </w:r>
          </w:p>
          <w:p w14:paraId="364F8C0E">
            <w:pPr>
              <w:adjustRightInd w:val="0"/>
              <w:snapToGrid w:val="0"/>
              <w:spacing w:before="62" w:beforeLines="20" w:after="62" w:afterLines="20"/>
              <w:ind w:firstLine="420" w:firstLineChars="200"/>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8</w:t>
            </w:r>
            <w:r>
              <w:rPr>
                <w:rFonts w:hint="eastAsia" w:ascii="宋体" w:hAnsi="宋体" w:cs="宋体"/>
                <w:szCs w:val="21"/>
              </w:rPr>
              <w:t>)</w:t>
            </w:r>
            <w:r>
              <w:rPr>
                <w:rFonts w:hint="eastAsia" w:ascii="宋体" w:hAnsi="宋体"/>
                <w:bCs/>
                <w:szCs w:val="21"/>
              </w:rPr>
              <w:t>投标人</w:t>
            </w:r>
            <w:r>
              <w:rPr>
                <w:rFonts w:hint="eastAsia" w:ascii="宋体" w:hAnsi="宋体" w:cs="宋体"/>
                <w:szCs w:val="21"/>
              </w:rPr>
              <w:t>以联合体形式参与投标的，联合体各方均未再以自己名义单独或参加其他联合体在同一标段中投标；独立参与投标的，投标人未同时参加联合体在同一标段中投标。</w:t>
            </w:r>
          </w:p>
        </w:tc>
      </w:tr>
    </w:tbl>
    <w:p w14:paraId="658EA4FC">
      <w:r>
        <w:br w:type="page"/>
      </w:r>
    </w:p>
    <w:tbl>
      <w:tblPr>
        <w:tblStyle w:val="11"/>
        <w:tblW w:w="0" w:type="auto"/>
        <w:tblInd w:w="0" w:type="dxa"/>
        <w:tblLayout w:type="fixed"/>
        <w:tblCellMar>
          <w:top w:w="0" w:type="dxa"/>
          <w:left w:w="108" w:type="dxa"/>
          <w:bottom w:w="0" w:type="dxa"/>
          <w:right w:w="108" w:type="dxa"/>
        </w:tblCellMar>
      </w:tblPr>
      <w:tblGrid>
        <w:gridCol w:w="2093"/>
        <w:gridCol w:w="1902"/>
        <w:gridCol w:w="5492"/>
      </w:tblGrid>
      <w:tr w14:paraId="36DD5214">
        <w:tblPrEx>
          <w:tblCellMar>
            <w:top w:w="0" w:type="dxa"/>
            <w:left w:w="108" w:type="dxa"/>
            <w:bottom w:w="0" w:type="dxa"/>
            <w:right w:w="108" w:type="dxa"/>
          </w:tblCellMar>
        </w:tblPrEx>
        <w:trPr>
          <w:tblHeader/>
        </w:trPr>
        <w:tc>
          <w:tcPr>
            <w:tcW w:w="2093" w:type="dxa"/>
            <w:tcBorders>
              <w:top w:val="single" w:color="auto" w:sz="4" w:space="0"/>
              <w:left w:val="single" w:color="auto" w:sz="4" w:space="0"/>
              <w:bottom w:val="single" w:color="auto" w:sz="4" w:space="0"/>
              <w:right w:val="single" w:color="auto" w:sz="4" w:space="0"/>
            </w:tcBorders>
            <w:noWrap w:val="0"/>
            <w:vAlign w:val="center"/>
          </w:tcPr>
          <w:p w14:paraId="21C5E0A3">
            <w:pPr>
              <w:autoSpaceDE w:val="0"/>
              <w:autoSpaceDN w:val="0"/>
              <w:adjustRightInd w:val="0"/>
              <w:spacing w:line="360" w:lineRule="exact"/>
              <w:jc w:val="center"/>
              <w:rPr>
                <w:bCs/>
                <w:szCs w:val="21"/>
                <w:lang w:val="zh-CN"/>
              </w:rPr>
            </w:pPr>
            <w:r>
              <w:rPr>
                <w:bCs/>
                <w:szCs w:val="21"/>
                <w:lang w:val="zh-CN"/>
              </w:rPr>
              <w:t>条款号</w:t>
            </w:r>
          </w:p>
        </w:tc>
        <w:tc>
          <w:tcPr>
            <w:tcW w:w="1902" w:type="dxa"/>
            <w:tcBorders>
              <w:top w:val="single" w:color="auto" w:sz="4" w:space="0"/>
              <w:left w:val="single" w:color="auto" w:sz="4" w:space="0"/>
              <w:bottom w:val="single" w:color="auto" w:sz="4" w:space="0"/>
              <w:right w:val="single" w:color="auto" w:sz="4" w:space="0"/>
            </w:tcBorders>
            <w:noWrap w:val="0"/>
            <w:vAlign w:val="center"/>
          </w:tcPr>
          <w:p w14:paraId="1D480A66">
            <w:pPr>
              <w:autoSpaceDE w:val="0"/>
              <w:autoSpaceDN w:val="0"/>
              <w:adjustRightInd w:val="0"/>
              <w:spacing w:line="360" w:lineRule="exact"/>
              <w:jc w:val="center"/>
              <w:rPr>
                <w:bCs/>
                <w:szCs w:val="21"/>
                <w:lang w:val="zh-CN"/>
              </w:rPr>
            </w:pPr>
            <w:r>
              <w:rPr>
                <w:bCs/>
                <w:szCs w:val="21"/>
                <w:lang w:val="zh-CN"/>
              </w:rPr>
              <w:t>条款内容</w:t>
            </w:r>
          </w:p>
        </w:tc>
        <w:tc>
          <w:tcPr>
            <w:tcW w:w="5492" w:type="dxa"/>
            <w:tcBorders>
              <w:top w:val="single" w:color="auto" w:sz="4" w:space="0"/>
              <w:left w:val="single" w:color="auto" w:sz="4" w:space="0"/>
              <w:bottom w:val="single" w:color="auto" w:sz="4" w:space="0"/>
              <w:right w:val="single" w:color="auto" w:sz="4" w:space="0"/>
            </w:tcBorders>
            <w:noWrap w:val="0"/>
            <w:vAlign w:val="center"/>
          </w:tcPr>
          <w:p w14:paraId="43231D0E">
            <w:pPr>
              <w:autoSpaceDE w:val="0"/>
              <w:autoSpaceDN w:val="0"/>
              <w:adjustRightInd w:val="0"/>
              <w:spacing w:line="360" w:lineRule="exact"/>
              <w:jc w:val="center"/>
              <w:rPr>
                <w:bCs/>
                <w:szCs w:val="21"/>
                <w:lang w:val="zh-CN"/>
              </w:rPr>
            </w:pPr>
            <w:r>
              <w:rPr>
                <w:bCs/>
                <w:szCs w:val="21"/>
                <w:lang w:val="zh-CN"/>
              </w:rPr>
              <w:t>编列内容</w:t>
            </w:r>
          </w:p>
        </w:tc>
      </w:tr>
      <w:tr w14:paraId="6313C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Borders>
              <w:top w:val="single" w:color="auto" w:sz="4" w:space="0"/>
              <w:left w:val="single" w:color="auto" w:sz="4" w:space="0"/>
              <w:bottom w:val="single" w:color="auto" w:sz="4" w:space="0"/>
              <w:right w:val="single" w:color="auto" w:sz="4" w:space="0"/>
            </w:tcBorders>
            <w:noWrap w:val="0"/>
            <w:vAlign w:val="center"/>
          </w:tcPr>
          <w:p w14:paraId="1F9C8065">
            <w:pPr>
              <w:autoSpaceDE w:val="0"/>
              <w:autoSpaceDN w:val="0"/>
              <w:adjustRightInd w:val="0"/>
              <w:spacing w:line="360" w:lineRule="exact"/>
              <w:ind w:firstLine="480"/>
              <w:jc w:val="center"/>
              <w:rPr>
                <w:bCs/>
                <w:szCs w:val="21"/>
                <w:lang w:val="zh-CN"/>
              </w:rPr>
            </w:pPr>
            <w:r>
              <w:rPr>
                <w:bCs/>
                <w:szCs w:val="21"/>
                <w:lang w:val="zh-CN"/>
              </w:rPr>
              <w:t>2.2.1</w:t>
            </w:r>
          </w:p>
        </w:tc>
        <w:tc>
          <w:tcPr>
            <w:tcW w:w="1902" w:type="dxa"/>
            <w:tcBorders>
              <w:top w:val="single" w:color="auto" w:sz="4" w:space="0"/>
              <w:left w:val="single" w:color="auto" w:sz="4" w:space="0"/>
              <w:bottom w:val="single" w:color="auto" w:sz="4" w:space="0"/>
              <w:right w:val="single" w:color="auto" w:sz="4" w:space="0"/>
            </w:tcBorders>
            <w:noWrap w:val="0"/>
            <w:vAlign w:val="center"/>
          </w:tcPr>
          <w:p w14:paraId="057CB8F5">
            <w:pPr>
              <w:adjustRightInd w:val="0"/>
              <w:snapToGrid w:val="0"/>
              <w:spacing w:before="46" w:beforeLines="15" w:after="46" w:afterLines="15" w:line="360" w:lineRule="exact"/>
              <w:jc w:val="center"/>
              <w:rPr>
                <w:szCs w:val="21"/>
              </w:rPr>
            </w:pPr>
            <w:r>
              <w:rPr>
                <w:szCs w:val="21"/>
              </w:rPr>
              <w:t>分值构成</w:t>
            </w:r>
          </w:p>
          <w:p w14:paraId="0C7B74A4">
            <w:pPr>
              <w:adjustRightInd w:val="0"/>
              <w:snapToGrid w:val="0"/>
              <w:spacing w:before="46" w:beforeLines="15" w:after="46" w:afterLines="15" w:line="360" w:lineRule="exact"/>
              <w:jc w:val="center"/>
              <w:rPr>
                <w:szCs w:val="21"/>
              </w:rPr>
            </w:pPr>
            <w:r>
              <w:rPr>
                <w:szCs w:val="21"/>
              </w:rPr>
              <w:t>（总分100分）</w:t>
            </w:r>
          </w:p>
        </w:tc>
        <w:tc>
          <w:tcPr>
            <w:tcW w:w="5492" w:type="dxa"/>
            <w:tcBorders>
              <w:top w:val="single" w:color="auto" w:sz="4" w:space="0"/>
              <w:left w:val="single" w:color="auto" w:sz="4" w:space="0"/>
              <w:bottom w:val="single" w:color="auto" w:sz="4" w:space="0"/>
              <w:right w:val="single" w:color="auto" w:sz="4" w:space="0"/>
            </w:tcBorders>
            <w:noWrap w:val="0"/>
            <w:vAlign w:val="center"/>
          </w:tcPr>
          <w:p w14:paraId="2C39EAAA">
            <w:pPr>
              <w:adjustRightInd w:val="0"/>
              <w:snapToGrid w:val="0"/>
              <w:spacing w:before="62" w:beforeLines="20" w:after="62" w:afterLines="20" w:line="360" w:lineRule="exact"/>
              <w:ind w:left="420" w:leftChars="200"/>
              <w:rPr>
                <w:szCs w:val="21"/>
              </w:rPr>
            </w:pPr>
            <w:r>
              <w:rPr>
                <w:szCs w:val="21"/>
              </w:rPr>
              <w:t>施工组织设计：</w:t>
            </w:r>
            <w:r>
              <w:rPr>
                <w:rFonts w:hint="eastAsia"/>
                <w:szCs w:val="21"/>
              </w:rPr>
              <w:t>40</w:t>
            </w:r>
            <w:r>
              <w:rPr>
                <w:szCs w:val="21"/>
              </w:rPr>
              <w:t>分</w:t>
            </w:r>
          </w:p>
          <w:p w14:paraId="40BBB72C">
            <w:pPr>
              <w:adjustRightInd w:val="0"/>
              <w:snapToGrid w:val="0"/>
              <w:spacing w:before="62" w:beforeLines="20" w:after="62" w:afterLines="20" w:line="360" w:lineRule="exact"/>
              <w:ind w:left="420" w:leftChars="200"/>
              <w:rPr>
                <w:szCs w:val="21"/>
              </w:rPr>
            </w:pPr>
            <w:r>
              <w:rPr>
                <w:rFonts w:hint="eastAsia"/>
                <w:szCs w:val="21"/>
              </w:rPr>
              <w:t>主要人员</w:t>
            </w:r>
            <w:r>
              <w:rPr>
                <w:szCs w:val="21"/>
              </w:rPr>
              <w:t>：</w:t>
            </w:r>
            <w:r>
              <w:rPr>
                <w:rFonts w:hint="eastAsia"/>
                <w:szCs w:val="21"/>
              </w:rPr>
              <w:t>30</w:t>
            </w:r>
            <w:r>
              <w:rPr>
                <w:szCs w:val="21"/>
              </w:rPr>
              <w:t>分</w:t>
            </w:r>
          </w:p>
          <w:p w14:paraId="4B5912AD">
            <w:pPr>
              <w:adjustRightInd w:val="0"/>
              <w:snapToGrid w:val="0"/>
              <w:spacing w:before="62" w:beforeLines="20" w:after="62" w:afterLines="20" w:line="360" w:lineRule="exact"/>
              <w:ind w:left="420" w:leftChars="200"/>
              <w:rPr>
                <w:rFonts w:hint="eastAsia"/>
                <w:szCs w:val="21"/>
              </w:rPr>
            </w:pPr>
            <w:r>
              <w:rPr>
                <w:rFonts w:hint="eastAsia"/>
                <w:szCs w:val="21"/>
              </w:rPr>
              <w:t>技术能力：15分</w:t>
            </w:r>
          </w:p>
          <w:p w14:paraId="31A71143">
            <w:pPr>
              <w:adjustRightInd w:val="0"/>
              <w:snapToGrid w:val="0"/>
              <w:spacing w:before="62" w:beforeLines="20" w:after="62" w:afterLines="20" w:line="360" w:lineRule="exact"/>
              <w:ind w:firstLine="420" w:firstLineChars="200"/>
              <w:rPr>
                <w:szCs w:val="21"/>
              </w:rPr>
            </w:pPr>
            <w:r>
              <w:rPr>
                <w:rFonts w:hint="eastAsia"/>
                <w:szCs w:val="21"/>
              </w:rPr>
              <w:t>履约信誉：15分</w:t>
            </w:r>
          </w:p>
        </w:tc>
      </w:tr>
      <w:tr w14:paraId="4FAE0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2093" w:type="dxa"/>
            <w:tcBorders>
              <w:top w:val="single" w:color="auto" w:sz="4" w:space="0"/>
              <w:left w:val="single" w:color="auto" w:sz="4" w:space="0"/>
              <w:bottom w:val="single" w:color="auto" w:sz="4" w:space="0"/>
              <w:right w:val="single" w:color="auto" w:sz="4" w:space="0"/>
            </w:tcBorders>
            <w:noWrap w:val="0"/>
            <w:vAlign w:val="center"/>
          </w:tcPr>
          <w:p w14:paraId="4F50336F">
            <w:pPr>
              <w:autoSpaceDE w:val="0"/>
              <w:autoSpaceDN w:val="0"/>
              <w:adjustRightInd w:val="0"/>
              <w:spacing w:line="360" w:lineRule="exact"/>
              <w:ind w:firstLine="480"/>
              <w:jc w:val="center"/>
              <w:rPr>
                <w:bCs/>
                <w:szCs w:val="21"/>
                <w:lang w:val="zh-CN"/>
              </w:rPr>
            </w:pPr>
            <w:r>
              <w:rPr>
                <w:bCs/>
                <w:szCs w:val="21"/>
                <w:lang w:val="zh-CN"/>
              </w:rPr>
              <w:t>2.2.3</w:t>
            </w:r>
          </w:p>
        </w:tc>
        <w:tc>
          <w:tcPr>
            <w:tcW w:w="1902" w:type="dxa"/>
            <w:tcBorders>
              <w:top w:val="single" w:color="auto" w:sz="4" w:space="0"/>
              <w:left w:val="single" w:color="auto" w:sz="4" w:space="0"/>
              <w:bottom w:val="single" w:color="auto" w:sz="4" w:space="0"/>
              <w:right w:val="single" w:color="auto" w:sz="4" w:space="0"/>
            </w:tcBorders>
            <w:noWrap w:val="0"/>
            <w:vAlign w:val="center"/>
          </w:tcPr>
          <w:p w14:paraId="562D00D4">
            <w:pPr>
              <w:autoSpaceDE w:val="0"/>
              <w:autoSpaceDN w:val="0"/>
              <w:adjustRightInd w:val="0"/>
              <w:spacing w:line="360" w:lineRule="exact"/>
              <w:ind w:firstLine="105" w:firstLineChars="50"/>
              <w:jc w:val="center"/>
              <w:rPr>
                <w:bCs/>
                <w:szCs w:val="21"/>
                <w:lang w:val="zh-CN"/>
              </w:rPr>
            </w:pPr>
            <w:r>
              <w:rPr>
                <w:rFonts w:hint="eastAsia"/>
                <w:bCs/>
                <w:szCs w:val="21"/>
                <w:lang w:val="zh-CN"/>
              </w:rPr>
              <w:t>第二个信封详细评审标准</w:t>
            </w:r>
          </w:p>
        </w:tc>
        <w:tc>
          <w:tcPr>
            <w:tcW w:w="5492" w:type="dxa"/>
            <w:tcBorders>
              <w:top w:val="single" w:color="auto" w:sz="4" w:space="0"/>
              <w:left w:val="single" w:color="auto" w:sz="4" w:space="0"/>
              <w:bottom w:val="single" w:color="auto" w:sz="4" w:space="0"/>
              <w:right w:val="single" w:color="auto" w:sz="4" w:space="0"/>
            </w:tcBorders>
            <w:noWrap w:val="0"/>
            <w:vAlign w:val="center"/>
          </w:tcPr>
          <w:p w14:paraId="5ED38867">
            <w:pPr>
              <w:autoSpaceDE w:val="0"/>
              <w:autoSpaceDN w:val="0"/>
              <w:adjustRightInd w:val="0"/>
              <w:spacing w:line="360" w:lineRule="exact"/>
              <w:rPr>
                <w:bCs/>
                <w:szCs w:val="21"/>
                <w:lang w:val="zh-CN"/>
              </w:rPr>
            </w:pPr>
            <w:r>
              <w:rPr>
                <w:rFonts w:hint="eastAsia" w:ascii="宋体" w:hAnsi="宋体"/>
                <w:szCs w:val="21"/>
              </w:rPr>
              <w:t>评标价计算公式：评标价=投标函文字报价－暂估价－暂列金额（不含计日工总额）</w:t>
            </w:r>
          </w:p>
        </w:tc>
      </w:tr>
      <w:tr w14:paraId="5A5F5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2093" w:type="dxa"/>
            <w:tcBorders>
              <w:top w:val="single" w:color="auto" w:sz="4" w:space="0"/>
              <w:left w:val="single" w:color="auto" w:sz="4" w:space="0"/>
              <w:bottom w:val="single" w:color="auto" w:sz="4" w:space="0"/>
              <w:right w:val="single" w:color="auto" w:sz="4" w:space="0"/>
            </w:tcBorders>
            <w:noWrap w:val="0"/>
            <w:vAlign w:val="center"/>
          </w:tcPr>
          <w:p w14:paraId="7B785A8B">
            <w:pPr>
              <w:autoSpaceDE w:val="0"/>
              <w:autoSpaceDN w:val="0"/>
              <w:adjustRightInd w:val="0"/>
              <w:spacing w:line="360" w:lineRule="exact"/>
              <w:ind w:firstLine="480"/>
              <w:jc w:val="center"/>
              <w:rPr>
                <w:bCs/>
                <w:szCs w:val="21"/>
                <w:lang w:val="zh-CN"/>
              </w:rPr>
            </w:pPr>
            <w:r>
              <w:rPr>
                <w:rFonts w:hint="eastAsia"/>
                <w:bCs/>
                <w:szCs w:val="21"/>
                <w:lang w:val="zh-CN"/>
              </w:rPr>
              <w:t>3.2.4</w:t>
            </w:r>
          </w:p>
        </w:tc>
        <w:tc>
          <w:tcPr>
            <w:tcW w:w="1902" w:type="dxa"/>
            <w:tcBorders>
              <w:top w:val="single" w:color="auto" w:sz="4" w:space="0"/>
              <w:left w:val="single" w:color="auto" w:sz="4" w:space="0"/>
              <w:bottom w:val="single" w:color="auto" w:sz="4" w:space="0"/>
              <w:right w:val="single" w:color="auto" w:sz="4" w:space="0"/>
            </w:tcBorders>
            <w:noWrap w:val="0"/>
            <w:vAlign w:val="center"/>
          </w:tcPr>
          <w:p w14:paraId="4D8C137A">
            <w:pPr>
              <w:autoSpaceDE w:val="0"/>
              <w:autoSpaceDN w:val="0"/>
              <w:adjustRightInd w:val="0"/>
              <w:spacing w:line="360" w:lineRule="exact"/>
              <w:jc w:val="center"/>
              <w:rPr>
                <w:bCs/>
                <w:szCs w:val="21"/>
                <w:lang w:val="zh-CN"/>
              </w:rPr>
            </w:pPr>
            <w:r>
              <w:rPr>
                <w:rFonts w:hint="eastAsia"/>
                <w:bCs/>
                <w:szCs w:val="21"/>
                <w:lang w:val="zh-CN"/>
              </w:rPr>
              <w:t>通过第一个信封</w:t>
            </w:r>
          </w:p>
          <w:p w14:paraId="1C0C0CF8">
            <w:pPr>
              <w:autoSpaceDE w:val="0"/>
              <w:autoSpaceDN w:val="0"/>
              <w:adjustRightInd w:val="0"/>
              <w:spacing w:line="360" w:lineRule="exact"/>
              <w:jc w:val="center"/>
              <w:rPr>
                <w:bCs/>
                <w:szCs w:val="21"/>
                <w:lang w:val="zh-CN"/>
              </w:rPr>
            </w:pPr>
            <w:r>
              <w:rPr>
                <w:rFonts w:hint="eastAsia"/>
                <w:bCs/>
                <w:szCs w:val="21"/>
                <w:lang w:val="zh-CN"/>
              </w:rPr>
              <w:t>详细评审的投标人数量</w:t>
            </w:r>
          </w:p>
        </w:tc>
        <w:tc>
          <w:tcPr>
            <w:tcW w:w="5492" w:type="dxa"/>
            <w:tcBorders>
              <w:top w:val="single" w:color="auto" w:sz="4" w:space="0"/>
              <w:left w:val="single" w:color="auto" w:sz="4" w:space="0"/>
              <w:bottom w:val="single" w:color="auto" w:sz="4" w:space="0"/>
              <w:right w:val="single" w:color="auto" w:sz="4" w:space="0"/>
            </w:tcBorders>
            <w:noWrap w:val="0"/>
            <w:vAlign w:val="center"/>
          </w:tcPr>
          <w:p w14:paraId="025DD7EA">
            <w:pPr>
              <w:autoSpaceDE w:val="0"/>
              <w:autoSpaceDN w:val="0"/>
              <w:adjustRightInd w:val="0"/>
              <w:spacing w:line="360" w:lineRule="exact"/>
              <w:rPr>
                <w:szCs w:val="21"/>
              </w:rPr>
            </w:pPr>
            <w:r>
              <w:rPr>
                <w:rFonts w:hint="eastAsia"/>
                <w:szCs w:val="21"/>
              </w:rPr>
              <w:t>按照投标人的商务和技术得分由高到低排序，选择前3名通过第一个信封详细评审。如通过第一个信封详细评审的投标人数量不足3名时，由评标委员会根据法律、法规和部门规章的相关规定确定是否继续进行评标。</w:t>
            </w:r>
          </w:p>
        </w:tc>
      </w:tr>
    </w:tbl>
    <w:p w14:paraId="0B9F328F">
      <w:r>
        <w:br w:type="page"/>
      </w:r>
    </w:p>
    <w:tbl>
      <w:tblPr>
        <w:tblStyle w:val="11"/>
        <w:tblW w:w="9676"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autofit"/>
        <w:tblCellMar>
          <w:top w:w="0" w:type="dxa"/>
          <w:left w:w="28" w:type="dxa"/>
          <w:bottom w:w="0" w:type="dxa"/>
          <w:right w:w="28" w:type="dxa"/>
        </w:tblCellMar>
      </w:tblPr>
      <w:tblGrid>
        <w:gridCol w:w="879"/>
        <w:gridCol w:w="671"/>
        <w:gridCol w:w="815"/>
        <w:gridCol w:w="1050"/>
        <w:gridCol w:w="1885"/>
        <w:gridCol w:w="495"/>
        <w:gridCol w:w="943"/>
        <w:gridCol w:w="2938"/>
      </w:tblGrid>
      <w:tr w14:paraId="1E13005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668" w:hRule="atLeast"/>
          <w:jc w:val="center"/>
        </w:trPr>
        <w:tc>
          <w:tcPr>
            <w:tcW w:w="6738" w:type="dxa"/>
            <w:gridSpan w:val="7"/>
            <w:tcBorders>
              <w:tl2br w:val="nil"/>
              <w:tr2bl w:val="nil"/>
            </w:tcBorders>
            <w:noWrap w:val="0"/>
            <w:vAlign w:val="center"/>
          </w:tcPr>
          <w:p w14:paraId="2403FC9F">
            <w:pPr>
              <w:adjustRightInd w:val="0"/>
              <w:snapToGrid w:val="0"/>
              <w:jc w:val="center"/>
              <w:rPr>
                <w:szCs w:val="21"/>
              </w:rPr>
            </w:pPr>
            <w:r>
              <w:rPr>
                <w:szCs w:val="21"/>
              </w:rPr>
              <w:t>评分因素与权重分值</w:t>
            </w:r>
          </w:p>
        </w:tc>
        <w:tc>
          <w:tcPr>
            <w:tcW w:w="2938" w:type="dxa"/>
            <w:vMerge w:val="restart"/>
            <w:tcBorders>
              <w:tl2br w:val="nil"/>
              <w:tr2bl w:val="nil"/>
            </w:tcBorders>
            <w:noWrap w:val="0"/>
            <w:vAlign w:val="center"/>
          </w:tcPr>
          <w:p w14:paraId="0F1055AE">
            <w:pPr>
              <w:adjustRightInd w:val="0"/>
              <w:snapToGrid w:val="0"/>
              <w:jc w:val="center"/>
              <w:rPr>
                <w:szCs w:val="21"/>
              </w:rPr>
            </w:pPr>
            <w:r>
              <w:rPr>
                <w:szCs w:val="21"/>
              </w:rPr>
              <w:t>评分标准</w:t>
            </w:r>
          </w:p>
        </w:tc>
      </w:tr>
      <w:tr w14:paraId="0F3D1D7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908" w:hRule="atLeast"/>
          <w:jc w:val="center"/>
        </w:trPr>
        <w:tc>
          <w:tcPr>
            <w:tcW w:w="879" w:type="dxa"/>
            <w:tcBorders>
              <w:tl2br w:val="nil"/>
              <w:tr2bl w:val="nil"/>
            </w:tcBorders>
            <w:noWrap w:val="0"/>
            <w:vAlign w:val="center"/>
          </w:tcPr>
          <w:p w14:paraId="45208C9A">
            <w:pPr>
              <w:adjustRightInd w:val="0"/>
              <w:snapToGrid w:val="0"/>
              <w:jc w:val="center"/>
              <w:rPr>
                <w:szCs w:val="21"/>
              </w:rPr>
            </w:pPr>
            <w:r>
              <w:rPr>
                <w:szCs w:val="21"/>
              </w:rPr>
              <w:t>条款号</w:t>
            </w:r>
          </w:p>
        </w:tc>
        <w:tc>
          <w:tcPr>
            <w:tcW w:w="1486" w:type="dxa"/>
            <w:gridSpan w:val="2"/>
            <w:tcBorders>
              <w:tl2br w:val="nil"/>
              <w:tr2bl w:val="nil"/>
            </w:tcBorders>
            <w:noWrap w:val="0"/>
            <w:vAlign w:val="center"/>
          </w:tcPr>
          <w:p w14:paraId="3F25A95F">
            <w:pPr>
              <w:adjustRightInd w:val="0"/>
              <w:snapToGrid w:val="0"/>
              <w:jc w:val="center"/>
              <w:rPr>
                <w:rFonts w:hint="eastAsia"/>
                <w:szCs w:val="21"/>
              </w:rPr>
            </w:pPr>
            <w:r>
              <w:rPr>
                <w:szCs w:val="21"/>
              </w:rPr>
              <w:t>评分</w:t>
            </w:r>
          </w:p>
          <w:p w14:paraId="4BA6D3F8">
            <w:pPr>
              <w:adjustRightInd w:val="0"/>
              <w:snapToGrid w:val="0"/>
              <w:jc w:val="center"/>
              <w:rPr>
                <w:szCs w:val="21"/>
              </w:rPr>
            </w:pPr>
            <w:r>
              <w:rPr>
                <w:szCs w:val="21"/>
              </w:rPr>
              <w:t>因素</w:t>
            </w:r>
          </w:p>
        </w:tc>
        <w:tc>
          <w:tcPr>
            <w:tcW w:w="1050" w:type="dxa"/>
            <w:tcBorders>
              <w:tl2br w:val="nil"/>
              <w:tr2bl w:val="nil"/>
            </w:tcBorders>
            <w:noWrap w:val="0"/>
            <w:vAlign w:val="center"/>
          </w:tcPr>
          <w:p w14:paraId="177560CE">
            <w:pPr>
              <w:adjustRightInd w:val="0"/>
              <w:snapToGrid w:val="0"/>
              <w:jc w:val="center"/>
              <w:rPr>
                <w:rFonts w:hint="eastAsia"/>
                <w:szCs w:val="21"/>
              </w:rPr>
            </w:pPr>
            <w:r>
              <w:rPr>
                <w:szCs w:val="21"/>
              </w:rPr>
              <w:t>评分因素</w:t>
            </w:r>
          </w:p>
          <w:p w14:paraId="242FFA7F">
            <w:pPr>
              <w:adjustRightInd w:val="0"/>
              <w:snapToGrid w:val="0"/>
              <w:jc w:val="center"/>
              <w:rPr>
                <w:szCs w:val="21"/>
              </w:rPr>
            </w:pPr>
            <w:r>
              <w:rPr>
                <w:szCs w:val="21"/>
              </w:rPr>
              <w:t>权重分值</w:t>
            </w:r>
          </w:p>
        </w:tc>
        <w:tc>
          <w:tcPr>
            <w:tcW w:w="1885" w:type="dxa"/>
            <w:tcBorders>
              <w:tl2br w:val="nil"/>
              <w:tr2bl w:val="nil"/>
            </w:tcBorders>
            <w:noWrap w:val="0"/>
            <w:vAlign w:val="center"/>
          </w:tcPr>
          <w:p w14:paraId="53F51C59">
            <w:pPr>
              <w:adjustRightInd w:val="0"/>
              <w:snapToGrid w:val="0"/>
              <w:jc w:val="center"/>
              <w:rPr>
                <w:szCs w:val="21"/>
              </w:rPr>
            </w:pPr>
            <w:r>
              <w:rPr>
                <w:szCs w:val="21"/>
              </w:rPr>
              <w:t>各评分因素细分项</w:t>
            </w:r>
          </w:p>
        </w:tc>
        <w:tc>
          <w:tcPr>
            <w:tcW w:w="1438" w:type="dxa"/>
            <w:gridSpan w:val="2"/>
            <w:tcBorders>
              <w:tl2br w:val="nil"/>
              <w:tr2bl w:val="nil"/>
            </w:tcBorders>
            <w:noWrap w:val="0"/>
            <w:vAlign w:val="center"/>
          </w:tcPr>
          <w:p w14:paraId="31DCF962">
            <w:pPr>
              <w:adjustRightInd w:val="0"/>
              <w:snapToGrid w:val="0"/>
              <w:jc w:val="center"/>
              <w:rPr>
                <w:szCs w:val="21"/>
              </w:rPr>
            </w:pPr>
            <w:r>
              <w:rPr>
                <w:szCs w:val="21"/>
              </w:rPr>
              <w:t>分值</w:t>
            </w:r>
          </w:p>
        </w:tc>
        <w:tc>
          <w:tcPr>
            <w:tcW w:w="2938" w:type="dxa"/>
            <w:vMerge w:val="continue"/>
            <w:tcBorders>
              <w:tl2br w:val="nil"/>
              <w:tr2bl w:val="nil"/>
            </w:tcBorders>
            <w:noWrap w:val="0"/>
            <w:vAlign w:val="center"/>
          </w:tcPr>
          <w:p w14:paraId="417308E2">
            <w:pPr>
              <w:adjustRightInd w:val="0"/>
              <w:snapToGrid w:val="0"/>
              <w:jc w:val="center"/>
              <w:rPr>
                <w:b/>
                <w:szCs w:val="21"/>
              </w:rPr>
            </w:pPr>
          </w:p>
        </w:tc>
      </w:tr>
      <w:tr w14:paraId="4E20D4F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1357" w:hRule="atLeast"/>
          <w:jc w:val="center"/>
        </w:trPr>
        <w:tc>
          <w:tcPr>
            <w:tcW w:w="879" w:type="dxa"/>
            <w:vMerge w:val="restart"/>
            <w:tcBorders>
              <w:tl2br w:val="nil"/>
              <w:tr2bl w:val="nil"/>
            </w:tcBorders>
            <w:noWrap w:val="0"/>
            <w:vAlign w:val="center"/>
          </w:tcPr>
          <w:p w14:paraId="060FF901">
            <w:pPr>
              <w:adjustRightInd w:val="0"/>
              <w:snapToGrid w:val="0"/>
              <w:spacing w:line="340" w:lineRule="exact"/>
              <w:jc w:val="center"/>
              <w:rPr>
                <w:szCs w:val="21"/>
              </w:rPr>
            </w:pPr>
            <w:r>
              <w:rPr>
                <w:szCs w:val="21"/>
              </w:rPr>
              <w:t>2.2.</w:t>
            </w:r>
            <w:r>
              <w:rPr>
                <w:rFonts w:hint="eastAsia"/>
                <w:szCs w:val="21"/>
              </w:rPr>
              <w:t>2</w:t>
            </w:r>
            <w:r>
              <w:rPr>
                <w:szCs w:val="21"/>
              </w:rPr>
              <w:t>（1）</w:t>
            </w:r>
          </w:p>
        </w:tc>
        <w:tc>
          <w:tcPr>
            <w:tcW w:w="1486" w:type="dxa"/>
            <w:gridSpan w:val="2"/>
            <w:vMerge w:val="restart"/>
            <w:tcBorders>
              <w:tl2br w:val="nil"/>
              <w:tr2bl w:val="nil"/>
            </w:tcBorders>
            <w:noWrap w:val="0"/>
            <w:vAlign w:val="center"/>
          </w:tcPr>
          <w:p w14:paraId="63170378">
            <w:pPr>
              <w:adjustRightInd w:val="0"/>
              <w:snapToGrid w:val="0"/>
              <w:spacing w:line="340" w:lineRule="exact"/>
              <w:jc w:val="center"/>
              <w:rPr>
                <w:szCs w:val="21"/>
              </w:rPr>
            </w:pPr>
            <w:r>
              <w:rPr>
                <w:szCs w:val="21"/>
              </w:rPr>
              <w:t>施工组织设计</w:t>
            </w:r>
          </w:p>
        </w:tc>
        <w:tc>
          <w:tcPr>
            <w:tcW w:w="1050" w:type="dxa"/>
            <w:vMerge w:val="restart"/>
            <w:tcBorders>
              <w:tl2br w:val="nil"/>
              <w:tr2bl w:val="nil"/>
            </w:tcBorders>
            <w:noWrap w:val="0"/>
            <w:vAlign w:val="center"/>
          </w:tcPr>
          <w:p w14:paraId="488F51E2">
            <w:pPr>
              <w:adjustRightInd w:val="0"/>
              <w:snapToGrid w:val="0"/>
              <w:spacing w:line="340" w:lineRule="exact"/>
              <w:jc w:val="center"/>
              <w:rPr>
                <w:sz w:val="24"/>
              </w:rPr>
            </w:pPr>
            <w:r>
              <w:rPr>
                <w:rFonts w:hint="eastAsia"/>
                <w:sz w:val="24"/>
              </w:rPr>
              <w:t>40</w:t>
            </w:r>
            <w:r>
              <w:rPr>
                <w:sz w:val="24"/>
              </w:rPr>
              <w:t>分</w:t>
            </w:r>
          </w:p>
        </w:tc>
        <w:tc>
          <w:tcPr>
            <w:tcW w:w="1885" w:type="dxa"/>
            <w:vMerge w:val="restart"/>
            <w:tcBorders>
              <w:tl2br w:val="nil"/>
              <w:tr2bl w:val="nil"/>
            </w:tcBorders>
            <w:noWrap w:val="0"/>
            <w:vAlign w:val="center"/>
          </w:tcPr>
          <w:p w14:paraId="028562EF">
            <w:pPr>
              <w:rPr>
                <w:szCs w:val="21"/>
              </w:rPr>
            </w:pPr>
            <w:r>
              <w:rPr>
                <w:rFonts w:hint="eastAsia"/>
                <w:szCs w:val="21"/>
              </w:rPr>
              <w:t>总体施工组织及安全、环保措施</w:t>
            </w:r>
          </w:p>
        </w:tc>
        <w:tc>
          <w:tcPr>
            <w:tcW w:w="1438" w:type="dxa"/>
            <w:gridSpan w:val="2"/>
            <w:tcBorders>
              <w:tl2br w:val="nil"/>
              <w:tr2bl w:val="nil"/>
            </w:tcBorders>
            <w:noWrap w:val="0"/>
            <w:vAlign w:val="center"/>
          </w:tcPr>
          <w:p w14:paraId="12ED950F">
            <w:pPr>
              <w:adjustRightInd w:val="0"/>
              <w:snapToGrid w:val="0"/>
              <w:spacing w:before="24" w:beforeLines="10" w:after="24" w:afterLines="10"/>
              <w:jc w:val="center"/>
              <w:rPr>
                <w:szCs w:val="21"/>
              </w:rPr>
            </w:pPr>
            <w:r>
              <w:rPr>
                <w:rFonts w:hint="eastAsia" w:ascii="宋体" w:hAnsi="宋体"/>
              </w:rPr>
              <w:t>10分</w:t>
            </w:r>
          </w:p>
        </w:tc>
        <w:tc>
          <w:tcPr>
            <w:tcW w:w="2938" w:type="dxa"/>
            <w:tcBorders>
              <w:tl2br w:val="nil"/>
              <w:tr2bl w:val="nil"/>
            </w:tcBorders>
            <w:noWrap w:val="0"/>
            <w:vAlign w:val="center"/>
          </w:tcPr>
          <w:p w14:paraId="73EE6B53">
            <w:pPr>
              <w:adjustRightInd w:val="0"/>
              <w:snapToGrid w:val="0"/>
              <w:spacing w:before="24" w:beforeLines="10" w:after="24" w:afterLines="10"/>
              <w:rPr>
                <w:rFonts w:ascii="宋体" w:hAnsi="宋体"/>
                <w:szCs w:val="21"/>
              </w:rPr>
            </w:pPr>
            <w:r>
              <w:rPr>
                <w:rFonts w:hint="eastAsia" w:ascii="宋体" w:hAnsi="宋体"/>
                <w:szCs w:val="21"/>
              </w:rPr>
              <w:t>按招标文件要求编制总体</w:t>
            </w:r>
            <w:r>
              <w:rPr>
                <w:rFonts w:hint="eastAsia" w:ascii="宋体" w:hAnsi="宋体"/>
                <w:szCs w:val="21"/>
                <w:lang w:val="en-US" w:eastAsia="zh-CN"/>
              </w:rPr>
              <w:t>施工</w:t>
            </w:r>
            <w:r>
              <w:rPr>
                <w:rFonts w:hint="eastAsia" w:ascii="宋体" w:hAnsi="宋体"/>
                <w:szCs w:val="21"/>
              </w:rPr>
              <w:t>组织布置及规划，得6分；</w:t>
            </w:r>
          </w:p>
          <w:p w14:paraId="1719C2A3">
            <w:pPr>
              <w:adjustRightInd w:val="0"/>
              <w:snapToGrid w:val="0"/>
              <w:spacing w:before="24" w:beforeLines="10" w:after="24" w:afterLines="10"/>
              <w:rPr>
                <w:szCs w:val="21"/>
              </w:rPr>
            </w:pPr>
            <w:r>
              <w:rPr>
                <w:rFonts w:hint="eastAsia" w:ascii="宋体" w:hAnsi="宋体"/>
                <w:szCs w:val="21"/>
              </w:rPr>
              <w:t>总体方案切实可行，对本项目具有针对性，得6分～10分。</w:t>
            </w:r>
          </w:p>
        </w:tc>
      </w:tr>
      <w:tr w14:paraId="1C8DC36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1931" w:hRule="atLeast"/>
          <w:jc w:val="center"/>
        </w:trPr>
        <w:tc>
          <w:tcPr>
            <w:tcW w:w="879" w:type="dxa"/>
            <w:vMerge w:val="continue"/>
            <w:tcBorders>
              <w:tl2br w:val="nil"/>
              <w:tr2bl w:val="nil"/>
            </w:tcBorders>
            <w:noWrap w:val="0"/>
            <w:vAlign w:val="center"/>
          </w:tcPr>
          <w:p w14:paraId="7A218202">
            <w:pPr>
              <w:adjustRightInd w:val="0"/>
              <w:snapToGrid w:val="0"/>
              <w:spacing w:line="340" w:lineRule="exact"/>
              <w:jc w:val="center"/>
              <w:rPr>
                <w:szCs w:val="21"/>
              </w:rPr>
            </w:pPr>
          </w:p>
        </w:tc>
        <w:tc>
          <w:tcPr>
            <w:tcW w:w="1486" w:type="dxa"/>
            <w:gridSpan w:val="2"/>
            <w:vMerge w:val="continue"/>
            <w:tcBorders>
              <w:tl2br w:val="nil"/>
              <w:tr2bl w:val="nil"/>
            </w:tcBorders>
            <w:noWrap w:val="0"/>
            <w:vAlign w:val="center"/>
          </w:tcPr>
          <w:p w14:paraId="22455F72">
            <w:pPr>
              <w:adjustRightInd w:val="0"/>
              <w:snapToGrid w:val="0"/>
              <w:spacing w:line="340" w:lineRule="exact"/>
              <w:jc w:val="center"/>
              <w:rPr>
                <w:szCs w:val="21"/>
              </w:rPr>
            </w:pPr>
          </w:p>
        </w:tc>
        <w:tc>
          <w:tcPr>
            <w:tcW w:w="1050" w:type="dxa"/>
            <w:vMerge w:val="continue"/>
            <w:tcBorders>
              <w:tl2br w:val="nil"/>
              <w:tr2bl w:val="nil"/>
            </w:tcBorders>
            <w:noWrap w:val="0"/>
            <w:vAlign w:val="center"/>
          </w:tcPr>
          <w:p w14:paraId="4DC0CB58">
            <w:pPr>
              <w:adjustRightInd w:val="0"/>
              <w:snapToGrid w:val="0"/>
              <w:spacing w:line="340" w:lineRule="exact"/>
              <w:jc w:val="center"/>
              <w:rPr>
                <w:sz w:val="24"/>
              </w:rPr>
            </w:pPr>
          </w:p>
        </w:tc>
        <w:tc>
          <w:tcPr>
            <w:tcW w:w="1885" w:type="dxa"/>
            <w:vMerge w:val="restart"/>
            <w:tcBorders>
              <w:tl2br w:val="nil"/>
              <w:tr2bl w:val="nil"/>
            </w:tcBorders>
            <w:noWrap w:val="0"/>
            <w:vAlign w:val="center"/>
          </w:tcPr>
          <w:p w14:paraId="32FF3C53">
            <w:pPr>
              <w:rPr>
                <w:szCs w:val="21"/>
              </w:rPr>
            </w:pPr>
            <w:r>
              <w:rPr>
                <w:rFonts w:hint="eastAsia"/>
                <w:szCs w:val="21"/>
              </w:rPr>
              <w:t>主要工程项目的施工方案、方法与技术措施</w:t>
            </w:r>
          </w:p>
        </w:tc>
        <w:tc>
          <w:tcPr>
            <w:tcW w:w="1438" w:type="dxa"/>
            <w:gridSpan w:val="2"/>
            <w:tcBorders>
              <w:tl2br w:val="nil"/>
              <w:tr2bl w:val="nil"/>
            </w:tcBorders>
            <w:noWrap w:val="0"/>
            <w:vAlign w:val="center"/>
          </w:tcPr>
          <w:p w14:paraId="21DD4790">
            <w:pPr>
              <w:adjustRightInd w:val="0"/>
              <w:snapToGrid w:val="0"/>
              <w:spacing w:before="48" w:beforeLines="20" w:after="48" w:afterLines="20"/>
              <w:jc w:val="center"/>
              <w:rPr>
                <w:rFonts w:hint="default" w:eastAsia="宋体"/>
                <w:szCs w:val="21"/>
                <w:lang w:val="en-US" w:eastAsia="zh-CN"/>
              </w:rPr>
            </w:pPr>
            <w:r>
              <w:rPr>
                <w:rFonts w:hint="eastAsia" w:ascii="宋体" w:hAnsi="宋体"/>
              </w:rPr>
              <w:t>15分</w:t>
            </w:r>
          </w:p>
        </w:tc>
        <w:tc>
          <w:tcPr>
            <w:tcW w:w="2938" w:type="dxa"/>
            <w:tcBorders>
              <w:tl2br w:val="nil"/>
              <w:tr2bl w:val="nil"/>
            </w:tcBorders>
            <w:noWrap w:val="0"/>
            <w:vAlign w:val="center"/>
          </w:tcPr>
          <w:p w14:paraId="521D62E2">
            <w:pPr>
              <w:adjustRightInd w:val="0"/>
              <w:snapToGrid w:val="0"/>
              <w:spacing w:before="48" w:beforeLines="20" w:after="48" w:afterLines="20"/>
              <w:rPr>
                <w:rFonts w:ascii="宋体" w:hAnsi="宋体"/>
                <w:szCs w:val="21"/>
              </w:rPr>
            </w:pPr>
            <w:r>
              <w:rPr>
                <w:rFonts w:hint="eastAsia" w:ascii="宋体" w:hAnsi="宋体"/>
                <w:szCs w:val="21"/>
              </w:rPr>
              <w:t>按招标文件要求编制</w:t>
            </w:r>
            <w:r>
              <w:rPr>
                <w:rFonts w:hint="eastAsia" w:ascii="宋体" w:hAnsi="宋体"/>
                <w:szCs w:val="21"/>
                <w:lang w:val="en-US" w:eastAsia="zh-CN"/>
              </w:rPr>
              <w:t>施工</w:t>
            </w:r>
            <w:r>
              <w:rPr>
                <w:rFonts w:hint="eastAsia" w:ascii="宋体" w:hAnsi="宋体"/>
                <w:szCs w:val="21"/>
              </w:rPr>
              <w:t>方案、方法与技术措施，得9分；</w:t>
            </w:r>
          </w:p>
          <w:p w14:paraId="6127CF96">
            <w:pPr>
              <w:adjustRightInd w:val="0"/>
              <w:snapToGrid w:val="0"/>
              <w:spacing w:before="48" w:beforeLines="20" w:after="48" w:afterLines="20"/>
              <w:rPr>
                <w:szCs w:val="21"/>
              </w:rPr>
            </w:pPr>
            <w:r>
              <w:rPr>
                <w:rFonts w:hint="eastAsia" w:ascii="宋体" w:hAnsi="宋体"/>
                <w:szCs w:val="21"/>
                <w:lang w:val="en-US" w:eastAsia="zh-CN"/>
              </w:rPr>
              <w:t>施工</w:t>
            </w:r>
            <w:r>
              <w:rPr>
                <w:rFonts w:hint="eastAsia" w:ascii="宋体" w:hAnsi="宋体"/>
                <w:szCs w:val="21"/>
              </w:rPr>
              <w:t>方案可行、</w:t>
            </w:r>
            <w:r>
              <w:rPr>
                <w:rFonts w:hint="eastAsia" w:ascii="宋体" w:hAnsi="宋体"/>
                <w:szCs w:val="21"/>
                <w:lang w:val="en-US" w:eastAsia="zh-CN"/>
              </w:rPr>
              <w:t>施工</w:t>
            </w:r>
            <w:r>
              <w:rPr>
                <w:rFonts w:hint="eastAsia" w:ascii="宋体" w:hAnsi="宋体"/>
                <w:szCs w:val="21"/>
              </w:rPr>
              <w:t>方法齐全、技术先进、施工工艺完善；重点难点突出，解决办法合理、科学、先进，得9分～15分。</w:t>
            </w:r>
          </w:p>
        </w:tc>
      </w:tr>
      <w:tr w14:paraId="1B4F0F5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1622" w:hRule="atLeast"/>
          <w:jc w:val="center"/>
        </w:trPr>
        <w:tc>
          <w:tcPr>
            <w:tcW w:w="879" w:type="dxa"/>
            <w:vMerge w:val="continue"/>
            <w:tcBorders>
              <w:tl2br w:val="nil"/>
              <w:tr2bl w:val="nil"/>
            </w:tcBorders>
            <w:noWrap w:val="0"/>
            <w:vAlign w:val="center"/>
          </w:tcPr>
          <w:p w14:paraId="1A8742E4">
            <w:pPr>
              <w:adjustRightInd w:val="0"/>
              <w:snapToGrid w:val="0"/>
              <w:spacing w:line="340" w:lineRule="exact"/>
              <w:jc w:val="center"/>
              <w:rPr>
                <w:szCs w:val="21"/>
              </w:rPr>
            </w:pPr>
          </w:p>
        </w:tc>
        <w:tc>
          <w:tcPr>
            <w:tcW w:w="1486" w:type="dxa"/>
            <w:gridSpan w:val="2"/>
            <w:vMerge w:val="continue"/>
            <w:tcBorders>
              <w:tl2br w:val="nil"/>
              <w:tr2bl w:val="nil"/>
            </w:tcBorders>
            <w:noWrap w:val="0"/>
            <w:vAlign w:val="center"/>
          </w:tcPr>
          <w:p w14:paraId="12EEFBE1">
            <w:pPr>
              <w:adjustRightInd w:val="0"/>
              <w:snapToGrid w:val="0"/>
              <w:spacing w:line="340" w:lineRule="exact"/>
              <w:jc w:val="center"/>
              <w:rPr>
                <w:szCs w:val="21"/>
              </w:rPr>
            </w:pPr>
          </w:p>
        </w:tc>
        <w:tc>
          <w:tcPr>
            <w:tcW w:w="1050" w:type="dxa"/>
            <w:vMerge w:val="continue"/>
            <w:tcBorders>
              <w:tl2br w:val="nil"/>
              <w:tr2bl w:val="nil"/>
            </w:tcBorders>
            <w:noWrap w:val="0"/>
            <w:vAlign w:val="center"/>
          </w:tcPr>
          <w:p w14:paraId="798F7D1E">
            <w:pPr>
              <w:adjustRightInd w:val="0"/>
              <w:snapToGrid w:val="0"/>
              <w:spacing w:line="340" w:lineRule="exact"/>
              <w:jc w:val="center"/>
              <w:rPr>
                <w:sz w:val="24"/>
              </w:rPr>
            </w:pPr>
          </w:p>
        </w:tc>
        <w:tc>
          <w:tcPr>
            <w:tcW w:w="1885" w:type="dxa"/>
            <w:vMerge w:val="restart"/>
            <w:tcBorders>
              <w:tl2br w:val="nil"/>
              <w:tr2bl w:val="nil"/>
            </w:tcBorders>
            <w:noWrap w:val="0"/>
            <w:vAlign w:val="center"/>
          </w:tcPr>
          <w:p w14:paraId="3ED72621">
            <w:pPr>
              <w:rPr>
                <w:szCs w:val="21"/>
              </w:rPr>
            </w:pPr>
            <w:r>
              <w:rPr>
                <w:rFonts w:hint="eastAsia" w:ascii="宋体" w:hAnsi="宋体"/>
              </w:rPr>
              <w:t>各类保证体系和保证措施</w:t>
            </w:r>
          </w:p>
        </w:tc>
        <w:tc>
          <w:tcPr>
            <w:tcW w:w="1438" w:type="dxa"/>
            <w:gridSpan w:val="2"/>
            <w:tcBorders>
              <w:tl2br w:val="nil"/>
              <w:tr2bl w:val="nil"/>
            </w:tcBorders>
            <w:noWrap w:val="0"/>
            <w:vAlign w:val="center"/>
          </w:tcPr>
          <w:p w14:paraId="4F4D8898">
            <w:pPr>
              <w:adjustRightInd w:val="0"/>
              <w:snapToGrid w:val="0"/>
              <w:spacing w:before="24" w:beforeLines="10" w:after="24" w:afterLines="10"/>
              <w:jc w:val="center"/>
              <w:rPr>
                <w:rFonts w:hint="default" w:eastAsia="宋体"/>
                <w:szCs w:val="21"/>
                <w:lang w:val="en-US" w:eastAsia="zh-CN"/>
              </w:rPr>
            </w:pPr>
            <w:r>
              <w:rPr>
                <w:rFonts w:hint="eastAsia" w:ascii="宋体" w:hAnsi="宋体"/>
              </w:rPr>
              <w:t>10分</w:t>
            </w:r>
          </w:p>
        </w:tc>
        <w:tc>
          <w:tcPr>
            <w:tcW w:w="2938" w:type="dxa"/>
            <w:tcBorders>
              <w:tl2br w:val="nil"/>
              <w:tr2bl w:val="nil"/>
            </w:tcBorders>
            <w:noWrap w:val="0"/>
            <w:vAlign w:val="center"/>
          </w:tcPr>
          <w:p w14:paraId="1A6EBD60">
            <w:pPr>
              <w:adjustRightInd w:val="0"/>
              <w:snapToGrid w:val="0"/>
              <w:spacing w:before="24" w:beforeLines="10" w:after="24" w:afterLines="10"/>
              <w:rPr>
                <w:rFonts w:ascii="宋体" w:hAnsi="宋体"/>
                <w:szCs w:val="21"/>
              </w:rPr>
            </w:pPr>
            <w:r>
              <w:rPr>
                <w:rFonts w:hint="eastAsia" w:ascii="宋体" w:hAnsi="宋体"/>
                <w:szCs w:val="21"/>
              </w:rPr>
              <w:t>按招标文件要求编制各类保证体系和保证措施，得6分；</w:t>
            </w:r>
          </w:p>
          <w:p w14:paraId="712C44A2">
            <w:pPr>
              <w:adjustRightInd w:val="0"/>
              <w:snapToGrid w:val="0"/>
              <w:spacing w:before="24" w:beforeLines="10" w:after="24" w:afterLines="10"/>
              <w:rPr>
                <w:szCs w:val="21"/>
              </w:rPr>
            </w:pPr>
            <w:r>
              <w:rPr>
                <w:rFonts w:hint="eastAsia" w:ascii="宋体" w:hAnsi="宋体"/>
                <w:szCs w:val="21"/>
              </w:rPr>
              <w:t>内容齐全、完善；项目保证体系和保证措施具有操作性、先进、合理，得6分～10分。</w:t>
            </w:r>
          </w:p>
        </w:tc>
      </w:tr>
      <w:tr w14:paraId="79F36AE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1842" w:hRule="atLeast"/>
          <w:jc w:val="center"/>
        </w:trPr>
        <w:tc>
          <w:tcPr>
            <w:tcW w:w="879" w:type="dxa"/>
            <w:vMerge w:val="continue"/>
            <w:tcBorders>
              <w:tl2br w:val="nil"/>
              <w:tr2bl w:val="nil"/>
            </w:tcBorders>
            <w:noWrap w:val="0"/>
            <w:vAlign w:val="center"/>
          </w:tcPr>
          <w:p w14:paraId="6F79366B">
            <w:pPr>
              <w:adjustRightInd w:val="0"/>
              <w:snapToGrid w:val="0"/>
              <w:spacing w:line="340" w:lineRule="exact"/>
              <w:jc w:val="center"/>
              <w:rPr>
                <w:szCs w:val="21"/>
              </w:rPr>
            </w:pPr>
          </w:p>
        </w:tc>
        <w:tc>
          <w:tcPr>
            <w:tcW w:w="1486" w:type="dxa"/>
            <w:gridSpan w:val="2"/>
            <w:vMerge w:val="continue"/>
            <w:tcBorders>
              <w:tl2br w:val="nil"/>
              <w:tr2bl w:val="nil"/>
            </w:tcBorders>
            <w:noWrap w:val="0"/>
            <w:vAlign w:val="center"/>
          </w:tcPr>
          <w:p w14:paraId="18249230">
            <w:pPr>
              <w:adjustRightInd w:val="0"/>
              <w:snapToGrid w:val="0"/>
              <w:spacing w:line="340" w:lineRule="exact"/>
              <w:jc w:val="center"/>
              <w:rPr>
                <w:szCs w:val="21"/>
              </w:rPr>
            </w:pPr>
          </w:p>
        </w:tc>
        <w:tc>
          <w:tcPr>
            <w:tcW w:w="1050" w:type="dxa"/>
            <w:vMerge w:val="continue"/>
            <w:tcBorders>
              <w:tl2br w:val="nil"/>
              <w:tr2bl w:val="nil"/>
            </w:tcBorders>
            <w:noWrap w:val="0"/>
            <w:vAlign w:val="center"/>
          </w:tcPr>
          <w:p w14:paraId="5874AB1B">
            <w:pPr>
              <w:adjustRightInd w:val="0"/>
              <w:snapToGrid w:val="0"/>
              <w:spacing w:line="340" w:lineRule="exact"/>
              <w:jc w:val="center"/>
              <w:rPr>
                <w:sz w:val="24"/>
              </w:rPr>
            </w:pPr>
          </w:p>
        </w:tc>
        <w:tc>
          <w:tcPr>
            <w:tcW w:w="1885" w:type="dxa"/>
            <w:vMerge w:val="restart"/>
            <w:tcBorders>
              <w:tl2br w:val="nil"/>
              <w:tr2bl w:val="nil"/>
            </w:tcBorders>
            <w:noWrap w:val="0"/>
            <w:vAlign w:val="center"/>
          </w:tcPr>
          <w:p w14:paraId="4D971F00">
            <w:pPr>
              <w:rPr>
                <w:szCs w:val="21"/>
              </w:rPr>
            </w:pPr>
            <w:r>
              <w:rPr>
                <w:rFonts w:hint="eastAsia" w:ascii="宋体" w:hAnsi="宋体"/>
              </w:rPr>
              <w:t>项目风险预测与防范，事故应急预案</w:t>
            </w:r>
          </w:p>
        </w:tc>
        <w:tc>
          <w:tcPr>
            <w:tcW w:w="1438" w:type="dxa"/>
            <w:gridSpan w:val="2"/>
            <w:tcBorders>
              <w:tl2br w:val="nil"/>
              <w:tr2bl w:val="nil"/>
            </w:tcBorders>
            <w:noWrap w:val="0"/>
            <w:vAlign w:val="center"/>
          </w:tcPr>
          <w:p w14:paraId="30BDBB95">
            <w:pPr>
              <w:adjustRightInd w:val="0"/>
              <w:snapToGrid w:val="0"/>
              <w:spacing w:before="24" w:beforeLines="10" w:after="24" w:afterLines="10"/>
              <w:jc w:val="center"/>
              <w:rPr>
                <w:rFonts w:hint="eastAsia" w:eastAsia="宋体"/>
                <w:szCs w:val="21"/>
                <w:lang w:val="en-US" w:eastAsia="zh-CN"/>
              </w:rPr>
            </w:pPr>
            <w:r>
              <w:rPr>
                <w:rFonts w:hint="eastAsia" w:ascii="宋体" w:hAnsi="宋体"/>
              </w:rPr>
              <w:t>5分</w:t>
            </w:r>
          </w:p>
        </w:tc>
        <w:tc>
          <w:tcPr>
            <w:tcW w:w="2938" w:type="dxa"/>
            <w:tcBorders>
              <w:tl2br w:val="nil"/>
              <w:tr2bl w:val="nil"/>
            </w:tcBorders>
            <w:noWrap w:val="0"/>
            <w:vAlign w:val="center"/>
          </w:tcPr>
          <w:p w14:paraId="6A9E5735">
            <w:pPr>
              <w:adjustRightInd w:val="0"/>
              <w:snapToGrid w:val="0"/>
              <w:spacing w:before="24" w:beforeLines="10" w:after="24" w:afterLines="10"/>
              <w:rPr>
                <w:rFonts w:ascii="宋体" w:hAnsi="宋体"/>
                <w:szCs w:val="21"/>
              </w:rPr>
            </w:pPr>
            <w:r>
              <w:rPr>
                <w:rFonts w:hint="eastAsia" w:ascii="宋体" w:hAnsi="宋体"/>
                <w:szCs w:val="21"/>
              </w:rPr>
              <w:t>按招标文件要求编制项目风险预测与防范，事故应急预案，得3分；</w:t>
            </w:r>
          </w:p>
          <w:p w14:paraId="6A4F31EB">
            <w:pPr>
              <w:adjustRightInd w:val="0"/>
              <w:snapToGrid w:val="0"/>
              <w:spacing w:before="24" w:beforeLines="10" w:after="24" w:afterLines="10"/>
              <w:rPr>
                <w:szCs w:val="21"/>
              </w:rPr>
            </w:pPr>
            <w:r>
              <w:rPr>
                <w:rFonts w:hint="eastAsia" w:ascii="宋体" w:hAnsi="宋体"/>
                <w:szCs w:val="21"/>
              </w:rPr>
              <w:t>项目风险预测全面；事故应急预案合理、可行，得3分～5分。</w:t>
            </w:r>
          </w:p>
        </w:tc>
      </w:tr>
      <w:tr w14:paraId="1CA4E41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2603" w:hRule="atLeast"/>
          <w:jc w:val="center"/>
        </w:trPr>
        <w:tc>
          <w:tcPr>
            <w:tcW w:w="879" w:type="dxa"/>
            <w:vMerge w:val="restart"/>
            <w:tcBorders>
              <w:tl2br w:val="nil"/>
              <w:tr2bl w:val="nil"/>
            </w:tcBorders>
            <w:noWrap w:val="0"/>
            <w:vAlign w:val="center"/>
          </w:tcPr>
          <w:p w14:paraId="1EF04F1E">
            <w:pPr>
              <w:adjustRightInd w:val="0"/>
              <w:snapToGrid w:val="0"/>
              <w:spacing w:line="340" w:lineRule="exact"/>
              <w:jc w:val="center"/>
              <w:rPr>
                <w:szCs w:val="21"/>
              </w:rPr>
            </w:pPr>
            <w:r>
              <w:rPr>
                <w:szCs w:val="21"/>
              </w:rPr>
              <w:t>2.2.</w:t>
            </w:r>
            <w:r>
              <w:rPr>
                <w:rFonts w:hint="eastAsia"/>
                <w:szCs w:val="21"/>
              </w:rPr>
              <w:t>2</w:t>
            </w:r>
            <w:r>
              <w:rPr>
                <w:szCs w:val="21"/>
              </w:rPr>
              <w:t>（2）</w:t>
            </w:r>
          </w:p>
        </w:tc>
        <w:tc>
          <w:tcPr>
            <w:tcW w:w="1486" w:type="dxa"/>
            <w:gridSpan w:val="2"/>
            <w:vMerge w:val="restart"/>
            <w:tcBorders>
              <w:tl2br w:val="nil"/>
              <w:tr2bl w:val="nil"/>
            </w:tcBorders>
            <w:noWrap w:val="0"/>
            <w:vAlign w:val="center"/>
          </w:tcPr>
          <w:p w14:paraId="556914C8">
            <w:pPr>
              <w:adjustRightInd w:val="0"/>
              <w:snapToGrid w:val="0"/>
              <w:spacing w:line="340" w:lineRule="exact"/>
              <w:jc w:val="center"/>
              <w:rPr>
                <w:szCs w:val="21"/>
              </w:rPr>
            </w:pPr>
            <w:r>
              <w:rPr>
                <w:rFonts w:hint="eastAsia"/>
                <w:szCs w:val="21"/>
              </w:rPr>
              <w:t>主要人员</w:t>
            </w:r>
          </w:p>
        </w:tc>
        <w:tc>
          <w:tcPr>
            <w:tcW w:w="1050" w:type="dxa"/>
            <w:vMerge w:val="restart"/>
            <w:tcBorders>
              <w:tl2br w:val="nil"/>
              <w:tr2bl w:val="nil"/>
            </w:tcBorders>
            <w:noWrap w:val="0"/>
            <w:vAlign w:val="center"/>
          </w:tcPr>
          <w:p w14:paraId="154892B2">
            <w:pPr>
              <w:adjustRightInd w:val="0"/>
              <w:snapToGrid w:val="0"/>
              <w:spacing w:line="340" w:lineRule="exact"/>
              <w:jc w:val="center"/>
              <w:rPr>
                <w:sz w:val="24"/>
              </w:rPr>
            </w:pPr>
            <w:r>
              <w:rPr>
                <w:rFonts w:hint="eastAsia"/>
                <w:sz w:val="24"/>
              </w:rPr>
              <w:t>30</w:t>
            </w:r>
            <w:r>
              <w:rPr>
                <w:sz w:val="24"/>
              </w:rPr>
              <w:t>分</w:t>
            </w:r>
          </w:p>
        </w:tc>
        <w:tc>
          <w:tcPr>
            <w:tcW w:w="1885" w:type="dxa"/>
            <w:vMerge w:val="restart"/>
            <w:tcBorders>
              <w:tl2br w:val="nil"/>
              <w:tr2bl w:val="nil"/>
            </w:tcBorders>
            <w:noWrap w:val="0"/>
            <w:vAlign w:val="center"/>
          </w:tcPr>
          <w:p w14:paraId="6B4283C4">
            <w:pPr>
              <w:adjustRightInd w:val="0"/>
              <w:snapToGrid w:val="0"/>
              <w:spacing w:line="340" w:lineRule="exact"/>
              <w:jc w:val="left"/>
              <w:rPr>
                <w:szCs w:val="21"/>
              </w:rPr>
            </w:pPr>
            <w:r>
              <w:rPr>
                <w:szCs w:val="21"/>
              </w:rPr>
              <w:t>项目经理任职资格</w:t>
            </w:r>
            <w:r>
              <w:rPr>
                <w:rFonts w:hint="eastAsia"/>
                <w:szCs w:val="21"/>
              </w:rPr>
              <w:t xml:space="preserve">    </w:t>
            </w:r>
            <w:r>
              <w:rPr>
                <w:szCs w:val="21"/>
              </w:rPr>
              <w:t>与业绩</w:t>
            </w:r>
          </w:p>
        </w:tc>
        <w:tc>
          <w:tcPr>
            <w:tcW w:w="495" w:type="dxa"/>
            <w:vMerge w:val="restart"/>
            <w:tcBorders>
              <w:tl2br w:val="nil"/>
              <w:tr2bl w:val="nil"/>
            </w:tcBorders>
            <w:noWrap w:val="0"/>
            <w:vAlign w:val="center"/>
          </w:tcPr>
          <w:p w14:paraId="57F1AA83">
            <w:pPr>
              <w:adjustRightInd w:val="0"/>
              <w:snapToGrid w:val="0"/>
              <w:spacing w:line="340" w:lineRule="exact"/>
              <w:jc w:val="center"/>
              <w:rPr>
                <w:szCs w:val="21"/>
              </w:rPr>
            </w:pPr>
            <w:r>
              <w:rPr>
                <w:rFonts w:hint="eastAsia"/>
                <w:szCs w:val="21"/>
              </w:rPr>
              <w:t>15</w:t>
            </w:r>
          </w:p>
        </w:tc>
        <w:tc>
          <w:tcPr>
            <w:tcW w:w="943" w:type="dxa"/>
            <w:tcBorders>
              <w:tl2br w:val="nil"/>
              <w:tr2bl w:val="nil"/>
            </w:tcBorders>
            <w:noWrap w:val="0"/>
            <w:vAlign w:val="center"/>
          </w:tcPr>
          <w:p w14:paraId="26644FA5">
            <w:pPr>
              <w:adjustRightInd w:val="0"/>
              <w:snapToGrid w:val="0"/>
              <w:spacing w:line="340" w:lineRule="exact"/>
              <w:jc w:val="center"/>
              <w:rPr>
                <w:rFonts w:hint="eastAsia" w:eastAsia="宋体"/>
                <w:szCs w:val="21"/>
                <w:lang w:eastAsia="zh-CN"/>
              </w:rPr>
            </w:pPr>
            <w:r>
              <w:rPr>
                <w:rFonts w:hint="eastAsia"/>
                <w:szCs w:val="21"/>
                <w:lang w:val="en-US" w:eastAsia="zh-CN"/>
              </w:rPr>
              <w:t>6</w:t>
            </w:r>
          </w:p>
        </w:tc>
        <w:tc>
          <w:tcPr>
            <w:tcW w:w="2938" w:type="dxa"/>
            <w:tcBorders>
              <w:tl2br w:val="nil"/>
              <w:tr2bl w:val="nil"/>
            </w:tcBorders>
            <w:noWrap w:val="0"/>
            <w:vAlign w:val="center"/>
          </w:tcPr>
          <w:p w14:paraId="0073380E">
            <w:pPr>
              <w:keepNext w:val="0"/>
              <w:keepLines w:val="0"/>
              <w:widowControl/>
              <w:suppressLineNumbers w:val="0"/>
              <w:jc w:val="left"/>
              <w:rPr>
                <w:rFonts w:hint="eastAsia" w:eastAsia="宋体"/>
                <w:lang w:eastAsia="zh-CN"/>
              </w:rPr>
            </w:pPr>
            <w:r>
              <w:rPr>
                <w:szCs w:val="21"/>
              </w:rPr>
              <w:t>在满足最低要求的基础上，</w:t>
            </w:r>
            <w:r>
              <w:rPr>
                <w:rFonts w:hint="eastAsia" w:ascii="宋体" w:hAnsi="宋体"/>
                <w:szCs w:val="21"/>
              </w:rPr>
              <w:t>担任过</w:t>
            </w:r>
            <w:r>
              <w:rPr>
                <w:rFonts w:hint="eastAsia" w:ascii="宋体" w:hAnsi="宋体"/>
                <w:szCs w:val="21"/>
                <w:lang w:eastAsia="zh-CN"/>
              </w:rPr>
              <w:t>一项</w:t>
            </w:r>
            <w:r>
              <w:rPr>
                <w:rFonts w:hint="eastAsia" w:ascii="宋体" w:hAnsi="宋体"/>
                <w:szCs w:val="21"/>
              </w:rPr>
              <w:t>二级或二级以上</w:t>
            </w:r>
            <w:r>
              <w:rPr>
                <w:rFonts w:hint="eastAsia"/>
                <w:b w:val="0"/>
                <w:bCs w:val="0"/>
                <w:szCs w:val="21"/>
                <w:highlight w:val="none"/>
              </w:rPr>
              <w:t>公路</w:t>
            </w:r>
            <w:r>
              <w:rPr>
                <w:rFonts w:hint="eastAsia" w:ascii="宋体" w:hAnsi="宋体"/>
                <w:b w:val="0"/>
                <w:bCs w:val="0"/>
                <w:spacing w:val="0"/>
                <w:szCs w:val="21"/>
              </w:rPr>
              <w:t>沥青混凝土</w:t>
            </w:r>
            <w:r>
              <w:rPr>
                <w:rFonts w:hint="eastAsia"/>
                <w:b w:val="0"/>
                <w:bCs w:val="0"/>
                <w:szCs w:val="21"/>
                <w:highlight w:val="none"/>
              </w:rPr>
              <w:t>路面</w:t>
            </w:r>
            <w:r>
              <w:rPr>
                <w:rFonts w:hint="eastAsia" w:ascii="宋体" w:hAnsi="宋体"/>
                <w:b w:val="0"/>
                <w:bCs w:val="0"/>
                <w:spacing w:val="0"/>
                <w:szCs w:val="21"/>
                <w:lang w:val="en-US" w:eastAsia="zh-CN"/>
              </w:rPr>
              <w:t>改造</w:t>
            </w:r>
            <w:r>
              <w:rPr>
                <w:rFonts w:hint="eastAsia" w:ascii="宋体" w:hAnsi="宋体" w:eastAsia="宋体" w:cs="Times New Roman"/>
                <w:szCs w:val="21"/>
              </w:rPr>
              <w:t>工程（</w:t>
            </w:r>
            <w:r>
              <w:rPr>
                <w:rFonts w:hint="eastAsia" w:ascii="宋体" w:hAnsi="宋体" w:eastAsia="宋体" w:cs="Times New Roman"/>
                <w:szCs w:val="21"/>
                <w:lang w:val="en-US" w:eastAsia="zh-CN"/>
              </w:rPr>
              <w:t>修复养护工程或专项养护工程</w:t>
            </w:r>
            <w:r>
              <w:rPr>
                <w:rFonts w:hint="eastAsia" w:ascii="宋体" w:hAnsi="宋体" w:eastAsia="宋体" w:cs="Times New Roman"/>
                <w:szCs w:val="21"/>
              </w:rPr>
              <w:t>）施工的项目经理加6分，</w:t>
            </w:r>
            <w:r>
              <w:rPr>
                <w:rFonts w:hint="eastAsia" w:ascii="宋体" w:hAnsi="宋体"/>
                <w:szCs w:val="21"/>
              </w:rPr>
              <w:t>最多加</w:t>
            </w:r>
            <w:r>
              <w:rPr>
                <w:rFonts w:ascii="宋体" w:hAnsi="宋体"/>
                <w:szCs w:val="21"/>
              </w:rPr>
              <w:t>6</w:t>
            </w:r>
            <w:r>
              <w:rPr>
                <w:rFonts w:hint="eastAsia" w:ascii="宋体" w:hAnsi="宋体"/>
                <w:szCs w:val="21"/>
              </w:rPr>
              <w:t>分。</w:t>
            </w:r>
          </w:p>
        </w:tc>
      </w:tr>
      <w:tr w14:paraId="2D583A3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830" w:hRule="atLeast"/>
          <w:jc w:val="center"/>
        </w:trPr>
        <w:tc>
          <w:tcPr>
            <w:tcW w:w="879" w:type="dxa"/>
            <w:vMerge w:val="continue"/>
            <w:tcBorders>
              <w:tl2br w:val="nil"/>
              <w:tr2bl w:val="nil"/>
            </w:tcBorders>
            <w:noWrap w:val="0"/>
            <w:vAlign w:val="center"/>
          </w:tcPr>
          <w:p w14:paraId="3CD5AF9A">
            <w:pPr>
              <w:adjustRightInd w:val="0"/>
              <w:snapToGrid w:val="0"/>
              <w:spacing w:line="340" w:lineRule="exact"/>
              <w:jc w:val="center"/>
              <w:rPr>
                <w:szCs w:val="21"/>
              </w:rPr>
            </w:pPr>
          </w:p>
        </w:tc>
        <w:tc>
          <w:tcPr>
            <w:tcW w:w="1486" w:type="dxa"/>
            <w:gridSpan w:val="2"/>
            <w:vMerge w:val="continue"/>
            <w:tcBorders>
              <w:tl2br w:val="nil"/>
              <w:tr2bl w:val="nil"/>
            </w:tcBorders>
            <w:noWrap w:val="0"/>
            <w:vAlign w:val="center"/>
          </w:tcPr>
          <w:p w14:paraId="19DA474D">
            <w:pPr>
              <w:adjustRightInd w:val="0"/>
              <w:snapToGrid w:val="0"/>
              <w:spacing w:line="340" w:lineRule="exact"/>
              <w:jc w:val="center"/>
              <w:rPr>
                <w:szCs w:val="21"/>
              </w:rPr>
            </w:pPr>
          </w:p>
        </w:tc>
        <w:tc>
          <w:tcPr>
            <w:tcW w:w="1050" w:type="dxa"/>
            <w:vMerge w:val="continue"/>
            <w:tcBorders>
              <w:tl2br w:val="nil"/>
              <w:tr2bl w:val="nil"/>
            </w:tcBorders>
            <w:noWrap w:val="0"/>
            <w:vAlign w:val="center"/>
          </w:tcPr>
          <w:p w14:paraId="0C90C23F">
            <w:pPr>
              <w:adjustRightInd w:val="0"/>
              <w:snapToGrid w:val="0"/>
              <w:spacing w:line="340" w:lineRule="exact"/>
              <w:jc w:val="center"/>
              <w:rPr>
                <w:sz w:val="24"/>
              </w:rPr>
            </w:pPr>
          </w:p>
        </w:tc>
        <w:tc>
          <w:tcPr>
            <w:tcW w:w="1885" w:type="dxa"/>
            <w:vMerge w:val="continue"/>
            <w:tcBorders>
              <w:tl2br w:val="nil"/>
              <w:tr2bl w:val="nil"/>
            </w:tcBorders>
            <w:noWrap w:val="0"/>
            <w:vAlign w:val="center"/>
          </w:tcPr>
          <w:p w14:paraId="11CBF395">
            <w:pPr>
              <w:adjustRightInd w:val="0"/>
              <w:snapToGrid w:val="0"/>
              <w:spacing w:line="340" w:lineRule="exact"/>
              <w:jc w:val="center"/>
              <w:rPr>
                <w:szCs w:val="21"/>
              </w:rPr>
            </w:pPr>
          </w:p>
        </w:tc>
        <w:tc>
          <w:tcPr>
            <w:tcW w:w="495" w:type="dxa"/>
            <w:vMerge w:val="continue"/>
            <w:tcBorders>
              <w:tl2br w:val="nil"/>
              <w:tr2bl w:val="nil"/>
            </w:tcBorders>
            <w:noWrap w:val="0"/>
            <w:vAlign w:val="center"/>
          </w:tcPr>
          <w:p w14:paraId="12F3CE47">
            <w:pPr>
              <w:adjustRightInd w:val="0"/>
              <w:snapToGrid w:val="0"/>
              <w:spacing w:line="340" w:lineRule="exact"/>
              <w:jc w:val="center"/>
              <w:rPr>
                <w:szCs w:val="21"/>
              </w:rPr>
            </w:pPr>
          </w:p>
        </w:tc>
        <w:tc>
          <w:tcPr>
            <w:tcW w:w="943" w:type="dxa"/>
            <w:tcBorders>
              <w:tl2br w:val="nil"/>
              <w:tr2bl w:val="nil"/>
            </w:tcBorders>
            <w:noWrap w:val="0"/>
            <w:vAlign w:val="center"/>
          </w:tcPr>
          <w:p w14:paraId="4B95658B">
            <w:pPr>
              <w:adjustRightInd w:val="0"/>
              <w:snapToGrid w:val="0"/>
              <w:spacing w:line="340" w:lineRule="exact"/>
              <w:jc w:val="center"/>
              <w:rPr>
                <w:szCs w:val="21"/>
              </w:rPr>
            </w:pPr>
            <w:r>
              <w:rPr>
                <w:rFonts w:hint="eastAsia"/>
                <w:szCs w:val="21"/>
              </w:rPr>
              <w:t>9</w:t>
            </w:r>
          </w:p>
        </w:tc>
        <w:tc>
          <w:tcPr>
            <w:tcW w:w="2938" w:type="dxa"/>
            <w:tcBorders>
              <w:tl2br w:val="nil"/>
              <w:tr2bl w:val="nil"/>
            </w:tcBorders>
            <w:noWrap w:val="0"/>
            <w:vAlign w:val="center"/>
          </w:tcPr>
          <w:p w14:paraId="5CA7398A">
            <w:pPr>
              <w:adjustRightInd w:val="0"/>
              <w:snapToGrid w:val="0"/>
              <w:spacing w:line="340" w:lineRule="exact"/>
              <w:jc w:val="left"/>
              <w:rPr>
                <w:szCs w:val="21"/>
              </w:rPr>
            </w:pPr>
            <w:r>
              <w:rPr>
                <w:szCs w:val="21"/>
              </w:rPr>
              <w:t>满足最低资格审查条件要求。</w:t>
            </w:r>
          </w:p>
        </w:tc>
      </w:tr>
      <w:tr w14:paraId="249D6A0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2482" w:hRule="atLeast"/>
          <w:jc w:val="center"/>
        </w:trPr>
        <w:tc>
          <w:tcPr>
            <w:tcW w:w="879" w:type="dxa"/>
            <w:vMerge w:val="continue"/>
            <w:tcBorders>
              <w:tl2br w:val="nil"/>
              <w:tr2bl w:val="nil"/>
            </w:tcBorders>
            <w:noWrap w:val="0"/>
            <w:vAlign w:val="center"/>
          </w:tcPr>
          <w:p w14:paraId="5E7CE99F">
            <w:pPr>
              <w:adjustRightInd w:val="0"/>
              <w:snapToGrid w:val="0"/>
              <w:spacing w:line="340" w:lineRule="exact"/>
              <w:jc w:val="center"/>
              <w:rPr>
                <w:szCs w:val="21"/>
              </w:rPr>
            </w:pPr>
          </w:p>
        </w:tc>
        <w:tc>
          <w:tcPr>
            <w:tcW w:w="1486" w:type="dxa"/>
            <w:gridSpan w:val="2"/>
            <w:vMerge w:val="continue"/>
            <w:tcBorders>
              <w:tl2br w:val="nil"/>
              <w:tr2bl w:val="nil"/>
            </w:tcBorders>
            <w:noWrap w:val="0"/>
            <w:vAlign w:val="center"/>
          </w:tcPr>
          <w:p w14:paraId="1F620E5C">
            <w:pPr>
              <w:adjustRightInd w:val="0"/>
              <w:snapToGrid w:val="0"/>
              <w:spacing w:line="340" w:lineRule="exact"/>
              <w:jc w:val="center"/>
              <w:rPr>
                <w:szCs w:val="21"/>
              </w:rPr>
            </w:pPr>
          </w:p>
        </w:tc>
        <w:tc>
          <w:tcPr>
            <w:tcW w:w="1050" w:type="dxa"/>
            <w:vMerge w:val="continue"/>
            <w:tcBorders>
              <w:tl2br w:val="nil"/>
              <w:tr2bl w:val="nil"/>
            </w:tcBorders>
            <w:noWrap w:val="0"/>
            <w:vAlign w:val="center"/>
          </w:tcPr>
          <w:p w14:paraId="38B6BB58">
            <w:pPr>
              <w:adjustRightInd w:val="0"/>
              <w:snapToGrid w:val="0"/>
              <w:spacing w:line="340" w:lineRule="exact"/>
              <w:jc w:val="center"/>
              <w:rPr>
                <w:sz w:val="24"/>
              </w:rPr>
            </w:pPr>
          </w:p>
        </w:tc>
        <w:tc>
          <w:tcPr>
            <w:tcW w:w="1885" w:type="dxa"/>
            <w:vMerge w:val="restart"/>
            <w:tcBorders>
              <w:tl2br w:val="nil"/>
              <w:tr2bl w:val="nil"/>
            </w:tcBorders>
            <w:noWrap w:val="0"/>
            <w:vAlign w:val="center"/>
          </w:tcPr>
          <w:p w14:paraId="0D4A9BAE">
            <w:pPr>
              <w:adjustRightInd w:val="0"/>
              <w:snapToGrid w:val="0"/>
              <w:spacing w:line="340" w:lineRule="exact"/>
              <w:jc w:val="left"/>
              <w:rPr>
                <w:szCs w:val="21"/>
              </w:rPr>
            </w:pPr>
            <w:r>
              <w:rPr>
                <w:szCs w:val="21"/>
              </w:rPr>
              <w:t>项目总工任职资格</w:t>
            </w:r>
            <w:r>
              <w:rPr>
                <w:rFonts w:hint="eastAsia"/>
                <w:szCs w:val="21"/>
              </w:rPr>
              <w:t xml:space="preserve">    </w:t>
            </w:r>
            <w:r>
              <w:rPr>
                <w:szCs w:val="21"/>
              </w:rPr>
              <w:t>与业绩</w:t>
            </w:r>
          </w:p>
        </w:tc>
        <w:tc>
          <w:tcPr>
            <w:tcW w:w="495" w:type="dxa"/>
            <w:vMerge w:val="restart"/>
            <w:tcBorders>
              <w:tl2br w:val="nil"/>
              <w:tr2bl w:val="nil"/>
            </w:tcBorders>
            <w:noWrap w:val="0"/>
            <w:vAlign w:val="center"/>
          </w:tcPr>
          <w:p w14:paraId="1058E76C">
            <w:pPr>
              <w:adjustRightInd w:val="0"/>
              <w:snapToGrid w:val="0"/>
              <w:spacing w:line="340" w:lineRule="exact"/>
              <w:jc w:val="center"/>
              <w:rPr>
                <w:szCs w:val="21"/>
              </w:rPr>
            </w:pPr>
            <w:r>
              <w:rPr>
                <w:rFonts w:hint="eastAsia"/>
                <w:szCs w:val="21"/>
              </w:rPr>
              <w:t>15</w:t>
            </w:r>
          </w:p>
        </w:tc>
        <w:tc>
          <w:tcPr>
            <w:tcW w:w="943" w:type="dxa"/>
            <w:tcBorders>
              <w:tl2br w:val="nil"/>
              <w:tr2bl w:val="nil"/>
            </w:tcBorders>
            <w:noWrap w:val="0"/>
            <w:vAlign w:val="center"/>
          </w:tcPr>
          <w:p w14:paraId="4C0DA34F">
            <w:pPr>
              <w:adjustRightInd w:val="0"/>
              <w:snapToGrid w:val="0"/>
              <w:spacing w:line="340" w:lineRule="exact"/>
              <w:jc w:val="center"/>
              <w:rPr>
                <w:rFonts w:hint="eastAsia" w:eastAsia="宋体"/>
                <w:szCs w:val="21"/>
                <w:lang w:eastAsia="zh-CN"/>
              </w:rPr>
            </w:pPr>
            <w:r>
              <w:rPr>
                <w:rFonts w:hint="eastAsia"/>
                <w:szCs w:val="21"/>
                <w:lang w:val="en-US" w:eastAsia="zh-CN"/>
              </w:rPr>
              <w:t>6</w:t>
            </w:r>
          </w:p>
        </w:tc>
        <w:tc>
          <w:tcPr>
            <w:tcW w:w="2938" w:type="dxa"/>
            <w:tcBorders>
              <w:tl2br w:val="nil"/>
              <w:tr2bl w:val="nil"/>
            </w:tcBorders>
            <w:noWrap w:val="0"/>
            <w:vAlign w:val="center"/>
          </w:tcPr>
          <w:p w14:paraId="0021501F">
            <w:pPr>
              <w:keepNext w:val="0"/>
              <w:keepLines w:val="0"/>
              <w:widowControl/>
              <w:suppressLineNumbers w:val="0"/>
              <w:jc w:val="left"/>
              <w:rPr>
                <w:rFonts w:hint="eastAsia"/>
              </w:rPr>
            </w:pPr>
            <w:r>
              <w:rPr>
                <w:szCs w:val="21"/>
              </w:rPr>
              <w:t>在满足最低要求的基础上，</w:t>
            </w:r>
            <w:r>
              <w:rPr>
                <w:rFonts w:hint="eastAsia" w:ascii="宋体" w:hAnsi="宋体"/>
                <w:szCs w:val="21"/>
              </w:rPr>
              <w:t>担任过</w:t>
            </w:r>
            <w:r>
              <w:rPr>
                <w:rFonts w:hint="eastAsia" w:ascii="宋体" w:hAnsi="宋体"/>
                <w:szCs w:val="21"/>
                <w:lang w:eastAsia="zh-CN"/>
              </w:rPr>
              <w:t>一项</w:t>
            </w:r>
            <w:r>
              <w:rPr>
                <w:rFonts w:hint="eastAsia" w:ascii="宋体" w:hAnsi="宋体"/>
                <w:szCs w:val="21"/>
              </w:rPr>
              <w:t>二级或二级以上</w:t>
            </w:r>
            <w:r>
              <w:rPr>
                <w:rFonts w:hint="eastAsia"/>
                <w:b w:val="0"/>
                <w:bCs w:val="0"/>
                <w:szCs w:val="21"/>
                <w:highlight w:val="none"/>
              </w:rPr>
              <w:t>公路</w:t>
            </w:r>
            <w:r>
              <w:rPr>
                <w:rFonts w:hint="eastAsia" w:ascii="宋体" w:hAnsi="宋体"/>
                <w:b w:val="0"/>
                <w:bCs w:val="0"/>
                <w:spacing w:val="0"/>
                <w:szCs w:val="21"/>
              </w:rPr>
              <w:t>沥青混凝土</w:t>
            </w:r>
            <w:r>
              <w:rPr>
                <w:rFonts w:hint="eastAsia"/>
                <w:b w:val="0"/>
                <w:bCs w:val="0"/>
                <w:szCs w:val="21"/>
                <w:highlight w:val="none"/>
              </w:rPr>
              <w:t>路面</w:t>
            </w:r>
            <w:r>
              <w:rPr>
                <w:rFonts w:hint="eastAsia" w:ascii="宋体" w:hAnsi="宋体"/>
                <w:b w:val="0"/>
                <w:bCs w:val="0"/>
                <w:spacing w:val="0"/>
                <w:szCs w:val="21"/>
                <w:lang w:val="en-US" w:eastAsia="zh-CN"/>
              </w:rPr>
              <w:t>改造</w:t>
            </w:r>
            <w:r>
              <w:rPr>
                <w:rFonts w:hint="eastAsia" w:ascii="宋体" w:hAnsi="宋体"/>
                <w:b w:val="0"/>
                <w:bCs w:val="0"/>
                <w:spacing w:val="0"/>
                <w:szCs w:val="21"/>
              </w:rPr>
              <w:t>工</w:t>
            </w:r>
            <w:r>
              <w:rPr>
                <w:rFonts w:hint="eastAsia" w:ascii="宋体" w:hAnsi="宋体" w:eastAsia="宋体" w:cs="Times New Roman"/>
                <w:szCs w:val="21"/>
              </w:rPr>
              <w:t>程（</w:t>
            </w:r>
            <w:r>
              <w:rPr>
                <w:rFonts w:hint="eastAsia" w:ascii="宋体" w:hAnsi="宋体" w:eastAsia="宋体" w:cs="Times New Roman"/>
                <w:szCs w:val="21"/>
                <w:lang w:val="en-US" w:eastAsia="zh-CN"/>
              </w:rPr>
              <w:t>修复养护工程或专项养护工程</w:t>
            </w:r>
            <w:r>
              <w:rPr>
                <w:rFonts w:hint="eastAsia" w:ascii="宋体" w:hAnsi="宋体" w:eastAsia="宋体" w:cs="Times New Roman"/>
                <w:szCs w:val="21"/>
              </w:rPr>
              <w:t>）施工的项目总工加6</w:t>
            </w:r>
            <w:r>
              <w:rPr>
                <w:rFonts w:hint="eastAsia" w:ascii="宋体" w:hAnsi="宋体"/>
                <w:szCs w:val="21"/>
              </w:rPr>
              <w:t>分，最多加</w:t>
            </w:r>
            <w:r>
              <w:rPr>
                <w:rFonts w:ascii="宋体" w:hAnsi="宋体"/>
                <w:szCs w:val="21"/>
              </w:rPr>
              <w:t>6</w:t>
            </w:r>
            <w:r>
              <w:rPr>
                <w:rFonts w:hint="eastAsia" w:ascii="宋体" w:hAnsi="宋体"/>
                <w:szCs w:val="21"/>
              </w:rPr>
              <w:t>分。</w:t>
            </w:r>
          </w:p>
        </w:tc>
      </w:tr>
      <w:tr w14:paraId="3E767F4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982" w:hRule="atLeast"/>
          <w:jc w:val="center"/>
        </w:trPr>
        <w:tc>
          <w:tcPr>
            <w:tcW w:w="879" w:type="dxa"/>
            <w:vMerge w:val="continue"/>
            <w:tcBorders>
              <w:tl2br w:val="nil"/>
              <w:tr2bl w:val="nil"/>
            </w:tcBorders>
            <w:noWrap w:val="0"/>
            <w:vAlign w:val="center"/>
          </w:tcPr>
          <w:p w14:paraId="3E3C0F55">
            <w:pPr>
              <w:adjustRightInd w:val="0"/>
              <w:snapToGrid w:val="0"/>
              <w:spacing w:line="340" w:lineRule="exact"/>
              <w:jc w:val="center"/>
              <w:rPr>
                <w:szCs w:val="21"/>
              </w:rPr>
            </w:pPr>
          </w:p>
        </w:tc>
        <w:tc>
          <w:tcPr>
            <w:tcW w:w="1486" w:type="dxa"/>
            <w:gridSpan w:val="2"/>
            <w:vMerge w:val="continue"/>
            <w:tcBorders>
              <w:tl2br w:val="nil"/>
              <w:tr2bl w:val="nil"/>
            </w:tcBorders>
            <w:noWrap w:val="0"/>
            <w:vAlign w:val="center"/>
          </w:tcPr>
          <w:p w14:paraId="4E2653B7">
            <w:pPr>
              <w:adjustRightInd w:val="0"/>
              <w:snapToGrid w:val="0"/>
              <w:spacing w:line="340" w:lineRule="exact"/>
              <w:jc w:val="center"/>
              <w:rPr>
                <w:szCs w:val="21"/>
              </w:rPr>
            </w:pPr>
          </w:p>
        </w:tc>
        <w:tc>
          <w:tcPr>
            <w:tcW w:w="1050" w:type="dxa"/>
            <w:vMerge w:val="continue"/>
            <w:tcBorders>
              <w:tl2br w:val="nil"/>
              <w:tr2bl w:val="nil"/>
            </w:tcBorders>
            <w:noWrap w:val="0"/>
            <w:vAlign w:val="center"/>
          </w:tcPr>
          <w:p w14:paraId="36CA8753">
            <w:pPr>
              <w:adjustRightInd w:val="0"/>
              <w:snapToGrid w:val="0"/>
              <w:spacing w:line="340" w:lineRule="exact"/>
              <w:jc w:val="center"/>
              <w:rPr>
                <w:sz w:val="24"/>
              </w:rPr>
            </w:pPr>
          </w:p>
        </w:tc>
        <w:tc>
          <w:tcPr>
            <w:tcW w:w="1885" w:type="dxa"/>
            <w:vMerge w:val="continue"/>
            <w:tcBorders>
              <w:tl2br w:val="nil"/>
              <w:tr2bl w:val="nil"/>
            </w:tcBorders>
            <w:noWrap w:val="0"/>
            <w:vAlign w:val="center"/>
          </w:tcPr>
          <w:p w14:paraId="59C30FE2">
            <w:pPr>
              <w:adjustRightInd w:val="0"/>
              <w:snapToGrid w:val="0"/>
              <w:spacing w:line="340" w:lineRule="exact"/>
              <w:jc w:val="center"/>
              <w:rPr>
                <w:szCs w:val="21"/>
              </w:rPr>
            </w:pPr>
          </w:p>
        </w:tc>
        <w:tc>
          <w:tcPr>
            <w:tcW w:w="495" w:type="dxa"/>
            <w:vMerge w:val="continue"/>
            <w:tcBorders>
              <w:tl2br w:val="nil"/>
              <w:tr2bl w:val="nil"/>
            </w:tcBorders>
            <w:noWrap w:val="0"/>
            <w:vAlign w:val="center"/>
          </w:tcPr>
          <w:p w14:paraId="58EDD0D0">
            <w:pPr>
              <w:adjustRightInd w:val="0"/>
              <w:snapToGrid w:val="0"/>
              <w:spacing w:line="340" w:lineRule="exact"/>
              <w:jc w:val="center"/>
              <w:rPr>
                <w:szCs w:val="21"/>
              </w:rPr>
            </w:pPr>
          </w:p>
        </w:tc>
        <w:tc>
          <w:tcPr>
            <w:tcW w:w="943" w:type="dxa"/>
            <w:tcBorders>
              <w:tl2br w:val="nil"/>
              <w:tr2bl w:val="nil"/>
            </w:tcBorders>
            <w:noWrap w:val="0"/>
            <w:vAlign w:val="center"/>
          </w:tcPr>
          <w:p w14:paraId="09132BFB">
            <w:pPr>
              <w:adjustRightInd w:val="0"/>
              <w:snapToGrid w:val="0"/>
              <w:spacing w:line="340" w:lineRule="exact"/>
              <w:jc w:val="center"/>
              <w:rPr>
                <w:szCs w:val="21"/>
              </w:rPr>
            </w:pPr>
            <w:r>
              <w:rPr>
                <w:rFonts w:hint="eastAsia"/>
                <w:szCs w:val="21"/>
              </w:rPr>
              <w:t>9</w:t>
            </w:r>
          </w:p>
        </w:tc>
        <w:tc>
          <w:tcPr>
            <w:tcW w:w="2938" w:type="dxa"/>
            <w:tcBorders>
              <w:tl2br w:val="nil"/>
              <w:tr2bl w:val="nil"/>
            </w:tcBorders>
            <w:noWrap w:val="0"/>
            <w:vAlign w:val="center"/>
          </w:tcPr>
          <w:p w14:paraId="56F74981">
            <w:pPr>
              <w:adjustRightInd w:val="0"/>
              <w:snapToGrid w:val="0"/>
              <w:spacing w:line="340" w:lineRule="exact"/>
              <w:jc w:val="left"/>
              <w:rPr>
                <w:szCs w:val="21"/>
              </w:rPr>
            </w:pPr>
            <w:r>
              <w:rPr>
                <w:szCs w:val="21"/>
              </w:rPr>
              <w:t>满足最低资格审查条件要求。</w:t>
            </w:r>
          </w:p>
        </w:tc>
      </w:tr>
      <w:tr w14:paraId="3C3EECD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1865" w:hRule="atLeast"/>
          <w:jc w:val="center"/>
        </w:trPr>
        <w:tc>
          <w:tcPr>
            <w:tcW w:w="879" w:type="dxa"/>
            <w:vMerge w:val="restart"/>
            <w:tcBorders>
              <w:tl2br w:val="nil"/>
              <w:tr2bl w:val="nil"/>
            </w:tcBorders>
            <w:noWrap w:val="0"/>
            <w:vAlign w:val="center"/>
          </w:tcPr>
          <w:p w14:paraId="77114B29">
            <w:pPr>
              <w:adjustRightInd w:val="0"/>
              <w:snapToGrid w:val="0"/>
              <w:spacing w:line="340" w:lineRule="exact"/>
              <w:jc w:val="center"/>
              <w:rPr>
                <w:szCs w:val="21"/>
              </w:rPr>
            </w:pPr>
            <w:r>
              <w:rPr>
                <w:szCs w:val="21"/>
              </w:rPr>
              <w:t>.2.</w:t>
            </w:r>
            <w:r>
              <w:rPr>
                <w:rFonts w:hint="eastAsia"/>
                <w:szCs w:val="21"/>
              </w:rPr>
              <w:t>2</w:t>
            </w:r>
            <w:r>
              <w:rPr>
                <w:szCs w:val="21"/>
              </w:rPr>
              <w:t>（</w:t>
            </w:r>
            <w:r>
              <w:rPr>
                <w:rFonts w:hint="eastAsia"/>
                <w:szCs w:val="21"/>
              </w:rPr>
              <w:t>3</w:t>
            </w:r>
            <w:r>
              <w:rPr>
                <w:szCs w:val="21"/>
              </w:rPr>
              <w:t>）</w:t>
            </w:r>
          </w:p>
          <w:p w14:paraId="1B5C5C40">
            <w:pPr>
              <w:adjustRightInd w:val="0"/>
              <w:snapToGrid w:val="0"/>
              <w:spacing w:line="340" w:lineRule="exact"/>
              <w:jc w:val="center"/>
              <w:rPr>
                <w:szCs w:val="21"/>
              </w:rPr>
            </w:pPr>
          </w:p>
        </w:tc>
        <w:tc>
          <w:tcPr>
            <w:tcW w:w="671" w:type="dxa"/>
            <w:vMerge w:val="restart"/>
            <w:tcBorders>
              <w:tl2br w:val="nil"/>
              <w:tr2bl w:val="nil"/>
            </w:tcBorders>
            <w:noWrap w:val="0"/>
            <w:vAlign w:val="center"/>
          </w:tcPr>
          <w:p w14:paraId="23A5C211">
            <w:pPr>
              <w:adjustRightInd w:val="0"/>
              <w:snapToGrid w:val="0"/>
              <w:spacing w:line="340" w:lineRule="exact"/>
              <w:jc w:val="center"/>
              <w:rPr>
                <w:rFonts w:hint="eastAsia"/>
                <w:szCs w:val="21"/>
              </w:rPr>
            </w:pPr>
            <w:r>
              <w:rPr>
                <w:rFonts w:hint="eastAsia"/>
                <w:szCs w:val="21"/>
              </w:rPr>
              <w:t>其他因素</w:t>
            </w:r>
          </w:p>
        </w:tc>
        <w:tc>
          <w:tcPr>
            <w:tcW w:w="815" w:type="dxa"/>
            <w:vMerge w:val="restart"/>
            <w:tcBorders>
              <w:tl2br w:val="nil"/>
              <w:tr2bl w:val="nil"/>
            </w:tcBorders>
            <w:noWrap w:val="0"/>
            <w:vAlign w:val="center"/>
          </w:tcPr>
          <w:p w14:paraId="0D37AC00">
            <w:pPr>
              <w:adjustRightInd w:val="0"/>
              <w:snapToGrid w:val="0"/>
              <w:spacing w:line="340" w:lineRule="exact"/>
              <w:jc w:val="center"/>
              <w:rPr>
                <w:szCs w:val="21"/>
              </w:rPr>
            </w:pPr>
            <w:r>
              <w:rPr>
                <w:rFonts w:hint="eastAsia"/>
                <w:szCs w:val="21"/>
              </w:rPr>
              <w:t>技术</w:t>
            </w:r>
          </w:p>
          <w:p w14:paraId="6A7EB6DB">
            <w:pPr>
              <w:adjustRightInd w:val="0"/>
              <w:snapToGrid w:val="0"/>
              <w:spacing w:line="340" w:lineRule="exact"/>
              <w:jc w:val="center"/>
              <w:rPr>
                <w:rFonts w:hint="eastAsia"/>
                <w:szCs w:val="21"/>
              </w:rPr>
            </w:pPr>
            <w:r>
              <w:rPr>
                <w:szCs w:val="21"/>
              </w:rPr>
              <w:t>能力</w:t>
            </w:r>
          </w:p>
        </w:tc>
        <w:tc>
          <w:tcPr>
            <w:tcW w:w="1050" w:type="dxa"/>
            <w:vMerge w:val="restart"/>
            <w:tcBorders>
              <w:tl2br w:val="nil"/>
              <w:tr2bl w:val="nil"/>
            </w:tcBorders>
            <w:noWrap w:val="0"/>
            <w:vAlign w:val="center"/>
          </w:tcPr>
          <w:p w14:paraId="4C8FB3F0">
            <w:pPr>
              <w:snapToGrid w:val="0"/>
              <w:spacing w:line="340" w:lineRule="exact"/>
              <w:jc w:val="center"/>
              <w:rPr>
                <w:sz w:val="24"/>
              </w:rPr>
            </w:pPr>
            <w:r>
              <w:rPr>
                <w:rFonts w:hint="eastAsia"/>
                <w:sz w:val="24"/>
              </w:rPr>
              <w:t>15</w:t>
            </w:r>
            <w:r>
              <w:rPr>
                <w:sz w:val="24"/>
              </w:rPr>
              <w:t>分</w:t>
            </w:r>
          </w:p>
          <w:p w14:paraId="434CF45F">
            <w:pPr>
              <w:rPr>
                <w:sz w:val="24"/>
              </w:rPr>
            </w:pPr>
          </w:p>
        </w:tc>
        <w:tc>
          <w:tcPr>
            <w:tcW w:w="1885" w:type="dxa"/>
            <w:vMerge w:val="restart"/>
            <w:tcBorders>
              <w:tl2br w:val="nil"/>
              <w:tr2bl w:val="nil"/>
            </w:tcBorders>
            <w:noWrap w:val="0"/>
            <w:vAlign w:val="center"/>
          </w:tcPr>
          <w:p w14:paraId="3BFA2A50">
            <w:pPr>
              <w:adjustRightInd w:val="0"/>
              <w:snapToGrid w:val="0"/>
              <w:spacing w:line="340" w:lineRule="exact"/>
              <w:jc w:val="left"/>
              <w:rPr>
                <w:rFonts w:hint="eastAsia"/>
                <w:szCs w:val="21"/>
              </w:rPr>
            </w:pPr>
            <w:r>
              <w:rPr>
                <w:rFonts w:hint="eastAsia"/>
                <w:szCs w:val="21"/>
              </w:rPr>
              <w:t>投标人技术施工</w:t>
            </w:r>
            <w:r>
              <w:rPr>
                <w:szCs w:val="21"/>
              </w:rPr>
              <w:t>能力（20</w:t>
            </w:r>
            <w:r>
              <w:rPr>
                <w:rFonts w:hint="eastAsia"/>
                <w:szCs w:val="21"/>
              </w:rPr>
              <w:t>2</w:t>
            </w:r>
            <w:r>
              <w:rPr>
                <w:rFonts w:hint="eastAsia"/>
                <w:szCs w:val="21"/>
                <w:lang w:val="en-US" w:eastAsia="zh-CN"/>
              </w:rPr>
              <w:t>1</w:t>
            </w:r>
            <w:r>
              <w:rPr>
                <w:szCs w:val="21"/>
              </w:rPr>
              <w:t>年</w:t>
            </w:r>
            <w:r>
              <w:rPr>
                <w:rFonts w:hint="eastAsia"/>
                <w:szCs w:val="21"/>
              </w:rPr>
              <w:t>1</w:t>
            </w:r>
            <w:r>
              <w:rPr>
                <w:szCs w:val="21"/>
              </w:rPr>
              <w:t>月1日</w:t>
            </w:r>
            <w:r>
              <w:rPr>
                <w:rFonts w:hint="eastAsia"/>
                <w:szCs w:val="21"/>
              </w:rPr>
              <w:t>至投标截止时间）</w:t>
            </w:r>
          </w:p>
        </w:tc>
        <w:tc>
          <w:tcPr>
            <w:tcW w:w="495" w:type="dxa"/>
            <w:vMerge w:val="restart"/>
            <w:tcBorders>
              <w:tl2br w:val="nil"/>
              <w:tr2bl w:val="nil"/>
            </w:tcBorders>
            <w:noWrap w:val="0"/>
            <w:vAlign w:val="center"/>
          </w:tcPr>
          <w:p w14:paraId="14AAA022">
            <w:pPr>
              <w:adjustRightInd w:val="0"/>
              <w:snapToGrid w:val="0"/>
              <w:spacing w:line="340" w:lineRule="exact"/>
              <w:jc w:val="center"/>
              <w:rPr>
                <w:rFonts w:hint="eastAsia"/>
                <w:szCs w:val="21"/>
              </w:rPr>
            </w:pPr>
            <w:r>
              <w:rPr>
                <w:rFonts w:hint="eastAsia"/>
                <w:szCs w:val="21"/>
              </w:rPr>
              <w:t>1</w:t>
            </w:r>
            <w:r>
              <w:rPr>
                <w:szCs w:val="21"/>
              </w:rPr>
              <w:t>5</w:t>
            </w:r>
          </w:p>
        </w:tc>
        <w:tc>
          <w:tcPr>
            <w:tcW w:w="943" w:type="dxa"/>
            <w:tcBorders>
              <w:tl2br w:val="nil"/>
              <w:tr2bl w:val="nil"/>
            </w:tcBorders>
            <w:noWrap w:val="0"/>
            <w:vAlign w:val="center"/>
          </w:tcPr>
          <w:p w14:paraId="11AD426F">
            <w:pPr>
              <w:adjustRightInd w:val="0"/>
              <w:snapToGrid w:val="0"/>
              <w:spacing w:line="340" w:lineRule="exact"/>
              <w:jc w:val="center"/>
              <w:rPr>
                <w:rFonts w:hint="eastAsia" w:eastAsia="宋体"/>
                <w:szCs w:val="21"/>
                <w:lang w:eastAsia="zh-CN"/>
              </w:rPr>
            </w:pPr>
            <w:r>
              <w:rPr>
                <w:rFonts w:hint="eastAsia"/>
                <w:szCs w:val="21"/>
                <w:lang w:val="en-US" w:eastAsia="zh-CN"/>
              </w:rPr>
              <w:t>6</w:t>
            </w:r>
          </w:p>
        </w:tc>
        <w:tc>
          <w:tcPr>
            <w:tcW w:w="2938" w:type="dxa"/>
            <w:tcBorders>
              <w:tl2br w:val="nil"/>
              <w:tr2bl w:val="nil"/>
            </w:tcBorders>
            <w:noWrap w:val="0"/>
            <w:tcFitText/>
            <w:vAlign w:val="center"/>
          </w:tcPr>
          <w:p w14:paraId="7D4E9352">
            <w:pPr>
              <w:adjustRightInd w:val="0"/>
              <w:snapToGrid w:val="0"/>
              <w:spacing w:before="62" w:beforeLines="20" w:after="62" w:afterLines="20"/>
              <w:jc w:val="left"/>
              <w:rPr>
                <w:rFonts w:hint="default" w:ascii="宋体" w:hAnsi="宋体" w:eastAsia="宋体" w:cs="Times New Roman"/>
                <w:b/>
                <w:bCs/>
                <w:spacing w:val="0"/>
                <w:szCs w:val="21"/>
                <w:lang w:val="en-US" w:eastAsia="zh-CN"/>
              </w:rPr>
            </w:pPr>
          </w:p>
          <w:p w14:paraId="762E0FEC">
            <w:pPr>
              <w:adjustRightInd w:val="0"/>
              <w:snapToGrid w:val="0"/>
              <w:spacing w:before="62" w:beforeLines="20" w:after="62" w:afterLines="20"/>
              <w:jc w:val="left"/>
              <w:rPr>
                <w:rFonts w:hint="eastAsia" w:ascii="宋体" w:hAnsi="宋体" w:eastAsia="宋体"/>
                <w:b w:val="0"/>
                <w:bCs w:val="0"/>
                <w:spacing w:val="0"/>
                <w:szCs w:val="21"/>
                <w:lang w:eastAsia="zh-CN"/>
              </w:rPr>
            </w:pPr>
            <w:r>
              <w:rPr>
                <w:rFonts w:hint="eastAsia" w:ascii="宋体" w:hAnsi="宋体"/>
                <w:spacing w:val="0"/>
                <w:szCs w:val="21"/>
              </w:rPr>
              <w:t>在满</w:t>
            </w:r>
            <w:r>
              <w:rPr>
                <w:rFonts w:hint="eastAsia" w:ascii="宋体" w:hAnsi="宋体"/>
                <w:b w:val="0"/>
                <w:bCs w:val="0"/>
                <w:spacing w:val="0"/>
                <w:szCs w:val="21"/>
              </w:rPr>
              <w:t>足最低要求的基础上，</w:t>
            </w:r>
            <w:r>
              <w:rPr>
                <w:rFonts w:hint="eastAsia" w:ascii="宋体" w:hAnsi="宋体"/>
                <w:b w:val="0"/>
                <w:bCs w:val="0"/>
                <w:highlight w:val="none"/>
              </w:rPr>
              <w:t>累计完成不少于</w:t>
            </w:r>
            <w:r>
              <w:rPr>
                <w:rFonts w:hint="eastAsia" w:ascii="宋体" w:hAnsi="宋体"/>
                <w:b w:val="0"/>
                <w:bCs w:val="0"/>
                <w:highlight w:val="none"/>
                <w:lang w:val="en-US" w:eastAsia="zh-CN"/>
              </w:rPr>
              <w:t>10</w:t>
            </w:r>
            <w:r>
              <w:rPr>
                <w:rFonts w:hint="eastAsia" w:ascii="宋体" w:hAnsi="宋体"/>
                <w:b w:val="0"/>
                <w:bCs w:val="0"/>
                <w:highlight w:val="none"/>
              </w:rPr>
              <w:t>公里</w:t>
            </w:r>
            <w:r>
              <w:rPr>
                <w:rFonts w:hint="eastAsia"/>
                <w:b w:val="0"/>
                <w:bCs w:val="0"/>
                <w:szCs w:val="21"/>
                <w:highlight w:val="none"/>
              </w:rPr>
              <w:t>二级及以上等级公路</w:t>
            </w:r>
            <w:r>
              <w:rPr>
                <w:rFonts w:hint="eastAsia" w:ascii="宋体" w:hAnsi="宋体" w:eastAsia="宋体" w:cs="Times New Roman"/>
                <w:highlight w:val="none"/>
                <w:lang w:val="en-US" w:eastAsia="zh-CN"/>
              </w:rPr>
              <w:t>沥青混凝土路面改造工程（修复养护工程或专项养护工程）施工业绩（高速</w:t>
            </w:r>
            <w:r>
              <w:rPr>
                <w:rFonts w:hint="eastAsia" w:ascii="宋体" w:hAnsi="宋体"/>
                <w:b w:val="0"/>
                <w:bCs w:val="0"/>
                <w:highlight w:val="none"/>
              </w:rPr>
              <w:t>公路、一级</w:t>
            </w:r>
            <w:r>
              <w:rPr>
                <w:rFonts w:hint="eastAsia" w:ascii="宋体" w:hAnsi="宋体"/>
                <w:highlight w:val="none"/>
              </w:rPr>
              <w:t>公路全幅按2倍长度计算，半幅按1倍长度计算），得</w:t>
            </w:r>
            <w:r>
              <w:rPr>
                <w:rFonts w:hint="eastAsia" w:ascii="宋体" w:hAnsi="宋体"/>
                <w:highlight w:val="none"/>
                <w:lang w:val="en-US" w:eastAsia="zh-CN"/>
              </w:rPr>
              <w:t>6</w:t>
            </w:r>
            <w:r>
              <w:rPr>
                <w:rFonts w:hint="eastAsia" w:ascii="宋体" w:hAnsi="宋体"/>
                <w:highlight w:val="none"/>
              </w:rPr>
              <w:t>分</w:t>
            </w:r>
            <w:r>
              <w:rPr>
                <w:rFonts w:hint="eastAsia" w:ascii="宋体" w:hAnsi="宋体"/>
                <w:highlight w:val="none"/>
                <w:lang w:eastAsia="zh-CN"/>
              </w:rPr>
              <w:t>，</w:t>
            </w:r>
            <w:r>
              <w:rPr>
                <w:rFonts w:hint="eastAsia" w:ascii="宋体" w:hAnsi="宋体"/>
                <w:b w:val="0"/>
                <w:bCs w:val="0"/>
                <w:spacing w:val="0"/>
                <w:szCs w:val="21"/>
                <w:highlight w:val="none"/>
                <w:lang w:val="en-US" w:eastAsia="zh-CN"/>
              </w:rPr>
              <w:t>最多得6分。</w:t>
            </w:r>
            <w:r>
              <w:rPr>
                <w:rFonts w:hint="eastAsia" w:ascii="宋体" w:hAnsi="宋体"/>
                <w:highlight w:val="none"/>
                <w:lang w:val="en-US" w:eastAsia="zh-CN"/>
              </w:rPr>
              <w:t>累计</w:t>
            </w:r>
            <w:r>
              <w:rPr>
                <w:rFonts w:hint="eastAsia" w:ascii="宋体" w:hAnsi="宋体"/>
                <w:highlight w:val="none"/>
              </w:rPr>
              <w:t>在</w:t>
            </w:r>
            <w:r>
              <w:rPr>
                <w:rFonts w:hint="eastAsia" w:ascii="宋体" w:hAnsi="宋体"/>
                <w:highlight w:val="none"/>
                <w:lang w:val="en-US" w:eastAsia="zh-CN"/>
              </w:rPr>
              <w:t>10</w:t>
            </w:r>
            <w:r>
              <w:rPr>
                <w:rFonts w:hint="eastAsia" w:ascii="宋体" w:hAnsi="宋体"/>
                <w:highlight w:val="none"/>
              </w:rPr>
              <w:t>公里以内，按直线内插计算</w:t>
            </w:r>
            <w:r>
              <w:rPr>
                <w:rFonts w:hint="eastAsia" w:ascii="宋体" w:hAnsi="宋体"/>
                <w:b w:val="0"/>
                <w:bCs w:val="0"/>
                <w:spacing w:val="0"/>
                <w:szCs w:val="21"/>
              </w:rPr>
              <w:t>（得分四舍五入保留两位小数）</w:t>
            </w:r>
            <w:r>
              <w:rPr>
                <w:rFonts w:hint="eastAsia" w:ascii="宋体" w:hAnsi="宋体"/>
                <w:b w:val="0"/>
                <w:bCs w:val="0"/>
                <w:spacing w:val="0"/>
                <w:szCs w:val="21"/>
                <w:lang w:eastAsia="zh-CN"/>
              </w:rPr>
              <w:t>。</w:t>
            </w:r>
          </w:p>
          <w:p w14:paraId="31C340D4">
            <w:pPr>
              <w:adjustRightInd w:val="0"/>
              <w:snapToGrid w:val="0"/>
              <w:spacing w:line="340" w:lineRule="exact"/>
              <w:jc w:val="left"/>
              <w:rPr>
                <w:rFonts w:hint="eastAsia" w:ascii="楷体" w:hAnsi="楷体" w:eastAsia="楷体"/>
                <w:spacing w:val="0"/>
                <w:szCs w:val="21"/>
              </w:rPr>
            </w:pPr>
            <w:r>
              <w:rPr>
                <w:rFonts w:hint="eastAsia" w:ascii="楷体" w:hAnsi="楷体" w:eastAsia="楷体"/>
                <w:spacing w:val="0"/>
                <w:szCs w:val="21"/>
              </w:rPr>
              <w:t>注：</w:t>
            </w:r>
          </w:p>
          <w:p w14:paraId="4A5E668C">
            <w:pPr>
              <w:adjustRightInd w:val="0"/>
              <w:snapToGrid w:val="0"/>
              <w:spacing w:line="340" w:lineRule="exact"/>
              <w:jc w:val="left"/>
              <w:rPr>
                <w:rFonts w:hint="eastAsia" w:ascii="楷体" w:hAnsi="楷体" w:eastAsia="楷体" w:cs="楷体"/>
                <w:spacing w:val="0"/>
                <w:szCs w:val="21"/>
              </w:rPr>
            </w:pPr>
            <w:r>
              <w:rPr>
                <w:rFonts w:hint="eastAsia" w:ascii="楷体" w:hAnsi="楷体" w:eastAsia="楷体" w:cs="楷体"/>
                <w:spacing w:val="0"/>
                <w:szCs w:val="21"/>
              </w:rPr>
              <w:t>1.以联合体形式参与投标的，只计算联合体牵头人施工业绩。</w:t>
            </w:r>
          </w:p>
          <w:p w14:paraId="50BB533D">
            <w:pPr>
              <w:adjustRightInd w:val="0"/>
              <w:snapToGrid w:val="0"/>
              <w:spacing w:before="62" w:beforeLines="20" w:after="62" w:afterLines="20"/>
              <w:jc w:val="left"/>
              <w:rPr>
                <w:rFonts w:ascii="楷体" w:hAnsi="楷体" w:eastAsia="楷体"/>
                <w:spacing w:val="0"/>
                <w:szCs w:val="21"/>
              </w:rPr>
            </w:pPr>
            <w:r>
              <w:rPr>
                <w:rFonts w:hint="eastAsia" w:ascii="楷体" w:hAnsi="楷体" w:eastAsia="楷体" w:cs="楷体"/>
                <w:spacing w:val="0"/>
                <w:szCs w:val="21"/>
              </w:rPr>
              <w:t>2.两阶段验收工程以交工时间为准，一阶段验收工程以交工或竣工验收时间为准。</w:t>
            </w:r>
          </w:p>
        </w:tc>
      </w:tr>
      <w:tr w14:paraId="3748747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cantSplit/>
          <w:trHeight w:val="1158" w:hRule="atLeast"/>
          <w:jc w:val="center"/>
        </w:trPr>
        <w:tc>
          <w:tcPr>
            <w:tcW w:w="879" w:type="dxa"/>
            <w:vMerge w:val="continue"/>
            <w:tcBorders>
              <w:tl2br w:val="nil"/>
              <w:tr2bl w:val="nil"/>
            </w:tcBorders>
            <w:noWrap w:val="0"/>
            <w:vAlign w:val="center"/>
          </w:tcPr>
          <w:p w14:paraId="389EDAB6">
            <w:pPr>
              <w:adjustRightInd w:val="0"/>
              <w:snapToGrid w:val="0"/>
              <w:spacing w:line="340" w:lineRule="exact"/>
              <w:jc w:val="center"/>
              <w:rPr>
                <w:szCs w:val="21"/>
              </w:rPr>
            </w:pPr>
          </w:p>
        </w:tc>
        <w:tc>
          <w:tcPr>
            <w:tcW w:w="671" w:type="dxa"/>
            <w:vMerge w:val="continue"/>
            <w:tcBorders>
              <w:tl2br w:val="nil"/>
              <w:tr2bl w:val="nil"/>
            </w:tcBorders>
            <w:noWrap w:val="0"/>
            <w:vAlign w:val="center"/>
          </w:tcPr>
          <w:p w14:paraId="2B8AE24D">
            <w:pPr>
              <w:adjustRightInd w:val="0"/>
              <w:snapToGrid w:val="0"/>
              <w:spacing w:line="340" w:lineRule="exact"/>
              <w:jc w:val="center"/>
              <w:rPr>
                <w:rFonts w:hint="eastAsia"/>
                <w:szCs w:val="21"/>
              </w:rPr>
            </w:pPr>
          </w:p>
        </w:tc>
        <w:tc>
          <w:tcPr>
            <w:tcW w:w="815" w:type="dxa"/>
            <w:vMerge w:val="continue"/>
            <w:tcBorders>
              <w:tl2br w:val="nil"/>
              <w:tr2bl w:val="nil"/>
            </w:tcBorders>
            <w:noWrap w:val="0"/>
            <w:vAlign w:val="center"/>
          </w:tcPr>
          <w:p w14:paraId="3E40BE4B">
            <w:pPr>
              <w:adjustRightInd w:val="0"/>
              <w:snapToGrid w:val="0"/>
              <w:spacing w:line="340" w:lineRule="exact"/>
              <w:jc w:val="center"/>
              <w:rPr>
                <w:szCs w:val="21"/>
              </w:rPr>
            </w:pPr>
          </w:p>
        </w:tc>
        <w:tc>
          <w:tcPr>
            <w:tcW w:w="1050" w:type="dxa"/>
            <w:vMerge w:val="continue"/>
            <w:tcBorders>
              <w:tl2br w:val="nil"/>
              <w:tr2bl w:val="nil"/>
            </w:tcBorders>
            <w:noWrap w:val="0"/>
            <w:vAlign w:val="center"/>
          </w:tcPr>
          <w:p w14:paraId="07587CDA">
            <w:pPr>
              <w:rPr>
                <w:sz w:val="24"/>
              </w:rPr>
            </w:pPr>
          </w:p>
        </w:tc>
        <w:tc>
          <w:tcPr>
            <w:tcW w:w="1885" w:type="dxa"/>
            <w:vMerge w:val="continue"/>
            <w:tcBorders>
              <w:tl2br w:val="nil"/>
              <w:tr2bl w:val="nil"/>
            </w:tcBorders>
            <w:noWrap w:val="0"/>
            <w:vAlign w:val="center"/>
          </w:tcPr>
          <w:p w14:paraId="62F63AF5">
            <w:pPr>
              <w:adjustRightInd w:val="0"/>
              <w:snapToGrid w:val="0"/>
              <w:spacing w:line="340" w:lineRule="exact"/>
              <w:jc w:val="left"/>
              <w:rPr>
                <w:rFonts w:hint="eastAsia"/>
                <w:szCs w:val="21"/>
              </w:rPr>
            </w:pPr>
          </w:p>
        </w:tc>
        <w:tc>
          <w:tcPr>
            <w:tcW w:w="495" w:type="dxa"/>
            <w:vMerge w:val="continue"/>
            <w:tcBorders>
              <w:tl2br w:val="nil"/>
              <w:tr2bl w:val="nil"/>
            </w:tcBorders>
            <w:noWrap w:val="0"/>
            <w:vAlign w:val="center"/>
          </w:tcPr>
          <w:p w14:paraId="48EB45D2">
            <w:pPr>
              <w:adjustRightInd w:val="0"/>
              <w:snapToGrid w:val="0"/>
              <w:spacing w:line="340" w:lineRule="exact"/>
              <w:jc w:val="center"/>
              <w:rPr>
                <w:rFonts w:hint="eastAsia"/>
                <w:szCs w:val="21"/>
              </w:rPr>
            </w:pPr>
          </w:p>
        </w:tc>
        <w:tc>
          <w:tcPr>
            <w:tcW w:w="943" w:type="dxa"/>
            <w:tcBorders>
              <w:tl2br w:val="nil"/>
              <w:tr2bl w:val="nil"/>
            </w:tcBorders>
            <w:noWrap w:val="0"/>
            <w:vAlign w:val="center"/>
          </w:tcPr>
          <w:p w14:paraId="0E7539A1">
            <w:pPr>
              <w:adjustRightInd w:val="0"/>
              <w:snapToGrid w:val="0"/>
              <w:spacing w:line="340" w:lineRule="exact"/>
              <w:jc w:val="center"/>
              <w:rPr>
                <w:rFonts w:hint="eastAsia"/>
                <w:szCs w:val="21"/>
              </w:rPr>
            </w:pPr>
            <w:r>
              <w:rPr>
                <w:rFonts w:hint="eastAsia"/>
                <w:szCs w:val="21"/>
              </w:rPr>
              <w:t>9</w:t>
            </w:r>
          </w:p>
        </w:tc>
        <w:tc>
          <w:tcPr>
            <w:tcW w:w="2938" w:type="dxa"/>
            <w:tcBorders>
              <w:tl2br w:val="nil"/>
              <w:tr2bl w:val="nil"/>
            </w:tcBorders>
            <w:noWrap w:val="0"/>
            <w:vAlign w:val="center"/>
          </w:tcPr>
          <w:p w14:paraId="275CD0F5">
            <w:pPr>
              <w:adjustRightInd w:val="0"/>
              <w:snapToGrid w:val="0"/>
              <w:jc w:val="left"/>
              <w:rPr>
                <w:rFonts w:hint="eastAsia" w:ascii="楷体" w:hAnsi="楷体" w:eastAsia="楷体" w:cs="楷体"/>
              </w:rPr>
            </w:pPr>
            <w:r>
              <w:rPr>
                <w:rFonts w:hint="eastAsia" w:ascii="宋体" w:hAnsi="宋体" w:cs="宋体"/>
                <w:szCs w:val="21"/>
              </w:rPr>
              <w:t>投标人通过形式评审与响应性评审、资格评审得9分</w:t>
            </w:r>
          </w:p>
        </w:tc>
      </w:tr>
      <w:tr w14:paraId="3FB3194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cantSplit/>
          <w:trHeight w:val="448" w:hRule="atLeast"/>
          <w:jc w:val="center"/>
        </w:trPr>
        <w:tc>
          <w:tcPr>
            <w:tcW w:w="879" w:type="dxa"/>
            <w:vMerge w:val="continue"/>
            <w:tcBorders>
              <w:tl2br w:val="nil"/>
              <w:tr2bl w:val="nil"/>
            </w:tcBorders>
            <w:noWrap w:val="0"/>
            <w:vAlign w:val="center"/>
          </w:tcPr>
          <w:p w14:paraId="143E14D2">
            <w:pPr>
              <w:adjustRightInd w:val="0"/>
              <w:snapToGrid w:val="0"/>
              <w:spacing w:line="340" w:lineRule="exact"/>
              <w:jc w:val="center"/>
              <w:rPr>
                <w:szCs w:val="21"/>
              </w:rPr>
            </w:pPr>
          </w:p>
        </w:tc>
        <w:tc>
          <w:tcPr>
            <w:tcW w:w="671" w:type="dxa"/>
            <w:vMerge w:val="continue"/>
            <w:tcBorders>
              <w:tl2br w:val="nil"/>
              <w:tr2bl w:val="nil"/>
            </w:tcBorders>
            <w:noWrap w:val="0"/>
            <w:vAlign w:val="center"/>
          </w:tcPr>
          <w:p w14:paraId="63FFA9E4">
            <w:pPr>
              <w:adjustRightInd w:val="0"/>
              <w:snapToGrid w:val="0"/>
              <w:spacing w:line="340" w:lineRule="exact"/>
              <w:ind w:left="113" w:right="113"/>
              <w:jc w:val="center"/>
              <w:rPr>
                <w:szCs w:val="21"/>
              </w:rPr>
            </w:pPr>
          </w:p>
        </w:tc>
        <w:tc>
          <w:tcPr>
            <w:tcW w:w="815" w:type="dxa"/>
            <w:vMerge w:val="restart"/>
            <w:tcBorders>
              <w:tl2br w:val="nil"/>
              <w:tr2bl w:val="nil"/>
            </w:tcBorders>
            <w:noWrap w:val="0"/>
            <w:vAlign w:val="center"/>
          </w:tcPr>
          <w:p w14:paraId="57D17B06">
            <w:pPr>
              <w:adjustRightInd w:val="0"/>
              <w:snapToGrid w:val="0"/>
              <w:spacing w:line="340" w:lineRule="exact"/>
              <w:ind w:left="113" w:right="113"/>
              <w:jc w:val="center"/>
              <w:rPr>
                <w:rFonts w:hint="eastAsia"/>
                <w:szCs w:val="21"/>
              </w:rPr>
            </w:pPr>
            <w:r>
              <w:rPr>
                <w:rFonts w:hint="eastAsia"/>
                <w:szCs w:val="21"/>
              </w:rPr>
              <w:t>信誉</w:t>
            </w:r>
          </w:p>
        </w:tc>
        <w:tc>
          <w:tcPr>
            <w:tcW w:w="1050" w:type="dxa"/>
            <w:vMerge w:val="restart"/>
            <w:tcBorders>
              <w:tl2br w:val="nil"/>
              <w:tr2bl w:val="nil"/>
            </w:tcBorders>
            <w:noWrap w:val="0"/>
            <w:vAlign w:val="center"/>
          </w:tcPr>
          <w:p w14:paraId="59123B8B">
            <w:pPr>
              <w:adjustRightInd w:val="0"/>
              <w:snapToGrid w:val="0"/>
              <w:spacing w:line="340" w:lineRule="exact"/>
              <w:jc w:val="center"/>
              <w:rPr>
                <w:sz w:val="24"/>
              </w:rPr>
            </w:pPr>
            <w:r>
              <w:rPr>
                <w:rFonts w:hint="eastAsia"/>
                <w:sz w:val="24"/>
              </w:rPr>
              <w:t>15分</w:t>
            </w:r>
          </w:p>
        </w:tc>
        <w:tc>
          <w:tcPr>
            <w:tcW w:w="1885" w:type="dxa"/>
            <w:vMerge w:val="restart"/>
            <w:tcBorders>
              <w:tl2br w:val="nil"/>
              <w:tr2bl w:val="nil"/>
            </w:tcBorders>
            <w:noWrap w:val="0"/>
            <w:vAlign w:val="center"/>
          </w:tcPr>
          <w:p w14:paraId="0AEBCEB4">
            <w:pPr>
              <w:adjustRightInd w:val="0"/>
              <w:snapToGrid w:val="0"/>
              <w:spacing w:line="340" w:lineRule="exact"/>
              <w:jc w:val="left"/>
              <w:rPr>
                <w:szCs w:val="21"/>
              </w:rPr>
            </w:pPr>
            <w:r>
              <w:rPr>
                <w:rFonts w:hint="eastAsia"/>
              </w:rPr>
              <w:t>投标人的信誉评价等级</w:t>
            </w:r>
          </w:p>
        </w:tc>
        <w:tc>
          <w:tcPr>
            <w:tcW w:w="495" w:type="dxa"/>
            <w:vMerge w:val="restart"/>
            <w:tcBorders>
              <w:tl2br w:val="nil"/>
              <w:tr2bl w:val="nil"/>
            </w:tcBorders>
            <w:noWrap w:val="0"/>
            <w:vAlign w:val="center"/>
          </w:tcPr>
          <w:p w14:paraId="1AECCB04">
            <w:pPr>
              <w:snapToGrid w:val="0"/>
              <w:spacing w:line="340" w:lineRule="exact"/>
              <w:jc w:val="center"/>
              <w:rPr>
                <w:szCs w:val="21"/>
              </w:rPr>
            </w:pPr>
            <w:r>
              <w:rPr>
                <w:szCs w:val="21"/>
              </w:rPr>
              <w:t>1</w:t>
            </w:r>
            <w:r>
              <w:rPr>
                <w:rFonts w:hint="eastAsia"/>
                <w:szCs w:val="21"/>
              </w:rPr>
              <w:t>5</w:t>
            </w:r>
          </w:p>
        </w:tc>
        <w:tc>
          <w:tcPr>
            <w:tcW w:w="943" w:type="dxa"/>
            <w:tcBorders>
              <w:tl2br w:val="nil"/>
              <w:tr2bl w:val="nil"/>
            </w:tcBorders>
            <w:noWrap w:val="0"/>
            <w:vAlign w:val="center"/>
          </w:tcPr>
          <w:p w14:paraId="320DD51C">
            <w:pPr>
              <w:snapToGrid w:val="0"/>
              <w:spacing w:line="340" w:lineRule="exact"/>
              <w:jc w:val="center"/>
              <w:rPr>
                <w:szCs w:val="21"/>
              </w:rPr>
            </w:pPr>
            <w:r>
              <w:rPr>
                <w:rFonts w:hint="eastAsia"/>
                <w:szCs w:val="21"/>
              </w:rPr>
              <w:t>15</w:t>
            </w:r>
          </w:p>
        </w:tc>
        <w:tc>
          <w:tcPr>
            <w:tcW w:w="2938" w:type="dxa"/>
            <w:tcBorders>
              <w:tl2br w:val="nil"/>
              <w:tr2bl w:val="nil"/>
            </w:tcBorders>
            <w:noWrap w:val="0"/>
            <w:vAlign w:val="center"/>
          </w:tcPr>
          <w:p w14:paraId="594FDFCD">
            <w:pPr>
              <w:snapToGrid w:val="0"/>
              <w:spacing w:line="340" w:lineRule="exact"/>
              <w:jc w:val="left"/>
              <w:rPr>
                <w:szCs w:val="21"/>
              </w:rPr>
            </w:pPr>
            <w:r>
              <w:rPr>
                <w:rFonts w:hint="eastAsia"/>
                <w:szCs w:val="21"/>
              </w:rPr>
              <w:t>信誉评价AA级</w:t>
            </w:r>
          </w:p>
        </w:tc>
      </w:tr>
      <w:tr w14:paraId="443835D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cantSplit/>
          <w:trHeight w:val="448" w:hRule="atLeast"/>
          <w:jc w:val="center"/>
        </w:trPr>
        <w:tc>
          <w:tcPr>
            <w:tcW w:w="879" w:type="dxa"/>
            <w:vMerge w:val="continue"/>
            <w:tcBorders>
              <w:tl2br w:val="nil"/>
              <w:tr2bl w:val="nil"/>
            </w:tcBorders>
            <w:noWrap w:val="0"/>
            <w:vAlign w:val="center"/>
          </w:tcPr>
          <w:p w14:paraId="6DC163A7">
            <w:pPr>
              <w:adjustRightInd w:val="0"/>
              <w:snapToGrid w:val="0"/>
              <w:spacing w:line="340" w:lineRule="exact"/>
              <w:jc w:val="center"/>
              <w:rPr>
                <w:szCs w:val="21"/>
              </w:rPr>
            </w:pPr>
          </w:p>
        </w:tc>
        <w:tc>
          <w:tcPr>
            <w:tcW w:w="671" w:type="dxa"/>
            <w:vMerge w:val="continue"/>
            <w:tcBorders>
              <w:tl2br w:val="nil"/>
              <w:tr2bl w:val="nil"/>
            </w:tcBorders>
            <w:noWrap w:val="0"/>
            <w:vAlign w:val="center"/>
          </w:tcPr>
          <w:p w14:paraId="03A149C7">
            <w:pPr>
              <w:adjustRightInd w:val="0"/>
              <w:snapToGrid w:val="0"/>
              <w:spacing w:line="340" w:lineRule="exact"/>
              <w:ind w:left="113" w:right="113"/>
              <w:jc w:val="center"/>
              <w:rPr>
                <w:szCs w:val="21"/>
              </w:rPr>
            </w:pPr>
          </w:p>
        </w:tc>
        <w:tc>
          <w:tcPr>
            <w:tcW w:w="815" w:type="dxa"/>
            <w:vMerge w:val="continue"/>
            <w:tcBorders>
              <w:tl2br w:val="nil"/>
              <w:tr2bl w:val="nil"/>
            </w:tcBorders>
            <w:noWrap w:val="0"/>
            <w:vAlign w:val="center"/>
          </w:tcPr>
          <w:p w14:paraId="4C7CC341">
            <w:pPr>
              <w:adjustRightInd w:val="0"/>
              <w:snapToGrid w:val="0"/>
              <w:spacing w:line="340" w:lineRule="exact"/>
              <w:ind w:left="113" w:right="113"/>
              <w:jc w:val="center"/>
              <w:rPr>
                <w:szCs w:val="21"/>
              </w:rPr>
            </w:pPr>
          </w:p>
        </w:tc>
        <w:tc>
          <w:tcPr>
            <w:tcW w:w="1050" w:type="dxa"/>
            <w:vMerge w:val="continue"/>
            <w:tcBorders>
              <w:tl2br w:val="nil"/>
              <w:tr2bl w:val="nil"/>
            </w:tcBorders>
            <w:noWrap w:val="0"/>
            <w:vAlign w:val="center"/>
          </w:tcPr>
          <w:p w14:paraId="62A437DF">
            <w:pPr>
              <w:adjustRightInd w:val="0"/>
              <w:snapToGrid w:val="0"/>
              <w:spacing w:line="340" w:lineRule="exact"/>
              <w:jc w:val="center"/>
              <w:rPr>
                <w:szCs w:val="21"/>
              </w:rPr>
            </w:pPr>
          </w:p>
        </w:tc>
        <w:tc>
          <w:tcPr>
            <w:tcW w:w="1885" w:type="dxa"/>
            <w:vMerge w:val="continue"/>
            <w:tcBorders>
              <w:tl2br w:val="nil"/>
              <w:tr2bl w:val="nil"/>
            </w:tcBorders>
            <w:noWrap w:val="0"/>
            <w:vAlign w:val="center"/>
          </w:tcPr>
          <w:p w14:paraId="056FA7B4">
            <w:pPr>
              <w:adjustRightInd w:val="0"/>
              <w:snapToGrid w:val="0"/>
              <w:spacing w:line="340" w:lineRule="exact"/>
              <w:jc w:val="left"/>
              <w:rPr>
                <w:szCs w:val="21"/>
              </w:rPr>
            </w:pPr>
          </w:p>
        </w:tc>
        <w:tc>
          <w:tcPr>
            <w:tcW w:w="495" w:type="dxa"/>
            <w:vMerge w:val="continue"/>
            <w:tcBorders>
              <w:tl2br w:val="nil"/>
              <w:tr2bl w:val="nil"/>
            </w:tcBorders>
            <w:noWrap w:val="0"/>
            <w:vAlign w:val="center"/>
          </w:tcPr>
          <w:p w14:paraId="1796C8D4">
            <w:pPr>
              <w:snapToGrid w:val="0"/>
              <w:spacing w:line="340" w:lineRule="exact"/>
              <w:jc w:val="center"/>
              <w:rPr>
                <w:szCs w:val="21"/>
              </w:rPr>
            </w:pPr>
          </w:p>
        </w:tc>
        <w:tc>
          <w:tcPr>
            <w:tcW w:w="943" w:type="dxa"/>
            <w:tcBorders>
              <w:tl2br w:val="nil"/>
              <w:tr2bl w:val="nil"/>
            </w:tcBorders>
            <w:noWrap w:val="0"/>
            <w:vAlign w:val="center"/>
          </w:tcPr>
          <w:p w14:paraId="7186BBB5">
            <w:pPr>
              <w:snapToGrid w:val="0"/>
              <w:spacing w:line="340" w:lineRule="exact"/>
              <w:jc w:val="center"/>
              <w:rPr>
                <w:rFonts w:hint="eastAsia"/>
                <w:szCs w:val="21"/>
              </w:rPr>
            </w:pPr>
            <w:r>
              <w:rPr>
                <w:szCs w:val="21"/>
              </w:rPr>
              <w:t>12</w:t>
            </w:r>
          </w:p>
        </w:tc>
        <w:tc>
          <w:tcPr>
            <w:tcW w:w="2938" w:type="dxa"/>
            <w:tcBorders>
              <w:tl2br w:val="nil"/>
              <w:tr2bl w:val="nil"/>
            </w:tcBorders>
            <w:noWrap w:val="0"/>
            <w:vAlign w:val="center"/>
          </w:tcPr>
          <w:p w14:paraId="114827CB">
            <w:pPr>
              <w:snapToGrid w:val="0"/>
              <w:spacing w:line="340" w:lineRule="exact"/>
              <w:jc w:val="left"/>
              <w:rPr>
                <w:rFonts w:hint="eastAsia"/>
                <w:szCs w:val="21"/>
              </w:rPr>
            </w:pPr>
            <w:r>
              <w:rPr>
                <w:rFonts w:hint="eastAsia"/>
                <w:szCs w:val="21"/>
              </w:rPr>
              <w:t>信誉评价A级</w:t>
            </w:r>
          </w:p>
        </w:tc>
      </w:tr>
      <w:tr w14:paraId="7720964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cantSplit/>
          <w:trHeight w:val="448" w:hRule="atLeast"/>
          <w:jc w:val="center"/>
        </w:trPr>
        <w:tc>
          <w:tcPr>
            <w:tcW w:w="879" w:type="dxa"/>
            <w:vMerge w:val="continue"/>
            <w:tcBorders>
              <w:tl2br w:val="nil"/>
              <w:tr2bl w:val="nil"/>
            </w:tcBorders>
            <w:noWrap w:val="0"/>
            <w:vAlign w:val="center"/>
          </w:tcPr>
          <w:p w14:paraId="051B20B9">
            <w:pPr>
              <w:adjustRightInd w:val="0"/>
              <w:snapToGrid w:val="0"/>
              <w:spacing w:line="340" w:lineRule="exact"/>
              <w:jc w:val="center"/>
              <w:rPr>
                <w:szCs w:val="21"/>
              </w:rPr>
            </w:pPr>
          </w:p>
        </w:tc>
        <w:tc>
          <w:tcPr>
            <w:tcW w:w="671" w:type="dxa"/>
            <w:vMerge w:val="continue"/>
            <w:tcBorders>
              <w:tl2br w:val="nil"/>
              <w:tr2bl w:val="nil"/>
            </w:tcBorders>
            <w:noWrap w:val="0"/>
            <w:vAlign w:val="center"/>
          </w:tcPr>
          <w:p w14:paraId="274D0FC3">
            <w:pPr>
              <w:adjustRightInd w:val="0"/>
              <w:snapToGrid w:val="0"/>
              <w:spacing w:line="340" w:lineRule="exact"/>
              <w:ind w:left="113" w:right="113"/>
              <w:jc w:val="center"/>
              <w:rPr>
                <w:szCs w:val="21"/>
              </w:rPr>
            </w:pPr>
          </w:p>
        </w:tc>
        <w:tc>
          <w:tcPr>
            <w:tcW w:w="815" w:type="dxa"/>
            <w:vMerge w:val="continue"/>
            <w:tcBorders>
              <w:tl2br w:val="nil"/>
              <w:tr2bl w:val="nil"/>
            </w:tcBorders>
            <w:noWrap w:val="0"/>
            <w:vAlign w:val="center"/>
          </w:tcPr>
          <w:p w14:paraId="66F4A5A9">
            <w:pPr>
              <w:adjustRightInd w:val="0"/>
              <w:snapToGrid w:val="0"/>
              <w:spacing w:line="340" w:lineRule="exact"/>
              <w:ind w:left="113" w:right="113"/>
              <w:jc w:val="center"/>
              <w:rPr>
                <w:szCs w:val="21"/>
              </w:rPr>
            </w:pPr>
          </w:p>
        </w:tc>
        <w:tc>
          <w:tcPr>
            <w:tcW w:w="1050" w:type="dxa"/>
            <w:vMerge w:val="continue"/>
            <w:tcBorders>
              <w:tl2br w:val="nil"/>
              <w:tr2bl w:val="nil"/>
            </w:tcBorders>
            <w:noWrap w:val="0"/>
            <w:vAlign w:val="center"/>
          </w:tcPr>
          <w:p w14:paraId="1599C4A6">
            <w:pPr>
              <w:adjustRightInd w:val="0"/>
              <w:snapToGrid w:val="0"/>
              <w:spacing w:line="340" w:lineRule="exact"/>
              <w:jc w:val="center"/>
              <w:rPr>
                <w:szCs w:val="21"/>
              </w:rPr>
            </w:pPr>
          </w:p>
        </w:tc>
        <w:tc>
          <w:tcPr>
            <w:tcW w:w="1885" w:type="dxa"/>
            <w:vMerge w:val="continue"/>
            <w:tcBorders>
              <w:tl2br w:val="nil"/>
              <w:tr2bl w:val="nil"/>
            </w:tcBorders>
            <w:noWrap w:val="0"/>
            <w:vAlign w:val="center"/>
          </w:tcPr>
          <w:p w14:paraId="7DA909D7">
            <w:pPr>
              <w:adjustRightInd w:val="0"/>
              <w:snapToGrid w:val="0"/>
              <w:spacing w:line="340" w:lineRule="exact"/>
              <w:jc w:val="left"/>
              <w:rPr>
                <w:szCs w:val="21"/>
              </w:rPr>
            </w:pPr>
          </w:p>
        </w:tc>
        <w:tc>
          <w:tcPr>
            <w:tcW w:w="495" w:type="dxa"/>
            <w:vMerge w:val="continue"/>
            <w:tcBorders>
              <w:tl2br w:val="nil"/>
              <w:tr2bl w:val="nil"/>
            </w:tcBorders>
            <w:noWrap w:val="0"/>
            <w:vAlign w:val="center"/>
          </w:tcPr>
          <w:p w14:paraId="32E4470D">
            <w:pPr>
              <w:snapToGrid w:val="0"/>
              <w:spacing w:line="340" w:lineRule="exact"/>
              <w:jc w:val="center"/>
              <w:rPr>
                <w:szCs w:val="21"/>
              </w:rPr>
            </w:pPr>
          </w:p>
        </w:tc>
        <w:tc>
          <w:tcPr>
            <w:tcW w:w="943" w:type="dxa"/>
            <w:tcBorders>
              <w:tl2br w:val="nil"/>
              <w:tr2bl w:val="nil"/>
            </w:tcBorders>
            <w:noWrap w:val="0"/>
            <w:vAlign w:val="center"/>
          </w:tcPr>
          <w:p w14:paraId="0508D883">
            <w:pPr>
              <w:snapToGrid w:val="0"/>
              <w:spacing w:line="340" w:lineRule="exact"/>
              <w:jc w:val="center"/>
              <w:rPr>
                <w:rFonts w:hint="eastAsia" w:eastAsia="宋体"/>
                <w:szCs w:val="21"/>
                <w:lang w:eastAsia="zh-CN"/>
              </w:rPr>
            </w:pPr>
            <w:r>
              <w:rPr>
                <w:rFonts w:hint="eastAsia"/>
                <w:szCs w:val="21"/>
                <w:lang w:val="en-US" w:eastAsia="zh-CN"/>
              </w:rPr>
              <w:t>9</w:t>
            </w:r>
          </w:p>
        </w:tc>
        <w:tc>
          <w:tcPr>
            <w:tcW w:w="2938" w:type="dxa"/>
            <w:tcBorders>
              <w:tl2br w:val="nil"/>
              <w:tr2bl w:val="nil"/>
            </w:tcBorders>
            <w:noWrap w:val="0"/>
            <w:vAlign w:val="center"/>
          </w:tcPr>
          <w:p w14:paraId="727168E5">
            <w:pPr>
              <w:snapToGrid w:val="0"/>
              <w:spacing w:line="340" w:lineRule="exact"/>
              <w:jc w:val="left"/>
              <w:rPr>
                <w:szCs w:val="21"/>
              </w:rPr>
            </w:pPr>
            <w:r>
              <w:rPr>
                <w:rFonts w:hint="eastAsia"/>
                <w:szCs w:val="21"/>
              </w:rPr>
              <w:t>信誉评价B级</w:t>
            </w:r>
          </w:p>
        </w:tc>
      </w:tr>
      <w:tr w14:paraId="03871CC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cantSplit/>
          <w:trHeight w:val="448" w:hRule="atLeast"/>
          <w:jc w:val="center"/>
        </w:trPr>
        <w:tc>
          <w:tcPr>
            <w:tcW w:w="879" w:type="dxa"/>
            <w:vMerge w:val="continue"/>
            <w:tcBorders>
              <w:tl2br w:val="nil"/>
              <w:tr2bl w:val="nil"/>
            </w:tcBorders>
            <w:noWrap w:val="0"/>
            <w:vAlign w:val="center"/>
          </w:tcPr>
          <w:p w14:paraId="1AF351F6">
            <w:pPr>
              <w:adjustRightInd w:val="0"/>
              <w:snapToGrid w:val="0"/>
              <w:spacing w:line="340" w:lineRule="exact"/>
              <w:jc w:val="center"/>
              <w:rPr>
                <w:szCs w:val="21"/>
              </w:rPr>
            </w:pPr>
          </w:p>
        </w:tc>
        <w:tc>
          <w:tcPr>
            <w:tcW w:w="671" w:type="dxa"/>
            <w:vMerge w:val="continue"/>
            <w:tcBorders>
              <w:tl2br w:val="nil"/>
              <w:tr2bl w:val="nil"/>
            </w:tcBorders>
            <w:noWrap w:val="0"/>
            <w:vAlign w:val="center"/>
          </w:tcPr>
          <w:p w14:paraId="07CC2AEC">
            <w:pPr>
              <w:adjustRightInd w:val="0"/>
              <w:snapToGrid w:val="0"/>
              <w:spacing w:line="340" w:lineRule="exact"/>
              <w:ind w:left="113" w:right="113"/>
              <w:jc w:val="center"/>
              <w:rPr>
                <w:szCs w:val="21"/>
              </w:rPr>
            </w:pPr>
          </w:p>
        </w:tc>
        <w:tc>
          <w:tcPr>
            <w:tcW w:w="815" w:type="dxa"/>
            <w:vMerge w:val="continue"/>
            <w:tcBorders>
              <w:tl2br w:val="nil"/>
              <w:tr2bl w:val="nil"/>
            </w:tcBorders>
            <w:noWrap w:val="0"/>
            <w:vAlign w:val="center"/>
          </w:tcPr>
          <w:p w14:paraId="3A7F5FCA">
            <w:pPr>
              <w:adjustRightInd w:val="0"/>
              <w:snapToGrid w:val="0"/>
              <w:spacing w:line="340" w:lineRule="exact"/>
              <w:ind w:left="113" w:right="113"/>
              <w:jc w:val="center"/>
              <w:rPr>
                <w:szCs w:val="21"/>
              </w:rPr>
            </w:pPr>
          </w:p>
        </w:tc>
        <w:tc>
          <w:tcPr>
            <w:tcW w:w="1050" w:type="dxa"/>
            <w:vMerge w:val="continue"/>
            <w:tcBorders>
              <w:tl2br w:val="nil"/>
              <w:tr2bl w:val="nil"/>
            </w:tcBorders>
            <w:noWrap w:val="0"/>
            <w:vAlign w:val="center"/>
          </w:tcPr>
          <w:p w14:paraId="04AA0791">
            <w:pPr>
              <w:adjustRightInd w:val="0"/>
              <w:snapToGrid w:val="0"/>
              <w:spacing w:line="340" w:lineRule="exact"/>
              <w:jc w:val="center"/>
              <w:rPr>
                <w:szCs w:val="21"/>
              </w:rPr>
            </w:pPr>
          </w:p>
        </w:tc>
        <w:tc>
          <w:tcPr>
            <w:tcW w:w="1885" w:type="dxa"/>
            <w:vMerge w:val="continue"/>
            <w:tcBorders>
              <w:tl2br w:val="nil"/>
              <w:tr2bl w:val="nil"/>
            </w:tcBorders>
            <w:noWrap w:val="0"/>
            <w:vAlign w:val="center"/>
          </w:tcPr>
          <w:p w14:paraId="5CF82DA1">
            <w:pPr>
              <w:adjustRightInd w:val="0"/>
              <w:snapToGrid w:val="0"/>
              <w:spacing w:line="340" w:lineRule="exact"/>
              <w:jc w:val="left"/>
              <w:rPr>
                <w:szCs w:val="21"/>
              </w:rPr>
            </w:pPr>
          </w:p>
        </w:tc>
        <w:tc>
          <w:tcPr>
            <w:tcW w:w="495" w:type="dxa"/>
            <w:vMerge w:val="continue"/>
            <w:tcBorders>
              <w:tl2br w:val="nil"/>
              <w:tr2bl w:val="nil"/>
            </w:tcBorders>
            <w:noWrap w:val="0"/>
            <w:vAlign w:val="center"/>
          </w:tcPr>
          <w:p w14:paraId="45FF770C">
            <w:pPr>
              <w:snapToGrid w:val="0"/>
              <w:spacing w:line="340" w:lineRule="exact"/>
              <w:jc w:val="center"/>
              <w:rPr>
                <w:szCs w:val="21"/>
              </w:rPr>
            </w:pPr>
          </w:p>
        </w:tc>
        <w:tc>
          <w:tcPr>
            <w:tcW w:w="943" w:type="dxa"/>
            <w:tcBorders>
              <w:tl2br w:val="nil"/>
              <w:tr2bl w:val="nil"/>
            </w:tcBorders>
            <w:noWrap w:val="0"/>
            <w:vAlign w:val="center"/>
          </w:tcPr>
          <w:p w14:paraId="607762B0">
            <w:pPr>
              <w:snapToGrid w:val="0"/>
              <w:spacing w:line="340" w:lineRule="exact"/>
              <w:jc w:val="center"/>
              <w:rPr>
                <w:rFonts w:hint="eastAsia" w:eastAsia="宋体"/>
                <w:szCs w:val="21"/>
                <w:lang w:eastAsia="zh-CN"/>
              </w:rPr>
            </w:pPr>
            <w:r>
              <w:rPr>
                <w:rFonts w:hint="eastAsia"/>
                <w:szCs w:val="21"/>
                <w:lang w:val="en-US" w:eastAsia="zh-CN"/>
              </w:rPr>
              <w:t>6</w:t>
            </w:r>
          </w:p>
        </w:tc>
        <w:tc>
          <w:tcPr>
            <w:tcW w:w="2938" w:type="dxa"/>
            <w:tcBorders>
              <w:tl2br w:val="nil"/>
              <w:tr2bl w:val="nil"/>
            </w:tcBorders>
            <w:noWrap w:val="0"/>
            <w:vAlign w:val="center"/>
          </w:tcPr>
          <w:p w14:paraId="7E6A02A3">
            <w:pPr>
              <w:snapToGrid w:val="0"/>
              <w:spacing w:line="340" w:lineRule="exact"/>
              <w:jc w:val="left"/>
              <w:rPr>
                <w:rFonts w:hint="eastAsia"/>
                <w:szCs w:val="21"/>
              </w:rPr>
            </w:pPr>
            <w:r>
              <w:rPr>
                <w:rFonts w:hint="eastAsia"/>
                <w:szCs w:val="21"/>
              </w:rPr>
              <w:t>信誉评价C</w:t>
            </w:r>
            <w:r>
              <w:rPr>
                <w:rFonts w:hint="eastAsia" w:ascii="宋体" w:hAnsi="宋体" w:cs="宋体"/>
                <w:color w:val="000000"/>
                <w:kern w:val="0"/>
                <w:szCs w:val="21"/>
                <w:shd w:val="clear" w:color="auto" w:fill="FFFFFF"/>
                <w:lang w:bidi="ar"/>
              </w:rPr>
              <w:t>级</w:t>
            </w:r>
          </w:p>
        </w:tc>
      </w:tr>
      <w:tr w14:paraId="6D77D31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cantSplit/>
          <w:trHeight w:val="448" w:hRule="atLeast"/>
          <w:jc w:val="center"/>
        </w:trPr>
        <w:tc>
          <w:tcPr>
            <w:tcW w:w="879" w:type="dxa"/>
            <w:vMerge w:val="continue"/>
            <w:tcBorders>
              <w:tl2br w:val="nil"/>
              <w:tr2bl w:val="nil"/>
            </w:tcBorders>
            <w:noWrap w:val="0"/>
            <w:vAlign w:val="center"/>
          </w:tcPr>
          <w:p w14:paraId="072511EA">
            <w:pPr>
              <w:adjustRightInd w:val="0"/>
              <w:snapToGrid w:val="0"/>
              <w:spacing w:line="340" w:lineRule="exact"/>
              <w:jc w:val="center"/>
              <w:rPr>
                <w:szCs w:val="21"/>
              </w:rPr>
            </w:pPr>
          </w:p>
        </w:tc>
        <w:tc>
          <w:tcPr>
            <w:tcW w:w="671" w:type="dxa"/>
            <w:vMerge w:val="continue"/>
            <w:tcBorders>
              <w:tl2br w:val="nil"/>
              <w:tr2bl w:val="nil"/>
            </w:tcBorders>
            <w:noWrap w:val="0"/>
            <w:vAlign w:val="center"/>
          </w:tcPr>
          <w:p w14:paraId="229709C6">
            <w:pPr>
              <w:adjustRightInd w:val="0"/>
              <w:snapToGrid w:val="0"/>
              <w:spacing w:line="340" w:lineRule="exact"/>
              <w:ind w:left="113" w:right="113"/>
              <w:jc w:val="center"/>
              <w:rPr>
                <w:szCs w:val="21"/>
              </w:rPr>
            </w:pPr>
          </w:p>
        </w:tc>
        <w:tc>
          <w:tcPr>
            <w:tcW w:w="815" w:type="dxa"/>
            <w:vMerge w:val="continue"/>
            <w:tcBorders>
              <w:tl2br w:val="nil"/>
              <w:tr2bl w:val="nil"/>
            </w:tcBorders>
            <w:noWrap w:val="0"/>
            <w:vAlign w:val="center"/>
          </w:tcPr>
          <w:p w14:paraId="716EAC2A">
            <w:pPr>
              <w:adjustRightInd w:val="0"/>
              <w:snapToGrid w:val="0"/>
              <w:spacing w:line="340" w:lineRule="exact"/>
              <w:ind w:left="113" w:right="113"/>
              <w:jc w:val="center"/>
              <w:rPr>
                <w:szCs w:val="21"/>
              </w:rPr>
            </w:pPr>
          </w:p>
        </w:tc>
        <w:tc>
          <w:tcPr>
            <w:tcW w:w="1050" w:type="dxa"/>
            <w:vMerge w:val="continue"/>
            <w:tcBorders>
              <w:tl2br w:val="nil"/>
              <w:tr2bl w:val="nil"/>
            </w:tcBorders>
            <w:noWrap w:val="0"/>
            <w:vAlign w:val="center"/>
          </w:tcPr>
          <w:p w14:paraId="4D8E31CC">
            <w:pPr>
              <w:adjustRightInd w:val="0"/>
              <w:snapToGrid w:val="0"/>
              <w:spacing w:line="340" w:lineRule="exact"/>
              <w:jc w:val="center"/>
              <w:rPr>
                <w:szCs w:val="21"/>
              </w:rPr>
            </w:pPr>
          </w:p>
        </w:tc>
        <w:tc>
          <w:tcPr>
            <w:tcW w:w="1885" w:type="dxa"/>
            <w:vMerge w:val="continue"/>
            <w:tcBorders>
              <w:tl2br w:val="nil"/>
              <w:tr2bl w:val="nil"/>
            </w:tcBorders>
            <w:noWrap w:val="0"/>
            <w:vAlign w:val="center"/>
          </w:tcPr>
          <w:p w14:paraId="4021DD8F">
            <w:pPr>
              <w:adjustRightInd w:val="0"/>
              <w:snapToGrid w:val="0"/>
              <w:spacing w:line="340" w:lineRule="exact"/>
              <w:jc w:val="left"/>
              <w:rPr>
                <w:szCs w:val="21"/>
              </w:rPr>
            </w:pPr>
          </w:p>
        </w:tc>
        <w:tc>
          <w:tcPr>
            <w:tcW w:w="495" w:type="dxa"/>
            <w:vMerge w:val="continue"/>
            <w:tcBorders>
              <w:tl2br w:val="nil"/>
              <w:tr2bl w:val="nil"/>
            </w:tcBorders>
            <w:noWrap w:val="0"/>
            <w:vAlign w:val="center"/>
          </w:tcPr>
          <w:p w14:paraId="49CDB587">
            <w:pPr>
              <w:snapToGrid w:val="0"/>
              <w:spacing w:line="340" w:lineRule="exact"/>
              <w:jc w:val="center"/>
              <w:rPr>
                <w:szCs w:val="21"/>
              </w:rPr>
            </w:pPr>
          </w:p>
        </w:tc>
        <w:tc>
          <w:tcPr>
            <w:tcW w:w="943" w:type="dxa"/>
            <w:tcBorders>
              <w:tl2br w:val="nil"/>
              <w:tr2bl w:val="nil"/>
            </w:tcBorders>
            <w:noWrap w:val="0"/>
            <w:vAlign w:val="center"/>
          </w:tcPr>
          <w:p w14:paraId="255DDC77">
            <w:pPr>
              <w:snapToGrid w:val="0"/>
              <w:spacing w:line="340" w:lineRule="exact"/>
              <w:jc w:val="center"/>
              <w:rPr>
                <w:rFonts w:hint="eastAsia"/>
                <w:szCs w:val="21"/>
              </w:rPr>
            </w:pPr>
            <w:r>
              <w:rPr>
                <w:rFonts w:hint="eastAsia"/>
                <w:szCs w:val="21"/>
              </w:rPr>
              <w:t>拒绝投标</w:t>
            </w:r>
          </w:p>
        </w:tc>
        <w:tc>
          <w:tcPr>
            <w:tcW w:w="2938" w:type="dxa"/>
            <w:tcBorders>
              <w:tl2br w:val="nil"/>
              <w:tr2bl w:val="nil"/>
            </w:tcBorders>
            <w:noWrap w:val="0"/>
            <w:vAlign w:val="center"/>
          </w:tcPr>
          <w:p w14:paraId="7322670D">
            <w:pPr>
              <w:snapToGrid w:val="0"/>
              <w:spacing w:line="340" w:lineRule="exact"/>
              <w:jc w:val="left"/>
              <w:rPr>
                <w:rFonts w:hint="eastAsia"/>
                <w:szCs w:val="21"/>
              </w:rPr>
            </w:pPr>
            <w:r>
              <w:rPr>
                <w:rFonts w:hint="eastAsia"/>
                <w:szCs w:val="21"/>
              </w:rPr>
              <w:t>信誉评价D</w:t>
            </w:r>
            <w:r>
              <w:rPr>
                <w:rFonts w:hint="eastAsia" w:ascii="宋体" w:hAnsi="宋体" w:cs="宋体"/>
                <w:color w:val="000000"/>
                <w:kern w:val="0"/>
                <w:szCs w:val="21"/>
                <w:shd w:val="clear" w:color="auto" w:fill="FFFFFF"/>
                <w:lang w:bidi="ar"/>
              </w:rPr>
              <w:t>级</w:t>
            </w:r>
          </w:p>
        </w:tc>
      </w:tr>
      <w:tr w14:paraId="7280178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cantSplit/>
          <w:trHeight w:val="1376" w:hRule="atLeast"/>
          <w:jc w:val="center"/>
        </w:trPr>
        <w:tc>
          <w:tcPr>
            <w:tcW w:w="879" w:type="dxa"/>
            <w:vMerge w:val="continue"/>
            <w:tcBorders>
              <w:tl2br w:val="nil"/>
              <w:tr2bl w:val="nil"/>
            </w:tcBorders>
            <w:noWrap w:val="0"/>
            <w:vAlign w:val="center"/>
          </w:tcPr>
          <w:p w14:paraId="0A23171F">
            <w:pPr>
              <w:adjustRightInd w:val="0"/>
              <w:snapToGrid w:val="0"/>
              <w:spacing w:line="340" w:lineRule="exact"/>
              <w:jc w:val="center"/>
              <w:rPr>
                <w:szCs w:val="21"/>
              </w:rPr>
            </w:pPr>
          </w:p>
        </w:tc>
        <w:tc>
          <w:tcPr>
            <w:tcW w:w="671" w:type="dxa"/>
            <w:vMerge w:val="continue"/>
            <w:tcBorders>
              <w:tl2br w:val="nil"/>
              <w:tr2bl w:val="nil"/>
            </w:tcBorders>
            <w:noWrap w:val="0"/>
            <w:vAlign w:val="center"/>
          </w:tcPr>
          <w:p w14:paraId="5A8E5F44">
            <w:pPr>
              <w:adjustRightInd w:val="0"/>
              <w:snapToGrid w:val="0"/>
              <w:spacing w:line="340" w:lineRule="exact"/>
              <w:ind w:left="113" w:right="113"/>
              <w:jc w:val="center"/>
              <w:rPr>
                <w:szCs w:val="21"/>
              </w:rPr>
            </w:pPr>
          </w:p>
        </w:tc>
        <w:tc>
          <w:tcPr>
            <w:tcW w:w="815" w:type="dxa"/>
            <w:vMerge w:val="continue"/>
            <w:tcBorders>
              <w:tl2br w:val="nil"/>
              <w:tr2bl w:val="nil"/>
            </w:tcBorders>
            <w:noWrap w:val="0"/>
            <w:vAlign w:val="center"/>
          </w:tcPr>
          <w:p w14:paraId="4372BD6F">
            <w:pPr>
              <w:adjustRightInd w:val="0"/>
              <w:snapToGrid w:val="0"/>
              <w:spacing w:line="340" w:lineRule="exact"/>
              <w:ind w:left="113" w:right="113"/>
              <w:jc w:val="center"/>
              <w:rPr>
                <w:szCs w:val="21"/>
              </w:rPr>
            </w:pPr>
          </w:p>
        </w:tc>
        <w:tc>
          <w:tcPr>
            <w:tcW w:w="7311" w:type="dxa"/>
            <w:gridSpan w:val="5"/>
            <w:tcBorders>
              <w:tl2br w:val="nil"/>
              <w:tr2bl w:val="nil"/>
            </w:tcBorders>
            <w:noWrap w:val="0"/>
            <w:vAlign w:val="center"/>
          </w:tcPr>
          <w:p w14:paraId="37435891">
            <w:pPr>
              <w:adjustRightInd w:val="0"/>
              <w:snapToGrid w:val="0"/>
              <w:spacing w:before="62" w:beforeLines="20" w:after="62" w:afterLines="20"/>
              <w:jc w:val="left"/>
              <w:rPr>
                <w:rFonts w:ascii="楷体" w:hAnsi="楷体" w:eastAsia="楷体"/>
                <w:szCs w:val="21"/>
              </w:rPr>
            </w:pPr>
            <w:r>
              <w:rPr>
                <w:rFonts w:hint="eastAsia" w:ascii="楷体" w:hAnsi="楷体" w:eastAsia="楷体"/>
                <w:szCs w:val="21"/>
              </w:rPr>
              <w:t>注：</w:t>
            </w:r>
            <w:r>
              <w:rPr>
                <w:rFonts w:hint="eastAsia" w:ascii="楷体" w:hAnsi="楷体" w:eastAsia="楷体"/>
                <w:szCs w:val="21"/>
                <w:lang w:val="en-US" w:eastAsia="zh-CN"/>
              </w:rPr>
              <w:t>1、</w:t>
            </w:r>
            <w:r>
              <w:rPr>
                <w:rFonts w:hint="eastAsia" w:ascii="楷体" w:hAnsi="楷体" w:eastAsia="楷体"/>
                <w:szCs w:val="21"/>
              </w:rPr>
              <w:t>按照以下优先顺序应用投标人的信用评价结果（如没有前一项结果，则应用下一项结果）：</w:t>
            </w:r>
          </w:p>
          <w:p w14:paraId="06AD082D">
            <w:pPr>
              <w:widowControl/>
              <w:numPr>
                <w:ilvl w:val="0"/>
                <w:numId w:val="0"/>
              </w:numPr>
              <w:shd w:val="clear" w:color="auto" w:fill="FFFFFF"/>
              <w:spacing w:before="48" w:after="48"/>
              <w:ind w:leftChars="0"/>
              <w:jc w:val="left"/>
              <w:rPr>
                <w:rFonts w:ascii="楷体" w:hAnsi="楷体" w:eastAsia="楷体" w:cs="楷体"/>
                <w:b w:val="0"/>
                <w:bCs w:val="0"/>
                <w:color w:val="000000"/>
                <w:sz w:val="21"/>
                <w:szCs w:val="21"/>
              </w:rPr>
            </w:pPr>
            <w:r>
              <w:rPr>
                <w:rFonts w:hint="eastAsia" w:ascii="楷体" w:hAnsi="楷体" w:eastAsia="楷体" w:cs="楷体"/>
                <w:b w:val="0"/>
                <w:bCs w:val="0"/>
                <w:color w:val="000000"/>
                <w:sz w:val="21"/>
                <w:szCs w:val="21"/>
                <w:lang w:eastAsia="zh-CN"/>
              </w:rPr>
              <w:t>（</w:t>
            </w:r>
            <w:r>
              <w:rPr>
                <w:rFonts w:hint="eastAsia" w:ascii="楷体" w:hAnsi="楷体" w:eastAsia="楷体" w:cs="楷体"/>
                <w:b w:val="0"/>
                <w:bCs w:val="0"/>
                <w:color w:val="000000"/>
                <w:sz w:val="21"/>
                <w:szCs w:val="21"/>
                <w:lang w:val="en-US" w:eastAsia="zh-CN"/>
              </w:rPr>
              <w:t>1</w:t>
            </w:r>
            <w:r>
              <w:rPr>
                <w:rFonts w:hint="eastAsia" w:ascii="楷体" w:hAnsi="楷体" w:eastAsia="楷体" w:cs="楷体"/>
                <w:b w:val="0"/>
                <w:bCs w:val="0"/>
                <w:color w:val="000000"/>
                <w:sz w:val="21"/>
                <w:szCs w:val="21"/>
                <w:lang w:eastAsia="zh-CN"/>
              </w:rPr>
              <w:t>）采用《吉林省公路管理局2024年度普通干线公路养护工程企业信用评价公告》（含调整结果公告）中的投标人信用评价等级</w:t>
            </w:r>
            <w:r>
              <w:rPr>
                <w:rFonts w:ascii="楷体" w:hAnsi="楷体" w:eastAsia="楷体" w:cs="楷体"/>
                <w:b w:val="0"/>
                <w:bCs w:val="0"/>
                <w:color w:val="000000"/>
                <w:sz w:val="21"/>
                <w:szCs w:val="21"/>
              </w:rPr>
              <w:t xml:space="preserve">。 </w:t>
            </w:r>
          </w:p>
          <w:p w14:paraId="1DFE6442">
            <w:pPr>
              <w:widowControl/>
              <w:numPr>
                <w:ilvl w:val="0"/>
                <w:numId w:val="0"/>
              </w:numPr>
              <w:shd w:val="clear" w:color="auto" w:fill="FFFFFF"/>
              <w:spacing w:before="48" w:after="48"/>
              <w:jc w:val="left"/>
              <w:rPr>
                <w:rFonts w:ascii="楷体" w:hAnsi="楷体" w:eastAsia="楷体" w:cs="楷体"/>
                <w:b w:val="0"/>
                <w:bCs w:val="0"/>
                <w:color w:val="000000"/>
                <w:sz w:val="21"/>
                <w:szCs w:val="21"/>
              </w:rPr>
            </w:pPr>
            <w:r>
              <w:rPr>
                <w:rFonts w:hint="eastAsia" w:ascii="楷体" w:hAnsi="楷体" w:eastAsia="楷体" w:cs="楷体"/>
                <w:b w:val="0"/>
                <w:bCs w:val="0"/>
                <w:color w:val="000000"/>
                <w:sz w:val="21"/>
                <w:szCs w:val="21"/>
                <w:lang w:eastAsia="zh-CN"/>
              </w:rPr>
              <w:t>（</w:t>
            </w:r>
            <w:r>
              <w:rPr>
                <w:rFonts w:hint="eastAsia" w:ascii="楷体" w:hAnsi="楷体" w:eastAsia="楷体" w:cs="楷体"/>
                <w:b w:val="0"/>
                <w:bCs w:val="0"/>
                <w:color w:val="000000"/>
                <w:sz w:val="21"/>
                <w:szCs w:val="21"/>
                <w:lang w:val="en-US" w:eastAsia="zh-CN"/>
              </w:rPr>
              <w:t>2</w:t>
            </w:r>
            <w:r>
              <w:rPr>
                <w:rFonts w:hint="eastAsia" w:ascii="楷体" w:hAnsi="楷体" w:eastAsia="楷体" w:cs="楷体"/>
                <w:b w:val="0"/>
                <w:bCs w:val="0"/>
                <w:color w:val="000000"/>
                <w:sz w:val="21"/>
                <w:szCs w:val="21"/>
                <w:lang w:eastAsia="zh-CN"/>
              </w:rPr>
              <w:t>）</w:t>
            </w:r>
            <w:r>
              <w:rPr>
                <w:rFonts w:ascii="楷体" w:hAnsi="楷体" w:eastAsia="楷体" w:cs="楷体"/>
                <w:b w:val="0"/>
                <w:bCs w:val="0"/>
                <w:color w:val="000000"/>
                <w:sz w:val="21"/>
                <w:szCs w:val="21"/>
              </w:rPr>
              <w:t>采用</w:t>
            </w:r>
            <w:r>
              <w:rPr>
                <w:rFonts w:hint="eastAsia" w:ascii="楷体" w:hAnsi="楷体" w:eastAsia="楷体" w:cs="楷体"/>
                <w:b w:val="0"/>
                <w:bCs w:val="0"/>
                <w:color w:val="000000"/>
                <w:sz w:val="21"/>
                <w:szCs w:val="21"/>
                <w:lang w:eastAsia="zh-CN"/>
              </w:rPr>
              <w:t>《</w:t>
            </w:r>
            <w:r>
              <w:rPr>
                <w:rFonts w:ascii="楷体" w:hAnsi="楷体" w:eastAsia="楷体" w:cs="楷体"/>
                <w:b w:val="0"/>
                <w:bCs w:val="0"/>
                <w:color w:val="000000"/>
                <w:sz w:val="21"/>
                <w:szCs w:val="21"/>
              </w:rPr>
              <w:t>吉林省公路管理局 2023 年度吉林省普通国省干线公路养护工程企业信用评价结果公告</w:t>
            </w:r>
            <w:r>
              <w:rPr>
                <w:rFonts w:hint="eastAsia" w:ascii="楷体" w:hAnsi="楷体" w:eastAsia="楷体" w:cs="楷体"/>
                <w:b w:val="0"/>
                <w:bCs w:val="0"/>
                <w:color w:val="000000"/>
                <w:sz w:val="21"/>
                <w:szCs w:val="21"/>
                <w:lang w:eastAsia="zh-CN"/>
              </w:rPr>
              <w:t>》</w:t>
            </w:r>
            <w:r>
              <w:rPr>
                <w:rFonts w:ascii="楷体" w:hAnsi="楷体" w:eastAsia="楷体" w:cs="楷体"/>
                <w:b w:val="0"/>
                <w:bCs w:val="0"/>
                <w:color w:val="000000"/>
                <w:sz w:val="21"/>
                <w:szCs w:val="21"/>
              </w:rPr>
              <w:t>中投标人评价等级。</w:t>
            </w:r>
          </w:p>
          <w:p w14:paraId="46312233">
            <w:pPr>
              <w:widowControl/>
              <w:numPr>
                <w:ilvl w:val="0"/>
                <w:numId w:val="0"/>
              </w:numPr>
              <w:shd w:val="clear" w:color="auto" w:fill="FFFFFF"/>
              <w:spacing w:before="48" w:after="48"/>
              <w:jc w:val="left"/>
              <w:rPr>
                <w:rFonts w:hint="eastAsia" w:ascii="楷体" w:hAnsi="楷体" w:eastAsia="楷体"/>
                <w:szCs w:val="21"/>
              </w:rPr>
            </w:pPr>
            <w:r>
              <w:rPr>
                <w:rFonts w:hint="eastAsia" w:ascii="楷体" w:hAnsi="楷体" w:eastAsia="楷体" w:cs="楷体"/>
                <w:b w:val="0"/>
                <w:bCs w:val="0"/>
                <w:color w:val="000000"/>
                <w:sz w:val="21"/>
                <w:szCs w:val="21"/>
                <w:lang w:eastAsia="zh-CN"/>
              </w:rPr>
              <w:t>（</w:t>
            </w:r>
            <w:r>
              <w:rPr>
                <w:rFonts w:hint="eastAsia" w:ascii="楷体" w:hAnsi="楷体" w:eastAsia="楷体" w:cs="楷体"/>
                <w:b w:val="0"/>
                <w:bCs w:val="0"/>
                <w:color w:val="000000"/>
                <w:sz w:val="21"/>
                <w:szCs w:val="21"/>
                <w:lang w:val="en-US" w:eastAsia="zh-CN"/>
              </w:rPr>
              <w:t>3）</w:t>
            </w:r>
            <w:r>
              <w:rPr>
                <w:rFonts w:hint="eastAsia" w:ascii="楷体" w:hAnsi="楷体" w:eastAsia="楷体" w:cs="楷体"/>
                <w:b w:val="0"/>
                <w:bCs w:val="0"/>
                <w:color w:val="000000"/>
                <w:sz w:val="21"/>
                <w:szCs w:val="21"/>
              </w:rPr>
              <w:t>“全国公路建设市场监督管理系统/全国公路从业单位信用评价结果”中，投标人以施工企业获得的 20</w:t>
            </w:r>
            <w:r>
              <w:rPr>
                <w:rFonts w:hint="eastAsia" w:ascii="楷体" w:hAnsi="楷体" w:eastAsia="楷体" w:cs="楷体"/>
                <w:b w:val="0"/>
                <w:bCs w:val="0"/>
                <w:color w:val="000000"/>
                <w:sz w:val="21"/>
                <w:szCs w:val="21"/>
                <w:lang w:val="en-US" w:eastAsia="zh-CN"/>
              </w:rPr>
              <w:t>24</w:t>
            </w:r>
            <w:r>
              <w:rPr>
                <w:rFonts w:hint="eastAsia" w:ascii="楷体" w:hAnsi="楷体" w:eastAsia="楷体" w:cs="楷体"/>
                <w:b w:val="0"/>
                <w:bCs w:val="0"/>
                <w:color w:val="000000"/>
                <w:sz w:val="21"/>
                <w:szCs w:val="21"/>
              </w:rPr>
              <w:t>年度信用等级。但不得高于其原吉林省普通国省干线公路养护工程施工企业信用评价等级（如有）的上一等级。</w:t>
            </w:r>
          </w:p>
          <w:p w14:paraId="508A0DD9">
            <w:pPr>
              <w:widowControl/>
              <w:shd w:val="clear" w:color="auto" w:fill="FFFFFF"/>
              <w:spacing w:before="48" w:after="48"/>
              <w:jc w:val="left"/>
              <w:rPr>
                <w:rFonts w:ascii="楷体" w:hAnsi="楷体" w:eastAsia="楷体" w:cs="楷体"/>
                <w:b w:val="0"/>
                <w:bCs w:val="0"/>
                <w:color w:val="000000"/>
                <w:sz w:val="21"/>
                <w:szCs w:val="21"/>
              </w:rPr>
            </w:pPr>
            <w:r>
              <w:rPr>
                <w:rFonts w:ascii="楷体" w:hAnsi="楷体" w:eastAsia="楷体" w:cs="楷体"/>
                <w:b w:val="0"/>
                <w:bCs w:val="0"/>
                <w:color w:val="000000"/>
                <w:sz w:val="21"/>
                <w:szCs w:val="21"/>
              </w:rPr>
              <w:t>（</w:t>
            </w:r>
            <w:r>
              <w:rPr>
                <w:rFonts w:hint="eastAsia" w:ascii="楷体" w:hAnsi="楷体" w:eastAsia="楷体" w:cs="楷体"/>
                <w:b w:val="0"/>
                <w:bCs w:val="0"/>
                <w:color w:val="000000"/>
                <w:sz w:val="21"/>
                <w:szCs w:val="21"/>
                <w:lang w:val="en-US" w:eastAsia="zh-CN"/>
              </w:rPr>
              <w:t>4</w:t>
            </w:r>
            <w:r>
              <w:rPr>
                <w:rFonts w:ascii="楷体" w:hAnsi="楷体" w:eastAsia="楷体" w:cs="楷体"/>
                <w:b w:val="0"/>
                <w:bCs w:val="0"/>
                <w:color w:val="000000"/>
                <w:sz w:val="21"/>
                <w:szCs w:val="21"/>
              </w:rPr>
              <w:t>）无以上信用评价等级的，根据“全国公路建设市场监督管理系统--不良行为记录”查询结果，若无不良信用记录，按 A 级对待，如有不良信用记录，视其严重程度按 B 级或以下对待。</w:t>
            </w:r>
          </w:p>
          <w:p w14:paraId="099AA8CE">
            <w:pPr>
              <w:widowControl/>
              <w:shd w:val="clear" w:color="auto" w:fill="FFFFFF"/>
              <w:spacing w:before="48" w:after="48"/>
              <w:jc w:val="left"/>
              <w:rPr>
                <w:rFonts w:hint="eastAsia" w:ascii="楷体" w:hAnsi="楷体" w:eastAsia="楷体"/>
                <w:szCs w:val="21"/>
              </w:rPr>
            </w:pPr>
            <w:r>
              <w:rPr>
                <w:rFonts w:ascii="楷体" w:hAnsi="楷体" w:eastAsia="楷体"/>
                <w:szCs w:val="21"/>
              </w:rPr>
              <w:t>2</w:t>
            </w:r>
            <w:r>
              <w:rPr>
                <w:rFonts w:hint="eastAsia" w:ascii="楷体" w:hAnsi="楷体" w:eastAsia="楷体"/>
                <w:szCs w:val="21"/>
              </w:rPr>
              <w:t>、以联合体形式投标的，按信用评价等级低的联合体成员的信用评价等级进行联合体信用评价等级评分。</w:t>
            </w:r>
          </w:p>
          <w:p w14:paraId="2AF076E2">
            <w:pPr>
              <w:widowControl/>
              <w:numPr>
                <w:ilvl w:val="0"/>
                <w:numId w:val="0"/>
              </w:numPr>
              <w:shd w:val="clear" w:color="auto" w:fill="FFFFFF"/>
              <w:spacing w:before="48" w:after="48"/>
              <w:jc w:val="left"/>
              <w:rPr>
                <w:rFonts w:hint="eastAsia" w:ascii="楷体" w:hAnsi="楷体" w:eastAsia="楷体"/>
                <w:szCs w:val="21"/>
              </w:rPr>
            </w:pPr>
          </w:p>
        </w:tc>
      </w:tr>
      <w:tr w14:paraId="2BEE919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cantSplit/>
          <w:trHeight w:val="3526" w:hRule="atLeast"/>
          <w:jc w:val="center"/>
        </w:trPr>
        <w:tc>
          <w:tcPr>
            <w:tcW w:w="9676" w:type="dxa"/>
            <w:gridSpan w:val="8"/>
            <w:tcBorders>
              <w:tl2br w:val="nil"/>
              <w:tr2bl w:val="nil"/>
            </w:tcBorders>
            <w:noWrap w:val="0"/>
            <w:vAlign w:val="center"/>
          </w:tcPr>
          <w:p w14:paraId="4602F560">
            <w:pPr>
              <w:adjustRightInd w:val="0"/>
              <w:snapToGrid w:val="0"/>
              <w:spacing w:before="48" w:beforeLines="20" w:after="48" w:afterLines="20" w:line="360" w:lineRule="auto"/>
              <w:jc w:val="left"/>
              <w:rPr>
                <w:rFonts w:ascii="楷体" w:hAnsi="楷体" w:eastAsia="楷体" w:cs="楷体"/>
                <w:b w:val="0"/>
                <w:bCs w:val="0"/>
                <w:color w:val="000000"/>
                <w:sz w:val="21"/>
                <w:szCs w:val="21"/>
              </w:rPr>
            </w:pPr>
            <w:r>
              <w:rPr>
                <w:rFonts w:ascii="楷体" w:hAnsi="楷体" w:eastAsia="楷体" w:cs="楷体"/>
                <w:b w:val="0"/>
                <w:bCs w:val="0"/>
                <w:color w:val="000000"/>
                <w:sz w:val="21"/>
                <w:szCs w:val="21"/>
              </w:rPr>
              <w:t xml:space="preserve">需要补充的其他内容： </w:t>
            </w:r>
          </w:p>
          <w:p w14:paraId="6B2FA426">
            <w:pPr>
              <w:widowControl/>
              <w:shd w:val="clear" w:color="auto" w:fill="FFFFFF"/>
              <w:spacing w:before="48" w:after="48" w:line="360" w:lineRule="auto"/>
              <w:jc w:val="left"/>
              <w:rPr>
                <w:rFonts w:ascii="宋体" w:hAnsi="宋体" w:eastAsia="宋体" w:cs="宋体"/>
                <w:b w:val="0"/>
                <w:bCs w:val="0"/>
                <w:color w:val="000000"/>
                <w:sz w:val="21"/>
                <w:szCs w:val="21"/>
              </w:rPr>
            </w:pPr>
            <w:r>
              <w:rPr>
                <w:rFonts w:hint="eastAsia" w:ascii="宋体" w:hAnsi="宋体" w:eastAsia="宋体" w:cs="宋体"/>
                <w:b w:val="0"/>
                <w:bCs w:val="0"/>
                <w:color w:val="000000"/>
                <w:sz w:val="21"/>
                <w:szCs w:val="21"/>
                <w:lang w:val="en-US" w:eastAsia="zh-CN"/>
              </w:rPr>
              <w:t>一、</w:t>
            </w:r>
            <w:r>
              <w:rPr>
                <w:rFonts w:ascii="宋体" w:hAnsi="宋体" w:eastAsia="宋体" w:cs="宋体"/>
                <w:b w:val="0"/>
                <w:bCs w:val="0"/>
                <w:color w:val="000000"/>
                <w:sz w:val="21"/>
                <w:szCs w:val="21"/>
              </w:rPr>
              <w:t>评标委员会发现投标人的施工组织设计出现敏感信息或是能代表企业信息的记号等行为，经评标委员会确定后，</w:t>
            </w:r>
            <w:r>
              <w:rPr>
                <w:rFonts w:hint="eastAsia" w:ascii="宋体" w:hAnsi="宋体" w:eastAsia="宋体" w:cs="宋体"/>
                <w:b w:val="0"/>
                <w:bCs w:val="0"/>
                <w:color w:val="000000"/>
                <w:sz w:val="21"/>
                <w:szCs w:val="21"/>
              </w:rPr>
              <w:t>应在“技术暗标”环节将其打零分</w:t>
            </w:r>
            <w:r>
              <w:rPr>
                <w:rFonts w:hint="eastAsia" w:ascii="宋体" w:hAnsi="宋体" w:eastAsia="宋体" w:cs="宋体"/>
                <w:b w:val="0"/>
                <w:bCs w:val="0"/>
                <w:color w:val="000000"/>
                <w:sz w:val="21"/>
                <w:szCs w:val="21"/>
                <w:lang w:eastAsia="zh-CN"/>
              </w:rPr>
              <w:t>，然后</w:t>
            </w:r>
            <w:r>
              <w:rPr>
                <w:rFonts w:ascii="宋体" w:hAnsi="宋体" w:eastAsia="宋体" w:cs="宋体"/>
                <w:b w:val="0"/>
                <w:bCs w:val="0"/>
                <w:color w:val="000000"/>
                <w:sz w:val="21"/>
                <w:szCs w:val="21"/>
              </w:rPr>
              <w:t>按技术文件不符合形式评审与响应性评审标准，否决其投标。</w:t>
            </w:r>
          </w:p>
          <w:p w14:paraId="10A9B6BC">
            <w:pPr>
              <w:widowControl/>
              <w:shd w:val="clear" w:color="auto" w:fill="FFFFFF"/>
              <w:spacing w:before="48" w:after="48" w:line="360" w:lineRule="auto"/>
              <w:jc w:val="left"/>
              <w:rPr>
                <w:rFonts w:ascii="楷体" w:hAnsi="楷体" w:eastAsia="楷体"/>
                <w:szCs w:val="21"/>
              </w:rPr>
            </w:pPr>
            <w:r>
              <w:rPr>
                <w:rFonts w:hint="eastAsia" w:ascii="宋体" w:hAnsi="宋体" w:eastAsia="宋体" w:cs="宋体"/>
                <w:b w:val="0"/>
                <w:bCs w:val="0"/>
                <w:color w:val="000000"/>
                <w:sz w:val="21"/>
                <w:szCs w:val="21"/>
                <w:lang w:val="en-US" w:eastAsia="zh-CN"/>
              </w:rPr>
              <w:t>二、</w:t>
            </w:r>
            <w:r>
              <w:rPr>
                <w:rFonts w:ascii="宋体" w:hAnsi="宋体" w:eastAsia="宋体" w:cs="宋体"/>
                <w:b w:val="0"/>
                <w:bCs w:val="0"/>
                <w:color w:val="000000"/>
                <w:sz w:val="21"/>
                <w:szCs w:val="21"/>
              </w:rPr>
              <w:t>各评分因素（履约信誉评分项除外）得分一般不得低于其权重分值的60%</w:t>
            </w:r>
            <w:r>
              <w:rPr>
                <w:rFonts w:hint="eastAsia" w:ascii="宋体" w:hAnsi="宋体" w:eastAsia="宋体" w:cs="宋体"/>
                <w:b w:val="0"/>
                <w:bCs w:val="0"/>
                <w:color w:val="000000"/>
                <w:sz w:val="21"/>
                <w:szCs w:val="21"/>
                <w:lang w:eastAsia="zh-CN"/>
              </w:rPr>
              <w:t>，</w:t>
            </w:r>
            <w:r>
              <w:rPr>
                <w:rFonts w:ascii="宋体" w:hAnsi="宋体" w:eastAsia="宋体" w:cs="宋体"/>
                <w:b w:val="0"/>
                <w:bCs w:val="0"/>
                <w:color w:val="000000"/>
                <w:sz w:val="21"/>
                <w:szCs w:val="21"/>
              </w:rPr>
              <w:t>且各评分因素得分应以评标委员会各成员的打分平均值确定，评标委员会成员总数为七人以上时，该平均值以去掉一个最高分和一个最低分后计算。评标委员会成员对某一项评分因素的评分低于权重分值60%的，应在评标报告中作出说明。所有评分分值均保留至小数点后两位，小数点后第三位四舍五入。</w:t>
            </w:r>
          </w:p>
        </w:tc>
      </w:tr>
    </w:tbl>
    <w:p w14:paraId="04D6AFA5"/>
    <w:bookmarkEnd w:id="62"/>
    <w:bookmarkEnd w:id="63"/>
    <w:bookmarkEnd w:id="64"/>
    <w:bookmarkEnd w:id="65"/>
    <w:bookmarkEnd w:id="66"/>
    <w:bookmarkEnd w:id="67"/>
    <w:bookmarkEnd w:id="68"/>
    <w:bookmarkEnd w:id="69"/>
    <w:p w14:paraId="2B6004DD">
      <w:bookmarkStart w:id="70" w:name="_Toc504567197"/>
      <w:r>
        <w:rPr>
          <w:sz w:val="36"/>
          <w:szCs w:val="40"/>
        </w:rPr>
        <w:br w:type="page"/>
      </w:r>
      <w:r>
        <w:rPr>
          <w:sz w:val="36"/>
          <w:szCs w:val="40"/>
        </w:rPr>
        <w:t>评标办法</w:t>
      </w:r>
      <w:bookmarkEnd w:id="70"/>
    </w:p>
    <w:p w14:paraId="62426911">
      <w:pPr>
        <w:spacing w:line="400" w:lineRule="exact"/>
        <w:jc w:val="left"/>
        <w:rPr>
          <w:rFonts w:ascii="黑体" w:hAnsi="黑体" w:eastAsia="黑体"/>
          <w:sz w:val="24"/>
          <w:szCs w:val="24"/>
        </w:rPr>
      </w:pPr>
      <w:bookmarkStart w:id="71" w:name="_Toc509492449"/>
      <w:r>
        <w:rPr>
          <w:rFonts w:ascii="黑体" w:hAnsi="黑体" w:eastAsia="黑体"/>
          <w:sz w:val="24"/>
          <w:szCs w:val="24"/>
        </w:rPr>
        <w:t>1. 评标方法</w:t>
      </w:r>
      <w:bookmarkEnd w:id="71"/>
    </w:p>
    <w:p w14:paraId="4280D68E">
      <w:pPr>
        <w:spacing w:line="400" w:lineRule="exact"/>
        <w:ind w:firstLine="420" w:firstLineChars="200"/>
        <w:rPr>
          <w:rFonts w:ascii="宋体" w:hAnsi="宋体"/>
          <w:szCs w:val="21"/>
        </w:rPr>
      </w:pPr>
      <w:r>
        <w:rPr>
          <w:rFonts w:hint="eastAsia" w:ascii="宋体" w:hAnsi="宋体"/>
          <w:szCs w:val="21"/>
        </w:rPr>
        <w:t>本次评标采用技术评分最低标价法。评标委员会对满足招标文件实质性要求的投标文件的施工组织设计、主要人员、技术能力等因素进行评分，按照得分由高到低排序，对排名在招标文件规定数量以内的投标人的报价文件进行评审，按照评标价由低到高的顺序推荐中标候选人，或根据招标人授权直接确定中标人，但投标报价低于其成本的除外。评标价相等时，评标委员会应按照评标办法前附表规定的优先次序推荐中标候选人或确定中标人。</w:t>
      </w:r>
    </w:p>
    <w:p w14:paraId="53BD130F">
      <w:pPr>
        <w:spacing w:line="400" w:lineRule="exact"/>
        <w:jc w:val="left"/>
        <w:rPr>
          <w:rFonts w:ascii="黑体" w:hAnsi="黑体" w:eastAsia="黑体"/>
          <w:sz w:val="24"/>
          <w:szCs w:val="24"/>
        </w:rPr>
      </w:pPr>
      <w:bookmarkStart w:id="72" w:name="_Toc509492450"/>
      <w:r>
        <w:rPr>
          <w:rFonts w:ascii="黑体" w:hAnsi="黑体" w:eastAsia="黑体"/>
          <w:sz w:val="24"/>
          <w:szCs w:val="24"/>
        </w:rPr>
        <w:t>2. 评审标准</w:t>
      </w:r>
      <w:bookmarkEnd w:id="72"/>
    </w:p>
    <w:p w14:paraId="0593DAB8">
      <w:pPr>
        <w:spacing w:line="400" w:lineRule="exact"/>
        <w:jc w:val="left"/>
        <w:rPr>
          <w:rFonts w:ascii="黑体" w:hAnsi="黑体" w:eastAsia="黑体"/>
          <w:sz w:val="24"/>
          <w:szCs w:val="24"/>
        </w:rPr>
      </w:pPr>
      <w:bookmarkStart w:id="73" w:name="_Toc509492451"/>
      <w:r>
        <w:rPr>
          <w:rFonts w:ascii="黑体" w:hAnsi="黑体" w:eastAsia="黑体"/>
          <w:sz w:val="24"/>
          <w:szCs w:val="24"/>
        </w:rPr>
        <w:t>2.1 初步评审标准</w:t>
      </w:r>
      <w:bookmarkEnd w:id="73"/>
    </w:p>
    <w:p w14:paraId="0CEAB775">
      <w:pPr>
        <w:spacing w:line="400" w:lineRule="exact"/>
        <w:ind w:firstLine="420" w:firstLineChars="200"/>
        <w:rPr>
          <w:rFonts w:ascii="宋体" w:hAnsi="宋体"/>
          <w:szCs w:val="21"/>
        </w:rPr>
      </w:pPr>
      <w:r>
        <w:rPr>
          <w:rFonts w:ascii="宋体" w:hAnsi="宋体"/>
          <w:szCs w:val="21"/>
        </w:rPr>
        <w:t>2.1.1 形式评审标准：见评标办法前附表。</w:t>
      </w:r>
    </w:p>
    <w:p w14:paraId="66CBE76D">
      <w:pPr>
        <w:spacing w:line="400" w:lineRule="exact"/>
        <w:ind w:firstLine="420" w:firstLineChars="200"/>
        <w:rPr>
          <w:rFonts w:ascii="宋体" w:hAnsi="宋体"/>
          <w:szCs w:val="21"/>
        </w:rPr>
      </w:pPr>
      <w:r>
        <w:rPr>
          <w:rFonts w:ascii="宋体" w:hAnsi="宋体"/>
          <w:szCs w:val="21"/>
        </w:rPr>
        <w:t>2.1.2 资格评审标准：见评标办法前附表（适用于未进行资格预审的）。</w:t>
      </w:r>
    </w:p>
    <w:p w14:paraId="1B4F214E">
      <w:pPr>
        <w:spacing w:line="400" w:lineRule="exact"/>
        <w:ind w:firstLine="420" w:firstLineChars="200"/>
        <w:rPr>
          <w:rFonts w:ascii="宋体" w:hAnsi="宋体"/>
          <w:szCs w:val="21"/>
        </w:rPr>
      </w:pPr>
      <w:r>
        <w:rPr>
          <w:rFonts w:ascii="宋体" w:hAnsi="宋体"/>
          <w:szCs w:val="21"/>
        </w:rPr>
        <w:t>2.1.2 资格评审标准：见资格预审文件第三章“资格审查办法”详细审查标准（适用于已进行资格预审的）。</w:t>
      </w:r>
    </w:p>
    <w:p w14:paraId="7F3C0DEF">
      <w:pPr>
        <w:spacing w:line="400" w:lineRule="exact"/>
        <w:ind w:firstLine="420" w:firstLineChars="200"/>
        <w:rPr>
          <w:rFonts w:ascii="宋体" w:hAnsi="宋体"/>
          <w:sz w:val="24"/>
        </w:rPr>
      </w:pPr>
      <w:r>
        <w:rPr>
          <w:rFonts w:ascii="宋体" w:hAnsi="宋体"/>
          <w:szCs w:val="21"/>
        </w:rPr>
        <w:t>2.1.3 响应性评审标准：见评标办法前附表</w:t>
      </w:r>
      <w:r>
        <w:rPr>
          <w:rFonts w:ascii="宋体" w:hAnsi="宋体"/>
          <w:sz w:val="24"/>
        </w:rPr>
        <w:t>。</w:t>
      </w:r>
    </w:p>
    <w:p w14:paraId="503B733D">
      <w:pPr>
        <w:spacing w:line="400" w:lineRule="exact"/>
        <w:jc w:val="left"/>
        <w:rPr>
          <w:rFonts w:ascii="黑体" w:hAnsi="黑体" w:eastAsia="黑体"/>
          <w:sz w:val="24"/>
          <w:szCs w:val="24"/>
        </w:rPr>
      </w:pPr>
      <w:bookmarkStart w:id="74" w:name="_Toc509492452"/>
      <w:r>
        <w:rPr>
          <w:rFonts w:ascii="黑体" w:hAnsi="黑体" w:eastAsia="黑体"/>
          <w:sz w:val="24"/>
          <w:szCs w:val="24"/>
        </w:rPr>
        <w:t xml:space="preserve">2.2 </w:t>
      </w:r>
      <w:r>
        <w:rPr>
          <w:rFonts w:hint="eastAsia" w:ascii="黑体" w:hAnsi="黑体" w:eastAsia="黑体"/>
          <w:sz w:val="24"/>
          <w:szCs w:val="24"/>
        </w:rPr>
        <w:t>分值构成与评分标准</w:t>
      </w:r>
      <w:bookmarkEnd w:id="74"/>
    </w:p>
    <w:p w14:paraId="22B93C47">
      <w:pPr>
        <w:spacing w:line="400" w:lineRule="exact"/>
        <w:ind w:firstLine="420" w:firstLineChars="200"/>
        <w:rPr>
          <w:rFonts w:ascii="宋体" w:hAnsi="宋体"/>
          <w:szCs w:val="21"/>
        </w:rPr>
      </w:pPr>
      <w:r>
        <w:rPr>
          <w:rFonts w:hint="eastAsia" w:ascii="宋体" w:hAnsi="宋体"/>
          <w:szCs w:val="21"/>
        </w:rPr>
        <w:t>2.2.1 第一个信封评分分值构成</w:t>
      </w:r>
    </w:p>
    <w:p w14:paraId="54ED4FEB">
      <w:pPr>
        <w:spacing w:line="400" w:lineRule="exact"/>
        <w:ind w:firstLine="420" w:firstLineChars="200"/>
        <w:rPr>
          <w:rFonts w:ascii="宋体" w:hAnsi="宋体"/>
          <w:szCs w:val="21"/>
        </w:rPr>
      </w:pPr>
      <w:r>
        <w:rPr>
          <w:rFonts w:hint="eastAsia" w:ascii="宋体" w:hAnsi="宋体"/>
          <w:szCs w:val="21"/>
        </w:rPr>
        <w:t>（1）施工组织设计：见评标办法前附表；</w:t>
      </w:r>
    </w:p>
    <w:p w14:paraId="2413506E">
      <w:pPr>
        <w:spacing w:line="400" w:lineRule="exact"/>
        <w:ind w:firstLine="420" w:firstLineChars="200"/>
        <w:rPr>
          <w:rFonts w:ascii="宋体" w:hAnsi="宋体"/>
          <w:szCs w:val="21"/>
        </w:rPr>
      </w:pPr>
      <w:r>
        <w:rPr>
          <w:rFonts w:hint="eastAsia" w:ascii="宋体" w:hAnsi="宋体"/>
          <w:szCs w:val="21"/>
        </w:rPr>
        <w:t>（2）主要人员：见评标办法前附表；</w:t>
      </w:r>
    </w:p>
    <w:p w14:paraId="35C19B26">
      <w:pPr>
        <w:spacing w:line="400" w:lineRule="exact"/>
        <w:ind w:firstLine="420" w:firstLineChars="200"/>
        <w:rPr>
          <w:rFonts w:ascii="宋体" w:hAnsi="宋体"/>
          <w:szCs w:val="21"/>
        </w:rPr>
      </w:pPr>
      <w:r>
        <w:rPr>
          <w:rFonts w:hint="eastAsia" w:ascii="宋体" w:hAnsi="宋体"/>
          <w:szCs w:val="21"/>
        </w:rPr>
        <w:t>（3）其他评分因素：见评标办法前附表。</w:t>
      </w:r>
    </w:p>
    <w:p w14:paraId="7F6697FF">
      <w:pPr>
        <w:spacing w:line="400" w:lineRule="exact"/>
        <w:ind w:firstLine="420" w:firstLineChars="200"/>
        <w:rPr>
          <w:rFonts w:ascii="宋体" w:hAnsi="宋体"/>
          <w:szCs w:val="21"/>
        </w:rPr>
      </w:pPr>
      <w:r>
        <w:rPr>
          <w:rFonts w:hint="eastAsia" w:ascii="宋体" w:hAnsi="宋体"/>
          <w:szCs w:val="21"/>
        </w:rPr>
        <w:t>2.2.2 第一个信封评分评分标准</w:t>
      </w:r>
    </w:p>
    <w:p w14:paraId="66B70065">
      <w:pPr>
        <w:spacing w:line="400" w:lineRule="exact"/>
        <w:ind w:firstLine="420" w:firstLineChars="200"/>
        <w:rPr>
          <w:rFonts w:ascii="宋体" w:hAnsi="宋体"/>
          <w:szCs w:val="21"/>
        </w:rPr>
      </w:pPr>
      <w:r>
        <w:rPr>
          <w:rFonts w:hint="eastAsia" w:ascii="宋体" w:hAnsi="宋体"/>
          <w:szCs w:val="21"/>
        </w:rPr>
        <w:t>（1）施工组织设计评分标准：见评标办法前附表；</w:t>
      </w:r>
    </w:p>
    <w:p w14:paraId="0987B4BF">
      <w:pPr>
        <w:spacing w:line="400" w:lineRule="exact"/>
        <w:ind w:firstLine="420" w:firstLineChars="200"/>
        <w:rPr>
          <w:rFonts w:ascii="宋体" w:hAnsi="宋体"/>
          <w:szCs w:val="21"/>
        </w:rPr>
      </w:pPr>
      <w:r>
        <w:rPr>
          <w:rFonts w:hint="eastAsia" w:ascii="宋体" w:hAnsi="宋体"/>
          <w:szCs w:val="21"/>
        </w:rPr>
        <w:t>（2）主要人员评分标准：见评标办法前附表；</w:t>
      </w:r>
    </w:p>
    <w:p w14:paraId="5959545C">
      <w:pPr>
        <w:spacing w:line="400" w:lineRule="exact"/>
        <w:ind w:firstLine="420" w:firstLineChars="200"/>
        <w:rPr>
          <w:rFonts w:ascii="宋体" w:hAnsi="宋体"/>
          <w:szCs w:val="21"/>
        </w:rPr>
      </w:pPr>
      <w:r>
        <w:rPr>
          <w:rFonts w:hint="eastAsia" w:ascii="宋体" w:hAnsi="宋体"/>
          <w:szCs w:val="21"/>
        </w:rPr>
        <w:t>（3）其他因素评分标准：见评标办法前附表。</w:t>
      </w:r>
    </w:p>
    <w:p w14:paraId="53606CDA">
      <w:pPr>
        <w:spacing w:line="400" w:lineRule="exact"/>
        <w:ind w:firstLine="420" w:firstLineChars="200"/>
        <w:rPr>
          <w:rFonts w:ascii="宋体" w:hAnsi="宋体"/>
          <w:szCs w:val="21"/>
        </w:rPr>
      </w:pPr>
      <w:r>
        <w:rPr>
          <w:rFonts w:hint="eastAsia" w:ascii="宋体" w:hAnsi="宋体"/>
          <w:szCs w:val="21"/>
        </w:rPr>
        <w:t>2.2.3 第二个信封详细评审标准：见评标办法前附表。</w:t>
      </w:r>
    </w:p>
    <w:p w14:paraId="13D754BC">
      <w:pPr>
        <w:spacing w:line="400" w:lineRule="exact"/>
        <w:jc w:val="left"/>
        <w:rPr>
          <w:rFonts w:ascii="黑体" w:hAnsi="黑体" w:eastAsia="黑体"/>
          <w:sz w:val="24"/>
          <w:szCs w:val="24"/>
        </w:rPr>
      </w:pPr>
      <w:bookmarkStart w:id="75" w:name="_Toc509492453"/>
      <w:r>
        <w:rPr>
          <w:rFonts w:ascii="黑体" w:hAnsi="黑体" w:eastAsia="黑体"/>
          <w:sz w:val="24"/>
          <w:szCs w:val="24"/>
        </w:rPr>
        <w:t>3. 评标程序</w:t>
      </w:r>
      <w:bookmarkEnd w:id="75"/>
    </w:p>
    <w:p w14:paraId="4F3D6D01">
      <w:pPr>
        <w:spacing w:line="400" w:lineRule="exact"/>
        <w:jc w:val="left"/>
        <w:rPr>
          <w:rFonts w:ascii="黑体" w:hAnsi="黑体" w:eastAsia="黑体"/>
          <w:sz w:val="24"/>
          <w:szCs w:val="24"/>
        </w:rPr>
      </w:pPr>
      <w:bookmarkStart w:id="76" w:name="_Toc509492454"/>
      <w:r>
        <w:rPr>
          <w:rFonts w:ascii="黑体" w:hAnsi="黑体" w:eastAsia="黑体"/>
          <w:sz w:val="24"/>
          <w:szCs w:val="24"/>
        </w:rPr>
        <w:t xml:space="preserve">3.1 </w:t>
      </w:r>
      <w:r>
        <w:rPr>
          <w:rFonts w:hint="eastAsia" w:ascii="黑体" w:hAnsi="黑体" w:eastAsia="黑体"/>
          <w:sz w:val="24"/>
          <w:szCs w:val="24"/>
        </w:rPr>
        <w:t>第一个信封</w:t>
      </w:r>
      <w:r>
        <w:rPr>
          <w:rFonts w:ascii="黑体" w:hAnsi="黑体" w:eastAsia="黑体"/>
          <w:sz w:val="24"/>
          <w:szCs w:val="24"/>
        </w:rPr>
        <w:t>初步评审</w:t>
      </w:r>
      <w:bookmarkEnd w:id="76"/>
    </w:p>
    <w:p w14:paraId="0E11C724">
      <w:pPr>
        <w:spacing w:line="400" w:lineRule="exact"/>
        <w:ind w:firstLine="420" w:firstLineChars="200"/>
        <w:rPr>
          <w:rFonts w:ascii="宋体" w:hAnsi="宋体"/>
          <w:szCs w:val="21"/>
        </w:rPr>
      </w:pPr>
      <w:r>
        <w:rPr>
          <w:rFonts w:hint="eastAsia" w:ascii="宋体" w:hAnsi="宋体"/>
          <w:szCs w:val="21"/>
        </w:rPr>
        <w:t>3.1.1 评标委员会可以要求投标人提交第二章“投标人须知”第3.5.1项至第3.5.6项规定的有关证明和证件的原件，以便核验。评标委员会依据本章第2.1款规定的标准对投标文件第一个信封（商务及技术文件）进行初步评审。有一项不符合评审标准的，评标委员会应否决其投标。（适用于未进行资格预审的）</w:t>
      </w:r>
      <w:bookmarkStart w:id="77" w:name="_Toc509492455"/>
    </w:p>
    <w:p w14:paraId="11B848C4">
      <w:pPr>
        <w:spacing w:line="400" w:lineRule="exact"/>
        <w:ind w:firstLine="420" w:firstLineChars="200"/>
        <w:rPr>
          <w:rFonts w:ascii="宋体" w:hAnsi="宋体"/>
          <w:szCs w:val="21"/>
        </w:rPr>
      </w:pPr>
      <w:r>
        <w:rPr>
          <w:rFonts w:hint="eastAsia" w:ascii="宋体" w:hAnsi="宋体"/>
          <w:szCs w:val="21"/>
        </w:rPr>
        <w:t>3.1.1 评标委员会依据本章第2.1.1项、第2.1.3项规定的评审标准对投标文件第一个信封（商务及技术文件）进行初步评审。有一项不符合评审标准的，评标委员会应否决其投标。当投标人资格预审申请文件的内容发生重大变化时，评标委员会依据本章第2.1.2项规定的标准对其更新资料进行评审。（适用于已进行资格预审的）</w:t>
      </w:r>
      <w:bookmarkEnd w:id="77"/>
    </w:p>
    <w:p w14:paraId="49754C99">
      <w:pPr>
        <w:spacing w:line="400" w:lineRule="exact"/>
        <w:jc w:val="left"/>
        <w:rPr>
          <w:rFonts w:ascii="黑体" w:hAnsi="黑体" w:eastAsia="黑体"/>
          <w:sz w:val="24"/>
          <w:szCs w:val="24"/>
        </w:rPr>
      </w:pPr>
      <w:r>
        <w:rPr>
          <w:rFonts w:hint="eastAsia" w:ascii="黑体" w:hAnsi="黑体" w:eastAsia="黑体"/>
          <w:sz w:val="24"/>
          <w:szCs w:val="24"/>
        </w:rPr>
        <w:t>3.2 第一个信封详细评审</w:t>
      </w:r>
    </w:p>
    <w:p w14:paraId="0DD9F87F">
      <w:pPr>
        <w:spacing w:line="400" w:lineRule="exact"/>
        <w:ind w:firstLine="420" w:firstLineChars="200"/>
        <w:rPr>
          <w:rFonts w:ascii="宋体" w:hAnsi="宋体"/>
          <w:bCs/>
          <w:kern w:val="44"/>
          <w:szCs w:val="21"/>
        </w:rPr>
      </w:pPr>
      <w:r>
        <w:rPr>
          <w:rFonts w:hint="eastAsia" w:ascii="宋体" w:hAnsi="宋体"/>
          <w:bCs/>
          <w:kern w:val="44"/>
          <w:szCs w:val="21"/>
        </w:rPr>
        <w:t>3.2.1 评标委员会按本章第2.2款规定的量化因素和分值进行打分，并计算出各投标人的商务和技术得分。</w:t>
      </w:r>
    </w:p>
    <w:p w14:paraId="297CEBB0">
      <w:pPr>
        <w:spacing w:line="400" w:lineRule="exact"/>
        <w:ind w:firstLine="420" w:firstLineChars="200"/>
        <w:rPr>
          <w:rFonts w:ascii="宋体" w:hAnsi="宋体"/>
          <w:bCs/>
          <w:kern w:val="44"/>
          <w:szCs w:val="21"/>
        </w:rPr>
      </w:pPr>
      <w:r>
        <w:rPr>
          <w:rFonts w:hint="eastAsia" w:ascii="宋体" w:hAnsi="宋体"/>
          <w:bCs/>
          <w:kern w:val="44"/>
          <w:szCs w:val="21"/>
        </w:rPr>
        <w:t>（1）按本章第2.2.2项（1）目规定的评审因素和分值对施工组织设计部分计算出得分A；</w:t>
      </w:r>
    </w:p>
    <w:p w14:paraId="7D206C83">
      <w:pPr>
        <w:spacing w:line="400" w:lineRule="exact"/>
        <w:ind w:firstLine="420" w:firstLineChars="200"/>
        <w:rPr>
          <w:rFonts w:ascii="宋体" w:hAnsi="宋体"/>
          <w:bCs/>
          <w:kern w:val="44"/>
          <w:szCs w:val="21"/>
        </w:rPr>
      </w:pPr>
      <w:r>
        <w:rPr>
          <w:rFonts w:hint="eastAsia" w:ascii="宋体" w:hAnsi="宋体"/>
          <w:bCs/>
          <w:kern w:val="44"/>
          <w:szCs w:val="21"/>
        </w:rPr>
        <w:t>（2）按本章第2.2.2项（2）目规定的评审因素和分值对主要人员部分计算出得分B；</w:t>
      </w:r>
    </w:p>
    <w:p w14:paraId="392AF179">
      <w:pPr>
        <w:spacing w:line="400" w:lineRule="exact"/>
        <w:ind w:firstLine="420" w:firstLineChars="200"/>
        <w:rPr>
          <w:rFonts w:ascii="宋体" w:hAnsi="宋体"/>
          <w:bCs/>
          <w:kern w:val="44"/>
          <w:szCs w:val="21"/>
        </w:rPr>
      </w:pPr>
      <w:r>
        <w:rPr>
          <w:rFonts w:hint="eastAsia" w:ascii="宋体" w:hAnsi="宋体"/>
          <w:bCs/>
          <w:kern w:val="44"/>
          <w:szCs w:val="21"/>
        </w:rPr>
        <w:t>（3）按本章第2.2.2项（3）目规定的评审因素和分值对其他部分计算出得分C。</w:t>
      </w:r>
    </w:p>
    <w:p w14:paraId="67247CD0">
      <w:pPr>
        <w:spacing w:line="400" w:lineRule="exact"/>
        <w:ind w:firstLine="420" w:firstLineChars="200"/>
        <w:rPr>
          <w:rFonts w:ascii="宋体" w:hAnsi="宋体"/>
          <w:bCs/>
          <w:kern w:val="44"/>
          <w:szCs w:val="21"/>
        </w:rPr>
      </w:pPr>
      <w:r>
        <w:rPr>
          <w:rFonts w:hint="eastAsia" w:ascii="宋体" w:hAnsi="宋体"/>
          <w:bCs/>
          <w:kern w:val="44"/>
          <w:szCs w:val="21"/>
        </w:rPr>
        <w:t>3.2.2 投标人的商务和技术得分分值计算保留小数点后两位，小数点后第三位“四舍五入”。</w:t>
      </w:r>
    </w:p>
    <w:p w14:paraId="4016A145">
      <w:pPr>
        <w:spacing w:line="400" w:lineRule="exact"/>
        <w:ind w:firstLine="420" w:firstLineChars="200"/>
        <w:rPr>
          <w:rFonts w:ascii="宋体" w:hAnsi="宋体"/>
          <w:bCs/>
          <w:kern w:val="44"/>
          <w:szCs w:val="21"/>
        </w:rPr>
      </w:pPr>
      <w:r>
        <w:rPr>
          <w:rFonts w:hint="eastAsia" w:ascii="宋体" w:hAnsi="宋体"/>
          <w:bCs/>
          <w:kern w:val="44"/>
          <w:szCs w:val="21"/>
        </w:rPr>
        <w:t>3.2.3 投标人的商务和技术得分=A+B+C。</w:t>
      </w:r>
    </w:p>
    <w:p w14:paraId="648815E9">
      <w:pPr>
        <w:spacing w:line="400" w:lineRule="exact"/>
        <w:ind w:firstLine="420" w:firstLineChars="200"/>
        <w:rPr>
          <w:rFonts w:ascii="宋体" w:hAnsi="宋体"/>
          <w:bCs/>
          <w:kern w:val="44"/>
          <w:szCs w:val="21"/>
        </w:rPr>
      </w:pPr>
      <w:r>
        <w:rPr>
          <w:rFonts w:hint="eastAsia" w:ascii="宋体" w:hAnsi="宋体"/>
          <w:bCs/>
          <w:kern w:val="44"/>
          <w:szCs w:val="21"/>
        </w:rPr>
        <w:t>3.2.4 评标委员会按照投标人的商务和技术得分由高到低排序，排名在评标办法前附表规定数量以内的投标人，其投标文件第一个信封（商务及技术文件）通过详细评审。</w:t>
      </w:r>
    </w:p>
    <w:p w14:paraId="58C7C81F">
      <w:pPr>
        <w:spacing w:line="400" w:lineRule="exact"/>
        <w:ind w:firstLine="420" w:firstLineChars="200"/>
        <w:rPr>
          <w:rFonts w:ascii="宋体" w:hAnsi="宋体"/>
          <w:bCs/>
          <w:kern w:val="44"/>
          <w:szCs w:val="21"/>
        </w:rPr>
      </w:pPr>
      <w:r>
        <w:rPr>
          <w:rFonts w:hint="eastAsia" w:ascii="宋体" w:hAnsi="宋体"/>
          <w:bCs/>
          <w:kern w:val="44"/>
          <w:szCs w:val="21"/>
        </w:rPr>
        <w:t>3.2.5 通过投标文件第一个信封（商务及技术文件）初步评审的投标人不少于3个且未超过评标办法前附表第3.2.4项规定数量的，均通过投标文件第一个信封（商务及技术文件）详细评审，不再对投标人的商务和技术文件进行评分。</w:t>
      </w:r>
    </w:p>
    <w:p w14:paraId="3727595D">
      <w:pPr>
        <w:spacing w:line="400" w:lineRule="exact"/>
        <w:jc w:val="left"/>
        <w:rPr>
          <w:rFonts w:ascii="黑体" w:hAnsi="黑体" w:eastAsia="黑体"/>
          <w:sz w:val="24"/>
          <w:szCs w:val="24"/>
        </w:rPr>
      </w:pPr>
      <w:r>
        <w:rPr>
          <w:rFonts w:hint="eastAsia" w:ascii="黑体" w:hAnsi="黑体" w:eastAsia="黑体"/>
          <w:sz w:val="24"/>
          <w:szCs w:val="24"/>
        </w:rPr>
        <w:t>3.3 第二个信封开标</w:t>
      </w:r>
    </w:p>
    <w:p w14:paraId="7629B676">
      <w:pPr>
        <w:spacing w:line="400" w:lineRule="exact"/>
        <w:ind w:firstLine="420" w:firstLineChars="200"/>
        <w:rPr>
          <w:rFonts w:ascii="宋体" w:hAnsi="宋体"/>
          <w:bCs/>
          <w:kern w:val="44"/>
          <w:szCs w:val="21"/>
        </w:rPr>
      </w:pPr>
      <w:r>
        <w:rPr>
          <w:rFonts w:hint="eastAsia" w:ascii="宋体" w:hAnsi="宋体"/>
          <w:bCs/>
          <w:kern w:val="44"/>
          <w:szCs w:val="21"/>
        </w:rPr>
        <w:t>第一个信封（商务及技术文件）评审结束后，招标人将按照第二章“投标人须知”第5.1款规定的时间和地点对通过投标文件第一个信封（商务及技术文件）评审的投标文件第二个信封（报价文件）进行开标。</w:t>
      </w:r>
    </w:p>
    <w:p w14:paraId="481C8171">
      <w:pPr>
        <w:spacing w:line="400" w:lineRule="exact"/>
        <w:jc w:val="left"/>
        <w:rPr>
          <w:rFonts w:ascii="黑体" w:hAnsi="黑体" w:eastAsia="黑体"/>
          <w:sz w:val="24"/>
          <w:szCs w:val="24"/>
        </w:rPr>
      </w:pPr>
      <w:r>
        <w:rPr>
          <w:rFonts w:hint="eastAsia" w:ascii="黑体" w:hAnsi="黑体" w:eastAsia="黑体"/>
          <w:sz w:val="24"/>
          <w:szCs w:val="24"/>
        </w:rPr>
        <w:t>3.4 第二个信封初步评审</w:t>
      </w:r>
    </w:p>
    <w:p w14:paraId="595CC7C6">
      <w:pPr>
        <w:spacing w:line="400" w:lineRule="exact"/>
        <w:ind w:firstLine="420" w:firstLineChars="200"/>
        <w:rPr>
          <w:rFonts w:ascii="宋体" w:hAnsi="宋体"/>
          <w:bCs/>
          <w:kern w:val="44"/>
          <w:szCs w:val="21"/>
        </w:rPr>
      </w:pPr>
      <w:r>
        <w:rPr>
          <w:rFonts w:hint="eastAsia" w:ascii="宋体" w:hAnsi="宋体"/>
          <w:bCs/>
          <w:kern w:val="44"/>
          <w:szCs w:val="21"/>
        </w:rPr>
        <w:t>3.4.1 评标委员会依据本章第2.1.1项、第2.1.3项规定的评审标准对投标文件第二个信封（报价文件）进行初步评审。有一项不符合评审标准的，评标委员会应否决其投标。</w:t>
      </w:r>
    </w:p>
    <w:p w14:paraId="7D8789E8">
      <w:pPr>
        <w:spacing w:line="400" w:lineRule="exact"/>
        <w:ind w:firstLine="420" w:firstLineChars="200"/>
        <w:rPr>
          <w:rFonts w:ascii="宋体" w:hAnsi="宋体"/>
          <w:bCs/>
          <w:kern w:val="44"/>
          <w:szCs w:val="21"/>
        </w:rPr>
      </w:pPr>
      <w:r>
        <w:rPr>
          <w:rFonts w:hint="eastAsia" w:ascii="宋体" w:hAnsi="宋体"/>
          <w:bCs/>
          <w:kern w:val="44"/>
          <w:szCs w:val="21"/>
        </w:rPr>
        <w:t>3.4.2</w:t>
      </w:r>
      <w:r>
        <w:rPr>
          <w:rFonts w:ascii="黑体" w:hAnsi="宋体" w:eastAsia="黑体"/>
          <w:szCs w:val="21"/>
          <w:vertAlign w:val="superscript"/>
        </w:rPr>
        <w:footnoteReference w:id="0"/>
      </w:r>
      <w:r>
        <w:rPr>
          <w:rFonts w:hint="eastAsia" w:ascii="宋体" w:hAnsi="宋体"/>
          <w:bCs/>
          <w:kern w:val="44"/>
          <w:szCs w:val="21"/>
        </w:rPr>
        <w:t xml:space="preserve"> 投标报价有算术错误的，评标委员会按以下原则对投标报价进行修正，修正的价格经投标人书面确认后具有约束力。投标人不接受修正价格的，评标委员会应否决其投标。</w:t>
      </w:r>
    </w:p>
    <w:p w14:paraId="07D4DBC8">
      <w:pPr>
        <w:spacing w:line="400" w:lineRule="exact"/>
        <w:ind w:firstLine="420" w:firstLineChars="200"/>
        <w:rPr>
          <w:rFonts w:ascii="宋体" w:hAnsi="宋体"/>
          <w:bCs/>
          <w:kern w:val="44"/>
          <w:szCs w:val="21"/>
        </w:rPr>
      </w:pPr>
      <w:r>
        <w:rPr>
          <w:rFonts w:hint="eastAsia" w:ascii="宋体" w:hAnsi="宋体"/>
          <w:bCs/>
          <w:kern w:val="44"/>
          <w:szCs w:val="21"/>
        </w:rPr>
        <w:t>（1）投标文件中的大写金额与小写金额不一致的，以大写金额为准；</w:t>
      </w:r>
    </w:p>
    <w:p w14:paraId="7C75269A">
      <w:pPr>
        <w:spacing w:line="400" w:lineRule="exact"/>
        <w:ind w:firstLine="420" w:firstLineChars="200"/>
        <w:rPr>
          <w:rFonts w:ascii="宋体" w:hAnsi="宋体"/>
          <w:bCs/>
          <w:kern w:val="44"/>
          <w:szCs w:val="21"/>
        </w:rPr>
      </w:pPr>
      <w:r>
        <w:rPr>
          <w:rFonts w:hint="eastAsia" w:ascii="宋体" w:hAnsi="宋体"/>
          <w:bCs/>
          <w:kern w:val="44"/>
          <w:szCs w:val="21"/>
        </w:rPr>
        <w:t>（2）总价金额与依据单价计算出的结果不一致的，以单价金额为准修正总价，但单价金额小数点有明显错误的除外;</w:t>
      </w:r>
    </w:p>
    <w:p w14:paraId="0852185D">
      <w:pPr>
        <w:spacing w:line="400" w:lineRule="exact"/>
        <w:ind w:firstLine="420" w:firstLineChars="200"/>
        <w:rPr>
          <w:rFonts w:ascii="宋体" w:hAnsi="宋体"/>
          <w:bCs/>
          <w:kern w:val="44"/>
          <w:szCs w:val="21"/>
        </w:rPr>
      </w:pPr>
      <w:r>
        <w:rPr>
          <w:rFonts w:hint="eastAsia" w:ascii="宋体" w:hAnsi="宋体"/>
          <w:bCs/>
          <w:kern w:val="44"/>
          <w:szCs w:val="21"/>
        </w:rPr>
        <w:t>（3）当单价与数量相乘不等于合价时，以单价计算为准，如果单价有明显的小数点位置差错，应以标出的合价为准，同时对单价予以修正；</w:t>
      </w:r>
    </w:p>
    <w:p w14:paraId="6DF839FE">
      <w:pPr>
        <w:spacing w:line="400" w:lineRule="exact"/>
        <w:ind w:firstLine="420" w:firstLineChars="200"/>
        <w:rPr>
          <w:rFonts w:ascii="宋体" w:hAnsi="宋体"/>
          <w:bCs/>
          <w:kern w:val="44"/>
          <w:szCs w:val="21"/>
        </w:rPr>
      </w:pPr>
      <w:r>
        <w:rPr>
          <w:rFonts w:hint="eastAsia" w:ascii="宋体" w:hAnsi="宋体"/>
          <w:bCs/>
          <w:kern w:val="44"/>
          <w:szCs w:val="21"/>
        </w:rPr>
        <w:t>（4）当各子目的合价累计不等于总价时，应以各子目合价累计数为准，修正总价。</w:t>
      </w:r>
    </w:p>
    <w:p w14:paraId="3B9A8533">
      <w:pPr>
        <w:spacing w:line="400" w:lineRule="exact"/>
        <w:ind w:firstLine="420" w:firstLineChars="200"/>
        <w:rPr>
          <w:rFonts w:ascii="宋体" w:hAnsi="宋体"/>
          <w:bCs/>
          <w:kern w:val="44"/>
          <w:szCs w:val="21"/>
        </w:rPr>
      </w:pPr>
      <w:r>
        <w:rPr>
          <w:rFonts w:hint="eastAsia" w:ascii="宋体" w:hAnsi="宋体"/>
          <w:bCs/>
          <w:kern w:val="44"/>
          <w:szCs w:val="21"/>
        </w:rPr>
        <w:t>3.4.3 工程量清单中的投标报价有其他错误的，评标委员会按以下原则对投标报价进行修正，修正的价格经投标人书面确认后具有约束力。投标人不接受修正价格的，评标委员会应否决其投标。</w:t>
      </w:r>
    </w:p>
    <w:p w14:paraId="4854239E">
      <w:pPr>
        <w:spacing w:line="400" w:lineRule="exact"/>
        <w:ind w:firstLine="420" w:firstLineChars="200"/>
        <w:rPr>
          <w:rFonts w:ascii="宋体" w:hAnsi="宋体"/>
          <w:bCs/>
          <w:kern w:val="44"/>
          <w:szCs w:val="21"/>
        </w:rPr>
      </w:pPr>
      <w:r>
        <w:rPr>
          <w:rFonts w:hint="eastAsia" w:ascii="宋体" w:hAnsi="宋体"/>
          <w:bCs/>
          <w:kern w:val="44"/>
          <w:szCs w:val="21"/>
        </w:rPr>
        <w:t>（1）在招标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14:paraId="2C366FC1">
      <w:pPr>
        <w:spacing w:line="400" w:lineRule="exact"/>
        <w:ind w:firstLine="420" w:firstLineChars="200"/>
        <w:rPr>
          <w:rFonts w:ascii="宋体" w:hAnsi="宋体"/>
          <w:bCs/>
          <w:kern w:val="44"/>
          <w:szCs w:val="21"/>
        </w:rPr>
      </w:pPr>
      <w:r>
        <w:rPr>
          <w:rFonts w:hint="eastAsia" w:ascii="宋体" w:hAnsi="宋体"/>
          <w:bCs/>
          <w:kern w:val="44"/>
          <w:szCs w:val="21"/>
        </w:rPr>
        <w:t>（2）在招标人给定的工程量清单中多报了某个工程子目的单价、合价或总额价，或所报单价、合价或总额价增加了报价范围，则从投标报价中扣除多报的工程子目报价或工程子目报价中增加了报价范围的部分报价。</w:t>
      </w:r>
    </w:p>
    <w:p w14:paraId="1C54051D">
      <w:pPr>
        <w:spacing w:line="400" w:lineRule="exact"/>
        <w:ind w:firstLine="420" w:firstLineChars="200"/>
        <w:rPr>
          <w:rFonts w:ascii="宋体" w:hAnsi="宋体"/>
          <w:bCs/>
          <w:kern w:val="44"/>
          <w:szCs w:val="21"/>
        </w:rPr>
      </w:pPr>
      <w:r>
        <w:rPr>
          <w:rFonts w:hint="eastAsia" w:ascii="宋体" w:hAnsi="宋体"/>
          <w:bCs/>
          <w:kern w:val="44"/>
          <w:szCs w:val="21"/>
        </w:rPr>
        <w:t>（3）当单价与数量的乘积与合价（金额）虽然一致，但投标人修改了该子目的工程数量，则其合价按招标人给定的工程数量乘以投标人所报单价予以修正。</w:t>
      </w:r>
    </w:p>
    <w:p w14:paraId="318391AF">
      <w:pPr>
        <w:spacing w:line="400" w:lineRule="exact"/>
        <w:ind w:firstLine="420" w:firstLineChars="200"/>
        <w:rPr>
          <w:rFonts w:ascii="宋体" w:hAnsi="宋体"/>
          <w:bCs/>
          <w:kern w:val="44"/>
          <w:szCs w:val="21"/>
        </w:rPr>
      </w:pPr>
      <w:r>
        <w:rPr>
          <w:rFonts w:hint="eastAsia" w:ascii="宋体" w:hAnsi="宋体"/>
          <w:bCs/>
          <w:kern w:val="44"/>
          <w:szCs w:val="21"/>
        </w:rPr>
        <w:t>3.4.4 修正后的最终投标报价若超过最高投标限价（如有），评标委员会应否决其投标。</w:t>
      </w:r>
    </w:p>
    <w:p w14:paraId="330520A2">
      <w:pPr>
        <w:spacing w:line="400" w:lineRule="exact"/>
        <w:jc w:val="left"/>
        <w:rPr>
          <w:rFonts w:ascii="黑体" w:hAnsi="黑体" w:eastAsia="黑体"/>
          <w:sz w:val="24"/>
          <w:szCs w:val="24"/>
        </w:rPr>
      </w:pPr>
      <w:r>
        <w:rPr>
          <w:rFonts w:hint="eastAsia" w:ascii="黑体" w:hAnsi="黑体" w:eastAsia="黑体"/>
          <w:sz w:val="24"/>
          <w:szCs w:val="24"/>
        </w:rPr>
        <w:t>3.5 第二个信封详细评审</w:t>
      </w:r>
    </w:p>
    <w:p w14:paraId="2CC47726">
      <w:pPr>
        <w:spacing w:line="400" w:lineRule="exact"/>
        <w:ind w:firstLine="420" w:firstLineChars="200"/>
        <w:rPr>
          <w:rFonts w:ascii="宋体" w:hAnsi="宋体"/>
          <w:bCs/>
          <w:kern w:val="44"/>
          <w:szCs w:val="21"/>
        </w:rPr>
      </w:pPr>
      <w:r>
        <w:rPr>
          <w:rFonts w:hint="eastAsia" w:ascii="宋体" w:hAnsi="宋体"/>
          <w:bCs/>
          <w:kern w:val="44"/>
          <w:szCs w:val="21"/>
        </w:rPr>
        <w:t>3.5.1 评标委员会按本章第2.2款规定的量化因素和标准进行价格折算，计算出评标价，并编制价格比较一览表。</w:t>
      </w:r>
    </w:p>
    <w:p w14:paraId="12A83F27">
      <w:pPr>
        <w:spacing w:line="400" w:lineRule="exact"/>
        <w:ind w:firstLine="420" w:firstLineChars="200"/>
        <w:rPr>
          <w:rFonts w:ascii="宋体" w:hAnsi="宋体"/>
          <w:bCs/>
          <w:kern w:val="44"/>
          <w:szCs w:val="21"/>
        </w:rPr>
      </w:pPr>
      <w:r>
        <w:rPr>
          <w:rFonts w:hint="eastAsia" w:ascii="宋体" w:hAnsi="宋体"/>
          <w:bCs/>
          <w:kern w:val="44"/>
          <w:szCs w:val="21"/>
        </w:rPr>
        <w:t>3.5.2 评标委员会发现投标人的报价明显低于其他投标报价，使得其投标报价可能低于其个别成本的，应要求该投标人作出书面说明并提供相应的证明材料。投标人不能合理说明或不能提供相应证明材料的，由评标委员会认定该投标人以低于成本报价竞标，并否决其投标。</w:t>
      </w:r>
    </w:p>
    <w:p w14:paraId="6E95271C">
      <w:pPr>
        <w:spacing w:line="400" w:lineRule="exact"/>
        <w:jc w:val="left"/>
        <w:rPr>
          <w:rFonts w:ascii="黑体" w:hAnsi="黑体" w:eastAsia="黑体"/>
          <w:sz w:val="24"/>
          <w:szCs w:val="24"/>
        </w:rPr>
      </w:pPr>
      <w:r>
        <w:rPr>
          <w:rFonts w:hint="eastAsia" w:ascii="黑体" w:hAnsi="黑体" w:eastAsia="黑体"/>
          <w:sz w:val="24"/>
          <w:szCs w:val="24"/>
        </w:rPr>
        <w:t>3.6 投标文件相关信息的核查</w:t>
      </w:r>
    </w:p>
    <w:p w14:paraId="1393A56E">
      <w:pPr>
        <w:spacing w:line="400" w:lineRule="exact"/>
        <w:ind w:firstLine="420" w:firstLineChars="200"/>
        <w:rPr>
          <w:rFonts w:ascii="宋体" w:hAnsi="宋体"/>
          <w:bCs/>
          <w:kern w:val="44"/>
          <w:szCs w:val="21"/>
        </w:rPr>
      </w:pPr>
      <w:r>
        <w:rPr>
          <w:rFonts w:hint="eastAsia" w:ascii="宋体" w:hAnsi="宋体"/>
          <w:bCs/>
          <w:kern w:val="44"/>
          <w:szCs w:val="21"/>
        </w:rPr>
        <w:t>3.6.1 在评标过程中，评标委员会应查询交通运输主管部门“公路建设市场信用信息管理系统”，对投标人的资质、业绩、主要人员资历和目前在岗情况、信用等级等信息进行核实。若投标文件载明的信息与交通运输主管部门“公路建设市场信用信息管理系统”发布的信息不符，使得投标人的资格条件不符合招标文件规定的，评标委员会应否决其投标。</w:t>
      </w:r>
    </w:p>
    <w:p w14:paraId="2FDC4A84">
      <w:pPr>
        <w:spacing w:line="400" w:lineRule="exact"/>
        <w:ind w:firstLine="420" w:firstLineChars="200"/>
        <w:rPr>
          <w:rFonts w:ascii="宋体" w:hAnsi="宋体"/>
          <w:bCs/>
          <w:kern w:val="44"/>
          <w:szCs w:val="21"/>
        </w:rPr>
      </w:pPr>
      <w:r>
        <w:rPr>
          <w:rFonts w:hint="eastAsia" w:ascii="宋体" w:hAnsi="宋体"/>
          <w:bCs/>
          <w:kern w:val="44"/>
          <w:szCs w:val="21"/>
        </w:rPr>
        <w:t>3.6.2 评标委员会应对在评标过程中发现的投标人与投标人之间、投标人与招标人之间存在的串通投标的情形进行评审和认定。投标人存在串通投标、弄虚作假、行贿等违法行为的，评标委员会应否决其投标。</w:t>
      </w:r>
    </w:p>
    <w:p w14:paraId="38F9B311">
      <w:pPr>
        <w:spacing w:line="400" w:lineRule="exact"/>
        <w:ind w:firstLine="420" w:firstLineChars="200"/>
        <w:rPr>
          <w:rFonts w:ascii="宋体" w:hAnsi="宋体"/>
          <w:bCs/>
          <w:kern w:val="44"/>
          <w:szCs w:val="21"/>
        </w:rPr>
      </w:pPr>
      <w:r>
        <w:rPr>
          <w:rFonts w:hint="eastAsia" w:ascii="宋体" w:hAnsi="宋体"/>
          <w:bCs/>
          <w:kern w:val="44"/>
          <w:szCs w:val="21"/>
        </w:rPr>
        <w:t>（1）有下列情形之一的，属于投标人相互串通投标：</w:t>
      </w:r>
    </w:p>
    <w:p w14:paraId="0EFD4ABA">
      <w:pPr>
        <w:spacing w:line="400" w:lineRule="exact"/>
        <w:ind w:firstLine="420" w:firstLineChars="200"/>
        <w:rPr>
          <w:rFonts w:ascii="宋体" w:hAnsi="宋体"/>
          <w:bCs/>
          <w:kern w:val="44"/>
          <w:szCs w:val="21"/>
        </w:rPr>
      </w:pPr>
      <w:r>
        <w:rPr>
          <w:rFonts w:hint="eastAsia" w:ascii="宋体" w:hAnsi="宋体"/>
          <w:bCs/>
          <w:kern w:val="44"/>
          <w:szCs w:val="21"/>
        </w:rPr>
        <w:t>a.投标人之间协商投标报价等投标文件的实质性内容；</w:t>
      </w:r>
    </w:p>
    <w:p w14:paraId="2E65568E">
      <w:pPr>
        <w:spacing w:line="400" w:lineRule="exact"/>
        <w:ind w:firstLine="420" w:firstLineChars="200"/>
        <w:rPr>
          <w:rFonts w:ascii="宋体" w:hAnsi="宋体"/>
          <w:bCs/>
          <w:kern w:val="44"/>
          <w:szCs w:val="21"/>
        </w:rPr>
      </w:pPr>
      <w:r>
        <w:rPr>
          <w:rFonts w:hint="eastAsia" w:ascii="宋体" w:hAnsi="宋体"/>
          <w:bCs/>
          <w:kern w:val="44"/>
          <w:szCs w:val="21"/>
        </w:rPr>
        <w:t>b.投标人之间约定中标人；</w:t>
      </w:r>
    </w:p>
    <w:p w14:paraId="27E83E45">
      <w:pPr>
        <w:spacing w:line="400" w:lineRule="exact"/>
        <w:ind w:firstLine="420" w:firstLineChars="200"/>
        <w:rPr>
          <w:rFonts w:ascii="宋体" w:hAnsi="宋体"/>
          <w:bCs/>
          <w:kern w:val="44"/>
          <w:szCs w:val="21"/>
        </w:rPr>
      </w:pPr>
      <w:r>
        <w:rPr>
          <w:rFonts w:hint="eastAsia" w:ascii="宋体" w:hAnsi="宋体"/>
          <w:bCs/>
          <w:kern w:val="44"/>
          <w:szCs w:val="21"/>
        </w:rPr>
        <w:t>c.投标人之间约定部分投标人放弃投标或中标；</w:t>
      </w:r>
    </w:p>
    <w:p w14:paraId="6E91E060">
      <w:pPr>
        <w:spacing w:line="400" w:lineRule="exact"/>
        <w:ind w:firstLine="420" w:firstLineChars="200"/>
        <w:rPr>
          <w:rFonts w:ascii="宋体" w:hAnsi="宋体"/>
          <w:bCs/>
          <w:kern w:val="44"/>
          <w:szCs w:val="21"/>
        </w:rPr>
      </w:pPr>
      <w:r>
        <w:rPr>
          <w:rFonts w:hint="eastAsia" w:ascii="宋体" w:hAnsi="宋体"/>
          <w:bCs/>
          <w:kern w:val="44"/>
          <w:szCs w:val="21"/>
        </w:rPr>
        <w:t>d.属于同一集团、协会、商会等组织成员的投标人按照该组织要求协同投标；</w:t>
      </w:r>
    </w:p>
    <w:p w14:paraId="46FE7E77">
      <w:pPr>
        <w:spacing w:line="400" w:lineRule="exact"/>
        <w:ind w:firstLine="420" w:firstLineChars="200"/>
        <w:rPr>
          <w:rFonts w:ascii="宋体" w:hAnsi="宋体"/>
          <w:bCs/>
          <w:kern w:val="44"/>
          <w:szCs w:val="21"/>
        </w:rPr>
      </w:pPr>
      <w:r>
        <w:rPr>
          <w:rFonts w:hint="eastAsia" w:ascii="宋体" w:hAnsi="宋体"/>
          <w:bCs/>
          <w:kern w:val="44"/>
          <w:szCs w:val="21"/>
        </w:rPr>
        <w:t>e.投标人之间为谋取中标或排斥特定投标人而采取的其他联合行动。</w:t>
      </w:r>
    </w:p>
    <w:p w14:paraId="4796740F">
      <w:pPr>
        <w:spacing w:line="400" w:lineRule="exact"/>
        <w:ind w:firstLine="420" w:firstLineChars="200"/>
        <w:rPr>
          <w:rFonts w:ascii="宋体" w:hAnsi="宋体"/>
          <w:bCs/>
          <w:kern w:val="44"/>
          <w:szCs w:val="21"/>
        </w:rPr>
      </w:pPr>
      <w:r>
        <w:rPr>
          <w:rFonts w:hint="eastAsia" w:ascii="宋体" w:hAnsi="宋体"/>
          <w:bCs/>
          <w:kern w:val="44"/>
          <w:szCs w:val="21"/>
        </w:rPr>
        <w:t>（2）有下列情形之一的，视为投标人相互串通投标：</w:t>
      </w:r>
    </w:p>
    <w:p w14:paraId="31D9C580">
      <w:pPr>
        <w:spacing w:line="400" w:lineRule="exact"/>
        <w:ind w:firstLine="420" w:firstLineChars="200"/>
        <w:rPr>
          <w:rFonts w:ascii="宋体" w:hAnsi="宋体"/>
          <w:bCs/>
          <w:kern w:val="44"/>
          <w:szCs w:val="21"/>
        </w:rPr>
      </w:pPr>
      <w:r>
        <w:rPr>
          <w:rFonts w:hint="eastAsia" w:ascii="宋体" w:hAnsi="宋体"/>
          <w:bCs/>
          <w:kern w:val="44"/>
          <w:szCs w:val="21"/>
        </w:rPr>
        <w:t>a.不同投标人的投标文件由同一单位或个人编制；</w:t>
      </w:r>
    </w:p>
    <w:p w14:paraId="786083B8">
      <w:pPr>
        <w:spacing w:line="400" w:lineRule="exact"/>
        <w:ind w:firstLine="420" w:firstLineChars="200"/>
        <w:rPr>
          <w:rFonts w:ascii="宋体" w:hAnsi="宋体"/>
          <w:bCs/>
          <w:kern w:val="44"/>
          <w:szCs w:val="21"/>
        </w:rPr>
      </w:pPr>
      <w:r>
        <w:rPr>
          <w:rFonts w:hint="eastAsia" w:ascii="宋体" w:hAnsi="宋体"/>
          <w:bCs/>
          <w:kern w:val="44"/>
          <w:szCs w:val="21"/>
        </w:rPr>
        <w:t>b.不同投标人委托同一单位或个人办理投标事宜；</w:t>
      </w:r>
    </w:p>
    <w:p w14:paraId="08BA502B">
      <w:pPr>
        <w:spacing w:line="400" w:lineRule="exact"/>
        <w:ind w:firstLine="420" w:firstLineChars="200"/>
        <w:rPr>
          <w:rFonts w:ascii="宋体" w:hAnsi="宋体"/>
          <w:bCs/>
          <w:kern w:val="44"/>
          <w:szCs w:val="21"/>
        </w:rPr>
      </w:pPr>
      <w:r>
        <w:rPr>
          <w:rFonts w:hint="eastAsia" w:ascii="宋体" w:hAnsi="宋体"/>
          <w:bCs/>
          <w:kern w:val="44"/>
          <w:szCs w:val="21"/>
        </w:rPr>
        <w:t>c.不同投标人的投标文件载明的项目管理成员为同一人；</w:t>
      </w:r>
    </w:p>
    <w:p w14:paraId="4D2A662F">
      <w:pPr>
        <w:spacing w:line="400" w:lineRule="exact"/>
        <w:ind w:firstLine="420" w:firstLineChars="200"/>
        <w:rPr>
          <w:rFonts w:ascii="宋体" w:hAnsi="宋体"/>
          <w:bCs/>
          <w:kern w:val="44"/>
          <w:szCs w:val="21"/>
        </w:rPr>
      </w:pPr>
      <w:r>
        <w:rPr>
          <w:rFonts w:hint="eastAsia" w:ascii="宋体" w:hAnsi="宋体"/>
          <w:bCs/>
          <w:kern w:val="44"/>
          <w:szCs w:val="21"/>
        </w:rPr>
        <w:t>d.不同投标人的投标文件异常一致或投标报价呈规律性差异；</w:t>
      </w:r>
    </w:p>
    <w:p w14:paraId="41B11FE7">
      <w:pPr>
        <w:spacing w:line="400" w:lineRule="exact"/>
        <w:ind w:firstLine="420" w:firstLineChars="200"/>
        <w:rPr>
          <w:rFonts w:ascii="宋体" w:hAnsi="宋体"/>
          <w:bCs/>
          <w:kern w:val="44"/>
          <w:szCs w:val="21"/>
        </w:rPr>
      </w:pPr>
      <w:r>
        <w:rPr>
          <w:rFonts w:hint="eastAsia" w:ascii="宋体" w:hAnsi="宋体"/>
          <w:bCs/>
          <w:kern w:val="44"/>
          <w:szCs w:val="21"/>
        </w:rPr>
        <w:t>e.不同投标人的投标文件相互混装；</w:t>
      </w:r>
    </w:p>
    <w:p w14:paraId="6D5FEB3A">
      <w:pPr>
        <w:spacing w:line="400" w:lineRule="exact"/>
        <w:ind w:firstLine="420" w:firstLineChars="200"/>
        <w:rPr>
          <w:rFonts w:ascii="宋体" w:hAnsi="宋体"/>
          <w:bCs/>
          <w:kern w:val="44"/>
          <w:szCs w:val="21"/>
        </w:rPr>
      </w:pPr>
      <w:r>
        <w:rPr>
          <w:rFonts w:hint="eastAsia" w:ascii="宋体" w:hAnsi="宋体"/>
          <w:bCs/>
          <w:kern w:val="44"/>
          <w:szCs w:val="21"/>
        </w:rPr>
        <w:t>f.不同投标人的投标保证金从同一单位或个人的账户转出。</w:t>
      </w:r>
    </w:p>
    <w:p w14:paraId="7A254EB4">
      <w:pPr>
        <w:spacing w:line="400" w:lineRule="exact"/>
        <w:ind w:firstLine="420" w:firstLineChars="200"/>
        <w:rPr>
          <w:rFonts w:ascii="宋体" w:hAnsi="宋体"/>
          <w:bCs/>
          <w:kern w:val="44"/>
          <w:szCs w:val="21"/>
        </w:rPr>
      </w:pPr>
      <w:r>
        <w:rPr>
          <w:rFonts w:hint="eastAsia" w:ascii="宋体" w:hAnsi="宋体"/>
          <w:bCs/>
          <w:kern w:val="44"/>
          <w:szCs w:val="21"/>
        </w:rPr>
        <w:t>（3）有下列情形之一的，属于招标人与投标人串通投标：</w:t>
      </w:r>
    </w:p>
    <w:p w14:paraId="33F2D8CF">
      <w:pPr>
        <w:spacing w:line="400" w:lineRule="exact"/>
        <w:ind w:firstLine="420" w:firstLineChars="200"/>
        <w:rPr>
          <w:rFonts w:ascii="宋体" w:hAnsi="宋体"/>
          <w:bCs/>
          <w:kern w:val="44"/>
          <w:szCs w:val="21"/>
        </w:rPr>
      </w:pPr>
      <w:r>
        <w:rPr>
          <w:rFonts w:hint="eastAsia" w:ascii="宋体" w:hAnsi="宋体"/>
          <w:bCs/>
          <w:kern w:val="44"/>
          <w:szCs w:val="21"/>
        </w:rPr>
        <w:t>a.招标人在开标前开启投标文件并将有关信息泄露给其他投标人;</w:t>
      </w:r>
    </w:p>
    <w:p w14:paraId="4A8CC586">
      <w:pPr>
        <w:spacing w:line="400" w:lineRule="exact"/>
        <w:ind w:firstLine="420" w:firstLineChars="200"/>
        <w:rPr>
          <w:rFonts w:ascii="宋体" w:hAnsi="宋体"/>
          <w:bCs/>
          <w:kern w:val="44"/>
          <w:szCs w:val="21"/>
        </w:rPr>
      </w:pPr>
      <w:r>
        <w:rPr>
          <w:rFonts w:hint="eastAsia" w:ascii="宋体" w:hAnsi="宋体"/>
          <w:bCs/>
          <w:kern w:val="44"/>
          <w:szCs w:val="21"/>
        </w:rPr>
        <w:t>b.招标人直接或间接向投标人泄露标底、评标委员会成员等信息；</w:t>
      </w:r>
    </w:p>
    <w:p w14:paraId="3348C34F">
      <w:pPr>
        <w:spacing w:line="400" w:lineRule="exact"/>
        <w:ind w:firstLine="420" w:firstLineChars="200"/>
        <w:rPr>
          <w:rFonts w:ascii="宋体" w:hAnsi="宋体"/>
          <w:bCs/>
          <w:kern w:val="44"/>
          <w:szCs w:val="21"/>
        </w:rPr>
      </w:pPr>
      <w:r>
        <w:rPr>
          <w:rFonts w:hint="eastAsia" w:ascii="宋体" w:hAnsi="宋体"/>
          <w:bCs/>
          <w:kern w:val="44"/>
          <w:szCs w:val="21"/>
        </w:rPr>
        <w:t>c.招标人明示或暗示投标人压低或抬高投标报价；</w:t>
      </w:r>
    </w:p>
    <w:p w14:paraId="6120C995">
      <w:pPr>
        <w:spacing w:line="400" w:lineRule="exact"/>
        <w:ind w:firstLine="420" w:firstLineChars="200"/>
        <w:rPr>
          <w:rFonts w:ascii="宋体" w:hAnsi="宋体"/>
          <w:bCs/>
          <w:kern w:val="44"/>
          <w:szCs w:val="21"/>
        </w:rPr>
      </w:pPr>
      <w:r>
        <w:rPr>
          <w:rFonts w:hint="eastAsia" w:ascii="宋体" w:hAnsi="宋体"/>
          <w:bCs/>
          <w:kern w:val="44"/>
          <w:szCs w:val="21"/>
        </w:rPr>
        <w:t>d.招标人授意投标人撤换、修改投标文件；</w:t>
      </w:r>
    </w:p>
    <w:p w14:paraId="409A2B20">
      <w:pPr>
        <w:spacing w:line="400" w:lineRule="exact"/>
        <w:ind w:firstLine="420" w:firstLineChars="200"/>
        <w:rPr>
          <w:rFonts w:ascii="宋体" w:hAnsi="宋体"/>
          <w:bCs/>
          <w:kern w:val="44"/>
          <w:szCs w:val="21"/>
        </w:rPr>
      </w:pPr>
      <w:r>
        <w:rPr>
          <w:rFonts w:hint="eastAsia" w:ascii="宋体" w:hAnsi="宋体"/>
          <w:bCs/>
          <w:kern w:val="44"/>
          <w:szCs w:val="21"/>
        </w:rPr>
        <w:t>e.招标人明示或暗示投标人为特定投标人中标提供方便；</w:t>
      </w:r>
    </w:p>
    <w:p w14:paraId="21C578C4">
      <w:pPr>
        <w:spacing w:line="400" w:lineRule="exact"/>
        <w:ind w:firstLine="420" w:firstLineChars="200"/>
        <w:rPr>
          <w:rFonts w:ascii="宋体" w:hAnsi="宋体"/>
          <w:bCs/>
          <w:kern w:val="44"/>
          <w:szCs w:val="21"/>
        </w:rPr>
      </w:pPr>
      <w:r>
        <w:rPr>
          <w:rFonts w:hint="eastAsia" w:ascii="宋体" w:hAnsi="宋体"/>
          <w:bCs/>
          <w:kern w:val="44"/>
          <w:szCs w:val="21"/>
        </w:rPr>
        <w:t>f.招标人与投标人为谋求特定投标人中标而采取的其他串通行为。</w:t>
      </w:r>
    </w:p>
    <w:p w14:paraId="1FDB1930">
      <w:pPr>
        <w:spacing w:line="400" w:lineRule="exact"/>
        <w:ind w:firstLine="420" w:firstLineChars="200"/>
        <w:rPr>
          <w:rFonts w:ascii="宋体" w:hAnsi="宋体"/>
          <w:bCs/>
          <w:kern w:val="44"/>
          <w:szCs w:val="21"/>
        </w:rPr>
      </w:pPr>
      <w:r>
        <w:rPr>
          <w:rFonts w:hint="eastAsia" w:ascii="宋体" w:hAnsi="宋体"/>
          <w:bCs/>
          <w:kern w:val="44"/>
          <w:szCs w:val="21"/>
        </w:rPr>
        <w:t>（4）投标人有下列情形之一的，属于弄虚作假的行为：</w:t>
      </w:r>
    </w:p>
    <w:p w14:paraId="3E90CD5E">
      <w:pPr>
        <w:spacing w:line="400" w:lineRule="exact"/>
        <w:ind w:firstLine="420" w:firstLineChars="200"/>
        <w:rPr>
          <w:rFonts w:ascii="宋体" w:hAnsi="宋体"/>
          <w:bCs/>
          <w:kern w:val="44"/>
          <w:szCs w:val="21"/>
        </w:rPr>
      </w:pPr>
      <w:r>
        <w:rPr>
          <w:rFonts w:hint="eastAsia" w:ascii="宋体" w:hAnsi="宋体"/>
          <w:bCs/>
          <w:kern w:val="44"/>
          <w:szCs w:val="21"/>
        </w:rPr>
        <w:t>a.使用通过受让或租借等方式获取的资格、资质证书投标；</w:t>
      </w:r>
    </w:p>
    <w:p w14:paraId="1A29A05A">
      <w:pPr>
        <w:spacing w:line="400" w:lineRule="exact"/>
        <w:ind w:firstLine="420" w:firstLineChars="200"/>
        <w:rPr>
          <w:rFonts w:ascii="宋体" w:hAnsi="宋体"/>
          <w:bCs/>
          <w:kern w:val="44"/>
          <w:szCs w:val="21"/>
        </w:rPr>
      </w:pPr>
      <w:r>
        <w:rPr>
          <w:rFonts w:hint="eastAsia" w:ascii="宋体" w:hAnsi="宋体"/>
          <w:bCs/>
          <w:kern w:val="44"/>
          <w:szCs w:val="21"/>
        </w:rPr>
        <w:t>b.使用伪造、变造的许可证件；</w:t>
      </w:r>
    </w:p>
    <w:p w14:paraId="7D7F83C5">
      <w:pPr>
        <w:spacing w:line="400" w:lineRule="exact"/>
        <w:ind w:firstLine="420" w:firstLineChars="200"/>
        <w:rPr>
          <w:rFonts w:ascii="宋体" w:hAnsi="宋体"/>
          <w:bCs/>
          <w:kern w:val="44"/>
          <w:szCs w:val="21"/>
        </w:rPr>
      </w:pPr>
      <w:r>
        <w:rPr>
          <w:rFonts w:hint="eastAsia" w:ascii="宋体" w:hAnsi="宋体"/>
          <w:bCs/>
          <w:kern w:val="44"/>
          <w:szCs w:val="21"/>
        </w:rPr>
        <w:t>c.提供虚假的财务状况或业绩；</w:t>
      </w:r>
    </w:p>
    <w:p w14:paraId="2CCE0F79">
      <w:pPr>
        <w:spacing w:line="400" w:lineRule="exact"/>
        <w:ind w:firstLine="420" w:firstLineChars="200"/>
        <w:rPr>
          <w:rFonts w:ascii="宋体" w:hAnsi="宋体"/>
          <w:bCs/>
          <w:kern w:val="44"/>
          <w:szCs w:val="21"/>
        </w:rPr>
      </w:pPr>
      <w:r>
        <w:rPr>
          <w:rFonts w:hint="eastAsia" w:ascii="宋体" w:hAnsi="宋体"/>
          <w:bCs/>
          <w:kern w:val="44"/>
          <w:szCs w:val="21"/>
        </w:rPr>
        <w:t>d.提供虚假的项目负责人或主要技术人员简历、劳动关系证明；</w:t>
      </w:r>
    </w:p>
    <w:p w14:paraId="1D60E660">
      <w:pPr>
        <w:spacing w:line="400" w:lineRule="exact"/>
        <w:ind w:firstLine="420" w:firstLineChars="200"/>
        <w:rPr>
          <w:rFonts w:ascii="宋体" w:hAnsi="宋体"/>
          <w:bCs/>
          <w:kern w:val="44"/>
          <w:szCs w:val="21"/>
        </w:rPr>
      </w:pPr>
      <w:r>
        <w:rPr>
          <w:rFonts w:hint="eastAsia" w:ascii="宋体" w:hAnsi="宋体"/>
          <w:bCs/>
          <w:kern w:val="44"/>
          <w:szCs w:val="21"/>
        </w:rPr>
        <w:t>e.提供虚假的信用状况；</w:t>
      </w:r>
    </w:p>
    <w:p w14:paraId="07C988A0">
      <w:pPr>
        <w:spacing w:line="400" w:lineRule="exact"/>
        <w:ind w:firstLine="420" w:firstLineChars="200"/>
        <w:rPr>
          <w:rFonts w:ascii="宋体" w:hAnsi="宋体"/>
          <w:bCs/>
          <w:kern w:val="44"/>
          <w:szCs w:val="21"/>
        </w:rPr>
      </w:pPr>
      <w:r>
        <w:rPr>
          <w:rFonts w:hint="eastAsia" w:ascii="宋体" w:hAnsi="宋体"/>
          <w:bCs/>
          <w:kern w:val="44"/>
          <w:szCs w:val="21"/>
        </w:rPr>
        <w:t>f.其他弄虚作假的行为。</w:t>
      </w:r>
    </w:p>
    <w:p w14:paraId="28373EF5">
      <w:pPr>
        <w:spacing w:line="400" w:lineRule="exact"/>
        <w:jc w:val="left"/>
        <w:rPr>
          <w:rFonts w:ascii="黑体" w:hAnsi="黑体" w:eastAsia="黑体"/>
          <w:sz w:val="24"/>
          <w:szCs w:val="24"/>
        </w:rPr>
      </w:pPr>
      <w:r>
        <w:rPr>
          <w:rFonts w:hint="eastAsia" w:ascii="黑体" w:hAnsi="黑体" w:eastAsia="黑体"/>
          <w:sz w:val="24"/>
          <w:szCs w:val="24"/>
        </w:rPr>
        <w:t>3.7 投标文件的澄清和说明</w:t>
      </w:r>
    </w:p>
    <w:p w14:paraId="5B9837A0">
      <w:pPr>
        <w:spacing w:line="400" w:lineRule="exact"/>
        <w:ind w:firstLine="420" w:firstLineChars="200"/>
        <w:rPr>
          <w:rFonts w:ascii="宋体" w:hAnsi="宋体"/>
          <w:bCs/>
          <w:kern w:val="44"/>
          <w:szCs w:val="21"/>
        </w:rPr>
      </w:pPr>
      <w:r>
        <w:rPr>
          <w:rFonts w:hint="eastAsia" w:ascii="宋体" w:hAnsi="宋体"/>
          <w:bCs/>
          <w:kern w:val="44"/>
          <w:szCs w:val="21"/>
        </w:rPr>
        <w:t>3.7.1 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14:paraId="705C98CD">
      <w:pPr>
        <w:spacing w:line="400" w:lineRule="exact"/>
        <w:ind w:firstLine="420" w:firstLineChars="200"/>
        <w:rPr>
          <w:rFonts w:ascii="宋体" w:hAnsi="宋体"/>
          <w:bCs/>
          <w:kern w:val="44"/>
          <w:szCs w:val="21"/>
        </w:rPr>
      </w:pPr>
      <w:r>
        <w:rPr>
          <w:rFonts w:hint="eastAsia" w:ascii="宋体" w:hAnsi="宋体"/>
          <w:bCs/>
          <w:kern w:val="44"/>
          <w:szCs w:val="21"/>
        </w:rPr>
        <w:t>3.7.2 澄清和说明不得超出投标文件的范围或改变投标文件的实质性内容（算术性错误的修正除外）。投标人的书面澄清、说明属于投标文件的组成部分。</w:t>
      </w:r>
    </w:p>
    <w:p w14:paraId="58634F8A">
      <w:pPr>
        <w:spacing w:line="400" w:lineRule="exact"/>
        <w:ind w:firstLine="420" w:firstLineChars="200"/>
        <w:rPr>
          <w:rFonts w:ascii="宋体" w:hAnsi="宋体"/>
          <w:bCs/>
          <w:kern w:val="44"/>
          <w:szCs w:val="21"/>
        </w:rPr>
      </w:pPr>
      <w:r>
        <w:rPr>
          <w:rFonts w:hint="eastAsia" w:ascii="宋体" w:hAnsi="宋体"/>
          <w:bCs/>
          <w:kern w:val="44"/>
          <w:szCs w:val="21"/>
        </w:rPr>
        <w:t>3.7.3 评标委员会不得暗示或诱导投标人作出澄清、说明，对投标人提交的澄清、说明有疑问的，可以要求投标人进一步澄清或说明，直至满足评标委员会的要求。</w:t>
      </w:r>
    </w:p>
    <w:p w14:paraId="387134AB">
      <w:pPr>
        <w:spacing w:line="400" w:lineRule="exact"/>
        <w:ind w:firstLine="420" w:firstLineChars="200"/>
        <w:rPr>
          <w:rFonts w:ascii="宋体" w:hAnsi="宋体"/>
          <w:bCs/>
          <w:kern w:val="44"/>
          <w:szCs w:val="21"/>
        </w:rPr>
      </w:pPr>
      <w:r>
        <w:rPr>
          <w:rFonts w:hint="eastAsia" w:ascii="宋体" w:hAnsi="宋体"/>
          <w:bCs/>
          <w:kern w:val="44"/>
          <w:szCs w:val="21"/>
        </w:rPr>
        <w:t>3.7.4 凡超出招标文件规定的或给发包人带来未曾要求的利益的变化、偏差或其他因素在评标时不予考虑。</w:t>
      </w:r>
    </w:p>
    <w:p w14:paraId="1F3B96CD">
      <w:pPr>
        <w:spacing w:line="400" w:lineRule="exact"/>
        <w:jc w:val="left"/>
        <w:rPr>
          <w:rFonts w:ascii="黑体" w:hAnsi="黑体" w:eastAsia="黑体"/>
          <w:sz w:val="24"/>
          <w:szCs w:val="24"/>
        </w:rPr>
      </w:pPr>
      <w:r>
        <w:rPr>
          <w:rFonts w:hint="eastAsia" w:ascii="黑体" w:hAnsi="黑体" w:eastAsia="黑体"/>
          <w:sz w:val="24"/>
          <w:szCs w:val="24"/>
        </w:rPr>
        <w:t>3.8 不得否决投标的情形</w:t>
      </w:r>
    </w:p>
    <w:p w14:paraId="0931BD1C">
      <w:pPr>
        <w:spacing w:line="400" w:lineRule="exact"/>
        <w:ind w:firstLine="420" w:firstLineChars="200"/>
        <w:rPr>
          <w:rFonts w:ascii="宋体" w:hAnsi="宋体"/>
          <w:bCs/>
          <w:kern w:val="44"/>
          <w:szCs w:val="21"/>
        </w:rPr>
      </w:pPr>
      <w:r>
        <w:rPr>
          <w:rFonts w:hint="eastAsia" w:ascii="宋体" w:hAnsi="宋体"/>
          <w:bCs/>
          <w:kern w:val="44"/>
          <w:szCs w:val="21"/>
        </w:rPr>
        <w:t>投标文件存在第二章“投标人须知”第1.12.3项所列情形的，均视为细微偏差，评标委员会不得否决投标人的投标，应按照第二章“投标人须知”第1.12.4项规定的原则处理。</w:t>
      </w:r>
    </w:p>
    <w:p w14:paraId="02127F02">
      <w:pPr>
        <w:spacing w:line="400" w:lineRule="exact"/>
        <w:jc w:val="left"/>
        <w:rPr>
          <w:rFonts w:ascii="黑体" w:hAnsi="黑体" w:eastAsia="黑体"/>
          <w:sz w:val="24"/>
          <w:szCs w:val="24"/>
        </w:rPr>
      </w:pPr>
      <w:r>
        <w:rPr>
          <w:rFonts w:hint="eastAsia" w:ascii="黑体" w:hAnsi="黑体" w:eastAsia="黑体"/>
          <w:sz w:val="24"/>
          <w:szCs w:val="24"/>
        </w:rPr>
        <w:t>3.9 评标结果</w:t>
      </w:r>
    </w:p>
    <w:p w14:paraId="0BF2BF57">
      <w:pPr>
        <w:spacing w:line="400" w:lineRule="exact"/>
        <w:ind w:firstLine="420" w:firstLineChars="200"/>
        <w:rPr>
          <w:rFonts w:ascii="宋体" w:hAnsi="宋体"/>
          <w:bCs/>
          <w:kern w:val="44"/>
          <w:szCs w:val="21"/>
        </w:rPr>
      </w:pPr>
      <w:r>
        <w:rPr>
          <w:rFonts w:hint="eastAsia" w:ascii="宋体" w:hAnsi="宋体"/>
          <w:bCs/>
          <w:kern w:val="44"/>
          <w:szCs w:val="21"/>
        </w:rPr>
        <w:t>3.9.1除第二章“投标人须知”前附表授权直接确定中标人外，评标委员会按照评标价由低到高的顺序推荐中标候选人，并标明排序。</w:t>
      </w:r>
    </w:p>
    <w:p w14:paraId="72575D29">
      <w:pPr>
        <w:spacing w:line="360" w:lineRule="auto"/>
        <w:ind w:firstLine="520"/>
        <w:rPr>
          <w:rFonts w:ascii="宋体" w:hAnsi="宋体" w:cs="宋体"/>
          <w:color w:val="000000"/>
          <w:kern w:val="0"/>
          <w:sz w:val="22"/>
          <w:lang w:val="zh-TW" w:bidi="zh-TW"/>
        </w:rPr>
      </w:pPr>
      <w:r>
        <w:rPr>
          <w:rFonts w:hint="eastAsia" w:ascii="宋体" w:hAnsi="宋体"/>
          <w:bCs/>
          <w:kern w:val="44"/>
          <w:szCs w:val="21"/>
        </w:rPr>
        <w:t>3.9.2 评标委员会完成评标后，应向招标人提交书面评标报告</w:t>
      </w:r>
      <w:r>
        <w:rPr>
          <w:rFonts w:ascii="宋体" w:hAnsi="宋体" w:cs="宋体"/>
          <w:color w:val="000000"/>
          <w:kern w:val="0"/>
          <w:sz w:val="22"/>
          <w:lang w:val="zh-TW" w:bidi="zh-TW"/>
        </w:rPr>
        <w:t>。</w:t>
      </w:r>
    </w:p>
    <w:p w14:paraId="537988CD">
      <w:pPr>
        <w:spacing w:line="360" w:lineRule="auto"/>
        <w:ind w:firstLine="520"/>
        <w:rPr>
          <w:rFonts w:ascii="宋体" w:hAnsi="宋体" w:cs="宋体"/>
          <w:color w:val="000000"/>
          <w:kern w:val="0"/>
          <w:sz w:val="22"/>
          <w:lang w:val="zh-TW" w:bidi="zh-TW"/>
        </w:rPr>
      </w:pPr>
    </w:p>
    <w:p w14:paraId="1942A8DC">
      <w:pPr>
        <w:spacing w:line="360" w:lineRule="auto"/>
        <w:ind w:firstLine="520"/>
        <w:rPr>
          <w:rFonts w:ascii="宋体" w:hAnsi="宋体" w:cs="宋体"/>
          <w:color w:val="000000"/>
          <w:kern w:val="0"/>
          <w:sz w:val="22"/>
          <w:lang w:val="zh-TW" w:bidi="zh-TW"/>
        </w:rPr>
      </w:pPr>
    </w:p>
    <w:p w14:paraId="6099B673">
      <w:pPr>
        <w:spacing w:line="360" w:lineRule="auto"/>
        <w:ind w:firstLine="520"/>
        <w:rPr>
          <w:rFonts w:ascii="宋体" w:hAnsi="宋体" w:cs="宋体"/>
          <w:color w:val="000000"/>
          <w:kern w:val="0"/>
          <w:sz w:val="22"/>
          <w:lang w:val="zh-TW" w:bidi="zh-TW"/>
        </w:rPr>
      </w:pPr>
    </w:p>
    <w:p w14:paraId="16FFCE90">
      <w:pPr>
        <w:spacing w:line="360" w:lineRule="auto"/>
        <w:ind w:firstLine="520"/>
        <w:rPr>
          <w:rFonts w:ascii="宋体" w:hAnsi="宋体" w:cs="宋体"/>
          <w:color w:val="000000"/>
          <w:kern w:val="0"/>
          <w:sz w:val="22"/>
          <w:lang w:val="zh-TW" w:bidi="zh-TW"/>
        </w:rPr>
      </w:pPr>
    </w:p>
    <w:p w14:paraId="6F399AD4">
      <w:pPr>
        <w:spacing w:line="360" w:lineRule="auto"/>
        <w:ind w:firstLine="520"/>
        <w:rPr>
          <w:rFonts w:ascii="宋体" w:hAnsi="宋体" w:cs="宋体"/>
          <w:color w:val="000000"/>
          <w:kern w:val="0"/>
          <w:sz w:val="22"/>
          <w:lang w:val="zh-TW" w:bidi="zh-TW"/>
        </w:rPr>
      </w:pPr>
    </w:p>
    <w:p w14:paraId="3FA4BD62">
      <w:pPr>
        <w:spacing w:line="360" w:lineRule="auto"/>
        <w:ind w:firstLine="520"/>
        <w:rPr>
          <w:rFonts w:ascii="宋体" w:hAnsi="宋体" w:cs="宋体"/>
          <w:color w:val="000000"/>
          <w:kern w:val="0"/>
          <w:sz w:val="22"/>
          <w:lang w:val="zh-TW" w:bidi="zh-TW"/>
        </w:rPr>
      </w:pPr>
    </w:p>
    <w:p w14:paraId="2289ACD1">
      <w:pPr>
        <w:pStyle w:val="15"/>
        <w:tabs>
          <w:tab w:val="left" w:pos="426"/>
        </w:tabs>
        <w:spacing w:line="360" w:lineRule="auto"/>
        <w:jc w:val="left"/>
        <w:outlineLvl w:val="2"/>
        <w:rPr>
          <w:rFonts w:ascii="宋体" w:hAnsi="宋体"/>
          <w:b w:val="0"/>
        </w:rPr>
      </w:pPr>
      <w:r>
        <w:rPr>
          <w:rFonts w:hint="eastAsia" w:ascii="宋体" w:hAnsi="宋体"/>
          <w:b w:val="0"/>
        </w:rPr>
        <w:t>7.公开时间</w:t>
      </w:r>
    </w:p>
    <w:p w14:paraId="1302A750">
      <w:pPr>
        <w:pStyle w:val="15"/>
        <w:tabs>
          <w:tab w:val="left" w:pos="426"/>
        </w:tabs>
        <w:spacing w:line="360" w:lineRule="auto"/>
        <w:jc w:val="left"/>
        <w:outlineLvl w:val="2"/>
        <w:rPr>
          <w:rFonts w:hint="eastAsia" w:ascii="宋体" w:hAnsi="宋体"/>
          <w:b w:val="0"/>
          <w:bCs w:val="0"/>
          <w:kern w:val="2"/>
          <w:sz w:val="21"/>
          <w:szCs w:val="21"/>
        </w:rPr>
      </w:pPr>
      <w:r>
        <w:rPr>
          <w:rFonts w:hint="eastAsia" w:ascii="宋体" w:hAnsi="宋体"/>
          <w:b w:val="0"/>
          <w:bCs w:val="0"/>
          <w:kern w:val="2"/>
          <w:sz w:val="21"/>
          <w:szCs w:val="21"/>
        </w:rPr>
        <w:t>本次招标文件关键内容信息公开时间至投标截止时间10日前结束。</w:t>
      </w:r>
    </w:p>
    <w:p w14:paraId="7A2F2BD7">
      <w:pPr>
        <w:pStyle w:val="15"/>
        <w:tabs>
          <w:tab w:val="left" w:pos="426"/>
        </w:tabs>
        <w:spacing w:line="360" w:lineRule="auto"/>
        <w:jc w:val="left"/>
        <w:outlineLvl w:val="2"/>
        <w:rPr>
          <w:rFonts w:ascii="宋体" w:hAnsi="宋体"/>
          <w:b w:val="0"/>
        </w:rPr>
      </w:pPr>
      <w:r>
        <w:rPr>
          <w:rFonts w:hint="eastAsia" w:ascii="宋体" w:hAnsi="宋体"/>
          <w:b w:val="0"/>
        </w:rPr>
        <w:t>8.联系方式</w:t>
      </w:r>
      <w:bookmarkEnd w:id="40"/>
      <w:bookmarkEnd w:id="41"/>
      <w:bookmarkEnd w:id="42"/>
      <w:bookmarkEnd w:id="43"/>
      <w:bookmarkEnd w:id="44"/>
      <w:bookmarkEnd w:id="45"/>
      <w:bookmarkEnd w:id="46"/>
      <w:bookmarkEnd w:id="47"/>
      <w:bookmarkEnd w:id="48"/>
    </w:p>
    <w:tbl>
      <w:tblPr>
        <w:tblStyle w:val="11"/>
        <w:tblW w:w="9464" w:type="dxa"/>
        <w:tblInd w:w="0" w:type="dxa"/>
        <w:tblBorders>
          <w:top w:val="single" w:color="FFFFFF" w:sz="4" w:space="0"/>
          <w:left w:val="single" w:color="FFFFFF" w:sz="4" w:space="0"/>
          <w:bottom w:val="none" w:color="auto" w:sz="0"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4361"/>
        <w:gridCol w:w="5103"/>
      </w:tblGrid>
      <w:tr w14:paraId="0D986BAD">
        <w:tblPrEx>
          <w:tblBorders>
            <w:top w:val="single" w:color="FFFFFF" w:sz="4" w:space="0"/>
            <w:left w:val="single" w:color="FFFFFF" w:sz="4" w:space="0"/>
            <w:bottom w:val="none" w:color="auto" w:sz="0"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4361" w:type="dxa"/>
            <w:tcBorders>
              <w:top w:val="single" w:color="FFFFFF" w:sz="4" w:space="0"/>
              <w:left w:val="single" w:color="FFFFFF" w:sz="4" w:space="0"/>
              <w:bottom w:val="single" w:color="FFFFFF" w:sz="4" w:space="0"/>
              <w:right w:val="single" w:color="FFFFFF" w:sz="4" w:space="0"/>
            </w:tcBorders>
            <w:noWrap w:val="0"/>
            <w:vAlign w:val="top"/>
          </w:tcPr>
          <w:p w14:paraId="2391E245">
            <w:pPr>
              <w:autoSpaceDE w:val="0"/>
              <w:autoSpaceDN w:val="0"/>
              <w:adjustRightInd w:val="0"/>
              <w:spacing w:line="360" w:lineRule="auto"/>
              <w:rPr>
                <w:rFonts w:hint="eastAsia" w:ascii="宋体" w:hAnsi="宋体" w:cs="宋体"/>
                <w:szCs w:val="21"/>
              </w:rPr>
            </w:pPr>
            <w:r>
              <w:rPr>
                <w:rFonts w:hint="eastAsia" w:ascii="宋体" w:hAnsi="宋体" w:cs="宋体"/>
                <w:szCs w:val="21"/>
              </w:rPr>
              <w:t>招标人：辽源市公路管理处</w:t>
            </w:r>
          </w:p>
        </w:tc>
        <w:tc>
          <w:tcPr>
            <w:tcW w:w="5103" w:type="dxa"/>
            <w:tcBorders>
              <w:top w:val="single" w:color="FFFFFF" w:sz="4" w:space="0"/>
              <w:left w:val="single" w:color="FFFFFF" w:sz="4" w:space="0"/>
              <w:bottom w:val="single" w:color="FFFFFF" w:sz="4" w:space="0"/>
              <w:right w:val="single" w:color="FFFFFF" w:sz="4" w:space="0"/>
            </w:tcBorders>
            <w:noWrap w:val="0"/>
            <w:vAlign w:val="top"/>
          </w:tcPr>
          <w:p w14:paraId="44C9F99E">
            <w:pPr>
              <w:autoSpaceDE w:val="0"/>
              <w:autoSpaceDN w:val="0"/>
              <w:adjustRightInd w:val="0"/>
              <w:spacing w:line="360" w:lineRule="auto"/>
              <w:rPr>
                <w:rFonts w:hint="eastAsia" w:ascii="宋体" w:hAnsi="宋体" w:cs="宋体"/>
                <w:szCs w:val="21"/>
              </w:rPr>
            </w:pPr>
          </w:p>
        </w:tc>
      </w:tr>
      <w:tr w14:paraId="5E0FDD98">
        <w:tblPrEx>
          <w:tblBorders>
            <w:top w:val="single" w:color="FFFFFF" w:sz="4" w:space="0"/>
            <w:left w:val="single" w:color="FFFFFF" w:sz="4" w:space="0"/>
            <w:bottom w:val="none" w:color="auto" w:sz="0" w:space="0"/>
            <w:right w:val="single" w:color="FFFFFF" w:sz="4" w:space="0"/>
            <w:insideH w:val="single" w:color="FFFFFF" w:sz="4" w:space="0"/>
            <w:insideV w:val="single" w:color="FFFFFF" w:sz="4" w:space="0"/>
          </w:tblBorders>
        </w:tblPrEx>
        <w:tc>
          <w:tcPr>
            <w:tcW w:w="4361" w:type="dxa"/>
            <w:tcBorders>
              <w:top w:val="single" w:color="FFFFFF" w:sz="4" w:space="0"/>
              <w:left w:val="single" w:color="FFFFFF" w:sz="4" w:space="0"/>
              <w:bottom w:val="single" w:color="FFFFFF" w:sz="4" w:space="0"/>
              <w:right w:val="single" w:color="FFFFFF" w:sz="4" w:space="0"/>
            </w:tcBorders>
            <w:noWrap w:val="0"/>
            <w:vAlign w:val="top"/>
          </w:tcPr>
          <w:p w14:paraId="5943EB5E">
            <w:pPr>
              <w:autoSpaceDE w:val="0"/>
              <w:autoSpaceDN w:val="0"/>
              <w:adjustRightInd w:val="0"/>
              <w:spacing w:line="360" w:lineRule="auto"/>
              <w:rPr>
                <w:rFonts w:hint="eastAsia" w:ascii="宋体" w:hAnsi="宋体" w:cs="宋体"/>
                <w:szCs w:val="21"/>
              </w:rPr>
            </w:pPr>
            <w:r>
              <w:rPr>
                <w:rFonts w:hint="eastAsia" w:ascii="宋体" w:hAnsi="宋体" w:cs="宋体"/>
                <w:szCs w:val="21"/>
              </w:rPr>
              <w:t>地  址：辽源市人民大街2683号</w:t>
            </w:r>
          </w:p>
          <w:p w14:paraId="6483DCE4">
            <w:pPr>
              <w:autoSpaceDE w:val="0"/>
              <w:autoSpaceDN w:val="0"/>
              <w:adjustRightInd w:val="0"/>
              <w:spacing w:line="360" w:lineRule="auto"/>
              <w:rPr>
                <w:rFonts w:ascii="宋体" w:hAnsi="宋体" w:cs="宋体"/>
                <w:szCs w:val="21"/>
              </w:rPr>
            </w:pPr>
            <w:r>
              <w:rPr>
                <w:rFonts w:hint="eastAsia" w:ascii="宋体" w:hAnsi="宋体" w:cs="宋体"/>
                <w:szCs w:val="21"/>
              </w:rPr>
              <w:t>邮政编码：136200</w:t>
            </w:r>
          </w:p>
        </w:tc>
        <w:tc>
          <w:tcPr>
            <w:tcW w:w="5103" w:type="dxa"/>
            <w:tcBorders>
              <w:top w:val="single" w:color="FFFFFF" w:sz="4" w:space="0"/>
              <w:left w:val="single" w:color="FFFFFF" w:sz="4" w:space="0"/>
              <w:bottom w:val="single" w:color="FFFFFF" w:sz="4" w:space="0"/>
              <w:right w:val="single" w:color="FFFFFF" w:sz="4" w:space="0"/>
            </w:tcBorders>
            <w:noWrap w:val="0"/>
            <w:vAlign w:val="top"/>
          </w:tcPr>
          <w:p w14:paraId="593265A6">
            <w:pPr>
              <w:autoSpaceDE w:val="0"/>
              <w:autoSpaceDN w:val="0"/>
              <w:adjustRightInd w:val="0"/>
              <w:spacing w:line="360" w:lineRule="auto"/>
              <w:rPr>
                <w:rFonts w:hint="eastAsia" w:ascii="宋体" w:hAnsi="宋体" w:cs="宋体"/>
                <w:szCs w:val="21"/>
              </w:rPr>
            </w:pPr>
          </w:p>
        </w:tc>
      </w:tr>
      <w:tr w14:paraId="14DF26AC">
        <w:tblPrEx>
          <w:tblBorders>
            <w:top w:val="single" w:color="FFFFFF" w:sz="4" w:space="0"/>
            <w:left w:val="single" w:color="FFFFFF" w:sz="4" w:space="0"/>
            <w:bottom w:val="none" w:color="auto" w:sz="0" w:space="0"/>
            <w:right w:val="single" w:color="FFFFFF" w:sz="4" w:space="0"/>
            <w:insideH w:val="single" w:color="FFFFFF" w:sz="4" w:space="0"/>
            <w:insideV w:val="single" w:color="FFFFFF" w:sz="4" w:space="0"/>
          </w:tblBorders>
        </w:tblPrEx>
        <w:tc>
          <w:tcPr>
            <w:tcW w:w="4361" w:type="dxa"/>
            <w:tcBorders>
              <w:top w:val="single" w:color="FFFFFF" w:sz="4" w:space="0"/>
              <w:left w:val="single" w:color="FFFFFF" w:sz="4" w:space="0"/>
              <w:bottom w:val="single" w:color="FFFFFF" w:sz="4" w:space="0"/>
              <w:right w:val="single" w:color="FFFFFF" w:sz="4" w:space="0"/>
            </w:tcBorders>
            <w:noWrap w:val="0"/>
            <w:vAlign w:val="top"/>
          </w:tcPr>
          <w:p w14:paraId="74CEF65B">
            <w:pPr>
              <w:autoSpaceDE w:val="0"/>
              <w:autoSpaceDN w:val="0"/>
              <w:adjustRightInd w:val="0"/>
              <w:spacing w:line="360" w:lineRule="auto"/>
              <w:rPr>
                <w:rFonts w:hint="eastAsia" w:ascii="宋体" w:hAnsi="宋体" w:cs="宋体"/>
                <w:szCs w:val="21"/>
              </w:rPr>
            </w:pPr>
            <w:r>
              <w:rPr>
                <w:rFonts w:hint="eastAsia" w:ascii="宋体" w:hAnsi="宋体" w:cs="宋体"/>
                <w:szCs w:val="21"/>
              </w:rPr>
              <w:t>联系人：</w:t>
            </w:r>
            <w:r>
              <w:rPr>
                <w:rFonts w:hint="eastAsia" w:ascii="宋体" w:hAnsi="宋体"/>
                <w:szCs w:val="21"/>
              </w:rPr>
              <w:t>高枭涵</w:t>
            </w:r>
          </w:p>
        </w:tc>
        <w:tc>
          <w:tcPr>
            <w:tcW w:w="5103" w:type="dxa"/>
            <w:tcBorders>
              <w:top w:val="single" w:color="FFFFFF" w:sz="4" w:space="0"/>
              <w:left w:val="single" w:color="FFFFFF" w:sz="4" w:space="0"/>
              <w:bottom w:val="single" w:color="FFFFFF" w:sz="4" w:space="0"/>
              <w:right w:val="single" w:color="FFFFFF" w:sz="4" w:space="0"/>
            </w:tcBorders>
            <w:noWrap w:val="0"/>
            <w:vAlign w:val="top"/>
          </w:tcPr>
          <w:p w14:paraId="6F256E81">
            <w:pPr>
              <w:autoSpaceDE w:val="0"/>
              <w:autoSpaceDN w:val="0"/>
              <w:adjustRightInd w:val="0"/>
              <w:spacing w:line="360" w:lineRule="auto"/>
              <w:rPr>
                <w:rFonts w:hint="eastAsia" w:ascii="宋体" w:hAnsi="宋体" w:eastAsia="宋体" w:cs="宋体"/>
                <w:szCs w:val="21"/>
                <w:lang w:eastAsia="zh-CN"/>
              </w:rPr>
            </w:pPr>
          </w:p>
        </w:tc>
      </w:tr>
      <w:tr w14:paraId="6D1B48C8">
        <w:tblPrEx>
          <w:tblBorders>
            <w:top w:val="single" w:color="FFFFFF" w:sz="4" w:space="0"/>
            <w:left w:val="single" w:color="FFFFFF" w:sz="4" w:space="0"/>
            <w:bottom w:val="none" w:color="auto" w:sz="0"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4361" w:type="dxa"/>
            <w:tcBorders>
              <w:top w:val="single" w:color="FFFFFF" w:sz="4" w:space="0"/>
              <w:left w:val="single" w:color="FFFFFF" w:sz="4" w:space="0"/>
              <w:bottom w:val="single" w:color="FFFFFF" w:sz="4" w:space="0"/>
              <w:right w:val="single" w:color="FFFFFF" w:sz="4" w:space="0"/>
            </w:tcBorders>
            <w:noWrap w:val="0"/>
            <w:vAlign w:val="top"/>
          </w:tcPr>
          <w:p w14:paraId="67B3FDF6">
            <w:pPr>
              <w:autoSpaceDE w:val="0"/>
              <w:autoSpaceDN w:val="0"/>
              <w:adjustRightInd w:val="0"/>
              <w:spacing w:line="360" w:lineRule="auto"/>
              <w:rPr>
                <w:rFonts w:hint="eastAsia" w:ascii="宋体" w:hAnsi="宋体" w:cs="宋体"/>
                <w:szCs w:val="21"/>
              </w:rPr>
            </w:pPr>
            <w:r>
              <w:rPr>
                <w:rFonts w:hint="eastAsia" w:ascii="宋体" w:hAnsi="宋体" w:cs="宋体"/>
                <w:szCs w:val="21"/>
              </w:rPr>
              <w:t>电  话：</w:t>
            </w:r>
            <w:r>
              <w:rPr>
                <w:rFonts w:ascii="宋体" w:hAnsi="宋体"/>
                <w:szCs w:val="21"/>
              </w:rPr>
              <w:t>043</w:t>
            </w:r>
            <w:r>
              <w:rPr>
                <w:rFonts w:hint="eastAsia" w:ascii="宋体" w:hAnsi="宋体"/>
                <w:szCs w:val="21"/>
              </w:rPr>
              <w:t>7</w:t>
            </w:r>
            <w:r>
              <w:rPr>
                <w:rFonts w:ascii="宋体" w:hAnsi="宋体"/>
                <w:szCs w:val="21"/>
              </w:rPr>
              <w:t>-</w:t>
            </w:r>
            <w:r>
              <w:rPr>
                <w:rFonts w:hint="eastAsia" w:ascii="宋体" w:hAnsi="宋体"/>
                <w:szCs w:val="21"/>
              </w:rPr>
              <w:t>5086037</w:t>
            </w:r>
          </w:p>
        </w:tc>
        <w:tc>
          <w:tcPr>
            <w:tcW w:w="5103" w:type="dxa"/>
            <w:tcBorders>
              <w:top w:val="single" w:color="FFFFFF" w:sz="4" w:space="0"/>
              <w:left w:val="single" w:color="FFFFFF" w:sz="4" w:space="0"/>
              <w:bottom w:val="single" w:color="FFFFFF" w:sz="4" w:space="0"/>
              <w:right w:val="single" w:color="FFFFFF" w:sz="4" w:space="0"/>
            </w:tcBorders>
            <w:noWrap w:val="0"/>
            <w:vAlign w:val="top"/>
          </w:tcPr>
          <w:p w14:paraId="39766200">
            <w:pPr>
              <w:pStyle w:val="5"/>
              <w:rPr>
                <w:rFonts w:hint="default" w:eastAsia="宋体"/>
                <w:lang w:val="en-US" w:eastAsia="zh-CN"/>
              </w:rPr>
            </w:pPr>
          </w:p>
        </w:tc>
      </w:tr>
    </w:tbl>
    <w:p w14:paraId="1D5091C3">
      <w:pPr>
        <w:spacing w:line="360" w:lineRule="auto"/>
        <w:ind w:right="420" w:firstLine="435"/>
        <w:jc w:val="right"/>
        <w:rPr>
          <w:rFonts w:ascii="宋体" w:hAnsi="宋体"/>
          <w:szCs w:val="21"/>
        </w:rPr>
      </w:pPr>
    </w:p>
    <w:p w14:paraId="58D63F57">
      <w:pPr>
        <w:spacing w:line="360" w:lineRule="auto"/>
        <w:ind w:right="420" w:firstLine="435"/>
        <w:jc w:val="right"/>
        <w:rPr>
          <w:rFonts w:ascii="宋体" w:hAnsi="宋体"/>
        </w:rPr>
      </w:pPr>
      <w:r>
        <w:rPr>
          <w:rFonts w:hint="eastAsia" w:ascii="宋体" w:hAnsi="宋体"/>
          <w:szCs w:val="21"/>
          <w:highlight w:val="none"/>
        </w:rPr>
        <w:t>202</w:t>
      </w:r>
      <w:r>
        <w:rPr>
          <w:rFonts w:hint="eastAsia" w:ascii="宋体" w:hAnsi="宋体"/>
          <w:szCs w:val="21"/>
          <w:highlight w:val="none"/>
          <w:lang w:val="en-US" w:eastAsia="zh-CN"/>
        </w:rPr>
        <w:t>6</w:t>
      </w:r>
      <w:r>
        <w:rPr>
          <w:rFonts w:hint="eastAsia" w:ascii="宋体" w:hAnsi="宋体"/>
          <w:szCs w:val="21"/>
          <w:highlight w:val="none"/>
        </w:rPr>
        <w:t>年</w:t>
      </w:r>
      <w:r>
        <w:rPr>
          <w:rFonts w:hint="eastAsia" w:ascii="宋体" w:hAnsi="宋体"/>
          <w:szCs w:val="21"/>
          <w:highlight w:val="none"/>
          <w:lang w:val="en-US" w:eastAsia="zh-CN"/>
        </w:rPr>
        <w:t>3</w:t>
      </w:r>
      <w:r>
        <w:rPr>
          <w:rFonts w:hint="eastAsia" w:ascii="宋体" w:hAnsi="宋体"/>
          <w:szCs w:val="21"/>
          <w:highlight w:val="none"/>
        </w:rPr>
        <w:t>月</w:t>
      </w:r>
      <w:bookmarkStart w:id="78" w:name="_GoBack"/>
      <w:r>
        <w:rPr>
          <w:rFonts w:hint="eastAsia" w:ascii="宋体" w:hAnsi="宋体"/>
          <w:szCs w:val="21"/>
          <w:highlight w:val="none"/>
          <w:lang w:val="en-US" w:eastAsia="zh-CN"/>
        </w:rPr>
        <w:t>2</w:t>
      </w:r>
      <w:bookmarkEnd w:id="78"/>
      <w:r>
        <w:rPr>
          <w:rFonts w:hint="eastAsia" w:ascii="宋体" w:hAnsi="宋体"/>
          <w:szCs w:val="21"/>
          <w:highlight w:val="none"/>
          <w:lang w:val="en-US" w:eastAsia="zh-CN"/>
        </w:rPr>
        <w:t>7</w:t>
      </w:r>
      <w:r>
        <w:rPr>
          <w:rFonts w:hint="eastAsia" w:ascii="宋体" w:hAnsi="宋体"/>
          <w:szCs w:val="21"/>
          <w:highlight w:val="none"/>
        </w:rPr>
        <w:t>日</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1BA1F74F">
      <w:pPr>
        <w:pStyle w:val="9"/>
        <w:rPr>
          <w:rFonts w:ascii="楷体" w:hAnsi="楷体" w:eastAsia="楷体"/>
        </w:rPr>
      </w:pPr>
      <w:r>
        <w:rPr>
          <w:rStyle w:val="14"/>
          <w:rFonts w:ascii="楷体" w:hAnsi="楷体" w:eastAsia="楷体"/>
        </w:rPr>
        <w:footnoteRef/>
      </w:r>
      <w:r>
        <w:rPr>
          <w:rFonts w:ascii="楷体" w:hAnsi="楷体" w:eastAsia="楷体"/>
        </w:rPr>
        <w:t xml:space="preserve"> </w:t>
      </w:r>
      <w:r>
        <w:rPr>
          <w:rFonts w:hint="eastAsia" w:ascii="楷体" w:hAnsi="楷体" w:eastAsia="楷体"/>
        </w:rPr>
        <w:t>如本项目招标由投标人按照招标人提供的书面工程量清单填写本合同各工程子目的单价、合价和总额价，则评标委员会按照本章第3.4.2项和第3.4.3项的规定对投标人的投标报价进行修正。如本项目招标由投标人按照招标人提供的工程量固化清单电子文件填写工程量清单，无须按照本章第3.4.2项和第3.4.3项的规定对投标报价进行修正，第3.4.2项至第3.4.4项内容不适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52E2CB"/>
    <w:multiLevelType w:val="singleLevel"/>
    <w:tmpl w:val="9F52E2C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Q3ODgyNzM2NGM4NmQ1NzM3MGU2MTA0YmIwNDk4YTgifQ=="/>
  </w:docVars>
  <w:rsids>
    <w:rsidRoot w:val="009A2983"/>
    <w:rsid w:val="000D23E3"/>
    <w:rsid w:val="000F4E18"/>
    <w:rsid w:val="004B7924"/>
    <w:rsid w:val="004D5518"/>
    <w:rsid w:val="00726DA4"/>
    <w:rsid w:val="007E187F"/>
    <w:rsid w:val="009045BD"/>
    <w:rsid w:val="009A2983"/>
    <w:rsid w:val="00A403E2"/>
    <w:rsid w:val="00DA00B9"/>
    <w:rsid w:val="162651A6"/>
    <w:rsid w:val="1E5866DD"/>
    <w:rsid w:val="21654A68"/>
    <w:rsid w:val="21967041"/>
    <w:rsid w:val="22E67D38"/>
    <w:rsid w:val="31771119"/>
    <w:rsid w:val="31CB6F14"/>
    <w:rsid w:val="32CB7957"/>
    <w:rsid w:val="33FB7DDF"/>
    <w:rsid w:val="365E2B15"/>
    <w:rsid w:val="38A26A7B"/>
    <w:rsid w:val="47732390"/>
    <w:rsid w:val="510F4A72"/>
    <w:rsid w:val="581D5CC6"/>
    <w:rsid w:val="582773B2"/>
    <w:rsid w:val="5B793214"/>
    <w:rsid w:val="5F3A53B0"/>
    <w:rsid w:val="61AB5BD3"/>
    <w:rsid w:val="61DE2022"/>
    <w:rsid w:val="623B02E3"/>
    <w:rsid w:val="6618239B"/>
    <w:rsid w:val="678731FA"/>
    <w:rsid w:val="729E724D"/>
    <w:rsid w:val="74F55BA9"/>
    <w:rsid w:val="7A1268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b/>
      <w:bCs/>
      <w:kern w:val="0"/>
      <w:sz w:val="32"/>
      <w:szCs w:val="32"/>
    </w:rPr>
  </w:style>
  <w:style w:type="paragraph" w:styleId="3">
    <w:name w:val="heading 3"/>
    <w:basedOn w:val="1"/>
    <w:next w:val="1"/>
    <w:autoRedefine/>
    <w:qFormat/>
    <w:uiPriority w:val="9"/>
    <w:pPr>
      <w:keepNext/>
      <w:keepLines/>
      <w:spacing w:before="260" w:after="260" w:line="416" w:lineRule="auto"/>
      <w:outlineLvl w:val="2"/>
    </w:pPr>
    <w:rPr>
      <w:b/>
      <w:bCs/>
      <w:kern w:val="0"/>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index 5"/>
    <w:basedOn w:val="1"/>
    <w:next w:val="1"/>
    <w:autoRedefine/>
    <w:qFormat/>
    <w:uiPriority w:val="0"/>
    <w:pPr>
      <w:adjustRightInd w:val="0"/>
      <w:snapToGrid w:val="0"/>
      <w:spacing w:line="360" w:lineRule="auto"/>
      <w:jc w:val="center"/>
    </w:pPr>
    <w:rPr>
      <w:rFonts w:ascii="宋体" w:hAnsi="宋体" w:cs="宋体"/>
      <w:bCs/>
      <w:kern w:val="0"/>
      <w:szCs w:val="21"/>
    </w:rPr>
  </w:style>
  <w:style w:type="paragraph" w:styleId="5">
    <w:name w:val="Plain Text"/>
    <w:basedOn w:val="1"/>
    <w:qFormat/>
    <w:uiPriority w:val="0"/>
    <w:rPr>
      <w:rFonts w:ascii="宋体" w:hAnsi="Courier New" w:cs="Courier New"/>
      <w:szCs w:val="21"/>
    </w:rPr>
  </w:style>
  <w:style w:type="paragraph" w:styleId="6">
    <w:name w:val="Date"/>
    <w:basedOn w:val="1"/>
    <w:next w:val="1"/>
    <w:qFormat/>
    <w:uiPriority w:val="0"/>
    <w:pPr>
      <w:ind w:left="100" w:leftChars="2500"/>
    </w:pPr>
    <w:rPr>
      <w:szCs w:val="24"/>
    </w:rPr>
  </w:style>
  <w:style w:type="paragraph" w:styleId="7">
    <w:name w:val="footer"/>
    <w:basedOn w:val="1"/>
    <w:link w:val="19"/>
    <w:qFormat/>
    <w:uiPriority w:val="0"/>
    <w:pPr>
      <w:tabs>
        <w:tab w:val="center" w:pos="4153"/>
        <w:tab w:val="right" w:pos="8306"/>
      </w:tabs>
      <w:snapToGrid w:val="0"/>
      <w:jc w:val="left"/>
    </w:pPr>
    <w:rPr>
      <w:sz w:val="18"/>
      <w:szCs w:val="18"/>
    </w:rPr>
  </w:style>
  <w:style w:type="paragraph" w:styleId="8">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9">
    <w:name w:val="footnote text"/>
    <w:basedOn w:val="1"/>
    <w:unhideWhenUsed/>
    <w:qFormat/>
    <w:uiPriority w:val="0"/>
    <w:pPr>
      <w:snapToGrid w:val="0"/>
      <w:jc w:val="left"/>
    </w:pPr>
    <w:rPr>
      <w:kern w:val="0"/>
      <w:sz w:val="18"/>
      <w:szCs w:val="18"/>
    </w:rPr>
  </w:style>
  <w:style w:type="paragraph" w:styleId="10">
    <w:name w:val="Body Text Indent 3"/>
    <w:basedOn w:val="1"/>
    <w:qFormat/>
    <w:uiPriority w:val="99"/>
    <w:pPr>
      <w:spacing w:line="420" w:lineRule="exact"/>
      <w:ind w:firstLine="420" w:firstLineChars="200"/>
    </w:pPr>
    <w:rPr>
      <w:szCs w:val="24"/>
    </w:rPr>
  </w:style>
  <w:style w:type="table" w:styleId="12">
    <w:name w:val="Table Grid"/>
    <w:basedOn w:val="1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footnote reference"/>
    <w:basedOn w:val="13"/>
    <w:qFormat/>
    <w:uiPriority w:val="0"/>
    <w:rPr>
      <w:vertAlign w:val="superscript"/>
    </w:rPr>
  </w:style>
  <w:style w:type="paragraph" w:customStyle="1" w:styleId="15">
    <w:name w:val="样式3"/>
    <w:basedOn w:val="1"/>
    <w:autoRedefine/>
    <w:qFormat/>
    <w:uiPriority w:val="0"/>
    <w:pPr>
      <w:keepNext/>
      <w:keepLines/>
      <w:spacing w:line="400" w:lineRule="exact"/>
      <w:outlineLvl w:val="0"/>
    </w:pPr>
    <w:rPr>
      <w:b/>
      <w:bCs/>
      <w:kern w:val="44"/>
      <w:sz w:val="28"/>
      <w:szCs w:val="44"/>
    </w:rPr>
  </w:style>
  <w:style w:type="paragraph" w:customStyle="1" w:styleId="16">
    <w:name w:val="Default"/>
    <w:next w:val="6"/>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7">
    <w:name w:val="正文文本 (14)"/>
    <w:basedOn w:val="1"/>
    <w:autoRedefine/>
    <w:qFormat/>
    <w:uiPriority w:val="0"/>
    <w:pPr>
      <w:shd w:val="clear" w:color="auto" w:fill="FFFFFF"/>
      <w:spacing w:before="300" w:line="300" w:lineRule="exact"/>
      <w:jc w:val="distribute"/>
    </w:pPr>
    <w:rPr>
      <w:rFonts w:ascii="宋体" w:hAnsi="宋体"/>
      <w:kern w:val="0"/>
      <w:sz w:val="18"/>
      <w:szCs w:val="18"/>
    </w:rPr>
  </w:style>
  <w:style w:type="character" w:customStyle="1" w:styleId="18">
    <w:name w:val="页眉 Char"/>
    <w:basedOn w:val="13"/>
    <w:link w:val="8"/>
    <w:qFormat/>
    <w:uiPriority w:val="0"/>
    <w:rPr>
      <w:rFonts w:ascii="Times New Roman" w:hAnsi="Times New Roman" w:eastAsia="宋体" w:cs="Times New Roman"/>
      <w:kern w:val="2"/>
      <w:sz w:val="18"/>
      <w:szCs w:val="18"/>
    </w:rPr>
  </w:style>
  <w:style w:type="character" w:customStyle="1" w:styleId="19">
    <w:name w:val="页脚 Char"/>
    <w:basedOn w:val="13"/>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4620</Words>
  <Characters>4972</Characters>
  <Lines>35</Lines>
  <Paragraphs>10</Paragraphs>
  <TotalTime>2</TotalTime>
  <ScaleCrop>false</ScaleCrop>
  <LinksUpToDate>false</LinksUpToDate>
  <CharactersWithSpaces>4990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2023-04-17T02:02:00Z</dcterms:created>
  <dc:creator>Administrator</dc:creator>
  <cp:lastModifiedBy>Åwjx.</cp:lastModifiedBy>
  <cp:lastPrinted>2026-03-26T03:15:00Z</cp:lastPrinted>
  <dcterms:modified xsi:type="dcterms:W3CDTF">2026-03-26T05:06:09Z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1B3AA97093C046E08A2AF35C2967AE13_12</vt:lpwstr>
  </property>
  <property fmtid="{D5CDD505-2E9C-101B-9397-08002B2CF9AE}" pid="4" name="KSOTemplateDocerSaveRecord">
    <vt:lpwstr>eyJoZGlkIjoiY2ZjYjY4OTQzZjk4NjExMmQ1YjcyYmUwNTQzNzNmM2YiLCJ1c2VySWQiOiI0NTM2MDgxNjEifQ==</vt:lpwstr>
  </property>
</Properties>
</file>