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F9D6F">
      <w:pPr>
        <w:jc w:val="center"/>
        <w:rPr>
          <w:rFonts w:hint="eastAsia" w:ascii="黑体" w:hAnsi="Times New Roman" w:eastAsia="黑体" w:cs="Times New Roman"/>
          <w:b/>
          <w:bCs/>
          <w:color w:val="auto"/>
          <w:kern w:val="0"/>
          <w:sz w:val="30"/>
          <w:szCs w:val="30"/>
          <w:highlight w:val="none"/>
          <w:lang w:val="zh-CN" w:eastAsia="zh-CN" w:bidi="ar-SA"/>
        </w:rPr>
      </w:pPr>
      <w:r>
        <w:rPr>
          <w:rFonts w:hint="eastAsia" w:ascii="黑体" w:hAnsi="Times New Roman" w:eastAsia="黑体" w:cs="Times New Roman"/>
          <w:b/>
          <w:bCs/>
          <w:color w:val="auto"/>
          <w:kern w:val="0"/>
          <w:sz w:val="30"/>
          <w:szCs w:val="30"/>
          <w:highlight w:val="none"/>
          <w:lang w:val="zh-CN" w:eastAsia="zh-CN" w:bidi="ar-SA"/>
        </w:rPr>
        <w:t>国道扎公线（G608）偏脸子至乾安段改建工程施工</w:t>
      </w:r>
    </w:p>
    <w:p w14:paraId="060893A5">
      <w:pPr>
        <w:jc w:val="center"/>
        <w:rPr>
          <w:rFonts w:hint="eastAsia" w:ascii="黑体" w:hAnsi="Times New Roman" w:eastAsia="黑体" w:cs="Times New Roman"/>
          <w:b/>
          <w:bCs/>
          <w:color w:val="auto"/>
          <w:kern w:val="0"/>
          <w:sz w:val="30"/>
          <w:szCs w:val="30"/>
          <w:highlight w:val="none"/>
          <w:lang w:val="en-US" w:eastAsia="zh-CN" w:bidi="ar-SA"/>
        </w:rPr>
      </w:pPr>
      <w:r>
        <w:rPr>
          <w:rFonts w:hint="eastAsia" w:ascii="黑体" w:hAnsi="Times New Roman" w:eastAsia="黑体" w:cs="Times New Roman"/>
          <w:b/>
          <w:bCs/>
          <w:color w:val="auto"/>
          <w:kern w:val="0"/>
          <w:sz w:val="30"/>
          <w:szCs w:val="30"/>
          <w:highlight w:val="none"/>
          <w:lang w:val="zh-CN" w:eastAsia="zh-CN" w:bidi="ar-SA"/>
        </w:rPr>
        <w:t>招标</w:t>
      </w:r>
      <w:r>
        <w:rPr>
          <w:rFonts w:hint="eastAsia" w:ascii="黑体" w:hAnsi="Times New Roman" w:eastAsia="黑体" w:cs="Times New Roman"/>
          <w:b/>
          <w:bCs/>
          <w:color w:val="auto"/>
          <w:kern w:val="0"/>
          <w:sz w:val="30"/>
          <w:szCs w:val="30"/>
          <w:highlight w:val="none"/>
          <w:lang w:val="en-US" w:eastAsia="zh-CN" w:bidi="ar-SA"/>
        </w:rPr>
        <w:t>文件关键内容</w:t>
      </w:r>
    </w:p>
    <w:p w14:paraId="1A0AF211">
      <w:pPr>
        <w:keepNext w:val="0"/>
        <w:keepLines w:val="0"/>
        <w:pageBreakBefore w:val="0"/>
        <w:kinsoku/>
        <w:wordWrap/>
        <w:overflowPunct/>
        <w:topLinePunct w:val="0"/>
        <w:bidi w:val="0"/>
        <w:snapToGrid/>
        <w:spacing w:line="340" w:lineRule="exact"/>
        <w:textAlignment w:val="auto"/>
        <w:rPr>
          <w:rFonts w:ascii="黑体" w:hAnsi="黑体" w:eastAsia="黑体" w:cs="Times New Roman"/>
          <w:color w:val="auto"/>
          <w:sz w:val="28"/>
          <w:szCs w:val="28"/>
          <w:highlight w:val="none"/>
        </w:rPr>
      </w:pPr>
      <w:bookmarkStart w:id="0" w:name="_Toc515284070"/>
      <w:bookmarkStart w:id="1" w:name="_Toc35268487"/>
      <w:bookmarkStart w:id="2" w:name="_Toc262548124"/>
      <w:bookmarkStart w:id="3" w:name="_Toc248829791"/>
      <w:bookmarkStart w:id="4" w:name="_Toc35267772"/>
      <w:bookmarkStart w:id="5" w:name="_Toc35267642"/>
      <w:r>
        <w:rPr>
          <w:rFonts w:ascii="黑体" w:hAnsi="黑体" w:eastAsia="黑体" w:cs="Times New Roman"/>
          <w:color w:val="auto"/>
          <w:sz w:val="28"/>
          <w:szCs w:val="28"/>
          <w:highlight w:val="none"/>
        </w:rPr>
        <w:t>1.</w:t>
      </w:r>
      <w:r>
        <w:rPr>
          <w:rFonts w:hint="eastAsia" w:ascii="黑体" w:hAnsi="黑体" w:eastAsia="黑体" w:cs="Times New Roman"/>
          <w:color w:val="auto"/>
          <w:sz w:val="28"/>
          <w:szCs w:val="28"/>
          <w:highlight w:val="none"/>
        </w:rPr>
        <w:t>招标条件</w:t>
      </w:r>
      <w:bookmarkEnd w:id="0"/>
      <w:bookmarkEnd w:id="1"/>
      <w:bookmarkEnd w:id="2"/>
      <w:bookmarkEnd w:id="3"/>
      <w:bookmarkEnd w:id="4"/>
      <w:bookmarkEnd w:id="5"/>
    </w:p>
    <w:p w14:paraId="272794B7">
      <w:pPr>
        <w:keepNext w:val="0"/>
        <w:keepLines w:val="0"/>
        <w:pageBreakBefore w:val="0"/>
        <w:kinsoku/>
        <w:wordWrap/>
        <w:overflowPunct/>
        <w:topLinePunct w:val="0"/>
        <w:autoSpaceDE w:val="0"/>
        <w:autoSpaceDN w:val="0"/>
        <w:bidi w:val="0"/>
        <w:adjustRightInd w:val="0"/>
        <w:snapToGrid/>
        <w:spacing w:line="320" w:lineRule="exact"/>
        <w:ind w:firstLine="420" w:firstLineChars="200"/>
        <w:jc w:val="left"/>
        <w:textAlignment w:val="auto"/>
        <w:rPr>
          <w:rFonts w:ascii="宋体" w:hAnsi="宋体"/>
          <w:color w:val="auto"/>
          <w:szCs w:val="21"/>
          <w:highlight w:val="none"/>
        </w:rPr>
      </w:pPr>
      <w:bookmarkStart w:id="6" w:name="_Toc248829792"/>
      <w:r>
        <w:rPr>
          <w:rFonts w:hint="eastAsia" w:ascii="宋体" w:hAnsi="宋体"/>
          <w:szCs w:val="21"/>
        </w:rPr>
        <w:t>本招标项目</w:t>
      </w:r>
      <w:r>
        <w:rPr>
          <w:rFonts w:hint="eastAsia" w:ascii="宋体" w:hAnsi="宋体"/>
          <w:szCs w:val="21"/>
          <w:lang w:val="zh-CN"/>
        </w:rPr>
        <w:t>国道扎公线（G608）偏脸子至乾安段改建工程</w:t>
      </w:r>
      <w:r>
        <w:rPr>
          <w:rFonts w:hint="eastAsia" w:ascii="宋体" w:hAnsi="宋体"/>
          <w:szCs w:val="21"/>
        </w:rPr>
        <w:t>已由吉林省发展和改革委员会以《关于国道扎公线（G608）偏脸子至乾安段改建工程可行性研究报告的批复》（吉发改审批[2025]14号文件）批准建设，施工图设计已由吉林省交通运输厅以《吉林省交通运输厅关于国道扎公线（G608）偏脸子至乾安段改建工程一阶段施工图设计的批复》（吉交审批函[2025]24号文件）批准，项目法人为乾安县国省干线公路建设办公室，建设资金来自国家交通运输领域重点项目资金和乾安县人民政府财政资金，出资比例100%。招标人为乾安县国省干线公路建设办公室。项目已具备招标条件，</w:t>
      </w:r>
      <w:r>
        <w:rPr>
          <w:rFonts w:ascii="宋体" w:hAnsi="宋体"/>
          <w:szCs w:val="21"/>
        </w:rPr>
        <w:t>现对该项目</w:t>
      </w:r>
      <w:r>
        <w:rPr>
          <w:rFonts w:hint="eastAsia" w:ascii="宋体" w:hAnsi="宋体"/>
          <w:szCs w:val="21"/>
        </w:rPr>
        <w:t>的</w:t>
      </w:r>
      <w:r>
        <w:rPr>
          <w:rFonts w:ascii="宋体" w:hAnsi="宋体"/>
          <w:szCs w:val="21"/>
        </w:rPr>
        <w:t>施工进行</w:t>
      </w:r>
      <w:r>
        <w:rPr>
          <w:rFonts w:hint="eastAsia" w:ascii="宋体" w:hAnsi="宋体"/>
          <w:szCs w:val="21"/>
        </w:rPr>
        <w:t>公开</w:t>
      </w:r>
      <w:r>
        <w:rPr>
          <w:rFonts w:ascii="宋体" w:hAnsi="宋体"/>
          <w:szCs w:val="21"/>
        </w:rPr>
        <w:t>招标</w:t>
      </w:r>
      <w:r>
        <w:rPr>
          <w:rFonts w:hint="eastAsia" w:ascii="宋体" w:hAnsi="宋体"/>
          <w:color w:val="auto"/>
          <w:szCs w:val="21"/>
          <w:highlight w:val="none"/>
        </w:rPr>
        <w:t>。</w:t>
      </w:r>
    </w:p>
    <w:p w14:paraId="460ABBC2">
      <w:pPr>
        <w:keepNext w:val="0"/>
        <w:keepLines w:val="0"/>
        <w:pageBreakBefore w:val="0"/>
        <w:kinsoku/>
        <w:wordWrap/>
        <w:overflowPunct/>
        <w:topLinePunct w:val="0"/>
        <w:bidi w:val="0"/>
        <w:snapToGrid/>
        <w:spacing w:line="320" w:lineRule="exact"/>
        <w:textAlignment w:val="auto"/>
        <w:rPr>
          <w:rFonts w:ascii="黑体" w:hAnsi="黑体" w:eastAsia="黑体" w:cs="Times New Roman"/>
          <w:color w:val="auto"/>
          <w:sz w:val="28"/>
          <w:szCs w:val="28"/>
          <w:highlight w:val="none"/>
        </w:rPr>
      </w:pPr>
      <w:bookmarkStart w:id="7" w:name="_Toc35267773"/>
      <w:bookmarkStart w:id="8" w:name="_Toc35268488"/>
      <w:bookmarkStart w:id="9" w:name="_Toc262548125"/>
      <w:bookmarkStart w:id="10" w:name="_Toc35267643"/>
      <w:bookmarkStart w:id="11" w:name="_Toc515284071"/>
      <w:r>
        <w:rPr>
          <w:rFonts w:ascii="黑体" w:hAnsi="黑体" w:eastAsia="黑体" w:cs="Times New Roman"/>
          <w:color w:val="auto"/>
          <w:sz w:val="28"/>
          <w:szCs w:val="28"/>
          <w:highlight w:val="none"/>
        </w:rPr>
        <w:t>2.</w:t>
      </w:r>
      <w:r>
        <w:rPr>
          <w:rFonts w:hint="eastAsia" w:ascii="黑体" w:hAnsi="黑体" w:eastAsia="黑体" w:cs="Times New Roman"/>
          <w:color w:val="auto"/>
          <w:sz w:val="28"/>
          <w:szCs w:val="28"/>
          <w:highlight w:val="none"/>
        </w:rPr>
        <w:t>项目概况与招标范围</w:t>
      </w:r>
      <w:bookmarkEnd w:id="6"/>
      <w:bookmarkEnd w:id="7"/>
      <w:bookmarkEnd w:id="8"/>
      <w:bookmarkEnd w:id="9"/>
      <w:bookmarkEnd w:id="10"/>
      <w:bookmarkEnd w:id="11"/>
    </w:p>
    <w:p w14:paraId="5E2FFFF8">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jc w:val="left"/>
        <w:textAlignment w:val="auto"/>
        <w:rPr>
          <w:rFonts w:ascii="宋体" w:hAnsi="宋体"/>
          <w:szCs w:val="21"/>
        </w:rPr>
      </w:pPr>
      <w:bookmarkStart w:id="12" w:name="_Toc248829793"/>
      <w:bookmarkStart w:id="13" w:name="_Toc262548126"/>
      <w:r>
        <w:rPr>
          <w:rFonts w:hint="eastAsia" w:ascii="宋体" w:hAnsi="宋体"/>
          <w:szCs w:val="21"/>
        </w:rPr>
        <w:t>2.1 建设地点：吉林省乾安县境内。</w:t>
      </w:r>
    </w:p>
    <w:p w14:paraId="727BAD60">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jc w:val="left"/>
        <w:textAlignment w:val="auto"/>
        <w:rPr>
          <w:rFonts w:ascii="宋体" w:hAnsi="宋体"/>
          <w:szCs w:val="21"/>
        </w:rPr>
      </w:pPr>
      <w:r>
        <w:rPr>
          <w:rFonts w:hint="eastAsia" w:ascii="宋体" w:hAnsi="宋体"/>
          <w:szCs w:val="21"/>
        </w:rPr>
        <w:t>2.2 建设规模：路线起于乾安县与大安市交界处，与国道扎公线大安段顺接，起点桩号K0+086.282，沿既有旧路向东南布线，在阳字村附近利用既有公铁立交桥上跨通让铁路，途经丽字村、水字镇、龙字村、西北村，止于乾安县城区市政</w:t>
      </w:r>
      <w:r>
        <w:rPr>
          <w:rFonts w:hint="eastAsia" w:ascii="宋体" w:hAnsi="宋体"/>
          <w:szCs w:val="21"/>
          <w:lang w:val="en-US" w:eastAsia="zh-CN"/>
        </w:rPr>
        <w:t>路交</w:t>
      </w:r>
      <w:r>
        <w:rPr>
          <w:rFonts w:hint="eastAsia" w:ascii="宋体" w:hAnsi="宋体"/>
          <w:szCs w:val="21"/>
        </w:rPr>
        <w:t>界处，终点桩号K19+832.143，全长19.746公里，改建中桥142米/2座，新改建小桥52.44米/2座、涵洞17道（含11道石油管线交叉涵洞），改建利用分离式立体交叉1处，设平面交叉14处、汽车停靠站8处。国道扎公线(G608)偏脸子至乾安段改建工程涉铁部分不在本次招标范围内。</w:t>
      </w:r>
    </w:p>
    <w:p w14:paraId="0DB72561">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jc w:val="left"/>
        <w:textAlignment w:val="auto"/>
        <w:rPr>
          <w:rFonts w:ascii="宋体" w:hAnsi="宋体"/>
          <w:szCs w:val="21"/>
        </w:rPr>
      </w:pPr>
      <w:r>
        <w:rPr>
          <w:rFonts w:hint="eastAsia" w:ascii="宋体" w:hAnsi="宋体"/>
          <w:szCs w:val="21"/>
        </w:rPr>
        <w:t>采用设计速度60公里/小时的二级公路标准，路基宽10米，其中行车道宽2×3.5米，硬路肩宽2×0.75米，土路肩宽2×0.75米。新建桥涵设计汽车荷载等级采用公路-I级。</w:t>
      </w:r>
    </w:p>
    <w:p w14:paraId="4621A420">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jc w:val="left"/>
        <w:textAlignment w:val="auto"/>
        <w:rPr>
          <w:rFonts w:ascii="宋体" w:hAnsi="宋体"/>
          <w:color w:val="auto"/>
          <w:szCs w:val="21"/>
        </w:rPr>
      </w:pPr>
      <w:r>
        <w:rPr>
          <w:rFonts w:hint="eastAsia" w:ascii="宋体" w:hAnsi="宋体"/>
          <w:szCs w:val="21"/>
        </w:rPr>
        <w:t>2.3 计划工</w:t>
      </w:r>
      <w:r>
        <w:rPr>
          <w:rFonts w:hint="eastAsia" w:ascii="宋体" w:hAnsi="宋体"/>
          <w:color w:val="auto"/>
          <w:szCs w:val="21"/>
        </w:rPr>
        <w:t xml:space="preserve">期： </w:t>
      </w:r>
    </w:p>
    <w:p w14:paraId="13A227B6">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jc w:val="left"/>
        <w:textAlignment w:val="auto"/>
        <w:rPr>
          <w:rFonts w:ascii="宋体" w:hAnsi="宋体"/>
          <w:color w:val="auto"/>
          <w:szCs w:val="21"/>
        </w:rPr>
      </w:pPr>
      <w:r>
        <w:rPr>
          <w:rFonts w:hint="eastAsia" w:ascii="宋体" w:hAnsi="宋体"/>
          <w:szCs w:val="21"/>
          <w:lang w:val="en-US" w:eastAsia="zh-CN"/>
        </w:rPr>
        <w:t>路基路面、桥涵工程</w:t>
      </w:r>
      <w:r>
        <w:rPr>
          <w:rFonts w:hint="eastAsia" w:ascii="宋体" w:hAnsi="宋体"/>
          <w:color w:val="auto"/>
          <w:szCs w:val="21"/>
        </w:rPr>
        <w:t>：2026年5月</w:t>
      </w:r>
      <w:r>
        <w:rPr>
          <w:rFonts w:hint="eastAsia" w:ascii="宋体" w:hAnsi="宋体"/>
          <w:color w:val="auto"/>
          <w:szCs w:val="21"/>
          <w:lang w:val="en-US" w:eastAsia="zh-CN"/>
        </w:rPr>
        <w:t>20</w:t>
      </w:r>
      <w:r>
        <w:rPr>
          <w:rFonts w:hint="eastAsia" w:ascii="宋体" w:hAnsi="宋体"/>
          <w:color w:val="auto"/>
          <w:szCs w:val="21"/>
        </w:rPr>
        <w:t>日至2027年8月31日，共计4</w:t>
      </w:r>
      <w:r>
        <w:rPr>
          <w:rFonts w:hint="eastAsia" w:ascii="宋体" w:hAnsi="宋体"/>
          <w:color w:val="auto"/>
          <w:szCs w:val="21"/>
          <w:lang w:val="en-US" w:eastAsia="zh-CN"/>
        </w:rPr>
        <w:t>68</w:t>
      </w:r>
      <w:r>
        <w:rPr>
          <w:rFonts w:hint="eastAsia" w:ascii="宋体" w:hAnsi="宋体"/>
          <w:color w:val="auto"/>
          <w:szCs w:val="21"/>
        </w:rPr>
        <w:t>日历天；</w:t>
      </w:r>
    </w:p>
    <w:p w14:paraId="4EDA1A8D">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jc w:val="left"/>
        <w:textAlignment w:val="auto"/>
        <w:rPr>
          <w:rFonts w:ascii="宋体" w:hAnsi="宋体"/>
          <w:color w:val="auto"/>
          <w:szCs w:val="21"/>
        </w:rPr>
      </w:pPr>
      <w:r>
        <w:rPr>
          <w:rFonts w:hint="eastAsia" w:ascii="宋体" w:hAnsi="宋体"/>
          <w:color w:val="auto"/>
          <w:szCs w:val="21"/>
        </w:rPr>
        <w:t>交通安全设施工程：2027年9月1日</w:t>
      </w:r>
      <w:r>
        <w:rPr>
          <w:rFonts w:hint="eastAsia" w:ascii="宋体" w:hAnsi="宋体"/>
          <w:color w:val="auto"/>
          <w:szCs w:val="21"/>
          <w:lang w:eastAsia="zh-CN"/>
        </w:rPr>
        <w:t>（</w:t>
      </w:r>
      <w:r>
        <w:rPr>
          <w:rFonts w:hint="eastAsia" w:ascii="宋体" w:hAnsi="宋体"/>
          <w:color w:val="auto"/>
          <w:szCs w:val="21"/>
          <w:lang w:val="en-US" w:eastAsia="zh-CN"/>
        </w:rPr>
        <w:t>以监理工程师签发的开工令为准）</w:t>
      </w:r>
      <w:r>
        <w:rPr>
          <w:rFonts w:hint="eastAsia" w:ascii="宋体" w:hAnsi="宋体"/>
          <w:color w:val="auto"/>
          <w:szCs w:val="21"/>
        </w:rPr>
        <w:t>至2027年12月31日，共计121日历天（旧路现有交通安全设施需</w:t>
      </w:r>
      <w:r>
        <w:rPr>
          <w:rFonts w:hint="eastAsia" w:ascii="宋体" w:hAnsi="宋体"/>
          <w:color w:val="auto"/>
          <w:szCs w:val="21"/>
          <w:lang w:val="en-US" w:eastAsia="zh-CN"/>
        </w:rPr>
        <w:t>及时</w:t>
      </w:r>
      <w:r>
        <w:rPr>
          <w:rFonts w:hint="eastAsia" w:ascii="宋体" w:hAnsi="宋体"/>
          <w:color w:val="auto"/>
          <w:szCs w:val="21"/>
        </w:rPr>
        <w:t>拆除</w:t>
      </w:r>
      <w:r>
        <w:rPr>
          <w:rFonts w:hint="eastAsia" w:ascii="宋体" w:hAnsi="宋体"/>
          <w:color w:val="auto"/>
          <w:szCs w:val="21"/>
          <w:lang w:eastAsia="zh-CN"/>
        </w:rPr>
        <w:t>，</w:t>
      </w:r>
      <w:r>
        <w:rPr>
          <w:rFonts w:hint="eastAsia" w:ascii="宋体" w:hAnsi="宋体"/>
          <w:color w:val="auto"/>
          <w:szCs w:val="21"/>
        </w:rPr>
        <w:t>交通安全设施工程中标单位需在签订合同后15日内完成拆除</w:t>
      </w:r>
      <w:r>
        <w:rPr>
          <w:rFonts w:hint="eastAsia" w:ascii="宋体" w:hAnsi="宋体"/>
          <w:color w:val="auto"/>
          <w:szCs w:val="21"/>
          <w:lang w:eastAsia="zh-CN"/>
        </w:rPr>
        <w:t>，</w:t>
      </w:r>
      <w:r>
        <w:rPr>
          <w:rFonts w:hint="eastAsia" w:ascii="宋体" w:hAnsi="宋体"/>
          <w:color w:val="auto"/>
          <w:szCs w:val="21"/>
          <w:lang w:val="en-US" w:eastAsia="zh-CN"/>
        </w:rPr>
        <w:t>需要利旧部分自行</w:t>
      </w:r>
      <w:r>
        <w:rPr>
          <w:rFonts w:hint="eastAsia" w:ascii="宋体" w:hAnsi="宋体"/>
          <w:color w:val="auto"/>
          <w:szCs w:val="21"/>
        </w:rPr>
        <w:t>保管</w:t>
      </w:r>
      <w:r>
        <w:rPr>
          <w:rFonts w:hint="eastAsia" w:ascii="宋体" w:hAnsi="宋体"/>
          <w:color w:val="auto"/>
          <w:szCs w:val="21"/>
          <w:lang w:eastAsia="zh-CN"/>
        </w:rPr>
        <w:t>，</w:t>
      </w:r>
      <w:r>
        <w:rPr>
          <w:rFonts w:hint="eastAsia" w:ascii="宋体" w:hAnsi="宋体"/>
          <w:color w:val="auto"/>
          <w:szCs w:val="21"/>
          <w:lang w:val="en-US" w:eastAsia="zh-CN"/>
        </w:rPr>
        <w:t>不能利用的部分及时移交给发包人</w:t>
      </w:r>
      <w:r>
        <w:rPr>
          <w:rFonts w:hint="eastAsia" w:ascii="宋体" w:hAnsi="宋体"/>
          <w:color w:val="auto"/>
          <w:szCs w:val="21"/>
        </w:rPr>
        <w:t>）；</w:t>
      </w:r>
    </w:p>
    <w:p w14:paraId="20397E39">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jc w:val="left"/>
        <w:textAlignment w:val="auto"/>
        <w:rPr>
          <w:rFonts w:ascii="宋体" w:hAnsi="宋体"/>
          <w:color w:val="auto"/>
          <w:szCs w:val="21"/>
        </w:rPr>
      </w:pPr>
      <w:r>
        <w:rPr>
          <w:rFonts w:hint="eastAsia" w:ascii="宋体" w:hAnsi="宋体"/>
          <w:color w:val="auto"/>
          <w:szCs w:val="21"/>
        </w:rPr>
        <w:t>绿化工程：2027年9月1日</w:t>
      </w:r>
      <w:r>
        <w:rPr>
          <w:rFonts w:hint="eastAsia" w:ascii="宋体" w:hAnsi="宋体"/>
          <w:color w:val="auto"/>
          <w:szCs w:val="21"/>
          <w:lang w:eastAsia="zh-CN"/>
        </w:rPr>
        <w:t>（</w:t>
      </w:r>
      <w:r>
        <w:rPr>
          <w:rFonts w:hint="eastAsia" w:ascii="宋体" w:hAnsi="宋体"/>
          <w:color w:val="auto"/>
          <w:szCs w:val="21"/>
          <w:lang w:val="en-US" w:eastAsia="zh-CN"/>
        </w:rPr>
        <w:t>以监理工程师签发的开工令为准）</w:t>
      </w:r>
      <w:r>
        <w:rPr>
          <w:rFonts w:hint="eastAsia" w:ascii="宋体" w:hAnsi="宋体"/>
          <w:color w:val="auto"/>
          <w:szCs w:val="21"/>
        </w:rPr>
        <w:t>至2027年12月31日，共计121日历天。</w:t>
      </w:r>
    </w:p>
    <w:p w14:paraId="58AC12DE">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jc w:val="left"/>
        <w:textAlignment w:val="auto"/>
        <w:rPr>
          <w:rFonts w:ascii="宋体" w:hAnsi="宋体"/>
          <w:szCs w:val="21"/>
        </w:rPr>
      </w:pPr>
      <w:r>
        <w:rPr>
          <w:rFonts w:hint="eastAsia" w:ascii="宋体" w:hAnsi="宋体"/>
          <w:szCs w:val="21"/>
        </w:rPr>
        <w:t>2.4</w:t>
      </w:r>
      <w:r>
        <w:rPr>
          <w:rFonts w:ascii="宋体" w:hAnsi="宋体"/>
          <w:szCs w:val="21"/>
        </w:rPr>
        <w:t xml:space="preserve"> </w:t>
      </w:r>
      <w:r>
        <w:rPr>
          <w:rFonts w:hint="eastAsia" w:ascii="宋体" w:hAnsi="宋体"/>
          <w:szCs w:val="21"/>
        </w:rPr>
        <w:t>标段划分及</w:t>
      </w:r>
      <w:r>
        <w:rPr>
          <w:rFonts w:ascii="宋体" w:hAnsi="宋体"/>
          <w:szCs w:val="21"/>
        </w:rPr>
        <w:t>招标范围</w:t>
      </w:r>
      <w:r>
        <w:rPr>
          <w:rFonts w:hint="eastAsia" w:ascii="宋体" w:hAnsi="宋体"/>
          <w:szCs w:val="21"/>
        </w:rPr>
        <w:t>：本次施工招标共划分为3个标段。具体标段划分如下：</w:t>
      </w:r>
    </w:p>
    <w:tbl>
      <w:tblPr>
        <w:tblStyle w:val="8"/>
        <w:tblW w:w="0" w:type="auto"/>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0"/>
        <w:gridCol w:w="1422"/>
        <w:gridCol w:w="5616"/>
      </w:tblGrid>
      <w:tr w14:paraId="52F7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tcPr>
          <w:p w14:paraId="5C5CB766">
            <w:pPr>
              <w:autoSpaceDE w:val="0"/>
              <w:autoSpaceDN w:val="0"/>
              <w:adjustRightInd w:val="0"/>
              <w:spacing w:line="320" w:lineRule="exact"/>
              <w:jc w:val="left"/>
              <w:rPr>
                <w:rFonts w:ascii="宋体" w:hAnsi="宋体"/>
                <w:szCs w:val="21"/>
              </w:rPr>
            </w:pPr>
            <w:r>
              <w:rPr>
                <w:rFonts w:hint="eastAsia" w:ascii="宋体" w:hAnsi="宋体"/>
                <w:szCs w:val="21"/>
              </w:rPr>
              <w:t>类别</w:t>
            </w:r>
          </w:p>
        </w:tc>
        <w:tc>
          <w:tcPr>
            <w:tcW w:w="1422" w:type="dxa"/>
          </w:tcPr>
          <w:p w14:paraId="6BF49B58">
            <w:pPr>
              <w:autoSpaceDE w:val="0"/>
              <w:autoSpaceDN w:val="0"/>
              <w:adjustRightInd w:val="0"/>
              <w:spacing w:line="320" w:lineRule="exact"/>
              <w:jc w:val="left"/>
              <w:rPr>
                <w:rFonts w:ascii="宋体" w:hAnsi="宋体"/>
                <w:szCs w:val="21"/>
              </w:rPr>
            </w:pPr>
            <w:r>
              <w:rPr>
                <w:rFonts w:hint="eastAsia" w:ascii="宋体" w:hAnsi="宋体"/>
                <w:szCs w:val="21"/>
              </w:rPr>
              <w:t>长度（公里）</w:t>
            </w:r>
          </w:p>
        </w:tc>
        <w:tc>
          <w:tcPr>
            <w:tcW w:w="5616" w:type="dxa"/>
          </w:tcPr>
          <w:p w14:paraId="21F87043">
            <w:pPr>
              <w:autoSpaceDE w:val="0"/>
              <w:autoSpaceDN w:val="0"/>
              <w:adjustRightInd w:val="0"/>
              <w:spacing w:line="320" w:lineRule="exact"/>
              <w:jc w:val="left"/>
              <w:rPr>
                <w:rFonts w:ascii="宋体" w:hAnsi="宋体"/>
                <w:szCs w:val="21"/>
              </w:rPr>
            </w:pPr>
            <w:r>
              <w:rPr>
                <w:rFonts w:hint="eastAsia" w:ascii="宋体" w:hAnsi="宋体"/>
                <w:szCs w:val="21"/>
              </w:rPr>
              <w:t>主要工程内容</w:t>
            </w:r>
          </w:p>
        </w:tc>
      </w:tr>
      <w:tr w14:paraId="223A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50" w:type="dxa"/>
            <w:vAlign w:val="center"/>
          </w:tcPr>
          <w:p w14:paraId="7CEB922D">
            <w:pPr>
              <w:autoSpaceDE w:val="0"/>
              <w:autoSpaceDN w:val="0"/>
              <w:adjustRightInd w:val="0"/>
              <w:spacing w:line="320" w:lineRule="exact"/>
              <w:jc w:val="left"/>
              <w:rPr>
                <w:rFonts w:hint="default" w:ascii="宋体" w:hAnsi="宋体" w:eastAsia="宋体"/>
                <w:szCs w:val="21"/>
                <w:lang w:val="en-US" w:eastAsia="zh-CN"/>
              </w:rPr>
            </w:pPr>
            <w:r>
              <w:rPr>
                <w:rFonts w:hint="eastAsia" w:ascii="宋体" w:hAnsi="宋体"/>
                <w:szCs w:val="21"/>
                <w:lang w:val="en-US" w:eastAsia="zh-CN"/>
              </w:rPr>
              <w:t>路基路面、桥涵工程</w:t>
            </w:r>
          </w:p>
        </w:tc>
        <w:tc>
          <w:tcPr>
            <w:tcW w:w="1422" w:type="dxa"/>
            <w:vAlign w:val="center"/>
          </w:tcPr>
          <w:p w14:paraId="7453BF1B">
            <w:pPr>
              <w:autoSpaceDE w:val="0"/>
              <w:autoSpaceDN w:val="0"/>
              <w:adjustRightInd w:val="0"/>
              <w:spacing w:line="320" w:lineRule="exact"/>
              <w:jc w:val="center"/>
              <w:rPr>
                <w:rFonts w:ascii="宋体" w:hAnsi="宋体"/>
                <w:szCs w:val="21"/>
              </w:rPr>
            </w:pPr>
            <w:r>
              <w:rPr>
                <w:rFonts w:hint="eastAsia" w:ascii="宋体" w:hAnsi="宋体"/>
                <w:szCs w:val="21"/>
              </w:rPr>
              <w:t>19.746</w:t>
            </w:r>
          </w:p>
        </w:tc>
        <w:tc>
          <w:tcPr>
            <w:tcW w:w="5616" w:type="dxa"/>
            <w:vAlign w:val="center"/>
          </w:tcPr>
          <w:p w14:paraId="4BD76B44">
            <w:pPr>
              <w:autoSpaceDE w:val="0"/>
              <w:autoSpaceDN w:val="0"/>
              <w:adjustRightInd w:val="0"/>
              <w:spacing w:line="320" w:lineRule="exact"/>
              <w:jc w:val="left"/>
              <w:rPr>
                <w:rFonts w:ascii="宋体" w:hAnsi="宋体"/>
                <w:szCs w:val="21"/>
              </w:rPr>
            </w:pPr>
            <w:bookmarkStart w:id="14" w:name="OLE_LINK121"/>
            <w:bookmarkStart w:id="15" w:name="OLE_LINK120"/>
            <w:bookmarkStart w:id="16" w:name="OLE_LINK18"/>
            <w:bookmarkStart w:id="17" w:name="OLE_LINK19"/>
            <w:r>
              <w:rPr>
                <w:rFonts w:hint="eastAsia" w:ascii="宋体" w:hAnsi="宋体" w:cs="宋体"/>
                <w:spacing w:val="1"/>
                <w:kern w:val="0"/>
                <w:szCs w:val="21"/>
              </w:rPr>
              <w:t>主要内容</w:t>
            </w:r>
            <w:r>
              <w:rPr>
                <w:rFonts w:hint="eastAsia" w:ascii="宋体" w:hAnsi="宋体" w:cs="宋体"/>
                <w:color w:val="auto"/>
                <w:spacing w:val="1"/>
                <w:kern w:val="0"/>
                <w:szCs w:val="21"/>
              </w:rPr>
              <w:t>为</w:t>
            </w:r>
            <w:r>
              <w:rPr>
                <w:rFonts w:hint="eastAsia" w:ascii="宋体" w:hAnsi="宋体"/>
                <w:color w:val="auto"/>
                <w:szCs w:val="21"/>
              </w:rPr>
              <w:t>路基、路面、桥涵、排水</w:t>
            </w:r>
            <w:r>
              <w:rPr>
                <w:rFonts w:hint="eastAsia" w:ascii="宋体" w:hAnsi="宋体" w:cs="宋体"/>
                <w:color w:val="auto"/>
                <w:spacing w:val="1"/>
                <w:kern w:val="0"/>
                <w:szCs w:val="21"/>
              </w:rPr>
              <w:t>等工</w:t>
            </w:r>
            <w:r>
              <w:rPr>
                <w:rFonts w:hint="eastAsia" w:ascii="宋体" w:hAnsi="宋体" w:cs="宋体"/>
                <w:spacing w:val="1"/>
                <w:kern w:val="0"/>
                <w:szCs w:val="21"/>
              </w:rPr>
              <w:t>程的施工</w:t>
            </w:r>
            <w:bookmarkEnd w:id="14"/>
            <w:bookmarkEnd w:id="15"/>
            <w:r>
              <w:rPr>
                <w:rFonts w:hint="eastAsia" w:ascii="宋体" w:hAnsi="宋体" w:cs="宋体"/>
                <w:spacing w:val="1"/>
                <w:kern w:val="0"/>
                <w:szCs w:val="21"/>
              </w:rPr>
              <w:t>。</w:t>
            </w:r>
            <w:bookmarkEnd w:id="16"/>
            <w:bookmarkEnd w:id="17"/>
          </w:p>
        </w:tc>
      </w:tr>
      <w:tr w14:paraId="6305B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50" w:type="dxa"/>
            <w:vAlign w:val="center"/>
          </w:tcPr>
          <w:p w14:paraId="476F1E91">
            <w:pPr>
              <w:autoSpaceDE w:val="0"/>
              <w:autoSpaceDN w:val="0"/>
              <w:adjustRightInd w:val="0"/>
              <w:spacing w:line="320" w:lineRule="exact"/>
              <w:jc w:val="left"/>
              <w:rPr>
                <w:rFonts w:ascii="宋体" w:hAnsi="宋体"/>
                <w:szCs w:val="21"/>
              </w:rPr>
            </w:pPr>
            <w:r>
              <w:rPr>
                <w:rFonts w:hint="eastAsia" w:ascii="宋体" w:hAnsi="宋体"/>
                <w:szCs w:val="21"/>
              </w:rPr>
              <w:t>交通安全设施工程</w:t>
            </w:r>
          </w:p>
        </w:tc>
        <w:tc>
          <w:tcPr>
            <w:tcW w:w="1422" w:type="dxa"/>
            <w:vAlign w:val="center"/>
          </w:tcPr>
          <w:p w14:paraId="0CF47E6A">
            <w:pPr>
              <w:autoSpaceDE w:val="0"/>
              <w:autoSpaceDN w:val="0"/>
              <w:adjustRightInd w:val="0"/>
              <w:spacing w:line="320" w:lineRule="exact"/>
              <w:jc w:val="center"/>
              <w:rPr>
                <w:rFonts w:ascii="宋体" w:hAnsi="宋体"/>
                <w:szCs w:val="21"/>
              </w:rPr>
            </w:pPr>
            <w:r>
              <w:rPr>
                <w:rFonts w:hint="eastAsia" w:ascii="宋体" w:hAnsi="宋体"/>
                <w:szCs w:val="21"/>
              </w:rPr>
              <w:t>19.746</w:t>
            </w:r>
          </w:p>
        </w:tc>
        <w:tc>
          <w:tcPr>
            <w:tcW w:w="5616" w:type="dxa"/>
            <w:vAlign w:val="center"/>
          </w:tcPr>
          <w:p w14:paraId="1AA264E7">
            <w:pPr>
              <w:autoSpaceDE w:val="0"/>
              <w:autoSpaceDN w:val="0"/>
              <w:adjustRightInd w:val="0"/>
              <w:spacing w:line="320" w:lineRule="exact"/>
              <w:jc w:val="left"/>
              <w:rPr>
                <w:rFonts w:ascii="宋体" w:hAnsi="宋体" w:cs="宋体"/>
                <w:spacing w:val="1"/>
                <w:kern w:val="0"/>
                <w:szCs w:val="21"/>
              </w:rPr>
            </w:pPr>
            <w:r>
              <w:rPr>
                <w:rFonts w:hint="eastAsia" w:ascii="宋体" w:hAnsi="宋体" w:cs="宋体"/>
                <w:spacing w:val="1"/>
                <w:kern w:val="0"/>
                <w:szCs w:val="21"/>
              </w:rPr>
              <w:t>主要内容为</w:t>
            </w:r>
            <w:r>
              <w:rPr>
                <w:rFonts w:hint="eastAsia" w:ascii="宋体" w:hAnsi="宋体"/>
                <w:szCs w:val="21"/>
              </w:rPr>
              <w:t>交通安全设施工程的施工。</w:t>
            </w:r>
          </w:p>
        </w:tc>
      </w:tr>
      <w:tr w14:paraId="6A0C2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vAlign w:val="center"/>
          </w:tcPr>
          <w:p w14:paraId="6CF70AB8">
            <w:pPr>
              <w:autoSpaceDE w:val="0"/>
              <w:autoSpaceDN w:val="0"/>
              <w:adjustRightInd w:val="0"/>
              <w:spacing w:line="320" w:lineRule="exact"/>
              <w:jc w:val="left"/>
              <w:rPr>
                <w:rFonts w:ascii="宋体" w:hAnsi="宋体"/>
                <w:szCs w:val="21"/>
              </w:rPr>
            </w:pPr>
            <w:r>
              <w:rPr>
                <w:rFonts w:hint="eastAsia" w:ascii="宋体" w:hAnsi="宋体"/>
                <w:szCs w:val="21"/>
              </w:rPr>
              <w:t>绿化环保工程</w:t>
            </w:r>
          </w:p>
        </w:tc>
        <w:tc>
          <w:tcPr>
            <w:tcW w:w="1422" w:type="dxa"/>
            <w:vAlign w:val="center"/>
          </w:tcPr>
          <w:p w14:paraId="5C632FA6">
            <w:pPr>
              <w:autoSpaceDE w:val="0"/>
              <w:autoSpaceDN w:val="0"/>
              <w:adjustRightInd w:val="0"/>
              <w:spacing w:line="320" w:lineRule="exact"/>
              <w:jc w:val="center"/>
              <w:rPr>
                <w:rFonts w:ascii="宋体" w:hAnsi="宋体"/>
                <w:szCs w:val="21"/>
              </w:rPr>
            </w:pPr>
            <w:r>
              <w:rPr>
                <w:rFonts w:hint="eastAsia" w:ascii="宋体" w:hAnsi="宋体"/>
                <w:szCs w:val="21"/>
              </w:rPr>
              <w:t>19.746</w:t>
            </w:r>
          </w:p>
        </w:tc>
        <w:tc>
          <w:tcPr>
            <w:tcW w:w="5616" w:type="dxa"/>
            <w:vAlign w:val="center"/>
          </w:tcPr>
          <w:p w14:paraId="6427E86A">
            <w:pPr>
              <w:autoSpaceDE w:val="0"/>
              <w:autoSpaceDN w:val="0"/>
              <w:adjustRightInd w:val="0"/>
              <w:spacing w:line="320" w:lineRule="exact"/>
              <w:jc w:val="left"/>
              <w:rPr>
                <w:rFonts w:ascii="宋体" w:hAnsi="宋体"/>
                <w:szCs w:val="21"/>
              </w:rPr>
            </w:pPr>
            <w:r>
              <w:rPr>
                <w:rFonts w:hint="eastAsia" w:ascii="宋体" w:hAnsi="宋体" w:cs="宋体"/>
                <w:spacing w:val="1"/>
                <w:kern w:val="0"/>
                <w:szCs w:val="21"/>
              </w:rPr>
              <w:t>主要内容为</w:t>
            </w:r>
            <w:r>
              <w:rPr>
                <w:rFonts w:hint="eastAsia" w:ascii="宋体" w:hAnsi="宋体"/>
                <w:szCs w:val="21"/>
              </w:rPr>
              <w:t>绿化及环境保护工程的施工。</w:t>
            </w:r>
          </w:p>
        </w:tc>
      </w:tr>
    </w:tbl>
    <w:p w14:paraId="51F8E107">
      <w:pPr>
        <w:keepNext w:val="0"/>
        <w:keepLines w:val="0"/>
        <w:pageBreakBefore w:val="0"/>
        <w:kinsoku/>
        <w:wordWrap/>
        <w:overflowPunct/>
        <w:topLinePunct w:val="0"/>
        <w:bidi w:val="0"/>
        <w:snapToGrid/>
        <w:spacing w:line="320" w:lineRule="exact"/>
        <w:textAlignment w:val="auto"/>
        <w:rPr>
          <w:rFonts w:ascii="黑体" w:hAnsi="黑体" w:eastAsia="黑体"/>
          <w:color w:val="auto"/>
          <w:sz w:val="28"/>
          <w:szCs w:val="28"/>
          <w:highlight w:val="none"/>
        </w:rPr>
      </w:pPr>
      <w:bookmarkStart w:id="18" w:name="_Toc35267774"/>
      <w:bookmarkStart w:id="19" w:name="_Toc35268489"/>
      <w:bookmarkStart w:id="20" w:name="_Toc515284072"/>
      <w:bookmarkStart w:id="21" w:name="_Toc35267644"/>
      <w:r>
        <w:rPr>
          <w:rFonts w:ascii="黑体" w:hAnsi="黑体" w:eastAsia="黑体"/>
          <w:color w:val="auto"/>
          <w:sz w:val="28"/>
          <w:szCs w:val="28"/>
          <w:highlight w:val="none"/>
        </w:rPr>
        <w:t>3.</w:t>
      </w:r>
      <w:r>
        <w:rPr>
          <w:rFonts w:hint="eastAsia" w:ascii="黑体" w:hAnsi="黑体" w:eastAsia="黑体"/>
          <w:color w:val="auto"/>
          <w:sz w:val="28"/>
          <w:szCs w:val="28"/>
          <w:highlight w:val="none"/>
        </w:rPr>
        <w:t>投标人资格要求</w:t>
      </w:r>
      <w:bookmarkEnd w:id="12"/>
      <w:bookmarkEnd w:id="13"/>
      <w:bookmarkEnd w:id="18"/>
      <w:bookmarkEnd w:id="19"/>
      <w:bookmarkEnd w:id="20"/>
      <w:bookmarkEnd w:id="21"/>
    </w:p>
    <w:p w14:paraId="042EE739">
      <w:pPr>
        <w:widowControl/>
        <w:shd w:val="clear" w:color="auto" w:fill="FFFFFF"/>
        <w:spacing w:line="320" w:lineRule="exact"/>
        <w:ind w:firstLine="424" w:firstLineChars="202"/>
        <w:rPr>
          <w:rFonts w:ascii="宋体" w:hAnsi="宋体"/>
          <w:szCs w:val="21"/>
        </w:rPr>
      </w:pPr>
      <w:bookmarkStart w:id="22" w:name="_Toc262548127"/>
      <w:bookmarkStart w:id="23" w:name="_Toc248829794"/>
      <w:r>
        <w:rPr>
          <w:rFonts w:hint="eastAsia" w:ascii="宋体" w:hAnsi="宋体"/>
          <w:szCs w:val="21"/>
        </w:rPr>
        <w:t>3.1</w:t>
      </w:r>
      <w:r>
        <w:rPr>
          <w:rFonts w:ascii="宋体" w:hAnsi="宋体"/>
          <w:szCs w:val="21"/>
        </w:rPr>
        <w:t>本次招标要求投标人须具备以下资质，并在人员、设备、资金等方面具备相应的施工能力：</w:t>
      </w:r>
    </w:p>
    <w:tbl>
      <w:tblPr>
        <w:tblStyle w:val="7"/>
        <w:tblW w:w="9288" w:type="dxa"/>
        <w:jc w:val="center"/>
        <w:tblLayout w:type="autofit"/>
        <w:tblCellMar>
          <w:top w:w="0" w:type="dxa"/>
          <w:left w:w="0" w:type="dxa"/>
          <w:bottom w:w="0" w:type="dxa"/>
          <w:right w:w="0" w:type="dxa"/>
        </w:tblCellMar>
      </w:tblPr>
      <w:tblGrid>
        <w:gridCol w:w="806"/>
        <w:gridCol w:w="8482"/>
      </w:tblGrid>
      <w:tr w14:paraId="134C4C74">
        <w:tblPrEx>
          <w:tblCellMar>
            <w:top w:w="0" w:type="dxa"/>
            <w:left w:w="0" w:type="dxa"/>
            <w:bottom w:w="0" w:type="dxa"/>
            <w:right w:w="0" w:type="dxa"/>
          </w:tblCellMar>
        </w:tblPrEx>
        <w:trPr>
          <w:trHeight w:val="450" w:hRule="atLeast"/>
          <w:jc w:val="center"/>
        </w:trPr>
        <w:tc>
          <w:tcPr>
            <w:tcW w:w="80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692E35">
            <w:pPr>
              <w:widowControl/>
              <w:spacing w:line="360" w:lineRule="atLeast"/>
              <w:jc w:val="center"/>
              <w:rPr>
                <w:rFonts w:ascii="宋体" w:hAnsi="宋体" w:cs="宋体"/>
                <w:kern w:val="0"/>
                <w:sz w:val="24"/>
                <w:szCs w:val="24"/>
              </w:rPr>
            </w:pPr>
            <w:r>
              <w:rPr>
                <w:rFonts w:hint="eastAsia" w:ascii="宋体" w:hAnsi="宋体" w:cs="宋体"/>
                <w:kern w:val="0"/>
                <w:szCs w:val="21"/>
              </w:rPr>
              <w:t>标段</w:t>
            </w:r>
          </w:p>
        </w:tc>
        <w:tc>
          <w:tcPr>
            <w:tcW w:w="848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1E5914">
            <w:pPr>
              <w:widowControl/>
              <w:spacing w:line="360" w:lineRule="atLeast"/>
              <w:jc w:val="center"/>
              <w:rPr>
                <w:rFonts w:ascii="宋体" w:hAnsi="宋体" w:cs="宋体"/>
                <w:kern w:val="0"/>
                <w:sz w:val="24"/>
                <w:szCs w:val="24"/>
              </w:rPr>
            </w:pPr>
            <w:r>
              <w:rPr>
                <w:rFonts w:ascii="宋体" w:hAnsi="宋体" w:cs="宋体"/>
                <w:kern w:val="0"/>
                <w:szCs w:val="21"/>
              </w:rPr>
              <w:t>资质要求</w:t>
            </w:r>
          </w:p>
        </w:tc>
      </w:tr>
      <w:tr w14:paraId="36AB1C66">
        <w:tblPrEx>
          <w:tblCellMar>
            <w:top w:w="0" w:type="dxa"/>
            <w:left w:w="0" w:type="dxa"/>
            <w:bottom w:w="0" w:type="dxa"/>
            <w:right w:w="0" w:type="dxa"/>
          </w:tblCellMar>
        </w:tblPrEx>
        <w:trPr>
          <w:trHeight w:val="90" w:hRule="atLeast"/>
          <w:jc w:val="center"/>
        </w:trPr>
        <w:tc>
          <w:tcPr>
            <w:tcW w:w="80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1DBF1A">
            <w:pPr>
              <w:widowControl/>
              <w:spacing w:line="360" w:lineRule="atLeast"/>
              <w:jc w:val="center"/>
              <w:rPr>
                <w:rFonts w:ascii="宋体" w:hAnsi="宋体" w:cs="宋体"/>
                <w:kern w:val="0"/>
                <w:szCs w:val="21"/>
              </w:rPr>
            </w:pPr>
            <w:r>
              <w:rPr>
                <w:rFonts w:hint="eastAsia" w:ascii="宋体" w:hAnsi="宋体"/>
                <w:szCs w:val="21"/>
              </w:rPr>
              <w:t>SG01</w:t>
            </w:r>
          </w:p>
        </w:tc>
        <w:tc>
          <w:tcPr>
            <w:tcW w:w="848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3934CB">
            <w:pPr>
              <w:widowControl/>
              <w:spacing w:line="360" w:lineRule="atLeast"/>
              <w:jc w:val="left"/>
              <w:rPr>
                <w:rFonts w:ascii="宋体" w:hAnsi="宋体" w:cs="宋体"/>
                <w:kern w:val="0"/>
                <w:szCs w:val="21"/>
              </w:rPr>
            </w:pPr>
            <w:r>
              <w:rPr>
                <w:rFonts w:ascii="宋体" w:hAnsi="宋体" w:cs="宋体"/>
                <w:kern w:val="0"/>
                <w:szCs w:val="21"/>
              </w:rPr>
              <w:t>公路工程施工总承包</w:t>
            </w:r>
            <w:r>
              <w:rPr>
                <w:rFonts w:hint="eastAsia" w:ascii="宋体" w:hAnsi="宋体" w:cs="宋体"/>
                <w:kern w:val="0"/>
                <w:szCs w:val="21"/>
              </w:rPr>
              <w:t>二</w:t>
            </w:r>
            <w:r>
              <w:rPr>
                <w:rFonts w:ascii="宋体" w:hAnsi="宋体" w:cs="宋体"/>
                <w:kern w:val="0"/>
                <w:szCs w:val="21"/>
              </w:rPr>
              <w:t>级</w:t>
            </w:r>
            <w:r>
              <w:rPr>
                <w:rFonts w:hint="eastAsia" w:ascii="宋体" w:hAnsi="宋体" w:cs="宋体"/>
                <w:kern w:val="0"/>
                <w:szCs w:val="21"/>
              </w:rPr>
              <w:t>以上（含二级）资质。</w:t>
            </w:r>
          </w:p>
        </w:tc>
      </w:tr>
      <w:tr w14:paraId="2A2D17D8">
        <w:tblPrEx>
          <w:tblCellMar>
            <w:top w:w="0" w:type="dxa"/>
            <w:left w:w="0" w:type="dxa"/>
            <w:bottom w:w="0" w:type="dxa"/>
            <w:right w:w="0" w:type="dxa"/>
          </w:tblCellMar>
        </w:tblPrEx>
        <w:trPr>
          <w:trHeight w:val="463" w:hRule="atLeast"/>
          <w:jc w:val="center"/>
        </w:trPr>
        <w:tc>
          <w:tcPr>
            <w:tcW w:w="80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6D47ED">
            <w:pPr>
              <w:widowControl/>
              <w:spacing w:line="360" w:lineRule="atLeast"/>
              <w:jc w:val="center"/>
              <w:rPr>
                <w:rFonts w:ascii="宋体" w:hAnsi="宋体"/>
                <w:szCs w:val="21"/>
              </w:rPr>
            </w:pPr>
            <w:r>
              <w:rPr>
                <w:rFonts w:hint="eastAsia" w:ascii="宋体" w:hAnsi="宋体"/>
                <w:szCs w:val="21"/>
              </w:rPr>
              <w:t>JA01</w:t>
            </w:r>
          </w:p>
        </w:tc>
        <w:tc>
          <w:tcPr>
            <w:tcW w:w="848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6D24E4">
            <w:pPr>
              <w:widowControl/>
              <w:spacing w:line="360" w:lineRule="atLeast"/>
              <w:jc w:val="left"/>
              <w:rPr>
                <w:rFonts w:ascii="宋体" w:hAnsi="宋体" w:cs="宋体"/>
                <w:kern w:val="0"/>
                <w:szCs w:val="21"/>
              </w:rPr>
            </w:pPr>
            <w:r>
              <w:rPr>
                <w:rFonts w:hint="eastAsia" w:ascii="宋体" w:hAnsi="宋体" w:cs="宋体"/>
                <w:kern w:val="0"/>
                <w:szCs w:val="21"/>
              </w:rPr>
              <w:t>公路交通工程专业承包（公路安全设施分项）二级以上（含二</w:t>
            </w:r>
            <w:r>
              <w:rPr>
                <w:rFonts w:ascii="宋体" w:hAnsi="宋体" w:cs="宋体"/>
                <w:kern w:val="0"/>
                <w:szCs w:val="21"/>
              </w:rPr>
              <w:t>级</w:t>
            </w:r>
            <w:r>
              <w:rPr>
                <w:rFonts w:hint="eastAsia" w:ascii="宋体" w:hAnsi="宋体" w:cs="宋体"/>
                <w:kern w:val="0"/>
                <w:szCs w:val="21"/>
              </w:rPr>
              <w:t>）资质。</w:t>
            </w:r>
          </w:p>
        </w:tc>
      </w:tr>
      <w:tr w14:paraId="18FDDCB6">
        <w:tblPrEx>
          <w:tblCellMar>
            <w:top w:w="0" w:type="dxa"/>
            <w:left w:w="0" w:type="dxa"/>
            <w:bottom w:w="0" w:type="dxa"/>
            <w:right w:w="0" w:type="dxa"/>
          </w:tblCellMar>
        </w:tblPrEx>
        <w:trPr>
          <w:trHeight w:val="707" w:hRule="atLeast"/>
          <w:jc w:val="center"/>
        </w:trPr>
        <w:tc>
          <w:tcPr>
            <w:tcW w:w="80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F88B38">
            <w:pPr>
              <w:widowControl/>
              <w:spacing w:line="360" w:lineRule="atLeast"/>
              <w:jc w:val="center"/>
              <w:rPr>
                <w:rFonts w:ascii="宋体" w:hAnsi="宋体" w:cs="宋体"/>
                <w:kern w:val="0"/>
                <w:szCs w:val="21"/>
              </w:rPr>
            </w:pPr>
            <w:r>
              <w:rPr>
                <w:rFonts w:hint="eastAsia" w:ascii="宋体" w:hAnsi="宋体" w:cs="宋体"/>
                <w:kern w:val="0"/>
                <w:szCs w:val="21"/>
              </w:rPr>
              <w:t>LH01</w:t>
            </w:r>
          </w:p>
        </w:tc>
        <w:tc>
          <w:tcPr>
            <w:tcW w:w="848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019D57">
            <w:pPr>
              <w:widowControl/>
              <w:spacing w:line="360" w:lineRule="atLeast"/>
              <w:jc w:val="left"/>
              <w:rPr>
                <w:rFonts w:ascii="宋体" w:hAnsi="宋体" w:cs="宋体"/>
                <w:kern w:val="0"/>
                <w:szCs w:val="21"/>
              </w:rPr>
            </w:pPr>
            <w:r>
              <w:rPr>
                <w:rFonts w:hint="eastAsia" w:ascii="宋体" w:hAnsi="宋体" w:cs="宋体"/>
                <w:kern w:val="0"/>
                <w:szCs w:val="21"/>
              </w:rPr>
              <w:t>具有独立承担民事责任的能力和经营许可的独立法</w:t>
            </w:r>
            <w:r>
              <w:rPr>
                <w:rFonts w:hint="eastAsia" w:ascii="宋体" w:hAnsi="宋体" w:cs="宋体"/>
                <w:color w:val="auto"/>
                <w:kern w:val="0"/>
                <w:szCs w:val="21"/>
              </w:rPr>
              <w:t>人资格，营业执照的经营范围包括绿化工程。</w:t>
            </w:r>
          </w:p>
        </w:tc>
      </w:tr>
    </w:tbl>
    <w:p w14:paraId="5E08FE3E">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ascii="宋体" w:hAnsi="宋体"/>
          <w:szCs w:val="21"/>
        </w:rPr>
      </w:pPr>
      <w:r>
        <w:rPr>
          <w:rFonts w:hint="eastAsia" w:ascii="宋体" w:hAnsi="宋体"/>
          <w:szCs w:val="21"/>
        </w:rPr>
        <w:t>投标人〔指根据厅公路字〔2011〕114号文件应进入名录的投标人〕在投标截止时间前应进入交通运输部“全国公路建设市场监督管理系统（https://hwdms.mot.gov.cn）”中的公路工程施工资质企业名录，且投标人名称和资质与该名录中的相应企业名称和资质完全一致。</w:t>
      </w:r>
    </w:p>
    <w:p w14:paraId="1A0E7F5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ascii="宋体" w:hAnsi="宋体"/>
          <w:szCs w:val="21"/>
        </w:rPr>
      </w:pPr>
      <w:r>
        <w:rPr>
          <w:rFonts w:hint="eastAsia" w:ascii="宋体" w:hAnsi="宋体"/>
          <w:szCs w:val="21"/>
        </w:rPr>
        <w:t>3.2 本次招标不接受联合体投标。</w:t>
      </w:r>
    </w:p>
    <w:p w14:paraId="39381F3F">
      <w:pPr>
        <w:keepNext w:val="0"/>
        <w:keepLines w:val="0"/>
        <w:pageBreakBefore w:val="0"/>
        <w:widowControl w:val="0"/>
        <w:kinsoku/>
        <w:wordWrap/>
        <w:overflowPunct/>
        <w:topLinePunct w:val="0"/>
        <w:autoSpaceDE/>
        <w:autoSpaceDN/>
        <w:bidi w:val="0"/>
        <w:spacing w:line="400" w:lineRule="exact"/>
        <w:ind w:firstLine="420" w:firstLineChars="200"/>
        <w:textAlignment w:val="auto"/>
        <w:rPr>
          <w:ins w:id="0" w:author="作者" w:date="2026-03-05T15:37:00Z"/>
          <w:rFonts w:ascii="宋体" w:hAnsi="宋体"/>
          <w:szCs w:val="21"/>
        </w:rPr>
      </w:pPr>
      <w:bookmarkStart w:id="24" w:name="_Hlk153266131"/>
      <w:r>
        <w:rPr>
          <w:rFonts w:hint="eastAsia" w:ascii="宋体" w:hAnsi="宋体"/>
          <w:szCs w:val="21"/>
        </w:rPr>
        <w:t>3.3</w:t>
      </w:r>
      <w:bookmarkEnd w:id="24"/>
      <w:r>
        <w:rPr>
          <w:rFonts w:hint="eastAsia" w:ascii="宋体" w:hAnsi="宋体"/>
          <w:szCs w:val="21"/>
        </w:rPr>
        <w:t>投标人只能对1个标段进行投标。</w:t>
      </w:r>
    </w:p>
    <w:p w14:paraId="39138A4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ascii="宋体" w:hAnsi="宋体"/>
          <w:szCs w:val="21"/>
        </w:rPr>
      </w:pPr>
      <w:r>
        <w:rPr>
          <w:rFonts w:hint="eastAsia" w:ascii="宋体" w:hAnsi="宋体"/>
          <w:szCs w:val="21"/>
        </w:rPr>
        <w:t>3.4与招标人存在利害关系可能影响招标公正性的单位，不得参加投标。单位负责人为同一人或存在控股、管理关系的不同单位，不得参加同一标段投标，否则，相关投标均无效。</w:t>
      </w:r>
    </w:p>
    <w:p w14:paraId="230F50B5">
      <w:pPr>
        <w:keepNext w:val="0"/>
        <w:keepLines w:val="0"/>
        <w:pageBreakBefore w:val="0"/>
        <w:widowControl w:val="0"/>
        <w:kinsoku/>
        <w:wordWrap/>
        <w:overflowPunct/>
        <w:topLinePunct w:val="0"/>
        <w:autoSpaceDE/>
        <w:autoSpaceDN/>
        <w:bidi w:val="0"/>
        <w:adjustRightInd w:val="0"/>
        <w:snapToGrid w:val="0"/>
        <w:spacing w:before="93" w:beforeLines="30" w:after="93" w:afterLines="30" w:line="3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kern w:val="0"/>
          <w:szCs w:val="21"/>
        </w:rPr>
        <w:t>3.5在“信用中国”网站(https://www.creditchina.gov.cn/)中被</w:t>
      </w:r>
      <w:r>
        <w:rPr>
          <w:rFonts w:hint="eastAsia" w:ascii="宋体" w:hAnsi="宋体"/>
          <w:szCs w:val="21"/>
        </w:rPr>
        <w:t>列入失信被执行人名单的投标人，不得参加投标。</w:t>
      </w:r>
    </w:p>
    <w:bookmarkEnd w:id="22"/>
    <w:bookmarkEnd w:id="23"/>
    <w:p w14:paraId="545F62B9">
      <w:pPr>
        <w:keepNext w:val="0"/>
        <w:keepLines w:val="0"/>
        <w:pageBreakBefore w:val="0"/>
        <w:widowControl w:val="0"/>
        <w:kinsoku/>
        <w:wordWrap/>
        <w:overflowPunct/>
        <w:topLinePunct w:val="0"/>
        <w:autoSpaceDE/>
        <w:autoSpaceDN/>
        <w:bidi w:val="0"/>
        <w:spacing w:line="320" w:lineRule="exact"/>
        <w:textAlignment w:val="auto"/>
        <w:rPr>
          <w:rFonts w:hint="eastAsia" w:ascii="黑体" w:hAnsi="黑体" w:eastAsia="黑体" w:cs="Times New Roman"/>
          <w:color w:val="auto"/>
          <w:sz w:val="28"/>
          <w:szCs w:val="28"/>
          <w:highlight w:val="none"/>
          <w:lang w:val="en-US" w:eastAsia="zh-CN"/>
        </w:rPr>
      </w:pPr>
      <w:bookmarkStart w:id="25" w:name="_Toc184704556"/>
      <w:bookmarkStart w:id="26" w:name="_Hlk92442328"/>
      <w:r>
        <w:rPr>
          <w:rFonts w:hint="eastAsia" w:ascii="黑体" w:hAnsi="黑体" w:eastAsia="黑体" w:cs="Times New Roman"/>
          <w:color w:val="auto"/>
          <w:sz w:val="28"/>
          <w:szCs w:val="28"/>
          <w:highlight w:val="none"/>
          <w:lang w:val="en-US" w:eastAsia="zh-CN"/>
        </w:rPr>
        <w:t>4．</w:t>
      </w:r>
      <w:bookmarkEnd w:id="25"/>
      <w:r>
        <w:rPr>
          <w:rFonts w:hint="eastAsia" w:ascii="黑体" w:hAnsi="黑体" w:eastAsia="黑体" w:cs="Times New Roman"/>
          <w:color w:val="auto"/>
          <w:sz w:val="28"/>
          <w:szCs w:val="28"/>
          <w:highlight w:val="none"/>
          <w:lang w:val="en-US" w:eastAsia="zh-CN"/>
        </w:rPr>
        <w:t>评标办法</w:t>
      </w:r>
    </w:p>
    <w:bookmarkEnd w:id="26"/>
    <w:p w14:paraId="063FDD8C">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本项目</w:t>
      </w:r>
      <w:r>
        <w:rPr>
          <w:rFonts w:hint="eastAsia" w:ascii="宋体" w:hAnsi="宋体" w:eastAsia="宋体" w:cs="Times New Roman"/>
          <w:color w:val="auto"/>
          <w:szCs w:val="21"/>
          <w:highlight w:val="none"/>
          <w:lang w:val="en-US" w:eastAsia="zh-CN"/>
        </w:rPr>
        <w:t>采用技术评分最低标价法。</w:t>
      </w:r>
    </w:p>
    <w:p w14:paraId="10B5016C">
      <w:pPr>
        <w:keepNext w:val="0"/>
        <w:keepLines w:val="0"/>
        <w:pageBreakBefore w:val="0"/>
        <w:widowControl w:val="0"/>
        <w:numPr>
          <w:ilvl w:val="0"/>
          <w:numId w:val="1"/>
        </w:numPr>
        <w:kinsoku/>
        <w:wordWrap/>
        <w:overflowPunct/>
        <w:topLinePunct w:val="0"/>
        <w:autoSpaceDE/>
        <w:autoSpaceDN/>
        <w:bidi w:val="0"/>
        <w:spacing w:line="320" w:lineRule="exact"/>
        <w:textAlignment w:val="auto"/>
        <w:rPr>
          <w:rFonts w:hint="eastAsia" w:ascii="黑体" w:hAnsi="黑体" w:eastAsia="黑体" w:cs="Times New Roman"/>
          <w:color w:val="auto"/>
          <w:sz w:val="28"/>
          <w:szCs w:val="28"/>
          <w:highlight w:val="none"/>
          <w:lang w:val="en-US" w:eastAsia="zh-CN"/>
        </w:rPr>
      </w:pPr>
      <w:r>
        <w:rPr>
          <w:rFonts w:hint="eastAsia" w:ascii="黑体" w:hAnsi="黑体" w:eastAsia="黑体" w:cs="Times New Roman"/>
          <w:color w:val="auto"/>
          <w:sz w:val="28"/>
          <w:szCs w:val="28"/>
          <w:highlight w:val="none"/>
          <w:lang w:val="en-US" w:eastAsia="zh-CN"/>
        </w:rPr>
        <w:t>资格审查条件最低要求</w:t>
      </w:r>
    </w:p>
    <w:p w14:paraId="56FAF64F">
      <w:pPr>
        <w:widowControl/>
        <w:adjustRightInd w:val="0"/>
        <w:jc w:val="center"/>
        <w:rPr>
          <w:rFonts w:ascii="黑体" w:hAnsi="黑体"/>
          <w:sz w:val="28"/>
          <w:lang w:val="zh-CN"/>
        </w:rPr>
      </w:pPr>
      <w:r>
        <w:rPr>
          <w:rFonts w:hint="eastAsia" w:ascii="黑体" w:hAnsi="黑体"/>
          <w:sz w:val="28"/>
          <w:lang w:val="zh-CN"/>
        </w:rPr>
        <w:t>附录1资格审查条件（资质最低要求）</w:t>
      </w:r>
    </w:p>
    <w:tbl>
      <w:tblPr>
        <w:tblStyle w:val="7"/>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66"/>
        <w:gridCol w:w="8189"/>
      </w:tblGrid>
      <w:tr w14:paraId="18C073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5" w:type="pct"/>
            <w:vAlign w:val="center"/>
          </w:tcPr>
          <w:p w14:paraId="74C8198D">
            <w:pPr>
              <w:adjustRightInd w:val="0"/>
              <w:snapToGrid w:val="0"/>
              <w:spacing w:before="120" w:beforeLines="50"/>
              <w:jc w:val="center"/>
              <w:rPr>
                <w:rFonts w:ascii="宋体" w:hAnsi="宋体"/>
                <w:szCs w:val="21"/>
              </w:rPr>
            </w:pPr>
            <w:r>
              <w:rPr>
                <w:rFonts w:hint="eastAsia" w:ascii="宋体" w:hAnsi="宋体"/>
                <w:szCs w:val="21"/>
              </w:rPr>
              <w:t>标段</w:t>
            </w:r>
          </w:p>
        </w:tc>
        <w:tc>
          <w:tcPr>
            <w:tcW w:w="4154" w:type="pct"/>
            <w:vAlign w:val="center"/>
          </w:tcPr>
          <w:p w14:paraId="3B892E42">
            <w:pPr>
              <w:adjustRightInd w:val="0"/>
              <w:snapToGrid w:val="0"/>
              <w:spacing w:before="120" w:beforeLines="50"/>
              <w:jc w:val="center"/>
              <w:rPr>
                <w:rFonts w:ascii="宋体" w:hAnsi="宋体"/>
                <w:szCs w:val="21"/>
              </w:rPr>
            </w:pPr>
            <w:r>
              <w:rPr>
                <w:rFonts w:hint="eastAsia" w:ascii="宋体" w:hAnsi="宋体"/>
                <w:szCs w:val="21"/>
              </w:rPr>
              <w:t>施工企业资质等级要求</w:t>
            </w:r>
          </w:p>
        </w:tc>
      </w:tr>
      <w:tr w14:paraId="607C85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845" w:type="pct"/>
            <w:vAlign w:val="center"/>
          </w:tcPr>
          <w:p w14:paraId="2A1C6B1E">
            <w:pPr>
              <w:jc w:val="center"/>
              <w:rPr>
                <w:rFonts w:ascii="宋体" w:hAnsi="宋体"/>
                <w:szCs w:val="21"/>
              </w:rPr>
            </w:pPr>
            <w:r>
              <w:rPr>
                <w:rFonts w:hint="eastAsia" w:ascii="仿宋" w:hAnsi="仿宋" w:eastAsia="仿宋" w:cs="仿宋"/>
                <w:kern w:val="0"/>
                <w:szCs w:val="21"/>
              </w:rPr>
              <w:t>SG01</w:t>
            </w:r>
          </w:p>
        </w:tc>
        <w:tc>
          <w:tcPr>
            <w:tcW w:w="8188" w:type="dxa"/>
            <w:vAlign w:val="center"/>
          </w:tcPr>
          <w:p w14:paraId="1F462169">
            <w:pPr>
              <w:widowControl/>
              <w:spacing w:line="360" w:lineRule="atLeast"/>
              <w:jc w:val="left"/>
              <w:rPr>
                <w:rFonts w:ascii="宋体" w:hAnsi="宋体" w:cs="宋体"/>
                <w:kern w:val="0"/>
                <w:szCs w:val="21"/>
              </w:rPr>
            </w:pPr>
            <w:r>
              <w:rPr>
                <w:rFonts w:ascii="宋体" w:hAnsi="宋体" w:cs="宋体"/>
                <w:kern w:val="0"/>
                <w:szCs w:val="21"/>
              </w:rPr>
              <w:t>公路工程施工总承包</w:t>
            </w:r>
            <w:r>
              <w:rPr>
                <w:rFonts w:hint="eastAsia" w:ascii="宋体" w:hAnsi="宋体" w:cs="宋体"/>
                <w:kern w:val="0"/>
                <w:szCs w:val="21"/>
              </w:rPr>
              <w:t>二</w:t>
            </w:r>
            <w:r>
              <w:rPr>
                <w:rFonts w:ascii="宋体" w:hAnsi="宋体" w:cs="宋体"/>
                <w:kern w:val="0"/>
                <w:szCs w:val="21"/>
              </w:rPr>
              <w:t>级</w:t>
            </w:r>
            <w:r>
              <w:rPr>
                <w:rFonts w:hint="eastAsia" w:ascii="宋体" w:hAnsi="宋体" w:cs="宋体"/>
                <w:kern w:val="0"/>
                <w:szCs w:val="21"/>
              </w:rPr>
              <w:t>以上（含二级）资质。</w:t>
            </w:r>
          </w:p>
        </w:tc>
      </w:tr>
      <w:tr w14:paraId="3FFA27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845" w:type="pct"/>
            <w:vAlign w:val="center"/>
          </w:tcPr>
          <w:p w14:paraId="242895DA">
            <w:pPr>
              <w:jc w:val="center"/>
              <w:rPr>
                <w:rFonts w:ascii="仿宋" w:hAnsi="仿宋" w:eastAsia="仿宋" w:cs="仿宋"/>
                <w:kern w:val="0"/>
                <w:szCs w:val="21"/>
              </w:rPr>
            </w:pPr>
            <w:r>
              <w:rPr>
                <w:rFonts w:hint="eastAsia" w:ascii="仿宋" w:hAnsi="仿宋" w:eastAsia="仿宋" w:cs="仿宋"/>
                <w:kern w:val="0"/>
                <w:szCs w:val="21"/>
              </w:rPr>
              <w:t>JA01</w:t>
            </w:r>
          </w:p>
        </w:tc>
        <w:tc>
          <w:tcPr>
            <w:tcW w:w="8188" w:type="dxa"/>
            <w:vAlign w:val="center"/>
          </w:tcPr>
          <w:p w14:paraId="44099DDE">
            <w:pPr>
              <w:widowControl/>
              <w:spacing w:line="360" w:lineRule="atLeast"/>
              <w:jc w:val="left"/>
              <w:rPr>
                <w:rFonts w:ascii="宋体" w:hAnsi="宋体" w:cs="宋体"/>
                <w:kern w:val="0"/>
                <w:szCs w:val="21"/>
              </w:rPr>
            </w:pPr>
            <w:r>
              <w:rPr>
                <w:rFonts w:hint="eastAsia" w:ascii="宋体" w:hAnsi="宋体" w:cs="宋体"/>
                <w:kern w:val="0"/>
                <w:szCs w:val="21"/>
              </w:rPr>
              <w:t>公路交通工程专业承包（公路安全设施分项）二级以上（含二级）资质。</w:t>
            </w:r>
          </w:p>
        </w:tc>
      </w:tr>
      <w:tr w14:paraId="5926C7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45" w:type="pct"/>
            <w:vAlign w:val="center"/>
          </w:tcPr>
          <w:p w14:paraId="7AB878DB">
            <w:pPr>
              <w:jc w:val="center"/>
              <w:rPr>
                <w:rFonts w:ascii="仿宋" w:hAnsi="仿宋" w:eastAsia="仿宋" w:cs="仿宋"/>
                <w:kern w:val="0"/>
                <w:szCs w:val="21"/>
              </w:rPr>
            </w:pPr>
            <w:r>
              <w:rPr>
                <w:rFonts w:hint="eastAsia" w:ascii="仿宋" w:hAnsi="仿宋" w:eastAsia="仿宋" w:cs="仿宋"/>
                <w:kern w:val="0"/>
                <w:szCs w:val="21"/>
              </w:rPr>
              <w:t>LH01</w:t>
            </w:r>
          </w:p>
        </w:tc>
        <w:tc>
          <w:tcPr>
            <w:tcW w:w="8188" w:type="dxa"/>
            <w:vAlign w:val="center"/>
          </w:tcPr>
          <w:p w14:paraId="12015BAD">
            <w:pPr>
              <w:widowControl/>
              <w:spacing w:line="360" w:lineRule="atLeast"/>
              <w:jc w:val="left"/>
              <w:rPr>
                <w:rFonts w:ascii="宋体" w:hAnsi="宋体" w:cs="宋体"/>
                <w:kern w:val="0"/>
                <w:szCs w:val="21"/>
              </w:rPr>
            </w:pPr>
            <w:r>
              <w:rPr>
                <w:rFonts w:hint="eastAsia" w:ascii="宋体" w:hAnsi="宋体" w:cs="宋体"/>
                <w:kern w:val="0"/>
                <w:szCs w:val="21"/>
              </w:rPr>
              <w:t>具有独立承担民事责任的能力和经营许可的独立法人资格，营业执照的经营范围包括绿化工程。</w:t>
            </w:r>
          </w:p>
        </w:tc>
      </w:tr>
    </w:tbl>
    <w:p w14:paraId="3FCFAA68">
      <w:pPr>
        <w:pStyle w:val="3"/>
        <w:adjustRightInd w:val="0"/>
        <w:snapToGrid w:val="0"/>
        <w:spacing w:beforeLines="50" w:after="0"/>
        <w:ind w:firstLine="280" w:firstLineChars="100"/>
        <w:jc w:val="center"/>
        <w:rPr>
          <w:rFonts w:ascii="黑体" w:hAnsi="黑体"/>
          <w:sz w:val="28"/>
          <w:lang w:val="zh-CN"/>
        </w:rPr>
      </w:pPr>
      <w:r>
        <w:rPr>
          <w:rFonts w:hint="eastAsia" w:ascii="黑体" w:hAnsi="黑体"/>
          <w:sz w:val="28"/>
          <w:lang w:val="zh-CN"/>
        </w:rPr>
        <w:t>附录2资格审查条件（财务最低要求）</w:t>
      </w:r>
    </w:p>
    <w:tbl>
      <w:tblPr>
        <w:tblStyle w:val="7"/>
        <w:tblW w:w="5012"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70"/>
        <w:gridCol w:w="8209"/>
      </w:tblGrid>
      <w:tr w14:paraId="5367C7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45" w:type="pct"/>
            <w:vAlign w:val="center"/>
          </w:tcPr>
          <w:p w14:paraId="1CC9282F">
            <w:pPr>
              <w:adjustRightInd w:val="0"/>
              <w:snapToGrid w:val="0"/>
              <w:spacing w:before="120" w:beforeLines="50"/>
              <w:jc w:val="center"/>
              <w:rPr>
                <w:rFonts w:ascii="宋体" w:hAnsi="宋体"/>
                <w:szCs w:val="21"/>
              </w:rPr>
            </w:pPr>
            <w:r>
              <w:rPr>
                <w:rFonts w:hint="eastAsia" w:ascii="宋体" w:hAnsi="宋体"/>
                <w:szCs w:val="21"/>
              </w:rPr>
              <w:t>标段</w:t>
            </w:r>
          </w:p>
        </w:tc>
        <w:tc>
          <w:tcPr>
            <w:tcW w:w="4154" w:type="pct"/>
            <w:vAlign w:val="center"/>
          </w:tcPr>
          <w:p w14:paraId="6C1742BA">
            <w:pPr>
              <w:adjustRightInd w:val="0"/>
              <w:snapToGrid w:val="0"/>
              <w:spacing w:before="120" w:beforeLines="50"/>
              <w:jc w:val="center"/>
              <w:rPr>
                <w:rFonts w:ascii="宋体" w:hAnsi="宋体"/>
                <w:szCs w:val="21"/>
              </w:rPr>
            </w:pPr>
            <w:r>
              <w:rPr>
                <w:rFonts w:hint="eastAsia" w:ascii="宋体" w:hAnsi="宋体"/>
                <w:szCs w:val="21"/>
              </w:rPr>
              <w:t>财务要求</w:t>
            </w:r>
          </w:p>
        </w:tc>
      </w:tr>
      <w:tr w14:paraId="291324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5" w:type="pct"/>
            <w:vAlign w:val="center"/>
          </w:tcPr>
          <w:p w14:paraId="4F5CF23B">
            <w:pPr>
              <w:jc w:val="center"/>
              <w:rPr>
                <w:rFonts w:ascii="宋体" w:hAnsi="宋体"/>
                <w:color w:val="auto"/>
                <w:szCs w:val="21"/>
              </w:rPr>
            </w:pPr>
            <w:r>
              <w:rPr>
                <w:rFonts w:hint="eastAsia" w:ascii="仿宋" w:hAnsi="仿宋" w:eastAsia="仿宋" w:cs="仿宋"/>
                <w:color w:val="auto"/>
                <w:kern w:val="0"/>
                <w:szCs w:val="21"/>
              </w:rPr>
              <w:t>SG01</w:t>
            </w:r>
          </w:p>
        </w:tc>
        <w:tc>
          <w:tcPr>
            <w:tcW w:w="4154" w:type="pct"/>
            <w:vMerge w:val="restart"/>
            <w:vAlign w:val="center"/>
          </w:tcPr>
          <w:p w14:paraId="3BC5A9E2">
            <w:pPr>
              <w:adjustRightInd w:val="0"/>
              <w:snapToGrid w:val="0"/>
              <w:spacing w:before="120" w:beforeLines="50" w:after="120" w:afterLines="50"/>
              <w:jc w:val="left"/>
              <w:rPr>
                <w:rFonts w:ascii="宋体" w:hAnsi="宋体" w:cs="宋体"/>
                <w:color w:val="auto"/>
                <w:kern w:val="0"/>
                <w:szCs w:val="21"/>
              </w:rPr>
            </w:pPr>
            <w:r>
              <w:rPr>
                <w:rFonts w:hint="eastAsia" w:ascii="宋体" w:hAnsi="宋体" w:cs="宋体"/>
                <w:color w:val="auto"/>
                <w:kern w:val="0"/>
                <w:sz w:val="21"/>
                <w:szCs w:val="21"/>
                <w:highlight w:val="none"/>
              </w:rPr>
              <w:t>投标人</w:t>
            </w:r>
            <w:r>
              <w:rPr>
                <w:rFonts w:hint="eastAsia" w:ascii="宋体" w:hAnsi="宋体" w:cs="宋体"/>
                <w:color w:val="auto"/>
                <w:kern w:val="0"/>
                <w:sz w:val="21"/>
                <w:szCs w:val="21"/>
                <w:highlight w:val="none"/>
                <w:lang w:val="en-US" w:eastAsia="zh-CN"/>
              </w:rPr>
              <w:t>近三年（2023年至2025年）</w:t>
            </w:r>
            <w:r>
              <w:rPr>
                <w:rFonts w:hint="eastAsia" w:ascii="宋体" w:hAnsi="宋体" w:cs="宋体"/>
                <w:color w:val="auto"/>
                <w:kern w:val="0"/>
                <w:sz w:val="21"/>
                <w:szCs w:val="21"/>
                <w:highlight w:val="none"/>
              </w:rPr>
              <w:t>应当具有良好的商业信誉和健全的财务会计制度，须提供财务状况承诺函并加盖投标人单位公章。</w:t>
            </w:r>
          </w:p>
        </w:tc>
      </w:tr>
      <w:tr w14:paraId="166549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45" w:type="pct"/>
            <w:shd w:val="clear" w:color="auto" w:fill="auto"/>
            <w:vAlign w:val="center"/>
          </w:tcPr>
          <w:p w14:paraId="5E7ACD83">
            <w:pPr>
              <w:jc w:val="center"/>
              <w:rPr>
                <w:rFonts w:ascii="仿宋" w:hAnsi="仿宋" w:eastAsia="仿宋" w:cs="仿宋"/>
                <w:kern w:val="0"/>
                <w:szCs w:val="21"/>
              </w:rPr>
            </w:pPr>
            <w:r>
              <w:rPr>
                <w:rFonts w:hint="eastAsia" w:ascii="仿宋" w:hAnsi="仿宋" w:eastAsia="仿宋" w:cs="仿宋"/>
                <w:kern w:val="0"/>
                <w:szCs w:val="21"/>
              </w:rPr>
              <w:t>JA01</w:t>
            </w:r>
          </w:p>
        </w:tc>
        <w:tc>
          <w:tcPr>
            <w:tcW w:w="4154" w:type="pct"/>
            <w:vMerge w:val="continue"/>
            <w:vAlign w:val="center"/>
          </w:tcPr>
          <w:p w14:paraId="282B0B82">
            <w:pPr>
              <w:adjustRightInd w:val="0"/>
              <w:snapToGrid w:val="0"/>
              <w:spacing w:before="120" w:beforeLines="50" w:after="120" w:afterLines="50"/>
              <w:jc w:val="left"/>
              <w:rPr>
                <w:rFonts w:ascii="宋体" w:hAnsi="宋体" w:cs="宋体"/>
                <w:kern w:val="0"/>
                <w:szCs w:val="21"/>
              </w:rPr>
            </w:pPr>
          </w:p>
        </w:tc>
      </w:tr>
      <w:tr w14:paraId="42013C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45" w:type="pct"/>
            <w:shd w:val="clear" w:color="auto" w:fill="auto"/>
            <w:vAlign w:val="center"/>
          </w:tcPr>
          <w:p w14:paraId="46CD1391">
            <w:pPr>
              <w:jc w:val="center"/>
              <w:rPr>
                <w:rFonts w:ascii="仿宋" w:hAnsi="仿宋" w:eastAsia="仿宋" w:cs="仿宋"/>
                <w:kern w:val="0"/>
                <w:szCs w:val="21"/>
              </w:rPr>
            </w:pPr>
            <w:r>
              <w:rPr>
                <w:rFonts w:hint="eastAsia" w:ascii="仿宋" w:hAnsi="仿宋" w:eastAsia="仿宋" w:cs="仿宋"/>
                <w:kern w:val="0"/>
                <w:szCs w:val="21"/>
              </w:rPr>
              <w:t>LH01</w:t>
            </w:r>
          </w:p>
        </w:tc>
        <w:tc>
          <w:tcPr>
            <w:tcW w:w="4154" w:type="pct"/>
            <w:vMerge w:val="continue"/>
            <w:vAlign w:val="center"/>
          </w:tcPr>
          <w:p w14:paraId="44747033">
            <w:pPr>
              <w:adjustRightInd w:val="0"/>
              <w:snapToGrid w:val="0"/>
              <w:spacing w:before="120" w:beforeLines="50" w:after="120" w:afterLines="50"/>
              <w:jc w:val="left"/>
              <w:rPr>
                <w:rFonts w:ascii="宋体" w:hAnsi="宋体" w:cs="宋体"/>
                <w:kern w:val="0"/>
                <w:szCs w:val="21"/>
              </w:rPr>
            </w:pPr>
          </w:p>
        </w:tc>
      </w:tr>
    </w:tbl>
    <w:p w14:paraId="446D8606">
      <w:pPr>
        <w:rPr>
          <w:rFonts w:ascii="黑体" w:hAnsi="黑体"/>
          <w:sz w:val="28"/>
          <w:lang w:val="zh-CN"/>
        </w:rPr>
      </w:pPr>
    </w:p>
    <w:p w14:paraId="38BB7690">
      <w:pPr>
        <w:pStyle w:val="3"/>
        <w:adjustRightInd w:val="0"/>
        <w:snapToGrid w:val="0"/>
        <w:spacing w:beforeLines="50" w:after="0"/>
        <w:ind w:firstLine="280" w:firstLineChars="100"/>
        <w:jc w:val="center"/>
        <w:rPr>
          <w:rFonts w:ascii="黑体" w:hAnsi="黑体"/>
          <w:sz w:val="28"/>
          <w:lang w:val="zh-CN"/>
        </w:rPr>
      </w:pPr>
      <w:r>
        <w:rPr>
          <w:rFonts w:hint="eastAsia" w:ascii="黑体" w:hAnsi="黑体"/>
          <w:sz w:val="28"/>
          <w:lang w:val="zh-CN"/>
        </w:rPr>
        <w:t>附录3资格审查条件（业绩最低要求）</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8190"/>
      </w:tblGrid>
      <w:tr w14:paraId="41E500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5" w:type="pct"/>
            <w:vAlign w:val="center"/>
          </w:tcPr>
          <w:p w14:paraId="0AC038C0">
            <w:pPr>
              <w:adjustRightInd w:val="0"/>
              <w:snapToGrid w:val="0"/>
              <w:spacing w:before="120" w:beforeLines="50"/>
              <w:jc w:val="center"/>
              <w:rPr>
                <w:rFonts w:ascii="宋体" w:hAnsi="宋体"/>
                <w:szCs w:val="21"/>
              </w:rPr>
            </w:pPr>
            <w:r>
              <w:rPr>
                <w:rFonts w:hint="eastAsia" w:ascii="宋体" w:hAnsi="宋体"/>
                <w:szCs w:val="21"/>
              </w:rPr>
              <w:t>标段</w:t>
            </w:r>
          </w:p>
        </w:tc>
        <w:tc>
          <w:tcPr>
            <w:tcW w:w="4154" w:type="pct"/>
            <w:vAlign w:val="center"/>
          </w:tcPr>
          <w:p w14:paraId="0B4DC757">
            <w:pPr>
              <w:adjustRightInd w:val="0"/>
              <w:snapToGrid w:val="0"/>
              <w:spacing w:before="120" w:beforeLines="50"/>
              <w:jc w:val="center"/>
              <w:rPr>
                <w:rFonts w:ascii="楷体" w:hAnsi="楷体" w:eastAsia="楷体_GB2312"/>
                <w:szCs w:val="21"/>
              </w:rPr>
            </w:pPr>
            <w:r>
              <w:rPr>
                <w:rFonts w:hint="eastAsia" w:ascii="宋体" w:hAnsi="宋体"/>
                <w:szCs w:val="21"/>
              </w:rPr>
              <w:t>业绩要求</w:t>
            </w:r>
          </w:p>
        </w:tc>
      </w:tr>
      <w:tr w14:paraId="735B68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5" w:type="pct"/>
            <w:vAlign w:val="center"/>
          </w:tcPr>
          <w:p w14:paraId="095D0BD9">
            <w:pPr>
              <w:jc w:val="center"/>
              <w:rPr>
                <w:rFonts w:ascii="宋体" w:hAnsi="宋体"/>
                <w:szCs w:val="21"/>
              </w:rPr>
            </w:pPr>
            <w:r>
              <w:rPr>
                <w:rFonts w:hint="eastAsia" w:ascii="仿宋" w:hAnsi="仿宋" w:eastAsia="仿宋" w:cs="仿宋"/>
                <w:kern w:val="0"/>
                <w:szCs w:val="21"/>
              </w:rPr>
              <w:t>SG01</w:t>
            </w:r>
          </w:p>
        </w:tc>
        <w:tc>
          <w:tcPr>
            <w:tcW w:w="4154" w:type="pct"/>
            <w:vMerge w:val="restart"/>
            <w:vAlign w:val="center"/>
          </w:tcPr>
          <w:p w14:paraId="519C46F8">
            <w:pPr>
              <w:widowControl/>
              <w:spacing w:line="360" w:lineRule="atLeast"/>
              <w:jc w:val="left"/>
              <w:rPr>
                <w:rFonts w:ascii="宋体" w:hAnsi="宋体" w:cs="宋体"/>
              </w:rPr>
            </w:pPr>
            <w:r>
              <w:rPr>
                <w:rFonts w:hint="eastAsia" w:ascii="宋体" w:hAnsi="宋体" w:cs="宋体"/>
              </w:rPr>
              <w:t>/</w:t>
            </w:r>
          </w:p>
        </w:tc>
      </w:tr>
      <w:tr w14:paraId="7DD3D3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5" w:type="pct"/>
            <w:vAlign w:val="center"/>
          </w:tcPr>
          <w:p w14:paraId="14BEC00E">
            <w:pPr>
              <w:jc w:val="center"/>
              <w:rPr>
                <w:rFonts w:ascii="仿宋" w:hAnsi="仿宋" w:eastAsia="仿宋" w:cs="仿宋"/>
                <w:kern w:val="0"/>
                <w:szCs w:val="21"/>
              </w:rPr>
            </w:pPr>
            <w:r>
              <w:rPr>
                <w:rFonts w:hint="eastAsia" w:ascii="仿宋" w:hAnsi="仿宋" w:eastAsia="仿宋" w:cs="仿宋"/>
                <w:kern w:val="0"/>
                <w:szCs w:val="21"/>
              </w:rPr>
              <w:t>JA01</w:t>
            </w:r>
          </w:p>
        </w:tc>
        <w:tc>
          <w:tcPr>
            <w:tcW w:w="4154" w:type="pct"/>
            <w:vMerge w:val="continue"/>
            <w:vAlign w:val="center"/>
          </w:tcPr>
          <w:p w14:paraId="74DA82AB">
            <w:pPr>
              <w:widowControl/>
              <w:spacing w:line="360" w:lineRule="atLeast"/>
              <w:jc w:val="left"/>
              <w:rPr>
                <w:rFonts w:ascii="楷体" w:hAnsi="楷体" w:eastAsia="楷体" w:cs="楷体"/>
                <w:color w:val="FF0000"/>
                <w:szCs w:val="21"/>
              </w:rPr>
            </w:pPr>
          </w:p>
        </w:tc>
      </w:tr>
      <w:tr w14:paraId="40EFA7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5" w:type="pct"/>
            <w:shd w:val="clear" w:color="auto" w:fill="auto"/>
            <w:vAlign w:val="center"/>
          </w:tcPr>
          <w:p w14:paraId="4254A085">
            <w:pPr>
              <w:jc w:val="center"/>
              <w:rPr>
                <w:rFonts w:ascii="仿宋" w:hAnsi="仿宋" w:eastAsia="仿宋" w:cs="仿宋"/>
                <w:kern w:val="0"/>
                <w:szCs w:val="21"/>
              </w:rPr>
            </w:pPr>
            <w:r>
              <w:rPr>
                <w:rFonts w:hint="eastAsia" w:ascii="仿宋" w:hAnsi="仿宋" w:eastAsia="仿宋" w:cs="仿宋"/>
                <w:kern w:val="0"/>
                <w:szCs w:val="21"/>
              </w:rPr>
              <w:t>LH01</w:t>
            </w:r>
          </w:p>
        </w:tc>
        <w:tc>
          <w:tcPr>
            <w:tcW w:w="4154" w:type="pct"/>
            <w:vMerge w:val="continue"/>
            <w:vAlign w:val="center"/>
          </w:tcPr>
          <w:p w14:paraId="439EDF77">
            <w:pPr>
              <w:widowControl/>
              <w:spacing w:line="360" w:lineRule="atLeast"/>
              <w:jc w:val="left"/>
              <w:rPr>
                <w:rFonts w:ascii="宋体" w:hAnsi="宋体" w:cs="宋体"/>
              </w:rPr>
            </w:pPr>
          </w:p>
        </w:tc>
      </w:tr>
    </w:tbl>
    <w:p w14:paraId="44EE60F7">
      <w:pPr>
        <w:pStyle w:val="3"/>
        <w:adjustRightInd w:val="0"/>
        <w:snapToGrid w:val="0"/>
        <w:spacing w:beforeLines="50" w:after="0"/>
        <w:ind w:firstLine="280" w:firstLineChars="100"/>
        <w:jc w:val="center"/>
        <w:rPr>
          <w:rFonts w:ascii="黑体" w:hAnsi="黑体"/>
          <w:sz w:val="28"/>
          <w:lang w:val="zh-CN"/>
        </w:rPr>
      </w:pPr>
    </w:p>
    <w:p w14:paraId="080AACDD">
      <w:pPr>
        <w:pStyle w:val="3"/>
        <w:adjustRightInd w:val="0"/>
        <w:snapToGrid w:val="0"/>
        <w:spacing w:beforeLines="50" w:after="0"/>
        <w:ind w:firstLine="280" w:firstLineChars="100"/>
        <w:jc w:val="center"/>
        <w:rPr>
          <w:rFonts w:ascii="黑体" w:hAnsi="黑体"/>
          <w:sz w:val="28"/>
          <w:lang w:val="zh-CN"/>
        </w:rPr>
      </w:pPr>
      <w:r>
        <w:rPr>
          <w:rFonts w:hint="eastAsia" w:ascii="黑体" w:hAnsi="黑体"/>
          <w:sz w:val="28"/>
          <w:lang w:val="zh-CN"/>
        </w:rPr>
        <w:t>附录</w:t>
      </w:r>
      <w:r>
        <w:rPr>
          <w:rFonts w:hint="eastAsia" w:ascii="黑体" w:hAnsi="黑体"/>
          <w:sz w:val="28"/>
        </w:rPr>
        <w:t>4</w:t>
      </w:r>
      <w:r>
        <w:rPr>
          <w:rFonts w:hint="eastAsia" w:ascii="黑体" w:hAnsi="黑体"/>
          <w:sz w:val="28"/>
          <w:lang w:val="zh-CN"/>
        </w:rPr>
        <w:t>资格审查条件（信誉最低要求）</w:t>
      </w:r>
    </w:p>
    <w:tbl>
      <w:tblPr>
        <w:tblStyle w:val="7"/>
        <w:tblW w:w="4991"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24"/>
        <w:gridCol w:w="8413"/>
      </w:tblGrid>
      <w:tr w14:paraId="1A5922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424" w:type="dxa"/>
            <w:vAlign w:val="center"/>
          </w:tcPr>
          <w:p w14:paraId="1C96588E">
            <w:pPr>
              <w:adjustRightInd w:val="0"/>
              <w:snapToGrid w:val="0"/>
              <w:spacing w:before="120" w:beforeLines="50"/>
              <w:jc w:val="center"/>
              <w:rPr>
                <w:rFonts w:ascii="宋体" w:hAnsi="宋体"/>
                <w:szCs w:val="21"/>
              </w:rPr>
            </w:pPr>
            <w:r>
              <w:rPr>
                <w:rFonts w:hint="eastAsia" w:ascii="宋体" w:hAnsi="宋体"/>
                <w:szCs w:val="21"/>
              </w:rPr>
              <w:t>标段</w:t>
            </w:r>
          </w:p>
        </w:tc>
        <w:tc>
          <w:tcPr>
            <w:tcW w:w="8414" w:type="dxa"/>
            <w:vAlign w:val="center"/>
          </w:tcPr>
          <w:p w14:paraId="4ECFF0E3">
            <w:pPr>
              <w:adjustRightInd w:val="0"/>
              <w:snapToGrid w:val="0"/>
              <w:spacing w:before="120" w:beforeLines="50"/>
              <w:jc w:val="center"/>
              <w:rPr>
                <w:rFonts w:ascii="宋体" w:hAnsi="宋体"/>
                <w:szCs w:val="21"/>
              </w:rPr>
            </w:pPr>
            <w:r>
              <w:rPr>
                <w:rFonts w:hint="eastAsia" w:ascii="宋体" w:hAnsi="宋体"/>
                <w:szCs w:val="21"/>
              </w:rPr>
              <w:t>信誉要求</w:t>
            </w:r>
          </w:p>
        </w:tc>
      </w:tr>
      <w:tr w14:paraId="4CACC9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424" w:type="dxa"/>
            <w:vAlign w:val="center"/>
          </w:tcPr>
          <w:p w14:paraId="6883359B">
            <w:pPr>
              <w:jc w:val="center"/>
              <w:rPr>
                <w:rFonts w:ascii="宋体" w:hAnsi="宋体"/>
                <w:szCs w:val="21"/>
              </w:rPr>
            </w:pPr>
            <w:r>
              <w:rPr>
                <w:rFonts w:hint="eastAsia" w:ascii="仿宋" w:hAnsi="仿宋" w:eastAsia="仿宋" w:cs="仿宋"/>
                <w:kern w:val="0"/>
                <w:szCs w:val="21"/>
              </w:rPr>
              <w:t>SG01</w:t>
            </w:r>
          </w:p>
        </w:tc>
        <w:tc>
          <w:tcPr>
            <w:tcW w:w="8414" w:type="dxa"/>
            <w:vMerge w:val="restart"/>
            <w:vAlign w:val="center"/>
          </w:tcPr>
          <w:p w14:paraId="0CAC6509">
            <w:pPr>
              <w:adjustRightInd w:val="0"/>
              <w:snapToGrid w:val="0"/>
              <w:spacing w:before="120" w:beforeLines="50"/>
              <w:ind w:firstLine="210" w:firstLineChars="100"/>
              <w:rPr>
                <w:rFonts w:ascii="宋体" w:hAnsi="宋体"/>
                <w:szCs w:val="21"/>
              </w:rPr>
            </w:pPr>
            <w:r>
              <w:rPr>
                <w:rFonts w:hint="eastAsia" w:ascii="宋体" w:hAnsi="宋体"/>
                <w:szCs w:val="21"/>
              </w:rPr>
              <w:t>投标人不得存在“投标人须知”第1.4.4项的规定不良状况或不良信用记录。</w:t>
            </w:r>
          </w:p>
        </w:tc>
      </w:tr>
      <w:tr w14:paraId="143A76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424" w:type="dxa"/>
            <w:vAlign w:val="center"/>
          </w:tcPr>
          <w:p w14:paraId="1BAA2688">
            <w:pPr>
              <w:jc w:val="center"/>
              <w:rPr>
                <w:rFonts w:ascii="仿宋" w:hAnsi="仿宋" w:eastAsia="仿宋" w:cs="仿宋"/>
                <w:kern w:val="0"/>
                <w:szCs w:val="21"/>
              </w:rPr>
            </w:pPr>
            <w:r>
              <w:rPr>
                <w:rFonts w:hint="eastAsia" w:ascii="仿宋" w:hAnsi="仿宋" w:eastAsia="仿宋" w:cs="仿宋"/>
                <w:kern w:val="0"/>
                <w:szCs w:val="21"/>
              </w:rPr>
              <w:t>JA01</w:t>
            </w:r>
          </w:p>
        </w:tc>
        <w:tc>
          <w:tcPr>
            <w:tcW w:w="8414" w:type="dxa"/>
            <w:vMerge w:val="continue"/>
            <w:vAlign w:val="center"/>
          </w:tcPr>
          <w:p w14:paraId="69950054">
            <w:pPr>
              <w:adjustRightInd w:val="0"/>
              <w:snapToGrid w:val="0"/>
              <w:spacing w:before="120" w:beforeLines="50"/>
              <w:ind w:firstLine="210" w:firstLineChars="100"/>
              <w:rPr>
                <w:rFonts w:ascii="宋体" w:hAnsi="宋体"/>
                <w:szCs w:val="21"/>
              </w:rPr>
            </w:pPr>
          </w:p>
        </w:tc>
      </w:tr>
      <w:tr w14:paraId="645517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424" w:type="dxa"/>
            <w:shd w:val="clear" w:color="auto" w:fill="auto"/>
            <w:vAlign w:val="center"/>
          </w:tcPr>
          <w:p w14:paraId="21F2195A">
            <w:pPr>
              <w:jc w:val="center"/>
              <w:rPr>
                <w:rFonts w:ascii="仿宋" w:hAnsi="仿宋" w:eastAsia="仿宋" w:cs="仿宋"/>
                <w:kern w:val="0"/>
                <w:szCs w:val="21"/>
              </w:rPr>
            </w:pPr>
            <w:r>
              <w:rPr>
                <w:rFonts w:hint="eastAsia" w:ascii="仿宋" w:hAnsi="仿宋" w:eastAsia="仿宋" w:cs="仿宋"/>
                <w:kern w:val="0"/>
                <w:szCs w:val="21"/>
              </w:rPr>
              <w:t>LH01</w:t>
            </w:r>
          </w:p>
        </w:tc>
        <w:tc>
          <w:tcPr>
            <w:tcW w:w="8414" w:type="dxa"/>
            <w:vMerge w:val="continue"/>
            <w:vAlign w:val="center"/>
          </w:tcPr>
          <w:p w14:paraId="5FC359B3">
            <w:pPr>
              <w:adjustRightInd w:val="0"/>
              <w:snapToGrid w:val="0"/>
              <w:spacing w:before="120" w:beforeLines="50"/>
              <w:ind w:firstLine="210" w:firstLineChars="100"/>
              <w:rPr>
                <w:rFonts w:ascii="宋体" w:hAnsi="宋体"/>
                <w:szCs w:val="21"/>
              </w:rPr>
            </w:pPr>
          </w:p>
        </w:tc>
      </w:tr>
    </w:tbl>
    <w:p w14:paraId="2F68AE77">
      <w:pPr>
        <w:pStyle w:val="3"/>
        <w:adjustRightInd w:val="0"/>
        <w:snapToGrid w:val="0"/>
        <w:spacing w:beforeLines="50" w:after="0"/>
        <w:ind w:firstLine="280" w:firstLineChars="100"/>
        <w:jc w:val="center"/>
        <w:rPr>
          <w:rFonts w:ascii="黑体" w:hAnsi="黑体"/>
          <w:sz w:val="28"/>
          <w:lang w:val="zh-CN"/>
        </w:rPr>
      </w:pPr>
      <w:r>
        <w:rPr>
          <w:rFonts w:hint="eastAsia" w:ascii="黑体" w:hAnsi="黑体"/>
          <w:sz w:val="28"/>
          <w:lang w:val="zh-CN"/>
        </w:rPr>
        <w:t>附录</w:t>
      </w:r>
      <w:r>
        <w:rPr>
          <w:rFonts w:hint="eastAsia" w:ascii="黑体" w:hAnsi="黑体"/>
          <w:sz w:val="28"/>
        </w:rPr>
        <w:t>5</w:t>
      </w:r>
      <w:r>
        <w:rPr>
          <w:rFonts w:hint="eastAsia" w:ascii="黑体" w:hAnsi="黑体"/>
          <w:sz w:val="28"/>
          <w:lang w:val="zh-CN"/>
        </w:rPr>
        <w:t>资格审查条件（项目经理和项目总工最低要求）</w:t>
      </w:r>
    </w:p>
    <w:p w14:paraId="5DF9CD04">
      <w:pPr>
        <w:rPr>
          <w:lang w:val="zh-CN"/>
        </w:rPr>
      </w:pP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03"/>
        <w:gridCol w:w="1433"/>
        <w:gridCol w:w="728"/>
        <w:gridCol w:w="5180"/>
        <w:gridCol w:w="1311"/>
      </w:tblGrid>
      <w:tr w14:paraId="68AE15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10" w:type="pct"/>
            <w:vAlign w:val="center"/>
          </w:tcPr>
          <w:p w14:paraId="533AFEB9">
            <w:pPr>
              <w:snapToGrid w:val="0"/>
              <w:jc w:val="center"/>
              <w:rPr>
                <w:rFonts w:ascii="宋体" w:hAnsi="宋体"/>
                <w:szCs w:val="21"/>
              </w:rPr>
            </w:pPr>
            <w:r>
              <w:rPr>
                <w:rFonts w:hint="eastAsia" w:ascii="宋体" w:hAnsi="宋体"/>
                <w:szCs w:val="21"/>
              </w:rPr>
              <w:t>标段</w:t>
            </w:r>
          </w:p>
        </w:tc>
        <w:tc>
          <w:tcPr>
            <w:tcW w:w="727" w:type="pct"/>
            <w:vAlign w:val="center"/>
          </w:tcPr>
          <w:p w14:paraId="194AEB1B">
            <w:pPr>
              <w:snapToGrid w:val="0"/>
              <w:jc w:val="center"/>
              <w:rPr>
                <w:rFonts w:ascii="宋体" w:hAnsi="宋体"/>
                <w:szCs w:val="21"/>
              </w:rPr>
            </w:pPr>
            <w:r>
              <w:rPr>
                <w:rFonts w:hint="eastAsia" w:ascii="宋体" w:hAnsi="宋体"/>
                <w:szCs w:val="21"/>
              </w:rPr>
              <w:t>人员</w:t>
            </w:r>
          </w:p>
        </w:tc>
        <w:tc>
          <w:tcPr>
            <w:tcW w:w="369" w:type="pct"/>
            <w:vAlign w:val="center"/>
          </w:tcPr>
          <w:p w14:paraId="6A2A33DD">
            <w:pPr>
              <w:snapToGrid w:val="0"/>
              <w:jc w:val="center"/>
              <w:rPr>
                <w:rFonts w:ascii="宋体" w:hAnsi="宋体"/>
                <w:szCs w:val="21"/>
              </w:rPr>
            </w:pPr>
            <w:r>
              <w:rPr>
                <w:rFonts w:hint="eastAsia" w:ascii="宋体" w:hAnsi="宋体"/>
                <w:szCs w:val="21"/>
              </w:rPr>
              <w:t>数量</w:t>
            </w:r>
          </w:p>
        </w:tc>
        <w:tc>
          <w:tcPr>
            <w:tcW w:w="2627" w:type="pct"/>
            <w:vAlign w:val="center"/>
          </w:tcPr>
          <w:p w14:paraId="701482F1">
            <w:pPr>
              <w:snapToGrid w:val="0"/>
              <w:jc w:val="center"/>
              <w:rPr>
                <w:rFonts w:ascii="宋体" w:hAnsi="宋体"/>
                <w:szCs w:val="21"/>
              </w:rPr>
            </w:pPr>
            <w:r>
              <w:rPr>
                <w:rFonts w:hint="eastAsia" w:ascii="宋体" w:hAnsi="宋体"/>
                <w:szCs w:val="21"/>
              </w:rPr>
              <w:t>资格最低要求</w:t>
            </w:r>
          </w:p>
        </w:tc>
        <w:tc>
          <w:tcPr>
            <w:tcW w:w="665" w:type="pct"/>
            <w:vAlign w:val="center"/>
          </w:tcPr>
          <w:p w14:paraId="5DF059B3">
            <w:pPr>
              <w:snapToGrid w:val="0"/>
              <w:jc w:val="center"/>
              <w:rPr>
                <w:rFonts w:ascii="宋体" w:hAnsi="宋体"/>
                <w:szCs w:val="21"/>
              </w:rPr>
            </w:pPr>
            <w:r>
              <w:rPr>
                <w:rFonts w:hint="eastAsia" w:ascii="宋体" w:hAnsi="宋体"/>
                <w:szCs w:val="21"/>
              </w:rPr>
              <w:t>在岗要求</w:t>
            </w:r>
          </w:p>
        </w:tc>
      </w:tr>
      <w:tr w14:paraId="2F3A4D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18" w:hRule="atLeast"/>
          <w:jc w:val="center"/>
        </w:trPr>
        <w:tc>
          <w:tcPr>
            <w:tcW w:w="610" w:type="pct"/>
            <w:vMerge w:val="restart"/>
            <w:vAlign w:val="center"/>
          </w:tcPr>
          <w:p w14:paraId="797B916F">
            <w:pPr>
              <w:jc w:val="center"/>
              <w:rPr>
                <w:rFonts w:ascii="宋体" w:hAnsi="宋体"/>
                <w:szCs w:val="21"/>
              </w:rPr>
            </w:pPr>
            <w:r>
              <w:rPr>
                <w:rFonts w:hint="eastAsia" w:ascii="仿宋" w:hAnsi="仿宋" w:eastAsia="仿宋" w:cs="仿宋"/>
                <w:kern w:val="0"/>
                <w:szCs w:val="21"/>
              </w:rPr>
              <w:t>SG01</w:t>
            </w:r>
          </w:p>
        </w:tc>
        <w:tc>
          <w:tcPr>
            <w:tcW w:w="727" w:type="pct"/>
            <w:vAlign w:val="center"/>
          </w:tcPr>
          <w:p w14:paraId="14874989">
            <w:pPr>
              <w:autoSpaceDE w:val="0"/>
              <w:autoSpaceDN w:val="0"/>
              <w:adjustRightInd w:val="0"/>
              <w:spacing w:line="400" w:lineRule="exact"/>
              <w:jc w:val="center"/>
              <w:rPr>
                <w:rFonts w:ascii="宋体" w:hAnsi="宋体" w:cs="宋体"/>
                <w:szCs w:val="21"/>
              </w:rPr>
            </w:pPr>
            <w:r>
              <w:rPr>
                <w:rFonts w:hint="eastAsia" w:ascii="宋体" w:hAnsi="宋体" w:cs="宋体"/>
                <w:szCs w:val="21"/>
              </w:rPr>
              <w:t>项目</w:t>
            </w:r>
          </w:p>
          <w:p w14:paraId="251CCA23">
            <w:pPr>
              <w:autoSpaceDE w:val="0"/>
              <w:autoSpaceDN w:val="0"/>
              <w:adjustRightInd w:val="0"/>
              <w:spacing w:line="400" w:lineRule="exact"/>
              <w:jc w:val="center"/>
              <w:rPr>
                <w:rFonts w:ascii="宋体" w:hAnsi="宋体" w:cs="宋体"/>
                <w:szCs w:val="21"/>
              </w:rPr>
            </w:pPr>
            <w:r>
              <w:rPr>
                <w:rFonts w:hint="eastAsia" w:ascii="宋体" w:hAnsi="宋体" w:cs="宋体"/>
                <w:szCs w:val="21"/>
              </w:rPr>
              <w:t>经理</w:t>
            </w:r>
          </w:p>
        </w:tc>
        <w:tc>
          <w:tcPr>
            <w:tcW w:w="369" w:type="pct"/>
            <w:vAlign w:val="center"/>
          </w:tcPr>
          <w:p w14:paraId="5C83717C">
            <w:pPr>
              <w:autoSpaceDE w:val="0"/>
              <w:autoSpaceDN w:val="0"/>
              <w:adjustRightInd w:val="0"/>
              <w:spacing w:line="400" w:lineRule="exact"/>
              <w:jc w:val="center"/>
              <w:rPr>
                <w:rFonts w:ascii="宋体" w:hAnsi="宋体" w:cs="宋体"/>
                <w:szCs w:val="21"/>
              </w:rPr>
            </w:pPr>
            <w:r>
              <w:rPr>
                <w:rFonts w:hint="eastAsia" w:ascii="宋体" w:hAnsi="宋体" w:cs="宋体"/>
                <w:szCs w:val="21"/>
              </w:rPr>
              <w:t>1</w:t>
            </w:r>
          </w:p>
        </w:tc>
        <w:tc>
          <w:tcPr>
            <w:tcW w:w="2627" w:type="pct"/>
            <w:vAlign w:val="center"/>
          </w:tcPr>
          <w:p w14:paraId="39A59AE8">
            <w:pPr>
              <w:wordWrap w:val="0"/>
              <w:autoSpaceDE w:val="0"/>
              <w:autoSpaceDN w:val="0"/>
              <w:adjustRightInd w:val="0"/>
              <w:spacing w:line="360" w:lineRule="exact"/>
              <w:rPr>
                <w:rFonts w:ascii="宋体" w:hAnsi="宋体" w:cs="宋体"/>
                <w:szCs w:val="21"/>
              </w:rPr>
            </w:pPr>
            <w:r>
              <w:rPr>
                <w:rFonts w:hint="eastAsia" w:ascii="宋体" w:hAnsi="宋体" w:cs="宋体"/>
                <w:szCs w:val="21"/>
              </w:rPr>
              <w:t>（1）投标人自有人员；</w:t>
            </w:r>
          </w:p>
          <w:p w14:paraId="21348F99">
            <w:pPr>
              <w:wordWrap w:val="0"/>
              <w:autoSpaceDE w:val="0"/>
              <w:autoSpaceDN w:val="0"/>
              <w:adjustRightInd w:val="0"/>
              <w:spacing w:line="360" w:lineRule="exact"/>
              <w:rPr>
                <w:rFonts w:ascii="宋体" w:hAnsi="宋体" w:cs="宋体"/>
                <w:szCs w:val="21"/>
              </w:rPr>
            </w:pPr>
            <w:r>
              <w:rPr>
                <w:rFonts w:hint="eastAsia" w:ascii="宋体" w:hAnsi="宋体" w:cs="宋体"/>
                <w:szCs w:val="21"/>
              </w:rPr>
              <w:t>（2）公路工程相关专业工程师职称；</w:t>
            </w:r>
          </w:p>
          <w:p w14:paraId="7875A7D6">
            <w:pPr>
              <w:wordWrap w:val="0"/>
              <w:autoSpaceDE w:val="0"/>
              <w:autoSpaceDN w:val="0"/>
              <w:adjustRightInd w:val="0"/>
              <w:spacing w:line="360" w:lineRule="exact"/>
              <w:rPr>
                <w:rFonts w:ascii="宋体" w:hAnsi="宋体" w:cs="宋体"/>
                <w:szCs w:val="21"/>
              </w:rPr>
            </w:pPr>
            <w:r>
              <w:rPr>
                <w:rFonts w:hint="eastAsia" w:ascii="宋体" w:hAnsi="宋体" w:cs="宋体"/>
                <w:szCs w:val="21"/>
              </w:rPr>
              <w:t>（3）具有建设行政主管部门颁发的公路工程专业《壹级建造师电子注册证书》，且现注册单位为投标人；</w:t>
            </w:r>
          </w:p>
          <w:p w14:paraId="54B4B2FA">
            <w:pPr>
              <w:wordWrap w:val="0"/>
              <w:autoSpaceDE w:val="0"/>
              <w:autoSpaceDN w:val="0"/>
              <w:adjustRightInd w:val="0"/>
              <w:spacing w:line="360" w:lineRule="exact"/>
              <w:rPr>
                <w:rFonts w:ascii="宋体" w:hAnsi="宋体" w:cs="宋体"/>
                <w:szCs w:val="21"/>
              </w:rPr>
            </w:pPr>
            <w:r>
              <w:rPr>
                <w:rFonts w:hint="eastAsia" w:ascii="宋体" w:hAnsi="宋体" w:cs="宋体"/>
                <w:szCs w:val="21"/>
              </w:rPr>
              <w:t>（4）具有交通运输主管部门颁发的有效的B类安全生产考核合格证书。</w:t>
            </w:r>
          </w:p>
        </w:tc>
        <w:tc>
          <w:tcPr>
            <w:tcW w:w="665" w:type="pct"/>
            <w:vMerge w:val="restart"/>
            <w:vAlign w:val="center"/>
          </w:tcPr>
          <w:p w14:paraId="334312F0">
            <w:pPr>
              <w:adjustRightInd w:val="0"/>
              <w:snapToGrid w:val="0"/>
              <w:rPr>
                <w:rFonts w:ascii="宋体" w:hAnsi="宋体"/>
                <w:szCs w:val="21"/>
              </w:rPr>
            </w:pPr>
            <w:r>
              <w:rPr>
                <w:rFonts w:hint="eastAsia" w:ascii="宋体" w:hAnsi="宋体"/>
                <w:szCs w:val="21"/>
              </w:rPr>
              <w:t>无在岗项目(指目前未在其他项目上任职，或虽在其他项目上任职但本项目中标后能够从该项目撤离)</w:t>
            </w:r>
          </w:p>
        </w:tc>
      </w:tr>
      <w:tr w14:paraId="301F4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3" w:hRule="atLeast"/>
          <w:jc w:val="center"/>
        </w:trPr>
        <w:tc>
          <w:tcPr>
            <w:tcW w:w="610" w:type="pct"/>
            <w:vMerge w:val="continue"/>
            <w:vAlign w:val="center"/>
          </w:tcPr>
          <w:p w14:paraId="6AAF2523">
            <w:pPr>
              <w:adjustRightInd w:val="0"/>
              <w:snapToGrid w:val="0"/>
              <w:spacing w:before="120" w:beforeLines="50"/>
              <w:jc w:val="center"/>
              <w:rPr>
                <w:rFonts w:ascii="宋体" w:hAnsi="宋体"/>
                <w:szCs w:val="21"/>
              </w:rPr>
            </w:pPr>
          </w:p>
        </w:tc>
        <w:tc>
          <w:tcPr>
            <w:tcW w:w="727" w:type="pct"/>
            <w:vAlign w:val="center"/>
          </w:tcPr>
          <w:p w14:paraId="5C30AA99">
            <w:pPr>
              <w:autoSpaceDE w:val="0"/>
              <w:autoSpaceDN w:val="0"/>
              <w:adjustRightInd w:val="0"/>
              <w:spacing w:line="400" w:lineRule="exact"/>
              <w:jc w:val="center"/>
              <w:rPr>
                <w:rFonts w:ascii="宋体" w:hAnsi="宋体" w:cs="宋体"/>
                <w:szCs w:val="21"/>
              </w:rPr>
            </w:pPr>
            <w:r>
              <w:rPr>
                <w:rFonts w:hint="eastAsia" w:ascii="宋体" w:hAnsi="宋体" w:cs="宋体"/>
                <w:szCs w:val="21"/>
              </w:rPr>
              <w:t>项目</w:t>
            </w:r>
          </w:p>
          <w:p w14:paraId="520D8539">
            <w:pPr>
              <w:autoSpaceDE w:val="0"/>
              <w:autoSpaceDN w:val="0"/>
              <w:adjustRightInd w:val="0"/>
              <w:spacing w:line="400" w:lineRule="exact"/>
              <w:jc w:val="center"/>
              <w:rPr>
                <w:rFonts w:ascii="宋体" w:hAnsi="宋体" w:cs="宋体"/>
                <w:szCs w:val="21"/>
              </w:rPr>
            </w:pPr>
            <w:r>
              <w:rPr>
                <w:rFonts w:hint="eastAsia" w:ascii="宋体" w:hAnsi="宋体" w:cs="宋体"/>
                <w:szCs w:val="21"/>
              </w:rPr>
              <w:t>总工</w:t>
            </w:r>
          </w:p>
        </w:tc>
        <w:tc>
          <w:tcPr>
            <w:tcW w:w="369" w:type="pct"/>
            <w:vAlign w:val="center"/>
          </w:tcPr>
          <w:p w14:paraId="6BBCCD25">
            <w:pPr>
              <w:autoSpaceDE w:val="0"/>
              <w:autoSpaceDN w:val="0"/>
              <w:adjustRightInd w:val="0"/>
              <w:spacing w:line="400" w:lineRule="exact"/>
              <w:jc w:val="center"/>
              <w:rPr>
                <w:rFonts w:ascii="宋体" w:hAnsi="宋体" w:cs="宋体"/>
                <w:szCs w:val="21"/>
              </w:rPr>
            </w:pPr>
            <w:r>
              <w:rPr>
                <w:rFonts w:hint="eastAsia" w:ascii="宋体" w:hAnsi="宋体" w:cs="宋体"/>
                <w:szCs w:val="21"/>
              </w:rPr>
              <w:t>1</w:t>
            </w:r>
          </w:p>
        </w:tc>
        <w:tc>
          <w:tcPr>
            <w:tcW w:w="2627" w:type="pct"/>
            <w:vAlign w:val="center"/>
          </w:tcPr>
          <w:p w14:paraId="451704CB">
            <w:pPr>
              <w:wordWrap w:val="0"/>
              <w:autoSpaceDE w:val="0"/>
              <w:autoSpaceDN w:val="0"/>
              <w:adjustRightInd w:val="0"/>
              <w:spacing w:line="360" w:lineRule="exact"/>
              <w:rPr>
                <w:rFonts w:ascii="宋体" w:hAnsi="宋体" w:cs="宋体"/>
                <w:szCs w:val="21"/>
              </w:rPr>
            </w:pPr>
            <w:r>
              <w:rPr>
                <w:rFonts w:hint="eastAsia" w:ascii="宋体" w:hAnsi="宋体" w:cs="宋体"/>
                <w:szCs w:val="21"/>
              </w:rPr>
              <w:t>（1）投标人自有人员；</w:t>
            </w:r>
          </w:p>
          <w:p w14:paraId="1F1FBF6F">
            <w:pPr>
              <w:wordWrap w:val="0"/>
              <w:autoSpaceDE w:val="0"/>
              <w:autoSpaceDN w:val="0"/>
              <w:adjustRightInd w:val="0"/>
              <w:spacing w:line="360" w:lineRule="exact"/>
              <w:rPr>
                <w:rFonts w:ascii="宋体" w:hAnsi="宋体" w:cs="宋体"/>
                <w:szCs w:val="21"/>
              </w:rPr>
            </w:pPr>
            <w:r>
              <w:rPr>
                <w:rFonts w:hint="eastAsia" w:ascii="宋体" w:hAnsi="宋体" w:cs="宋体"/>
                <w:szCs w:val="21"/>
              </w:rPr>
              <w:t>（2）公路工程相关专业高级工程师职称。</w:t>
            </w:r>
          </w:p>
        </w:tc>
        <w:tc>
          <w:tcPr>
            <w:tcW w:w="665" w:type="pct"/>
            <w:vMerge w:val="continue"/>
            <w:vAlign w:val="center"/>
          </w:tcPr>
          <w:p w14:paraId="1FFFB714">
            <w:pPr>
              <w:adjustRightInd w:val="0"/>
              <w:snapToGrid w:val="0"/>
              <w:rPr>
                <w:rFonts w:ascii="宋体" w:hAnsi="宋体"/>
                <w:szCs w:val="21"/>
              </w:rPr>
            </w:pPr>
          </w:p>
        </w:tc>
      </w:tr>
      <w:tr w14:paraId="007E90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66" w:hRule="atLeast"/>
          <w:jc w:val="center"/>
        </w:trPr>
        <w:tc>
          <w:tcPr>
            <w:tcW w:w="610" w:type="pct"/>
            <w:vMerge w:val="restart"/>
            <w:vAlign w:val="center"/>
          </w:tcPr>
          <w:p w14:paraId="3AAB7B59">
            <w:pPr>
              <w:adjustRightInd w:val="0"/>
              <w:snapToGrid w:val="0"/>
              <w:spacing w:before="120" w:beforeLines="50"/>
              <w:jc w:val="center"/>
              <w:rPr>
                <w:rFonts w:ascii="宋体" w:hAnsi="宋体"/>
                <w:szCs w:val="21"/>
              </w:rPr>
            </w:pPr>
            <w:r>
              <w:rPr>
                <w:rFonts w:hint="eastAsia" w:ascii="宋体" w:hAnsi="宋体"/>
                <w:szCs w:val="21"/>
              </w:rPr>
              <w:t>JA01</w:t>
            </w:r>
          </w:p>
        </w:tc>
        <w:tc>
          <w:tcPr>
            <w:tcW w:w="727" w:type="pct"/>
            <w:vAlign w:val="center"/>
          </w:tcPr>
          <w:p w14:paraId="5FA7CAF0">
            <w:pPr>
              <w:autoSpaceDE w:val="0"/>
              <w:autoSpaceDN w:val="0"/>
              <w:adjustRightInd w:val="0"/>
              <w:spacing w:line="400" w:lineRule="exact"/>
              <w:jc w:val="center"/>
              <w:rPr>
                <w:rFonts w:ascii="宋体" w:hAnsi="宋体" w:cs="宋体"/>
                <w:szCs w:val="21"/>
              </w:rPr>
            </w:pPr>
            <w:r>
              <w:rPr>
                <w:rFonts w:hint="eastAsia" w:ascii="宋体" w:hAnsi="宋体" w:cs="宋体"/>
                <w:szCs w:val="21"/>
              </w:rPr>
              <w:t>项目</w:t>
            </w:r>
          </w:p>
          <w:p w14:paraId="43214F93">
            <w:pPr>
              <w:autoSpaceDE w:val="0"/>
              <w:autoSpaceDN w:val="0"/>
              <w:adjustRightInd w:val="0"/>
              <w:spacing w:line="400" w:lineRule="exact"/>
              <w:jc w:val="center"/>
              <w:rPr>
                <w:rFonts w:ascii="宋体" w:hAnsi="宋体" w:cs="宋体"/>
                <w:szCs w:val="21"/>
              </w:rPr>
            </w:pPr>
            <w:r>
              <w:rPr>
                <w:rFonts w:hint="eastAsia" w:ascii="宋体" w:hAnsi="宋体" w:cs="宋体"/>
                <w:szCs w:val="21"/>
              </w:rPr>
              <w:t>经理</w:t>
            </w:r>
          </w:p>
        </w:tc>
        <w:tc>
          <w:tcPr>
            <w:tcW w:w="369" w:type="pct"/>
            <w:vAlign w:val="center"/>
          </w:tcPr>
          <w:p w14:paraId="6FF693F0">
            <w:pPr>
              <w:autoSpaceDE w:val="0"/>
              <w:autoSpaceDN w:val="0"/>
              <w:adjustRightInd w:val="0"/>
              <w:spacing w:line="400" w:lineRule="exact"/>
              <w:jc w:val="center"/>
              <w:rPr>
                <w:rFonts w:ascii="宋体" w:hAnsi="宋体" w:cs="宋体"/>
                <w:szCs w:val="21"/>
              </w:rPr>
            </w:pPr>
            <w:r>
              <w:rPr>
                <w:rFonts w:hint="eastAsia" w:ascii="宋体" w:hAnsi="宋体" w:cs="宋体"/>
                <w:szCs w:val="21"/>
              </w:rPr>
              <w:t>1</w:t>
            </w:r>
          </w:p>
        </w:tc>
        <w:tc>
          <w:tcPr>
            <w:tcW w:w="2627" w:type="pct"/>
            <w:vAlign w:val="center"/>
          </w:tcPr>
          <w:p w14:paraId="619660B6">
            <w:pPr>
              <w:wordWrap w:val="0"/>
              <w:autoSpaceDE w:val="0"/>
              <w:autoSpaceDN w:val="0"/>
              <w:adjustRightInd w:val="0"/>
              <w:spacing w:line="360" w:lineRule="exact"/>
              <w:rPr>
                <w:rFonts w:ascii="宋体" w:hAnsi="宋体" w:cs="宋体"/>
                <w:szCs w:val="21"/>
              </w:rPr>
            </w:pPr>
            <w:r>
              <w:rPr>
                <w:rFonts w:hint="eastAsia" w:ascii="宋体" w:hAnsi="宋体" w:cs="宋体"/>
                <w:szCs w:val="21"/>
              </w:rPr>
              <w:t>（1）投标人自有人员；</w:t>
            </w:r>
          </w:p>
          <w:p w14:paraId="61091024">
            <w:pPr>
              <w:wordWrap w:val="0"/>
              <w:autoSpaceDE w:val="0"/>
              <w:autoSpaceDN w:val="0"/>
              <w:adjustRightInd w:val="0"/>
              <w:spacing w:line="360" w:lineRule="exact"/>
              <w:rPr>
                <w:rFonts w:ascii="宋体" w:hAnsi="宋体" w:cs="宋体"/>
                <w:szCs w:val="21"/>
              </w:rPr>
            </w:pPr>
            <w:r>
              <w:rPr>
                <w:rFonts w:hint="eastAsia" w:ascii="宋体" w:hAnsi="宋体" w:cs="宋体"/>
                <w:szCs w:val="21"/>
              </w:rPr>
              <w:t>（2）公路工程相关专业工程师职称；</w:t>
            </w:r>
          </w:p>
          <w:p w14:paraId="33BD0FBE">
            <w:pPr>
              <w:wordWrap w:val="0"/>
              <w:autoSpaceDE w:val="0"/>
              <w:autoSpaceDN w:val="0"/>
              <w:adjustRightInd w:val="0"/>
              <w:spacing w:line="360" w:lineRule="exact"/>
              <w:rPr>
                <w:rFonts w:ascii="宋体" w:hAnsi="宋体" w:cs="宋体"/>
                <w:szCs w:val="21"/>
              </w:rPr>
            </w:pPr>
            <w:r>
              <w:rPr>
                <w:rFonts w:hint="eastAsia" w:ascii="宋体" w:hAnsi="宋体" w:cs="宋体"/>
                <w:szCs w:val="21"/>
              </w:rPr>
              <w:t>（3）具有建设行政主管部门颁发的公路工程专业《贰级建造师注册证书》或《贰级建造师电子注册证书》，且现注册单位为投标人；</w:t>
            </w:r>
          </w:p>
          <w:p w14:paraId="7711BD9E">
            <w:pPr>
              <w:wordWrap w:val="0"/>
              <w:autoSpaceDE w:val="0"/>
              <w:autoSpaceDN w:val="0"/>
              <w:adjustRightInd w:val="0"/>
              <w:spacing w:line="360" w:lineRule="exact"/>
              <w:rPr>
                <w:rFonts w:ascii="宋体" w:hAnsi="宋体" w:cs="宋体"/>
                <w:szCs w:val="21"/>
              </w:rPr>
            </w:pPr>
            <w:r>
              <w:rPr>
                <w:rFonts w:hint="eastAsia" w:ascii="宋体" w:hAnsi="宋体" w:cs="宋体"/>
                <w:szCs w:val="21"/>
              </w:rPr>
              <w:t>（4）具有交通运输主管部门颁发的有效的B类安全生产考核合格证书。</w:t>
            </w:r>
          </w:p>
        </w:tc>
        <w:tc>
          <w:tcPr>
            <w:tcW w:w="665" w:type="pct"/>
            <w:vMerge w:val="restart"/>
            <w:vAlign w:val="center"/>
          </w:tcPr>
          <w:p w14:paraId="7EA44F2E">
            <w:pPr>
              <w:adjustRightInd w:val="0"/>
              <w:snapToGrid w:val="0"/>
              <w:rPr>
                <w:rFonts w:ascii="宋体" w:hAnsi="宋体"/>
                <w:szCs w:val="21"/>
              </w:rPr>
            </w:pPr>
            <w:r>
              <w:rPr>
                <w:rFonts w:hint="eastAsia" w:ascii="宋体" w:hAnsi="宋体"/>
                <w:szCs w:val="21"/>
              </w:rPr>
              <w:t>无在岗项目(指目前未在其他项目上任职，或虽在其他项目上任职但本项目中标后能够从该项目撤离)</w:t>
            </w:r>
          </w:p>
        </w:tc>
      </w:tr>
      <w:tr w14:paraId="1B69FA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610" w:type="pct"/>
            <w:vMerge w:val="continue"/>
            <w:vAlign w:val="center"/>
          </w:tcPr>
          <w:p w14:paraId="12774AB1">
            <w:pPr>
              <w:adjustRightInd w:val="0"/>
              <w:snapToGrid w:val="0"/>
              <w:spacing w:before="120" w:beforeLines="50"/>
              <w:jc w:val="center"/>
              <w:rPr>
                <w:rFonts w:ascii="宋体" w:hAnsi="宋体"/>
                <w:szCs w:val="21"/>
              </w:rPr>
            </w:pPr>
          </w:p>
        </w:tc>
        <w:tc>
          <w:tcPr>
            <w:tcW w:w="727" w:type="pct"/>
            <w:vAlign w:val="center"/>
          </w:tcPr>
          <w:p w14:paraId="05791869">
            <w:pPr>
              <w:autoSpaceDE w:val="0"/>
              <w:autoSpaceDN w:val="0"/>
              <w:adjustRightInd w:val="0"/>
              <w:spacing w:line="400" w:lineRule="exact"/>
              <w:jc w:val="center"/>
              <w:rPr>
                <w:rFonts w:ascii="宋体" w:hAnsi="宋体" w:cs="宋体"/>
                <w:szCs w:val="21"/>
              </w:rPr>
            </w:pPr>
            <w:r>
              <w:rPr>
                <w:rFonts w:hint="eastAsia" w:ascii="宋体" w:hAnsi="宋体" w:cs="宋体"/>
                <w:szCs w:val="21"/>
              </w:rPr>
              <w:t>项目</w:t>
            </w:r>
          </w:p>
          <w:p w14:paraId="11AA244A">
            <w:pPr>
              <w:autoSpaceDE w:val="0"/>
              <w:autoSpaceDN w:val="0"/>
              <w:adjustRightInd w:val="0"/>
              <w:spacing w:line="400" w:lineRule="exact"/>
              <w:jc w:val="center"/>
              <w:rPr>
                <w:rFonts w:ascii="宋体" w:hAnsi="宋体" w:cs="宋体"/>
                <w:szCs w:val="21"/>
              </w:rPr>
            </w:pPr>
            <w:r>
              <w:rPr>
                <w:rFonts w:hint="eastAsia" w:ascii="宋体" w:hAnsi="宋体" w:cs="宋体"/>
                <w:szCs w:val="21"/>
              </w:rPr>
              <w:t>总工</w:t>
            </w:r>
          </w:p>
        </w:tc>
        <w:tc>
          <w:tcPr>
            <w:tcW w:w="369" w:type="pct"/>
            <w:vAlign w:val="center"/>
          </w:tcPr>
          <w:p w14:paraId="473EE630">
            <w:pPr>
              <w:autoSpaceDE w:val="0"/>
              <w:autoSpaceDN w:val="0"/>
              <w:adjustRightInd w:val="0"/>
              <w:spacing w:line="400" w:lineRule="exact"/>
              <w:jc w:val="center"/>
              <w:rPr>
                <w:rFonts w:ascii="宋体" w:hAnsi="宋体" w:cs="宋体"/>
                <w:szCs w:val="21"/>
              </w:rPr>
            </w:pPr>
            <w:r>
              <w:rPr>
                <w:rFonts w:hint="eastAsia" w:ascii="宋体" w:hAnsi="宋体" w:cs="宋体"/>
                <w:szCs w:val="21"/>
              </w:rPr>
              <w:t>1</w:t>
            </w:r>
          </w:p>
        </w:tc>
        <w:tc>
          <w:tcPr>
            <w:tcW w:w="2627" w:type="pct"/>
            <w:vAlign w:val="center"/>
          </w:tcPr>
          <w:p w14:paraId="5311A394">
            <w:pPr>
              <w:wordWrap w:val="0"/>
              <w:autoSpaceDE w:val="0"/>
              <w:autoSpaceDN w:val="0"/>
              <w:adjustRightInd w:val="0"/>
              <w:spacing w:line="360" w:lineRule="exact"/>
              <w:rPr>
                <w:rFonts w:ascii="宋体" w:hAnsi="宋体" w:cs="宋体"/>
                <w:szCs w:val="21"/>
              </w:rPr>
            </w:pPr>
            <w:r>
              <w:rPr>
                <w:rFonts w:hint="eastAsia" w:ascii="宋体" w:hAnsi="宋体" w:cs="宋体"/>
                <w:szCs w:val="21"/>
              </w:rPr>
              <w:t>（1）投标人自有人员；</w:t>
            </w:r>
          </w:p>
          <w:p w14:paraId="66BD48B8">
            <w:pPr>
              <w:wordWrap w:val="0"/>
              <w:autoSpaceDE w:val="0"/>
              <w:autoSpaceDN w:val="0"/>
              <w:adjustRightInd w:val="0"/>
              <w:spacing w:line="360" w:lineRule="exact"/>
              <w:rPr>
                <w:rFonts w:ascii="宋体" w:hAnsi="宋体" w:cs="宋体"/>
                <w:szCs w:val="21"/>
              </w:rPr>
            </w:pPr>
            <w:r>
              <w:rPr>
                <w:rFonts w:hint="eastAsia" w:ascii="宋体" w:hAnsi="宋体" w:cs="宋体"/>
                <w:szCs w:val="21"/>
              </w:rPr>
              <w:t>（2）公路工程相关专业高级工程师职称。</w:t>
            </w:r>
          </w:p>
        </w:tc>
        <w:tc>
          <w:tcPr>
            <w:tcW w:w="665" w:type="pct"/>
            <w:vMerge w:val="continue"/>
            <w:vAlign w:val="center"/>
          </w:tcPr>
          <w:p w14:paraId="069BA086">
            <w:pPr>
              <w:adjustRightInd w:val="0"/>
              <w:snapToGrid w:val="0"/>
              <w:rPr>
                <w:rFonts w:ascii="宋体" w:hAnsi="宋体"/>
                <w:szCs w:val="21"/>
              </w:rPr>
            </w:pPr>
          </w:p>
        </w:tc>
      </w:tr>
      <w:tr w14:paraId="47CB09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61" w:hRule="atLeast"/>
          <w:jc w:val="center"/>
        </w:trPr>
        <w:tc>
          <w:tcPr>
            <w:tcW w:w="610" w:type="pct"/>
            <w:vMerge w:val="restart"/>
            <w:vAlign w:val="center"/>
          </w:tcPr>
          <w:p w14:paraId="4BC7D800">
            <w:pPr>
              <w:adjustRightInd w:val="0"/>
              <w:snapToGrid w:val="0"/>
              <w:spacing w:before="120" w:beforeLines="50"/>
              <w:jc w:val="center"/>
              <w:rPr>
                <w:rFonts w:ascii="宋体" w:hAnsi="宋体"/>
                <w:szCs w:val="21"/>
              </w:rPr>
            </w:pPr>
            <w:r>
              <w:rPr>
                <w:rFonts w:hint="eastAsia" w:ascii="仿宋" w:hAnsi="仿宋" w:eastAsia="仿宋" w:cs="仿宋"/>
                <w:kern w:val="0"/>
                <w:szCs w:val="21"/>
              </w:rPr>
              <w:t>LH01</w:t>
            </w:r>
          </w:p>
        </w:tc>
        <w:tc>
          <w:tcPr>
            <w:tcW w:w="727" w:type="pct"/>
            <w:shd w:val="clear" w:color="auto" w:fill="auto"/>
            <w:vAlign w:val="center"/>
          </w:tcPr>
          <w:p w14:paraId="4CB65B0E">
            <w:pPr>
              <w:autoSpaceDE w:val="0"/>
              <w:autoSpaceDN w:val="0"/>
              <w:adjustRightInd w:val="0"/>
              <w:spacing w:line="400" w:lineRule="exact"/>
              <w:jc w:val="center"/>
              <w:rPr>
                <w:rFonts w:ascii="宋体" w:hAnsi="宋体" w:cs="宋体"/>
                <w:szCs w:val="21"/>
              </w:rPr>
            </w:pPr>
            <w:r>
              <w:rPr>
                <w:rFonts w:hint="eastAsia" w:ascii="宋体" w:hAnsi="宋体" w:cs="宋体"/>
                <w:szCs w:val="21"/>
              </w:rPr>
              <w:t>项目</w:t>
            </w:r>
          </w:p>
          <w:p w14:paraId="0AD006E0">
            <w:pPr>
              <w:autoSpaceDE w:val="0"/>
              <w:autoSpaceDN w:val="0"/>
              <w:adjustRightInd w:val="0"/>
              <w:spacing w:line="400" w:lineRule="exact"/>
              <w:jc w:val="center"/>
              <w:rPr>
                <w:rFonts w:ascii="宋体" w:hAnsi="宋体" w:cs="宋体"/>
                <w:szCs w:val="21"/>
              </w:rPr>
            </w:pPr>
            <w:r>
              <w:rPr>
                <w:rFonts w:hint="eastAsia" w:ascii="宋体" w:hAnsi="宋体" w:cs="宋体"/>
                <w:szCs w:val="21"/>
              </w:rPr>
              <w:t>经理</w:t>
            </w:r>
          </w:p>
        </w:tc>
        <w:tc>
          <w:tcPr>
            <w:tcW w:w="369" w:type="pct"/>
            <w:shd w:val="clear" w:color="auto" w:fill="auto"/>
            <w:vAlign w:val="center"/>
          </w:tcPr>
          <w:p w14:paraId="69A46A3B">
            <w:pPr>
              <w:autoSpaceDE w:val="0"/>
              <w:autoSpaceDN w:val="0"/>
              <w:adjustRightInd w:val="0"/>
              <w:spacing w:line="400" w:lineRule="exact"/>
              <w:jc w:val="center"/>
              <w:rPr>
                <w:rFonts w:ascii="宋体" w:hAnsi="宋体" w:cs="宋体"/>
                <w:szCs w:val="21"/>
              </w:rPr>
            </w:pPr>
            <w:r>
              <w:rPr>
                <w:rFonts w:hint="eastAsia" w:ascii="宋体" w:hAnsi="宋体" w:cs="宋体"/>
                <w:szCs w:val="21"/>
              </w:rPr>
              <w:t>1</w:t>
            </w:r>
          </w:p>
        </w:tc>
        <w:tc>
          <w:tcPr>
            <w:tcW w:w="2627" w:type="pct"/>
            <w:shd w:val="clear" w:color="auto" w:fill="auto"/>
            <w:vAlign w:val="center"/>
          </w:tcPr>
          <w:p w14:paraId="638C55BD">
            <w:pPr>
              <w:wordWrap w:val="0"/>
              <w:autoSpaceDE w:val="0"/>
              <w:autoSpaceDN w:val="0"/>
              <w:adjustRightInd w:val="0"/>
              <w:spacing w:line="360" w:lineRule="exact"/>
              <w:rPr>
                <w:rFonts w:ascii="宋体" w:hAnsi="宋体" w:cs="宋体"/>
                <w:szCs w:val="21"/>
              </w:rPr>
            </w:pPr>
            <w:r>
              <w:rPr>
                <w:rFonts w:hint="eastAsia" w:ascii="宋体" w:hAnsi="宋体" w:cs="宋体"/>
                <w:szCs w:val="21"/>
              </w:rPr>
              <w:t>（1）投标人自有人员；</w:t>
            </w:r>
          </w:p>
          <w:p w14:paraId="19C21A9D">
            <w:pPr>
              <w:wordWrap w:val="0"/>
              <w:autoSpaceDE w:val="0"/>
              <w:autoSpaceDN w:val="0"/>
              <w:adjustRightInd w:val="0"/>
              <w:spacing w:line="360" w:lineRule="exact"/>
              <w:rPr>
                <w:rFonts w:ascii="宋体" w:hAnsi="宋体" w:cs="宋体"/>
                <w:szCs w:val="21"/>
              </w:rPr>
            </w:pPr>
            <w:r>
              <w:rPr>
                <w:rFonts w:hint="eastAsia" w:ascii="宋体" w:hAnsi="宋体" w:cs="宋体"/>
                <w:szCs w:val="21"/>
              </w:rPr>
              <w:t>（2）绿化工程相关专业或公路工程相关专业工程师职称。</w:t>
            </w:r>
          </w:p>
        </w:tc>
        <w:tc>
          <w:tcPr>
            <w:tcW w:w="665" w:type="pct"/>
            <w:vMerge w:val="restart"/>
            <w:vAlign w:val="center"/>
          </w:tcPr>
          <w:p w14:paraId="4683C28A">
            <w:pPr>
              <w:adjustRightInd w:val="0"/>
              <w:snapToGrid w:val="0"/>
              <w:rPr>
                <w:rFonts w:ascii="宋体" w:hAnsi="宋体"/>
                <w:szCs w:val="21"/>
              </w:rPr>
            </w:pPr>
            <w:r>
              <w:rPr>
                <w:rFonts w:hint="eastAsia" w:ascii="宋体" w:hAnsi="宋体"/>
                <w:szCs w:val="21"/>
              </w:rPr>
              <w:t>无在岗项目(指目前未在其他项目上任职，或虽在其他项目上任职但本项目中标后能够从该项目撤离)</w:t>
            </w:r>
          </w:p>
        </w:tc>
      </w:tr>
      <w:tr w14:paraId="71DCF8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0" w:hRule="atLeast"/>
          <w:jc w:val="center"/>
        </w:trPr>
        <w:tc>
          <w:tcPr>
            <w:tcW w:w="610" w:type="pct"/>
            <w:vMerge w:val="continue"/>
            <w:vAlign w:val="center"/>
          </w:tcPr>
          <w:p w14:paraId="532E5295">
            <w:pPr>
              <w:adjustRightInd w:val="0"/>
              <w:snapToGrid w:val="0"/>
              <w:spacing w:before="120" w:beforeLines="50"/>
              <w:jc w:val="center"/>
              <w:rPr>
                <w:rFonts w:ascii="宋体" w:hAnsi="宋体"/>
                <w:szCs w:val="21"/>
              </w:rPr>
            </w:pPr>
          </w:p>
        </w:tc>
        <w:tc>
          <w:tcPr>
            <w:tcW w:w="727" w:type="pct"/>
            <w:shd w:val="clear" w:color="auto" w:fill="auto"/>
            <w:vAlign w:val="center"/>
          </w:tcPr>
          <w:p w14:paraId="33230DC6">
            <w:pPr>
              <w:autoSpaceDE w:val="0"/>
              <w:autoSpaceDN w:val="0"/>
              <w:adjustRightInd w:val="0"/>
              <w:spacing w:line="400" w:lineRule="exact"/>
              <w:jc w:val="center"/>
              <w:rPr>
                <w:rFonts w:ascii="宋体" w:hAnsi="宋体" w:cs="宋体"/>
                <w:szCs w:val="21"/>
              </w:rPr>
            </w:pPr>
            <w:r>
              <w:rPr>
                <w:rFonts w:hint="eastAsia" w:ascii="宋体" w:hAnsi="宋体" w:cs="宋体"/>
                <w:szCs w:val="21"/>
              </w:rPr>
              <w:t>项目</w:t>
            </w:r>
          </w:p>
          <w:p w14:paraId="62D43121">
            <w:pPr>
              <w:autoSpaceDE w:val="0"/>
              <w:autoSpaceDN w:val="0"/>
              <w:adjustRightInd w:val="0"/>
              <w:spacing w:line="400" w:lineRule="exact"/>
              <w:jc w:val="center"/>
              <w:rPr>
                <w:rFonts w:ascii="宋体" w:hAnsi="宋体" w:cs="宋体"/>
                <w:szCs w:val="21"/>
              </w:rPr>
            </w:pPr>
            <w:r>
              <w:rPr>
                <w:rFonts w:hint="eastAsia" w:ascii="宋体" w:hAnsi="宋体" w:cs="宋体"/>
                <w:szCs w:val="21"/>
              </w:rPr>
              <w:t>总工</w:t>
            </w:r>
          </w:p>
        </w:tc>
        <w:tc>
          <w:tcPr>
            <w:tcW w:w="369" w:type="pct"/>
            <w:shd w:val="clear" w:color="auto" w:fill="auto"/>
            <w:vAlign w:val="center"/>
          </w:tcPr>
          <w:p w14:paraId="016DB4C8">
            <w:pPr>
              <w:autoSpaceDE w:val="0"/>
              <w:autoSpaceDN w:val="0"/>
              <w:adjustRightInd w:val="0"/>
              <w:spacing w:line="400" w:lineRule="exact"/>
              <w:jc w:val="center"/>
              <w:rPr>
                <w:rFonts w:ascii="宋体" w:hAnsi="宋体" w:cs="宋体"/>
                <w:szCs w:val="21"/>
              </w:rPr>
            </w:pPr>
            <w:r>
              <w:rPr>
                <w:rFonts w:hint="eastAsia" w:ascii="宋体" w:hAnsi="宋体" w:cs="宋体"/>
                <w:szCs w:val="21"/>
              </w:rPr>
              <w:t>1</w:t>
            </w:r>
          </w:p>
        </w:tc>
        <w:tc>
          <w:tcPr>
            <w:tcW w:w="2627" w:type="pct"/>
            <w:shd w:val="clear" w:color="auto" w:fill="auto"/>
            <w:vAlign w:val="center"/>
          </w:tcPr>
          <w:p w14:paraId="68BCFE72">
            <w:pPr>
              <w:wordWrap w:val="0"/>
              <w:autoSpaceDE w:val="0"/>
              <w:autoSpaceDN w:val="0"/>
              <w:adjustRightInd w:val="0"/>
              <w:spacing w:line="360" w:lineRule="exact"/>
              <w:rPr>
                <w:rFonts w:ascii="宋体" w:hAnsi="宋体" w:cs="宋体"/>
                <w:szCs w:val="21"/>
              </w:rPr>
            </w:pPr>
            <w:r>
              <w:rPr>
                <w:rFonts w:hint="eastAsia" w:ascii="宋体" w:hAnsi="宋体" w:cs="宋体"/>
                <w:szCs w:val="21"/>
              </w:rPr>
              <w:t>（1）投标人自有人员；</w:t>
            </w:r>
          </w:p>
          <w:p w14:paraId="357A588C">
            <w:pPr>
              <w:wordWrap w:val="0"/>
              <w:autoSpaceDE w:val="0"/>
              <w:autoSpaceDN w:val="0"/>
              <w:adjustRightInd w:val="0"/>
              <w:spacing w:line="360" w:lineRule="exact"/>
              <w:rPr>
                <w:rFonts w:ascii="宋体" w:hAnsi="宋体" w:cs="宋体"/>
                <w:szCs w:val="21"/>
              </w:rPr>
            </w:pPr>
            <w:r>
              <w:rPr>
                <w:rFonts w:hint="eastAsia" w:ascii="宋体" w:hAnsi="宋体" w:cs="宋体"/>
                <w:szCs w:val="21"/>
              </w:rPr>
              <w:t>（2）绿化工程相关专业或公路工程相关专业工程师职称。</w:t>
            </w:r>
          </w:p>
        </w:tc>
        <w:tc>
          <w:tcPr>
            <w:tcW w:w="665" w:type="pct"/>
            <w:vMerge w:val="continue"/>
            <w:vAlign w:val="center"/>
          </w:tcPr>
          <w:p w14:paraId="31A3BED6">
            <w:pPr>
              <w:adjustRightInd w:val="0"/>
              <w:snapToGrid w:val="0"/>
              <w:rPr>
                <w:rFonts w:ascii="宋体" w:hAnsi="宋体"/>
                <w:szCs w:val="21"/>
              </w:rPr>
            </w:pPr>
          </w:p>
        </w:tc>
      </w:tr>
    </w:tbl>
    <w:p w14:paraId="453AE6A5">
      <w:pPr>
        <w:rPr>
          <w:rFonts w:ascii="宋体" w:hAnsi="宋体"/>
        </w:rPr>
      </w:pPr>
    </w:p>
    <w:p w14:paraId="7FAF1D95">
      <w:pPr>
        <w:rPr>
          <w:rFonts w:ascii="楷体" w:hAnsi="楷体" w:eastAsia="楷体"/>
        </w:rPr>
      </w:pPr>
      <w:r>
        <w:rPr>
          <w:rFonts w:hint="eastAsia" w:ascii="楷体" w:hAnsi="楷体" w:eastAsia="楷体"/>
        </w:rPr>
        <w:t>注：1、项目经理和项目总工不得兼职。</w:t>
      </w:r>
    </w:p>
    <w:p w14:paraId="7C0ECE91">
      <w:pPr>
        <w:ind w:firstLine="420" w:firstLineChars="200"/>
        <w:rPr>
          <w:rFonts w:eastAsia="楷体"/>
        </w:rPr>
      </w:pPr>
      <w:r>
        <w:rPr>
          <w:rFonts w:hint="eastAsia" w:ascii="楷体" w:hAnsi="楷体" w:eastAsia="楷体"/>
        </w:rPr>
        <w:t>2、“投标人自有人员”指投标人为其申报社会保险登记，并为其缴纳社会保险费的人员。</w:t>
      </w:r>
    </w:p>
    <w:p w14:paraId="6EE124D7">
      <w:pPr>
        <w:pStyle w:val="2"/>
        <w:snapToGrid w:val="0"/>
        <w:spacing w:before="0" w:after="0" w:line="240" w:lineRule="auto"/>
        <w:jc w:val="both"/>
        <w:rPr>
          <w:rFonts w:hint="eastAsia" w:ascii="楷体" w:hAnsi="楷体" w:eastAsia="楷体" w:cs="Times New Roman"/>
          <w:b w:val="0"/>
          <w:bCs w:val="0"/>
          <w:color w:val="auto"/>
          <w:kern w:val="2"/>
          <w:sz w:val="21"/>
          <w:szCs w:val="22"/>
          <w:highlight w:val="none"/>
          <w:lang w:val="en-US" w:eastAsia="zh-CN" w:bidi="ar-SA"/>
        </w:rPr>
      </w:pPr>
      <w:r>
        <w:rPr>
          <w:rFonts w:hint="eastAsia" w:ascii="楷体" w:hAnsi="楷体" w:eastAsia="楷体"/>
          <w:b w:val="0"/>
          <w:bCs w:val="0"/>
          <w:kern w:val="2"/>
          <w:sz w:val="21"/>
          <w:szCs w:val="22"/>
        </w:rPr>
        <w:t xml:space="preserve">    3、如职称证上无专业，则以毕业证上的专业为准。</w:t>
      </w:r>
    </w:p>
    <w:p w14:paraId="7449F1A1">
      <w:pPr>
        <w:rPr>
          <w:rFonts w:hint="eastAsia" w:ascii="楷体" w:hAnsi="楷体" w:eastAsia="楷体" w:cs="Times New Roman"/>
          <w:b w:val="0"/>
          <w:bCs w:val="0"/>
          <w:color w:val="auto"/>
          <w:kern w:val="2"/>
          <w:sz w:val="21"/>
          <w:szCs w:val="22"/>
          <w:highlight w:val="none"/>
          <w:lang w:val="en-US" w:eastAsia="zh-CN" w:bidi="ar-SA"/>
        </w:rPr>
      </w:pPr>
      <w:r>
        <w:rPr>
          <w:rFonts w:hint="eastAsia" w:ascii="楷体" w:hAnsi="楷体" w:eastAsia="楷体" w:cs="Times New Roman"/>
          <w:b w:val="0"/>
          <w:bCs w:val="0"/>
          <w:color w:val="auto"/>
          <w:kern w:val="2"/>
          <w:sz w:val="21"/>
          <w:szCs w:val="22"/>
          <w:highlight w:val="none"/>
          <w:lang w:val="en-US" w:eastAsia="zh-CN" w:bidi="ar-SA"/>
        </w:rPr>
        <w:br w:type="page"/>
      </w:r>
    </w:p>
    <w:p w14:paraId="228B1648">
      <w:pPr>
        <w:keepNext w:val="0"/>
        <w:keepLines w:val="0"/>
        <w:pageBreakBefore w:val="0"/>
        <w:widowControl w:val="0"/>
        <w:numPr>
          <w:ilvl w:val="0"/>
          <w:numId w:val="1"/>
        </w:numPr>
        <w:kinsoku/>
        <w:wordWrap/>
        <w:overflowPunct/>
        <w:topLinePunct w:val="0"/>
        <w:autoSpaceDE/>
        <w:autoSpaceDN/>
        <w:bidi w:val="0"/>
        <w:spacing w:line="320" w:lineRule="exact"/>
        <w:textAlignment w:val="auto"/>
        <w:rPr>
          <w:rFonts w:hint="default" w:ascii="黑体" w:hAnsi="黑体" w:eastAsia="黑体" w:cs="Times New Roman"/>
          <w:color w:val="auto"/>
          <w:sz w:val="28"/>
          <w:szCs w:val="28"/>
          <w:highlight w:val="none"/>
          <w:lang w:val="en-US" w:eastAsia="zh-CN"/>
        </w:rPr>
      </w:pPr>
      <w:r>
        <w:rPr>
          <w:rFonts w:hint="eastAsia" w:ascii="黑体" w:hAnsi="黑体" w:eastAsia="黑体" w:cs="Times New Roman"/>
          <w:color w:val="auto"/>
          <w:sz w:val="28"/>
          <w:szCs w:val="28"/>
          <w:highlight w:val="none"/>
          <w:lang w:val="en-US" w:eastAsia="zh-CN"/>
        </w:rPr>
        <w:t>评标办法前附表</w:t>
      </w:r>
    </w:p>
    <w:p w14:paraId="7A4A087E">
      <w:pPr>
        <w:keepNext/>
        <w:keepLines/>
        <w:adjustRightInd w:val="0"/>
        <w:snapToGrid w:val="0"/>
        <w:outlineLvl w:val="2"/>
        <w:rPr>
          <w:rFonts w:ascii="宋体" w:hAnsi="宋体"/>
          <w:bCs/>
          <w:kern w:val="0"/>
          <w:sz w:val="32"/>
          <w:szCs w:val="32"/>
        </w:rPr>
      </w:pPr>
      <w:bookmarkStart w:id="27" w:name="_Toc23129"/>
      <w:bookmarkStart w:id="28" w:name="_Toc15046"/>
      <w:bookmarkStart w:id="29" w:name="_Toc19326"/>
      <w:r>
        <w:rPr>
          <w:rFonts w:hint="eastAsia" w:ascii="黑体" w:hAnsi="黑体" w:eastAsia="黑体"/>
          <w:bCs/>
          <w:kern w:val="0"/>
          <w:sz w:val="24"/>
          <w:szCs w:val="24"/>
        </w:rPr>
        <w:t>SG01标段</w:t>
      </w:r>
      <w:r>
        <w:rPr>
          <w:rFonts w:ascii="黑体" w:hAnsi="黑体" w:eastAsia="黑体"/>
          <w:bCs/>
          <w:kern w:val="0"/>
          <w:sz w:val="24"/>
          <w:szCs w:val="24"/>
        </w:rPr>
        <w:t>评标办法前附表</w:t>
      </w:r>
      <w:r>
        <w:rPr>
          <w:rFonts w:ascii="宋体" w:hAnsi="宋体"/>
          <w:bCs/>
          <w:kern w:val="0"/>
          <w:sz w:val="30"/>
          <w:szCs w:val="30"/>
          <w:vertAlign w:val="superscript"/>
        </w:rPr>
        <w:footnoteReference w:id="0"/>
      </w:r>
      <w:bookmarkEnd w:id="27"/>
      <w:bookmarkEnd w:id="28"/>
      <w:bookmarkEnd w:id="29"/>
    </w:p>
    <w:tbl>
      <w:tblPr>
        <w:tblStyle w:val="7"/>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0" w:type="dxa"/>
          <w:bottom w:w="85" w:type="dxa"/>
          <w:right w:w="0" w:type="dxa"/>
        </w:tblCellMar>
      </w:tblPr>
      <w:tblGrid>
        <w:gridCol w:w="856"/>
        <w:gridCol w:w="1389"/>
        <w:gridCol w:w="7383"/>
      </w:tblGrid>
      <w:tr w14:paraId="70D58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trHeight w:val="570" w:hRule="atLeast"/>
          <w:tblHeader/>
          <w:jc w:val="center"/>
        </w:trPr>
        <w:tc>
          <w:tcPr>
            <w:tcW w:w="2245" w:type="dxa"/>
            <w:gridSpan w:val="2"/>
            <w:shd w:val="clear" w:color="auto" w:fill="auto"/>
            <w:vAlign w:val="center"/>
          </w:tcPr>
          <w:p w14:paraId="0534D2AC">
            <w:pPr>
              <w:autoSpaceDE w:val="0"/>
              <w:autoSpaceDN w:val="0"/>
              <w:adjustRightInd w:val="0"/>
              <w:snapToGrid w:val="0"/>
              <w:spacing w:line="300" w:lineRule="auto"/>
              <w:ind w:firstLine="210" w:firstLineChars="100"/>
              <w:jc w:val="center"/>
              <w:rPr>
                <w:rFonts w:ascii="宋体" w:hAnsi="宋体"/>
                <w:szCs w:val="21"/>
              </w:rPr>
            </w:pPr>
            <w:r>
              <w:rPr>
                <w:rFonts w:ascii="宋体" w:hAnsi="宋体"/>
                <w:szCs w:val="21"/>
              </w:rPr>
              <w:t>条款号</w:t>
            </w:r>
          </w:p>
        </w:tc>
        <w:tc>
          <w:tcPr>
            <w:tcW w:w="7383" w:type="dxa"/>
            <w:shd w:val="clear" w:color="auto" w:fill="auto"/>
            <w:vAlign w:val="center"/>
          </w:tcPr>
          <w:p w14:paraId="5682BE90">
            <w:pPr>
              <w:autoSpaceDE w:val="0"/>
              <w:autoSpaceDN w:val="0"/>
              <w:adjustRightInd w:val="0"/>
              <w:snapToGrid w:val="0"/>
              <w:spacing w:line="300" w:lineRule="auto"/>
              <w:ind w:firstLine="210" w:firstLineChars="100"/>
              <w:jc w:val="center"/>
              <w:rPr>
                <w:rFonts w:ascii="宋体" w:hAnsi="宋体"/>
                <w:szCs w:val="21"/>
              </w:rPr>
            </w:pPr>
            <w:r>
              <w:rPr>
                <w:rFonts w:ascii="宋体" w:hAnsi="宋体"/>
                <w:szCs w:val="21"/>
              </w:rPr>
              <w:t>评审因素与评审标准</w:t>
            </w:r>
          </w:p>
        </w:tc>
      </w:tr>
      <w:tr w14:paraId="046B3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trHeight w:val="1666" w:hRule="atLeast"/>
          <w:jc w:val="center"/>
        </w:trPr>
        <w:tc>
          <w:tcPr>
            <w:tcW w:w="856" w:type="dxa"/>
            <w:shd w:val="clear" w:color="auto" w:fill="auto"/>
            <w:vAlign w:val="center"/>
          </w:tcPr>
          <w:p w14:paraId="4BE93EE5">
            <w:pPr>
              <w:autoSpaceDE w:val="0"/>
              <w:autoSpaceDN w:val="0"/>
              <w:adjustRightInd w:val="0"/>
              <w:snapToGrid w:val="0"/>
              <w:spacing w:line="300" w:lineRule="auto"/>
              <w:ind w:firstLine="420" w:firstLineChars="200"/>
              <w:rPr>
                <w:rFonts w:ascii="宋体" w:hAnsi="宋体"/>
                <w:szCs w:val="21"/>
              </w:rPr>
            </w:pPr>
            <w:r>
              <w:rPr>
                <w:rFonts w:hint="eastAsia" w:ascii="宋体" w:hAnsi="宋体"/>
                <w:szCs w:val="21"/>
              </w:rPr>
              <w:t>1</w:t>
            </w:r>
          </w:p>
        </w:tc>
        <w:tc>
          <w:tcPr>
            <w:tcW w:w="1389" w:type="dxa"/>
            <w:shd w:val="clear" w:color="auto" w:fill="auto"/>
            <w:vAlign w:val="center"/>
          </w:tcPr>
          <w:p w14:paraId="4E1EB0E1">
            <w:pPr>
              <w:adjustRightInd w:val="0"/>
              <w:snapToGrid w:val="0"/>
              <w:spacing w:line="300" w:lineRule="auto"/>
              <w:ind w:firstLine="210" w:firstLineChars="100"/>
              <w:rPr>
                <w:rFonts w:ascii="宋体" w:hAnsi="宋体"/>
                <w:szCs w:val="21"/>
              </w:rPr>
            </w:pPr>
            <w:r>
              <w:rPr>
                <w:rFonts w:hint="eastAsia" w:ascii="宋体" w:hAnsi="宋体"/>
                <w:szCs w:val="21"/>
              </w:rPr>
              <w:t>评标方法</w:t>
            </w:r>
          </w:p>
        </w:tc>
        <w:tc>
          <w:tcPr>
            <w:tcW w:w="7383" w:type="dxa"/>
            <w:shd w:val="clear" w:color="auto" w:fill="auto"/>
            <w:vAlign w:val="center"/>
          </w:tcPr>
          <w:p w14:paraId="0A7491D7">
            <w:pPr>
              <w:adjustRightInd w:val="0"/>
              <w:snapToGrid w:val="0"/>
              <w:ind w:firstLine="210" w:firstLineChars="100"/>
              <w:jc w:val="left"/>
              <w:rPr>
                <w:rFonts w:ascii="宋体" w:hAnsi="宋体"/>
                <w:szCs w:val="21"/>
              </w:rPr>
            </w:pPr>
            <w:r>
              <w:rPr>
                <w:rFonts w:hint="eastAsia" w:ascii="宋体" w:hAnsi="宋体"/>
                <w:szCs w:val="21"/>
              </w:rPr>
              <w:t>评标价相等时，评标委员会依次按照以下优先顺序推荐中标候选人：</w:t>
            </w:r>
          </w:p>
          <w:p w14:paraId="350BA060">
            <w:pPr>
              <w:adjustRightInd w:val="0"/>
              <w:snapToGrid w:val="0"/>
              <w:ind w:firstLine="210" w:firstLineChars="100"/>
              <w:jc w:val="left"/>
              <w:rPr>
                <w:rFonts w:ascii="宋体" w:hAnsi="宋体"/>
                <w:szCs w:val="21"/>
              </w:rPr>
            </w:pPr>
            <w:r>
              <w:rPr>
                <w:rFonts w:hint="eastAsia" w:ascii="宋体" w:hAnsi="宋体"/>
                <w:szCs w:val="21"/>
              </w:rPr>
              <w:t>（1）被吉林省交通运输厅在2024年度公路建设市场吉林省省级综合评价结果的通告中评为较高信用等级的投标人优先；</w:t>
            </w:r>
          </w:p>
          <w:p w14:paraId="1A14505A">
            <w:pPr>
              <w:adjustRightInd w:val="0"/>
              <w:snapToGrid w:val="0"/>
              <w:ind w:firstLine="210" w:firstLineChars="100"/>
              <w:jc w:val="left"/>
              <w:rPr>
                <w:rFonts w:ascii="宋体" w:hAnsi="宋体"/>
                <w:szCs w:val="21"/>
              </w:rPr>
            </w:pPr>
            <w:r>
              <w:rPr>
                <w:rFonts w:hint="eastAsia" w:ascii="宋体" w:hAnsi="宋体"/>
                <w:szCs w:val="21"/>
              </w:rPr>
              <w:t>（2）商务和技术得分较高的投标人优先；</w:t>
            </w:r>
          </w:p>
          <w:p w14:paraId="185B5F7E">
            <w:pPr>
              <w:adjustRightInd w:val="0"/>
              <w:snapToGrid w:val="0"/>
              <w:ind w:firstLine="210" w:firstLineChars="100"/>
              <w:jc w:val="left"/>
              <w:rPr>
                <w:rFonts w:ascii="宋体" w:hAnsi="宋体"/>
                <w:szCs w:val="21"/>
              </w:rPr>
            </w:pPr>
            <w:r>
              <w:rPr>
                <w:rFonts w:hint="eastAsia" w:ascii="宋体" w:hAnsi="宋体"/>
                <w:szCs w:val="21"/>
              </w:rPr>
              <w:t>（3）评标委员会投票确定。</w:t>
            </w:r>
          </w:p>
        </w:tc>
      </w:tr>
      <w:tr w14:paraId="38F43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trHeight w:val="992" w:hRule="atLeast"/>
          <w:jc w:val="center"/>
        </w:trPr>
        <w:tc>
          <w:tcPr>
            <w:tcW w:w="856" w:type="dxa"/>
            <w:shd w:val="clear" w:color="auto" w:fill="auto"/>
            <w:vAlign w:val="center"/>
          </w:tcPr>
          <w:p w14:paraId="1FA751B8">
            <w:pPr>
              <w:autoSpaceDE w:val="0"/>
              <w:autoSpaceDN w:val="0"/>
              <w:adjustRightInd w:val="0"/>
              <w:snapToGrid w:val="0"/>
              <w:spacing w:line="300" w:lineRule="auto"/>
              <w:ind w:firstLine="210" w:firstLineChars="100"/>
              <w:rPr>
                <w:rFonts w:ascii="宋体" w:hAnsi="宋体"/>
                <w:szCs w:val="21"/>
              </w:rPr>
            </w:pPr>
            <w:r>
              <w:rPr>
                <w:rFonts w:ascii="宋体" w:hAnsi="宋体"/>
                <w:szCs w:val="21"/>
              </w:rPr>
              <w:t>2.1.1</w:t>
            </w:r>
          </w:p>
          <w:p w14:paraId="70F6D137">
            <w:pPr>
              <w:autoSpaceDE w:val="0"/>
              <w:autoSpaceDN w:val="0"/>
              <w:adjustRightInd w:val="0"/>
              <w:snapToGrid w:val="0"/>
              <w:spacing w:line="300" w:lineRule="auto"/>
              <w:ind w:firstLine="210" w:firstLineChars="100"/>
              <w:rPr>
                <w:rFonts w:ascii="宋体" w:hAnsi="宋体"/>
                <w:szCs w:val="21"/>
              </w:rPr>
            </w:pPr>
            <w:r>
              <w:rPr>
                <w:rFonts w:ascii="宋体" w:hAnsi="宋体"/>
                <w:szCs w:val="21"/>
              </w:rPr>
              <w:t>2.1.3</w:t>
            </w:r>
          </w:p>
        </w:tc>
        <w:tc>
          <w:tcPr>
            <w:tcW w:w="1389" w:type="dxa"/>
            <w:shd w:val="clear" w:color="auto" w:fill="auto"/>
            <w:vAlign w:val="center"/>
          </w:tcPr>
          <w:p w14:paraId="47C50EDC">
            <w:pPr>
              <w:adjustRightInd w:val="0"/>
              <w:snapToGrid w:val="0"/>
              <w:spacing w:line="300" w:lineRule="auto"/>
              <w:ind w:firstLine="210" w:firstLineChars="100"/>
              <w:rPr>
                <w:rFonts w:ascii="宋体" w:hAnsi="宋体"/>
                <w:szCs w:val="21"/>
              </w:rPr>
            </w:pPr>
            <w:r>
              <w:rPr>
                <w:rFonts w:hint="eastAsia" w:ascii="宋体" w:hAnsi="宋体"/>
                <w:szCs w:val="21"/>
              </w:rPr>
              <w:t>形式评审与</w:t>
            </w:r>
          </w:p>
          <w:p w14:paraId="6DD7ECB4">
            <w:pPr>
              <w:adjustRightInd w:val="0"/>
              <w:snapToGrid w:val="0"/>
              <w:spacing w:line="300" w:lineRule="auto"/>
              <w:ind w:firstLine="210" w:firstLineChars="100"/>
              <w:rPr>
                <w:rFonts w:ascii="宋体" w:hAnsi="宋体"/>
                <w:szCs w:val="21"/>
              </w:rPr>
            </w:pPr>
            <w:r>
              <w:rPr>
                <w:rFonts w:hint="eastAsia" w:ascii="宋体" w:hAnsi="宋体"/>
                <w:szCs w:val="21"/>
              </w:rPr>
              <w:t>响应性评审</w:t>
            </w:r>
          </w:p>
          <w:p w14:paraId="0FA0ACFB">
            <w:pPr>
              <w:adjustRightInd w:val="0"/>
              <w:snapToGrid w:val="0"/>
              <w:spacing w:line="300" w:lineRule="auto"/>
              <w:ind w:firstLine="420" w:firstLineChars="200"/>
              <w:rPr>
                <w:rFonts w:ascii="宋体" w:hAnsi="宋体"/>
                <w:szCs w:val="21"/>
              </w:rPr>
            </w:pPr>
            <w:r>
              <w:rPr>
                <w:rFonts w:hint="eastAsia" w:ascii="宋体" w:hAnsi="宋体"/>
                <w:szCs w:val="21"/>
              </w:rPr>
              <w:t>标准</w:t>
            </w:r>
          </w:p>
        </w:tc>
        <w:tc>
          <w:tcPr>
            <w:tcW w:w="7383" w:type="dxa"/>
            <w:shd w:val="clear" w:color="auto" w:fill="auto"/>
            <w:vAlign w:val="center"/>
          </w:tcPr>
          <w:p w14:paraId="2218C8C4">
            <w:pPr>
              <w:spacing w:before="120" w:beforeLines="50"/>
              <w:ind w:firstLine="211" w:firstLineChars="100"/>
              <w:rPr>
                <w:rFonts w:ascii="宋体" w:hAnsi="宋体"/>
                <w:b/>
              </w:rPr>
            </w:pPr>
            <w:r>
              <w:rPr>
                <w:rFonts w:hint="eastAsia" w:ascii="宋体" w:hAnsi="宋体"/>
                <w:b/>
              </w:rPr>
              <w:t>第一个信封（商务及技术文件）评审标准：</w:t>
            </w:r>
          </w:p>
          <w:p w14:paraId="2BDAC7CB">
            <w:pPr>
              <w:ind w:left="210" w:leftChars="100"/>
              <w:rPr>
                <w:rFonts w:ascii="宋体" w:hAnsi="宋体"/>
                <w:szCs w:val="21"/>
              </w:rPr>
            </w:pPr>
            <w:r>
              <w:rPr>
                <w:rFonts w:hint="eastAsia" w:ascii="宋体" w:hAnsi="宋体"/>
                <w:szCs w:val="21"/>
              </w:rPr>
              <w:t>（1）投标文件按照招标文件规定的格式、内容填写，字迹清晰可辨：</w:t>
            </w:r>
          </w:p>
          <w:p w14:paraId="032F8041">
            <w:pPr>
              <w:ind w:firstLine="420" w:firstLineChars="200"/>
              <w:rPr>
                <w:rFonts w:ascii="宋体" w:hAnsi="宋体"/>
                <w:szCs w:val="21"/>
              </w:rPr>
            </w:pPr>
            <w:r>
              <w:rPr>
                <w:rFonts w:hint="eastAsia" w:ascii="宋体" w:hAnsi="宋体"/>
                <w:szCs w:val="21"/>
              </w:rPr>
              <w:t>a.投标函按招标文件规定填报了项目名称、标段号、补遗书编号（如有）、工期、工程质量要求及安全目标；</w:t>
            </w:r>
          </w:p>
          <w:p w14:paraId="5057F85B">
            <w:pPr>
              <w:ind w:firstLine="420" w:firstLineChars="200"/>
              <w:rPr>
                <w:rFonts w:ascii="宋体" w:hAnsi="宋体"/>
                <w:szCs w:val="21"/>
              </w:rPr>
            </w:pPr>
            <w:r>
              <w:rPr>
                <w:rFonts w:hint="eastAsia" w:ascii="宋体" w:hAnsi="宋体"/>
                <w:szCs w:val="21"/>
              </w:rPr>
              <w:t>b.投标函附录的所有数据均符合招标文件规定；</w:t>
            </w:r>
          </w:p>
          <w:p w14:paraId="59DFA47C">
            <w:pPr>
              <w:ind w:firstLine="420" w:firstLineChars="200"/>
              <w:rPr>
                <w:rFonts w:ascii="宋体" w:hAnsi="宋体"/>
                <w:szCs w:val="21"/>
              </w:rPr>
            </w:pPr>
            <w:r>
              <w:rPr>
                <w:rFonts w:hint="eastAsia" w:ascii="宋体" w:hAnsi="宋体"/>
                <w:szCs w:val="21"/>
              </w:rPr>
              <w:t xml:space="preserve">c.投标文件组成齐全完整，内容均按规定填写。 </w:t>
            </w:r>
          </w:p>
          <w:p w14:paraId="73B60954">
            <w:pPr>
              <w:ind w:left="210" w:leftChars="100"/>
              <w:rPr>
                <w:rFonts w:ascii="宋体" w:hAnsi="宋体"/>
                <w:szCs w:val="21"/>
              </w:rPr>
            </w:pPr>
            <w:r>
              <w:rPr>
                <w:rFonts w:hint="eastAsia" w:ascii="宋体" w:hAnsi="宋体"/>
                <w:szCs w:val="21"/>
              </w:rPr>
              <w:t>（2）投标文件上法定代表人或其委托代理人的签字、投标人的单位章盖章齐全，符合招标文件规定。</w:t>
            </w:r>
          </w:p>
          <w:p w14:paraId="2990C504">
            <w:pPr>
              <w:ind w:left="210" w:leftChars="100"/>
              <w:rPr>
                <w:rFonts w:ascii="宋体" w:hAnsi="宋体"/>
                <w:szCs w:val="21"/>
              </w:rPr>
            </w:pPr>
            <w:r>
              <w:rPr>
                <w:rFonts w:hint="eastAsia" w:ascii="宋体" w:hAnsi="宋体"/>
                <w:szCs w:val="21"/>
              </w:rPr>
              <w:t>（3）投标人按照招标文件的规定提供了投标保证金：</w:t>
            </w:r>
          </w:p>
          <w:p w14:paraId="31E2FAB4">
            <w:pPr>
              <w:ind w:firstLine="420" w:firstLineChars="200"/>
              <w:rPr>
                <w:rFonts w:ascii="宋体" w:hAnsi="宋体"/>
                <w:szCs w:val="21"/>
              </w:rPr>
            </w:pPr>
            <w:r>
              <w:rPr>
                <w:rFonts w:hint="eastAsia" w:ascii="宋体" w:hAnsi="宋体"/>
                <w:szCs w:val="21"/>
              </w:rPr>
              <w:t>a.投标保证金金额符合招标文件规定的金额，且投标保证金有效期不少于投标有效期；</w:t>
            </w:r>
          </w:p>
          <w:p w14:paraId="6BB89378">
            <w:pPr>
              <w:ind w:firstLine="420" w:firstLineChars="200"/>
              <w:rPr>
                <w:rFonts w:ascii="宋体" w:hAnsi="宋体"/>
                <w:szCs w:val="21"/>
              </w:rPr>
            </w:pPr>
            <w:r>
              <w:rPr>
                <w:rFonts w:hint="eastAsia" w:ascii="宋体" w:hAnsi="宋体"/>
                <w:szCs w:val="21"/>
              </w:rPr>
              <w:t>b.若投标保证金采用现金或支票形式提交，投标人应在</w:t>
            </w:r>
            <w:r>
              <w:rPr>
                <w:rFonts w:hint="eastAsia" w:ascii="宋体" w:hAnsi="宋体" w:cs="宋体"/>
                <w:bCs/>
                <w:szCs w:val="21"/>
                <w:lang w:val="zh-CN"/>
              </w:rPr>
              <w:t>递交投标文件截止时间之前</w:t>
            </w:r>
            <w:r>
              <w:rPr>
                <w:rFonts w:hint="eastAsia" w:ascii="宋体" w:hAnsi="宋体"/>
                <w:szCs w:val="21"/>
              </w:rPr>
              <w:t>，</w:t>
            </w:r>
            <w:r>
              <w:rPr>
                <w:rFonts w:ascii="宋体" w:hAnsi="宋体"/>
              </w:rPr>
              <w:t>将投标保证金由投标人的基本账户</w:t>
            </w:r>
            <w:r>
              <w:rPr>
                <w:rFonts w:hint="eastAsia" w:ascii="宋体" w:hAnsi="宋体"/>
              </w:rPr>
              <w:t>一次性</w:t>
            </w:r>
            <w:r>
              <w:rPr>
                <w:rFonts w:ascii="宋体" w:hAnsi="宋体"/>
              </w:rPr>
              <w:t>转入</w:t>
            </w:r>
            <w:r>
              <w:rPr>
                <w:rFonts w:hint="eastAsia" w:ascii="宋体" w:hAnsi="宋体"/>
              </w:rPr>
              <w:t>并到达</w:t>
            </w:r>
            <w:r>
              <w:rPr>
                <w:rFonts w:ascii="宋体" w:hAnsi="宋体"/>
              </w:rPr>
              <w:t>招标人指定账户</w:t>
            </w:r>
            <w:r>
              <w:rPr>
                <w:rFonts w:hint="eastAsia" w:ascii="宋体" w:hAnsi="宋体"/>
                <w:szCs w:val="21"/>
              </w:rPr>
              <w:t>；</w:t>
            </w:r>
          </w:p>
          <w:p w14:paraId="22FE58C2">
            <w:pPr>
              <w:ind w:firstLine="420" w:firstLineChars="200"/>
              <w:rPr>
                <w:rFonts w:ascii="宋体" w:hAnsi="宋体"/>
                <w:szCs w:val="21"/>
              </w:rPr>
            </w:pPr>
            <w:r>
              <w:rPr>
                <w:rFonts w:hint="eastAsia" w:ascii="宋体" w:hAnsi="宋体"/>
                <w:szCs w:val="21"/>
              </w:rPr>
              <w:t>c.若投标保证金采用保函或保单形式提交，银行保函或保单符合招标文件规定。</w:t>
            </w:r>
          </w:p>
          <w:p w14:paraId="129FCF30">
            <w:pPr>
              <w:ind w:firstLine="210" w:firstLineChars="100"/>
              <w:rPr>
                <w:rFonts w:ascii="宋体" w:hAnsi="宋体"/>
                <w:szCs w:val="21"/>
              </w:rPr>
            </w:pPr>
            <w:r>
              <w:rPr>
                <w:rFonts w:hint="eastAsia" w:ascii="宋体" w:hAnsi="宋体"/>
                <w:szCs w:val="21"/>
              </w:rPr>
              <w:t>（4）投标人法定代表人授权委托代理人签署投标文件的，须提交授权委托书，授权委托书符合招标文件规定。</w:t>
            </w:r>
          </w:p>
          <w:p w14:paraId="17DC2D92">
            <w:pPr>
              <w:ind w:firstLine="210" w:firstLineChars="100"/>
              <w:rPr>
                <w:rFonts w:ascii="宋体" w:hAnsi="宋体"/>
                <w:szCs w:val="21"/>
              </w:rPr>
            </w:pPr>
            <w:r>
              <w:rPr>
                <w:rFonts w:hint="eastAsia" w:ascii="宋体" w:hAnsi="宋体"/>
                <w:szCs w:val="21"/>
              </w:rPr>
              <w:t>（5）投标人法定代表人亲自签署投标文件的，提供了法定代表人身份证明，法定代表人身份证明符合招标文件规定</w:t>
            </w:r>
            <w:r>
              <w:rPr>
                <w:rFonts w:hint="eastAsia" w:ascii="宋体" w:hAnsi="宋体" w:cs="宋体"/>
                <w:szCs w:val="21"/>
              </w:rPr>
              <w:t>。</w:t>
            </w:r>
          </w:p>
          <w:p w14:paraId="74CCF84D">
            <w:pPr>
              <w:ind w:firstLine="210" w:firstLineChars="100"/>
              <w:rPr>
                <w:rFonts w:ascii="宋体" w:hAnsi="宋体"/>
                <w:szCs w:val="21"/>
              </w:rPr>
            </w:pPr>
            <w:r>
              <w:rPr>
                <w:rFonts w:hint="eastAsia" w:ascii="宋体" w:hAnsi="宋体"/>
                <w:szCs w:val="21"/>
              </w:rPr>
              <w:t>（6）投标人未以联合体形式投标。</w:t>
            </w:r>
          </w:p>
          <w:p w14:paraId="765EA000">
            <w:pPr>
              <w:ind w:firstLine="210" w:firstLineChars="100"/>
              <w:rPr>
                <w:rFonts w:ascii="宋体" w:hAnsi="宋体"/>
                <w:szCs w:val="21"/>
              </w:rPr>
            </w:pPr>
            <w:r>
              <w:rPr>
                <w:rFonts w:hint="eastAsia" w:ascii="宋体" w:hAnsi="宋体"/>
                <w:szCs w:val="21"/>
              </w:rPr>
              <w:t>（7）投标人分包情况符合招标文件规定</w:t>
            </w:r>
            <w:r>
              <w:rPr>
                <w:rFonts w:hint="eastAsia" w:ascii="宋体" w:hAnsi="宋体"/>
              </w:rPr>
              <w:t>。</w:t>
            </w:r>
          </w:p>
          <w:p w14:paraId="272D0DEC">
            <w:pPr>
              <w:ind w:firstLine="210" w:firstLineChars="100"/>
              <w:rPr>
                <w:rFonts w:ascii="宋体" w:hAnsi="宋体"/>
                <w:szCs w:val="21"/>
              </w:rPr>
            </w:pPr>
            <w:r>
              <w:rPr>
                <w:rFonts w:hint="eastAsia" w:ascii="宋体" w:hAnsi="宋体"/>
                <w:szCs w:val="21"/>
              </w:rPr>
              <w:t>（8）同一投标人在同一标段未提交两个以上不同的投标文件。</w:t>
            </w:r>
          </w:p>
          <w:p w14:paraId="067BDC32">
            <w:pPr>
              <w:ind w:firstLine="210" w:firstLineChars="100"/>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）投标文件中未出现有关投标报价的内容。</w:t>
            </w:r>
          </w:p>
          <w:p w14:paraId="58BB2C40">
            <w:pPr>
              <w:ind w:firstLine="210" w:firstLineChars="100"/>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）投标文件载明的招标项目完成期限未超过招标文件规定的时限。</w:t>
            </w:r>
          </w:p>
          <w:p w14:paraId="1F9D7509">
            <w:pPr>
              <w:ind w:firstLine="210" w:firstLineChars="1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）投标文件对招标文件的实质性要求和条件作出响应。</w:t>
            </w:r>
          </w:p>
          <w:p w14:paraId="769F8F51">
            <w:pPr>
              <w:ind w:firstLine="210" w:firstLineChars="10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）权利义务符合招标文件规定：</w:t>
            </w:r>
          </w:p>
          <w:p w14:paraId="624A0757">
            <w:pPr>
              <w:ind w:firstLine="420" w:firstLineChars="200"/>
              <w:rPr>
                <w:rFonts w:ascii="宋体" w:hAnsi="宋体"/>
                <w:szCs w:val="21"/>
              </w:rPr>
            </w:pPr>
            <w:r>
              <w:rPr>
                <w:rFonts w:hint="eastAsia" w:ascii="宋体" w:hAnsi="宋体"/>
                <w:szCs w:val="21"/>
              </w:rPr>
              <w:t>a.投标人应接受招标文件规定的风险划分原则，未提出新的风险划分办法；</w:t>
            </w:r>
          </w:p>
          <w:p w14:paraId="4D088A9E">
            <w:pPr>
              <w:ind w:firstLine="420" w:firstLineChars="200"/>
              <w:rPr>
                <w:rFonts w:ascii="宋体" w:hAnsi="宋体"/>
                <w:szCs w:val="21"/>
              </w:rPr>
            </w:pPr>
            <w:r>
              <w:rPr>
                <w:rFonts w:hint="eastAsia" w:ascii="宋体" w:hAnsi="宋体"/>
                <w:szCs w:val="21"/>
              </w:rPr>
              <w:t>b.投标人未增加发包人的责任范围，或减少投标人义务；</w:t>
            </w:r>
          </w:p>
          <w:p w14:paraId="5BBAAC75">
            <w:pPr>
              <w:ind w:firstLine="420" w:firstLineChars="200"/>
              <w:rPr>
                <w:rFonts w:ascii="宋体" w:hAnsi="宋体"/>
                <w:szCs w:val="21"/>
              </w:rPr>
            </w:pPr>
            <w:r>
              <w:rPr>
                <w:rFonts w:hint="eastAsia" w:ascii="宋体" w:hAnsi="宋体"/>
                <w:szCs w:val="21"/>
              </w:rPr>
              <w:t>c.投标人未提出不同的工程验收、计量、支付办法；</w:t>
            </w:r>
          </w:p>
          <w:p w14:paraId="2376F546">
            <w:pPr>
              <w:ind w:firstLine="420" w:firstLineChars="200"/>
              <w:rPr>
                <w:rFonts w:ascii="宋体" w:hAnsi="宋体"/>
                <w:szCs w:val="21"/>
              </w:rPr>
            </w:pPr>
            <w:r>
              <w:rPr>
                <w:rFonts w:hint="eastAsia" w:ascii="宋体" w:hAnsi="宋体"/>
                <w:szCs w:val="21"/>
              </w:rPr>
              <w:t>d.投标人对合同纠纷、事故处理办法未提出异议；</w:t>
            </w:r>
          </w:p>
          <w:p w14:paraId="25AC4012">
            <w:pPr>
              <w:ind w:firstLine="420" w:firstLineChars="200"/>
              <w:rPr>
                <w:rFonts w:ascii="宋体" w:hAnsi="宋体"/>
                <w:szCs w:val="21"/>
              </w:rPr>
            </w:pPr>
            <w:r>
              <w:rPr>
                <w:rFonts w:hint="eastAsia" w:ascii="宋体" w:hAnsi="宋体"/>
                <w:szCs w:val="21"/>
              </w:rPr>
              <w:t>e.投标人在投标活动中无欺诈行为；</w:t>
            </w:r>
          </w:p>
          <w:p w14:paraId="5C22AA82">
            <w:pPr>
              <w:ind w:firstLine="420" w:firstLineChars="200"/>
              <w:rPr>
                <w:rFonts w:ascii="宋体" w:hAnsi="宋体"/>
                <w:szCs w:val="21"/>
              </w:rPr>
            </w:pPr>
            <w:r>
              <w:rPr>
                <w:rFonts w:hint="eastAsia" w:ascii="宋体" w:hAnsi="宋体"/>
                <w:szCs w:val="21"/>
              </w:rPr>
              <w:t>f.投标人未对合同条款有重要保留。</w:t>
            </w:r>
          </w:p>
        </w:tc>
      </w:tr>
      <w:tr w14:paraId="61548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trHeight w:val="3985" w:hRule="atLeast"/>
          <w:jc w:val="center"/>
        </w:trPr>
        <w:tc>
          <w:tcPr>
            <w:tcW w:w="856" w:type="dxa"/>
            <w:shd w:val="clear" w:color="auto" w:fill="auto"/>
            <w:vAlign w:val="center"/>
          </w:tcPr>
          <w:p w14:paraId="0B16AB75">
            <w:pPr>
              <w:autoSpaceDE w:val="0"/>
              <w:autoSpaceDN w:val="0"/>
              <w:adjustRightInd w:val="0"/>
              <w:snapToGrid w:val="0"/>
              <w:spacing w:line="300" w:lineRule="auto"/>
              <w:ind w:firstLine="210" w:firstLineChars="100"/>
              <w:rPr>
                <w:rFonts w:ascii="宋体" w:hAnsi="宋体"/>
                <w:szCs w:val="21"/>
              </w:rPr>
            </w:pPr>
            <w:r>
              <w:rPr>
                <w:rFonts w:ascii="宋体" w:hAnsi="宋体"/>
                <w:szCs w:val="21"/>
              </w:rPr>
              <w:t>2.1.1</w:t>
            </w:r>
          </w:p>
          <w:p w14:paraId="7FBC65D7">
            <w:pPr>
              <w:autoSpaceDE w:val="0"/>
              <w:autoSpaceDN w:val="0"/>
              <w:adjustRightInd w:val="0"/>
              <w:snapToGrid w:val="0"/>
              <w:spacing w:line="300" w:lineRule="auto"/>
              <w:ind w:firstLine="210" w:firstLineChars="100"/>
              <w:rPr>
                <w:rFonts w:ascii="宋体" w:hAnsi="宋体"/>
                <w:szCs w:val="21"/>
              </w:rPr>
            </w:pPr>
            <w:r>
              <w:rPr>
                <w:rFonts w:ascii="宋体" w:hAnsi="宋体"/>
                <w:szCs w:val="21"/>
              </w:rPr>
              <w:t>2.1.3</w:t>
            </w:r>
          </w:p>
        </w:tc>
        <w:tc>
          <w:tcPr>
            <w:tcW w:w="1389" w:type="dxa"/>
            <w:shd w:val="clear" w:color="auto" w:fill="auto"/>
            <w:vAlign w:val="center"/>
          </w:tcPr>
          <w:p w14:paraId="799BEE1A">
            <w:pPr>
              <w:adjustRightInd w:val="0"/>
              <w:snapToGrid w:val="0"/>
              <w:spacing w:line="300" w:lineRule="auto"/>
              <w:ind w:firstLine="210" w:firstLineChars="100"/>
              <w:rPr>
                <w:rFonts w:ascii="宋体" w:hAnsi="宋体"/>
                <w:szCs w:val="21"/>
              </w:rPr>
            </w:pPr>
            <w:r>
              <w:rPr>
                <w:rFonts w:hint="eastAsia" w:ascii="宋体" w:hAnsi="宋体"/>
                <w:szCs w:val="21"/>
              </w:rPr>
              <w:t>形式评审与</w:t>
            </w:r>
          </w:p>
          <w:p w14:paraId="6E0A452B">
            <w:pPr>
              <w:adjustRightInd w:val="0"/>
              <w:snapToGrid w:val="0"/>
              <w:spacing w:line="300" w:lineRule="auto"/>
              <w:ind w:firstLine="210" w:firstLineChars="100"/>
              <w:rPr>
                <w:rFonts w:ascii="宋体" w:hAnsi="宋体"/>
                <w:szCs w:val="21"/>
              </w:rPr>
            </w:pPr>
            <w:r>
              <w:rPr>
                <w:rFonts w:hint="eastAsia" w:ascii="宋体" w:hAnsi="宋体"/>
                <w:szCs w:val="21"/>
              </w:rPr>
              <w:t>响应性评审</w:t>
            </w:r>
          </w:p>
          <w:p w14:paraId="1B0C67DA">
            <w:pPr>
              <w:adjustRightInd w:val="0"/>
              <w:snapToGrid w:val="0"/>
              <w:spacing w:line="300" w:lineRule="auto"/>
              <w:ind w:firstLine="420" w:firstLineChars="200"/>
              <w:rPr>
                <w:rFonts w:ascii="宋体" w:hAnsi="宋体"/>
                <w:szCs w:val="21"/>
              </w:rPr>
            </w:pPr>
            <w:r>
              <w:rPr>
                <w:rFonts w:hint="eastAsia" w:ascii="宋体" w:hAnsi="宋体"/>
                <w:szCs w:val="21"/>
              </w:rPr>
              <w:t>标准</w:t>
            </w:r>
          </w:p>
        </w:tc>
        <w:tc>
          <w:tcPr>
            <w:tcW w:w="7383" w:type="dxa"/>
            <w:shd w:val="clear" w:color="auto" w:fill="auto"/>
          </w:tcPr>
          <w:p w14:paraId="45F8D8F5">
            <w:pPr>
              <w:adjustRightInd w:val="0"/>
              <w:snapToGrid w:val="0"/>
              <w:ind w:firstLine="211" w:firstLineChars="100"/>
              <w:rPr>
                <w:rFonts w:ascii="宋体" w:hAnsi="宋体"/>
                <w:b/>
              </w:rPr>
            </w:pPr>
            <w:r>
              <w:rPr>
                <w:rFonts w:hint="eastAsia" w:ascii="宋体" w:hAnsi="宋体"/>
                <w:b/>
              </w:rPr>
              <w:t>第二个信封（报价文件）评审标准：</w:t>
            </w:r>
          </w:p>
          <w:p w14:paraId="76A802C5">
            <w:pPr>
              <w:adjustRightInd w:val="0"/>
              <w:snapToGrid w:val="0"/>
              <w:ind w:left="210"/>
              <w:rPr>
                <w:rFonts w:ascii="宋体" w:hAnsi="宋体"/>
                <w:szCs w:val="21"/>
              </w:rPr>
            </w:pPr>
            <w:r>
              <w:rPr>
                <w:rFonts w:hint="eastAsia" w:ascii="宋体" w:hAnsi="宋体"/>
                <w:szCs w:val="21"/>
              </w:rPr>
              <w:t>（1）投标文件按照招标文件规定的格式、内容填写，字迹清晰可辨：</w:t>
            </w:r>
          </w:p>
          <w:p w14:paraId="267F429E">
            <w:pPr>
              <w:adjustRightInd w:val="0"/>
              <w:snapToGrid w:val="0"/>
              <w:ind w:left="210"/>
              <w:rPr>
                <w:rFonts w:ascii="宋体" w:hAnsi="宋体"/>
                <w:szCs w:val="21"/>
              </w:rPr>
            </w:pPr>
            <w:r>
              <w:rPr>
                <w:rFonts w:hint="eastAsia" w:ascii="宋体" w:hAnsi="宋体"/>
                <w:szCs w:val="21"/>
              </w:rPr>
              <w:t>a.投标函按招标文件规定填报了项目名称、标段号、补遗书编号（如有）、投标价（包括大写金额和小写金额）。</w:t>
            </w:r>
          </w:p>
          <w:p w14:paraId="7B2B7565">
            <w:pPr>
              <w:adjustRightInd w:val="0"/>
              <w:snapToGrid w:val="0"/>
              <w:ind w:left="210"/>
              <w:rPr>
                <w:rFonts w:ascii="宋体" w:hAnsi="宋体"/>
                <w:szCs w:val="21"/>
              </w:rPr>
            </w:pPr>
            <w:r>
              <w:rPr>
                <w:rFonts w:hint="eastAsia" w:ascii="宋体" w:hAnsi="宋体"/>
                <w:szCs w:val="21"/>
              </w:rPr>
              <w:t>b.已标价工程量清单说明与招标文件规定一致，未进行实质性修改和删减；</w:t>
            </w:r>
          </w:p>
          <w:p w14:paraId="4D43A744">
            <w:pPr>
              <w:adjustRightInd w:val="0"/>
              <w:snapToGrid w:val="0"/>
              <w:ind w:left="210"/>
              <w:rPr>
                <w:rFonts w:ascii="宋体" w:hAnsi="宋体"/>
                <w:szCs w:val="21"/>
              </w:rPr>
            </w:pPr>
            <w:r>
              <w:rPr>
                <w:rFonts w:hint="eastAsia" w:ascii="宋体" w:hAnsi="宋体"/>
                <w:szCs w:val="21"/>
              </w:rPr>
              <w:t>c.投标文件组成齐全完整，内容均按规定填写。</w:t>
            </w:r>
          </w:p>
          <w:p w14:paraId="3774B40B">
            <w:pPr>
              <w:adjustRightInd w:val="0"/>
              <w:snapToGrid w:val="0"/>
              <w:ind w:left="210"/>
              <w:rPr>
                <w:rFonts w:ascii="宋体" w:hAnsi="宋体"/>
                <w:szCs w:val="21"/>
              </w:rPr>
            </w:pPr>
            <w:r>
              <w:rPr>
                <w:rFonts w:hint="eastAsia" w:ascii="宋体" w:hAnsi="宋体"/>
                <w:szCs w:val="21"/>
              </w:rPr>
              <w:t>（2）投标文件上法定代表人或其委托代理人的签字、投标人的单位章盖章齐全，符合招标文件规定。</w:t>
            </w:r>
          </w:p>
          <w:p w14:paraId="132BE9C2">
            <w:pPr>
              <w:adjustRightInd w:val="0"/>
              <w:snapToGrid w:val="0"/>
              <w:ind w:left="210"/>
              <w:rPr>
                <w:rFonts w:ascii="宋体" w:hAnsi="宋体"/>
                <w:szCs w:val="21"/>
              </w:rPr>
            </w:pPr>
            <w:r>
              <w:rPr>
                <w:rFonts w:hint="eastAsia" w:ascii="宋体" w:hAnsi="宋体"/>
                <w:szCs w:val="21"/>
              </w:rPr>
              <w:t>（3）投标报价未超过招标文件设定的最高投标限价。</w:t>
            </w:r>
          </w:p>
          <w:p w14:paraId="16B37033">
            <w:pPr>
              <w:adjustRightInd w:val="0"/>
              <w:snapToGrid w:val="0"/>
              <w:ind w:left="210"/>
              <w:rPr>
                <w:rFonts w:ascii="宋体" w:hAnsi="宋体"/>
                <w:szCs w:val="21"/>
              </w:rPr>
            </w:pPr>
            <w:r>
              <w:rPr>
                <w:rFonts w:hint="eastAsia" w:ascii="宋体" w:hAnsi="宋体"/>
                <w:szCs w:val="21"/>
              </w:rPr>
              <w:t>（4）投标报价中的大写金额能够确定具体数值。</w:t>
            </w:r>
          </w:p>
          <w:p w14:paraId="7CE41B42">
            <w:pPr>
              <w:adjustRightInd w:val="0"/>
              <w:snapToGrid w:val="0"/>
              <w:ind w:left="210"/>
              <w:rPr>
                <w:rFonts w:ascii="宋体" w:hAnsi="宋体"/>
                <w:szCs w:val="21"/>
              </w:rPr>
            </w:pPr>
            <w:r>
              <w:rPr>
                <w:rFonts w:hint="eastAsia" w:ascii="宋体" w:hAnsi="宋体"/>
                <w:szCs w:val="21"/>
              </w:rPr>
              <w:t>（5）同一投标人未提交两个以上不同的投标报价。</w:t>
            </w:r>
          </w:p>
          <w:p w14:paraId="55F69ECC">
            <w:pPr>
              <w:adjustRightInd w:val="0"/>
              <w:snapToGrid w:val="0"/>
              <w:ind w:left="210"/>
              <w:rPr>
                <w:rFonts w:ascii="宋体" w:hAnsi="宋体"/>
                <w:szCs w:val="21"/>
              </w:rPr>
            </w:pPr>
            <w:r>
              <w:rPr>
                <w:rFonts w:hint="eastAsia" w:ascii="宋体" w:hAnsi="宋体"/>
                <w:szCs w:val="21"/>
              </w:rPr>
              <w:t>（6）投标人未提交调价函。</w:t>
            </w:r>
          </w:p>
          <w:p w14:paraId="7136E0A2">
            <w:pPr>
              <w:adjustRightInd w:val="0"/>
              <w:snapToGrid w:val="0"/>
              <w:ind w:left="210"/>
              <w:rPr>
                <w:rFonts w:ascii="宋体" w:hAnsi="宋体"/>
                <w:szCs w:val="21"/>
              </w:rPr>
            </w:pPr>
            <w:r>
              <w:rPr>
                <w:rFonts w:hint="eastAsia" w:ascii="宋体" w:hAnsi="宋体"/>
                <w:szCs w:val="21"/>
              </w:rPr>
              <w:t>（7）投标人填写完毕的工程量固化清单未对工程量固化清单电子文件中的数据、格式和运算定义进行修改；工程量固化清单中的投标报价和投标函大写金额报价一致。</w:t>
            </w:r>
          </w:p>
        </w:tc>
      </w:tr>
      <w:tr w14:paraId="2E90E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trHeight w:val="2863" w:hRule="atLeast"/>
          <w:jc w:val="center"/>
        </w:trPr>
        <w:tc>
          <w:tcPr>
            <w:tcW w:w="856" w:type="dxa"/>
            <w:tcBorders>
              <w:bottom w:val="single" w:color="auto" w:sz="4" w:space="0"/>
            </w:tcBorders>
            <w:shd w:val="clear" w:color="auto" w:fill="auto"/>
            <w:vAlign w:val="center"/>
          </w:tcPr>
          <w:p w14:paraId="0415DE64">
            <w:pPr>
              <w:autoSpaceDE w:val="0"/>
              <w:autoSpaceDN w:val="0"/>
              <w:adjustRightInd w:val="0"/>
              <w:snapToGrid w:val="0"/>
              <w:spacing w:line="300" w:lineRule="auto"/>
              <w:ind w:firstLine="210" w:firstLineChars="100"/>
              <w:rPr>
                <w:rFonts w:ascii="宋体" w:hAnsi="宋体"/>
                <w:szCs w:val="21"/>
              </w:rPr>
            </w:pPr>
            <w:r>
              <w:rPr>
                <w:rFonts w:ascii="宋体" w:hAnsi="宋体"/>
                <w:szCs w:val="21"/>
              </w:rPr>
              <w:t>2.1.2</w:t>
            </w:r>
          </w:p>
        </w:tc>
        <w:tc>
          <w:tcPr>
            <w:tcW w:w="1389" w:type="dxa"/>
            <w:tcBorders>
              <w:bottom w:val="single" w:color="auto" w:sz="4" w:space="0"/>
            </w:tcBorders>
            <w:shd w:val="clear" w:color="auto" w:fill="auto"/>
            <w:vAlign w:val="center"/>
          </w:tcPr>
          <w:p w14:paraId="560154D4">
            <w:pPr>
              <w:adjustRightInd w:val="0"/>
              <w:snapToGrid w:val="0"/>
              <w:spacing w:line="300" w:lineRule="auto"/>
              <w:jc w:val="center"/>
              <w:rPr>
                <w:rFonts w:ascii="宋体" w:hAnsi="宋体"/>
                <w:szCs w:val="21"/>
              </w:rPr>
            </w:pPr>
            <w:r>
              <w:rPr>
                <w:rFonts w:hint="eastAsia" w:ascii="宋体" w:hAnsi="宋体"/>
                <w:szCs w:val="21"/>
              </w:rPr>
              <w:t>资格评审</w:t>
            </w:r>
          </w:p>
          <w:p w14:paraId="0C203331">
            <w:pPr>
              <w:adjustRightInd w:val="0"/>
              <w:snapToGrid w:val="0"/>
              <w:spacing w:line="300" w:lineRule="auto"/>
              <w:jc w:val="center"/>
              <w:rPr>
                <w:rFonts w:ascii="宋体" w:hAnsi="宋体"/>
                <w:szCs w:val="21"/>
              </w:rPr>
            </w:pPr>
            <w:r>
              <w:rPr>
                <w:rFonts w:hint="eastAsia" w:ascii="宋体" w:hAnsi="宋体"/>
                <w:szCs w:val="21"/>
              </w:rPr>
              <w:t>标准</w:t>
            </w:r>
          </w:p>
        </w:tc>
        <w:tc>
          <w:tcPr>
            <w:tcW w:w="7383" w:type="dxa"/>
            <w:tcBorders>
              <w:bottom w:val="single" w:color="auto" w:sz="4" w:space="0"/>
            </w:tcBorders>
            <w:shd w:val="clear" w:color="auto" w:fill="auto"/>
          </w:tcPr>
          <w:p w14:paraId="4A58A109">
            <w:pPr>
              <w:adjustRightInd w:val="0"/>
              <w:snapToGrid w:val="0"/>
              <w:ind w:left="210"/>
              <w:rPr>
                <w:rFonts w:ascii="宋体" w:hAnsi="宋体" w:cs="宋体"/>
              </w:rPr>
            </w:pPr>
            <w:r>
              <w:rPr>
                <w:rFonts w:hint="eastAsia" w:ascii="宋体" w:hAnsi="宋体" w:cs="宋体"/>
              </w:rPr>
              <w:t>（1）投标人具备有效的营业执照（事业单位法人证书）、资质证书、安全生产许可证、基本账户开户许可证（或基本账户开户银行出具的开户证明，采用保函形式提交投标保证金的，可不提供）、在国家企业信用信息公示系统中基础信息（体现股东及出资详细信息）的网页截图（事业单位无须提供）。</w:t>
            </w:r>
          </w:p>
          <w:p w14:paraId="4526C5FD">
            <w:pPr>
              <w:adjustRightInd w:val="0"/>
              <w:snapToGrid w:val="0"/>
              <w:ind w:left="210"/>
              <w:rPr>
                <w:rFonts w:ascii="宋体" w:hAnsi="宋体" w:cs="宋体"/>
              </w:rPr>
            </w:pPr>
            <w:r>
              <w:rPr>
                <w:rFonts w:hint="eastAsia" w:ascii="宋体" w:hAnsi="宋体" w:cs="宋体"/>
              </w:rPr>
              <w:t>（2）投标人的资质等级符合招标文件规定。</w:t>
            </w:r>
          </w:p>
          <w:p w14:paraId="7B864E14">
            <w:pPr>
              <w:adjustRightInd w:val="0"/>
              <w:snapToGrid w:val="0"/>
              <w:ind w:left="210"/>
              <w:rPr>
                <w:rFonts w:ascii="宋体" w:hAnsi="宋体" w:cs="宋体"/>
              </w:rPr>
            </w:pPr>
            <w:r>
              <w:rPr>
                <w:rFonts w:hint="eastAsia" w:ascii="宋体" w:hAnsi="宋体" w:cs="宋体"/>
              </w:rPr>
              <w:t>（3）投标人的财务状况符合招标文件规定。</w:t>
            </w:r>
          </w:p>
          <w:p w14:paraId="6A6E46EE">
            <w:pPr>
              <w:adjustRightInd w:val="0"/>
              <w:snapToGrid w:val="0"/>
              <w:ind w:left="210"/>
              <w:rPr>
                <w:rFonts w:ascii="宋体" w:hAnsi="宋体" w:cs="宋体"/>
              </w:rPr>
            </w:pPr>
            <w:r>
              <w:rPr>
                <w:rFonts w:hint="eastAsia" w:ascii="宋体" w:hAnsi="宋体" w:cs="宋体"/>
              </w:rPr>
              <w:t>（4）投标人的类似项目业绩符合招标文件规定。</w:t>
            </w:r>
          </w:p>
          <w:p w14:paraId="23A4076F">
            <w:pPr>
              <w:adjustRightInd w:val="0"/>
              <w:snapToGrid w:val="0"/>
              <w:ind w:left="210"/>
              <w:rPr>
                <w:rFonts w:ascii="宋体" w:hAnsi="宋体" w:cs="宋体"/>
              </w:rPr>
            </w:pPr>
            <w:r>
              <w:rPr>
                <w:rFonts w:hint="eastAsia" w:ascii="宋体" w:hAnsi="宋体" w:cs="宋体"/>
              </w:rPr>
              <w:t>（5）投标人的信誉符合招标文件规定。</w:t>
            </w:r>
          </w:p>
          <w:p w14:paraId="66BDE12C">
            <w:pPr>
              <w:adjustRightInd w:val="0"/>
              <w:snapToGrid w:val="0"/>
              <w:ind w:left="210"/>
              <w:rPr>
                <w:rFonts w:ascii="宋体" w:hAnsi="宋体" w:cs="宋体"/>
              </w:rPr>
            </w:pPr>
            <w:r>
              <w:rPr>
                <w:rFonts w:hint="eastAsia" w:ascii="宋体" w:hAnsi="宋体" w:cs="宋体"/>
              </w:rPr>
              <w:t>（6）投标人的项目经理和项目总工资格、在岗情况符合招标文件规定。</w:t>
            </w:r>
          </w:p>
          <w:p w14:paraId="1D744980">
            <w:pPr>
              <w:adjustRightInd w:val="0"/>
              <w:snapToGrid w:val="0"/>
              <w:ind w:left="210"/>
              <w:rPr>
                <w:rFonts w:ascii="宋体" w:hAnsi="宋体" w:cs="宋体"/>
              </w:rPr>
            </w:pPr>
            <w:r>
              <w:rPr>
                <w:rFonts w:hint="eastAsia" w:ascii="宋体" w:hAnsi="宋体" w:cs="宋体"/>
              </w:rPr>
              <w:t>（7）</w:t>
            </w:r>
            <w:r>
              <w:rPr>
                <w:rFonts w:hint="eastAsia" w:ascii="Times New Roman" w:hAnsi="Times New Roman"/>
                <w:szCs w:val="21"/>
              </w:rPr>
              <w:t>投标人的其他要求符合招标文件规定。</w:t>
            </w:r>
          </w:p>
          <w:p w14:paraId="1134784A">
            <w:pPr>
              <w:adjustRightInd w:val="0"/>
              <w:snapToGrid w:val="0"/>
              <w:ind w:left="210"/>
              <w:rPr>
                <w:rFonts w:ascii="宋体" w:hAnsi="宋体" w:cs="宋体"/>
              </w:rPr>
            </w:pPr>
            <w:r>
              <w:rPr>
                <w:rFonts w:hint="eastAsia" w:ascii="宋体" w:hAnsi="宋体" w:cs="宋体"/>
              </w:rPr>
              <w:t>（8）投标人不存在第二章“投标人须知”第1.4.3项或第1.4.4项规定的任何一种情形。</w:t>
            </w:r>
          </w:p>
          <w:p w14:paraId="24F7589F">
            <w:pPr>
              <w:adjustRightInd w:val="0"/>
              <w:snapToGrid w:val="0"/>
              <w:ind w:left="210"/>
              <w:rPr>
                <w:rFonts w:ascii="宋体" w:hAnsi="宋体" w:cs="宋体"/>
              </w:rPr>
            </w:pPr>
            <w:r>
              <w:rPr>
                <w:rFonts w:hint="eastAsia" w:ascii="宋体" w:hAnsi="宋体" w:cs="宋体"/>
              </w:rPr>
              <w:t>（9）投标人符合第二章“投标人须知”第1.4.5项规定。</w:t>
            </w:r>
          </w:p>
          <w:p w14:paraId="400F85E8">
            <w:pPr>
              <w:pStyle w:val="4"/>
              <w:ind w:firstLine="210" w:firstLineChars="100"/>
            </w:pPr>
            <w:r>
              <w:rPr>
                <w:rFonts w:hint="eastAsia" w:hAnsi="宋体" w:cs="宋体"/>
                <w:szCs w:val="22"/>
              </w:rPr>
              <w:t>（10）投标人未以联合体形式参与投标。</w:t>
            </w:r>
          </w:p>
        </w:tc>
      </w:tr>
    </w:tbl>
    <w:p w14:paraId="08ED4D0B">
      <w:pPr>
        <w:jc w:val="right"/>
      </w:pPr>
    </w:p>
    <w:p w14:paraId="12B141D7">
      <w:pPr>
        <w:jc w:val="right"/>
        <w:sectPr>
          <w:headerReference r:id="rId4" w:type="default"/>
          <w:footerReference r:id="rId5" w:type="default"/>
          <w:footnotePr>
            <w:numFmt w:val="decimalEnclosedCircleChinese"/>
            <w:numRestart w:val="eachPage"/>
          </w:footnotePr>
          <w:pgSz w:w="11907" w:h="16840"/>
          <w:pgMar w:top="1134" w:right="1134" w:bottom="1134" w:left="1134" w:header="0" w:footer="567" w:gutter="0"/>
          <w:cols w:space="720" w:num="1"/>
        </w:sectPr>
      </w:pPr>
    </w:p>
    <w:p w14:paraId="35379A57">
      <w:pPr>
        <w:jc w:val="right"/>
      </w:pPr>
      <w:r>
        <w:t>续上表</w:t>
      </w:r>
    </w:p>
    <w:tbl>
      <w:tblPr>
        <w:tblStyle w:val="7"/>
        <w:tblW w:w="97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0" w:type="dxa"/>
          <w:bottom w:w="85" w:type="dxa"/>
          <w:right w:w="0" w:type="dxa"/>
        </w:tblCellMar>
      </w:tblPr>
      <w:tblGrid>
        <w:gridCol w:w="856"/>
        <w:gridCol w:w="1389"/>
        <w:gridCol w:w="7465"/>
      </w:tblGrid>
      <w:tr w14:paraId="62A62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cantSplit/>
          <w:trHeight w:val="560" w:hRule="atLeast"/>
        </w:trPr>
        <w:tc>
          <w:tcPr>
            <w:tcW w:w="856" w:type="dxa"/>
            <w:tcBorders>
              <w:top w:val="single" w:color="000000" w:sz="4" w:space="0"/>
              <w:left w:val="single" w:color="000000" w:sz="4" w:space="0"/>
              <w:bottom w:val="single" w:color="auto" w:sz="4" w:space="0"/>
              <w:right w:val="single" w:color="000000" w:sz="4" w:space="0"/>
            </w:tcBorders>
            <w:shd w:val="clear" w:color="auto" w:fill="auto"/>
            <w:vAlign w:val="center"/>
          </w:tcPr>
          <w:p w14:paraId="3128CF27">
            <w:pPr>
              <w:autoSpaceDE w:val="0"/>
              <w:autoSpaceDN w:val="0"/>
              <w:adjustRightInd w:val="0"/>
              <w:snapToGrid w:val="0"/>
              <w:spacing w:line="300" w:lineRule="auto"/>
              <w:ind w:firstLine="4" w:firstLineChars="2"/>
              <w:jc w:val="center"/>
              <w:rPr>
                <w:rFonts w:ascii="宋体" w:hAnsi="宋体"/>
                <w:szCs w:val="21"/>
              </w:rPr>
            </w:pPr>
            <w:r>
              <w:rPr>
                <w:rFonts w:ascii="宋体" w:hAnsi="宋体"/>
                <w:szCs w:val="21"/>
              </w:rPr>
              <w:t>条款号</w:t>
            </w:r>
          </w:p>
        </w:tc>
        <w:tc>
          <w:tcPr>
            <w:tcW w:w="1389" w:type="dxa"/>
            <w:tcBorders>
              <w:top w:val="single" w:color="000000" w:sz="4" w:space="0"/>
              <w:left w:val="single" w:color="000000" w:sz="4" w:space="0"/>
              <w:bottom w:val="single" w:color="auto" w:sz="4" w:space="0"/>
              <w:right w:val="single" w:color="000000" w:sz="4" w:space="0"/>
            </w:tcBorders>
            <w:shd w:val="clear" w:color="auto" w:fill="auto"/>
            <w:vAlign w:val="center"/>
          </w:tcPr>
          <w:p w14:paraId="059FD2F4">
            <w:pPr>
              <w:adjustRightInd w:val="0"/>
              <w:snapToGrid w:val="0"/>
              <w:spacing w:line="300" w:lineRule="auto"/>
              <w:jc w:val="center"/>
              <w:rPr>
                <w:rFonts w:ascii="宋体" w:hAnsi="宋体"/>
                <w:szCs w:val="21"/>
              </w:rPr>
            </w:pPr>
            <w:r>
              <w:rPr>
                <w:rFonts w:hint="eastAsia" w:ascii="宋体" w:hAnsi="宋体"/>
                <w:szCs w:val="21"/>
              </w:rPr>
              <w:t>条款内容</w:t>
            </w:r>
          </w:p>
        </w:tc>
        <w:tc>
          <w:tcPr>
            <w:tcW w:w="7465" w:type="dxa"/>
            <w:tcBorders>
              <w:top w:val="single" w:color="000000" w:sz="4" w:space="0"/>
              <w:left w:val="single" w:color="000000" w:sz="4" w:space="0"/>
              <w:bottom w:val="single" w:color="auto" w:sz="4" w:space="0"/>
              <w:right w:val="single" w:color="000000" w:sz="4" w:space="0"/>
            </w:tcBorders>
            <w:shd w:val="clear" w:color="auto" w:fill="auto"/>
            <w:vAlign w:val="center"/>
          </w:tcPr>
          <w:p w14:paraId="5F6C8E90">
            <w:pPr>
              <w:adjustRightInd w:val="0"/>
              <w:snapToGrid w:val="0"/>
              <w:ind w:firstLine="27" w:firstLineChars="13"/>
              <w:jc w:val="center"/>
              <w:rPr>
                <w:rFonts w:ascii="宋体" w:hAnsi="宋体"/>
                <w:szCs w:val="21"/>
              </w:rPr>
            </w:pPr>
            <w:r>
              <w:rPr>
                <w:rFonts w:hint="eastAsia" w:ascii="宋体" w:hAnsi="宋体"/>
                <w:szCs w:val="21"/>
              </w:rPr>
              <w:t>编列内容</w:t>
            </w:r>
          </w:p>
        </w:tc>
      </w:tr>
      <w:tr w14:paraId="71725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cantSplit/>
          <w:trHeight w:val="20" w:hRule="atLeast"/>
        </w:trPr>
        <w:tc>
          <w:tcPr>
            <w:tcW w:w="856" w:type="dxa"/>
            <w:tcBorders>
              <w:top w:val="single" w:color="000000" w:sz="4" w:space="0"/>
              <w:left w:val="single" w:color="000000" w:sz="4" w:space="0"/>
              <w:bottom w:val="single" w:color="auto" w:sz="4" w:space="0"/>
              <w:right w:val="single" w:color="000000" w:sz="4" w:space="0"/>
            </w:tcBorders>
            <w:shd w:val="clear" w:color="auto" w:fill="auto"/>
            <w:vAlign w:val="center"/>
          </w:tcPr>
          <w:p w14:paraId="1B04C3C6">
            <w:pPr>
              <w:autoSpaceDE w:val="0"/>
              <w:autoSpaceDN w:val="0"/>
              <w:adjustRightInd w:val="0"/>
              <w:snapToGrid w:val="0"/>
              <w:spacing w:line="300" w:lineRule="auto"/>
              <w:ind w:firstLine="210" w:firstLineChars="100"/>
              <w:rPr>
                <w:rFonts w:ascii="宋体" w:hAnsi="宋体"/>
                <w:szCs w:val="21"/>
              </w:rPr>
            </w:pPr>
            <w:r>
              <w:rPr>
                <w:rFonts w:ascii="宋体" w:hAnsi="宋体"/>
                <w:szCs w:val="21"/>
              </w:rPr>
              <w:t>2.2.1</w:t>
            </w:r>
          </w:p>
        </w:tc>
        <w:tc>
          <w:tcPr>
            <w:tcW w:w="1389" w:type="dxa"/>
            <w:tcBorders>
              <w:top w:val="single" w:color="000000" w:sz="4" w:space="0"/>
              <w:left w:val="single" w:color="000000" w:sz="4" w:space="0"/>
              <w:bottom w:val="single" w:color="auto" w:sz="4" w:space="0"/>
              <w:right w:val="single" w:color="000000" w:sz="4" w:space="0"/>
            </w:tcBorders>
            <w:shd w:val="clear" w:color="auto" w:fill="auto"/>
            <w:vAlign w:val="center"/>
          </w:tcPr>
          <w:p w14:paraId="20D75368">
            <w:pPr>
              <w:adjustRightInd w:val="0"/>
              <w:snapToGrid w:val="0"/>
              <w:spacing w:line="300" w:lineRule="auto"/>
              <w:jc w:val="center"/>
              <w:rPr>
                <w:rFonts w:ascii="宋体" w:hAnsi="宋体"/>
                <w:szCs w:val="21"/>
              </w:rPr>
            </w:pPr>
            <w:r>
              <w:rPr>
                <w:rFonts w:hint="eastAsia" w:ascii="宋体" w:hAnsi="宋体"/>
                <w:szCs w:val="21"/>
              </w:rPr>
              <w:t>第一个信封</w:t>
            </w:r>
          </w:p>
          <w:p w14:paraId="7FA77367">
            <w:pPr>
              <w:adjustRightInd w:val="0"/>
              <w:snapToGrid w:val="0"/>
              <w:spacing w:line="300" w:lineRule="auto"/>
              <w:jc w:val="center"/>
              <w:rPr>
                <w:rFonts w:ascii="宋体" w:hAnsi="宋体"/>
                <w:szCs w:val="21"/>
              </w:rPr>
            </w:pPr>
            <w:r>
              <w:rPr>
                <w:rFonts w:hint="eastAsia" w:ascii="宋体" w:hAnsi="宋体"/>
                <w:szCs w:val="21"/>
              </w:rPr>
              <w:t>评分分值构成（总分</w:t>
            </w:r>
            <w:r>
              <w:rPr>
                <w:rFonts w:ascii="宋体" w:hAnsi="宋体"/>
                <w:szCs w:val="21"/>
              </w:rPr>
              <w:t>100</w:t>
            </w:r>
            <w:r>
              <w:rPr>
                <w:rFonts w:hint="eastAsia" w:ascii="宋体" w:hAnsi="宋体"/>
                <w:szCs w:val="21"/>
              </w:rPr>
              <w:t>分）</w:t>
            </w:r>
          </w:p>
        </w:tc>
        <w:tc>
          <w:tcPr>
            <w:tcW w:w="7465" w:type="dxa"/>
            <w:tcBorders>
              <w:top w:val="single" w:color="000000" w:sz="4" w:space="0"/>
              <w:left w:val="single" w:color="000000" w:sz="4" w:space="0"/>
              <w:bottom w:val="single" w:color="auto" w:sz="4" w:space="0"/>
              <w:right w:val="single" w:color="000000" w:sz="4" w:space="0"/>
            </w:tcBorders>
            <w:shd w:val="clear" w:color="auto" w:fill="auto"/>
          </w:tcPr>
          <w:p w14:paraId="56032037">
            <w:pPr>
              <w:adjustRightInd w:val="0"/>
              <w:snapToGrid w:val="0"/>
              <w:ind w:firstLine="210" w:firstLineChars="100"/>
              <w:rPr>
                <w:rFonts w:ascii="宋体" w:hAnsi="宋体"/>
                <w:szCs w:val="21"/>
              </w:rPr>
            </w:pPr>
            <w:r>
              <w:rPr>
                <w:rFonts w:hint="eastAsia" w:ascii="宋体" w:hAnsi="宋体"/>
                <w:szCs w:val="21"/>
              </w:rPr>
              <w:t>施工组织设计：40分</w:t>
            </w:r>
          </w:p>
          <w:p w14:paraId="50F7CA1A">
            <w:pPr>
              <w:adjustRightInd w:val="0"/>
              <w:snapToGrid w:val="0"/>
              <w:ind w:firstLine="210" w:firstLineChars="100"/>
              <w:rPr>
                <w:rFonts w:ascii="宋体" w:hAnsi="宋体"/>
                <w:szCs w:val="21"/>
              </w:rPr>
            </w:pPr>
            <w:r>
              <w:rPr>
                <w:rFonts w:hint="eastAsia" w:ascii="宋体" w:hAnsi="宋体"/>
                <w:szCs w:val="21"/>
              </w:rPr>
              <w:t>主要人员：25分</w:t>
            </w:r>
          </w:p>
          <w:p w14:paraId="4D112568">
            <w:pPr>
              <w:adjustRightInd w:val="0"/>
              <w:snapToGrid w:val="0"/>
              <w:ind w:firstLine="210" w:firstLineChars="100"/>
              <w:rPr>
                <w:rFonts w:ascii="宋体" w:hAnsi="宋体"/>
                <w:szCs w:val="21"/>
              </w:rPr>
            </w:pPr>
            <w:r>
              <w:rPr>
                <w:rFonts w:hint="eastAsia" w:ascii="宋体" w:hAnsi="宋体"/>
                <w:szCs w:val="21"/>
              </w:rPr>
              <w:t>履约信誉：15分</w:t>
            </w:r>
          </w:p>
          <w:p w14:paraId="25D4D815">
            <w:pPr>
              <w:adjustRightInd w:val="0"/>
              <w:snapToGrid w:val="0"/>
              <w:ind w:firstLine="210" w:firstLineChars="100"/>
              <w:rPr>
                <w:rFonts w:ascii="宋体" w:hAnsi="宋体"/>
                <w:szCs w:val="21"/>
              </w:rPr>
            </w:pPr>
            <w:r>
              <w:rPr>
                <w:rFonts w:hint="eastAsia" w:ascii="宋体" w:hAnsi="宋体"/>
                <w:szCs w:val="21"/>
              </w:rPr>
              <w:t>企业业绩：20分</w:t>
            </w:r>
          </w:p>
        </w:tc>
      </w:tr>
      <w:tr w14:paraId="6EC7F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cantSplit/>
          <w:trHeight w:val="20" w:hRule="atLeast"/>
        </w:trPr>
        <w:tc>
          <w:tcPr>
            <w:tcW w:w="856" w:type="dxa"/>
            <w:tcBorders>
              <w:top w:val="single" w:color="000000" w:sz="4" w:space="0"/>
              <w:left w:val="single" w:color="000000" w:sz="4" w:space="0"/>
              <w:bottom w:val="single" w:color="auto" w:sz="4" w:space="0"/>
              <w:right w:val="single" w:color="000000" w:sz="4" w:space="0"/>
            </w:tcBorders>
            <w:shd w:val="clear" w:color="auto" w:fill="auto"/>
            <w:vAlign w:val="center"/>
          </w:tcPr>
          <w:p w14:paraId="4A14252E">
            <w:pPr>
              <w:autoSpaceDE w:val="0"/>
              <w:autoSpaceDN w:val="0"/>
              <w:adjustRightInd w:val="0"/>
              <w:snapToGrid w:val="0"/>
              <w:spacing w:line="300" w:lineRule="auto"/>
              <w:ind w:firstLine="210" w:firstLineChars="100"/>
              <w:rPr>
                <w:rFonts w:ascii="宋体" w:hAnsi="宋体"/>
                <w:szCs w:val="21"/>
              </w:rPr>
            </w:pPr>
            <w:r>
              <w:rPr>
                <w:rFonts w:hint="eastAsia" w:ascii="宋体" w:hAnsi="宋体"/>
                <w:szCs w:val="21"/>
              </w:rPr>
              <w:t>2.2.</w:t>
            </w:r>
            <w:r>
              <w:rPr>
                <w:rFonts w:ascii="宋体" w:hAnsi="宋体"/>
                <w:szCs w:val="21"/>
              </w:rPr>
              <w:t>3</w:t>
            </w:r>
          </w:p>
        </w:tc>
        <w:tc>
          <w:tcPr>
            <w:tcW w:w="1389" w:type="dxa"/>
            <w:tcBorders>
              <w:top w:val="single" w:color="000000" w:sz="4" w:space="0"/>
              <w:left w:val="single" w:color="000000" w:sz="4" w:space="0"/>
              <w:bottom w:val="single" w:color="auto" w:sz="4" w:space="0"/>
              <w:right w:val="single" w:color="000000" w:sz="4" w:space="0"/>
            </w:tcBorders>
            <w:shd w:val="clear" w:color="auto" w:fill="auto"/>
            <w:vAlign w:val="center"/>
          </w:tcPr>
          <w:p w14:paraId="01E31FAB">
            <w:pPr>
              <w:adjustRightInd w:val="0"/>
              <w:snapToGrid w:val="0"/>
              <w:spacing w:line="300" w:lineRule="auto"/>
              <w:jc w:val="center"/>
              <w:rPr>
                <w:rFonts w:ascii="宋体" w:hAnsi="宋体"/>
                <w:szCs w:val="21"/>
              </w:rPr>
            </w:pPr>
            <w:r>
              <w:rPr>
                <w:rFonts w:hint="eastAsia" w:ascii="宋体" w:hAnsi="宋体"/>
                <w:szCs w:val="21"/>
              </w:rPr>
              <w:t>第二个信封</w:t>
            </w:r>
          </w:p>
          <w:p w14:paraId="0142A151">
            <w:pPr>
              <w:adjustRightInd w:val="0"/>
              <w:snapToGrid w:val="0"/>
              <w:spacing w:line="300" w:lineRule="auto"/>
              <w:jc w:val="center"/>
              <w:rPr>
                <w:rFonts w:ascii="宋体" w:hAnsi="宋体"/>
                <w:szCs w:val="21"/>
              </w:rPr>
            </w:pPr>
            <w:r>
              <w:rPr>
                <w:rFonts w:hint="eastAsia" w:ascii="宋体" w:hAnsi="宋体"/>
                <w:szCs w:val="21"/>
              </w:rPr>
              <w:t>详细评审标准</w:t>
            </w:r>
          </w:p>
        </w:tc>
        <w:tc>
          <w:tcPr>
            <w:tcW w:w="7465" w:type="dxa"/>
            <w:tcBorders>
              <w:top w:val="single" w:color="000000" w:sz="4" w:space="0"/>
              <w:left w:val="single" w:color="000000" w:sz="4" w:space="0"/>
              <w:bottom w:val="single" w:color="auto" w:sz="4" w:space="0"/>
              <w:right w:val="single" w:color="000000" w:sz="4" w:space="0"/>
            </w:tcBorders>
            <w:shd w:val="clear" w:color="auto" w:fill="auto"/>
            <w:vAlign w:val="center"/>
          </w:tcPr>
          <w:p w14:paraId="74334AC2">
            <w:pPr>
              <w:adjustRightInd w:val="0"/>
              <w:snapToGrid w:val="0"/>
              <w:ind w:firstLine="210" w:firstLineChars="100"/>
              <w:rPr>
                <w:rFonts w:ascii="宋体" w:hAnsi="宋体"/>
                <w:szCs w:val="21"/>
              </w:rPr>
            </w:pPr>
            <w:r>
              <w:rPr>
                <w:rFonts w:hint="eastAsia" w:ascii="宋体" w:hAnsi="宋体"/>
                <w:szCs w:val="21"/>
              </w:rPr>
              <w:t>评标价计算公式：评标价=投标函文字报价</w:t>
            </w:r>
          </w:p>
        </w:tc>
      </w:tr>
      <w:tr w14:paraId="2F4F6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cantSplit/>
          <w:trHeight w:val="20" w:hRule="atLeast"/>
        </w:trPr>
        <w:tc>
          <w:tcPr>
            <w:tcW w:w="856" w:type="dxa"/>
            <w:tcBorders>
              <w:top w:val="single" w:color="000000" w:sz="4" w:space="0"/>
              <w:left w:val="single" w:color="000000" w:sz="4" w:space="0"/>
              <w:bottom w:val="single" w:color="auto" w:sz="4" w:space="0"/>
              <w:right w:val="single" w:color="000000" w:sz="4" w:space="0"/>
            </w:tcBorders>
            <w:shd w:val="clear" w:color="auto" w:fill="auto"/>
            <w:vAlign w:val="center"/>
          </w:tcPr>
          <w:p w14:paraId="094FC06A">
            <w:pPr>
              <w:autoSpaceDE w:val="0"/>
              <w:autoSpaceDN w:val="0"/>
              <w:adjustRightInd w:val="0"/>
              <w:snapToGrid w:val="0"/>
              <w:spacing w:line="300" w:lineRule="auto"/>
              <w:ind w:firstLine="210" w:firstLineChars="100"/>
              <w:rPr>
                <w:rFonts w:ascii="宋体" w:hAnsi="宋体"/>
                <w:szCs w:val="21"/>
              </w:rPr>
            </w:pPr>
            <w:r>
              <w:rPr>
                <w:rFonts w:hint="eastAsia" w:ascii="宋体" w:hAnsi="宋体"/>
                <w:szCs w:val="21"/>
              </w:rPr>
              <w:t>3.2.4</w:t>
            </w:r>
          </w:p>
        </w:tc>
        <w:tc>
          <w:tcPr>
            <w:tcW w:w="1389" w:type="dxa"/>
            <w:tcBorders>
              <w:top w:val="single" w:color="000000" w:sz="4" w:space="0"/>
              <w:left w:val="single" w:color="000000" w:sz="4" w:space="0"/>
              <w:bottom w:val="single" w:color="auto" w:sz="4" w:space="0"/>
              <w:right w:val="single" w:color="000000" w:sz="4" w:space="0"/>
            </w:tcBorders>
            <w:shd w:val="clear" w:color="auto" w:fill="auto"/>
            <w:vAlign w:val="center"/>
          </w:tcPr>
          <w:p w14:paraId="53955E13">
            <w:pPr>
              <w:adjustRightInd w:val="0"/>
              <w:snapToGrid w:val="0"/>
              <w:spacing w:line="300" w:lineRule="auto"/>
              <w:jc w:val="center"/>
              <w:rPr>
                <w:rFonts w:ascii="宋体" w:hAnsi="宋体"/>
                <w:szCs w:val="21"/>
              </w:rPr>
            </w:pPr>
            <w:r>
              <w:rPr>
                <w:rFonts w:hint="eastAsia" w:ascii="宋体" w:hAnsi="宋体"/>
                <w:szCs w:val="21"/>
              </w:rPr>
              <w:t>通过第一个</w:t>
            </w:r>
          </w:p>
          <w:p w14:paraId="2446E841">
            <w:pPr>
              <w:adjustRightInd w:val="0"/>
              <w:snapToGrid w:val="0"/>
              <w:spacing w:line="300" w:lineRule="auto"/>
              <w:jc w:val="center"/>
              <w:rPr>
                <w:rFonts w:ascii="宋体" w:hAnsi="宋体"/>
                <w:szCs w:val="21"/>
              </w:rPr>
            </w:pPr>
            <w:r>
              <w:rPr>
                <w:rFonts w:hint="eastAsia" w:ascii="宋体" w:hAnsi="宋体"/>
                <w:szCs w:val="21"/>
              </w:rPr>
              <w:t>信封详细评审的投标人数量</w:t>
            </w:r>
          </w:p>
        </w:tc>
        <w:tc>
          <w:tcPr>
            <w:tcW w:w="7465" w:type="dxa"/>
            <w:tcBorders>
              <w:top w:val="single" w:color="000000" w:sz="4" w:space="0"/>
              <w:left w:val="single" w:color="000000" w:sz="4" w:space="0"/>
              <w:bottom w:val="single" w:color="auto" w:sz="4" w:space="0"/>
              <w:right w:val="single" w:color="000000" w:sz="4" w:space="0"/>
            </w:tcBorders>
            <w:shd w:val="clear" w:color="auto" w:fill="auto"/>
          </w:tcPr>
          <w:p w14:paraId="4F48C7ED">
            <w:pPr>
              <w:adjustRightInd w:val="0"/>
              <w:snapToGrid w:val="0"/>
              <w:ind w:firstLine="210" w:firstLineChars="100"/>
              <w:rPr>
                <w:rFonts w:ascii="宋体" w:hAnsi="宋体"/>
                <w:szCs w:val="21"/>
              </w:rPr>
            </w:pPr>
            <w:r>
              <w:rPr>
                <w:rFonts w:hint="eastAsia" w:ascii="宋体" w:hAnsi="宋体"/>
                <w:szCs w:val="21"/>
              </w:rPr>
              <w:t>按照投标人的商务和技术得分由高到低排序，选择前3名通过详细评审。</w:t>
            </w:r>
          </w:p>
          <w:p w14:paraId="362A9F6C">
            <w:pPr>
              <w:adjustRightInd w:val="0"/>
              <w:snapToGrid w:val="0"/>
              <w:ind w:firstLine="210" w:firstLineChars="100"/>
              <w:rPr>
                <w:rFonts w:ascii="宋体" w:hAnsi="宋体"/>
                <w:szCs w:val="21"/>
              </w:rPr>
            </w:pPr>
            <w:r>
              <w:rPr>
                <w:rFonts w:ascii="宋体" w:hAnsi="宋体"/>
                <w:szCs w:val="21"/>
              </w:rPr>
              <w:t>如同一标段出现多名投标人的</w:t>
            </w:r>
            <w:r>
              <w:rPr>
                <w:rFonts w:hint="eastAsia" w:ascii="宋体" w:hAnsi="宋体"/>
                <w:szCs w:val="21"/>
              </w:rPr>
              <w:t>商务和技术得分</w:t>
            </w:r>
            <w:r>
              <w:rPr>
                <w:rFonts w:ascii="宋体" w:hAnsi="宋体"/>
                <w:szCs w:val="21"/>
              </w:rPr>
              <w:t>相等时，则按照以下</w:t>
            </w:r>
            <w:r>
              <w:rPr>
                <w:rFonts w:hint="eastAsia" w:ascii="宋体" w:hAnsi="宋体"/>
                <w:szCs w:val="21"/>
              </w:rPr>
              <w:t>优先顺序进行</w:t>
            </w:r>
            <w:r>
              <w:rPr>
                <w:rFonts w:ascii="宋体" w:hAnsi="宋体"/>
                <w:szCs w:val="21"/>
              </w:rPr>
              <w:t>排序：</w:t>
            </w:r>
          </w:p>
          <w:p w14:paraId="1C32C149">
            <w:pPr>
              <w:adjustRightInd w:val="0"/>
              <w:snapToGrid w:val="0"/>
              <w:ind w:firstLine="210" w:firstLineChars="100"/>
              <w:rPr>
                <w:rFonts w:ascii="宋体" w:hAnsi="宋体"/>
                <w:szCs w:val="21"/>
              </w:rPr>
            </w:pPr>
            <w:r>
              <w:rPr>
                <w:rFonts w:hint="eastAsia" w:ascii="宋体" w:hAnsi="宋体"/>
                <w:szCs w:val="21"/>
              </w:rPr>
              <w:t>a</w:t>
            </w:r>
            <w:r>
              <w:rPr>
                <w:rFonts w:ascii="宋体" w:hAnsi="宋体"/>
                <w:szCs w:val="21"/>
              </w:rPr>
              <w:t>. 施工组织设计得分较高者</w:t>
            </w:r>
            <w:r>
              <w:rPr>
                <w:rFonts w:hint="eastAsia" w:ascii="宋体" w:hAnsi="宋体"/>
                <w:szCs w:val="21"/>
              </w:rPr>
              <w:t>排序在先</w:t>
            </w:r>
            <w:r>
              <w:rPr>
                <w:rFonts w:ascii="宋体" w:hAnsi="宋体"/>
                <w:szCs w:val="21"/>
              </w:rPr>
              <w:t>；</w:t>
            </w:r>
          </w:p>
          <w:p w14:paraId="622DD932">
            <w:pPr>
              <w:adjustRightInd w:val="0"/>
              <w:snapToGrid w:val="0"/>
              <w:ind w:firstLine="210" w:firstLineChars="100"/>
              <w:rPr>
                <w:rFonts w:ascii="宋体" w:hAnsi="宋体"/>
                <w:szCs w:val="21"/>
              </w:rPr>
            </w:pPr>
            <w:r>
              <w:rPr>
                <w:rFonts w:hint="eastAsia" w:ascii="宋体" w:hAnsi="宋体"/>
                <w:szCs w:val="21"/>
              </w:rPr>
              <w:t>b</w:t>
            </w:r>
            <w:r>
              <w:rPr>
                <w:rFonts w:ascii="宋体" w:hAnsi="宋体"/>
                <w:szCs w:val="21"/>
              </w:rPr>
              <w:t>.</w:t>
            </w:r>
            <w:r>
              <w:rPr>
                <w:rFonts w:hint="eastAsia" w:ascii="宋体" w:hAnsi="宋体"/>
                <w:szCs w:val="21"/>
              </w:rPr>
              <w:t xml:space="preserve"> 主要人员</w:t>
            </w:r>
            <w:r>
              <w:rPr>
                <w:rFonts w:ascii="宋体" w:hAnsi="宋体"/>
                <w:szCs w:val="21"/>
              </w:rPr>
              <w:t>得分较高者</w:t>
            </w:r>
            <w:r>
              <w:rPr>
                <w:rFonts w:hint="eastAsia" w:ascii="宋体" w:hAnsi="宋体"/>
                <w:szCs w:val="21"/>
              </w:rPr>
              <w:t>排序在先</w:t>
            </w:r>
            <w:r>
              <w:rPr>
                <w:rFonts w:ascii="宋体" w:hAnsi="宋体"/>
                <w:szCs w:val="21"/>
              </w:rPr>
              <w:t>；</w:t>
            </w:r>
          </w:p>
          <w:p w14:paraId="13F23E8A">
            <w:pPr>
              <w:adjustRightInd w:val="0"/>
              <w:snapToGrid w:val="0"/>
              <w:ind w:firstLine="210" w:firstLineChars="100"/>
              <w:rPr>
                <w:rFonts w:ascii="宋体" w:hAnsi="宋体"/>
                <w:szCs w:val="21"/>
              </w:rPr>
            </w:pPr>
            <w:r>
              <w:rPr>
                <w:rFonts w:hint="eastAsia" w:ascii="宋体" w:hAnsi="宋体"/>
                <w:szCs w:val="21"/>
              </w:rPr>
              <w:t>c</w:t>
            </w:r>
            <w:r>
              <w:rPr>
                <w:rFonts w:ascii="宋体" w:hAnsi="宋体"/>
                <w:szCs w:val="21"/>
              </w:rPr>
              <w:t>.</w:t>
            </w:r>
            <w:r>
              <w:rPr>
                <w:rFonts w:hint="eastAsia" w:ascii="宋体" w:hAnsi="宋体"/>
                <w:szCs w:val="21"/>
              </w:rPr>
              <w:t xml:space="preserve"> 履约信誉</w:t>
            </w:r>
            <w:r>
              <w:rPr>
                <w:rFonts w:ascii="宋体" w:hAnsi="宋体"/>
                <w:szCs w:val="21"/>
              </w:rPr>
              <w:t>得分较高者</w:t>
            </w:r>
            <w:r>
              <w:rPr>
                <w:rFonts w:hint="eastAsia" w:ascii="宋体" w:hAnsi="宋体"/>
                <w:szCs w:val="21"/>
              </w:rPr>
              <w:t>排序在先</w:t>
            </w:r>
            <w:r>
              <w:rPr>
                <w:rFonts w:ascii="宋体" w:hAnsi="宋体"/>
                <w:szCs w:val="21"/>
              </w:rPr>
              <w:t>。</w:t>
            </w:r>
          </w:p>
          <w:p w14:paraId="4F55F2C6">
            <w:pPr>
              <w:adjustRightInd w:val="0"/>
              <w:snapToGrid w:val="0"/>
              <w:ind w:firstLine="210" w:firstLineChars="100"/>
              <w:rPr>
                <w:rFonts w:ascii="宋体" w:hAnsi="宋体"/>
                <w:szCs w:val="21"/>
              </w:rPr>
            </w:pPr>
            <w:r>
              <w:rPr>
                <w:rFonts w:ascii="宋体" w:hAnsi="宋体"/>
                <w:szCs w:val="21"/>
              </w:rPr>
              <w:t>若以上各项评分因素得分都相等，则通过评委会投票表决，推荐票数多的投标人</w:t>
            </w:r>
            <w:r>
              <w:rPr>
                <w:rFonts w:hint="eastAsia" w:ascii="宋体" w:hAnsi="宋体"/>
                <w:szCs w:val="21"/>
              </w:rPr>
              <w:t>排序</w:t>
            </w:r>
            <w:r>
              <w:rPr>
                <w:rFonts w:ascii="宋体" w:hAnsi="宋体"/>
                <w:szCs w:val="21"/>
              </w:rPr>
              <w:t>在先</w:t>
            </w:r>
            <w:r>
              <w:rPr>
                <w:rFonts w:hint="eastAsia" w:ascii="宋体" w:hAnsi="宋体"/>
                <w:szCs w:val="21"/>
              </w:rPr>
              <w:t>。</w:t>
            </w:r>
          </w:p>
        </w:tc>
      </w:tr>
    </w:tbl>
    <w:p w14:paraId="14A53412"/>
    <w:p w14:paraId="20CB4FDD"/>
    <w:p w14:paraId="32C3830A"/>
    <w:p w14:paraId="1186E17D"/>
    <w:p w14:paraId="7E853D7E"/>
    <w:p w14:paraId="5894F6BE"/>
    <w:p w14:paraId="65CACD7C">
      <w:pPr>
        <w:widowControl/>
        <w:jc w:val="left"/>
      </w:pPr>
      <w:r>
        <w:br w:type="page"/>
      </w:r>
    </w:p>
    <w:p w14:paraId="3039EE8E">
      <w:pPr>
        <w:jc w:val="right"/>
        <w:rPr>
          <w:rFonts w:ascii="宋体" w:hAnsi="宋体" w:cs="宋体"/>
          <w:sz w:val="24"/>
          <w:szCs w:val="24"/>
        </w:rPr>
      </w:pPr>
      <w:r>
        <w:t>续上表</w:t>
      </w:r>
    </w:p>
    <w:tbl>
      <w:tblPr>
        <w:tblStyle w:val="7"/>
        <w:tblW w:w="966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86"/>
        <w:gridCol w:w="500"/>
        <w:gridCol w:w="502"/>
        <w:gridCol w:w="993"/>
        <w:gridCol w:w="2125"/>
        <w:gridCol w:w="531"/>
        <w:gridCol w:w="4430"/>
      </w:tblGrid>
      <w:tr w14:paraId="6E18FD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atLeast"/>
          <w:tblHeader/>
        </w:trPr>
        <w:tc>
          <w:tcPr>
            <w:tcW w:w="5237" w:type="dxa"/>
            <w:gridSpan w:val="6"/>
            <w:tcBorders>
              <w:top w:val="single" w:color="auto" w:sz="4" w:space="0"/>
              <w:left w:val="single" w:color="auto" w:sz="4" w:space="0"/>
            </w:tcBorders>
            <w:vAlign w:val="center"/>
          </w:tcPr>
          <w:p w14:paraId="398195A1">
            <w:pPr>
              <w:adjustRightInd w:val="0"/>
              <w:snapToGrid w:val="0"/>
              <w:spacing w:before="24" w:beforeLines="10" w:after="24" w:afterLines="10"/>
              <w:jc w:val="center"/>
              <w:rPr>
                <w:rFonts w:ascii="宋体" w:hAnsi="宋体"/>
              </w:rPr>
            </w:pPr>
            <w:r>
              <w:rPr>
                <w:rFonts w:ascii="宋体" w:hAnsi="宋体"/>
              </w:rPr>
              <w:t>评分因素与拟定权重分值</w:t>
            </w:r>
          </w:p>
        </w:tc>
        <w:tc>
          <w:tcPr>
            <w:tcW w:w="4430" w:type="dxa"/>
            <w:vMerge w:val="restart"/>
            <w:tcBorders>
              <w:top w:val="single" w:color="auto" w:sz="4" w:space="0"/>
              <w:right w:val="single" w:color="auto" w:sz="4" w:space="0"/>
            </w:tcBorders>
            <w:vAlign w:val="center"/>
          </w:tcPr>
          <w:p w14:paraId="3B560560">
            <w:pPr>
              <w:adjustRightInd w:val="0"/>
              <w:snapToGrid w:val="0"/>
              <w:spacing w:before="24" w:beforeLines="10" w:after="24" w:afterLines="10"/>
              <w:jc w:val="center"/>
              <w:rPr>
                <w:rFonts w:ascii="宋体" w:hAnsi="宋体"/>
              </w:rPr>
            </w:pPr>
            <w:r>
              <w:rPr>
                <w:rFonts w:ascii="宋体" w:hAnsi="宋体"/>
              </w:rPr>
              <w:t>评分标准</w:t>
            </w:r>
          </w:p>
        </w:tc>
      </w:tr>
      <w:tr w14:paraId="357C49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atLeast"/>
          <w:tblHeader/>
        </w:trPr>
        <w:tc>
          <w:tcPr>
            <w:tcW w:w="586" w:type="dxa"/>
            <w:tcBorders>
              <w:left w:val="single" w:color="auto" w:sz="4" w:space="0"/>
            </w:tcBorders>
            <w:vAlign w:val="center"/>
          </w:tcPr>
          <w:p w14:paraId="4FB1D3DD">
            <w:pPr>
              <w:adjustRightInd w:val="0"/>
              <w:snapToGrid w:val="0"/>
              <w:spacing w:before="24" w:beforeLines="10" w:after="24" w:afterLines="10"/>
              <w:jc w:val="center"/>
              <w:rPr>
                <w:rFonts w:ascii="宋体" w:hAnsi="宋体"/>
              </w:rPr>
            </w:pPr>
            <w:r>
              <w:rPr>
                <w:rFonts w:ascii="宋体" w:hAnsi="宋体"/>
              </w:rPr>
              <w:t>条款</w:t>
            </w:r>
          </w:p>
          <w:p w14:paraId="741998D4">
            <w:pPr>
              <w:adjustRightInd w:val="0"/>
              <w:snapToGrid w:val="0"/>
              <w:spacing w:before="24" w:beforeLines="10" w:after="24" w:afterLines="10"/>
              <w:jc w:val="center"/>
              <w:rPr>
                <w:rFonts w:ascii="宋体" w:hAnsi="宋体"/>
              </w:rPr>
            </w:pPr>
            <w:r>
              <w:rPr>
                <w:rFonts w:ascii="宋体" w:hAnsi="宋体"/>
              </w:rPr>
              <w:t>号</w:t>
            </w:r>
          </w:p>
        </w:tc>
        <w:tc>
          <w:tcPr>
            <w:tcW w:w="1002" w:type="dxa"/>
            <w:gridSpan w:val="2"/>
            <w:vAlign w:val="center"/>
          </w:tcPr>
          <w:p w14:paraId="1508EB2A">
            <w:pPr>
              <w:adjustRightInd w:val="0"/>
              <w:snapToGrid w:val="0"/>
              <w:spacing w:before="24" w:beforeLines="10" w:after="24" w:afterLines="10"/>
              <w:jc w:val="center"/>
              <w:rPr>
                <w:rFonts w:ascii="宋体" w:hAnsi="宋体"/>
              </w:rPr>
            </w:pPr>
            <w:r>
              <w:rPr>
                <w:rFonts w:ascii="宋体" w:hAnsi="宋体"/>
              </w:rPr>
              <w:t>评分</w:t>
            </w:r>
          </w:p>
          <w:p w14:paraId="12325E56">
            <w:pPr>
              <w:adjustRightInd w:val="0"/>
              <w:snapToGrid w:val="0"/>
              <w:spacing w:before="24" w:beforeLines="10" w:after="24" w:afterLines="10"/>
              <w:jc w:val="center"/>
              <w:rPr>
                <w:rFonts w:ascii="宋体" w:hAnsi="宋体"/>
              </w:rPr>
            </w:pPr>
            <w:r>
              <w:rPr>
                <w:rFonts w:ascii="宋体" w:hAnsi="宋体"/>
              </w:rPr>
              <w:t>因素</w:t>
            </w:r>
          </w:p>
        </w:tc>
        <w:tc>
          <w:tcPr>
            <w:tcW w:w="993" w:type="dxa"/>
            <w:vAlign w:val="center"/>
          </w:tcPr>
          <w:p w14:paraId="3159C5EF">
            <w:pPr>
              <w:adjustRightInd w:val="0"/>
              <w:snapToGrid w:val="0"/>
              <w:spacing w:before="24" w:beforeLines="10" w:after="24" w:afterLines="10"/>
              <w:jc w:val="center"/>
              <w:rPr>
                <w:rFonts w:ascii="宋体" w:hAnsi="宋体"/>
              </w:rPr>
            </w:pPr>
            <w:r>
              <w:rPr>
                <w:rFonts w:ascii="宋体" w:hAnsi="宋体"/>
              </w:rPr>
              <w:t>评分因素</w:t>
            </w:r>
          </w:p>
          <w:p w14:paraId="5C0B409B">
            <w:pPr>
              <w:adjustRightInd w:val="0"/>
              <w:snapToGrid w:val="0"/>
              <w:spacing w:before="24" w:beforeLines="10" w:after="24" w:afterLines="10"/>
              <w:jc w:val="center"/>
              <w:rPr>
                <w:rFonts w:ascii="宋体" w:hAnsi="宋体"/>
              </w:rPr>
            </w:pPr>
            <w:r>
              <w:rPr>
                <w:rFonts w:ascii="宋体" w:hAnsi="宋体"/>
              </w:rPr>
              <w:t>权重分值</w:t>
            </w:r>
          </w:p>
        </w:tc>
        <w:tc>
          <w:tcPr>
            <w:tcW w:w="2125" w:type="dxa"/>
            <w:vAlign w:val="center"/>
          </w:tcPr>
          <w:p w14:paraId="36BA71E5">
            <w:pPr>
              <w:adjustRightInd w:val="0"/>
              <w:snapToGrid w:val="0"/>
              <w:spacing w:before="24" w:beforeLines="10" w:after="24" w:afterLines="10"/>
              <w:jc w:val="center"/>
              <w:rPr>
                <w:rFonts w:ascii="宋体" w:hAnsi="宋体"/>
              </w:rPr>
            </w:pPr>
            <w:r>
              <w:rPr>
                <w:rFonts w:ascii="宋体" w:hAnsi="宋体"/>
              </w:rPr>
              <w:t>各评分因</w:t>
            </w:r>
          </w:p>
          <w:p w14:paraId="29B03423">
            <w:pPr>
              <w:adjustRightInd w:val="0"/>
              <w:snapToGrid w:val="0"/>
              <w:spacing w:before="24" w:beforeLines="10" w:after="24" w:afterLines="10"/>
              <w:jc w:val="center"/>
              <w:rPr>
                <w:rFonts w:ascii="宋体" w:hAnsi="宋体"/>
              </w:rPr>
            </w:pPr>
            <w:r>
              <w:rPr>
                <w:rFonts w:ascii="宋体" w:hAnsi="宋体"/>
              </w:rPr>
              <w:t>素细分项</w:t>
            </w:r>
          </w:p>
        </w:tc>
        <w:tc>
          <w:tcPr>
            <w:tcW w:w="531" w:type="dxa"/>
            <w:vAlign w:val="center"/>
          </w:tcPr>
          <w:p w14:paraId="67CCE34D">
            <w:pPr>
              <w:adjustRightInd w:val="0"/>
              <w:snapToGrid w:val="0"/>
              <w:spacing w:before="24" w:beforeLines="10" w:after="24" w:afterLines="10"/>
              <w:jc w:val="center"/>
              <w:rPr>
                <w:rFonts w:ascii="宋体" w:hAnsi="宋体"/>
              </w:rPr>
            </w:pPr>
            <w:r>
              <w:rPr>
                <w:rFonts w:ascii="宋体" w:hAnsi="宋体"/>
              </w:rPr>
              <w:t>分值</w:t>
            </w:r>
          </w:p>
        </w:tc>
        <w:tc>
          <w:tcPr>
            <w:tcW w:w="4430" w:type="dxa"/>
            <w:vMerge w:val="continue"/>
            <w:tcBorders>
              <w:right w:val="single" w:color="auto" w:sz="4" w:space="0"/>
            </w:tcBorders>
            <w:vAlign w:val="center"/>
          </w:tcPr>
          <w:p w14:paraId="3A38F0D7">
            <w:pPr>
              <w:adjustRightInd w:val="0"/>
              <w:snapToGrid w:val="0"/>
              <w:spacing w:before="24" w:beforeLines="10" w:after="24" w:afterLines="10"/>
              <w:jc w:val="center"/>
              <w:rPr>
                <w:rFonts w:ascii="宋体" w:hAnsi="宋体"/>
              </w:rPr>
            </w:pPr>
          </w:p>
        </w:tc>
      </w:tr>
      <w:tr w14:paraId="4C4A32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6" w:type="dxa"/>
            <w:vMerge w:val="restart"/>
            <w:tcBorders>
              <w:left w:val="single" w:color="auto" w:sz="4" w:space="0"/>
            </w:tcBorders>
            <w:vAlign w:val="center"/>
          </w:tcPr>
          <w:p w14:paraId="7C11860A">
            <w:pPr>
              <w:adjustRightInd w:val="0"/>
              <w:snapToGrid w:val="0"/>
              <w:spacing w:before="24" w:beforeLines="10" w:after="24" w:afterLines="10"/>
              <w:jc w:val="center"/>
              <w:rPr>
                <w:rFonts w:ascii="宋体" w:hAnsi="宋体"/>
              </w:rPr>
            </w:pPr>
            <w:r>
              <w:rPr>
                <w:rFonts w:ascii="宋体" w:hAnsi="宋体"/>
              </w:rPr>
              <w:t>2.2.</w:t>
            </w:r>
            <w:r>
              <w:rPr>
                <w:rFonts w:hint="eastAsia" w:ascii="宋体" w:hAnsi="宋体"/>
              </w:rPr>
              <w:t>2</w:t>
            </w:r>
            <w:r>
              <w:rPr>
                <w:rFonts w:ascii="宋体" w:hAnsi="宋体"/>
              </w:rPr>
              <w:t>（1）</w:t>
            </w:r>
          </w:p>
        </w:tc>
        <w:tc>
          <w:tcPr>
            <w:tcW w:w="1002" w:type="dxa"/>
            <w:gridSpan w:val="2"/>
            <w:vMerge w:val="restart"/>
            <w:vAlign w:val="center"/>
          </w:tcPr>
          <w:p w14:paraId="47501D47">
            <w:pPr>
              <w:adjustRightInd w:val="0"/>
              <w:snapToGrid w:val="0"/>
              <w:spacing w:before="24" w:beforeLines="10" w:after="24" w:afterLines="10"/>
              <w:jc w:val="center"/>
              <w:rPr>
                <w:rFonts w:ascii="宋体" w:hAnsi="宋体"/>
              </w:rPr>
            </w:pPr>
            <w:r>
              <w:rPr>
                <w:rFonts w:ascii="宋体" w:hAnsi="宋体"/>
              </w:rPr>
              <w:t>施工组织设计</w:t>
            </w:r>
          </w:p>
        </w:tc>
        <w:tc>
          <w:tcPr>
            <w:tcW w:w="993" w:type="dxa"/>
            <w:vMerge w:val="restart"/>
            <w:vAlign w:val="center"/>
          </w:tcPr>
          <w:p w14:paraId="677FF925">
            <w:pPr>
              <w:adjustRightInd w:val="0"/>
              <w:snapToGrid w:val="0"/>
              <w:spacing w:before="24" w:beforeLines="10" w:after="24" w:afterLines="10"/>
              <w:jc w:val="center"/>
              <w:rPr>
                <w:rFonts w:ascii="宋体" w:hAnsi="宋体"/>
              </w:rPr>
            </w:pPr>
            <w:r>
              <w:rPr>
                <w:rFonts w:hint="eastAsia" w:ascii="宋体" w:hAnsi="宋体"/>
              </w:rPr>
              <w:t>40</w:t>
            </w:r>
            <w:r>
              <w:rPr>
                <w:rFonts w:ascii="宋体" w:hAnsi="宋体"/>
              </w:rPr>
              <w:t>分</w:t>
            </w:r>
          </w:p>
        </w:tc>
        <w:tc>
          <w:tcPr>
            <w:tcW w:w="2125" w:type="dxa"/>
            <w:vAlign w:val="center"/>
          </w:tcPr>
          <w:p w14:paraId="3385DDCE">
            <w:pPr>
              <w:ind w:right="113"/>
              <w:jc w:val="center"/>
              <w:rPr>
                <w:rFonts w:ascii="宋体" w:hAnsi="宋体"/>
                <w:szCs w:val="21"/>
              </w:rPr>
            </w:pPr>
            <w:r>
              <w:rPr>
                <w:rFonts w:hint="eastAsia" w:ascii="宋体" w:hAnsi="宋体"/>
                <w:szCs w:val="21"/>
              </w:rPr>
              <w:t>关键工程的施工方案、方法与技术措施</w:t>
            </w:r>
          </w:p>
        </w:tc>
        <w:tc>
          <w:tcPr>
            <w:tcW w:w="531" w:type="dxa"/>
            <w:tcBorders>
              <w:bottom w:val="single" w:color="auto" w:sz="4" w:space="0"/>
            </w:tcBorders>
            <w:vAlign w:val="center"/>
          </w:tcPr>
          <w:p w14:paraId="319AE7C0">
            <w:pPr>
              <w:autoSpaceDE w:val="0"/>
              <w:autoSpaceDN w:val="0"/>
              <w:adjustRightInd w:val="0"/>
              <w:spacing w:line="360" w:lineRule="atLeast"/>
              <w:jc w:val="center"/>
              <w:rPr>
                <w:rFonts w:ascii="宋体" w:hAnsi="宋体" w:cs="宋体"/>
                <w:bCs/>
                <w:szCs w:val="21"/>
              </w:rPr>
            </w:pPr>
            <w:r>
              <w:rPr>
                <w:rFonts w:hint="eastAsia" w:ascii="宋体" w:hAnsi="宋体" w:cs="宋体"/>
                <w:bCs/>
                <w:szCs w:val="21"/>
              </w:rPr>
              <w:t>20</w:t>
            </w:r>
          </w:p>
        </w:tc>
        <w:tc>
          <w:tcPr>
            <w:tcW w:w="4430" w:type="dxa"/>
            <w:tcBorders>
              <w:bottom w:val="single" w:color="auto" w:sz="4" w:space="0"/>
              <w:right w:val="single" w:color="auto" w:sz="4" w:space="0"/>
            </w:tcBorders>
            <w:vAlign w:val="center"/>
          </w:tcPr>
          <w:p w14:paraId="1EB98845">
            <w:pPr>
              <w:jc w:val="left"/>
              <w:rPr>
                <w:rFonts w:ascii="宋体" w:hAnsi="宋体"/>
                <w:kern w:val="0"/>
                <w:szCs w:val="21"/>
              </w:rPr>
            </w:pPr>
            <w:r>
              <w:rPr>
                <w:rFonts w:hint="eastAsia" w:ascii="宋体" w:hAnsi="宋体"/>
                <w:kern w:val="0"/>
                <w:szCs w:val="21"/>
              </w:rPr>
              <w:t>好，16-20 分；</w:t>
            </w:r>
          </w:p>
          <w:p w14:paraId="4EAD7889">
            <w:pPr>
              <w:jc w:val="left"/>
              <w:rPr>
                <w:rFonts w:ascii="宋体" w:hAnsi="宋体"/>
                <w:kern w:val="0"/>
                <w:szCs w:val="21"/>
              </w:rPr>
            </w:pPr>
            <w:r>
              <w:rPr>
                <w:rFonts w:hint="eastAsia" w:ascii="宋体" w:hAnsi="宋体"/>
                <w:kern w:val="0"/>
                <w:szCs w:val="21"/>
              </w:rPr>
              <w:t>较好，12-16分；</w:t>
            </w:r>
          </w:p>
          <w:p w14:paraId="6FF605D2">
            <w:pPr>
              <w:jc w:val="left"/>
              <w:rPr>
                <w:rFonts w:ascii="宋体" w:hAnsi="宋体"/>
                <w:kern w:val="0"/>
                <w:szCs w:val="21"/>
              </w:rPr>
            </w:pPr>
            <w:r>
              <w:rPr>
                <w:rFonts w:hint="eastAsia" w:ascii="宋体" w:hAnsi="宋体"/>
                <w:kern w:val="0"/>
                <w:szCs w:val="21"/>
              </w:rPr>
              <w:t>一般，12分。</w:t>
            </w:r>
          </w:p>
        </w:tc>
      </w:tr>
      <w:tr w14:paraId="0B2451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6" w:type="dxa"/>
            <w:vMerge w:val="continue"/>
            <w:tcBorders>
              <w:left w:val="single" w:color="auto" w:sz="4" w:space="0"/>
            </w:tcBorders>
            <w:vAlign w:val="center"/>
          </w:tcPr>
          <w:p w14:paraId="5577209C">
            <w:pPr>
              <w:adjustRightInd w:val="0"/>
              <w:snapToGrid w:val="0"/>
              <w:spacing w:before="24" w:beforeLines="10" w:after="24" w:afterLines="10"/>
              <w:jc w:val="center"/>
              <w:rPr>
                <w:rFonts w:ascii="宋体" w:hAnsi="宋体"/>
              </w:rPr>
            </w:pPr>
          </w:p>
        </w:tc>
        <w:tc>
          <w:tcPr>
            <w:tcW w:w="1002" w:type="dxa"/>
            <w:gridSpan w:val="2"/>
            <w:vMerge w:val="continue"/>
            <w:vAlign w:val="center"/>
          </w:tcPr>
          <w:p w14:paraId="562AEC91">
            <w:pPr>
              <w:adjustRightInd w:val="0"/>
              <w:snapToGrid w:val="0"/>
              <w:spacing w:before="24" w:beforeLines="10" w:after="24" w:afterLines="10"/>
              <w:jc w:val="center"/>
              <w:rPr>
                <w:rFonts w:ascii="宋体" w:hAnsi="宋体"/>
              </w:rPr>
            </w:pPr>
          </w:p>
        </w:tc>
        <w:tc>
          <w:tcPr>
            <w:tcW w:w="993" w:type="dxa"/>
            <w:vMerge w:val="continue"/>
            <w:vAlign w:val="center"/>
          </w:tcPr>
          <w:p w14:paraId="47C26618">
            <w:pPr>
              <w:adjustRightInd w:val="0"/>
              <w:snapToGrid w:val="0"/>
              <w:spacing w:before="24" w:beforeLines="10" w:after="24" w:afterLines="10"/>
              <w:jc w:val="center"/>
              <w:rPr>
                <w:rFonts w:ascii="宋体" w:hAnsi="宋体"/>
              </w:rPr>
            </w:pPr>
          </w:p>
        </w:tc>
        <w:tc>
          <w:tcPr>
            <w:tcW w:w="2125" w:type="dxa"/>
            <w:tcBorders>
              <w:top w:val="single" w:color="auto" w:sz="4" w:space="0"/>
            </w:tcBorders>
            <w:vAlign w:val="center"/>
          </w:tcPr>
          <w:p w14:paraId="07D38462">
            <w:pPr>
              <w:ind w:right="113"/>
              <w:jc w:val="center"/>
              <w:rPr>
                <w:rFonts w:ascii="宋体" w:hAnsi="宋体"/>
                <w:szCs w:val="21"/>
              </w:rPr>
            </w:pPr>
            <w:r>
              <w:rPr>
                <w:rFonts w:hint="eastAsia" w:ascii="宋体" w:hAnsi="宋体"/>
                <w:szCs w:val="21"/>
              </w:rPr>
              <w:t>工期保证体系及保证措施</w:t>
            </w:r>
          </w:p>
        </w:tc>
        <w:tc>
          <w:tcPr>
            <w:tcW w:w="531" w:type="dxa"/>
            <w:tcBorders>
              <w:bottom w:val="single" w:color="auto" w:sz="4" w:space="0"/>
            </w:tcBorders>
            <w:vAlign w:val="center"/>
          </w:tcPr>
          <w:p w14:paraId="588A5906">
            <w:pPr>
              <w:autoSpaceDE w:val="0"/>
              <w:autoSpaceDN w:val="0"/>
              <w:adjustRightInd w:val="0"/>
              <w:spacing w:line="360" w:lineRule="atLeast"/>
              <w:jc w:val="center"/>
              <w:rPr>
                <w:rFonts w:ascii="宋体" w:hAnsi="宋体" w:cs="宋体"/>
                <w:bCs/>
                <w:szCs w:val="21"/>
                <w:lang w:val="zh-CN"/>
              </w:rPr>
            </w:pPr>
            <w:r>
              <w:rPr>
                <w:rFonts w:hint="eastAsia" w:ascii="宋体" w:hAnsi="宋体" w:cs="宋体"/>
                <w:bCs/>
                <w:szCs w:val="21"/>
              </w:rPr>
              <w:t>3</w:t>
            </w:r>
          </w:p>
        </w:tc>
        <w:tc>
          <w:tcPr>
            <w:tcW w:w="4430" w:type="dxa"/>
            <w:tcBorders>
              <w:right w:val="single" w:color="auto" w:sz="4" w:space="0"/>
            </w:tcBorders>
            <w:vAlign w:val="center"/>
          </w:tcPr>
          <w:p w14:paraId="4E862893">
            <w:pPr>
              <w:jc w:val="left"/>
              <w:rPr>
                <w:rFonts w:ascii="宋体" w:hAnsi="宋体"/>
                <w:kern w:val="0"/>
                <w:szCs w:val="21"/>
              </w:rPr>
            </w:pPr>
            <w:r>
              <w:rPr>
                <w:rFonts w:hint="eastAsia" w:ascii="宋体" w:hAnsi="宋体"/>
                <w:kern w:val="0"/>
                <w:szCs w:val="21"/>
              </w:rPr>
              <w:t>好，2.4-3.0分；</w:t>
            </w:r>
          </w:p>
          <w:p w14:paraId="0BCF70BD">
            <w:pPr>
              <w:jc w:val="left"/>
              <w:rPr>
                <w:rFonts w:ascii="宋体" w:hAnsi="宋体"/>
                <w:kern w:val="0"/>
                <w:szCs w:val="21"/>
              </w:rPr>
            </w:pPr>
            <w:r>
              <w:rPr>
                <w:rFonts w:hint="eastAsia" w:ascii="宋体" w:hAnsi="宋体"/>
                <w:kern w:val="0"/>
                <w:szCs w:val="21"/>
              </w:rPr>
              <w:t>较好，1.8-2.4分；</w:t>
            </w:r>
          </w:p>
          <w:p w14:paraId="3024B444">
            <w:pPr>
              <w:rPr>
                <w:rFonts w:ascii="宋体" w:hAnsi="宋体"/>
                <w:szCs w:val="21"/>
              </w:rPr>
            </w:pPr>
            <w:r>
              <w:rPr>
                <w:rFonts w:hint="eastAsia" w:ascii="宋体" w:hAnsi="宋体"/>
                <w:kern w:val="0"/>
                <w:szCs w:val="21"/>
              </w:rPr>
              <w:t>一般，1.8分。</w:t>
            </w:r>
          </w:p>
        </w:tc>
      </w:tr>
      <w:tr w14:paraId="08CD63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6" w:type="dxa"/>
            <w:vMerge w:val="continue"/>
            <w:tcBorders>
              <w:left w:val="single" w:color="auto" w:sz="4" w:space="0"/>
            </w:tcBorders>
            <w:vAlign w:val="center"/>
          </w:tcPr>
          <w:p w14:paraId="0B5C0E17">
            <w:pPr>
              <w:adjustRightInd w:val="0"/>
              <w:snapToGrid w:val="0"/>
              <w:spacing w:before="24" w:beforeLines="10" w:after="24" w:afterLines="10"/>
              <w:jc w:val="center"/>
              <w:rPr>
                <w:rFonts w:ascii="宋体" w:hAnsi="宋体"/>
              </w:rPr>
            </w:pPr>
          </w:p>
        </w:tc>
        <w:tc>
          <w:tcPr>
            <w:tcW w:w="1002" w:type="dxa"/>
            <w:gridSpan w:val="2"/>
            <w:vMerge w:val="continue"/>
            <w:vAlign w:val="center"/>
          </w:tcPr>
          <w:p w14:paraId="65954D36">
            <w:pPr>
              <w:adjustRightInd w:val="0"/>
              <w:snapToGrid w:val="0"/>
              <w:spacing w:before="24" w:beforeLines="10" w:after="24" w:afterLines="10"/>
              <w:jc w:val="center"/>
              <w:rPr>
                <w:rFonts w:ascii="宋体" w:hAnsi="宋体"/>
              </w:rPr>
            </w:pPr>
          </w:p>
        </w:tc>
        <w:tc>
          <w:tcPr>
            <w:tcW w:w="993" w:type="dxa"/>
            <w:vMerge w:val="continue"/>
            <w:vAlign w:val="center"/>
          </w:tcPr>
          <w:p w14:paraId="2BC00E0C">
            <w:pPr>
              <w:adjustRightInd w:val="0"/>
              <w:snapToGrid w:val="0"/>
              <w:spacing w:before="24" w:beforeLines="10" w:after="24" w:afterLines="10"/>
              <w:jc w:val="center"/>
              <w:rPr>
                <w:rFonts w:ascii="宋体" w:hAnsi="宋体"/>
              </w:rPr>
            </w:pPr>
          </w:p>
        </w:tc>
        <w:tc>
          <w:tcPr>
            <w:tcW w:w="2125" w:type="dxa"/>
            <w:tcBorders>
              <w:top w:val="single" w:color="auto" w:sz="4" w:space="0"/>
            </w:tcBorders>
            <w:vAlign w:val="center"/>
          </w:tcPr>
          <w:p w14:paraId="01E7BEC0">
            <w:pPr>
              <w:ind w:right="113"/>
              <w:jc w:val="center"/>
              <w:rPr>
                <w:rFonts w:ascii="宋体" w:hAnsi="宋体"/>
                <w:szCs w:val="21"/>
              </w:rPr>
            </w:pPr>
            <w:r>
              <w:rPr>
                <w:rFonts w:hint="eastAsia" w:ascii="宋体" w:hAnsi="宋体"/>
                <w:szCs w:val="21"/>
              </w:rPr>
              <w:t>工程质量管理体系及保证措施</w:t>
            </w:r>
          </w:p>
        </w:tc>
        <w:tc>
          <w:tcPr>
            <w:tcW w:w="531" w:type="dxa"/>
            <w:tcBorders>
              <w:bottom w:val="single" w:color="auto" w:sz="4" w:space="0"/>
            </w:tcBorders>
            <w:vAlign w:val="center"/>
          </w:tcPr>
          <w:p w14:paraId="328D7DCE">
            <w:pPr>
              <w:pStyle w:val="11"/>
              <w:tabs>
                <w:tab w:val="left" w:pos="457"/>
              </w:tabs>
              <w:spacing w:before="60" w:line="360" w:lineRule="atLeast"/>
              <w:jc w:val="center"/>
              <w:rPr>
                <w:sz w:val="21"/>
                <w:szCs w:val="21"/>
              </w:rPr>
            </w:pPr>
            <w:r>
              <w:rPr>
                <w:rFonts w:hint="eastAsia"/>
                <w:sz w:val="21"/>
                <w:szCs w:val="21"/>
              </w:rPr>
              <w:t>5</w:t>
            </w:r>
          </w:p>
        </w:tc>
        <w:tc>
          <w:tcPr>
            <w:tcW w:w="4430" w:type="dxa"/>
            <w:tcBorders>
              <w:right w:val="single" w:color="auto" w:sz="4" w:space="0"/>
            </w:tcBorders>
            <w:vAlign w:val="center"/>
          </w:tcPr>
          <w:p w14:paraId="79200833">
            <w:pPr>
              <w:jc w:val="left"/>
              <w:rPr>
                <w:rFonts w:ascii="宋体" w:hAnsi="宋体"/>
                <w:kern w:val="0"/>
                <w:szCs w:val="21"/>
              </w:rPr>
            </w:pPr>
            <w:r>
              <w:rPr>
                <w:rFonts w:hint="eastAsia" w:ascii="宋体" w:hAnsi="宋体"/>
                <w:kern w:val="0"/>
                <w:szCs w:val="21"/>
              </w:rPr>
              <w:t>好，4-5分；</w:t>
            </w:r>
          </w:p>
          <w:p w14:paraId="5CE77E7E">
            <w:pPr>
              <w:jc w:val="left"/>
              <w:rPr>
                <w:rFonts w:ascii="宋体" w:hAnsi="宋体"/>
                <w:kern w:val="0"/>
                <w:szCs w:val="21"/>
              </w:rPr>
            </w:pPr>
            <w:r>
              <w:rPr>
                <w:rFonts w:hint="eastAsia" w:ascii="宋体" w:hAnsi="宋体"/>
                <w:kern w:val="0"/>
                <w:szCs w:val="21"/>
              </w:rPr>
              <w:t>较好，3-4分；</w:t>
            </w:r>
          </w:p>
          <w:p w14:paraId="37EC8C41">
            <w:pPr>
              <w:rPr>
                <w:rFonts w:ascii="宋体" w:hAnsi="宋体"/>
                <w:szCs w:val="21"/>
              </w:rPr>
            </w:pPr>
            <w:r>
              <w:rPr>
                <w:rFonts w:hint="eastAsia" w:ascii="宋体" w:hAnsi="宋体"/>
                <w:kern w:val="0"/>
                <w:szCs w:val="21"/>
              </w:rPr>
              <w:t>一般，3分。</w:t>
            </w:r>
          </w:p>
        </w:tc>
      </w:tr>
      <w:tr w14:paraId="411E74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6" w:type="dxa"/>
            <w:vMerge w:val="continue"/>
            <w:tcBorders>
              <w:left w:val="single" w:color="auto" w:sz="4" w:space="0"/>
            </w:tcBorders>
            <w:vAlign w:val="center"/>
          </w:tcPr>
          <w:p w14:paraId="4A68F69E">
            <w:pPr>
              <w:adjustRightInd w:val="0"/>
              <w:snapToGrid w:val="0"/>
              <w:spacing w:before="24" w:beforeLines="10" w:after="24" w:afterLines="10"/>
              <w:jc w:val="center"/>
              <w:rPr>
                <w:rFonts w:ascii="宋体" w:hAnsi="宋体"/>
              </w:rPr>
            </w:pPr>
          </w:p>
        </w:tc>
        <w:tc>
          <w:tcPr>
            <w:tcW w:w="1002" w:type="dxa"/>
            <w:gridSpan w:val="2"/>
            <w:vMerge w:val="continue"/>
            <w:vAlign w:val="center"/>
          </w:tcPr>
          <w:p w14:paraId="37C9E876">
            <w:pPr>
              <w:adjustRightInd w:val="0"/>
              <w:snapToGrid w:val="0"/>
              <w:spacing w:before="24" w:beforeLines="10" w:after="24" w:afterLines="10"/>
              <w:jc w:val="center"/>
              <w:rPr>
                <w:rFonts w:ascii="宋体" w:hAnsi="宋体"/>
              </w:rPr>
            </w:pPr>
          </w:p>
        </w:tc>
        <w:tc>
          <w:tcPr>
            <w:tcW w:w="993" w:type="dxa"/>
            <w:vMerge w:val="continue"/>
            <w:vAlign w:val="center"/>
          </w:tcPr>
          <w:p w14:paraId="57E7C145">
            <w:pPr>
              <w:adjustRightInd w:val="0"/>
              <w:snapToGrid w:val="0"/>
              <w:spacing w:before="24" w:beforeLines="10" w:after="24" w:afterLines="10"/>
              <w:jc w:val="center"/>
              <w:rPr>
                <w:rFonts w:ascii="宋体" w:hAnsi="宋体"/>
              </w:rPr>
            </w:pPr>
          </w:p>
        </w:tc>
        <w:tc>
          <w:tcPr>
            <w:tcW w:w="2125" w:type="dxa"/>
            <w:tcBorders>
              <w:top w:val="single" w:color="auto" w:sz="4" w:space="0"/>
            </w:tcBorders>
            <w:vAlign w:val="center"/>
          </w:tcPr>
          <w:p w14:paraId="70EE5C10">
            <w:pPr>
              <w:ind w:right="113"/>
              <w:jc w:val="center"/>
              <w:rPr>
                <w:rFonts w:ascii="宋体" w:hAnsi="宋体"/>
                <w:szCs w:val="21"/>
              </w:rPr>
            </w:pPr>
            <w:r>
              <w:rPr>
                <w:rFonts w:hint="eastAsia" w:ascii="宋体" w:hAnsi="宋体"/>
                <w:szCs w:val="21"/>
              </w:rPr>
              <w:t>安全生产管理体系及保证措施</w:t>
            </w:r>
          </w:p>
        </w:tc>
        <w:tc>
          <w:tcPr>
            <w:tcW w:w="531" w:type="dxa"/>
            <w:tcBorders>
              <w:bottom w:val="single" w:color="auto" w:sz="4" w:space="0"/>
            </w:tcBorders>
            <w:vAlign w:val="center"/>
          </w:tcPr>
          <w:p w14:paraId="034ED684">
            <w:pPr>
              <w:pStyle w:val="11"/>
              <w:tabs>
                <w:tab w:val="left" w:pos="457"/>
              </w:tabs>
              <w:spacing w:before="60" w:line="360" w:lineRule="atLeast"/>
              <w:jc w:val="center"/>
              <w:rPr>
                <w:sz w:val="21"/>
                <w:szCs w:val="21"/>
              </w:rPr>
            </w:pPr>
            <w:r>
              <w:rPr>
                <w:rFonts w:hint="eastAsia"/>
                <w:sz w:val="21"/>
                <w:szCs w:val="21"/>
              </w:rPr>
              <w:t>5</w:t>
            </w:r>
          </w:p>
        </w:tc>
        <w:tc>
          <w:tcPr>
            <w:tcW w:w="4430" w:type="dxa"/>
            <w:tcBorders>
              <w:right w:val="single" w:color="auto" w:sz="4" w:space="0"/>
            </w:tcBorders>
            <w:vAlign w:val="center"/>
          </w:tcPr>
          <w:p w14:paraId="02882D72">
            <w:pPr>
              <w:jc w:val="left"/>
              <w:rPr>
                <w:rFonts w:ascii="宋体" w:hAnsi="宋体"/>
                <w:kern w:val="0"/>
                <w:szCs w:val="21"/>
              </w:rPr>
            </w:pPr>
            <w:r>
              <w:rPr>
                <w:rFonts w:hint="eastAsia" w:ascii="宋体" w:hAnsi="宋体"/>
                <w:kern w:val="0"/>
                <w:szCs w:val="21"/>
              </w:rPr>
              <w:t>好，4-5分；</w:t>
            </w:r>
          </w:p>
          <w:p w14:paraId="3D441754">
            <w:pPr>
              <w:jc w:val="left"/>
              <w:rPr>
                <w:rFonts w:ascii="宋体" w:hAnsi="宋体"/>
                <w:kern w:val="0"/>
                <w:szCs w:val="21"/>
              </w:rPr>
            </w:pPr>
            <w:r>
              <w:rPr>
                <w:rFonts w:hint="eastAsia" w:ascii="宋体" w:hAnsi="宋体"/>
                <w:kern w:val="0"/>
                <w:szCs w:val="21"/>
              </w:rPr>
              <w:t>较好，3-4分；</w:t>
            </w:r>
          </w:p>
          <w:p w14:paraId="783FC2BB">
            <w:pPr>
              <w:rPr>
                <w:rFonts w:ascii="宋体" w:hAnsi="宋体"/>
                <w:szCs w:val="21"/>
              </w:rPr>
            </w:pPr>
            <w:r>
              <w:rPr>
                <w:rFonts w:hint="eastAsia" w:ascii="宋体" w:hAnsi="宋体"/>
                <w:kern w:val="0"/>
                <w:szCs w:val="21"/>
              </w:rPr>
              <w:t>一般，3分。</w:t>
            </w:r>
          </w:p>
        </w:tc>
      </w:tr>
      <w:tr w14:paraId="53B621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6" w:type="dxa"/>
            <w:vMerge w:val="continue"/>
            <w:tcBorders>
              <w:left w:val="single" w:color="auto" w:sz="4" w:space="0"/>
            </w:tcBorders>
            <w:vAlign w:val="center"/>
          </w:tcPr>
          <w:p w14:paraId="486BE461">
            <w:pPr>
              <w:adjustRightInd w:val="0"/>
              <w:snapToGrid w:val="0"/>
              <w:spacing w:before="24" w:beforeLines="10" w:after="24" w:afterLines="10"/>
              <w:jc w:val="center"/>
              <w:rPr>
                <w:rFonts w:ascii="宋体" w:hAnsi="宋体"/>
              </w:rPr>
            </w:pPr>
          </w:p>
        </w:tc>
        <w:tc>
          <w:tcPr>
            <w:tcW w:w="1002" w:type="dxa"/>
            <w:gridSpan w:val="2"/>
            <w:vMerge w:val="continue"/>
            <w:vAlign w:val="center"/>
          </w:tcPr>
          <w:p w14:paraId="6E252C0F">
            <w:pPr>
              <w:adjustRightInd w:val="0"/>
              <w:snapToGrid w:val="0"/>
              <w:spacing w:before="24" w:beforeLines="10" w:after="24" w:afterLines="10"/>
              <w:jc w:val="center"/>
              <w:rPr>
                <w:rFonts w:ascii="宋体" w:hAnsi="宋体"/>
              </w:rPr>
            </w:pPr>
          </w:p>
        </w:tc>
        <w:tc>
          <w:tcPr>
            <w:tcW w:w="993" w:type="dxa"/>
            <w:vMerge w:val="continue"/>
            <w:vAlign w:val="center"/>
          </w:tcPr>
          <w:p w14:paraId="23183EF3">
            <w:pPr>
              <w:adjustRightInd w:val="0"/>
              <w:snapToGrid w:val="0"/>
              <w:spacing w:before="24" w:beforeLines="10" w:after="24" w:afterLines="10"/>
              <w:jc w:val="center"/>
              <w:rPr>
                <w:rFonts w:ascii="宋体" w:hAnsi="宋体"/>
              </w:rPr>
            </w:pPr>
          </w:p>
        </w:tc>
        <w:tc>
          <w:tcPr>
            <w:tcW w:w="2125" w:type="dxa"/>
            <w:tcBorders>
              <w:top w:val="single" w:color="auto" w:sz="4" w:space="0"/>
            </w:tcBorders>
            <w:vAlign w:val="center"/>
          </w:tcPr>
          <w:p w14:paraId="7433C1B9">
            <w:pPr>
              <w:ind w:right="113"/>
              <w:jc w:val="center"/>
              <w:rPr>
                <w:rFonts w:ascii="宋体" w:hAnsi="宋体"/>
                <w:szCs w:val="21"/>
              </w:rPr>
            </w:pPr>
            <w:r>
              <w:rPr>
                <w:rFonts w:hint="eastAsia" w:ascii="宋体" w:hAnsi="宋体"/>
                <w:szCs w:val="21"/>
              </w:rPr>
              <w:t>环境保护、水土保持、文明施工、文物保护保证体系及保证措施</w:t>
            </w:r>
          </w:p>
        </w:tc>
        <w:tc>
          <w:tcPr>
            <w:tcW w:w="531" w:type="dxa"/>
            <w:tcBorders>
              <w:bottom w:val="single" w:color="auto" w:sz="4" w:space="0"/>
            </w:tcBorders>
            <w:vAlign w:val="center"/>
          </w:tcPr>
          <w:p w14:paraId="009BC10F">
            <w:pPr>
              <w:pStyle w:val="11"/>
              <w:tabs>
                <w:tab w:val="left" w:pos="457"/>
              </w:tabs>
              <w:spacing w:before="60" w:line="360" w:lineRule="atLeast"/>
              <w:jc w:val="center"/>
              <w:rPr>
                <w:sz w:val="21"/>
                <w:szCs w:val="21"/>
              </w:rPr>
            </w:pPr>
            <w:r>
              <w:rPr>
                <w:rFonts w:hint="eastAsia"/>
                <w:sz w:val="21"/>
                <w:szCs w:val="21"/>
              </w:rPr>
              <w:t>5</w:t>
            </w:r>
          </w:p>
        </w:tc>
        <w:tc>
          <w:tcPr>
            <w:tcW w:w="4430" w:type="dxa"/>
            <w:tcBorders>
              <w:right w:val="single" w:color="auto" w:sz="4" w:space="0"/>
            </w:tcBorders>
            <w:vAlign w:val="center"/>
          </w:tcPr>
          <w:p w14:paraId="724A10D2">
            <w:pPr>
              <w:jc w:val="left"/>
              <w:rPr>
                <w:rFonts w:ascii="宋体" w:hAnsi="宋体"/>
                <w:kern w:val="0"/>
                <w:szCs w:val="21"/>
              </w:rPr>
            </w:pPr>
            <w:r>
              <w:rPr>
                <w:rFonts w:hint="eastAsia" w:ascii="宋体" w:hAnsi="宋体"/>
                <w:kern w:val="0"/>
                <w:szCs w:val="21"/>
              </w:rPr>
              <w:t>好，4-5分；</w:t>
            </w:r>
          </w:p>
          <w:p w14:paraId="1E744739">
            <w:pPr>
              <w:jc w:val="left"/>
              <w:rPr>
                <w:rFonts w:ascii="宋体" w:hAnsi="宋体"/>
                <w:kern w:val="0"/>
                <w:szCs w:val="21"/>
              </w:rPr>
            </w:pPr>
            <w:r>
              <w:rPr>
                <w:rFonts w:hint="eastAsia" w:ascii="宋体" w:hAnsi="宋体"/>
                <w:kern w:val="0"/>
                <w:szCs w:val="21"/>
              </w:rPr>
              <w:t>较好，3-4分；</w:t>
            </w:r>
          </w:p>
          <w:p w14:paraId="6DDD092E">
            <w:pPr>
              <w:rPr>
                <w:rFonts w:ascii="宋体" w:hAnsi="宋体"/>
                <w:szCs w:val="21"/>
              </w:rPr>
            </w:pPr>
            <w:r>
              <w:rPr>
                <w:rFonts w:hint="eastAsia" w:ascii="宋体" w:hAnsi="宋体"/>
                <w:kern w:val="0"/>
                <w:szCs w:val="21"/>
              </w:rPr>
              <w:t>一般，3分。</w:t>
            </w:r>
          </w:p>
        </w:tc>
      </w:tr>
      <w:tr w14:paraId="420BB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814" w:hRule="atLeast"/>
        </w:trPr>
        <w:tc>
          <w:tcPr>
            <w:tcW w:w="586" w:type="dxa"/>
            <w:vMerge w:val="continue"/>
            <w:tcBorders>
              <w:left w:val="single" w:color="auto" w:sz="4" w:space="0"/>
            </w:tcBorders>
            <w:vAlign w:val="center"/>
          </w:tcPr>
          <w:p w14:paraId="0D3975EE">
            <w:pPr>
              <w:adjustRightInd w:val="0"/>
              <w:snapToGrid w:val="0"/>
              <w:spacing w:before="24" w:beforeLines="10" w:after="24" w:afterLines="10"/>
              <w:jc w:val="center"/>
              <w:rPr>
                <w:rFonts w:ascii="宋体" w:hAnsi="宋体"/>
              </w:rPr>
            </w:pPr>
          </w:p>
        </w:tc>
        <w:tc>
          <w:tcPr>
            <w:tcW w:w="1002" w:type="dxa"/>
            <w:gridSpan w:val="2"/>
            <w:vMerge w:val="continue"/>
            <w:vAlign w:val="center"/>
          </w:tcPr>
          <w:p w14:paraId="706DE142">
            <w:pPr>
              <w:adjustRightInd w:val="0"/>
              <w:snapToGrid w:val="0"/>
              <w:spacing w:before="24" w:beforeLines="10" w:after="24" w:afterLines="10"/>
              <w:jc w:val="center"/>
              <w:rPr>
                <w:rFonts w:ascii="宋体" w:hAnsi="宋体"/>
              </w:rPr>
            </w:pPr>
          </w:p>
        </w:tc>
        <w:tc>
          <w:tcPr>
            <w:tcW w:w="993" w:type="dxa"/>
            <w:vMerge w:val="continue"/>
            <w:vAlign w:val="center"/>
          </w:tcPr>
          <w:p w14:paraId="42678ADA">
            <w:pPr>
              <w:adjustRightInd w:val="0"/>
              <w:snapToGrid w:val="0"/>
              <w:spacing w:before="24" w:beforeLines="10" w:after="24" w:afterLines="10"/>
              <w:jc w:val="center"/>
              <w:rPr>
                <w:rFonts w:ascii="宋体" w:hAnsi="宋体"/>
              </w:rPr>
            </w:pPr>
          </w:p>
        </w:tc>
        <w:tc>
          <w:tcPr>
            <w:tcW w:w="2125" w:type="dxa"/>
            <w:tcBorders>
              <w:top w:val="single" w:color="auto" w:sz="4" w:space="0"/>
            </w:tcBorders>
            <w:vAlign w:val="center"/>
          </w:tcPr>
          <w:p w14:paraId="19469A00">
            <w:pPr>
              <w:ind w:right="113"/>
              <w:jc w:val="center"/>
              <w:rPr>
                <w:rFonts w:ascii="宋体" w:hAnsi="宋体"/>
                <w:szCs w:val="21"/>
              </w:rPr>
            </w:pPr>
            <w:r>
              <w:rPr>
                <w:rFonts w:hint="eastAsia" w:ascii="宋体" w:hAnsi="宋体"/>
                <w:szCs w:val="21"/>
              </w:rPr>
              <w:t>项目风险预测与防范，事故应急预案</w:t>
            </w:r>
          </w:p>
        </w:tc>
        <w:tc>
          <w:tcPr>
            <w:tcW w:w="531" w:type="dxa"/>
            <w:tcBorders>
              <w:bottom w:val="single" w:color="auto" w:sz="4" w:space="0"/>
            </w:tcBorders>
            <w:vAlign w:val="center"/>
          </w:tcPr>
          <w:p w14:paraId="448EAC72">
            <w:pPr>
              <w:pStyle w:val="11"/>
              <w:tabs>
                <w:tab w:val="left" w:pos="457"/>
              </w:tabs>
              <w:spacing w:before="60" w:line="360" w:lineRule="atLeast"/>
              <w:jc w:val="center"/>
              <w:rPr>
                <w:sz w:val="21"/>
                <w:szCs w:val="21"/>
              </w:rPr>
            </w:pPr>
            <w:r>
              <w:rPr>
                <w:rFonts w:hint="eastAsia"/>
                <w:sz w:val="21"/>
                <w:szCs w:val="21"/>
              </w:rPr>
              <w:t>2</w:t>
            </w:r>
          </w:p>
        </w:tc>
        <w:tc>
          <w:tcPr>
            <w:tcW w:w="4430" w:type="dxa"/>
            <w:tcBorders>
              <w:right w:val="single" w:color="auto" w:sz="4" w:space="0"/>
            </w:tcBorders>
            <w:vAlign w:val="center"/>
          </w:tcPr>
          <w:p w14:paraId="307A5EF7">
            <w:pPr>
              <w:jc w:val="left"/>
              <w:rPr>
                <w:rFonts w:ascii="宋体" w:hAnsi="宋体"/>
                <w:kern w:val="0"/>
                <w:szCs w:val="21"/>
              </w:rPr>
            </w:pPr>
            <w:r>
              <w:rPr>
                <w:rFonts w:hint="eastAsia" w:ascii="宋体" w:hAnsi="宋体"/>
                <w:kern w:val="0"/>
                <w:szCs w:val="21"/>
              </w:rPr>
              <w:t>好，1.6-2分；</w:t>
            </w:r>
          </w:p>
          <w:p w14:paraId="619A037E">
            <w:pPr>
              <w:jc w:val="left"/>
              <w:rPr>
                <w:rFonts w:ascii="宋体" w:hAnsi="宋体"/>
                <w:kern w:val="0"/>
                <w:szCs w:val="21"/>
              </w:rPr>
            </w:pPr>
            <w:r>
              <w:rPr>
                <w:rFonts w:hint="eastAsia" w:ascii="宋体" w:hAnsi="宋体"/>
                <w:kern w:val="0"/>
                <w:szCs w:val="21"/>
              </w:rPr>
              <w:t>较好，1.2-1.6分；</w:t>
            </w:r>
          </w:p>
          <w:p w14:paraId="6C84E9D6">
            <w:pPr>
              <w:rPr>
                <w:rFonts w:ascii="宋体" w:hAnsi="宋体"/>
                <w:szCs w:val="21"/>
              </w:rPr>
            </w:pPr>
            <w:r>
              <w:rPr>
                <w:rFonts w:hint="eastAsia" w:ascii="宋体" w:hAnsi="宋体"/>
                <w:kern w:val="0"/>
                <w:szCs w:val="21"/>
              </w:rPr>
              <w:t>一般，1.2分。</w:t>
            </w:r>
          </w:p>
        </w:tc>
      </w:tr>
      <w:tr w14:paraId="1500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7" w:hRule="atLeast"/>
        </w:trPr>
        <w:tc>
          <w:tcPr>
            <w:tcW w:w="586" w:type="dxa"/>
            <w:vMerge w:val="restart"/>
            <w:vAlign w:val="center"/>
          </w:tcPr>
          <w:p w14:paraId="57030D3F">
            <w:pPr>
              <w:adjustRightInd w:val="0"/>
              <w:snapToGrid w:val="0"/>
              <w:spacing w:before="24" w:beforeLines="10" w:after="24" w:afterLines="10"/>
              <w:jc w:val="center"/>
              <w:rPr>
                <w:rFonts w:ascii="宋体" w:hAnsi="宋体"/>
              </w:rPr>
            </w:pPr>
            <w:r>
              <w:rPr>
                <w:rFonts w:ascii="宋体" w:hAnsi="宋体"/>
              </w:rPr>
              <w:t>2.2.</w:t>
            </w:r>
            <w:r>
              <w:rPr>
                <w:rFonts w:hint="eastAsia" w:ascii="宋体" w:hAnsi="宋体"/>
              </w:rPr>
              <w:t>2</w:t>
            </w:r>
            <w:r>
              <w:rPr>
                <w:rFonts w:ascii="宋体" w:hAnsi="宋体"/>
              </w:rPr>
              <w:t>（2）</w:t>
            </w:r>
          </w:p>
        </w:tc>
        <w:tc>
          <w:tcPr>
            <w:tcW w:w="1002" w:type="dxa"/>
            <w:gridSpan w:val="2"/>
            <w:vMerge w:val="restart"/>
            <w:vAlign w:val="center"/>
          </w:tcPr>
          <w:p w14:paraId="2B201F87">
            <w:pPr>
              <w:adjustRightInd w:val="0"/>
              <w:snapToGrid w:val="0"/>
              <w:spacing w:before="24" w:beforeLines="10" w:after="24" w:afterLines="10"/>
              <w:jc w:val="center"/>
              <w:rPr>
                <w:rFonts w:ascii="宋体" w:hAnsi="宋体"/>
              </w:rPr>
            </w:pPr>
            <w:r>
              <w:rPr>
                <w:rFonts w:hint="eastAsia" w:ascii="宋体" w:hAnsi="宋体"/>
              </w:rPr>
              <w:t>主要</w:t>
            </w:r>
          </w:p>
          <w:p w14:paraId="0A663844">
            <w:pPr>
              <w:adjustRightInd w:val="0"/>
              <w:snapToGrid w:val="0"/>
              <w:spacing w:before="24" w:beforeLines="10" w:after="24" w:afterLines="10"/>
              <w:jc w:val="center"/>
              <w:rPr>
                <w:rFonts w:ascii="宋体" w:hAnsi="宋体"/>
              </w:rPr>
            </w:pPr>
            <w:r>
              <w:rPr>
                <w:rFonts w:hint="eastAsia" w:ascii="宋体" w:hAnsi="宋体"/>
              </w:rPr>
              <w:t>人员</w:t>
            </w:r>
          </w:p>
        </w:tc>
        <w:tc>
          <w:tcPr>
            <w:tcW w:w="993" w:type="dxa"/>
            <w:vMerge w:val="restart"/>
            <w:vAlign w:val="center"/>
          </w:tcPr>
          <w:p w14:paraId="0E89415A">
            <w:pPr>
              <w:adjustRightInd w:val="0"/>
              <w:snapToGrid w:val="0"/>
              <w:spacing w:before="24" w:beforeLines="10" w:after="24" w:afterLines="10"/>
              <w:jc w:val="center"/>
              <w:rPr>
                <w:rFonts w:ascii="宋体" w:hAnsi="宋体"/>
              </w:rPr>
            </w:pPr>
            <w:r>
              <w:rPr>
                <w:rFonts w:hint="eastAsia" w:ascii="宋体" w:hAnsi="宋体"/>
              </w:rPr>
              <w:t>25</w:t>
            </w:r>
            <w:r>
              <w:rPr>
                <w:rFonts w:ascii="宋体" w:hAnsi="宋体"/>
              </w:rPr>
              <w:t>分</w:t>
            </w:r>
          </w:p>
        </w:tc>
        <w:tc>
          <w:tcPr>
            <w:tcW w:w="2125" w:type="dxa"/>
            <w:vAlign w:val="center"/>
          </w:tcPr>
          <w:p w14:paraId="429CD976">
            <w:pPr>
              <w:adjustRightInd w:val="0"/>
              <w:snapToGrid w:val="0"/>
              <w:spacing w:before="24" w:beforeLines="10" w:after="24" w:afterLines="10"/>
              <w:jc w:val="center"/>
              <w:rPr>
                <w:rFonts w:ascii="宋体" w:hAnsi="宋体"/>
              </w:rPr>
            </w:pPr>
            <w:r>
              <w:rPr>
                <w:rFonts w:ascii="宋体" w:hAnsi="宋体"/>
              </w:rPr>
              <w:t>项目经理</w:t>
            </w:r>
          </w:p>
          <w:p w14:paraId="164F4D73">
            <w:pPr>
              <w:adjustRightInd w:val="0"/>
              <w:snapToGrid w:val="0"/>
              <w:spacing w:before="24" w:beforeLines="10" w:after="24" w:afterLines="10"/>
              <w:jc w:val="center"/>
              <w:rPr>
                <w:rFonts w:ascii="宋体" w:hAnsi="宋体"/>
              </w:rPr>
            </w:pPr>
            <w:r>
              <w:rPr>
                <w:rFonts w:ascii="宋体" w:hAnsi="宋体"/>
              </w:rPr>
              <w:t>任职</w:t>
            </w:r>
            <w:r>
              <w:rPr>
                <w:rFonts w:hint="eastAsia" w:ascii="宋体" w:hAnsi="宋体"/>
              </w:rPr>
              <w:t>资格与业绩</w:t>
            </w:r>
          </w:p>
        </w:tc>
        <w:tc>
          <w:tcPr>
            <w:tcW w:w="531" w:type="dxa"/>
            <w:vAlign w:val="center"/>
          </w:tcPr>
          <w:p w14:paraId="7B5AF67C">
            <w:pPr>
              <w:adjustRightInd w:val="0"/>
              <w:snapToGrid w:val="0"/>
              <w:spacing w:before="24" w:beforeLines="10" w:after="24" w:afterLines="10"/>
              <w:jc w:val="center"/>
              <w:rPr>
                <w:rFonts w:ascii="宋体" w:hAnsi="宋体"/>
              </w:rPr>
            </w:pPr>
            <w:r>
              <w:rPr>
                <w:rFonts w:hint="eastAsia" w:ascii="宋体" w:hAnsi="宋体"/>
              </w:rPr>
              <w:t>15</w:t>
            </w:r>
          </w:p>
        </w:tc>
        <w:tc>
          <w:tcPr>
            <w:tcW w:w="4430" w:type="dxa"/>
            <w:vAlign w:val="center"/>
          </w:tcPr>
          <w:p w14:paraId="6BAEFEB6">
            <w:pPr>
              <w:pStyle w:val="4"/>
              <w:rPr>
                <w:rFonts w:hAnsi="宋体" w:cs="宋体"/>
              </w:rPr>
            </w:pPr>
            <w:r>
              <w:rPr>
                <w:rFonts w:hint="eastAsia" w:hAnsi="宋体" w:cs="宋体"/>
              </w:rPr>
              <w:t>满足最低资格审查条件得9分，担任过1项二级或二级以上公路工程（工程内容至少应包含路基、沥青混凝土路面工程）施工的项目经理得12分；担任过2项二级或二级以上公路工程（工程内容至少应包含路基、沥青混凝土路面工程）施工的项目经理得15分。</w:t>
            </w:r>
          </w:p>
          <w:p w14:paraId="336E7C23">
            <w:pPr>
              <w:pStyle w:val="4"/>
              <w:rPr>
                <w:rFonts w:hAnsi="宋体" w:cs="宋体"/>
              </w:rPr>
            </w:pPr>
          </w:p>
          <w:p w14:paraId="309D1379">
            <w:pPr>
              <w:widowControl/>
              <w:jc w:val="left"/>
              <w:rPr>
                <w:rFonts w:ascii="楷体" w:hAnsi="楷体" w:eastAsia="楷体" w:cs="楷体"/>
              </w:rPr>
            </w:pPr>
            <w:r>
              <w:rPr>
                <w:rFonts w:hint="eastAsia" w:ascii="楷体" w:hAnsi="楷体" w:eastAsia="楷体" w:cs="楷体"/>
              </w:rPr>
              <w:t>注：项目经理个人业绩均应是已列入交通运输部“全国公路建设市场监督管理系统（https://hwdms.mot.gov.cn/BMWebSite/）”或省级交通运输主管部门“公路建设市场信用信息管理系统”并公开的总包已建业绩（</w:t>
            </w:r>
            <w:r>
              <w:rPr>
                <w:rFonts w:hint="eastAsia" w:ascii="宋体" w:hAnsi="宋体"/>
                <w:kern w:val="0"/>
                <w:szCs w:val="21"/>
                <w:lang w:val="zh-CN"/>
              </w:rPr>
              <w:t>业绩应为国内新建或改扩建工程业绩</w:t>
            </w:r>
            <w:r>
              <w:rPr>
                <w:rFonts w:hint="eastAsia" w:ascii="宋体" w:hAnsi="宋体"/>
                <w:kern w:val="0"/>
                <w:szCs w:val="21"/>
              </w:rPr>
              <w:t>）</w:t>
            </w:r>
            <w:r>
              <w:rPr>
                <w:rFonts w:hint="eastAsia" w:ascii="楷体" w:hAnsi="楷体" w:eastAsia="楷体" w:cs="楷体"/>
              </w:rPr>
              <w:t>。</w:t>
            </w:r>
          </w:p>
        </w:tc>
      </w:tr>
      <w:tr w14:paraId="435E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7" w:hRule="atLeast"/>
        </w:trPr>
        <w:tc>
          <w:tcPr>
            <w:tcW w:w="586" w:type="dxa"/>
            <w:vMerge w:val="continue"/>
            <w:vAlign w:val="center"/>
          </w:tcPr>
          <w:p w14:paraId="5A6EC74B">
            <w:pPr>
              <w:adjustRightInd w:val="0"/>
              <w:snapToGrid w:val="0"/>
              <w:spacing w:before="24" w:beforeLines="10" w:after="24" w:afterLines="10"/>
              <w:jc w:val="center"/>
              <w:rPr>
                <w:rFonts w:ascii="宋体" w:hAnsi="宋体"/>
              </w:rPr>
            </w:pPr>
          </w:p>
        </w:tc>
        <w:tc>
          <w:tcPr>
            <w:tcW w:w="1002" w:type="dxa"/>
            <w:gridSpan w:val="2"/>
            <w:vMerge w:val="continue"/>
            <w:vAlign w:val="center"/>
          </w:tcPr>
          <w:p w14:paraId="66E07424">
            <w:pPr>
              <w:adjustRightInd w:val="0"/>
              <w:snapToGrid w:val="0"/>
              <w:spacing w:before="24" w:beforeLines="10" w:after="24" w:afterLines="10"/>
              <w:jc w:val="center"/>
              <w:rPr>
                <w:rFonts w:ascii="宋体" w:hAnsi="宋体"/>
              </w:rPr>
            </w:pPr>
          </w:p>
        </w:tc>
        <w:tc>
          <w:tcPr>
            <w:tcW w:w="993" w:type="dxa"/>
            <w:vMerge w:val="continue"/>
            <w:vAlign w:val="center"/>
          </w:tcPr>
          <w:p w14:paraId="4BD4787F">
            <w:pPr>
              <w:adjustRightInd w:val="0"/>
              <w:snapToGrid w:val="0"/>
              <w:spacing w:before="24" w:beforeLines="10" w:after="24" w:afterLines="10"/>
              <w:jc w:val="center"/>
              <w:rPr>
                <w:rFonts w:ascii="宋体" w:hAnsi="宋体"/>
              </w:rPr>
            </w:pPr>
          </w:p>
        </w:tc>
        <w:tc>
          <w:tcPr>
            <w:tcW w:w="2125" w:type="dxa"/>
            <w:vAlign w:val="center"/>
          </w:tcPr>
          <w:p w14:paraId="311F7DCC">
            <w:pPr>
              <w:adjustRightInd w:val="0"/>
              <w:snapToGrid w:val="0"/>
              <w:spacing w:before="24" w:beforeLines="10" w:after="24" w:afterLines="10"/>
              <w:jc w:val="center"/>
              <w:rPr>
                <w:rFonts w:ascii="宋体" w:hAnsi="宋体"/>
              </w:rPr>
            </w:pPr>
            <w:r>
              <w:rPr>
                <w:rFonts w:ascii="宋体" w:hAnsi="宋体"/>
              </w:rPr>
              <w:t>项目</w:t>
            </w:r>
            <w:r>
              <w:rPr>
                <w:rFonts w:hint="eastAsia" w:ascii="宋体" w:hAnsi="宋体"/>
              </w:rPr>
              <w:t>总工</w:t>
            </w:r>
          </w:p>
          <w:p w14:paraId="2029D6E6">
            <w:pPr>
              <w:adjustRightInd w:val="0"/>
              <w:snapToGrid w:val="0"/>
              <w:spacing w:before="24" w:beforeLines="10" w:after="24" w:afterLines="10"/>
              <w:jc w:val="center"/>
              <w:rPr>
                <w:rFonts w:ascii="宋体" w:hAnsi="宋体"/>
              </w:rPr>
            </w:pPr>
            <w:r>
              <w:rPr>
                <w:rFonts w:ascii="宋体" w:hAnsi="宋体"/>
              </w:rPr>
              <w:t>任职</w:t>
            </w:r>
            <w:r>
              <w:rPr>
                <w:rFonts w:hint="eastAsia" w:ascii="宋体" w:hAnsi="宋体"/>
              </w:rPr>
              <w:t>资格与业绩</w:t>
            </w:r>
          </w:p>
        </w:tc>
        <w:tc>
          <w:tcPr>
            <w:tcW w:w="531" w:type="dxa"/>
            <w:vAlign w:val="center"/>
          </w:tcPr>
          <w:p w14:paraId="0025FC97">
            <w:pPr>
              <w:adjustRightInd w:val="0"/>
              <w:snapToGrid w:val="0"/>
              <w:spacing w:before="24" w:beforeLines="10" w:after="24" w:afterLines="10"/>
              <w:jc w:val="center"/>
              <w:rPr>
                <w:rFonts w:ascii="宋体" w:hAnsi="宋体"/>
              </w:rPr>
            </w:pPr>
            <w:r>
              <w:rPr>
                <w:rFonts w:hint="eastAsia" w:ascii="宋体" w:hAnsi="宋体"/>
              </w:rPr>
              <w:t>10</w:t>
            </w:r>
          </w:p>
        </w:tc>
        <w:tc>
          <w:tcPr>
            <w:tcW w:w="4430" w:type="dxa"/>
            <w:vAlign w:val="center"/>
          </w:tcPr>
          <w:p w14:paraId="4C57E7D3">
            <w:pPr>
              <w:pStyle w:val="4"/>
              <w:rPr>
                <w:rFonts w:hAnsi="宋体" w:cs="宋体"/>
              </w:rPr>
            </w:pPr>
            <w:r>
              <w:rPr>
                <w:rFonts w:hint="eastAsia" w:hAnsi="宋体" w:cs="宋体"/>
              </w:rPr>
              <w:t>满足最低资格审查条件得6分，担任过1项二级或二级以上公路工程（工程内容至少应包含路基、沥青混凝土路面工程）施工的项目总工得8分；担任过2项二级或二级以上公路工程（工程内容至少应包含路基、沥青混凝土路面工程）施工的项目总工得10分。</w:t>
            </w:r>
          </w:p>
          <w:p w14:paraId="6365619E">
            <w:pPr>
              <w:pStyle w:val="4"/>
            </w:pPr>
            <w:r>
              <w:rPr>
                <w:rFonts w:hint="eastAsia" w:ascii="楷体" w:hAnsi="楷体" w:eastAsia="楷体" w:cs="楷体"/>
              </w:rPr>
              <w:t>注：项目总工个人业绩均应是已列入交通运输部“全国公路建设市场监督管理系统（https://hwdms.mot.gov.cn/BMWebSite/）”或省级交通运输主管部门“公路建设市场信用信息管理系统”并公开的总包已建业绩（</w:t>
            </w:r>
            <w:r>
              <w:rPr>
                <w:rFonts w:hint="eastAsia" w:hAnsi="宋体"/>
                <w:kern w:val="0"/>
                <w:lang w:val="zh-CN"/>
              </w:rPr>
              <w:t>业绩应为国内新建或改扩建工程业绩</w:t>
            </w:r>
            <w:r>
              <w:rPr>
                <w:rFonts w:hint="eastAsia" w:hAnsi="宋体"/>
                <w:kern w:val="0"/>
              </w:rPr>
              <w:t>）</w:t>
            </w:r>
            <w:r>
              <w:rPr>
                <w:rFonts w:hint="eastAsia" w:ascii="楷体" w:hAnsi="楷体" w:eastAsia="楷体" w:cs="楷体"/>
              </w:rPr>
              <w:t>。</w:t>
            </w:r>
          </w:p>
        </w:tc>
      </w:tr>
      <w:tr w14:paraId="5C8EA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553" w:hRule="atLeast"/>
        </w:trPr>
        <w:tc>
          <w:tcPr>
            <w:tcW w:w="586" w:type="dxa"/>
            <w:vMerge w:val="restart"/>
            <w:vAlign w:val="center"/>
          </w:tcPr>
          <w:p w14:paraId="292D40B5">
            <w:pPr>
              <w:adjustRightInd w:val="0"/>
              <w:snapToGrid w:val="0"/>
              <w:spacing w:before="48" w:beforeLines="20" w:after="48" w:afterLines="20"/>
              <w:jc w:val="center"/>
              <w:rPr>
                <w:rFonts w:ascii="宋体" w:hAnsi="宋体"/>
              </w:rPr>
            </w:pPr>
            <w:r>
              <w:rPr>
                <w:rFonts w:ascii="宋体" w:hAnsi="宋体"/>
              </w:rPr>
              <w:t>2.2.</w:t>
            </w:r>
            <w:r>
              <w:rPr>
                <w:rFonts w:hint="eastAsia" w:ascii="宋体" w:hAnsi="宋体"/>
              </w:rPr>
              <w:t>2</w:t>
            </w:r>
            <w:r>
              <w:rPr>
                <w:rFonts w:ascii="宋体" w:hAnsi="宋体"/>
              </w:rPr>
              <w:t>（</w:t>
            </w:r>
            <w:r>
              <w:rPr>
                <w:rFonts w:hint="eastAsia" w:ascii="宋体" w:hAnsi="宋体"/>
              </w:rPr>
              <w:t>3）</w:t>
            </w:r>
          </w:p>
        </w:tc>
        <w:tc>
          <w:tcPr>
            <w:tcW w:w="500" w:type="dxa"/>
            <w:vMerge w:val="restart"/>
            <w:vAlign w:val="center"/>
          </w:tcPr>
          <w:p w14:paraId="48183300">
            <w:pPr>
              <w:adjustRightInd w:val="0"/>
              <w:snapToGrid w:val="0"/>
              <w:spacing w:before="48" w:beforeLines="20" w:after="48" w:afterLines="20"/>
              <w:ind w:left="113" w:right="113"/>
              <w:jc w:val="center"/>
              <w:rPr>
                <w:rFonts w:ascii="宋体" w:hAnsi="宋体"/>
              </w:rPr>
            </w:pPr>
            <w:r>
              <w:rPr>
                <w:rFonts w:ascii="宋体" w:hAnsi="宋体"/>
              </w:rPr>
              <w:t>其他因素</w:t>
            </w:r>
          </w:p>
        </w:tc>
        <w:tc>
          <w:tcPr>
            <w:tcW w:w="502" w:type="dxa"/>
            <w:vAlign w:val="center"/>
          </w:tcPr>
          <w:p w14:paraId="63695945">
            <w:pPr>
              <w:adjustRightInd w:val="0"/>
              <w:snapToGrid w:val="0"/>
              <w:spacing w:before="48" w:beforeLines="20" w:after="48" w:afterLines="20"/>
              <w:ind w:left="113" w:right="113"/>
              <w:jc w:val="center"/>
              <w:rPr>
                <w:rFonts w:ascii="宋体" w:hAnsi="宋体"/>
              </w:rPr>
            </w:pPr>
            <w:r>
              <w:rPr>
                <w:rFonts w:hint="eastAsia" w:ascii="宋体" w:hAnsi="宋体"/>
              </w:rPr>
              <w:t>企业业绩</w:t>
            </w:r>
          </w:p>
        </w:tc>
        <w:tc>
          <w:tcPr>
            <w:tcW w:w="993" w:type="dxa"/>
            <w:vAlign w:val="center"/>
          </w:tcPr>
          <w:p w14:paraId="5B9296D6">
            <w:pPr>
              <w:adjustRightInd w:val="0"/>
              <w:snapToGrid w:val="0"/>
              <w:spacing w:before="48" w:beforeLines="20" w:after="48" w:afterLines="20"/>
              <w:jc w:val="center"/>
              <w:rPr>
                <w:rFonts w:ascii="宋体" w:hAnsi="宋体"/>
              </w:rPr>
            </w:pPr>
            <w:r>
              <w:rPr>
                <w:rFonts w:hint="eastAsia" w:ascii="宋体" w:hAnsi="宋体"/>
              </w:rPr>
              <w:t>20</w:t>
            </w:r>
            <w:r>
              <w:rPr>
                <w:rFonts w:ascii="宋体" w:hAnsi="宋体"/>
              </w:rPr>
              <w:t>分</w:t>
            </w:r>
          </w:p>
        </w:tc>
        <w:tc>
          <w:tcPr>
            <w:tcW w:w="2125" w:type="dxa"/>
            <w:vAlign w:val="center"/>
          </w:tcPr>
          <w:p w14:paraId="21B189BA">
            <w:pPr>
              <w:adjustRightInd w:val="0"/>
              <w:snapToGrid w:val="0"/>
              <w:spacing w:before="48" w:beforeLines="20" w:after="48" w:afterLines="20"/>
              <w:jc w:val="center"/>
              <w:rPr>
                <w:rFonts w:ascii="宋体" w:hAnsi="宋体"/>
              </w:rPr>
            </w:pPr>
            <w:r>
              <w:rPr>
                <w:rFonts w:hint="eastAsia" w:ascii="宋体" w:hAnsi="宋体"/>
              </w:rPr>
              <w:t>企业业绩</w:t>
            </w:r>
          </w:p>
        </w:tc>
        <w:tc>
          <w:tcPr>
            <w:tcW w:w="531" w:type="dxa"/>
            <w:vAlign w:val="center"/>
          </w:tcPr>
          <w:p w14:paraId="32FD7352">
            <w:pPr>
              <w:adjustRightInd w:val="0"/>
              <w:snapToGrid w:val="0"/>
              <w:spacing w:before="48" w:beforeLines="20" w:after="48" w:afterLines="20"/>
              <w:jc w:val="center"/>
              <w:rPr>
                <w:rFonts w:ascii="宋体" w:hAnsi="宋体"/>
              </w:rPr>
            </w:pPr>
            <w:r>
              <w:rPr>
                <w:rFonts w:hint="eastAsia" w:ascii="宋体" w:hAnsi="宋体"/>
              </w:rPr>
              <w:t>20</w:t>
            </w:r>
          </w:p>
        </w:tc>
        <w:tc>
          <w:tcPr>
            <w:tcW w:w="4430" w:type="dxa"/>
            <w:vAlign w:val="center"/>
          </w:tcPr>
          <w:p w14:paraId="403DE6F5">
            <w:pPr>
              <w:pStyle w:val="4"/>
              <w:rPr>
                <w:rFonts w:hAnsi="宋体" w:cs="宋体"/>
              </w:rPr>
            </w:pPr>
            <w:r>
              <w:rPr>
                <w:rFonts w:hint="eastAsia" w:hAnsi="宋体" w:cs="宋体"/>
              </w:rPr>
              <w:t>（1）满足最低资格审查条件得12分；</w:t>
            </w:r>
          </w:p>
          <w:p w14:paraId="21D21A80">
            <w:pPr>
              <w:widowControl/>
              <w:jc w:val="left"/>
              <w:rPr>
                <w:rFonts w:ascii="宋体" w:hAnsi="宋体" w:cs="宋体"/>
                <w:color w:val="auto"/>
                <w:szCs w:val="21"/>
                <w:highlight w:val="none"/>
              </w:rPr>
            </w:pPr>
            <w:r>
              <w:rPr>
                <w:rFonts w:hint="eastAsia" w:ascii="宋体" w:hAnsi="宋体" w:cs="宋体"/>
                <w:szCs w:val="21"/>
              </w:rPr>
              <w:t>（2）</w:t>
            </w:r>
            <w:r>
              <w:rPr>
                <w:rFonts w:hint="eastAsia" w:hAnsi="宋体" w:cs="宋体"/>
              </w:rPr>
              <w:t>在满足最低资格审查条件基础上，累计完</w:t>
            </w:r>
            <w:r>
              <w:rPr>
                <w:rFonts w:hint="eastAsia" w:hAnsi="宋体" w:cs="宋体"/>
                <w:color w:val="auto"/>
                <w:highlight w:val="none"/>
              </w:rPr>
              <w:t>成的二级或二级以上公路路基工程施工有效业绩每增加10公里加1分，最多加3分，中间内插计算得分（四舍五入保留2位小数）。</w:t>
            </w:r>
          </w:p>
          <w:p w14:paraId="144F5DA5">
            <w:pPr>
              <w:widowControl/>
              <w:jc w:val="left"/>
              <w:rPr>
                <w:rFonts w:ascii="宋体" w:hAnsi="宋体" w:cs="宋体"/>
                <w:color w:val="auto"/>
                <w:szCs w:val="21"/>
                <w:highlight w:val="none"/>
              </w:rPr>
            </w:pPr>
            <w:r>
              <w:rPr>
                <w:rFonts w:hint="eastAsia" w:ascii="宋体" w:hAnsi="宋体" w:cs="宋体"/>
                <w:color w:val="auto"/>
                <w:szCs w:val="21"/>
                <w:highlight w:val="none"/>
              </w:rPr>
              <w:t>（3）</w:t>
            </w:r>
            <w:r>
              <w:rPr>
                <w:rFonts w:hint="eastAsia" w:hAnsi="宋体" w:cs="宋体"/>
                <w:color w:val="auto"/>
                <w:highlight w:val="none"/>
              </w:rPr>
              <w:t>在满足最低资格审查条件基础上，累计完成的</w:t>
            </w:r>
            <w:r>
              <w:rPr>
                <w:rFonts w:ascii="宋体" w:hAnsi="宋体" w:cs="宋体"/>
                <w:color w:val="auto"/>
                <w:kern w:val="0"/>
                <w:szCs w:val="21"/>
                <w:highlight w:val="none"/>
              </w:rPr>
              <w:t>二级或二级以上</w:t>
            </w:r>
            <w:r>
              <w:rPr>
                <w:rFonts w:hint="eastAsia" w:ascii="宋体" w:hAnsi="宋体" w:cs="宋体"/>
                <w:color w:val="auto"/>
                <w:szCs w:val="21"/>
                <w:highlight w:val="none"/>
              </w:rPr>
              <w:t>公路沥青混凝土路面工程施工有效业绩每增加10公里加1分，最多加3分，中间内插计算得分（四舍五入保留2位小数）。</w:t>
            </w:r>
          </w:p>
          <w:p w14:paraId="43C83ECF">
            <w:pPr>
              <w:widowControl/>
              <w:jc w:val="left"/>
              <w:rPr>
                <w:rFonts w:ascii="宋体" w:hAnsi="宋体" w:cs="宋体"/>
                <w:color w:val="auto"/>
                <w:szCs w:val="21"/>
                <w:highlight w:val="none"/>
              </w:rPr>
            </w:pPr>
            <w:r>
              <w:rPr>
                <w:rFonts w:hint="eastAsia" w:ascii="宋体" w:hAnsi="宋体" w:cs="宋体"/>
                <w:color w:val="auto"/>
                <w:szCs w:val="21"/>
                <w:highlight w:val="none"/>
              </w:rPr>
              <w:t>（4）</w:t>
            </w:r>
            <w:r>
              <w:rPr>
                <w:rFonts w:hint="eastAsia" w:hAnsi="宋体" w:cs="宋体"/>
                <w:color w:val="auto"/>
                <w:highlight w:val="none"/>
              </w:rPr>
              <w:t>在满足最低资格审查条件基础上，累计完成的</w:t>
            </w:r>
            <w:r>
              <w:rPr>
                <w:rFonts w:ascii="宋体" w:hAnsi="宋体" w:cs="宋体"/>
                <w:color w:val="auto"/>
                <w:kern w:val="0"/>
                <w:szCs w:val="21"/>
                <w:highlight w:val="none"/>
              </w:rPr>
              <w:t>二级或二级以上</w:t>
            </w:r>
            <w:r>
              <w:rPr>
                <w:rFonts w:hint="eastAsia" w:ascii="宋体" w:hAnsi="宋体" w:cs="宋体"/>
                <w:color w:val="auto"/>
                <w:szCs w:val="21"/>
                <w:highlight w:val="none"/>
              </w:rPr>
              <w:t>公路</w:t>
            </w:r>
            <w:r>
              <w:rPr>
                <w:rFonts w:hint="eastAsia" w:hAnsi="宋体" w:cs="宋体"/>
                <w:color w:val="auto"/>
                <w:highlight w:val="none"/>
              </w:rPr>
              <w:t>中桥工程施工有效业绩每增加一座加1分，最多加2分。</w:t>
            </w:r>
          </w:p>
          <w:p w14:paraId="741E6A0E">
            <w:pPr>
              <w:widowControl/>
              <w:jc w:val="left"/>
              <w:rPr>
                <w:rFonts w:ascii="楷体" w:hAnsi="楷体" w:eastAsia="楷体" w:cs="楷体"/>
                <w:szCs w:val="21"/>
              </w:rPr>
            </w:pPr>
            <w:r>
              <w:rPr>
                <w:rFonts w:hint="eastAsia" w:ascii="楷体" w:hAnsi="楷体" w:eastAsia="楷体" w:cs="楷体"/>
                <w:szCs w:val="21"/>
              </w:rPr>
              <w:t>注：</w:t>
            </w:r>
          </w:p>
          <w:p w14:paraId="4DD799A4">
            <w:pPr>
              <w:widowControl/>
              <w:jc w:val="left"/>
              <w:rPr>
                <w:rFonts w:ascii="楷体" w:hAnsi="楷体" w:eastAsia="楷体" w:cs="楷体"/>
                <w:szCs w:val="21"/>
              </w:rPr>
            </w:pPr>
            <w:r>
              <w:rPr>
                <w:rFonts w:hint="eastAsia" w:ascii="楷体" w:hAnsi="楷体" w:eastAsia="楷体" w:cs="楷体"/>
                <w:szCs w:val="21"/>
              </w:rPr>
              <w:t>有效业绩应满足下列要求：</w:t>
            </w:r>
          </w:p>
          <w:p w14:paraId="632DFA79">
            <w:pPr>
              <w:pStyle w:val="4"/>
              <w:rPr>
                <w:rFonts w:ascii="楷体" w:hAnsi="楷体" w:eastAsia="楷体" w:cs="楷体"/>
              </w:rPr>
            </w:pPr>
            <w:r>
              <w:rPr>
                <w:rFonts w:hint="eastAsia" w:ascii="楷体" w:hAnsi="楷体" w:eastAsia="楷体" w:cs="楷体"/>
              </w:rPr>
              <w:t>①完成时间：2021</w:t>
            </w:r>
            <w:r>
              <w:rPr>
                <w:rFonts w:ascii="楷体" w:hAnsi="楷体" w:eastAsia="楷体" w:cs="楷体"/>
              </w:rPr>
              <w:t>年1月1日</w:t>
            </w:r>
            <w:r>
              <w:rPr>
                <w:rFonts w:hint="eastAsia" w:ascii="楷体" w:hAnsi="楷体" w:eastAsia="楷体" w:cs="楷体"/>
              </w:rPr>
              <w:t>至投标截止时间（以交工时间为准）</w:t>
            </w:r>
          </w:p>
          <w:p w14:paraId="75EEE240">
            <w:pPr>
              <w:widowControl/>
              <w:jc w:val="left"/>
              <w:rPr>
                <w:rFonts w:ascii="楷体" w:hAnsi="楷体" w:eastAsia="楷体" w:cs="楷体"/>
                <w:szCs w:val="21"/>
              </w:rPr>
            </w:pPr>
            <w:r>
              <w:rPr>
                <w:rFonts w:hint="eastAsia" w:ascii="楷体" w:hAnsi="楷体" w:eastAsia="楷体" w:cs="楷体"/>
                <w:szCs w:val="21"/>
              </w:rPr>
              <w:t>②</w:t>
            </w:r>
            <w:r>
              <w:rPr>
                <w:rFonts w:ascii="楷体" w:hAnsi="楷体" w:eastAsia="楷体" w:cs="楷体"/>
                <w:szCs w:val="21"/>
              </w:rPr>
              <w:t>应是已列入交通运输部“全国公路建设市场监督管理系统（https://hwdms.mot.gov.cn/BMWebSite/）”或省级交通运输主管部门“公路建设市场信用信息管理系统”并公开的总包已建业绩。</w:t>
            </w:r>
          </w:p>
          <w:p w14:paraId="686A9979">
            <w:pPr>
              <w:widowControl/>
              <w:jc w:val="left"/>
              <w:rPr>
                <w:rFonts w:hAnsi="宋体" w:cs="宋体"/>
              </w:rPr>
            </w:pPr>
            <w:r>
              <w:rPr>
                <w:rFonts w:hint="eastAsia" w:ascii="楷体" w:hAnsi="楷体" w:eastAsia="楷体" w:cs="楷体"/>
                <w:szCs w:val="21"/>
              </w:rPr>
              <w:t>③</w:t>
            </w:r>
            <w:r>
              <w:rPr>
                <w:rFonts w:ascii="楷体" w:hAnsi="楷体" w:eastAsia="楷体" w:cs="楷体"/>
                <w:szCs w:val="21"/>
              </w:rPr>
              <w:t>应为国内新建或改扩建工程业绩，高速公路、一级公路全幅路基、路面工程按2倍长度计算。</w:t>
            </w:r>
          </w:p>
        </w:tc>
      </w:tr>
      <w:tr w14:paraId="69FC5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586" w:type="dxa"/>
            <w:vMerge w:val="continue"/>
            <w:vAlign w:val="center"/>
          </w:tcPr>
          <w:p w14:paraId="682707CF">
            <w:pPr>
              <w:adjustRightInd w:val="0"/>
              <w:snapToGrid w:val="0"/>
              <w:spacing w:before="48" w:beforeLines="20" w:after="48" w:afterLines="20"/>
              <w:jc w:val="center"/>
              <w:rPr>
                <w:rFonts w:ascii="宋体" w:hAnsi="宋体"/>
              </w:rPr>
            </w:pPr>
          </w:p>
        </w:tc>
        <w:tc>
          <w:tcPr>
            <w:tcW w:w="500" w:type="dxa"/>
            <w:vMerge w:val="continue"/>
            <w:vAlign w:val="center"/>
          </w:tcPr>
          <w:p w14:paraId="3C637BDF">
            <w:pPr>
              <w:adjustRightInd w:val="0"/>
              <w:snapToGrid w:val="0"/>
              <w:spacing w:before="48" w:beforeLines="20" w:after="48" w:afterLines="20"/>
              <w:ind w:left="113" w:right="113"/>
              <w:jc w:val="center"/>
              <w:rPr>
                <w:rFonts w:ascii="宋体" w:hAnsi="宋体"/>
              </w:rPr>
            </w:pPr>
          </w:p>
        </w:tc>
        <w:tc>
          <w:tcPr>
            <w:tcW w:w="502" w:type="dxa"/>
            <w:vMerge w:val="restart"/>
            <w:vAlign w:val="center"/>
          </w:tcPr>
          <w:p w14:paraId="4F93F486">
            <w:pPr>
              <w:adjustRightInd w:val="0"/>
              <w:snapToGrid w:val="0"/>
              <w:spacing w:before="48" w:beforeLines="20" w:after="48" w:afterLines="20"/>
              <w:ind w:left="113" w:right="113"/>
              <w:jc w:val="center"/>
              <w:rPr>
                <w:rFonts w:ascii="宋体" w:hAnsi="宋体"/>
              </w:rPr>
            </w:pPr>
            <w:r>
              <w:rPr>
                <w:rFonts w:hint="eastAsia" w:ascii="宋体" w:hAnsi="宋体"/>
              </w:rPr>
              <w:t>履约信誉</w:t>
            </w:r>
          </w:p>
        </w:tc>
        <w:tc>
          <w:tcPr>
            <w:tcW w:w="993" w:type="dxa"/>
            <w:vMerge w:val="restart"/>
            <w:vAlign w:val="center"/>
          </w:tcPr>
          <w:p w14:paraId="7A18A2B3">
            <w:pPr>
              <w:adjustRightInd w:val="0"/>
              <w:snapToGrid w:val="0"/>
              <w:spacing w:before="48" w:beforeLines="20" w:after="48" w:afterLines="20"/>
              <w:jc w:val="center"/>
              <w:rPr>
                <w:rFonts w:ascii="宋体" w:hAnsi="宋体"/>
              </w:rPr>
            </w:pPr>
            <w:r>
              <w:rPr>
                <w:rFonts w:hint="eastAsia" w:ascii="宋体" w:hAnsi="宋体"/>
              </w:rPr>
              <w:t>15分</w:t>
            </w:r>
          </w:p>
        </w:tc>
        <w:tc>
          <w:tcPr>
            <w:tcW w:w="2125" w:type="dxa"/>
            <w:vMerge w:val="restart"/>
            <w:vAlign w:val="center"/>
          </w:tcPr>
          <w:p w14:paraId="1E26AE0E">
            <w:pPr>
              <w:adjustRightInd w:val="0"/>
              <w:snapToGrid w:val="0"/>
              <w:spacing w:before="48" w:beforeLines="20" w:after="48" w:afterLines="20"/>
              <w:jc w:val="center"/>
              <w:rPr>
                <w:rFonts w:ascii="宋体" w:hAnsi="宋体"/>
              </w:rPr>
            </w:pPr>
            <w:r>
              <w:rPr>
                <w:rFonts w:hint="eastAsia" w:ascii="宋体" w:hAnsi="宋体"/>
              </w:rPr>
              <w:t>投标人的</w:t>
            </w:r>
          </w:p>
          <w:p w14:paraId="4CF020D5">
            <w:pPr>
              <w:adjustRightInd w:val="0"/>
              <w:snapToGrid w:val="0"/>
              <w:spacing w:before="48" w:beforeLines="20" w:after="48" w:afterLines="20"/>
              <w:jc w:val="center"/>
              <w:rPr>
                <w:rFonts w:ascii="宋体" w:hAnsi="宋体"/>
              </w:rPr>
            </w:pPr>
            <w:r>
              <w:rPr>
                <w:rFonts w:hint="eastAsia" w:ascii="宋体" w:hAnsi="宋体"/>
              </w:rPr>
              <w:t>信用评价等级</w:t>
            </w:r>
          </w:p>
        </w:tc>
        <w:tc>
          <w:tcPr>
            <w:tcW w:w="531" w:type="dxa"/>
            <w:vAlign w:val="center"/>
          </w:tcPr>
          <w:p w14:paraId="33286BBD">
            <w:pPr>
              <w:adjustRightInd w:val="0"/>
              <w:snapToGrid w:val="0"/>
              <w:spacing w:before="48" w:beforeLines="20" w:after="48" w:afterLines="20"/>
              <w:jc w:val="center"/>
              <w:rPr>
                <w:rFonts w:ascii="宋体" w:hAnsi="宋体"/>
              </w:rPr>
            </w:pPr>
            <w:r>
              <w:rPr>
                <w:rFonts w:hint="eastAsia" w:ascii="宋体" w:hAnsi="宋体"/>
              </w:rPr>
              <w:t>15</w:t>
            </w:r>
          </w:p>
        </w:tc>
        <w:tc>
          <w:tcPr>
            <w:tcW w:w="4430" w:type="dxa"/>
            <w:vAlign w:val="center"/>
          </w:tcPr>
          <w:p w14:paraId="30B9FBC4">
            <w:pPr>
              <w:adjustRightInd w:val="0"/>
              <w:snapToGrid w:val="0"/>
              <w:spacing w:before="48" w:beforeLines="20" w:after="48" w:afterLines="20"/>
              <w:jc w:val="left"/>
              <w:rPr>
                <w:rFonts w:ascii="宋体" w:hAnsi="宋体"/>
              </w:rPr>
            </w:pPr>
            <w:r>
              <w:rPr>
                <w:rFonts w:hint="eastAsia" w:ascii="宋体" w:hAnsi="宋体"/>
              </w:rPr>
              <w:t>信用评价AA级，得15分。</w:t>
            </w:r>
          </w:p>
        </w:tc>
      </w:tr>
      <w:tr w14:paraId="54A4C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586" w:type="dxa"/>
            <w:vMerge w:val="continue"/>
            <w:vAlign w:val="center"/>
          </w:tcPr>
          <w:p w14:paraId="11223756">
            <w:pPr>
              <w:adjustRightInd w:val="0"/>
              <w:snapToGrid w:val="0"/>
              <w:spacing w:before="48" w:beforeLines="20" w:after="48" w:afterLines="20"/>
              <w:jc w:val="center"/>
              <w:rPr>
                <w:rFonts w:ascii="宋体" w:hAnsi="宋体"/>
              </w:rPr>
            </w:pPr>
          </w:p>
        </w:tc>
        <w:tc>
          <w:tcPr>
            <w:tcW w:w="500" w:type="dxa"/>
            <w:vMerge w:val="continue"/>
            <w:vAlign w:val="center"/>
          </w:tcPr>
          <w:p w14:paraId="68B1AA84">
            <w:pPr>
              <w:adjustRightInd w:val="0"/>
              <w:snapToGrid w:val="0"/>
              <w:spacing w:before="48" w:beforeLines="20" w:after="48" w:afterLines="20"/>
              <w:ind w:left="113" w:right="113"/>
              <w:jc w:val="center"/>
              <w:rPr>
                <w:rFonts w:ascii="宋体" w:hAnsi="宋体"/>
              </w:rPr>
            </w:pPr>
          </w:p>
        </w:tc>
        <w:tc>
          <w:tcPr>
            <w:tcW w:w="502" w:type="dxa"/>
            <w:vMerge w:val="continue"/>
            <w:vAlign w:val="center"/>
          </w:tcPr>
          <w:p w14:paraId="02E786B6">
            <w:pPr>
              <w:adjustRightInd w:val="0"/>
              <w:snapToGrid w:val="0"/>
              <w:spacing w:before="48" w:beforeLines="20" w:after="48" w:afterLines="20"/>
              <w:ind w:left="113" w:right="113"/>
              <w:jc w:val="center"/>
              <w:rPr>
                <w:rFonts w:ascii="宋体" w:hAnsi="宋体"/>
              </w:rPr>
            </w:pPr>
          </w:p>
        </w:tc>
        <w:tc>
          <w:tcPr>
            <w:tcW w:w="993" w:type="dxa"/>
            <w:vMerge w:val="continue"/>
            <w:vAlign w:val="center"/>
          </w:tcPr>
          <w:p w14:paraId="0727B828">
            <w:pPr>
              <w:adjustRightInd w:val="0"/>
              <w:snapToGrid w:val="0"/>
              <w:spacing w:before="48" w:beforeLines="20" w:after="48" w:afterLines="20"/>
              <w:jc w:val="center"/>
              <w:rPr>
                <w:rFonts w:ascii="宋体" w:hAnsi="宋体"/>
              </w:rPr>
            </w:pPr>
          </w:p>
        </w:tc>
        <w:tc>
          <w:tcPr>
            <w:tcW w:w="2125" w:type="dxa"/>
            <w:vMerge w:val="continue"/>
            <w:vAlign w:val="center"/>
          </w:tcPr>
          <w:p w14:paraId="19D08751">
            <w:pPr>
              <w:adjustRightInd w:val="0"/>
              <w:snapToGrid w:val="0"/>
              <w:spacing w:before="48" w:beforeLines="20" w:after="48" w:afterLines="20"/>
              <w:jc w:val="center"/>
              <w:rPr>
                <w:rFonts w:ascii="宋体" w:hAnsi="宋体"/>
              </w:rPr>
            </w:pPr>
          </w:p>
        </w:tc>
        <w:tc>
          <w:tcPr>
            <w:tcW w:w="531" w:type="dxa"/>
            <w:vAlign w:val="center"/>
          </w:tcPr>
          <w:p w14:paraId="6FE3DC0C">
            <w:pPr>
              <w:adjustRightInd w:val="0"/>
              <w:snapToGrid w:val="0"/>
              <w:spacing w:before="48" w:beforeLines="20" w:after="48" w:afterLines="20"/>
              <w:jc w:val="center"/>
              <w:rPr>
                <w:rFonts w:hint="eastAsia" w:ascii="宋体" w:hAnsi="宋体" w:eastAsia="宋体"/>
                <w:lang w:eastAsia="zh-CN"/>
              </w:rPr>
            </w:pPr>
            <w:r>
              <w:rPr>
                <w:rFonts w:hint="eastAsia" w:ascii="宋体" w:hAnsi="宋体"/>
              </w:rPr>
              <w:t>1</w:t>
            </w:r>
            <w:r>
              <w:rPr>
                <w:rFonts w:hint="eastAsia" w:ascii="宋体" w:hAnsi="宋体"/>
                <w:lang w:val="en-US" w:eastAsia="zh-CN"/>
              </w:rPr>
              <w:t>3</w:t>
            </w:r>
          </w:p>
        </w:tc>
        <w:tc>
          <w:tcPr>
            <w:tcW w:w="4430" w:type="dxa"/>
            <w:vAlign w:val="center"/>
          </w:tcPr>
          <w:p w14:paraId="137D9AB5">
            <w:pPr>
              <w:adjustRightInd w:val="0"/>
              <w:snapToGrid w:val="0"/>
              <w:spacing w:before="48" w:beforeLines="20" w:after="48" w:afterLines="20"/>
              <w:jc w:val="left"/>
              <w:rPr>
                <w:rFonts w:ascii="宋体" w:hAnsi="宋体"/>
              </w:rPr>
            </w:pPr>
            <w:r>
              <w:rPr>
                <w:rFonts w:hint="eastAsia" w:ascii="宋体" w:hAnsi="宋体"/>
              </w:rPr>
              <w:t>信用评价A级，得1</w:t>
            </w:r>
            <w:r>
              <w:rPr>
                <w:rFonts w:hint="eastAsia" w:ascii="宋体" w:hAnsi="宋体"/>
                <w:lang w:val="en-US" w:eastAsia="zh-CN"/>
              </w:rPr>
              <w:t>3</w:t>
            </w:r>
            <w:r>
              <w:rPr>
                <w:rFonts w:hint="eastAsia" w:ascii="宋体" w:hAnsi="宋体"/>
              </w:rPr>
              <w:t>分。</w:t>
            </w:r>
          </w:p>
        </w:tc>
      </w:tr>
      <w:tr w14:paraId="5878D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586" w:type="dxa"/>
            <w:vMerge w:val="continue"/>
            <w:vAlign w:val="center"/>
          </w:tcPr>
          <w:p w14:paraId="4FA54050">
            <w:pPr>
              <w:adjustRightInd w:val="0"/>
              <w:snapToGrid w:val="0"/>
              <w:spacing w:before="48" w:beforeLines="20" w:after="48" w:afterLines="20"/>
              <w:jc w:val="center"/>
              <w:rPr>
                <w:rFonts w:ascii="宋体" w:hAnsi="宋体"/>
              </w:rPr>
            </w:pPr>
          </w:p>
        </w:tc>
        <w:tc>
          <w:tcPr>
            <w:tcW w:w="500" w:type="dxa"/>
            <w:vMerge w:val="continue"/>
            <w:vAlign w:val="center"/>
          </w:tcPr>
          <w:p w14:paraId="11A11C73">
            <w:pPr>
              <w:adjustRightInd w:val="0"/>
              <w:snapToGrid w:val="0"/>
              <w:spacing w:before="48" w:beforeLines="20" w:after="48" w:afterLines="20"/>
              <w:jc w:val="center"/>
              <w:rPr>
                <w:rFonts w:ascii="宋体" w:hAnsi="宋体"/>
              </w:rPr>
            </w:pPr>
          </w:p>
        </w:tc>
        <w:tc>
          <w:tcPr>
            <w:tcW w:w="502" w:type="dxa"/>
            <w:vMerge w:val="continue"/>
            <w:vAlign w:val="center"/>
          </w:tcPr>
          <w:p w14:paraId="6CCD2404">
            <w:pPr>
              <w:adjustRightInd w:val="0"/>
              <w:snapToGrid w:val="0"/>
              <w:spacing w:before="48" w:beforeLines="20" w:after="48" w:afterLines="20"/>
              <w:jc w:val="center"/>
              <w:rPr>
                <w:rFonts w:ascii="宋体" w:hAnsi="宋体"/>
              </w:rPr>
            </w:pPr>
          </w:p>
        </w:tc>
        <w:tc>
          <w:tcPr>
            <w:tcW w:w="993" w:type="dxa"/>
            <w:vMerge w:val="continue"/>
            <w:vAlign w:val="center"/>
          </w:tcPr>
          <w:p w14:paraId="14EBAF28">
            <w:pPr>
              <w:adjustRightInd w:val="0"/>
              <w:snapToGrid w:val="0"/>
              <w:spacing w:before="48" w:beforeLines="20" w:after="48" w:afterLines="20"/>
              <w:jc w:val="center"/>
              <w:rPr>
                <w:rFonts w:ascii="宋体" w:hAnsi="宋体"/>
              </w:rPr>
            </w:pPr>
          </w:p>
        </w:tc>
        <w:tc>
          <w:tcPr>
            <w:tcW w:w="2125" w:type="dxa"/>
            <w:vMerge w:val="continue"/>
            <w:vAlign w:val="center"/>
          </w:tcPr>
          <w:p w14:paraId="30AB5531">
            <w:pPr>
              <w:adjustRightInd w:val="0"/>
              <w:snapToGrid w:val="0"/>
              <w:spacing w:before="48" w:beforeLines="20" w:after="48" w:afterLines="20"/>
              <w:jc w:val="left"/>
              <w:rPr>
                <w:rFonts w:ascii="宋体" w:hAnsi="宋体"/>
              </w:rPr>
            </w:pPr>
          </w:p>
        </w:tc>
        <w:tc>
          <w:tcPr>
            <w:tcW w:w="531" w:type="dxa"/>
            <w:vAlign w:val="center"/>
          </w:tcPr>
          <w:p w14:paraId="37F01377">
            <w:pPr>
              <w:adjustRightInd w:val="0"/>
              <w:snapToGrid w:val="0"/>
              <w:spacing w:before="48" w:beforeLines="20" w:after="48" w:afterLines="20"/>
              <w:jc w:val="center"/>
              <w:rPr>
                <w:rFonts w:hint="eastAsia" w:ascii="宋体" w:hAnsi="宋体" w:eastAsia="宋体"/>
                <w:lang w:eastAsia="zh-CN"/>
              </w:rPr>
            </w:pPr>
            <w:r>
              <w:rPr>
                <w:rFonts w:hint="eastAsia" w:ascii="宋体" w:hAnsi="宋体"/>
              </w:rPr>
              <w:t>1</w:t>
            </w:r>
            <w:r>
              <w:rPr>
                <w:rFonts w:hint="eastAsia" w:ascii="宋体" w:hAnsi="宋体"/>
                <w:lang w:val="en-US" w:eastAsia="zh-CN"/>
              </w:rPr>
              <w:t>1</w:t>
            </w:r>
          </w:p>
        </w:tc>
        <w:tc>
          <w:tcPr>
            <w:tcW w:w="4430" w:type="dxa"/>
            <w:vAlign w:val="center"/>
          </w:tcPr>
          <w:p w14:paraId="10278DD5">
            <w:pPr>
              <w:adjustRightInd w:val="0"/>
              <w:snapToGrid w:val="0"/>
              <w:spacing w:before="48" w:beforeLines="20" w:after="48" w:afterLines="20"/>
              <w:jc w:val="left"/>
              <w:rPr>
                <w:rFonts w:ascii="宋体" w:hAnsi="宋体"/>
              </w:rPr>
            </w:pPr>
            <w:r>
              <w:rPr>
                <w:rFonts w:hint="eastAsia" w:ascii="宋体" w:hAnsi="宋体"/>
              </w:rPr>
              <w:t>信用评价B级，得1</w:t>
            </w:r>
            <w:r>
              <w:rPr>
                <w:rFonts w:hint="eastAsia" w:ascii="宋体" w:hAnsi="宋体"/>
                <w:lang w:val="en-US" w:eastAsia="zh-CN"/>
              </w:rPr>
              <w:t>1</w:t>
            </w:r>
            <w:r>
              <w:rPr>
                <w:rFonts w:hint="eastAsia" w:ascii="宋体" w:hAnsi="宋体"/>
              </w:rPr>
              <w:t>分。</w:t>
            </w:r>
          </w:p>
        </w:tc>
      </w:tr>
      <w:tr w14:paraId="2C616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586" w:type="dxa"/>
            <w:vMerge w:val="continue"/>
            <w:vAlign w:val="center"/>
          </w:tcPr>
          <w:p w14:paraId="2DE12B09">
            <w:pPr>
              <w:adjustRightInd w:val="0"/>
              <w:snapToGrid w:val="0"/>
              <w:spacing w:before="48" w:beforeLines="20" w:after="48" w:afterLines="20"/>
              <w:jc w:val="center"/>
              <w:rPr>
                <w:rFonts w:ascii="宋体" w:hAnsi="宋体"/>
              </w:rPr>
            </w:pPr>
          </w:p>
        </w:tc>
        <w:tc>
          <w:tcPr>
            <w:tcW w:w="500" w:type="dxa"/>
            <w:vMerge w:val="continue"/>
            <w:vAlign w:val="center"/>
          </w:tcPr>
          <w:p w14:paraId="323CC3A6">
            <w:pPr>
              <w:adjustRightInd w:val="0"/>
              <w:snapToGrid w:val="0"/>
              <w:spacing w:before="48" w:beforeLines="20" w:after="48" w:afterLines="20"/>
              <w:jc w:val="center"/>
              <w:rPr>
                <w:rFonts w:ascii="宋体" w:hAnsi="宋体"/>
              </w:rPr>
            </w:pPr>
          </w:p>
        </w:tc>
        <w:tc>
          <w:tcPr>
            <w:tcW w:w="502" w:type="dxa"/>
            <w:vMerge w:val="continue"/>
            <w:vAlign w:val="center"/>
          </w:tcPr>
          <w:p w14:paraId="602A86CD">
            <w:pPr>
              <w:adjustRightInd w:val="0"/>
              <w:snapToGrid w:val="0"/>
              <w:spacing w:before="48" w:beforeLines="20" w:after="48" w:afterLines="20"/>
              <w:jc w:val="center"/>
              <w:rPr>
                <w:rFonts w:ascii="宋体" w:hAnsi="宋体"/>
              </w:rPr>
            </w:pPr>
          </w:p>
        </w:tc>
        <w:tc>
          <w:tcPr>
            <w:tcW w:w="993" w:type="dxa"/>
            <w:vMerge w:val="continue"/>
            <w:vAlign w:val="center"/>
          </w:tcPr>
          <w:p w14:paraId="5A825BF5">
            <w:pPr>
              <w:adjustRightInd w:val="0"/>
              <w:snapToGrid w:val="0"/>
              <w:spacing w:before="48" w:beforeLines="20" w:after="48" w:afterLines="20"/>
              <w:jc w:val="center"/>
              <w:rPr>
                <w:rFonts w:ascii="宋体" w:hAnsi="宋体"/>
              </w:rPr>
            </w:pPr>
          </w:p>
        </w:tc>
        <w:tc>
          <w:tcPr>
            <w:tcW w:w="2125" w:type="dxa"/>
            <w:vMerge w:val="continue"/>
            <w:vAlign w:val="center"/>
          </w:tcPr>
          <w:p w14:paraId="560EBF03">
            <w:pPr>
              <w:adjustRightInd w:val="0"/>
              <w:snapToGrid w:val="0"/>
              <w:spacing w:before="48" w:beforeLines="20" w:after="48" w:afterLines="20"/>
              <w:jc w:val="left"/>
              <w:rPr>
                <w:rFonts w:ascii="宋体" w:hAnsi="宋体"/>
              </w:rPr>
            </w:pPr>
          </w:p>
        </w:tc>
        <w:tc>
          <w:tcPr>
            <w:tcW w:w="531" w:type="dxa"/>
            <w:vAlign w:val="center"/>
          </w:tcPr>
          <w:p w14:paraId="0EC2BD58">
            <w:pPr>
              <w:adjustRightInd w:val="0"/>
              <w:snapToGrid w:val="0"/>
              <w:spacing w:before="48" w:beforeLines="20" w:after="48" w:afterLines="20"/>
              <w:jc w:val="center"/>
              <w:rPr>
                <w:rFonts w:ascii="宋体" w:hAnsi="宋体"/>
              </w:rPr>
            </w:pPr>
            <w:r>
              <w:rPr>
                <w:rFonts w:hint="eastAsia" w:ascii="宋体" w:hAnsi="宋体"/>
              </w:rPr>
              <w:t>9</w:t>
            </w:r>
          </w:p>
        </w:tc>
        <w:tc>
          <w:tcPr>
            <w:tcW w:w="4430" w:type="dxa"/>
            <w:vAlign w:val="center"/>
          </w:tcPr>
          <w:p w14:paraId="5FE697FB">
            <w:pPr>
              <w:adjustRightInd w:val="0"/>
              <w:snapToGrid w:val="0"/>
              <w:spacing w:before="48" w:beforeLines="20" w:after="48" w:afterLines="20"/>
              <w:jc w:val="left"/>
              <w:rPr>
                <w:rFonts w:ascii="宋体" w:hAnsi="宋体"/>
              </w:rPr>
            </w:pPr>
            <w:r>
              <w:rPr>
                <w:rFonts w:hint="eastAsia" w:ascii="宋体" w:hAnsi="宋体"/>
              </w:rPr>
              <w:t>信用评价C级，得9分。</w:t>
            </w:r>
          </w:p>
        </w:tc>
      </w:tr>
      <w:tr w14:paraId="37B39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586" w:type="dxa"/>
            <w:vMerge w:val="continue"/>
            <w:vAlign w:val="center"/>
          </w:tcPr>
          <w:p w14:paraId="30F2AF8C">
            <w:pPr>
              <w:adjustRightInd w:val="0"/>
              <w:snapToGrid w:val="0"/>
              <w:spacing w:before="48" w:beforeLines="20" w:after="48" w:afterLines="20"/>
              <w:jc w:val="center"/>
              <w:rPr>
                <w:rFonts w:ascii="宋体" w:hAnsi="宋体"/>
              </w:rPr>
            </w:pPr>
          </w:p>
        </w:tc>
        <w:tc>
          <w:tcPr>
            <w:tcW w:w="500" w:type="dxa"/>
            <w:vMerge w:val="continue"/>
            <w:vAlign w:val="center"/>
          </w:tcPr>
          <w:p w14:paraId="6945490D">
            <w:pPr>
              <w:adjustRightInd w:val="0"/>
              <w:snapToGrid w:val="0"/>
              <w:spacing w:before="48" w:beforeLines="20" w:after="48" w:afterLines="20"/>
              <w:jc w:val="center"/>
              <w:rPr>
                <w:rFonts w:ascii="宋体" w:hAnsi="宋体"/>
              </w:rPr>
            </w:pPr>
          </w:p>
        </w:tc>
        <w:tc>
          <w:tcPr>
            <w:tcW w:w="502" w:type="dxa"/>
            <w:vMerge w:val="continue"/>
            <w:vAlign w:val="center"/>
          </w:tcPr>
          <w:p w14:paraId="22106498">
            <w:pPr>
              <w:adjustRightInd w:val="0"/>
              <w:snapToGrid w:val="0"/>
              <w:spacing w:before="48" w:beforeLines="20" w:after="48" w:afterLines="20"/>
              <w:jc w:val="center"/>
              <w:rPr>
                <w:rFonts w:ascii="宋体" w:hAnsi="宋体"/>
              </w:rPr>
            </w:pPr>
          </w:p>
        </w:tc>
        <w:tc>
          <w:tcPr>
            <w:tcW w:w="993" w:type="dxa"/>
            <w:vMerge w:val="continue"/>
            <w:vAlign w:val="center"/>
          </w:tcPr>
          <w:p w14:paraId="69EFF222">
            <w:pPr>
              <w:adjustRightInd w:val="0"/>
              <w:snapToGrid w:val="0"/>
              <w:spacing w:before="48" w:beforeLines="20" w:after="48" w:afterLines="20"/>
              <w:jc w:val="center"/>
              <w:rPr>
                <w:rFonts w:ascii="宋体" w:hAnsi="宋体"/>
              </w:rPr>
            </w:pPr>
          </w:p>
        </w:tc>
        <w:tc>
          <w:tcPr>
            <w:tcW w:w="2125" w:type="dxa"/>
            <w:vMerge w:val="continue"/>
            <w:vAlign w:val="center"/>
          </w:tcPr>
          <w:p w14:paraId="3528F72A">
            <w:pPr>
              <w:adjustRightInd w:val="0"/>
              <w:snapToGrid w:val="0"/>
              <w:spacing w:before="48" w:beforeLines="20" w:after="48" w:afterLines="20"/>
              <w:jc w:val="left"/>
              <w:rPr>
                <w:rFonts w:ascii="宋体" w:hAnsi="宋体"/>
              </w:rPr>
            </w:pPr>
          </w:p>
        </w:tc>
        <w:tc>
          <w:tcPr>
            <w:tcW w:w="531" w:type="dxa"/>
            <w:vAlign w:val="center"/>
          </w:tcPr>
          <w:p w14:paraId="7F9EE6E9">
            <w:pPr>
              <w:adjustRightInd w:val="0"/>
              <w:snapToGrid w:val="0"/>
              <w:spacing w:before="48" w:beforeLines="20" w:after="48" w:afterLines="20"/>
              <w:jc w:val="center"/>
              <w:rPr>
                <w:rFonts w:ascii="宋体" w:hAnsi="宋体"/>
              </w:rPr>
            </w:pPr>
            <w:r>
              <w:rPr>
                <w:rFonts w:hint="eastAsia" w:ascii="宋体" w:hAnsi="宋体"/>
              </w:rPr>
              <w:t>0</w:t>
            </w:r>
          </w:p>
        </w:tc>
        <w:tc>
          <w:tcPr>
            <w:tcW w:w="4430" w:type="dxa"/>
            <w:vAlign w:val="center"/>
          </w:tcPr>
          <w:p w14:paraId="0E0D84FD">
            <w:pPr>
              <w:adjustRightInd w:val="0"/>
              <w:snapToGrid w:val="0"/>
              <w:spacing w:before="48" w:beforeLines="20" w:after="48" w:afterLines="20"/>
              <w:jc w:val="left"/>
              <w:rPr>
                <w:rFonts w:ascii="宋体" w:hAnsi="宋体"/>
              </w:rPr>
            </w:pPr>
            <w:r>
              <w:rPr>
                <w:rFonts w:hint="eastAsia" w:ascii="宋体" w:hAnsi="宋体"/>
              </w:rPr>
              <w:t>信用评价D级，得0分。</w:t>
            </w:r>
          </w:p>
        </w:tc>
      </w:tr>
      <w:tr w14:paraId="0F0D4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586" w:type="dxa"/>
            <w:vMerge w:val="continue"/>
            <w:vAlign w:val="center"/>
          </w:tcPr>
          <w:p w14:paraId="0019866A">
            <w:pPr>
              <w:adjustRightInd w:val="0"/>
              <w:snapToGrid w:val="0"/>
              <w:spacing w:before="48" w:beforeLines="20" w:after="48" w:afterLines="20"/>
              <w:jc w:val="center"/>
              <w:rPr>
                <w:rFonts w:ascii="楷体" w:hAnsi="楷体" w:eastAsia="楷体"/>
              </w:rPr>
            </w:pPr>
          </w:p>
        </w:tc>
        <w:tc>
          <w:tcPr>
            <w:tcW w:w="500" w:type="dxa"/>
            <w:vMerge w:val="continue"/>
            <w:vAlign w:val="center"/>
          </w:tcPr>
          <w:p w14:paraId="6E464A93">
            <w:pPr>
              <w:adjustRightInd w:val="0"/>
              <w:snapToGrid w:val="0"/>
              <w:spacing w:before="48" w:beforeLines="20" w:after="48" w:afterLines="20"/>
              <w:jc w:val="center"/>
              <w:rPr>
                <w:rFonts w:ascii="楷体" w:hAnsi="楷体" w:eastAsia="楷体"/>
              </w:rPr>
            </w:pPr>
          </w:p>
        </w:tc>
        <w:tc>
          <w:tcPr>
            <w:tcW w:w="502" w:type="dxa"/>
            <w:vMerge w:val="continue"/>
            <w:vAlign w:val="center"/>
          </w:tcPr>
          <w:p w14:paraId="19A7E0D8">
            <w:pPr>
              <w:adjustRightInd w:val="0"/>
              <w:snapToGrid w:val="0"/>
              <w:spacing w:before="48" w:beforeLines="20" w:after="48" w:afterLines="20"/>
              <w:jc w:val="center"/>
              <w:rPr>
                <w:rFonts w:ascii="楷体" w:hAnsi="楷体" w:eastAsia="楷体"/>
              </w:rPr>
            </w:pPr>
          </w:p>
        </w:tc>
        <w:tc>
          <w:tcPr>
            <w:tcW w:w="8079" w:type="dxa"/>
            <w:gridSpan w:val="4"/>
            <w:vAlign w:val="center"/>
          </w:tcPr>
          <w:p w14:paraId="58696DE6">
            <w:pPr>
              <w:rPr>
                <w:rFonts w:ascii="宋体" w:hAnsi="宋体"/>
                <w:szCs w:val="21"/>
              </w:rPr>
            </w:pPr>
            <w:r>
              <w:rPr>
                <w:rFonts w:hint="eastAsia" w:ascii="宋体" w:hAnsi="宋体"/>
                <w:szCs w:val="21"/>
              </w:rPr>
              <w:t>投标人的信用评价按以下</w:t>
            </w:r>
            <w:r>
              <w:rPr>
                <w:rFonts w:hint="eastAsia" w:ascii="宋体" w:hAnsi="宋体"/>
              </w:rPr>
              <w:t>原则确定</w:t>
            </w:r>
            <w:r>
              <w:rPr>
                <w:rFonts w:hint="eastAsia" w:ascii="宋体" w:hAnsi="宋体"/>
                <w:szCs w:val="21"/>
              </w:rPr>
              <w:t>：</w:t>
            </w:r>
          </w:p>
          <w:p w14:paraId="5FA9E991">
            <w:pPr>
              <w:adjustRightInd w:val="0"/>
              <w:snapToGrid w:val="0"/>
              <w:spacing w:before="48" w:beforeLines="20" w:after="48" w:afterLines="20"/>
              <w:jc w:val="left"/>
              <w:rPr>
                <w:rFonts w:ascii="宋体" w:hAnsi="宋体"/>
                <w:szCs w:val="21"/>
              </w:rPr>
            </w:pPr>
            <w:r>
              <w:rPr>
                <w:rFonts w:hint="eastAsia" w:ascii="宋体" w:hAnsi="宋体"/>
                <w:szCs w:val="21"/>
              </w:rPr>
              <w:t>（1）吉林省交通运输厅发布的《</w:t>
            </w:r>
            <w:r>
              <w:rPr>
                <w:rFonts w:ascii="宋体" w:hAnsi="宋体"/>
                <w:bCs/>
                <w:szCs w:val="21"/>
              </w:rPr>
              <w:t>关于发布</w:t>
            </w:r>
            <w:r>
              <w:rPr>
                <w:rFonts w:hint="eastAsia" w:ascii="宋体" w:hAnsi="宋体"/>
                <w:bCs/>
                <w:szCs w:val="21"/>
              </w:rPr>
              <w:t>2024</w:t>
            </w:r>
            <w:r>
              <w:rPr>
                <w:rFonts w:ascii="宋体" w:hAnsi="宋体"/>
                <w:bCs/>
                <w:szCs w:val="21"/>
              </w:rPr>
              <w:t>年度公路</w:t>
            </w:r>
            <w:r>
              <w:rPr>
                <w:rFonts w:hint="eastAsia" w:ascii="宋体" w:hAnsi="宋体"/>
                <w:bCs/>
                <w:szCs w:val="21"/>
              </w:rPr>
              <w:t>建设市场吉林省省级综合评价结果</w:t>
            </w:r>
            <w:r>
              <w:rPr>
                <w:rFonts w:ascii="宋体" w:hAnsi="宋体"/>
                <w:bCs/>
                <w:szCs w:val="21"/>
              </w:rPr>
              <w:t>的通告</w:t>
            </w:r>
            <w:r>
              <w:rPr>
                <w:rFonts w:hint="eastAsia" w:ascii="宋体" w:hAnsi="宋体"/>
                <w:szCs w:val="21"/>
              </w:rPr>
              <w:t>》中投标人的企业信用等级；</w:t>
            </w:r>
          </w:p>
          <w:p w14:paraId="147257CA">
            <w:pPr>
              <w:adjustRightInd w:val="0"/>
              <w:snapToGrid w:val="0"/>
              <w:spacing w:before="48" w:beforeLines="20" w:after="48" w:afterLines="20"/>
              <w:jc w:val="left"/>
              <w:rPr>
                <w:rFonts w:ascii="宋体" w:hAnsi="宋体"/>
                <w:szCs w:val="21"/>
              </w:rPr>
            </w:pPr>
            <w:r>
              <w:rPr>
                <w:rFonts w:hint="eastAsia" w:ascii="宋体" w:hAnsi="宋体"/>
                <w:szCs w:val="21"/>
              </w:rPr>
              <w:t>（2）交通运输部“全国公路建设市场监督管理系统”“全国公路从业单位信用评价结果”中投标人的全国综合评价2024年度企业信用等级；</w:t>
            </w:r>
          </w:p>
          <w:p w14:paraId="019E9A62">
            <w:pPr>
              <w:adjustRightInd w:val="0"/>
              <w:snapToGrid w:val="0"/>
              <w:spacing w:before="48" w:beforeLines="20" w:after="48" w:afterLines="20"/>
              <w:jc w:val="left"/>
              <w:rPr>
                <w:rFonts w:ascii="宋体" w:hAnsi="宋体"/>
                <w:szCs w:val="21"/>
              </w:rPr>
            </w:pPr>
            <w:r>
              <w:rPr>
                <w:rFonts w:hint="eastAsia" w:ascii="宋体" w:hAnsi="宋体"/>
                <w:szCs w:val="21"/>
              </w:rPr>
              <w:t>（3）同一投标人同时具有上述企业信用评价的，以吉林省评价为准；</w:t>
            </w:r>
          </w:p>
          <w:p w14:paraId="3C954558">
            <w:pPr>
              <w:adjustRightInd w:val="0"/>
              <w:snapToGrid w:val="0"/>
              <w:spacing w:before="48" w:beforeLines="20" w:after="48" w:afterLines="20"/>
              <w:jc w:val="left"/>
              <w:rPr>
                <w:rFonts w:hint="eastAsia" w:ascii="宋体" w:hAnsi="宋体" w:eastAsia="宋体"/>
                <w:szCs w:val="21"/>
                <w:lang w:eastAsia="zh-CN"/>
              </w:rPr>
            </w:pPr>
            <w:r>
              <w:rPr>
                <w:rFonts w:hint="eastAsia" w:ascii="宋体" w:hAnsi="宋体"/>
                <w:szCs w:val="21"/>
              </w:rPr>
              <w:t>（4）无以上信用评价等级的，根据“全国公路建设市场监督管理系统--不良行为记录”查询结果，若无不良信用记录，按A级对待，如有不良信用记录，视其严重程度按B级或以下对待</w:t>
            </w:r>
            <w:r>
              <w:rPr>
                <w:rFonts w:hint="eastAsia" w:ascii="宋体" w:hAnsi="宋体"/>
                <w:szCs w:val="21"/>
                <w:lang w:eastAsia="zh-CN"/>
              </w:rPr>
              <w:t>；</w:t>
            </w:r>
          </w:p>
          <w:p w14:paraId="45920D19">
            <w:pPr>
              <w:adjustRightInd w:val="0"/>
              <w:snapToGrid w:val="0"/>
              <w:spacing w:before="48" w:beforeLines="20" w:after="48" w:afterLines="20"/>
              <w:jc w:val="left"/>
              <w:rPr>
                <w:rFonts w:ascii="宋体" w:hAnsi="宋体"/>
                <w:szCs w:val="21"/>
              </w:rPr>
            </w:pPr>
            <w:r>
              <w:rPr>
                <w:rFonts w:hint="eastAsia" w:ascii="宋体" w:hAnsi="宋体"/>
                <w:szCs w:val="21"/>
              </w:rPr>
              <w:t>（5）投标人的评价结果必须是以施工企业身份获得的，以设计企业或监理企业身份获得的评价在本次招标中无效。</w:t>
            </w:r>
          </w:p>
        </w:tc>
      </w:tr>
      <w:tr w14:paraId="0E07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9667" w:type="dxa"/>
            <w:gridSpan w:val="7"/>
            <w:vAlign w:val="center"/>
          </w:tcPr>
          <w:p w14:paraId="0C2986A0">
            <w:pPr>
              <w:adjustRightInd w:val="0"/>
              <w:snapToGrid w:val="0"/>
              <w:spacing w:before="48" w:beforeLines="20" w:after="48" w:afterLines="20"/>
              <w:jc w:val="left"/>
              <w:rPr>
                <w:rFonts w:ascii="宋体" w:hAnsi="宋体"/>
              </w:rPr>
            </w:pPr>
            <w:r>
              <w:rPr>
                <w:rFonts w:hint="eastAsia" w:ascii="宋体" w:hAnsi="宋体"/>
              </w:rPr>
              <w:t>需要补充的其他内容：</w:t>
            </w:r>
          </w:p>
          <w:p w14:paraId="301E6DCF">
            <w:pPr>
              <w:tabs>
                <w:tab w:val="left" w:pos="0"/>
              </w:tabs>
              <w:adjustRightInd w:val="0"/>
              <w:snapToGrid w:val="0"/>
              <w:spacing w:before="48" w:beforeLines="20" w:after="48" w:afterLines="20"/>
              <w:jc w:val="left"/>
              <w:rPr>
                <w:rFonts w:ascii="宋体" w:hAnsi="宋体"/>
              </w:rPr>
            </w:pPr>
            <w:r>
              <w:rPr>
                <w:rFonts w:hint="eastAsia" w:ascii="宋体" w:hAnsi="宋体"/>
              </w:rPr>
              <w:t>1.各评分因素（履约信誉评分项除外）得分一般不得低于其权重分值的60%，且各评分因素得分应以评标委员会各成员的打分平均值确定，评标委员会成员数量为7人以上时，该平均值以去掉一个最高分和一个最低分后计算。评标委员会成员对某一项评分因素的评分低于权重分值60%的，应在评标报告中作出说明。所有评分分值均保留至小数点后两位，小数点后第三位四舍五入。</w:t>
            </w:r>
          </w:p>
          <w:p w14:paraId="1A677532">
            <w:pPr>
              <w:tabs>
                <w:tab w:val="left" w:pos="0"/>
              </w:tabs>
              <w:adjustRightInd w:val="0"/>
              <w:snapToGrid w:val="0"/>
              <w:spacing w:before="48" w:beforeLines="20" w:after="48" w:afterLines="20"/>
              <w:jc w:val="left"/>
              <w:rPr>
                <w:rFonts w:ascii="宋体" w:hAnsi="宋体"/>
              </w:rPr>
            </w:pPr>
            <w:r>
              <w:rPr>
                <w:rFonts w:hint="eastAsia" w:ascii="Times New Roman" w:hAnsi="Times New Roman"/>
                <w:bCs/>
                <w:szCs w:val="24"/>
              </w:rPr>
              <w:t>2.施工组织设计采用“暗标”评审，如果某投标人的施工组织设计没有按照招标文件规定的格式、内容编制，且经评标委员会认定会暴露投标人信息的，评标委员会应否决其投标，并在评标报告中作出详细说明。</w:t>
            </w:r>
          </w:p>
        </w:tc>
      </w:tr>
    </w:tbl>
    <w:p w14:paraId="1AE47C18">
      <w:pPr>
        <w:keepNext/>
        <w:keepLines/>
        <w:adjustRightInd w:val="0"/>
        <w:snapToGrid w:val="0"/>
        <w:outlineLvl w:val="2"/>
        <w:rPr>
          <w:rFonts w:ascii="宋体" w:hAnsi="宋体"/>
          <w:bCs/>
          <w:kern w:val="0"/>
          <w:sz w:val="32"/>
          <w:szCs w:val="32"/>
        </w:rPr>
      </w:pPr>
      <w:r>
        <w:rPr>
          <w:rFonts w:hint="eastAsia" w:ascii="黑体" w:hAnsi="黑体" w:eastAsia="黑体"/>
          <w:bCs/>
          <w:kern w:val="0"/>
          <w:sz w:val="24"/>
          <w:szCs w:val="24"/>
        </w:rPr>
        <w:t>JA01标段</w:t>
      </w:r>
      <w:r>
        <w:rPr>
          <w:rFonts w:ascii="黑体" w:hAnsi="黑体" w:eastAsia="黑体"/>
          <w:bCs/>
          <w:kern w:val="0"/>
          <w:sz w:val="24"/>
          <w:szCs w:val="24"/>
        </w:rPr>
        <w:t>评标办法前附表</w:t>
      </w:r>
      <w:r>
        <w:rPr>
          <w:rFonts w:ascii="宋体" w:hAnsi="宋体"/>
          <w:bCs/>
          <w:kern w:val="0"/>
          <w:sz w:val="30"/>
          <w:szCs w:val="30"/>
          <w:vertAlign w:val="superscript"/>
        </w:rPr>
        <w:footnoteReference w:id="1"/>
      </w:r>
    </w:p>
    <w:tbl>
      <w:tblPr>
        <w:tblStyle w:val="7"/>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0" w:type="dxa"/>
          <w:bottom w:w="85" w:type="dxa"/>
          <w:right w:w="0" w:type="dxa"/>
        </w:tblCellMar>
      </w:tblPr>
      <w:tblGrid>
        <w:gridCol w:w="856"/>
        <w:gridCol w:w="1389"/>
        <w:gridCol w:w="7383"/>
      </w:tblGrid>
      <w:tr w14:paraId="61935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trHeight w:val="570" w:hRule="atLeast"/>
          <w:tblHeader/>
          <w:jc w:val="center"/>
        </w:trPr>
        <w:tc>
          <w:tcPr>
            <w:tcW w:w="2245" w:type="dxa"/>
            <w:gridSpan w:val="2"/>
            <w:shd w:val="clear" w:color="auto" w:fill="auto"/>
            <w:vAlign w:val="center"/>
          </w:tcPr>
          <w:p w14:paraId="4A795CD7">
            <w:pPr>
              <w:autoSpaceDE w:val="0"/>
              <w:autoSpaceDN w:val="0"/>
              <w:adjustRightInd w:val="0"/>
              <w:snapToGrid w:val="0"/>
              <w:spacing w:line="300" w:lineRule="auto"/>
              <w:ind w:firstLine="210" w:firstLineChars="100"/>
              <w:jc w:val="center"/>
              <w:rPr>
                <w:rFonts w:ascii="宋体" w:hAnsi="宋体"/>
                <w:szCs w:val="21"/>
              </w:rPr>
            </w:pPr>
            <w:r>
              <w:rPr>
                <w:rFonts w:ascii="宋体" w:hAnsi="宋体"/>
                <w:szCs w:val="21"/>
              </w:rPr>
              <w:t>条款号</w:t>
            </w:r>
          </w:p>
        </w:tc>
        <w:tc>
          <w:tcPr>
            <w:tcW w:w="7383" w:type="dxa"/>
            <w:shd w:val="clear" w:color="auto" w:fill="auto"/>
            <w:vAlign w:val="center"/>
          </w:tcPr>
          <w:p w14:paraId="2CEB7FD2">
            <w:pPr>
              <w:autoSpaceDE w:val="0"/>
              <w:autoSpaceDN w:val="0"/>
              <w:adjustRightInd w:val="0"/>
              <w:snapToGrid w:val="0"/>
              <w:spacing w:line="300" w:lineRule="auto"/>
              <w:ind w:firstLine="210" w:firstLineChars="100"/>
              <w:jc w:val="center"/>
              <w:rPr>
                <w:rFonts w:ascii="宋体" w:hAnsi="宋体"/>
                <w:szCs w:val="21"/>
              </w:rPr>
            </w:pPr>
            <w:r>
              <w:rPr>
                <w:rFonts w:ascii="宋体" w:hAnsi="宋体"/>
                <w:szCs w:val="21"/>
              </w:rPr>
              <w:t>评审因素与评审标准</w:t>
            </w:r>
          </w:p>
        </w:tc>
      </w:tr>
      <w:tr w14:paraId="5F3E8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trHeight w:val="1666" w:hRule="atLeast"/>
          <w:jc w:val="center"/>
        </w:trPr>
        <w:tc>
          <w:tcPr>
            <w:tcW w:w="856" w:type="dxa"/>
            <w:shd w:val="clear" w:color="auto" w:fill="auto"/>
            <w:vAlign w:val="center"/>
          </w:tcPr>
          <w:p w14:paraId="6D247125">
            <w:pPr>
              <w:autoSpaceDE w:val="0"/>
              <w:autoSpaceDN w:val="0"/>
              <w:adjustRightInd w:val="0"/>
              <w:snapToGrid w:val="0"/>
              <w:spacing w:line="300" w:lineRule="auto"/>
              <w:ind w:firstLine="420" w:firstLineChars="200"/>
              <w:rPr>
                <w:rFonts w:ascii="宋体" w:hAnsi="宋体"/>
                <w:szCs w:val="21"/>
              </w:rPr>
            </w:pPr>
            <w:r>
              <w:rPr>
                <w:rFonts w:hint="eastAsia" w:ascii="宋体" w:hAnsi="宋体"/>
                <w:szCs w:val="21"/>
              </w:rPr>
              <w:t>1</w:t>
            </w:r>
          </w:p>
        </w:tc>
        <w:tc>
          <w:tcPr>
            <w:tcW w:w="1389" w:type="dxa"/>
            <w:shd w:val="clear" w:color="auto" w:fill="auto"/>
            <w:vAlign w:val="center"/>
          </w:tcPr>
          <w:p w14:paraId="2A159666">
            <w:pPr>
              <w:adjustRightInd w:val="0"/>
              <w:snapToGrid w:val="0"/>
              <w:spacing w:line="300" w:lineRule="auto"/>
              <w:ind w:firstLine="210" w:firstLineChars="100"/>
              <w:rPr>
                <w:rFonts w:ascii="宋体" w:hAnsi="宋体"/>
                <w:szCs w:val="21"/>
              </w:rPr>
            </w:pPr>
            <w:r>
              <w:rPr>
                <w:rFonts w:hint="eastAsia" w:ascii="宋体" w:hAnsi="宋体"/>
                <w:szCs w:val="21"/>
              </w:rPr>
              <w:t>评标方法</w:t>
            </w:r>
          </w:p>
        </w:tc>
        <w:tc>
          <w:tcPr>
            <w:tcW w:w="7383" w:type="dxa"/>
            <w:shd w:val="clear" w:color="auto" w:fill="auto"/>
            <w:vAlign w:val="center"/>
          </w:tcPr>
          <w:p w14:paraId="19378792">
            <w:pPr>
              <w:adjustRightInd w:val="0"/>
              <w:snapToGrid w:val="0"/>
              <w:ind w:firstLine="210" w:firstLineChars="100"/>
              <w:jc w:val="left"/>
              <w:rPr>
                <w:rFonts w:ascii="宋体" w:hAnsi="宋体"/>
                <w:szCs w:val="21"/>
              </w:rPr>
            </w:pPr>
            <w:r>
              <w:rPr>
                <w:rFonts w:hint="eastAsia" w:ascii="宋体" w:hAnsi="宋体"/>
                <w:szCs w:val="21"/>
              </w:rPr>
              <w:t>评标价相等时，评标委员会依次按照以下优先顺序推荐中标候选人：</w:t>
            </w:r>
          </w:p>
          <w:p w14:paraId="0258AE94">
            <w:pPr>
              <w:adjustRightInd w:val="0"/>
              <w:snapToGrid w:val="0"/>
              <w:ind w:firstLine="210" w:firstLineChars="100"/>
              <w:jc w:val="left"/>
              <w:rPr>
                <w:rFonts w:ascii="宋体" w:hAnsi="宋体"/>
                <w:szCs w:val="21"/>
              </w:rPr>
            </w:pPr>
            <w:r>
              <w:rPr>
                <w:rFonts w:hint="eastAsia" w:ascii="宋体" w:hAnsi="宋体"/>
                <w:szCs w:val="21"/>
              </w:rPr>
              <w:t>（1）被吉林省交通运输厅在2024年度公路建设市场吉林省省级综合评价结果的通告中评为较高信用等级的投标人优先；</w:t>
            </w:r>
          </w:p>
          <w:p w14:paraId="1F2E22A2">
            <w:pPr>
              <w:adjustRightInd w:val="0"/>
              <w:snapToGrid w:val="0"/>
              <w:ind w:firstLine="210" w:firstLineChars="100"/>
              <w:jc w:val="left"/>
              <w:rPr>
                <w:rFonts w:ascii="宋体" w:hAnsi="宋体"/>
                <w:szCs w:val="21"/>
              </w:rPr>
            </w:pPr>
            <w:r>
              <w:rPr>
                <w:rFonts w:hint="eastAsia" w:ascii="宋体" w:hAnsi="宋体"/>
                <w:szCs w:val="21"/>
              </w:rPr>
              <w:t>（2）商务和技术得分较高的投标人优先；</w:t>
            </w:r>
          </w:p>
          <w:p w14:paraId="47F3638A">
            <w:pPr>
              <w:adjustRightInd w:val="0"/>
              <w:snapToGrid w:val="0"/>
              <w:ind w:firstLine="210" w:firstLineChars="100"/>
              <w:jc w:val="left"/>
              <w:rPr>
                <w:rFonts w:ascii="宋体" w:hAnsi="宋体"/>
                <w:szCs w:val="21"/>
              </w:rPr>
            </w:pPr>
            <w:r>
              <w:rPr>
                <w:rFonts w:hint="eastAsia" w:ascii="宋体" w:hAnsi="宋体"/>
                <w:szCs w:val="21"/>
              </w:rPr>
              <w:t>（3）评标委员会投票确定。</w:t>
            </w:r>
          </w:p>
        </w:tc>
      </w:tr>
      <w:tr w14:paraId="3120C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trHeight w:val="992" w:hRule="atLeast"/>
          <w:jc w:val="center"/>
        </w:trPr>
        <w:tc>
          <w:tcPr>
            <w:tcW w:w="856" w:type="dxa"/>
            <w:shd w:val="clear" w:color="auto" w:fill="auto"/>
            <w:vAlign w:val="center"/>
          </w:tcPr>
          <w:p w14:paraId="7D1836ED">
            <w:pPr>
              <w:autoSpaceDE w:val="0"/>
              <w:autoSpaceDN w:val="0"/>
              <w:adjustRightInd w:val="0"/>
              <w:snapToGrid w:val="0"/>
              <w:spacing w:line="300" w:lineRule="auto"/>
              <w:ind w:firstLine="210" w:firstLineChars="100"/>
              <w:rPr>
                <w:rFonts w:ascii="宋体" w:hAnsi="宋体"/>
                <w:szCs w:val="21"/>
              </w:rPr>
            </w:pPr>
            <w:r>
              <w:rPr>
                <w:rFonts w:ascii="宋体" w:hAnsi="宋体"/>
                <w:szCs w:val="21"/>
              </w:rPr>
              <w:t>2.1.1</w:t>
            </w:r>
          </w:p>
          <w:p w14:paraId="250016D7">
            <w:pPr>
              <w:autoSpaceDE w:val="0"/>
              <w:autoSpaceDN w:val="0"/>
              <w:adjustRightInd w:val="0"/>
              <w:snapToGrid w:val="0"/>
              <w:spacing w:line="300" w:lineRule="auto"/>
              <w:ind w:firstLine="210" w:firstLineChars="100"/>
              <w:rPr>
                <w:rFonts w:ascii="宋体" w:hAnsi="宋体"/>
                <w:szCs w:val="21"/>
              </w:rPr>
            </w:pPr>
            <w:r>
              <w:rPr>
                <w:rFonts w:ascii="宋体" w:hAnsi="宋体"/>
                <w:szCs w:val="21"/>
              </w:rPr>
              <w:t>2.1.3</w:t>
            </w:r>
          </w:p>
        </w:tc>
        <w:tc>
          <w:tcPr>
            <w:tcW w:w="1389" w:type="dxa"/>
            <w:shd w:val="clear" w:color="auto" w:fill="auto"/>
            <w:vAlign w:val="center"/>
          </w:tcPr>
          <w:p w14:paraId="0F78E996">
            <w:pPr>
              <w:adjustRightInd w:val="0"/>
              <w:snapToGrid w:val="0"/>
              <w:spacing w:line="300" w:lineRule="auto"/>
              <w:ind w:firstLine="210" w:firstLineChars="100"/>
              <w:rPr>
                <w:rFonts w:ascii="宋体" w:hAnsi="宋体"/>
                <w:szCs w:val="21"/>
              </w:rPr>
            </w:pPr>
            <w:r>
              <w:rPr>
                <w:rFonts w:hint="eastAsia" w:ascii="宋体" w:hAnsi="宋体"/>
                <w:szCs w:val="21"/>
              </w:rPr>
              <w:t>形式评审与</w:t>
            </w:r>
          </w:p>
          <w:p w14:paraId="2CA5CACD">
            <w:pPr>
              <w:adjustRightInd w:val="0"/>
              <w:snapToGrid w:val="0"/>
              <w:spacing w:line="300" w:lineRule="auto"/>
              <w:ind w:firstLine="210" w:firstLineChars="100"/>
              <w:rPr>
                <w:rFonts w:ascii="宋体" w:hAnsi="宋体"/>
                <w:szCs w:val="21"/>
              </w:rPr>
            </w:pPr>
            <w:r>
              <w:rPr>
                <w:rFonts w:hint="eastAsia" w:ascii="宋体" w:hAnsi="宋体"/>
                <w:szCs w:val="21"/>
              </w:rPr>
              <w:t>响应性评审</w:t>
            </w:r>
          </w:p>
          <w:p w14:paraId="6F61F3DC">
            <w:pPr>
              <w:adjustRightInd w:val="0"/>
              <w:snapToGrid w:val="0"/>
              <w:spacing w:line="300" w:lineRule="auto"/>
              <w:ind w:firstLine="420" w:firstLineChars="200"/>
              <w:rPr>
                <w:rFonts w:ascii="宋体" w:hAnsi="宋体"/>
                <w:szCs w:val="21"/>
              </w:rPr>
            </w:pPr>
            <w:r>
              <w:rPr>
                <w:rFonts w:hint="eastAsia" w:ascii="宋体" w:hAnsi="宋体"/>
                <w:szCs w:val="21"/>
              </w:rPr>
              <w:t>标准</w:t>
            </w:r>
          </w:p>
        </w:tc>
        <w:tc>
          <w:tcPr>
            <w:tcW w:w="7383" w:type="dxa"/>
            <w:shd w:val="clear" w:color="auto" w:fill="auto"/>
            <w:vAlign w:val="center"/>
          </w:tcPr>
          <w:p w14:paraId="1BD53383">
            <w:pPr>
              <w:spacing w:before="120" w:beforeLines="50"/>
              <w:ind w:firstLine="211" w:firstLineChars="100"/>
              <w:rPr>
                <w:rFonts w:ascii="宋体" w:hAnsi="宋体"/>
                <w:b/>
              </w:rPr>
            </w:pPr>
            <w:r>
              <w:rPr>
                <w:rFonts w:hint="eastAsia" w:ascii="宋体" w:hAnsi="宋体"/>
                <w:b/>
              </w:rPr>
              <w:t>第一个信封（商务及技术文件）评审标准：</w:t>
            </w:r>
          </w:p>
          <w:p w14:paraId="5D25F457">
            <w:pPr>
              <w:ind w:left="210" w:leftChars="100"/>
              <w:rPr>
                <w:rFonts w:ascii="宋体" w:hAnsi="宋体"/>
                <w:szCs w:val="21"/>
              </w:rPr>
            </w:pPr>
            <w:r>
              <w:rPr>
                <w:rFonts w:hint="eastAsia" w:ascii="宋体" w:hAnsi="宋体"/>
                <w:szCs w:val="21"/>
              </w:rPr>
              <w:t>（1）投标文件按照招标文件规定的格式、内容填写，字迹清晰可辨：</w:t>
            </w:r>
          </w:p>
          <w:p w14:paraId="141B9FF3">
            <w:pPr>
              <w:ind w:firstLine="420" w:firstLineChars="200"/>
              <w:rPr>
                <w:rFonts w:ascii="宋体" w:hAnsi="宋体"/>
                <w:szCs w:val="21"/>
              </w:rPr>
            </w:pPr>
            <w:r>
              <w:rPr>
                <w:rFonts w:hint="eastAsia" w:ascii="宋体" w:hAnsi="宋体"/>
                <w:szCs w:val="21"/>
              </w:rPr>
              <w:t>a.投标函按招标文件规定填报了项目名称、标段号、补遗书编号（如有）、工期、工程质量要求及安全目标；</w:t>
            </w:r>
          </w:p>
          <w:p w14:paraId="02D3E7CD">
            <w:pPr>
              <w:ind w:firstLine="420" w:firstLineChars="200"/>
              <w:rPr>
                <w:rFonts w:ascii="宋体" w:hAnsi="宋体"/>
                <w:szCs w:val="21"/>
              </w:rPr>
            </w:pPr>
            <w:r>
              <w:rPr>
                <w:rFonts w:hint="eastAsia" w:ascii="宋体" w:hAnsi="宋体"/>
                <w:szCs w:val="21"/>
              </w:rPr>
              <w:t>b.投标函附录的所有数据均符合招标文件规定；</w:t>
            </w:r>
          </w:p>
          <w:p w14:paraId="167051A2">
            <w:pPr>
              <w:ind w:firstLine="420" w:firstLineChars="200"/>
              <w:rPr>
                <w:rFonts w:ascii="宋体" w:hAnsi="宋体"/>
                <w:szCs w:val="21"/>
              </w:rPr>
            </w:pPr>
            <w:r>
              <w:rPr>
                <w:rFonts w:hint="eastAsia" w:ascii="宋体" w:hAnsi="宋体"/>
                <w:szCs w:val="21"/>
              </w:rPr>
              <w:t xml:space="preserve">c.投标文件组成齐全完整，内容均按规定填写。 </w:t>
            </w:r>
          </w:p>
          <w:p w14:paraId="6DF86322">
            <w:pPr>
              <w:ind w:left="210" w:leftChars="100"/>
              <w:rPr>
                <w:rFonts w:ascii="宋体" w:hAnsi="宋体"/>
                <w:szCs w:val="21"/>
              </w:rPr>
            </w:pPr>
            <w:r>
              <w:rPr>
                <w:rFonts w:hint="eastAsia" w:ascii="宋体" w:hAnsi="宋体"/>
                <w:szCs w:val="21"/>
              </w:rPr>
              <w:t>（2）投标文件上法定代表人或其委托代理人的签字、投标人的单位章盖章齐全，符合招标文件规定。</w:t>
            </w:r>
          </w:p>
          <w:p w14:paraId="6CFFF16E">
            <w:pPr>
              <w:ind w:left="210" w:leftChars="100"/>
              <w:rPr>
                <w:rFonts w:ascii="宋体" w:hAnsi="宋体"/>
                <w:szCs w:val="21"/>
              </w:rPr>
            </w:pPr>
            <w:r>
              <w:rPr>
                <w:rFonts w:hint="eastAsia" w:ascii="宋体" w:hAnsi="宋体"/>
                <w:szCs w:val="21"/>
              </w:rPr>
              <w:t>（3）投标人按照招标文件的规定提供了投标保证金：</w:t>
            </w:r>
          </w:p>
          <w:p w14:paraId="31DE0053">
            <w:pPr>
              <w:ind w:firstLine="420" w:firstLineChars="200"/>
              <w:rPr>
                <w:rFonts w:ascii="宋体" w:hAnsi="宋体"/>
                <w:szCs w:val="21"/>
              </w:rPr>
            </w:pPr>
            <w:r>
              <w:rPr>
                <w:rFonts w:hint="eastAsia" w:ascii="宋体" w:hAnsi="宋体"/>
                <w:szCs w:val="21"/>
              </w:rPr>
              <w:t>a.投标保证金金额符合招标文件规定的金额，且投标保证金有效期不少于投标有效期；</w:t>
            </w:r>
          </w:p>
          <w:p w14:paraId="2CBF3144">
            <w:pPr>
              <w:ind w:firstLine="420" w:firstLineChars="200"/>
              <w:rPr>
                <w:rFonts w:ascii="宋体" w:hAnsi="宋体"/>
                <w:szCs w:val="21"/>
              </w:rPr>
            </w:pPr>
            <w:r>
              <w:rPr>
                <w:rFonts w:hint="eastAsia" w:ascii="宋体" w:hAnsi="宋体"/>
                <w:szCs w:val="21"/>
              </w:rPr>
              <w:t>b.若投标保证金采用现金或支票形式提交，投标人应在</w:t>
            </w:r>
            <w:r>
              <w:rPr>
                <w:rFonts w:hint="eastAsia" w:ascii="宋体" w:hAnsi="宋体" w:cs="宋体"/>
                <w:bCs/>
                <w:szCs w:val="21"/>
                <w:lang w:val="zh-CN"/>
              </w:rPr>
              <w:t>递交投标文件截止时间之前</w:t>
            </w:r>
            <w:r>
              <w:rPr>
                <w:rFonts w:hint="eastAsia" w:ascii="宋体" w:hAnsi="宋体"/>
                <w:szCs w:val="21"/>
              </w:rPr>
              <w:t>，</w:t>
            </w:r>
            <w:r>
              <w:rPr>
                <w:rFonts w:ascii="宋体" w:hAnsi="宋体"/>
              </w:rPr>
              <w:t>将投标保证金由投标人的基本账户</w:t>
            </w:r>
            <w:r>
              <w:rPr>
                <w:rFonts w:hint="eastAsia" w:ascii="宋体" w:hAnsi="宋体"/>
              </w:rPr>
              <w:t>一次性</w:t>
            </w:r>
            <w:r>
              <w:rPr>
                <w:rFonts w:ascii="宋体" w:hAnsi="宋体"/>
              </w:rPr>
              <w:t>转入</w:t>
            </w:r>
            <w:r>
              <w:rPr>
                <w:rFonts w:hint="eastAsia" w:ascii="宋体" w:hAnsi="宋体"/>
              </w:rPr>
              <w:t>并到达</w:t>
            </w:r>
            <w:r>
              <w:rPr>
                <w:rFonts w:ascii="宋体" w:hAnsi="宋体"/>
              </w:rPr>
              <w:t>招标人指定账户</w:t>
            </w:r>
            <w:r>
              <w:rPr>
                <w:rFonts w:hint="eastAsia" w:ascii="宋体" w:hAnsi="宋体"/>
                <w:szCs w:val="21"/>
              </w:rPr>
              <w:t>；</w:t>
            </w:r>
          </w:p>
          <w:p w14:paraId="3DD1D1A0">
            <w:pPr>
              <w:ind w:firstLine="420" w:firstLineChars="200"/>
              <w:rPr>
                <w:rFonts w:ascii="宋体" w:hAnsi="宋体"/>
                <w:szCs w:val="21"/>
              </w:rPr>
            </w:pPr>
            <w:r>
              <w:rPr>
                <w:rFonts w:hint="eastAsia" w:ascii="宋体" w:hAnsi="宋体"/>
                <w:szCs w:val="21"/>
              </w:rPr>
              <w:t>c.若投标保证金采用保函或保单形式提交，银行保函或保单符合招标文件规定。</w:t>
            </w:r>
          </w:p>
          <w:p w14:paraId="3563AB63">
            <w:pPr>
              <w:ind w:firstLine="210" w:firstLineChars="100"/>
              <w:rPr>
                <w:rFonts w:ascii="宋体" w:hAnsi="宋体"/>
                <w:szCs w:val="21"/>
              </w:rPr>
            </w:pPr>
            <w:r>
              <w:rPr>
                <w:rFonts w:hint="eastAsia" w:ascii="宋体" w:hAnsi="宋体"/>
                <w:szCs w:val="21"/>
              </w:rPr>
              <w:t>（4）投标人法定代表人授权委托代理人签署投标文件的，须提交授权委托书，授权委托书符合招标文件规定。</w:t>
            </w:r>
          </w:p>
          <w:p w14:paraId="4BB2BAA6">
            <w:pPr>
              <w:ind w:firstLine="210" w:firstLineChars="100"/>
              <w:rPr>
                <w:rFonts w:ascii="宋体" w:hAnsi="宋体"/>
                <w:szCs w:val="21"/>
              </w:rPr>
            </w:pPr>
            <w:r>
              <w:rPr>
                <w:rFonts w:hint="eastAsia" w:ascii="宋体" w:hAnsi="宋体"/>
                <w:szCs w:val="21"/>
              </w:rPr>
              <w:t>（5）投标人法定代表人亲自签署投标文件的，提供了法定代表人身份证明，法定代表人身份证明符合招标文件规定</w:t>
            </w:r>
            <w:r>
              <w:rPr>
                <w:rFonts w:hint="eastAsia" w:ascii="宋体" w:hAnsi="宋体" w:cs="宋体"/>
                <w:szCs w:val="21"/>
              </w:rPr>
              <w:t>。</w:t>
            </w:r>
          </w:p>
          <w:p w14:paraId="22AF494C">
            <w:pPr>
              <w:ind w:firstLine="210" w:firstLineChars="100"/>
              <w:rPr>
                <w:rFonts w:ascii="宋体" w:hAnsi="宋体"/>
                <w:szCs w:val="21"/>
              </w:rPr>
            </w:pPr>
            <w:r>
              <w:rPr>
                <w:rFonts w:hint="eastAsia" w:ascii="宋体" w:hAnsi="宋体"/>
                <w:szCs w:val="21"/>
              </w:rPr>
              <w:t>（6）投标人未以联合体形式投标。</w:t>
            </w:r>
          </w:p>
          <w:p w14:paraId="399BBE07">
            <w:pPr>
              <w:ind w:firstLine="210" w:firstLineChars="100"/>
              <w:rPr>
                <w:rFonts w:ascii="宋体" w:hAnsi="宋体"/>
                <w:szCs w:val="21"/>
              </w:rPr>
            </w:pPr>
            <w:r>
              <w:rPr>
                <w:rFonts w:hint="eastAsia" w:ascii="宋体" w:hAnsi="宋体"/>
                <w:szCs w:val="21"/>
              </w:rPr>
              <w:t>（7）投标人分包情况符合招标文件规定</w:t>
            </w:r>
            <w:r>
              <w:rPr>
                <w:rFonts w:hint="eastAsia" w:ascii="宋体" w:hAnsi="宋体"/>
              </w:rPr>
              <w:t>。</w:t>
            </w:r>
          </w:p>
          <w:p w14:paraId="26D5EF15">
            <w:pPr>
              <w:ind w:firstLine="210" w:firstLineChars="100"/>
              <w:rPr>
                <w:rFonts w:ascii="宋体" w:hAnsi="宋体"/>
                <w:szCs w:val="21"/>
              </w:rPr>
            </w:pPr>
            <w:r>
              <w:rPr>
                <w:rFonts w:hint="eastAsia" w:ascii="宋体" w:hAnsi="宋体"/>
                <w:szCs w:val="21"/>
              </w:rPr>
              <w:t>（8）同一投标人在同一标段未提交两个以上不同的投标文件。</w:t>
            </w:r>
          </w:p>
          <w:p w14:paraId="7841B89D">
            <w:pPr>
              <w:ind w:firstLine="210" w:firstLineChars="100"/>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）投标文件中未出现有关投标报价的内容。</w:t>
            </w:r>
          </w:p>
          <w:p w14:paraId="0C5463E3">
            <w:pPr>
              <w:ind w:firstLine="210" w:firstLineChars="100"/>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）投标文件载明的招标项目完成期限未超过招标文件规定的时限。</w:t>
            </w:r>
          </w:p>
          <w:p w14:paraId="1C88B0E4">
            <w:pPr>
              <w:ind w:firstLine="210" w:firstLineChars="1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）投标文件对招标文件的实质性要求和条件作出响应。</w:t>
            </w:r>
          </w:p>
          <w:p w14:paraId="42F6E1DC">
            <w:pPr>
              <w:ind w:firstLine="210" w:firstLineChars="10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）权利义务符合招标文件规定：</w:t>
            </w:r>
          </w:p>
          <w:p w14:paraId="14439642">
            <w:pPr>
              <w:ind w:firstLine="420" w:firstLineChars="200"/>
              <w:rPr>
                <w:rFonts w:ascii="宋体" w:hAnsi="宋体"/>
                <w:szCs w:val="21"/>
              </w:rPr>
            </w:pPr>
            <w:r>
              <w:rPr>
                <w:rFonts w:hint="eastAsia" w:ascii="宋体" w:hAnsi="宋体"/>
                <w:szCs w:val="21"/>
              </w:rPr>
              <w:t>a.投标人应接受招标文件规定的风险划分原则，未提出新的风险划分办法；</w:t>
            </w:r>
          </w:p>
          <w:p w14:paraId="7FE81393">
            <w:pPr>
              <w:ind w:firstLine="420" w:firstLineChars="200"/>
              <w:rPr>
                <w:rFonts w:ascii="宋体" w:hAnsi="宋体"/>
                <w:szCs w:val="21"/>
              </w:rPr>
            </w:pPr>
            <w:r>
              <w:rPr>
                <w:rFonts w:hint="eastAsia" w:ascii="宋体" w:hAnsi="宋体"/>
                <w:szCs w:val="21"/>
              </w:rPr>
              <w:t>b.投标人未增加发包人的责任范围，或减少投标人义务；</w:t>
            </w:r>
          </w:p>
          <w:p w14:paraId="0543F80D">
            <w:pPr>
              <w:ind w:firstLine="420" w:firstLineChars="200"/>
              <w:rPr>
                <w:rFonts w:ascii="宋体" w:hAnsi="宋体"/>
                <w:szCs w:val="21"/>
              </w:rPr>
            </w:pPr>
            <w:r>
              <w:rPr>
                <w:rFonts w:hint="eastAsia" w:ascii="宋体" w:hAnsi="宋体"/>
                <w:szCs w:val="21"/>
              </w:rPr>
              <w:t>c.投标人未提出不同的工程验收、计量、支付办法；</w:t>
            </w:r>
          </w:p>
          <w:p w14:paraId="1B8FB1C3">
            <w:pPr>
              <w:ind w:firstLine="420" w:firstLineChars="200"/>
              <w:rPr>
                <w:rFonts w:ascii="宋体" w:hAnsi="宋体"/>
                <w:szCs w:val="21"/>
              </w:rPr>
            </w:pPr>
            <w:r>
              <w:rPr>
                <w:rFonts w:hint="eastAsia" w:ascii="宋体" w:hAnsi="宋体"/>
                <w:szCs w:val="21"/>
              </w:rPr>
              <w:t>d.投标人对合同纠纷、事故处理办法未提出异议；</w:t>
            </w:r>
          </w:p>
          <w:p w14:paraId="72A351AA">
            <w:pPr>
              <w:ind w:firstLine="420" w:firstLineChars="200"/>
              <w:rPr>
                <w:rFonts w:ascii="宋体" w:hAnsi="宋体"/>
                <w:szCs w:val="21"/>
              </w:rPr>
            </w:pPr>
            <w:r>
              <w:rPr>
                <w:rFonts w:hint="eastAsia" w:ascii="宋体" w:hAnsi="宋体"/>
                <w:szCs w:val="21"/>
              </w:rPr>
              <w:t>e.投标人在投标活动中无欺诈行为；</w:t>
            </w:r>
          </w:p>
          <w:p w14:paraId="7E80E010">
            <w:pPr>
              <w:ind w:firstLine="420" w:firstLineChars="200"/>
              <w:rPr>
                <w:rFonts w:ascii="宋体" w:hAnsi="宋体"/>
                <w:szCs w:val="21"/>
              </w:rPr>
            </w:pPr>
            <w:r>
              <w:rPr>
                <w:rFonts w:hint="eastAsia" w:ascii="宋体" w:hAnsi="宋体"/>
                <w:szCs w:val="21"/>
              </w:rPr>
              <w:t>f.投标人未对合同条款有重要保留。</w:t>
            </w:r>
          </w:p>
        </w:tc>
      </w:tr>
      <w:tr w14:paraId="25F56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trHeight w:val="3985" w:hRule="atLeast"/>
          <w:jc w:val="center"/>
        </w:trPr>
        <w:tc>
          <w:tcPr>
            <w:tcW w:w="856" w:type="dxa"/>
            <w:shd w:val="clear" w:color="auto" w:fill="auto"/>
            <w:vAlign w:val="center"/>
          </w:tcPr>
          <w:p w14:paraId="51CC5407">
            <w:pPr>
              <w:autoSpaceDE w:val="0"/>
              <w:autoSpaceDN w:val="0"/>
              <w:adjustRightInd w:val="0"/>
              <w:snapToGrid w:val="0"/>
              <w:spacing w:line="300" w:lineRule="auto"/>
              <w:ind w:firstLine="210" w:firstLineChars="100"/>
              <w:rPr>
                <w:rFonts w:ascii="宋体" w:hAnsi="宋体"/>
                <w:szCs w:val="21"/>
              </w:rPr>
            </w:pPr>
            <w:r>
              <w:rPr>
                <w:rFonts w:ascii="宋体" w:hAnsi="宋体"/>
                <w:szCs w:val="21"/>
              </w:rPr>
              <w:t>2.1.1</w:t>
            </w:r>
          </w:p>
          <w:p w14:paraId="26C06583">
            <w:pPr>
              <w:autoSpaceDE w:val="0"/>
              <w:autoSpaceDN w:val="0"/>
              <w:adjustRightInd w:val="0"/>
              <w:snapToGrid w:val="0"/>
              <w:spacing w:line="300" w:lineRule="auto"/>
              <w:ind w:firstLine="210" w:firstLineChars="100"/>
              <w:rPr>
                <w:rFonts w:ascii="宋体" w:hAnsi="宋体"/>
                <w:szCs w:val="21"/>
              </w:rPr>
            </w:pPr>
            <w:r>
              <w:rPr>
                <w:rFonts w:ascii="宋体" w:hAnsi="宋体"/>
                <w:szCs w:val="21"/>
              </w:rPr>
              <w:t>2.1.3</w:t>
            </w:r>
          </w:p>
        </w:tc>
        <w:tc>
          <w:tcPr>
            <w:tcW w:w="1389" w:type="dxa"/>
            <w:shd w:val="clear" w:color="auto" w:fill="auto"/>
            <w:vAlign w:val="center"/>
          </w:tcPr>
          <w:p w14:paraId="3E032BAE">
            <w:pPr>
              <w:adjustRightInd w:val="0"/>
              <w:snapToGrid w:val="0"/>
              <w:spacing w:line="300" w:lineRule="auto"/>
              <w:ind w:firstLine="210" w:firstLineChars="100"/>
              <w:rPr>
                <w:rFonts w:ascii="宋体" w:hAnsi="宋体"/>
                <w:szCs w:val="21"/>
              </w:rPr>
            </w:pPr>
            <w:r>
              <w:rPr>
                <w:rFonts w:hint="eastAsia" w:ascii="宋体" w:hAnsi="宋体"/>
                <w:szCs w:val="21"/>
              </w:rPr>
              <w:t>形式评审与</w:t>
            </w:r>
          </w:p>
          <w:p w14:paraId="1AAF8AEE">
            <w:pPr>
              <w:adjustRightInd w:val="0"/>
              <w:snapToGrid w:val="0"/>
              <w:spacing w:line="300" w:lineRule="auto"/>
              <w:ind w:firstLine="210" w:firstLineChars="100"/>
              <w:rPr>
                <w:rFonts w:ascii="宋体" w:hAnsi="宋体"/>
                <w:szCs w:val="21"/>
              </w:rPr>
            </w:pPr>
            <w:r>
              <w:rPr>
                <w:rFonts w:hint="eastAsia" w:ascii="宋体" w:hAnsi="宋体"/>
                <w:szCs w:val="21"/>
              </w:rPr>
              <w:t>响应性评审</w:t>
            </w:r>
          </w:p>
          <w:p w14:paraId="5B718255">
            <w:pPr>
              <w:adjustRightInd w:val="0"/>
              <w:snapToGrid w:val="0"/>
              <w:spacing w:line="300" w:lineRule="auto"/>
              <w:ind w:firstLine="420" w:firstLineChars="200"/>
              <w:rPr>
                <w:rFonts w:ascii="宋体" w:hAnsi="宋体"/>
                <w:szCs w:val="21"/>
              </w:rPr>
            </w:pPr>
            <w:r>
              <w:rPr>
                <w:rFonts w:hint="eastAsia" w:ascii="宋体" w:hAnsi="宋体"/>
                <w:szCs w:val="21"/>
              </w:rPr>
              <w:t>标准</w:t>
            </w:r>
          </w:p>
        </w:tc>
        <w:tc>
          <w:tcPr>
            <w:tcW w:w="7383" w:type="dxa"/>
            <w:shd w:val="clear" w:color="auto" w:fill="auto"/>
          </w:tcPr>
          <w:p w14:paraId="2CA1E7B9">
            <w:pPr>
              <w:adjustRightInd w:val="0"/>
              <w:snapToGrid w:val="0"/>
              <w:ind w:firstLine="211" w:firstLineChars="100"/>
              <w:rPr>
                <w:rFonts w:ascii="宋体" w:hAnsi="宋体"/>
                <w:b/>
              </w:rPr>
            </w:pPr>
            <w:r>
              <w:rPr>
                <w:rFonts w:hint="eastAsia" w:ascii="宋体" w:hAnsi="宋体"/>
                <w:b/>
              </w:rPr>
              <w:t>第二个信封（报价文件）评审标准：</w:t>
            </w:r>
          </w:p>
          <w:p w14:paraId="5A436CD0">
            <w:pPr>
              <w:adjustRightInd w:val="0"/>
              <w:snapToGrid w:val="0"/>
              <w:ind w:left="210"/>
              <w:rPr>
                <w:rFonts w:ascii="宋体" w:hAnsi="宋体"/>
                <w:szCs w:val="21"/>
              </w:rPr>
            </w:pPr>
            <w:r>
              <w:rPr>
                <w:rFonts w:hint="eastAsia" w:ascii="宋体" w:hAnsi="宋体"/>
                <w:szCs w:val="21"/>
              </w:rPr>
              <w:t>（1）投标文件按照招标文件规定的格式、内容填写，字迹清晰可辨：</w:t>
            </w:r>
          </w:p>
          <w:p w14:paraId="67B241C6">
            <w:pPr>
              <w:adjustRightInd w:val="0"/>
              <w:snapToGrid w:val="0"/>
              <w:ind w:left="210"/>
              <w:rPr>
                <w:rFonts w:ascii="宋体" w:hAnsi="宋体"/>
                <w:szCs w:val="21"/>
              </w:rPr>
            </w:pPr>
            <w:r>
              <w:rPr>
                <w:rFonts w:hint="eastAsia" w:ascii="宋体" w:hAnsi="宋体"/>
                <w:szCs w:val="21"/>
              </w:rPr>
              <w:t>a.投标函按招标文件规定填报了项目名称、标段号、补遗书编号（如有）、投标价（包括大写金额和小写金额）。</w:t>
            </w:r>
          </w:p>
          <w:p w14:paraId="3C923D72">
            <w:pPr>
              <w:adjustRightInd w:val="0"/>
              <w:snapToGrid w:val="0"/>
              <w:ind w:left="210"/>
              <w:rPr>
                <w:rFonts w:ascii="宋体" w:hAnsi="宋体"/>
                <w:szCs w:val="21"/>
              </w:rPr>
            </w:pPr>
            <w:r>
              <w:rPr>
                <w:rFonts w:hint="eastAsia" w:ascii="宋体" w:hAnsi="宋体"/>
                <w:szCs w:val="21"/>
              </w:rPr>
              <w:t>b.已标价工程量清单说明与招标文件规定一致，未进行实质性修改和删减；</w:t>
            </w:r>
          </w:p>
          <w:p w14:paraId="514C0333">
            <w:pPr>
              <w:adjustRightInd w:val="0"/>
              <w:snapToGrid w:val="0"/>
              <w:ind w:left="210"/>
              <w:rPr>
                <w:rFonts w:ascii="宋体" w:hAnsi="宋体"/>
                <w:szCs w:val="21"/>
              </w:rPr>
            </w:pPr>
            <w:r>
              <w:rPr>
                <w:rFonts w:hint="eastAsia" w:ascii="宋体" w:hAnsi="宋体"/>
                <w:szCs w:val="21"/>
              </w:rPr>
              <w:t>c.投标文件组成齐全完整，内容均按规定填写。</w:t>
            </w:r>
          </w:p>
          <w:p w14:paraId="6C238BA0">
            <w:pPr>
              <w:adjustRightInd w:val="0"/>
              <w:snapToGrid w:val="0"/>
              <w:ind w:left="210"/>
              <w:rPr>
                <w:rFonts w:ascii="宋体" w:hAnsi="宋体"/>
                <w:szCs w:val="21"/>
              </w:rPr>
            </w:pPr>
            <w:r>
              <w:rPr>
                <w:rFonts w:hint="eastAsia" w:ascii="宋体" w:hAnsi="宋体"/>
                <w:szCs w:val="21"/>
              </w:rPr>
              <w:t>（2）投标文件上法定代表人或其委托代理人的签字、投标人的单位章盖章齐全，符合招标文件规定。</w:t>
            </w:r>
          </w:p>
          <w:p w14:paraId="2AB059A2">
            <w:pPr>
              <w:adjustRightInd w:val="0"/>
              <w:snapToGrid w:val="0"/>
              <w:ind w:left="210"/>
              <w:rPr>
                <w:rFonts w:ascii="宋体" w:hAnsi="宋体"/>
                <w:szCs w:val="21"/>
              </w:rPr>
            </w:pPr>
            <w:r>
              <w:rPr>
                <w:rFonts w:hint="eastAsia" w:ascii="宋体" w:hAnsi="宋体"/>
                <w:szCs w:val="21"/>
              </w:rPr>
              <w:t>（3）投标报价未超过招标文件设定的最高投标限价。</w:t>
            </w:r>
          </w:p>
          <w:p w14:paraId="4A6B73E4">
            <w:pPr>
              <w:adjustRightInd w:val="0"/>
              <w:snapToGrid w:val="0"/>
              <w:ind w:left="210"/>
              <w:rPr>
                <w:rFonts w:ascii="宋体" w:hAnsi="宋体"/>
                <w:szCs w:val="21"/>
              </w:rPr>
            </w:pPr>
            <w:r>
              <w:rPr>
                <w:rFonts w:hint="eastAsia" w:ascii="宋体" w:hAnsi="宋体"/>
                <w:szCs w:val="21"/>
              </w:rPr>
              <w:t>（4）投标报价中的大写金额能够确定具体数值。</w:t>
            </w:r>
          </w:p>
          <w:p w14:paraId="1749DC14">
            <w:pPr>
              <w:adjustRightInd w:val="0"/>
              <w:snapToGrid w:val="0"/>
              <w:ind w:left="210"/>
              <w:rPr>
                <w:rFonts w:ascii="宋体" w:hAnsi="宋体"/>
                <w:szCs w:val="21"/>
              </w:rPr>
            </w:pPr>
            <w:r>
              <w:rPr>
                <w:rFonts w:hint="eastAsia" w:ascii="宋体" w:hAnsi="宋体"/>
                <w:szCs w:val="21"/>
              </w:rPr>
              <w:t>（5）同一投标人未提交两个以上不同的投标报价。</w:t>
            </w:r>
          </w:p>
          <w:p w14:paraId="078CB479">
            <w:pPr>
              <w:adjustRightInd w:val="0"/>
              <w:snapToGrid w:val="0"/>
              <w:ind w:left="210"/>
              <w:rPr>
                <w:rFonts w:ascii="宋体" w:hAnsi="宋体"/>
                <w:szCs w:val="21"/>
              </w:rPr>
            </w:pPr>
            <w:r>
              <w:rPr>
                <w:rFonts w:hint="eastAsia" w:ascii="宋体" w:hAnsi="宋体"/>
                <w:szCs w:val="21"/>
              </w:rPr>
              <w:t>（6）投标人未提交调价函。</w:t>
            </w:r>
          </w:p>
          <w:p w14:paraId="3BF44B31">
            <w:pPr>
              <w:adjustRightInd w:val="0"/>
              <w:snapToGrid w:val="0"/>
              <w:ind w:left="210"/>
              <w:rPr>
                <w:rFonts w:ascii="宋体" w:hAnsi="宋体"/>
                <w:szCs w:val="21"/>
              </w:rPr>
            </w:pPr>
            <w:r>
              <w:rPr>
                <w:rFonts w:hint="eastAsia" w:ascii="宋体" w:hAnsi="宋体"/>
                <w:szCs w:val="21"/>
              </w:rPr>
              <w:t>（7）投标人填写完毕的工程量固化清单未对工程量固化清单电子文件中的数据、格式和运算定义进行修改；工程量固化清单中的投标报价和投标函大写金额报价一致。</w:t>
            </w:r>
          </w:p>
        </w:tc>
      </w:tr>
      <w:tr w14:paraId="35DCF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trHeight w:val="2863" w:hRule="atLeast"/>
          <w:jc w:val="center"/>
        </w:trPr>
        <w:tc>
          <w:tcPr>
            <w:tcW w:w="856" w:type="dxa"/>
            <w:tcBorders>
              <w:bottom w:val="single" w:color="auto" w:sz="4" w:space="0"/>
            </w:tcBorders>
            <w:shd w:val="clear" w:color="auto" w:fill="auto"/>
            <w:vAlign w:val="center"/>
          </w:tcPr>
          <w:p w14:paraId="52FDA01D">
            <w:pPr>
              <w:autoSpaceDE w:val="0"/>
              <w:autoSpaceDN w:val="0"/>
              <w:adjustRightInd w:val="0"/>
              <w:snapToGrid w:val="0"/>
              <w:spacing w:line="300" w:lineRule="auto"/>
              <w:ind w:firstLine="210" w:firstLineChars="100"/>
              <w:rPr>
                <w:rFonts w:ascii="宋体" w:hAnsi="宋体"/>
                <w:szCs w:val="21"/>
              </w:rPr>
            </w:pPr>
            <w:r>
              <w:rPr>
                <w:rFonts w:ascii="宋体" w:hAnsi="宋体"/>
                <w:szCs w:val="21"/>
              </w:rPr>
              <w:t>2.1.2</w:t>
            </w:r>
          </w:p>
        </w:tc>
        <w:tc>
          <w:tcPr>
            <w:tcW w:w="1389" w:type="dxa"/>
            <w:tcBorders>
              <w:bottom w:val="single" w:color="auto" w:sz="4" w:space="0"/>
            </w:tcBorders>
            <w:shd w:val="clear" w:color="auto" w:fill="auto"/>
            <w:vAlign w:val="center"/>
          </w:tcPr>
          <w:p w14:paraId="66F452D2">
            <w:pPr>
              <w:adjustRightInd w:val="0"/>
              <w:snapToGrid w:val="0"/>
              <w:spacing w:line="300" w:lineRule="auto"/>
              <w:jc w:val="center"/>
              <w:rPr>
                <w:rFonts w:ascii="宋体" w:hAnsi="宋体"/>
                <w:szCs w:val="21"/>
              </w:rPr>
            </w:pPr>
            <w:r>
              <w:rPr>
                <w:rFonts w:hint="eastAsia" w:ascii="宋体" w:hAnsi="宋体"/>
                <w:szCs w:val="21"/>
              </w:rPr>
              <w:t>资格评审</w:t>
            </w:r>
          </w:p>
          <w:p w14:paraId="461A3DC5">
            <w:pPr>
              <w:adjustRightInd w:val="0"/>
              <w:snapToGrid w:val="0"/>
              <w:spacing w:line="300" w:lineRule="auto"/>
              <w:jc w:val="center"/>
              <w:rPr>
                <w:rFonts w:ascii="宋体" w:hAnsi="宋体"/>
                <w:szCs w:val="21"/>
              </w:rPr>
            </w:pPr>
            <w:r>
              <w:rPr>
                <w:rFonts w:hint="eastAsia" w:ascii="宋体" w:hAnsi="宋体"/>
                <w:szCs w:val="21"/>
              </w:rPr>
              <w:t>标准</w:t>
            </w:r>
          </w:p>
        </w:tc>
        <w:tc>
          <w:tcPr>
            <w:tcW w:w="7383" w:type="dxa"/>
            <w:tcBorders>
              <w:bottom w:val="single" w:color="auto" w:sz="4" w:space="0"/>
            </w:tcBorders>
            <w:shd w:val="clear" w:color="auto" w:fill="auto"/>
          </w:tcPr>
          <w:p w14:paraId="77C09597">
            <w:pPr>
              <w:adjustRightInd w:val="0"/>
              <w:snapToGrid w:val="0"/>
              <w:ind w:left="210"/>
              <w:rPr>
                <w:rFonts w:ascii="宋体" w:hAnsi="宋体" w:cs="宋体"/>
              </w:rPr>
            </w:pPr>
            <w:r>
              <w:rPr>
                <w:rFonts w:hint="eastAsia" w:ascii="宋体" w:hAnsi="宋体" w:cs="宋体"/>
              </w:rPr>
              <w:t>（1）投标人具备有效的营业执照（事业单位法人证书）、资质证书、安全生产许可证、基本账户开户许可证（或基本账户开户银行出具的开户证明，采用保函形式提交投标保证金的，可不提供）、在国家企业信用信息公示系统中基础信息（体现股东及出资详细信息）的网页截图（事业单位无须提供）。</w:t>
            </w:r>
          </w:p>
          <w:p w14:paraId="3237B8B1">
            <w:pPr>
              <w:adjustRightInd w:val="0"/>
              <w:snapToGrid w:val="0"/>
              <w:ind w:left="210"/>
              <w:rPr>
                <w:rFonts w:ascii="宋体" w:hAnsi="宋体" w:cs="宋体"/>
              </w:rPr>
            </w:pPr>
            <w:r>
              <w:rPr>
                <w:rFonts w:hint="eastAsia" w:ascii="宋体" w:hAnsi="宋体" w:cs="宋体"/>
              </w:rPr>
              <w:t>（2）投标人的资质等级符合招标文件规定。</w:t>
            </w:r>
          </w:p>
          <w:p w14:paraId="1EB53B70">
            <w:pPr>
              <w:adjustRightInd w:val="0"/>
              <w:snapToGrid w:val="0"/>
              <w:ind w:left="210"/>
              <w:rPr>
                <w:rFonts w:ascii="宋体" w:hAnsi="宋体" w:cs="宋体"/>
              </w:rPr>
            </w:pPr>
            <w:r>
              <w:rPr>
                <w:rFonts w:hint="eastAsia" w:ascii="宋体" w:hAnsi="宋体" w:cs="宋体"/>
              </w:rPr>
              <w:t>（3）投标人的财务状况符合招标文件规定。</w:t>
            </w:r>
          </w:p>
          <w:p w14:paraId="29B60910">
            <w:pPr>
              <w:adjustRightInd w:val="0"/>
              <w:snapToGrid w:val="0"/>
              <w:ind w:left="210"/>
              <w:rPr>
                <w:rFonts w:ascii="宋体" w:hAnsi="宋体" w:cs="宋体"/>
              </w:rPr>
            </w:pPr>
            <w:r>
              <w:rPr>
                <w:rFonts w:hint="eastAsia" w:ascii="宋体" w:hAnsi="宋体" w:cs="宋体"/>
              </w:rPr>
              <w:t>（4）投标人的类似项目业绩符合招标文件规定。</w:t>
            </w:r>
          </w:p>
          <w:p w14:paraId="47866854">
            <w:pPr>
              <w:adjustRightInd w:val="0"/>
              <w:snapToGrid w:val="0"/>
              <w:ind w:left="210"/>
              <w:rPr>
                <w:rFonts w:ascii="宋体" w:hAnsi="宋体" w:cs="宋体"/>
              </w:rPr>
            </w:pPr>
            <w:r>
              <w:rPr>
                <w:rFonts w:hint="eastAsia" w:ascii="宋体" w:hAnsi="宋体" w:cs="宋体"/>
              </w:rPr>
              <w:t>（5）投标人的信誉符合招标文件规定。</w:t>
            </w:r>
          </w:p>
          <w:p w14:paraId="0A5D3D3B">
            <w:pPr>
              <w:adjustRightInd w:val="0"/>
              <w:snapToGrid w:val="0"/>
              <w:ind w:left="210"/>
              <w:rPr>
                <w:rFonts w:ascii="宋体" w:hAnsi="宋体" w:cs="宋体"/>
              </w:rPr>
            </w:pPr>
            <w:r>
              <w:rPr>
                <w:rFonts w:hint="eastAsia" w:ascii="宋体" w:hAnsi="宋体" w:cs="宋体"/>
              </w:rPr>
              <w:t>（6）投标人的项目经理和项目总工资格、在岗情况符合招标文件规定。</w:t>
            </w:r>
          </w:p>
          <w:p w14:paraId="3602A453">
            <w:pPr>
              <w:adjustRightInd w:val="0"/>
              <w:snapToGrid w:val="0"/>
              <w:ind w:left="210"/>
              <w:rPr>
                <w:rFonts w:ascii="宋体" w:hAnsi="宋体" w:cs="宋体"/>
              </w:rPr>
            </w:pPr>
            <w:r>
              <w:rPr>
                <w:rFonts w:hint="eastAsia" w:ascii="宋体" w:hAnsi="宋体" w:cs="宋体"/>
              </w:rPr>
              <w:t>（7）</w:t>
            </w:r>
            <w:r>
              <w:rPr>
                <w:rFonts w:hint="eastAsia" w:ascii="Times New Roman" w:hAnsi="Times New Roman"/>
                <w:szCs w:val="21"/>
              </w:rPr>
              <w:t>投标人的其他要求符合招标文件规定。</w:t>
            </w:r>
          </w:p>
          <w:p w14:paraId="1E66DE38">
            <w:pPr>
              <w:adjustRightInd w:val="0"/>
              <w:snapToGrid w:val="0"/>
              <w:ind w:left="210"/>
              <w:rPr>
                <w:rFonts w:ascii="宋体" w:hAnsi="宋体" w:cs="宋体"/>
              </w:rPr>
            </w:pPr>
            <w:r>
              <w:rPr>
                <w:rFonts w:hint="eastAsia" w:ascii="宋体" w:hAnsi="宋体" w:cs="宋体"/>
              </w:rPr>
              <w:t>（8）投标人不存在第二章“投标人须知”第1.4.3项或第1.4.4项规定的任何一种情形。</w:t>
            </w:r>
          </w:p>
          <w:p w14:paraId="6B67CA8E">
            <w:pPr>
              <w:adjustRightInd w:val="0"/>
              <w:snapToGrid w:val="0"/>
              <w:ind w:left="210"/>
              <w:rPr>
                <w:rFonts w:ascii="宋体" w:hAnsi="宋体" w:cs="宋体"/>
              </w:rPr>
            </w:pPr>
            <w:r>
              <w:rPr>
                <w:rFonts w:hint="eastAsia" w:ascii="宋体" w:hAnsi="宋体" w:cs="宋体"/>
              </w:rPr>
              <w:t>（9）投标人符合第二章“投标人须知”第1.4.5项规定。</w:t>
            </w:r>
          </w:p>
          <w:p w14:paraId="07D29CFB">
            <w:pPr>
              <w:pStyle w:val="4"/>
              <w:ind w:firstLine="210" w:firstLineChars="100"/>
            </w:pPr>
            <w:r>
              <w:rPr>
                <w:rFonts w:hint="eastAsia" w:hAnsi="宋体" w:cs="宋体"/>
                <w:szCs w:val="22"/>
              </w:rPr>
              <w:t>（10）投标人未以联合体形式投标。</w:t>
            </w:r>
          </w:p>
        </w:tc>
      </w:tr>
    </w:tbl>
    <w:p w14:paraId="7843432B">
      <w:pPr>
        <w:jc w:val="right"/>
        <w:rPr>
          <w:color w:val="FF0000"/>
        </w:rPr>
      </w:pPr>
    </w:p>
    <w:p w14:paraId="4774C9DF">
      <w:pPr>
        <w:jc w:val="right"/>
        <w:rPr>
          <w:color w:val="FF0000"/>
        </w:rPr>
        <w:sectPr>
          <w:headerReference r:id="rId6" w:type="default"/>
          <w:footerReference r:id="rId7" w:type="default"/>
          <w:footnotePr>
            <w:numFmt w:val="decimalEnclosedCircleChinese"/>
            <w:numRestart w:val="eachPage"/>
          </w:footnotePr>
          <w:pgSz w:w="11907" w:h="16840"/>
          <w:pgMar w:top="1134" w:right="1134" w:bottom="1134" w:left="1134" w:header="0" w:footer="567" w:gutter="0"/>
          <w:cols w:space="720" w:num="1"/>
        </w:sectPr>
      </w:pPr>
    </w:p>
    <w:p w14:paraId="66715696">
      <w:pPr>
        <w:jc w:val="right"/>
      </w:pPr>
      <w:r>
        <w:t>续上表</w:t>
      </w:r>
    </w:p>
    <w:tbl>
      <w:tblPr>
        <w:tblStyle w:val="7"/>
        <w:tblW w:w="97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0" w:type="dxa"/>
          <w:bottom w:w="85" w:type="dxa"/>
          <w:right w:w="0" w:type="dxa"/>
        </w:tblCellMar>
      </w:tblPr>
      <w:tblGrid>
        <w:gridCol w:w="856"/>
        <w:gridCol w:w="1389"/>
        <w:gridCol w:w="7465"/>
      </w:tblGrid>
      <w:tr w14:paraId="56975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cantSplit/>
          <w:trHeight w:val="560" w:hRule="atLeast"/>
        </w:trPr>
        <w:tc>
          <w:tcPr>
            <w:tcW w:w="856" w:type="dxa"/>
            <w:tcBorders>
              <w:top w:val="single" w:color="000000" w:sz="4" w:space="0"/>
              <w:left w:val="single" w:color="000000" w:sz="4" w:space="0"/>
              <w:bottom w:val="single" w:color="auto" w:sz="4" w:space="0"/>
              <w:right w:val="single" w:color="000000" w:sz="4" w:space="0"/>
            </w:tcBorders>
            <w:shd w:val="clear" w:color="auto" w:fill="auto"/>
            <w:vAlign w:val="center"/>
          </w:tcPr>
          <w:p w14:paraId="2513ABE2">
            <w:pPr>
              <w:autoSpaceDE w:val="0"/>
              <w:autoSpaceDN w:val="0"/>
              <w:adjustRightInd w:val="0"/>
              <w:snapToGrid w:val="0"/>
              <w:spacing w:line="300" w:lineRule="auto"/>
              <w:ind w:firstLine="4" w:firstLineChars="2"/>
              <w:jc w:val="center"/>
              <w:rPr>
                <w:rFonts w:ascii="宋体" w:hAnsi="宋体"/>
                <w:szCs w:val="21"/>
              </w:rPr>
            </w:pPr>
            <w:r>
              <w:rPr>
                <w:rFonts w:ascii="宋体" w:hAnsi="宋体"/>
                <w:szCs w:val="21"/>
              </w:rPr>
              <w:t>条款号</w:t>
            </w:r>
          </w:p>
        </w:tc>
        <w:tc>
          <w:tcPr>
            <w:tcW w:w="1389" w:type="dxa"/>
            <w:tcBorders>
              <w:top w:val="single" w:color="000000" w:sz="4" w:space="0"/>
              <w:left w:val="single" w:color="000000" w:sz="4" w:space="0"/>
              <w:bottom w:val="single" w:color="auto" w:sz="4" w:space="0"/>
              <w:right w:val="single" w:color="000000" w:sz="4" w:space="0"/>
            </w:tcBorders>
            <w:shd w:val="clear" w:color="auto" w:fill="auto"/>
            <w:vAlign w:val="center"/>
          </w:tcPr>
          <w:p w14:paraId="7EB5CC72">
            <w:pPr>
              <w:adjustRightInd w:val="0"/>
              <w:snapToGrid w:val="0"/>
              <w:spacing w:line="300" w:lineRule="auto"/>
              <w:jc w:val="center"/>
              <w:rPr>
                <w:rFonts w:ascii="宋体" w:hAnsi="宋体"/>
                <w:szCs w:val="21"/>
              </w:rPr>
            </w:pPr>
            <w:r>
              <w:rPr>
                <w:rFonts w:hint="eastAsia" w:ascii="宋体" w:hAnsi="宋体"/>
                <w:szCs w:val="21"/>
              </w:rPr>
              <w:t>条款内容</w:t>
            </w:r>
          </w:p>
        </w:tc>
        <w:tc>
          <w:tcPr>
            <w:tcW w:w="7465" w:type="dxa"/>
            <w:tcBorders>
              <w:top w:val="single" w:color="000000" w:sz="4" w:space="0"/>
              <w:left w:val="single" w:color="000000" w:sz="4" w:space="0"/>
              <w:bottom w:val="single" w:color="auto" w:sz="4" w:space="0"/>
              <w:right w:val="single" w:color="000000" w:sz="4" w:space="0"/>
            </w:tcBorders>
            <w:shd w:val="clear" w:color="auto" w:fill="auto"/>
            <w:vAlign w:val="center"/>
          </w:tcPr>
          <w:p w14:paraId="1F713F55">
            <w:pPr>
              <w:adjustRightInd w:val="0"/>
              <w:snapToGrid w:val="0"/>
              <w:ind w:firstLine="27" w:firstLineChars="13"/>
              <w:jc w:val="center"/>
              <w:rPr>
                <w:rFonts w:ascii="宋体" w:hAnsi="宋体"/>
                <w:szCs w:val="21"/>
              </w:rPr>
            </w:pPr>
            <w:r>
              <w:rPr>
                <w:rFonts w:hint="eastAsia" w:ascii="宋体" w:hAnsi="宋体"/>
                <w:szCs w:val="21"/>
              </w:rPr>
              <w:t>编列内容</w:t>
            </w:r>
          </w:p>
        </w:tc>
      </w:tr>
      <w:tr w14:paraId="1A4E6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cantSplit/>
          <w:trHeight w:val="20" w:hRule="atLeast"/>
        </w:trPr>
        <w:tc>
          <w:tcPr>
            <w:tcW w:w="856" w:type="dxa"/>
            <w:tcBorders>
              <w:top w:val="single" w:color="000000" w:sz="4" w:space="0"/>
              <w:left w:val="single" w:color="000000" w:sz="4" w:space="0"/>
              <w:bottom w:val="single" w:color="auto" w:sz="4" w:space="0"/>
              <w:right w:val="single" w:color="000000" w:sz="4" w:space="0"/>
            </w:tcBorders>
            <w:shd w:val="clear" w:color="auto" w:fill="auto"/>
            <w:vAlign w:val="center"/>
          </w:tcPr>
          <w:p w14:paraId="069399AA">
            <w:pPr>
              <w:autoSpaceDE w:val="0"/>
              <w:autoSpaceDN w:val="0"/>
              <w:adjustRightInd w:val="0"/>
              <w:snapToGrid w:val="0"/>
              <w:spacing w:line="300" w:lineRule="auto"/>
              <w:ind w:firstLine="210" w:firstLineChars="100"/>
              <w:rPr>
                <w:rFonts w:ascii="宋体" w:hAnsi="宋体"/>
                <w:szCs w:val="21"/>
              </w:rPr>
            </w:pPr>
            <w:r>
              <w:rPr>
                <w:rFonts w:ascii="宋体" w:hAnsi="宋体"/>
                <w:szCs w:val="21"/>
              </w:rPr>
              <w:t>2.2.1</w:t>
            </w:r>
          </w:p>
        </w:tc>
        <w:tc>
          <w:tcPr>
            <w:tcW w:w="1389" w:type="dxa"/>
            <w:tcBorders>
              <w:top w:val="single" w:color="000000" w:sz="4" w:space="0"/>
              <w:left w:val="single" w:color="000000" w:sz="4" w:space="0"/>
              <w:bottom w:val="single" w:color="auto" w:sz="4" w:space="0"/>
              <w:right w:val="single" w:color="000000" w:sz="4" w:space="0"/>
            </w:tcBorders>
            <w:shd w:val="clear" w:color="auto" w:fill="auto"/>
            <w:vAlign w:val="center"/>
          </w:tcPr>
          <w:p w14:paraId="677ACC92">
            <w:pPr>
              <w:adjustRightInd w:val="0"/>
              <w:snapToGrid w:val="0"/>
              <w:spacing w:line="300" w:lineRule="auto"/>
              <w:jc w:val="center"/>
              <w:rPr>
                <w:rFonts w:ascii="宋体" w:hAnsi="宋体"/>
                <w:szCs w:val="21"/>
              </w:rPr>
            </w:pPr>
            <w:r>
              <w:rPr>
                <w:rFonts w:hint="eastAsia" w:ascii="宋体" w:hAnsi="宋体"/>
                <w:szCs w:val="21"/>
              </w:rPr>
              <w:t>第一个信封</w:t>
            </w:r>
          </w:p>
          <w:p w14:paraId="6D06F79F">
            <w:pPr>
              <w:adjustRightInd w:val="0"/>
              <w:snapToGrid w:val="0"/>
              <w:spacing w:line="300" w:lineRule="auto"/>
              <w:jc w:val="center"/>
              <w:rPr>
                <w:rFonts w:ascii="宋体" w:hAnsi="宋体"/>
                <w:szCs w:val="21"/>
              </w:rPr>
            </w:pPr>
            <w:r>
              <w:rPr>
                <w:rFonts w:hint="eastAsia" w:ascii="宋体" w:hAnsi="宋体"/>
                <w:szCs w:val="21"/>
              </w:rPr>
              <w:t>评分分值构成（总分</w:t>
            </w:r>
            <w:r>
              <w:rPr>
                <w:rFonts w:ascii="宋体" w:hAnsi="宋体"/>
                <w:szCs w:val="21"/>
              </w:rPr>
              <w:t>100</w:t>
            </w:r>
            <w:r>
              <w:rPr>
                <w:rFonts w:hint="eastAsia" w:ascii="宋体" w:hAnsi="宋体"/>
                <w:szCs w:val="21"/>
              </w:rPr>
              <w:t>分）</w:t>
            </w:r>
          </w:p>
        </w:tc>
        <w:tc>
          <w:tcPr>
            <w:tcW w:w="7465" w:type="dxa"/>
            <w:tcBorders>
              <w:top w:val="single" w:color="000000" w:sz="4" w:space="0"/>
              <w:left w:val="single" w:color="000000" w:sz="4" w:space="0"/>
              <w:bottom w:val="single" w:color="auto" w:sz="4" w:space="0"/>
              <w:right w:val="single" w:color="000000" w:sz="4" w:space="0"/>
            </w:tcBorders>
            <w:shd w:val="clear" w:color="auto" w:fill="auto"/>
          </w:tcPr>
          <w:p w14:paraId="3F566EE5">
            <w:pPr>
              <w:adjustRightInd w:val="0"/>
              <w:snapToGrid w:val="0"/>
              <w:ind w:firstLine="210" w:firstLineChars="100"/>
              <w:rPr>
                <w:rFonts w:ascii="宋体" w:hAnsi="宋体"/>
                <w:szCs w:val="21"/>
              </w:rPr>
            </w:pPr>
            <w:r>
              <w:rPr>
                <w:rFonts w:hint="eastAsia" w:ascii="宋体" w:hAnsi="宋体"/>
                <w:szCs w:val="21"/>
              </w:rPr>
              <w:t>施工组织设计：40分</w:t>
            </w:r>
          </w:p>
          <w:p w14:paraId="71E922D3">
            <w:pPr>
              <w:adjustRightInd w:val="0"/>
              <w:snapToGrid w:val="0"/>
              <w:ind w:firstLine="210" w:firstLineChars="100"/>
              <w:rPr>
                <w:rFonts w:ascii="宋体" w:hAnsi="宋体"/>
                <w:szCs w:val="21"/>
              </w:rPr>
            </w:pPr>
            <w:r>
              <w:rPr>
                <w:rFonts w:hint="eastAsia" w:ascii="宋体" w:hAnsi="宋体"/>
                <w:szCs w:val="21"/>
              </w:rPr>
              <w:t>主要人员：25分</w:t>
            </w:r>
          </w:p>
          <w:p w14:paraId="17E9FE7A">
            <w:pPr>
              <w:adjustRightInd w:val="0"/>
              <w:snapToGrid w:val="0"/>
              <w:ind w:firstLine="210" w:firstLineChars="100"/>
              <w:rPr>
                <w:rFonts w:ascii="宋体" w:hAnsi="宋体"/>
                <w:szCs w:val="21"/>
              </w:rPr>
            </w:pPr>
            <w:r>
              <w:rPr>
                <w:rFonts w:hint="eastAsia" w:ascii="宋体" w:hAnsi="宋体"/>
                <w:szCs w:val="21"/>
              </w:rPr>
              <w:t>履约信誉：15分</w:t>
            </w:r>
          </w:p>
          <w:p w14:paraId="06D451AF">
            <w:pPr>
              <w:adjustRightInd w:val="0"/>
              <w:snapToGrid w:val="0"/>
              <w:ind w:firstLine="210" w:firstLineChars="100"/>
              <w:rPr>
                <w:rFonts w:ascii="宋体" w:hAnsi="宋体"/>
                <w:szCs w:val="21"/>
              </w:rPr>
            </w:pPr>
            <w:r>
              <w:rPr>
                <w:rFonts w:hint="eastAsia" w:ascii="宋体" w:hAnsi="宋体"/>
                <w:szCs w:val="21"/>
              </w:rPr>
              <w:t>企业业绩：20分</w:t>
            </w:r>
          </w:p>
        </w:tc>
      </w:tr>
      <w:tr w14:paraId="782E5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cantSplit/>
          <w:trHeight w:val="20" w:hRule="atLeast"/>
        </w:trPr>
        <w:tc>
          <w:tcPr>
            <w:tcW w:w="856" w:type="dxa"/>
            <w:tcBorders>
              <w:top w:val="single" w:color="000000" w:sz="4" w:space="0"/>
              <w:left w:val="single" w:color="000000" w:sz="4" w:space="0"/>
              <w:bottom w:val="single" w:color="auto" w:sz="4" w:space="0"/>
              <w:right w:val="single" w:color="000000" w:sz="4" w:space="0"/>
            </w:tcBorders>
            <w:shd w:val="clear" w:color="auto" w:fill="auto"/>
            <w:vAlign w:val="center"/>
          </w:tcPr>
          <w:p w14:paraId="4C9382DE">
            <w:pPr>
              <w:autoSpaceDE w:val="0"/>
              <w:autoSpaceDN w:val="0"/>
              <w:adjustRightInd w:val="0"/>
              <w:snapToGrid w:val="0"/>
              <w:spacing w:line="300" w:lineRule="auto"/>
              <w:ind w:firstLine="210" w:firstLineChars="100"/>
              <w:rPr>
                <w:rFonts w:ascii="宋体" w:hAnsi="宋体"/>
                <w:szCs w:val="21"/>
              </w:rPr>
            </w:pPr>
            <w:r>
              <w:rPr>
                <w:rFonts w:hint="eastAsia" w:ascii="宋体" w:hAnsi="宋体"/>
                <w:szCs w:val="21"/>
              </w:rPr>
              <w:t>2.2.</w:t>
            </w:r>
            <w:r>
              <w:rPr>
                <w:rFonts w:ascii="宋体" w:hAnsi="宋体"/>
                <w:szCs w:val="21"/>
              </w:rPr>
              <w:t>3</w:t>
            </w:r>
          </w:p>
        </w:tc>
        <w:tc>
          <w:tcPr>
            <w:tcW w:w="1389" w:type="dxa"/>
            <w:tcBorders>
              <w:top w:val="single" w:color="000000" w:sz="4" w:space="0"/>
              <w:left w:val="single" w:color="000000" w:sz="4" w:space="0"/>
              <w:bottom w:val="single" w:color="auto" w:sz="4" w:space="0"/>
              <w:right w:val="single" w:color="000000" w:sz="4" w:space="0"/>
            </w:tcBorders>
            <w:shd w:val="clear" w:color="auto" w:fill="auto"/>
            <w:vAlign w:val="center"/>
          </w:tcPr>
          <w:p w14:paraId="52104F92">
            <w:pPr>
              <w:adjustRightInd w:val="0"/>
              <w:snapToGrid w:val="0"/>
              <w:spacing w:line="300" w:lineRule="auto"/>
              <w:jc w:val="center"/>
              <w:rPr>
                <w:rFonts w:ascii="宋体" w:hAnsi="宋体"/>
                <w:szCs w:val="21"/>
              </w:rPr>
            </w:pPr>
            <w:r>
              <w:rPr>
                <w:rFonts w:hint="eastAsia" w:ascii="宋体" w:hAnsi="宋体"/>
                <w:szCs w:val="21"/>
              </w:rPr>
              <w:t>第二个信封</w:t>
            </w:r>
          </w:p>
          <w:p w14:paraId="56C97479">
            <w:pPr>
              <w:adjustRightInd w:val="0"/>
              <w:snapToGrid w:val="0"/>
              <w:spacing w:line="300" w:lineRule="auto"/>
              <w:jc w:val="center"/>
              <w:rPr>
                <w:rFonts w:ascii="宋体" w:hAnsi="宋体"/>
                <w:szCs w:val="21"/>
              </w:rPr>
            </w:pPr>
            <w:r>
              <w:rPr>
                <w:rFonts w:hint="eastAsia" w:ascii="宋体" w:hAnsi="宋体"/>
                <w:szCs w:val="21"/>
              </w:rPr>
              <w:t>详细评审标准</w:t>
            </w:r>
          </w:p>
        </w:tc>
        <w:tc>
          <w:tcPr>
            <w:tcW w:w="7465" w:type="dxa"/>
            <w:tcBorders>
              <w:top w:val="single" w:color="000000" w:sz="4" w:space="0"/>
              <w:left w:val="single" w:color="000000" w:sz="4" w:space="0"/>
              <w:bottom w:val="single" w:color="auto" w:sz="4" w:space="0"/>
              <w:right w:val="single" w:color="000000" w:sz="4" w:space="0"/>
            </w:tcBorders>
            <w:shd w:val="clear" w:color="auto" w:fill="auto"/>
            <w:vAlign w:val="center"/>
          </w:tcPr>
          <w:p w14:paraId="09861708">
            <w:pPr>
              <w:adjustRightInd w:val="0"/>
              <w:snapToGrid w:val="0"/>
              <w:ind w:firstLine="210" w:firstLineChars="100"/>
              <w:rPr>
                <w:rFonts w:ascii="宋体" w:hAnsi="宋体"/>
                <w:szCs w:val="21"/>
              </w:rPr>
            </w:pPr>
            <w:r>
              <w:rPr>
                <w:rFonts w:hint="eastAsia" w:ascii="宋体" w:hAnsi="宋体"/>
                <w:szCs w:val="21"/>
              </w:rPr>
              <w:t>评标价计算公式：评标价=投标函文字报价</w:t>
            </w:r>
          </w:p>
        </w:tc>
      </w:tr>
      <w:tr w14:paraId="64D16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cantSplit/>
          <w:trHeight w:val="20" w:hRule="atLeast"/>
        </w:trPr>
        <w:tc>
          <w:tcPr>
            <w:tcW w:w="856" w:type="dxa"/>
            <w:tcBorders>
              <w:top w:val="single" w:color="000000" w:sz="4" w:space="0"/>
              <w:left w:val="single" w:color="000000" w:sz="4" w:space="0"/>
              <w:bottom w:val="single" w:color="auto" w:sz="4" w:space="0"/>
              <w:right w:val="single" w:color="000000" w:sz="4" w:space="0"/>
            </w:tcBorders>
            <w:shd w:val="clear" w:color="auto" w:fill="auto"/>
            <w:vAlign w:val="center"/>
          </w:tcPr>
          <w:p w14:paraId="24A2BAD7">
            <w:pPr>
              <w:autoSpaceDE w:val="0"/>
              <w:autoSpaceDN w:val="0"/>
              <w:adjustRightInd w:val="0"/>
              <w:snapToGrid w:val="0"/>
              <w:spacing w:line="300" w:lineRule="auto"/>
              <w:ind w:firstLine="210" w:firstLineChars="100"/>
              <w:rPr>
                <w:rFonts w:ascii="宋体" w:hAnsi="宋体"/>
                <w:szCs w:val="21"/>
              </w:rPr>
            </w:pPr>
            <w:r>
              <w:rPr>
                <w:rFonts w:hint="eastAsia" w:ascii="宋体" w:hAnsi="宋体"/>
                <w:szCs w:val="21"/>
              </w:rPr>
              <w:t>3.2.4</w:t>
            </w:r>
          </w:p>
        </w:tc>
        <w:tc>
          <w:tcPr>
            <w:tcW w:w="1389" w:type="dxa"/>
            <w:tcBorders>
              <w:top w:val="single" w:color="000000" w:sz="4" w:space="0"/>
              <w:left w:val="single" w:color="000000" w:sz="4" w:space="0"/>
              <w:bottom w:val="single" w:color="auto" w:sz="4" w:space="0"/>
              <w:right w:val="single" w:color="000000" w:sz="4" w:space="0"/>
            </w:tcBorders>
            <w:shd w:val="clear" w:color="auto" w:fill="auto"/>
            <w:vAlign w:val="center"/>
          </w:tcPr>
          <w:p w14:paraId="11E692DD">
            <w:pPr>
              <w:adjustRightInd w:val="0"/>
              <w:snapToGrid w:val="0"/>
              <w:spacing w:line="300" w:lineRule="auto"/>
              <w:jc w:val="center"/>
              <w:rPr>
                <w:rFonts w:ascii="宋体" w:hAnsi="宋体"/>
                <w:szCs w:val="21"/>
              </w:rPr>
            </w:pPr>
            <w:r>
              <w:rPr>
                <w:rFonts w:hint="eastAsia" w:ascii="宋体" w:hAnsi="宋体"/>
                <w:szCs w:val="21"/>
              </w:rPr>
              <w:t>通过第一个</w:t>
            </w:r>
          </w:p>
          <w:p w14:paraId="559CEA12">
            <w:pPr>
              <w:adjustRightInd w:val="0"/>
              <w:snapToGrid w:val="0"/>
              <w:spacing w:line="300" w:lineRule="auto"/>
              <w:jc w:val="center"/>
              <w:rPr>
                <w:rFonts w:ascii="宋体" w:hAnsi="宋体"/>
                <w:szCs w:val="21"/>
              </w:rPr>
            </w:pPr>
            <w:r>
              <w:rPr>
                <w:rFonts w:hint="eastAsia" w:ascii="宋体" w:hAnsi="宋体"/>
                <w:szCs w:val="21"/>
              </w:rPr>
              <w:t>信封详细评审的投标人数量</w:t>
            </w:r>
          </w:p>
        </w:tc>
        <w:tc>
          <w:tcPr>
            <w:tcW w:w="7465" w:type="dxa"/>
            <w:tcBorders>
              <w:top w:val="single" w:color="000000" w:sz="4" w:space="0"/>
              <w:left w:val="single" w:color="000000" w:sz="4" w:space="0"/>
              <w:bottom w:val="single" w:color="auto" w:sz="4" w:space="0"/>
              <w:right w:val="single" w:color="000000" w:sz="4" w:space="0"/>
            </w:tcBorders>
            <w:shd w:val="clear" w:color="auto" w:fill="auto"/>
          </w:tcPr>
          <w:p w14:paraId="7FCCA0CF">
            <w:pPr>
              <w:adjustRightInd w:val="0"/>
              <w:snapToGrid w:val="0"/>
              <w:ind w:firstLine="210" w:firstLineChars="100"/>
              <w:rPr>
                <w:rFonts w:ascii="宋体" w:hAnsi="宋体"/>
                <w:szCs w:val="21"/>
              </w:rPr>
            </w:pPr>
            <w:r>
              <w:rPr>
                <w:rFonts w:hint="eastAsia" w:ascii="宋体" w:hAnsi="宋体"/>
                <w:szCs w:val="21"/>
              </w:rPr>
              <w:t>按照投标人的商务和技术得分由高到低排序，选择前3名通过详细评审。</w:t>
            </w:r>
          </w:p>
          <w:p w14:paraId="68421118">
            <w:pPr>
              <w:adjustRightInd w:val="0"/>
              <w:snapToGrid w:val="0"/>
              <w:ind w:firstLine="210" w:firstLineChars="100"/>
              <w:rPr>
                <w:rFonts w:ascii="宋体" w:hAnsi="宋体"/>
                <w:szCs w:val="21"/>
              </w:rPr>
            </w:pPr>
            <w:r>
              <w:rPr>
                <w:rFonts w:ascii="宋体" w:hAnsi="宋体"/>
                <w:szCs w:val="21"/>
              </w:rPr>
              <w:t>如同一标段出现多名投标人的</w:t>
            </w:r>
            <w:r>
              <w:rPr>
                <w:rFonts w:hint="eastAsia" w:ascii="宋体" w:hAnsi="宋体"/>
                <w:szCs w:val="21"/>
              </w:rPr>
              <w:t>商务和技术得分</w:t>
            </w:r>
            <w:r>
              <w:rPr>
                <w:rFonts w:ascii="宋体" w:hAnsi="宋体"/>
                <w:szCs w:val="21"/>
              </w:rPr>
              <w:t>相等时，则按照以下</w:t>
            </w:r>
            <w:r>
              <w:rPr>
                <w:rFonts w:hint="eastAsia" w:ascii="宋体" w:hAnsi="宋体"/>
                <w:szCs w:val="21"/>
              </w:rPr>
              <w:t>优先顺序进行</w:t>
            </w:r>
            <w:r>
              <w:rPr>
                <w:rFonts w:ascii="宋体" w:hAnsi="宋体"/>
                <w:szCs w:val="21"/>
              </w:rPr>
              <w:t>排序：</w:t>
            </w:r>
          </w:p>
          <w:p w14:paraId="4996B523">
            <w:pPr>
              <w:adjustRightInd w:val="0"/>
              <w:snapToGrid w:val="0"/>
              <w:ind w:firstLine="210" w:firstLineChars="100"/>
              <w:rPr>
                <w:rFonts w:ascii="宋体" w:hAnsi="宋体"/>
                <w:szCs w:val="21"/>
              </w:rPr>
            </w:pPr>
            <w:r>
              <w:rPr>
                <w:rFonts w:hint="eastAsia" w:ascii="宋体" w:hAnsi="宋体"/>
                <w:szCs w:val="21"/>
              </w:rPr>
              <w:t>a</w:t>
            </w:r>
            <w:r>
              <w:rPr>
                <w:rFonts w:ascii="宋体" w:hAnsi="宋体"/>
                <w:szCs w:val="21"/>
              </w:rPr>
              <w:t>. 施工组织设计得分较高者</w:t>
            </w:r>
            <w:r>
              <w:rPr>
                <w:rFonts w:hint="eastAsia" w:ascii="宋体" w:hAnsi="宋体"/>
                <w:szCs w:val="21"/>
              </w:rPr>
              <w:t>排序在先</w:t>
            </w:r>
            <w:r>
              <w:rPr>
                <w:rFonts w:ascii="宋体" w:hAnsi="宋体"/>
                <w:szCs w:val="21"/>
              </w:rPr>
              <w:t>；</w:t>
            </w:r>
          </w:p>
          <w:p w14:paraId="35AFDD60">
            <w:pPr>
              <w:adjustRightInd w:val="0"/>
              <w:snapToGrid w:val="0"/>
              <w:ind w:firstLine="210" w:firstLineChars="100"/>
              <w:rPr>
                <w:rFonts w:ascii="宋体" w:hAnsi="宋体"/>
                <w:szCs w:val="21"/>
              </w:rPr>
            </w:pPr>
            <w:r>
              <w:rPr>
                <w:rFonts w:hint="eastAsia" w:ascii="宋体" w:hAnsi="宋体"/>
                <w:szCs w:val="21"/>
              </w:rPr>
              <w:t>b</w:t>
            </w:r>
            <w:r>
              <w:rPr>
                <w:rFonts w:ascii="宋体" w:hAnsi="宋体"/>
                <w:szCs w:val="21"/>
              </w:rPr>
              <w:t>.</w:t>
            </w:r>
            <w:r>
              <w:rPr>
                <w:rFonts w:hint="eastAsia" w:ascii="宋体" w:hAnsi="宋体"/>
                <w:szCs w:val="21"/>
              </w:rPr>
              <w:t xml:space="preserve"> 主要人员</w:t>
            </w:r>
            <w:r>
              <w:rPr>
                <w:rFonts w:ascii="宋体" w:hAnsi="宋体"/>
                <w:szCs w:val="21"/>
              </w:rPr>
              <w:t>得分较高者</w:t>
            </w:r>
            <w:r>
              <w:rPr>
                <w:rFonts w:hint="eastAsia" w:ascii="宋体" w:hAnsi="宋体"/>
                <w:szCs w:val="21"/>
              </w:rPr>
              <w:t>排序在先</w:t>
            </w:r>
            <w:r>
              <w:rPr>
                <w:rFonts w:ascii="宋体" w:hAnsi="宋体"/>
                <w:szCs w:val="21"/>
              </w:rPr>
              <w:t>；</w:t>
            </w:r>
          </w:p>
          <w:p w14:paraId="36CC87AA">
            <w:pPr>
              <w:adjustRightInd w:val="0"/>
              <w:snapToGrid w:val="0"/>
              <w:ind w:firstLine="210" w:firstLineChars="100"/>
              <w:rPr>
                <w:rFonts w:ascii="宋体" w:hAnsi="宋体"/>
                <w:szCs w:val="21"/>
              </w:rPr>
            </w:pPr>
            <w:r>
              <w:rPr>
                <w:rFonts w:hint="eastAsia" w:ascii="宋体" w:hAnsi="宋体"/>
                <w:szCs w:val="21"/>
              </w:rPr>
              <w:t>c</w:t>
            </w:r>
            <w:r>
              <w:rPr>
                <w:rFonts w:ascii="宋体" w:hAnsi="宋体"/>
                <w:szCs w:val="21"/>
              </w:rPr>
              <w:t>.</w:t>
            </w:r>
            <w:r>
              <w:rPr>
                <w:rFonts w:hint="eastAsia" w:ascii="宋体" w:hAnsi="宋体"/>
                <w:szCs w:val="21"/>
              </w:rPr>
              <w:t xml:space="preserve"> 履约信誉</w:t>
            </w:r>
            <w:r>
              <w:rPr>
                <w:rFonts w:ascii="宋体" w:hAnsi="宋体"/>
                <w:szCs w:val="21"/>
              </w:rPr>
              <w:t>得分较高者</w:t>
            </w:r>
            <w:r>
              <w:rPr>
                <w:rFonts w:hint="eastAsia" w:ascii="宋体" w:hAnsi="宋体"/>
                <w:szCs w:val="21"/>
              </w:rPr>
              <w:t>排序在先</w:t>
            </w:r>
            <w:r>
              <w:rPr>
                <w:rFonts w:ascii="宋体" w:hAnsi="宋体"/>
                <w:szCs w:val="21"/>
              </w:rPr>
              <w:t>。</w:t>
            </w:r>
          </w:p>
          <w:p w14:paraId="5F7D4BCA">
            <w:pPr>
              <w:adjustRightInd w:val="0"/>
              <w:snapToGrid w:val="0"/>
              <w:ind w:firstLine="210" w:firstLineChars="100"/>
              <w:rPr>
                <w:rFonts w:ascii="宋体" w:hAnsi="宋体"/>
                <w:szCs w:val="21"/>
              </w:rPr>
            </w:pPr>
            <w:r>
              <w:rPr>
                <w:rFonts w:ascii="宋体" w:hAnsi="宋体"/>
                <w:szCs w:val="21"/>
              </w:rPr>
              <w:t>若以上各项评分因素得分都相等，则通过评委会投票表决，推荐票数多的投标人</w:t>
            </w:r>
            <w:r>
              <w:rPr>
                <w:rFonts w:hint="eastAsia" w:ascii="宋体" w:hAnsi="宋体"/>
                <w:szCs w:val="21"/>
              </w:rPr>
              <w:t>排序</w:t>
            </w:r>
            <w:r>
              <w:rPr>
                <w:rFonts w:ascii="宋体" w:hAnsi="宋体"/>
                <w:szCs w:val="21"/>
              </w:rPr>
              <w:t>在先</w:t>
            </w:r>
            <w:r>
              <w:rPr>
                <w:rFonts w:hint="eastAsia" w:ascii="宋体" w:hAnsi="宋体"/>
                <w:szCs w:val="21"/>
              </w:rPr>
              <w:t>。</w:t>
            </w:r>
          </w:p>
        </w:tc>
      </w:tr>
    </w:tbl>
    <w:p w14:paraId="5037F572">
      <w:pPr>
        <w:rPr>
          <w:color w:val="FF0000"/>
        </w:rPr>
      </w:pPr>
    </w:p>
    <w:p w14:paraId="0DCFF9B3">
      <w:pPr>
        <w:rPr>
          <w:color w:val="FF0000"/>
        </w:rPr>
      </w:pPr>
    </w:p>
    <w:p w14:paraId="7EAAEEFD">
      <w:pPr>
        <w:rPr>
          <w:color w:val="FF0000"/>
        </w:rPr>
      </w:pPr>
    </w:p>
    <w:p w14:paraId="7E9F4B21">
      <w:pPr>
        <w:rPr>
          <w:color w:val="FF0000"/>
        </w:rPr>
      </w:pPr>
    </w:p>
    <w:p w14:paraId="40122E7E">
      <w:pPr>
        <w:rPr>
          <w:color w:val="FF0000"/>
        </w:rPr>
      </w:pPr>
    </w:p>
    <w:p w14:paraId="148E7B35">
      <w:pPr>
        <w:rPr>
          <w:color w:val="FF0000"/>
        </w:rPr>
      </w:pPr>
    </w:p>
    <w:p w14:paraId="39195527">
      <w:pPr>
        <w:widowControl/>
        <w:jc w:val="left"/>
        <w:rPr>
          <w:color w:val="FF0000"/>
        </w:rPr>
      </w:pPr>
      <w:r>
        <w:rPr>
          <w:color w:val="FF0000"/>
        </w:rPr>
        <w:br w:type="page"/>
      </w:r>
    </w:p>
    <w:p w14:paraId="1BE49C27">
      <w:pPr>
        <w:jc w:val="right"/>
        <w:rPr>
          <w:rFonts w:ascii="宋体" w:hAnsi="宋体" w:cs="宋体"/>
          <w:sz w:val="24"/>
          <w:szCs w:val="24"/>
        </w:rPr>
      </w:pPr>
      <w:r>
        <w:t>续上表</w:t>
      </w:r>
    </w:p>
    <w:tbl>
      <w:tblPr>
        <w:tblStyle w:val="7"/>
        <w:tblW w:w="966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86"/>
        <w:gridCol w:w="500"/>
        <w:gridCol w:w="502"/>
        <w:gridCol w:w="993"/>
        <w:gridCol w:w="2125"/>
        <w:gridCol w:w="531"/>
        <w:gridCol w:w="4430"/>
      </w:tblGrid>
      <w:tr w14:paraId="4981E3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atLeast"/>
          <w:tblHeader/>
        </w:trPr>
        <w:tc>
          <w:tcPr>
            <w:tcW w:w="5237" w:type="dxa"/>
            <w:gridSpan w:val="6"/>
            <w:tcBorders>
              <w:top w:val="single" w:color="auto" w:sz="4" w:space="0"/>
              <w:left w:val="single" w:color="auto" w:sz="4" w:space="0"/>
            </w:tcBorders>
            <w:vAlign w:val="center"/>
          </w:tcPr>
          <w:p w14:paraId="2C47359F">
            <w:pPr>
              <w:adjustRightInd w:val="0"/>
              <w:snapToGrid w:val="0"/>
              <w:spacing w:before="24" w:beforeLines="10" w:after="24" w:afterLines="10"/>
              <w:jc w:val="center"/>
              <w:rPr>
                <w:rFonts w:ascii="宋体" w:hAnsi="宋体"/>
              </w:rPr>
            </w:pPr>
            <w:r>
              <w:rPr>
                <w:rFonts w:ascii="宋体" w:hAnsi="宋体"/>
              </w:rPr>
              <w:t>评分因素与拟定权重分值</w:t>
            </w:r>
          </w:p>
        </w:tc>
        <w:tc>
          <w:tcPr>
            <w:tcW w:w="4430" w:type="dxa"/>
            <w:vMerge w:val="restart"/>
            <w:tcBorders>
              <w:top w:val="single" w:color="auto" w:sz="4" w:space="0"/>
              <w:right w:val="single" w:color="auto" w:sz="4" w:space="0"/>
            </w:tcBorders>
            <w:vAlign w:val="center"/>
          </w:tcPr>
          <w:p w14:paraId="42E0EA1B">
            <w:pPr>
              <w:adjustRightInd w:val="0"/>
              <w:snapToGrid w:val="0"/>
              <w:spacing w:before="24" w:beforeLines="10" w:after="24" w:afterLines="10"/>
              <w:jc w:val="center"/>
              <w:rPr>
                <w:rFonts w:ascii="宋体" w:hAnsi="宋体"/>
              </w:rPr>
            </w:pPr>
            <w:r>
              <w:rPr>
                <w:rFonts w:ascii="宋体" w:hAnsi="宋体"/>
              </w:rPr>
              <w:t>评分标准</w:t>
            </w:r>
          </w:p>
        </w:tc>
      </w:tr>
      <w:tr w14:paraId="781E9D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atLeast"/>
          <w:tblHeader/>
        </w:trPr>
        <w:tc>
          <w:tcPr>
            <w:tcW w:w="586" w:type="dxa"/>
            <w:tcBorders>
              <w:left w:val="single" w:color="auto" w:sz="4" w:space="0"/>
            </w:tcBorders>
            <w:vAlign w:val="center"/>
          </w:tcPr>
          <w:p w14:paraId="16FCC45A">
            <w:pPr>
              <w:adjustRightInd w:val="0"/>
              <w:snapToGrid w:val="0"/>
              <w:spacing w:before="24" w:beforeLines="10" w:after="24" w:afterLines="10"/>
              <w:jc w:val="center"/>
              <w:rPr>
                <w:rFonts w:ascii="宋体" w:hAnsi="宋体"/>
              </w:rPr>
            </w:pPr>
            <w:r>
              <w:rPr>
                <w:rFonts w:ascii="宋体" w:hAnsi="宋体"/>
              </w:rPr>
              <w:t>条款</w:t>
            </w:r>
          </w:p>
          <w:p w14:paraId="7A056870">
            <w:pPr>
              <w:adjustRightInd w:val="0"/>
              <w:snapToGrid w:val="0"/>
              <w:spacing w:before="24" w:beforeLines="10" w:after="24" w:afterLines="10"/>
              <w:jc w:val="center"/>
              <w:rPr>
                <w:rFonts w:ascii="宋体" w:hAnsi="宋体"/>
              </w:rPr>
            </w:pPr>
            <w:r>
              <w:rPr>
                <w:rFonts w:ascii="宋体" w:hAnsi="宋体"/>
              </w:rPr>
              <w:t>号</w:t>
            </w:r>
          </w:p>
        </w:tc>
        <w:tc>
          <w:tcPr>
            <w:tcW w:w="1002" w:type="dxa"/>
            <w:gridSpan w:val="2"/>
            <w:vAlign w:val="center"/>
          </w:tcPr>
          <w:p w14:paraId="3C849649">
            <w:pPr>
              <w:adjustRightInd w:val="0"/>
              <w:snapToGrid w:val="0"/>
              <w:spacing w:before="24" w:beforeLines="10" w:after="24" w:afterLines="10"/>
              <w:jc w:val="center"/>
              <w:rPr>
                <w:rFonts w:ascii="宋体" w:hAnsi="宋体"/>
              </w:rPr>
            </w:pPr>
            <w:r>
              <w:rPr>
                <w:rFonts w:ascii="宋体" w:hAnsi="宋体"/>
              </w:rPr>
              <w:t>评分</w:t>
            </w:r>
          </w:p>
          <w:p w14:paraId="45864343">
            <w:pPr>
              <w:adjustRightInd w:val="0"/>
              <w:snapToGrid w:val="0"/>
              <w:spacing w:before="24" w:beforeLines="10" w:after="24" w:afterLines="10"/>
              <w:jc w:val="center"/>
              <w:rPr>
                <w:rFonts w:ascii="宋体" w:hAnsi="宋体"/>
              </w:rPr>
            </w:pPr>
            <w:r>
              <w:rPr>
                <w:rFonts w:ascii="宋体" w:hAnsi="宋体"/>
              </w:rPr>
              <w:t>因素</w:t>
            </w:r>
          </w:p>
        </w:tc>
        <w:tc>
          <w:tcPr>
            <w:tcW w:w="993" w:type="dxa"/>
            <w:vAlign w:val="center"/>
          </w:tcPr>
          <w:p w14:paraId="4ACF4BE3">
            <w:pPr>
              <w:adjustRightInd w:val="0"/>
              <w:snapToGrid w:val="0"/>
              <w:spacing w:before="24" w:beforeLines="10" w:after="24" w:afterLines="10"/>
              <w:jc w:val="center"/>
              <w:rPr>
                <w:rFonts w:ascii="宋体" w:hAnsi="宋体"/>
              </w:rPr>
            </w:pPr>
            <w:r>
              <w:rPr>
                <w:rFonts w:ascii="宋体" w:hAnsi="宋体"/>
              </w:rPr>
              <w:t>评分因素</w:t>
            </w:r>
          </w:p>
          <w:p w14:paraId="0D9F288C">
            <w:pPr>
              <w:adjustRightInd w:val="0"/>
              <w:snapToGrid w:val="0"/>
              <w:spacing w:before="24" w:beforeLines="10" w:after="24" w:afterLines="10"/>
              <w:jc w:val="center"/>
              <w:rPr>
                <w:rFonts w:ascii="宋体" w:hAnsi="宋体"/>
              </w:rPr>
            </w:pPr>
            <w:r>
              <w:rPr>
                <w:rFonts w:ascii="宋体" w:hAnsi="宋体"/>
              </w:rPr>
              <w:t>权重分值</w:t>
            </w:r>
          </w:p>
        </w:tc>
        <w:tc>
          <w:tcPr>
            <w:tcW w:w="2125" w:type="dxa"/>
            <w:vAlign w:val="center"/>
          </w:tcPr>
          <w:p w14:paraId="2DE3379C">
            <w:pPr>
              <w:adjustRightInd w:val="0"/>
              <w:snapToGrid w:val="0"/>
              <w:spacing w:before="24" w:beforeLines="10" w:after="24" w:afterLines="10"/>
              <w:jc w:val="center"/>
              <w:rPr>
                <w:rFonts w:ascii="宋体" w:hAnsi="宋体"/>
              </w:rPr>
            </w:pPr>
            <w:r>
              <w:rPr>
                <w:rFonts w:ascii="宋体" w:hAnsi="宋体"/>
              </w:rPr>
              <w:t>各评分因</w:t>
            </w:r>
          </w:p>
          <w:p w14:paraId="00D930B8">
            <w:pPr>
              <w:adjustRightInd w:val="0"/>
              <w:snapToGrid w:val="0"/>
              <w:spacing w:before="24" w:beforeLines="10" w:after="24" w:afterLines="10"/>
              <w:jc w:val="center"/>
              <w:rPr>
                <w:rFonts w:ascii="宋体" w:hAnsi="宋体"/>
              </w:rPr>
            </w:pPr>
            <w:r>
              <w:rPr>
                <w:rFonts w:ascii="宋体" w:hAnsi="宋体"/>
              </w:rPr>
              <w:t>素细分项</w:t>
            </w:r>
          </w:p>
        </w:tc>
        <w:tc>
          <w:tcPr>
            <w:tcW w:w="531" w:type="dxa"/>
            <w:vAlign w:val="center"/>
          </w:tcPr>
          <w:p w14:paraId="272EBC8A">
            <w:pPr>
              <w:adjustRightInd w:val="0"/>
              <w:snapToGrid w:val="0"/>
              <w:spacing w:before="24" w:beforeLines="10" w:after="24" w:afterLines="10"/>
              <w:jc w:val="center"/>
              <w:rPr>
                <w:rFonts w:ascii="宋体" w:hAnsi="宋体"/>
              </w:rPr>
            </w:pPr>
            <w:r>
              <w:rPr>
                <w:rFonts w:ascii="宋体" w:hAnsi="宋体"/>
              </w:rPr>
              <w:t>分值</w:t>
            </w:r>
          </w:p>
        </w:tc>
        <w:tc>
          <w:tcPr>
            <w:tcW w:w="4430" w:type="dxa"/>
            <w:vMerge w:val="continue"/>
            <w:tcBorders>
              <w:right w:val="single" w:color="auto" w:sz="4" w:space="0"/>
            </w:tcBorders>
            <w:vAlign w:val="center"/>
          </w:tcPr>
          <w:p w14:paraId="4703CEBA">
            <w:pPr>
              <w:adjustRightInd w:val="0"/>
              <w:snapToGrid w:val="0"/>
              <w:spacing w:before="24" w:beforeLines="10" w:after="24" w:afterLines="10"/>
              <w:jc w:val="center"/>
              <w:rPr>
                <w:rFonts w:ascii="宋体" w:hAnsi="宋体"/>
              </w:rPr>
            </w:pPr>
          </w:p>
        </w:tc>
      </w:tr>
      <w:tr w14:paraId="3379CC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6" w:type="dxa"/>
            <w:vMerge w:val="restart"/>
            <w:tcBorders>
              <w:left w:val="single" w:color="auto" w:sz="4" w:space="0"/>
            </w:tcBorders>
            <w:vAlign w:val="center"/>
          </w:tcPr>
          <w:p w14:paraId="49941824">
            <w:pPr>
              <w:adjustRightInd w:val="0"/>
              <w:snapToGrid w:val="0"/>
              <w:spacing w:before="24" w:beforeLines="10" w:after="24" w:afterLines="10"/>
              <w:jc w:val="center"/>
              <w:rPr>
                <w:rFonts w:ascii="宋体" w:hAnsi="宋体"/>
              </w:rPr>
            </w:pPr>
            <w:r>
              <w:rPr>
                <w:rFonts w:ascii="宋体" w:hAnsi="宋体"/>
              </w:rPr>
              <w:t>2.2.</w:t>
            </w:r>
            <w:r>
              <w:rPr>
                <w:rFonts w:hint="eastAsia" w:ascii="宋体" w:hAnsi="宋体"/>
              </w:rPr>
              <w:t>2</w:t>
            </w:r>
            <w:r>
              <w:rPr>
                <w:rFonts w:ascii="宋体" w:hAnsi="宋体"/>
              </w:rPr>
              <w:t>（1）</w:t>
            </w:r>
          </w:p>
        </w:tc>
        <w:tc>
          <w:tcPr>
            <w:tcW w:w="1002" w:type="dxa"/>
            <w:gridSpan w:val="2"/>
            <w:vMerge w:val="restart"/>
            <w:vAlign w:val="center"/>
          </w:tcPr>
          <w:p w14:paraId="516F07B3">
            <w:pPr>
              <w:adjustRightInd w:val="0"/>
              <w:snapToGrid w:val="0"/>
              <w:spacing w:before="24" w:beforeLines="10" w:after="24" w:afterLines="10"/>
              <w:jc w:val="center"/>
              <w:rPr>
                <w:rFonts w:ascii="宋体" w:hAnsi="宋体"/>
              </w:rPr>
            </w:pPr>
            <w:r>
              <w:rPr>
                <w:rFonts w:ascii="宋体" w:hAnsi="宋体"/>
              </w:rPr>
              <w:t>施工组织设计</w:t>
            </w:r>
          </w:p>
        </w:tc>
        <w:tc>
          <w:tcPr>
            <w:tcW w:w="993" w:type="dxa"/>
            <w:vMerge w:val="restart"/>
            <w:vAlign w:val="center"/>
          </w:tcPr>
          <w:p w14:paraId="2B874A13">
            <w:pPr>
              <w:adjustRightInd w:val="0"/>
              <w:snapToGrid w:val="0"/>
              <w:spacing w:before="24" w:beforeLines="10" w:after="24" w:afterLines="10"/>
              <w:jc w:val="center"/>
              <w:rPr>
                <w:rFonts w:ascii="宋体" w:hAnsi="宋体"/>
              </w:rPr>
            </w:pPr>
            <w:r>
              <w:rPr>
                <w:rFonts w:hint="eastAsia" w:ascii="宋体" w:hAnsi="宋体"/>
              </w:rPr>
              <w:t>40</w:t>
            </w:r>
            <w:r>
              <w:rPr>
                <w:rFonts w:ascii="宋体" w:hAnsi="宋体"/>
              </w:rPr>
              <w:t>分</w:t>
            </w:r>
          </w:p>
        </w:tc>
        <w:tc>
          <w:tcPr>
            <w:tcW w:w="2125" w:type="dxa"/>
            <w:vAlign w:val="center"/>
          </w:tcPr>
          <w:p w14:paraId="003191E6">
            <w:pPr>
              <w:ind w:right="113"/>
              <w:jc w:val="center"/>
              <w:rPr>
                <w:rFonts w:ascii="宋体" w:hAnsi="宋体"/>
                <w:szCs w:val="21"/>
              </w:rPr>
            </w:pPr>
            <w:r>
              <w:rPr>
                <w:rFonts w:hint="eastAsia" w:ascii="宋体" w:hAnsi="宋体"/>
                <w:szCs w:val="21"/>
              </w:rPr>
              <w:t>关键工程的施工方案、方法与技术措施</w:t>
            </w:r>
          </w:p>
        </w:tc>
        <w:tc>
          <w:tcPr>
            <w:tcW w:w="531" w:type="dxa"/>
            <w:tcBorders>
              <w:bottom w:val="single" w:color="auto" w:sz="4" w:space="0"/>
            </w:tcBorders>
            <w:vAlign w:val="center"/>
          </w:tcPr>
          <w:p w14:paraId="08B6D39D">
            <w:pPr>
              <w:autoSpaceDE w:val="0"/>
              <w:autoSpaceDN w:val="0"/>
              <w:adjustRightInd w:val="0"/>
              <w:spacing w:line="360" w:lineRule="atLeast"/>
              <w:jc w:val="center"/>
              <w:rPr>
                <w:rFonts w:ascii="宋体" w:hAnsi="宋体" w:cs="宋体"/>
                <w:bCs/>
                <w:szCs w:val="21"/>
              </w:rPr>
            </w:pPr>
            <w:r>
              <w:rPr>
                <w:rFonts w:hint="eastAsia" w:ascii="宋体" w:hAnsi="宋体" w:cs="宋体"/>
                <w:bCs/>
                <w:szCs w:val="21"/>
              </w:rPr>
              <w:t>20</w:t>
            </w:r>
          </w:p>
        </w:tc>
        <w:tc>
          <w:tcPr>
            <w:tcW w:w="4430" w:type="dxa"/>
            <w:tcBorders>
              <w:bottom w:val="single" w:color="auto" w:sz="4" w:space="0"/>
              <w:right w:val="single" w:color="auto" w:sz="4" w:space="0"/>
            </w:tcBorders>
            <w:vAlign w:val="center"/>
          </w:tcPr>
          <w:p w14:paraId="68E0E435">
            <w:pPr>
              <w:jc w:val="left"/>
              <w:rPr>
                <w:rFonts w:ascii="宋体" w:hAnsi="宋体"/>
                <w:kern w:val="0"/>
                <w:szCs w:val="21"/>
              </w:rPr>
            </w:pPr>
            <w:r>
              <w:rPr>
                <w:rFonts w:hint="eastAsia" w:ascii="宋体" w:hAnsi="宋体"/>
                <w:kern w:val="0"/>
                <w:szCs w:val="21"/>
              </w:rPr>
              <w:t>好，16-20 分；</w:t>
            </w:r>
          </w:p>
          <w:p w14:paraId="169FB9FC">
            <w:pPr>
              <w:jc w:val="left"/>
              <w:rPr>
                <w:rFonts w:ascii="宋体" w:hAnsi="宋体"/>
                <w:kern w:val="0"/>
                <w:szCs w:val="21"/>
              </w:rPr>
            </w:pPr>
            <w:r>
              <w:rPr>
                <w:rFonts w:hint="eastAsia" w:ascii="宋体" w:hAnsi="宋体"/>
                <w:kern w:val="0"/>
                <w:szCs w:val="21"/>
              </w:rPr>
              <w:t>较好，12-16分；</w:t>
            </w:r>
          </w:p>
          <w:p w14:paraId="08AEC2F4">
            <w:pPr>
              <w:jc w:val="left"/>
              <w:rPr>
                <w:rFonts w:ascii="宋体" w:hAnsi="宋体"/>
                <w:kern w:val="0"/>
                <w:szCs w:val="21"/>
              </w:rPr>
            </w:pPr>
            <w:r>
              <w:rPr>
                <w:rFonts w:hint="eastAsia" w:ascii="宋体" w:hAnsi="宋体"/>
                <w:kern w:val="0"/>
                <w:szCs w:val="21"/>
              </w:rPr>
              <w:t>一般，12分。</w:t>
            </w:r>
          </w:p>
        </w:tc>
      </w:tr>
      <w:tr w14:paraId="518909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6" w:type="dxa"/>
            <w:vMerge w:val="continue"/>
            <w:tcBorders>
              <w:left w:val="single" w:color="auto" w:sz="4" w:space="0"/>
            </w:tcBorders>
            <w:vAlign w:val="center"/>
          </w:tcPr>
          <w:p w14:paraId="629E9E20">
            <w:pPr>
              <w:adjustRightInd w:val="0"/>
              <w:snapToGrid w:val="0"/>
              <w:spacing w:before="24" w:beforeLines="10" w:after="24" w:afterLines="10"/>
              <w:jc w:val="center"/>
              <w:rPr>
                <w:rFonts w:ascii="宋体" w:hAnsi="宋体"/>
              </w:rPr>
            </w:pPr>
          </w:p>
        </w:tc>
        <w:tc>
          <w:tcPr>
            <w:tcW w:w="1002" w:type="dxa"/>
            <w:gridSpan w:val="2"/>
            <w:vMerge w:val="continue"/>
            <w:vAlign w:val="center"/>
          </w:tcPr>
          <w:p w14:paraId="7A2525C3">
            <w:pPr>
              <w:adjustRightInd w:val="0"/>
              <w:snapToGrid w:val="0"/>
              <w:spacing w:before="24" w:beforeLines="10" w:after="24" w:afterLines="10"/>
              <w:jc w:val="center"/>
              <w:rPr>
                <w:rFonts w:ascii="宋体" w:hAnsi="宋体"/>
              </w:rPr>
            </w:pPr>
          </w:p>
        </w:tc>
        <w:tc>
          <w:tcPr>
            <w:tcW w:w="993" w:type="dxa"/>
            <w:vMerge w:val="continue"/>
            <w:vAlign w:val="center"/>
          </w:tcPr>
          <w:p w14:paraId="7E269881">
            <w:pPr>
              <w:adjustRightInd w:val="0"/>
              <w:snapToGrid w:val="0"/>
              <w:spacing w:before="24" w:beforeLines="10" w:after="24" w:afterLines="10"/>
              <w:jc w:val="center"/>
              <w:rPr>
                <w:rFonts w:ascii="宋体" w:hAnsi="宋体"/>
              </w:rPr>
            </w:pPr>
          </w:p>
        </w:tc>
        <w:tc>
          <w:tcPr>
            <w:tcW w:w="2125" w:type="dxa"/>
            <w:tcBorders>
              <w:top w:val="single" w:color="auto" w:sz="4" w:space="0"/>
            </w:tcBorders>
            <w:vAlign w:val="center"/>
          </w:tcPr>
          <w:p w14:paraId="29B59802">
            <w:pPr>
              <w:ind w:right="113"/>
              <w:jc w:val="center"/>
              <w:rPr>
                <w:rFonts w:ascii="宋体" w:hAnsi="宋体"/>
                <w:szCs w:val="21"/>
              </w:rPr>
            </w:pPr>
            <w:r>
              <w:rPr>
                <w:rFonts w:hint="eastAsia" w:ascii="宋体" w:hAnsi="宋体"/>
                <w:szCs w:val="21"/>
              </w:rPr>
              <w:t>工期保证体系及保证措施</w:t>
            </w:r>
          </w:p>
        </w:tc>
        <w:tc>
          <w:tcPr>
            <w:tcW w:w="531" w:type="dxa"/>
            <w:tcBorders>
              <w:bottom w:val="single" w:color="auto" w:sz="4" w:space="0"/>
            </w:tcBorders>
            <w:vAlign w:val="center"/>
          </w:tcPr>
          <w:p w14:paraId="3695440B">
            <w:pPr>
              <w:autoSpaceDE w:val="0"/>
              <w:autoSpaceDN w:val="0"/>
              <w:adjustRightInd w:val="0"/>
              <w:spacing w:line="360" w:lineRule="atLeast"/>
              <w:jc w:val="center"/>
              <w:rPr>
                <w:rFonts w:ascii="宋体" w:hAnsi="宋体" w:cs="宋体"/>
                <w:bCs/>
                <w:szCs w:val="21"/>
                <w:lang w:val="zh-CN"/>
              </w:rPr>
            </w:pPr>
            <w:r>
              <w:rPr>
                <w:rFonts w:hint="eastAsia" w:ascii="宋体" w:hAnsi="宋体" w:cs="宋体"/>
                <w:bCs/>
                <w:szCs w:val="21"/>
              </w:rPr>
              <w:t>3</w:t>
            </w:r>
          </w:p>
        </w:tc>
        <w:tc>
          <w:tcPr>
            <w:tcW w:w="4430" w:type="dxa"/>
            <w:tcBorders>
              <w:right w:val="single" w:color="auto" w:sz="4" w:space="0"/>
            </w:tcBorders>
            <w:vAlign w:val="center"/>
          </w:tcPr>
          <w:p w14:paraId="17602022">
            <w:pPr>
              <w:jc w:val="left"/>
              <w:rPr>
                <w:rFonts w:ascii="宋体" w:hAnsi="宋体"/>
                <w:kern w:val="0"/>
                <w:szCs w:val="21"/>
              </w:rPr>
            </w:pPr>
            <w:r>
              <w:rPr>
                <w:rFonts w:hint="eastAsia" w:ascii="宋体" w:hAnsi="宋体"/>
                <w:kern w:val="0"/>
                <w:szCs w:val="21"/>
              </w:rPr>
              <w:t>好，2.4-3.0分；</w:t>
            </w:r>
          </w:p>
          <w:p w14:paraId="5DBD6C6D">
            <w:pPr>
              <w:jc w:val="left"/>
              <w:rPr>
                <w:rFonts w:ascii="宋体" w:hAnsi="宋体"/>
                <w:kern w:val="0"/>
                <w:szCs w:val="21"/>
              </w:rPr>
            </w:pPr>
            <w:r>
              <w:rPr>
                <w:rFonts w:hint="eastAsia" w:ascii="宋体" w:hAnsi="宋体"/>
                <w:kern w:val="0"/>
                <w:szCs w:val="21"/>
              </w:rPr>
              <w:t>较好，1.8-2.4分；</w:t>
            </w:r>
          </w:p>
          <w:p w14:paraId="46F574A7">
            <w:pPr>
              <w:rPr>
                <w:rFonts w:ascii="宋体" w:hAnsi="宋体"/>
                <w:szCs w:val="21"/>
              </w:rPr>
            </w:pPr>
            <w:r>
              <w:rPr>
                <w:rFonts w:hint="eastAsia" w:ascii="宋体" w:hAnsi="宋体"/>
                <w:kern w:val="0"/>
                <w:szCs w:val="21"/>
              </w:rPr>
              <w:t>一般，1.8分。</w:t>
            </w:r>
          </w:p>
        </w:tc>
      </w:tr>
      <w:tr w14:paraId="1C736F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6" w:type="dxa"/>
            <w:vMerge w:val="continue"/>
            <w:tcBorders>
              <w:left w:val="single" w:color="auto" w:sz="4" w:space="0"/>
            </w:tcBorders>
            <w:vAlign w:val="center"/>
          </w:tcPr>
          <w:p w14:paraId="113C785E">
            <w:pPr>
              <w:adjustRightInd w:val="0"/>
              <w:snapToGrid w:val="0"/>
              <w:spacing w:before="24" w:beforeLines="10" w:after="24" w:afterLines="10"/>
              <w:jc w:val="center"/>
              <w:rPr>
                <w:rFonts w:ascii="宋体" w:hAnsi="宋体"/>
              </w:rPr>
            </w:pPr>
          </w:p>
        </w:tc>
        <w:tc>
          <w:tcPr>
            <w:tcW w:w="1002" w:type="dxa"/>
            <w:gridSpan w:val="2"/>
            <w:vMerge w:val="continue"/>
            <w:vAlign w:val="center"/>
          </w:tcPr>
          <w:p w14:paraId="57E25DBA">
            <w:pPr>
              <w:adjustRightInd w:val="0"/>
              <w:snapToGrid w:val="0"/>
              <w:spacing w:before="24" w:beforeLines="10" w:after="24" w:afterLines="10"/>
              <w:jc w:val="center"/>
              <w:rPr>
                <w:rFonts w:ascii="宋体" w:hAnsi="宋体"/>
              </w:rPr>
            </w:pPr>
          </w:p>
        </w:tc>
        <w:tc>
          <w:tcPr>
            <w:tcW w:w="993" w:type="dxa"/>
            <w:vMerge w:val="continue"/>
            <w:vAlign w:val="center"/>
          </w:tcPr>
          <w:p w14:paraId="22328F86">
            <w:pPr>
              <w:adjustRightInd w:val="0"/>
              <w:snapToGrid w:val="0"/>
              <w:spacing w:before="24" w:beforeLines="10" w:after="24" w:afterLines="10"/>
              <w:jc w:val="center"/>
              <w:rPr>
                <w:rFonts w:ascii="宋体" w:hAnsi="宋体"/>
              </w:rPr>
            </w:pPr>
          </w:p>
        </w:tc>
        <w:tc>
          <w:tcPr>
            <w:tcW w:w="2125" w:type="dxa"/>
            <w:tcBorders>
              <w:top w:val="single" w:color="auto" w:sz="4" w:space="0"/>
            </w:tcBorders>
            <w:vAlign w:val="center"/>
          </w:tcPr>
          <w:p w14:paraId="08B8D130">
            <w:pPr>
              <w:ind w:right="113"/>
              <w:jc w:val="center"/>
              <w:rPr>
                <w:rFonts w:ascii="宋体" w:hAnsi="宋体"/>
                <w:szCs w:val="21"/>
              </w:rPr>
            </w:pPr>
            <w:r>
              <w:rPr>
                <w:rFonts w:hint="eastAsia" w:ascii="宋体" w:hAnsi="宋体"/>
                <w:szCs w:val="21"/>
              </w:rPr>
              <w:t>工程质量管理体系及保证措施</w:t>
            </w:r>
          </w:p>
        </w:tc>
        <w:tc>
          <w:tcPr>
            <w:tcW w:w="531" w:type="dxa"/>
            <w:tcBorders>
              <w:bottom w:val="single" w:color="auto" w:sz="4" w:space="0"/>
            </w:tcBorders>
            <w:vAlign w:val="center"/>
          </w:tcPr>
          <w:p w14:paraId="353DD92F">
            <w:pPr>
              <w:pStyle w:val="11"/>
              <w:tabs>
                <w:tab w:val="left" w:pos="457"/>
              </w:tabs>
              <w:spacing w:before="60" w:line="360" w:lineRule="atLeast"/>
              <w:jc w:val="center"/>
              <w:rPr>
                <w:sz w:val="21"/>
                <w:szCs w:val="21"/>
              </w:rPr>
            </w:pPr>
            <w:r>
              <w:rPr>
                <w:rFonts w:hint="eastAsia"/>
                <w:sz w:val="21"/>
                <w:szCs w:val="21"/>
              </w:rPr>
              <w:t>5</w:t>
            </w:r>
          </w:p>
        </w:tc>
        <w:tc>
          <w:tcPr>
            <w:tcW w:w="4430" w:type="dxa"/>
            <w:tcBorders>
              <w:right w:val="single" w:color="auto" w:sz="4" w:space="0"/>
            </w:tcBorders>
            <w:vAlign w:val="center"/>
          </w:tcPr>
          <w:p w14:paraId="20C1A323">
            <w:pPr>
              <w:jc w:val="left"/>
              <w:rPr>
                <w:rFonts w:ascii="宋体" w:hAnsi="宋体"/>
                <w:kern w:val="0"/>
                <w:szCs w:val="21"/>
              </w:rPr>
            </w:pPr>
            <w:r>
              <w:rPr>
                <w:rFonts w:hint="eastAsia" w:ascii="宋体" w:hAnsi="宋体"/>
                <w:kern w:val="0"/>
                <w:szCs w:val="21"/>
              </w:rPr>
              <w:t>好，4-5分；</w:t>
            </w:r>
          </w:p>
          <w:p w14:paraId="3F9C3EFF">
            <w:pPr>
              <w:jc w:val="left"/>
              <w:rPr>
                <w:rFonts w:ascii="宋体" w:hAnsi="宋体"/>
                <w:kern w:val="0"/>
                <w:szCs w:val="21"/>
              </w:rPr>
            </w:pPr>
            <w:r>
              <w:rPr>
                <w:rFonts w:hint="eastAsia" w:ascii="宋体" w:hAnsi="宋体"/>
                <w:kern w:val="0"/>
                <w:szCs w:val="21"/>
              </w:rPr>
              <w:t>较好，3-4分；</w:t>
            </w:r>
          </w:p>
          <w:p w14:paraId="682988D6">
            <w:pPr>
              <w:rPr>
                <w:rFonts w:ascii="宋体" w:hAnsi="宋体"/>
                <w:szCs w:val="21"/>
              </w:rPr>
            </w:pPr>
            <w:r>
              <w:rPr>
                <w:rFonts w:hint="eastAsia" w:ascii="宋体" w:hAnsi="宋体"/>
                <w:kern w:val="0"/>
                <w:szCs w:val="21"/>
              </w:rPr>
              <w:t>一般，3分。</w:t>
            </w:r>
          </w:p>
        </w:tc>
      </w:tr>
      <w:tr w14:paraId="3F7689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6" w:type="dxa"/>
            <w:vMerge w:val="continue"/>
            <w:tcBorders>
              <w:left w:val="single" w:color="auto" w:sz="4" w:space="0"/>
            </w:tcBorders>
            <w:vAlign w:val="center"/>
          </w:tcPr>
          <w:p w14:paraId="138A7C91">
            <w:pPr>
              <w:adjustRightInd w:val="0"/>
              <w:snapToGrid w:val="0"/>
              <w:spacing w:before="24" w:beforeLines="10" w:after="24" w:afterLines="10"/>
              <w:jc w:val="center"/>
              <w:rPr>
                <w:rFonts w:ascii="宋体" w:hAnsi="宋体"/>
              </w:rPr>
            </w:pPr>
          </w:p>
        </w:tc>
        <w:tc>
          <w:tcPr>
            <w:tcW w:w="1002" w:type="dxa"/>
            <w:gridSpan w:val="2"/>
            <w:vMerge w:val="continue"/>
            <w:vAlign w:val="center"/>
          </w:tcPr>
          <w:p w14:paraId="42D97714">
            <w:pPr>
              <w:adjustRightInd w:val="0"/>
              <w:snapToGrid w:val="0"/>
              <w:spacing w:before="24" w:beforeLines="10" w:after="24" w:afterLines="10"/>
              <w:jc w:val="center"/>
              <w:rPr>
                <w:rFonts w:ascii="宋体" w:hAnsi="宋体"/>
              </w:rPr>
            </w:pPr>
          </w:p>
        </w:tc>
        <w:tc>
          <w:tcPr>
            <w:tcW w:w="993" w:type="dxa"/>
            <w:vMerge w:val="continue"/>
            <w:vAlign w:val="center"/>
          </w:tcPr>
          <w:p w14:paraId="2BBA2125">
            <w:pPr>
              <w:adjustRightInd w:val="0"/>
              <w:snapToGrid w:val="0"/>
              <w:spacing w:before="24" w:beforeLines="10" w:after="24" w:afterLines="10"/>
              <w:jc w:val="center"/>
              <w:rPr>
                <w:rFonts w:ascii="宋体" w:hAnsi="宋体"/>
              </w:rPr>
            </w:pPr>
          </w:p>
        </w:tc>
        <w:tc>
          <w:tcPr>
            <w:tcW w:w="2125" w:type="dxa"/>
            <w:tcBorders>
              <w:top w:val="single" w:color="auto" w:sz="4" w:space="0"/>
            </w:tcBorders>
            <w:vAlign w:val="center"/>
          </w:tcPr>
          <w:p w14:paraId="1E964AFB">
            <w:pPr>
              <w:ind w:right="113"/>
              <w:jc w:val="center"/>
              <w:rPr>
                <w:rFonts w:ascii="宋体" w:hAnsi="宋体"/>
                <w:szCs w:val="21"/>
              </w:rPr>
            </w:pPr>
            <w:r>
              <w:rPr>
                <w:rFonts w:hint="eastAsia" w:ascii="宋体" w:hAnsi="宋体"/>
                <w:szCs w:val="21"/>
              </w:rPr>
              <w:t>安全生产管理体系及保证措施</w:t>
            </w:r>
          </w:p>
        </w:tc>
        <w:tc>
          <w:tcPr>
            <w:tcW w:w="531" w:type="dxa"/>
            <w:tcBorders>
              <w:bottom w:val="single" w:color="auto" w:sz="4" w:space="0"/>
            </w:tcBorders>
            <w:vAlign w:val="center"/>
          </w:tcPr>
          <w:p w14:paraId="06C73E0D">
            <w:pPr>
              <w:pStyle w:val="11"/>
              <w:tabs>
                <w:tab w:val="left" w:pos="457"/>
              </w:tabs>
              <w:spacing w:before="60" w:line="360" w:lineRule="atLeast"/>
              <w:jc w:val="center"/>
              <w:rPr>
                <w:sz w:val="21"/>
                <w:szCs w:val="21"/>
              </w:rPr>
            </w:pPr>
            <w:r>
              <w:rPr>
                <w:rFonts w:hint="eastAsia"/>
                <w:sz w:val="21"/>
                <w:szCs w:val="21"/>
              </w:rPr>
              <w:t>5</w:t>
            </w:r>
          </w:p>
        </w:tc>
        <w:tc>
          <w:tcPr>
            <w:tcW w:w="4430" w:type="dxa"/>
            <w:tcBorders>
              <w:right w:val="single" w:color="auto" w:sz="4" w:space="0"/>
            </w:tcBorders>
            <w:vAlign w:val="center"/>
          </w:tcPr>
          <w:p w14:paraId="24A43B69">
            <w:pPr>
              <w:jc w:val="left"/>
              <w:rPr>
                <w:rFonts w:ascii="宋体" w:hAnsi="宋体"/>
                <w:kern w:val="0"/>
                <w:szCs w:val="21"/>
              </w:rPr>
            </w:pPr>
            <w:r>
              <w:rPr>
                <w:rFonts w:hint="eastAsia" w:ascii="宋体" w:hAnsi="宋体"/>
                <w:kern w:val="0"/>
                <w:szCs w:val="21"/>
              </w:rPr>
              <w:t>好，4-5分；</w:t>
            </w:r>
          </w:p>
          <w:p w14:paraId="4B87F7F2">
            <w:pPr>
              <w:jc w:val="left"/>
              <w:rPr>
                <w:rFonts w:ascii="宋体" w:hAnsi="宋体"/>
                <w:kern w:val="0"/>
                <w:szCs w:val="21"/>
              </w:rPr>
            </w:pPr>
            <w:r>
              <w:rPr>
                <w:rFonts w:hint="eastAsia" w:ascii="宋体" w:hAnsi="宋体"/>
                <w:kern w:val="0"/>
                <w:szCs w:val="21"/>
              </w:rPr>
              <w:t>较好，3-4分；</w:t>
            </w:r>
          </w:p>
          <w:p w14:paraId="3A3FDFB9">
            <w:pPr>
              <w:rPr>
                <w:rFonts w:ascii="宋体" w:hAnsi="宋体"/>
                <w:szCs w:val="21"/>
              </w:rPr>
            </w:pPr>
            <w:r>
              <w:rPr>
                <w:rFonts w:hint="eastAsia" w:ascii="宋体" w:hAnsi="宋体"/>
                <w:kern w:val="0"/>
                <w:szCs w:val="21"/>
              </w:rPr>
              <w:t>一般，3分。</w:t>
            </w:r>
          </w:p>
        </w:tc>
      </w:tr>
      <w:tr w14:paraId="42D1BA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6" w:type="dxa"/>
            <w:vMerge w:val="continue"/>
            <w:tcBorders>
              <w:left w:val="single" w:color="auto" w:sz="4" w:space="0"/>
            </w:tcBorders>
            <w:vAlign w:val="center"/>
          </w:tcPr>
          <w:p w14:paraId="418FB13E">
            <w:pPr>
              <w:adjustRightInd w:val="0"/>
              <w:snapToGrid w:val="0"/>
              <w:spacing w:before="24" w:beforeLines="10" w:after="24" w:afterLines="10"/>
              <w:jc w:val="center"/>
              <w:rPr>
                <w:rFonts w:ascii="宋体" w:hAnsi="宋体"/>
              </w:rPr>
            </w:pPr>
          </w:p>
        </w:tc>
        <w:tc>
          <w:tcPr>
            <w:tcW w:w="1002" w:type="dxa"/>
            <w:gridSpan w:val="2"/>
            <w:vMerge w:val="continue"/>
            <w:vAlign w:val="center"/>
          </w:tcPr>
          <w:p w14:paraId="408F623A">
            <w:pPr>
              <w:adjustRightInd w:val="0"/>
              <w:snapToGrid w:val="0"/>
              <w:spacing w:before="24" w:beforeLines="10" w:after="24" w:afterLines="10"/>
              <w:jc w:val="center"/>
              <w:rPr>
                <w:rFonts w:ascii="宋体" w:hAnsi="宋体"/>
              </w:rPr>
            </w:pPr>
          </w:p>
        </w:tc>
        <w:tc>
          <w:tcPr>
            <w:tcW w:w="993" w:type="dxa"/>
            <w:vMerge w:val="continue"/>
            <w:vAlign w:val="center"/>
          </w:tcPr>
          <w:p w14:paraId="57B82894">
            <w:pPr>
              <w:adjustRightInd w:val="0"/>
              <w:snapToGrid w:val="0"/>
              <w:spacing w:before="24" w:beforeLines="10" w:after="24" w:afterLines="10"/>
              <w:jc w:val="center"/>
              <w:rPr>
                <w:rFonts w:ascii="宋体" w:hAnsi="宋体"/>
              </w:rPr>
            </w:pPr>
          </w:p>
        </w:tc>
        <w:tc>
          <w:tcPr>
            <w:tcW w:w="2125" w:type="dxa"/>
            <w:tcBorders>
              <w:top w:val="single" w:color="auto" w:sz="4" w:space="0"/>
            </w:tcBorders>
            <w:vAlign w:val="center"/>
          </w:tcPr>
          <w:p w14:paraId="4EF9A9FB">
            <w:pPr>
              <w:ind w:right="113"/>
              <w:jc w:val="center"/>
              <w:rPr>
                <w:rFonts w:ascii="宋体" w:hAnsi="宋体"/>
                <w:szCs w:val="21"/>
              </w:rPr>
            </w:pPr>
            <w:r>
              <w:rPr>
                <w:rFonts w:hint="eastAsia" w:ascii="宋体" w:hAnsi="宋体"/>
                <w:szCs w:val="21"/>
              </w:rPr>
              <w:t>环境保护、水土保持、文明施工、文物保护保证体系及保证措施</w:t>
            </w:r>
          </w:p>
        </w:tc>
        <w:tc>
          <w:tcPr>
            <w:tcW w:w="531" w:type="dxa"/>
            <w:tcBorders>
              <w:bottom w:val="single" w:color="auto" w:sz="4" w:space="0"/>
            </w:tcBorders>
            <w:vAlign w:val="center"/>
          </w:tcPr>
          <w:p w14:paraId="5AFAD175">
            <w:pPr>
              <w:pStyle w:val="11"/>
              <w:tabs>
                <w:tab w:val="left" w:pos="457"/>
              </w:tabs>
              <w:spacing w:before="60" w:line="360" w:lineRule="atLeast"/>
              <w:jc w:val="center"/>
              <w:rPr>
                <w:sz w:val="21"/>
                <w:szCs w:val="21"/>
              </w:rPr>
            </w:pPr>
            <w:r>
              <w:rPr>
                <w:rFonts w:hint="eastAsia"/>
                <w:sz w:val="21"/>
                <w:szCs w:val="21"/>
              </w:rPr>
              <w:t>5</w:t>
            </w:r>
          </w:p>
        </w:tc>
        <w:tc>
          <w:tcPr>
            <w:tcW w:w="4430" w:type="dxa"/>
            <w:tcBorders>
              <w:right w:val="single" w:color="auto" w:sz="4" w:space="0"/>
            </w:tcBorders>
            <w:vAlign w:val="center"/>
          </w:tcPr>
          <w:p w14:paraId="63425616">
            <w:pPr>
              <w:jc w:val="left"/>
              <w:rPr>
                <w:rFonts w:ascii="宋体" w:hAnsi="宋体"/>
                <w:kern w:val="0"/>
                <w:szCs w:val="21"/>
              </w:rPr>
            </w:pPr>
            <w:r>
              <w:rPr>
                <w:rFonts w:hint="eastAsia" w:ascii="宋体" w:hAnsi="宋体"/>
                <w:kern w:val="0"/>
                <w:szCs w:val="21"/>
              </w:rPr>
              <w:t>好，4-5分；</w:t>
            </w:r>
          </w:p>
          <w:p w14:paraId="02ED6901">
            <w:pPr>
              <w:jc w:val="left"/>
              <w:rPr>
                <w:rFonts w:ascii="宋体" w:hAnsi="宋体"/>
                <w:kern w:val="0"/>
                <w:szCs w:val="21"/>
              </w:rPr>
            </w:pPr>
            <w:r>
              <w:rPr>
                <w:rFonts w:hint="eastAsia" w:ascii="宋体" w:hAnsi="宋体"/>
                <w:kern w:val="0"/>
                <w:szCs w:val="21"/>
              </w:rPr>
              <w:t>较好，3-4分；</w:t>
            </w:r>
          </w:p>
          <w:p w14:paraId="68E20B20">
            <w:pPr>
              <w:rPr>
                <w:rFonts w:ascii="宋体" w:hAnsi="宋体"/>
                <w:szCs w:val="21"/>
              </w:rPr>
            </w:pPr>
            <w:r>
              <w:rPr>
                <w:rFonts w:hint="eastAsia" w:ascii="宋体" w:hAnsi="宋体"/>
                <w:kern w:val="0"/>
                <w:szCs w:val="21"/>
              </w:rPr>
              <w:t>一般，3分。</w:t>
            </w:r>
          </w:p>
        </w:tc>
      </w:tr>
      <w:tr w14:paraId="0DD1BB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814" w:hRule="atLeast"/>
        </w:trPr>
        <w:tc>
          <w:tcPr>
            <w:tcW w:w="586" w:type="dxa"/>
            <w:vMerge w:val="continue"/>
            <w:tcBorders>
              <w:left w:val="single" w:color="auto" w:sz="4" w:space="0"/>
            </w:tcBorders>
            <w:vAlign w:val="center"/>
          </w:tcPr>
          <w:p w14:paraId="02EF4BC2">
            <w:pPr>
              <w:adjustRightInd w:val="0"/>
              <w:snapToGrid w:val="0"/>
              <w:spacing w:before="24" w:beforeLines="10" w:after="24" w:afterLines="10"/>
              <w:jc w:val="center"/>
              <w:rPr>
                <w:rFonts w:ascii="宋体" w:hAnsi="宋体"/>
              </w:rPr>
            </w:pPr>
          </w:p>
        </w:tc>
        <w:tc>
          <w:tcPr>
            <w:tcW w:w="1002" w:type="dxa"/>
            <w:gridSpan w:val="2"/>
            <w:vMerge w:val="continue"/>
            <w:vAlign w:val="center"/>
          </w:tcPr>
          <w:p w14:paraId="313A075A">
            <w:pPr>
              <w:adjustRightInd w:val="0"/>
              <w:snapToGrid w:val="0"/>
              <w:spacing w:before="24" w:beforeLines="10" w:after="24" w:afterLines="10"/>
              <w:jc w:val="center"/>
              <w:rPr>
                <w:rFonts w:ascii="宋体" w:hAnsi="宋体"/>
              </w:rPr>
            </w:pPr>
          </w:p>
        </w:tc>
        <w:tc>
          <w:tcPr>
            <w:tcW w:w="993" w:type="dxa"/>
            <w:vMerge w:val="continue"/>
            <w:vAlign w:val="center"/>
          </w:tcPr>
          <w:p w14:paraId="1A38D22E">
            <w:pPr>
              <w:adjustRightInd w:val="0"/>
              <w:snapToGrid w:val="0"/>
              <w:spacing w:before="24" w:beforeLines="10" w:after="24" w:afterLines="10"/>
              <w:jc w:val="center"/>
              <w:rPr>
                <w:rFonts w:ascii="宋体" w:hAnsi="宋体"/>
              </w:rPr>
            </w:pPr>
          </w:p>
        </w:tc>
        <w:tc>
          <w:tcPr>
            <w:tcW w:w="2125" w:type="dxa"/>
            <w:tcBorders>
              <w:top w:val="single" w:color="auto" w:sz="4" w:space="0"/>
            </w:tcBorders>
            <w:vAlign w:val="center"/>
          </w:tcPr>
          <w:p w14:paraId="10E3E7F6">
            <w:pPr>
              <w:ind w:right="113"/>
              <w:jc w:val="center"/>
              <w:rPr>
                <w:rFonts w:ascii="宋体" w:hAnsi="宋体"/>
                <w:szCs w:val="21"/>
              </w:rPr>
            </w:pPr>
            <w:r>
              <w:rPr>
                <w:rFonts w:hint="eastAsia" w:ascii="宋体" w:hAnsi="宋体"/>
                <w:szCs w:val="21"/>
              </w:rPr>
              <w:t>项目风险预测与防范，事故应急预案</w:t>
            </w:r>
          </w:p>
        </w:tc>
        <w:tc>
          <w:tcPr>
            <w:tcW w:w="531" w:type="dxa"/>
            <w:tcBorders>
              <w:bottom w:val="single" w:color="auto" w:sz="4" w:space="0"/>
            </w:tcBorders>
            <w:vAlign w:val="center"/>
          </w:tcPr>
          <w:p w14:paraId="12467328">
            <w:pPr>
              <w:pStyle w:val="11"/>
              <w:tabs>
                <w:tab w:val="left" w:pos="457"/>
              </w:tabs>
              <w:spacing w:before="60" w:line="360" w:lineRule="atLeast"/>
              <w:jc w:val="center"/>
              <w:rPr>
                <w:sz w:val="21"/>
                <w:szCs w:val="21"/>
              </w:rPr>
            </w:pPr>
            <w:r>
              <w:rPr>
                <w:rFonts w:hint="eastAsia"/>
                <w:sz w:val="21"/>
                <w:szCs w:val="21"/>
              </w:rPr>
              <w:t>2</w:t>
            </w:r>
          </w:p>
        </w:tc>
        <w:tc>
          <w:tcPr>
            <w:tcW w:w="4430" w:type="dxa"/>
            <w:tcBorders>
              <w:right w:val="single" w:color="auto" w:sz="4" w:space="0"/>
            </w:tcBorders>
            <w:vAlign w:val="center"/>
          </w:tcPr>
          <w:p w14:paraId="33BC6E25">
            <w:pPr>
              <w:jc w:val="left"/>
              <w:rPr>
                <w:rFonts w:ascii="宋体" w:hAnsi="宋体"/>
                <w:kern w:val="0"/>
                <w:szCs w:val="21"/>
              </w:rPr>
            </w:pPr>
            <w:r>
              <w:rPr>
                <w:rFonts w:hint="eastAsia" w:ascii="宋体" w:hAnsi="宋体"/>
                <w:kern w:val="0"/>
                <w:szCs w:val="21"/>
              </w:rPr>
              <w:t>好，1.6-2分；</w:t>
            </w:r>
          </w:p>
          <w:p w14:paraId="5EDA4626">
            <w:pPr>
              <w:jc w:val="left"/>
              <w:rPr>
                <w:rFonts w:ascii="宋体" w:hAnsi="宋体"/>
                <w:kern w:val="0"/>
                <w:szCs w:val="21"/>
              </w:rPr>
            </w:pPr>
            <w:r>
              <w:rPr>
                <w:rFonts w:hint="eastAsia" w:ascii="宋体" w:hAnsi="宋体"/>
                <w:kern w:val="0"/>
                <w:szCs w:val="21"/>
              </w:rPr>
              <w:t>较好，1.2-1.6分；</w:t>
            </w:r>
          </w:p>
          <w:p w14:paraId="76C20F4C">
            <w:pPr>
              <w:rPr>
                <w:rFonts w:ascii="宋体" w:hAnsi="宋体"/>
                <w:szCs w:val="21"/>
              </w:rPr>
            </w:pPr>
            <w:r>
              <w:rPr>
                <w:rFonts w:hint="eastAsia" w:ascii="宋体" w:hAnsi="宋体"/>
                <w:kern w:val="0"/>
                <w:szCs w:val="21"/>
              </w:rPr>
              <w:t>一般，1.2分。</w:t>
            </w:r>
          </w:p>
        </w:tc>
      </w:tr>
      <w:tr w14:paraId="373C7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7" w:hRule="atLeast"/>
        </w:trPr>
        <w:tc>
          <w:tcPr>
            <w:tcW w:w="586" w:type="dxa"/>
            <w:vMerge w:val="restart"/>
            <w:vAlign w:val="center"/>
          </w:tcPr>
          <w:p w14:paraId="4208EAE7">
            <w:pPr>
              <w:adjustRightInd w:val="0"/>
              <w:snapToGrid w:val="0"/>
              <w:spacing w:before="24" w:beforeLines="10" w:after="24" w:afterLines="10"/>
              <w:jc w:val="center"/>
              <w:rPr>
                <w:rFonts w:ascii="宋体" w:hAnsi="宋体"/>
              </w:rPr>
            </w:pPr>
            <w:r>
              <w:rPr>
                <w:rFonts w:ascii="宋体" w:hAnsi="宋体"/>
              </w:rPr>
              <w:t>2.2.</w:t>
            </w:r>
            <w:r>
              <w:rPr>
                <w:rFonts w:hint="eastAsia" w:ascii="宋体" w:hAnsi="宋体"/>
              </w:rPr>
              <w:t>2</w:t>
            </w:r>
            <w:r>
              <w:rPr>
                <w:rFonts w:ascii="宋体" w:hAnsi="宋体"/>
              </w:rPr>
              <w:t>（2）</w:t>
            </w:r>
          </w:p>
        </w:tc>
        <w:tc>
          <w:tcPr>
            <w:tcW w:w="1002" w:type="dxa"/>
            <w:gridSpan w:val="2"/>
            <w:vMerge w:val="restart"/>
            <w:vAlign w:val="center"/>
          </w:tcPr>
          <w:p w14:paraId="6B286E4A">
            <w:pPr>
              <w:adjustRightInd w:val="0"/>
              <w:snapToGrid w:val="0"/>
              <w:spacing w:before="24" w:beforeLines="10" w:after="24" w:afterLines="10"/>
              <w:jc w:val="center"/>
              <w:rPr>
                <w:rFonts w:ascii="宋体" w:hAnsi="宋体"/>
              </w:rPr>
            </w:pPr>
            <w:r>
              <w:rPr>
                <w:rFonts w:hint="eastAsia" w:ascii="宋体" w:hAnsi="宋体"/>
              </w:rPr>
              <w:t>主要</w:t>
            </w:r>
          </w:p>
          <w:p w14:paraId="091C0CF0">
            <w:pPr>
              <w:adjustRightInd w:val="0"/>
              <w:snapToGrid w:val="0"/>
              <w:spacing w:before="24" w:beforeLines="10" w:after="24" w:afterLines="10"/>
              <w:jc w:val="center"/>
              <w:rPr>
                <w:rFonts w:ascii="宋体" w:hAnsi="宋体"/>
              </w:rPr>
            </w:pPr>
            <w:r>
              <w:rPr>
                <w:rFonts w:hint="eastAsia" w:ascii="宋体" w:hAnsi="宋体"/>
              </w:rPr>
              <w:t>人员</w:t>
            </w:r>
          </w:p>
        </w:tc>
        <w:tc>
          <w:tcPr>
            <w:tcW w:w="993" w:type="dxa"/>
            <w:vMerge w:val="restart"/>
            <w:vAlign w:val="center"/>
          </w:tcPr>
          <w:p w14:paraId="14291700">
            <w:pPr>
              <w:adjustRightInd w:val="0"/>
              <w:snapToGrid w:val="0"/>
              <w:spacing w:before="24" w:beforeLines="10" w:after="24" w:afterLines="10"/>
              <w:jc w:val="center"/>
              <w:rPr>
                <w:rFonts w:ascii="宋体" w:hAnsi="宋体"/>
              </w:rPr>
            </w:pPr>
            <w:r>
              <w:rPr>
                <w:rFonts w:hint="eastAsia" w:ascii="宋体" w:hAnsi="宋体"/>
              </w:rPr>
              <w:t>25</w:t>
            </w:r>
            <w:r>
              <w:rPr>
                <w:rFonts w:ascii="宋体" w:hAnsi="宋体"/>
              </w:rPr>
              <w:t>分</w:t>
            </w:r>
          </w:p>
        </w:tc>
        <w:tc>
          <w:tcPr>
            <w:tcW w:w="2125" w:type="dxa"/>
            <w:vAlign w:val="center"/>
          </w:tcPr>
          <w:p w14:paraId="07641D3E">
            <w:pPr>
              <w:adjustRightInd w:val="0"/>
              <w:snapToGrid w:val="0"/>
              <w:spacing w:before="24" w:beforeLines="10" w:after="24" w:afterLines="10"/>
              <w:jc w:val="center"/>
              <w:rPr>
                <w:rFonts w:ascii="宋体" w:hAnsi="宋体"/>
              </w:rPr>
            </w:pPr>
            <w:r>
              <w:rPr>
                <w:rFonts w:ascii="宋体" w:hAnsi="宋体"/>
              </w:rPr>
              <w:t>项目经理</w:t>
            </w:r>
          </w:p>
          <w:p w14:paraId="26C27684">
            <w:pPr>
              <w:adjustRightInd w:val="0"/>
              <w:snapToGrid w:val="0"/>
              <w:spacing w:before="24" w:beforeLines="10" w:after="24" w:afterLines="10"/>
              <w:jc w:val="center"/>
              <w:rPr>
                <w:rFonts w:ascii="宋体" w:hAnsi="宋体"/>
              </w:rPr>
            </w:pPr>
            <w:r>
              <w:rPr>
                <w:rFonts w:ascii="宋体" w:hAnsi="宋体"/>
              </w:rPr>
              <w:t>任职</w:t>
            </w:r>
            <w:r>
              <w:rPr>
                <w:rFonts w:hint="eastAsia" w:ascii="宋体" w:hAnsi="宋体"/>
              </w:rPr>
              <w:t>资格与业绩</w:t>
            </w:r>
          </w:p>
        </w:tc>
        <w:tc>
          <w:tcPr>
            <w:tcW w:w="531" w:type="dxa"/>
            <w:vAlign w:val="center"/>
          </w:tcPr>
          <w:p w14:paraId="0D497920">
            <w:pPr>
              <w:adjustRightInd w:val="0"/>
              <w:snapToGrid w:val="0"/>
              <w:spacing w:before="24" w:beforeLines="10" w:after="24" w:afterLines="10"/>
              <w:jc w:val="center"/>
              <w:rPr>
                <w:rFonts w:ascii="宋体" w:hAnsi="宋体"/>
              </w:rPr>
            </w:pPr>
            <w:r>
              <w:rPr>
                <w:rFonts w:hint="eastAsia" w:ascii="宋体" w:hAnsi="宋体"/>
              </w:rPr>
              <w:t>15</w:t>
            </w:r>
          </w:p>
        </w:tc>
        <w:tc>
          <w:tcPr>
            <w:tcW w:w="4430" w:type="dxa"/>
            <w:vAlign w:val="center"/>
          </w:tcPr>
          <w:p w14:paraId="56B88BED">
            <w:pPr>
              <w:pStyle w:val="4"/>
              <w:rPr>
                <w:rFonts w:hAnsi="宋体" w:cs="宋体"/>
                <w:color w:val="auto"/>
              </w:rPr>
            </w:pPr>
            <w:r>
              <w:rPr>
                <w:rFonts w:hint="eastAsia" w:hAnsi="宋体" w:cs="宋体"/>
                <w:color w:val="auto"/>
              </w:rPr>
              <w:t>满足最低资格审查条件得9分，担任过1项二级或二级以上公路交通安全设施工程施工的项目经理得12分；担任过2项二级或二级以上公路交通安全设施工程施工的项目经理得15分。</w:t>
            </w:r>
          </w:p>
          <w:p w14:paraId="00DCF1FF">
            <w:pPr>
              <w:widowControl/>
              <w:jc w:val="left"/>
              <w:rPr>
                <w:rFonts w:ascii="楷体" w:hAnsi="楷体" w:eastAsia="楷体" w:cs="楷体"/>
                <w:color w:val="auto"/>
              </w:rPr>
            </w:pPr>
            <w:r>
              <w:rPr>
                <w:rFonts w:hint="eastAsia" w:ascii="楷体" w:hAnsi="楷体" w:eastAsia="楷体" w:cs="楷体"/>
                <w:color w:val="auto"/>
              </w:rPr>
              <w:t>注：项目经理个人业绩均应是已列入交通运输部“全国公路建设市场监督管理系统（https://hwdms.mot.gov.cn/BMWebSite/）”或省级交通运输主管部门“公路建设市场信用信息管理系统”并公开的总包已建业绩（</w:t>
            </w:r>
            <w:r>
              <w:rPr>
                <w:rFonts w:hint="eastAsia" w:ascii="宋体" w:hAnsi="宋体"/>
                <w:color w:val="auto"/>
                <w:kern w:val="0"/>
                <w:szCs w:val="21"/>
                <w:lang w:val="zh-CN"/>
              </w:rPr>
              <w:t>业绩应为国内新建或改扩建工程业绩</w:t>
            </w:r>
            <w:r>
              <w:rPr>
                <w:rFonts w:hint="eastAsia" w:ascii="宋体" w:hAnsi="宋体"/>
                <w:color w:val="auto"/>
                <w:kern w:val="0"/>
                <w:szCs w:val="21"/>
              </w:rPr>
              <w:t>）</w:t>
            </w:r>
            <w:r>
              <w:rPr>
                <w:rFonts w:hint="eastAsia" w:ascii="楷体" w:hAnsi="楷体" w:eastAsia="楷体" w:cs="楷体"/>
                <w:color w:val="auto"/>
              </w:rPr>
              <w:t>。</w:t>
            </w:r>
          </w:p>
        </w:tc>
      </w:tr>
      <w:tr w14:paraId="7F2C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7" w:hRule="atLeast"/>
        </w:trPr>
        <w:tc>
          <w:tcPr>
            <w:tcW w:w="586" w:type="dxa"/>
            <w:vMerge w:val="continue"/>
            <w:vAlign w:val="center"/>
          </w:tcPr>
          <w:p w14:paraId="24B57097">
            <w:pPr>
              <w:adjustRightInd w:val="0"/>
              <w:snapToGrid w:val="0"/>
              <w:spacing w:before="24" w:beforeLines="10" w:after="24" w:afterLines="10"/>
              <w:jc w:val="center"/>
              <w:rPr>
                <w:rFonts w:ascii="宋体" w:hAnsi="宋体"/>
              </w:rPr>
            </w:pPr>
          </w:p>
        </w:tc>
        <w:tc>
          <w:tcPr>
            <w:tcW w:w="1002" w:type="dxa"/>
            <w:gridSpan w:val="2"/>
            <w:vMerge w:val="continue"/>
            <w:vAlign w:val="center"/>
          </w:tcPr>
          <w:p w14:paraId="5FAD20BA">
            <w:pPr>
              <w:adjustRightInd w:val="0"/>
              <w:snapToGrid w:val="0"/>
              <w:spacing w:before="24" w:beforeLines="10" w:after="24" w:afterLines="10"/>
              <w:jc w:val="center"/>
              <w:rPr>
                <w:rFonts w:ascii="宋体" w:hAnsi="宋体"/>
              </w:rPr>
            </w:pPr>
          </w:p>
        </w:tc>
        <w:tc>
          <w:tcPr>
            <w:tcW w:w="993" w:type="dxa"/>
            <w:vMerge w:val="continue"/>
            <w:vAlign w:val="center"/>
          </w:tcPr>
          <w:p w14:paraId="0FCD718A">
            <w:pPr>
              <w:adjustRightInd w:val="0"/>
              <w:snapToGrid w:val="0"/>
              <w:spacing w:before="24" w:beforeLines="10" w:after="24" w:afterLines="10"/>
              <w:jc w:val="center"/>
              <w:rPr>
                <w:rFonts w:ascii="宋体" w:hAnsi="宋体"/>
              </w:rPr>
            </w:pPr>
          </w:p>
        </w:tc>
        <w:tc>
          <w:tcPr>
            <w:tcW w:w="2125" w:type="dxa"/>
            <w:vAlign w:val="center"/>
          </w:tcPr>
          <w:p w14:paraId="5789792C">
            <w:pPr>
              <w:adjustRightInd w:val="0"/>
              <w:snapToGrid w:val="0"/>
              <w:spacing w:before="24" w:beforeLines="10" w:after="24" w:afterLines="10"/>
              <w:jc w:val="center"/>
              <w:rPr>
                <w:rFonts w:ascii="宋体" w:hAnsi="宋体"/>
              </w:rPr>
            </w:pPr>
            <w:r>
              <w:rPr>
                <w:rFonts w:ascii="宋体" w:hAnsi="宋体"/>
              </w:rPr>
              <w:t>项目</w:t>
            </w:r>
            <w:r>
              <w:rPr>
                <w:rFonts w:hint="eastAsia" w:ascii="宋体" w:hAnsi="宋体"/>
              </w:rPr>
              <w:t>总工</w:t>
            </w:r>
          </w:p>
          <w:p w14:paraId="4FFA761C">
            <w:pPr>
              <w:adjustRightInd w:val="0"/>
              <w:snapToGrid w:val="0"/>
              <w:spacing w:before="24" w:beforeLines="10" w:after="24" w:afterLines="10"/>
              <w:jc w:val="center"/>
              <w:rPr>
                <w:rFonts w:ascii="宋体" w:hAnsi="宋体"/>
              </w:rPr>
            </w:pPr>
            <w:r>
              <w:rPr>
                <w:rFonts w:ascii="宋体" w:hAnsi="宋体"/>
              </w:rPr>
              <w:t>任职</w:t>
            </w:r>
            <w:r>
              <w:rPr>
                <w:rFonts w:hint="eastAsia" w:ascii="宋体" w:hAnsi="宋体"/>
              </w:rPr>
              <w:t>资格与业绩</w:t>
            </w:r>
          </w:p>
        </w:tc>
        <w:tc>
          <w:tcPr>
            <w:tcW w:w="531" w:type="dxa"/>
            <w:vAlign w:val="center"/>
          </w:tcPr>
          <w:p w14:paraId="5691E3F1">
            <w:pPr>
              <w:adjustRightInd w:val="0"/>
              <w:snapToGrid w:val="0"/>
              <w:spacing w:before="24" w:beforeLines="10" w:after="24" w:afterLines="10"/>
              <w:jc w:val="center"/>
              <w:rPr>
                <w:rFonts w:ascii="宋体" w:hAnsi="宋体"/>
              </w:rPr>
            </w:pPr>
            <w:r>
              <w:rPr>
                <w:rFonts w:hint="eastAsia" w:ascii="宋体" w:hAnsi="宋体"/>
              </w:rPr>
              <w:t>10</w:t>
            </w:r>
          </w:p>
        </w:tc>
        <w:tc>
          <w:tcPr>
            <w:tcW w:w="4430" w:type="dxa"/>
            <w:vAlign w:val="center"/>
          </w:tcPr>
          <w:p w14:paraId="35E2713D">
            <w:pPr>
              <w:pStyle w:val="4"/>
              <w:rPr>
                <w:rFonts w:hAnsi="宋体" w:cs="宋体"/>
                <w:color w:val="auto"/>
              </w:rPr>
            </w:pPr>
            <w:r>
              <w:rPr>
                <w:rFonts w:hint="eastAsia" w:hAnsi="宋体" w:cs="宋体"/>
                <w:color w:val="auto"/>
              </w:rPr>
              <w:t>满足最低资格审查条件得6分，担任过1项二级或二级以上公路交通安全设施工程施工的项目总工得8分；担任过2项二级或二级以上公路交通安全设施工程施工的项目总工得10分。</w:t>
            </w:r>
          </w:p>
          <w:p w14:paraId="4B1EFF16">
            <w:pPr>
              <w:pStyle w:val="4"/>
              <w:rPr>
                <w:color w:val="auto"/>
              </w:rPr>
            </w:pPr>
            <w:r>
              <w:rPr>
                <w:rFonts w:hint="eastAsia" w:ascii="楷体" w:hAnsi="楷体" w:eastAsia="楷体" w:cs="楷体"/>
                <w:color w:val="auto"/>
              </w:rPr>
              <w:t>注：项目总工个人业绩均应是已列入交通运输部“全国公路建设市场监督管理系统（https://hwdms.mot.gov.cn/BMWebSite/）”或省级交通运输主管部门“公路建设市场信用信息管理系统”并公开的总包已建业绩（</w:t>
            </w:r>
            <w:r>
              <w:rPr>
                <w:rFonts w:hint="eastAsia" w:hAnsi="宋体"/>
                <w:color w:val="auto"/>
                <w:kern w:val="0"/>
                <w:lang w:val="zh-CN"/>
              </w:rPr>
              <w:t>业绩应为国内新建或改扩建工程业绩</w:t>
            </w:r>
            <w:r>
              <w:rPr>
                <w:rFonts w:hint="eastAsia" w:hAnsi="宋体"/>
                <w:color w:val="auto"/>
                <w:kern w:val="0"/>
              </w:rPr>
              <w:t>）</w:t>
            </w:r>
            <w:r>
              <w:rPr>
                <w:rFonts w:hint="eastAsia" w:ascii="楷体" w:hAnsi="楷体" w:eastAsia="楷体" w:cs="楷体"/>
                <w:color w:val="auto"/>
              </w:rPr>
              <w:t>。</w:t>
            </w:r>
          </w:p>
        </w:tc>
      </w:tr>
      <w:tr w14:paraId="3922B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553" w:hRule="atLeast"/>
        </w:trPr>
        <w:tc>
          <w:tcPr>
            <w:tcW w:w="586" w:type="dxa"/>
            <w:vMerge w:val="restart"/>
            <w:vAlign w:val="center"/>
          </w:tcPr>
          <w:p w14:paraId="73976B41">
            <w:pPr>
              <w:adjustRightInd w:val="0"/>
              <w:snapToGrid w:val="0"/>
              <w:spacing w:before="48" w:beforeLines="20" w:after="48" w:afterLines="20"/>
              <w:jc w:val="center"/>
              <w:rPr>
                <w:rFonts w:ascii="宋体" w:hAnsi="宋体"/>
              </w:rPr>
            </w:pPr>
            <w:r>
              <w:rPr>
                <w:rFonts w:ascii="宋体" w:hAnsi="宋体"/>
              </w:rPr>
              <w:t>2.2.</w:t>
            </w:r>
            <w:r>
              <w:rPr>
                <w:rFonts w:hint="eastAsia" w:ascii="宋体" w:hAnsi="宋体"/>
              </w:rPr>
              <w:t>2</w:t>
            </w:r>
            <w:r>
              <w:rPr>
                <w:rFonts w:ascii="宋体" w:hAnsi="宋体"/>
              </w:rPr>
              <w:t>（</w:t>
            </w:r>
            <w:r>
              <w:rPr>
                <w:rFonts w:hint="eastAsia" w:ascii="宋体" w:hAnsi="宋体"/>
              </w:rPr>
              <w:t>3）</w:t>
            </w:r>
          </w:p>
        </w:tc>
        <w:tc>
          <w:tcPr>
            <w:tcW w:w="500" w:type="dxa"/>
            <w:vMerge w:val="restart"/>
            <w:vAlign w:val="center"/>
          </w:tcPr>
          <w:p w14:paraId="12FAA283">
            <w:pPr>
              <w:adjustRightInd w:val="0"/>
              <w:snapToGrid w:val="0"/>
              <w:spacing w:before="48" w:beforeLines="20" w:after="48" w:afterLines="20"/>
              <w:ind w:left="113" w:right="113"/>
              <w:jc w:val="center"/>
              <w:rPr>
                <w:rFonts w:ascii="宋体" w:hAnsi="宋体"/>
              </w:rPr>
            </w:pPr>
            <w:r>
              <w:rPr>
                <w:rFonts w:ascii="宋体" w:hAnsi="宋体"/>
              </w:rPr>
              <w:t>其他因素</w:t>
            </w:r>
          </w:p>
        </w:tc>
        <w:tc>
          <w:tcPr>
            <w:tcW w:w="502" w:type="dxa"/>
            <w:vAlign w:val="center"/>
          </w:tcPr>
          <w:p w14:paraId="343945D8">
            <w:pPr>
              <w:adjustRightInd w:val="0"/>
              <w:snapToGrid w:val="0"/>
              <w:spacing w:before="48" w:beforeLines="20" w:after="48" w:afterLines="20"/>
              <w:ind w:left="113" w:right="113"/>
              <w:jc w:val="center"/>
              <w:rPr>
                <w:rFonts w:ascii="宋体" w:hAnsi="宋体"/>
              </w:rPr>
            </w:pPr>
            <w:r>
              <w:rPr>
                <w:rFonts w:hint="eastAsia" w:ascii="宋体" w:hAnsi="宋体"/>
              </w:rPr>
              <w:t>企业业绩</w:t>
            </w:r>
          </w:p>
        </w:tc>
        <w:tc>
          <w:tcPr>
            <w:tcW w:w="993" w:type="dxa"/>
            <w:vAlign w:val="center"/>
          </w:tcPr>
          <w:p w14:paraId="14394989">
            <w:pPr>
              <w:adjustRightInd w:val="0"/>
              <w:snapToGrid w:val="0"/>
              <w:spacing w:before="48" w:beforeLines="20" w:after="48" w:afterLines="20"/>
              <w:jc w:val="center"/>
              <w:rPr>
                <w:rFonts w:ascii="宋体" w:hAnsi="宋体"/>
              </w:rPr>
            </w:pPr>
            <w:r>
              <w:rPr>
                <w:rFonts w:hint="eastAsia" w:ascii="宋体" w:hAnsi="宋体"/>
              </w:rPr>
              <w:t>20</w:t>
            </w:r>
            <w:r>
              <w:rPr>
                <w:rFonts w:ascii="宋体" w:hAnsi="宋体"/>
              </w:rPr>
              <w:t>分</w:t>
            </w:r>
          </w:p>
        </w:tc>
        <w:tc>
          <w:tcPr>
            <w:tcW w:w="2125" w:type="dxa"/>
            <w:vAlign w:val="center"/>
          </w:tcPr>
          <w:p w14:paraId="74C6CCFB">
            <w:pPr>
              <w:adjustRightInd w:val="0"/>
              <w:snapToGrid w:val="0"/>
              <w:spacing w:before="48" w:beforeLines="20" w:after="48" w:afterLines="20"/>
              <w:jc w:val="center"/>
              <w:rPr>
                <w:rFonts w:ascii="宋体" w:hAnsi="宋体"/>
              </w:rPr>
            </w:pPr>
            <w:r>
              <w:rPr>
                <w:rFonts w:hint="eastAsia" w:ascii="宋体" w:hAnsi="宋体"/>
              </w:rPr>
              <w:t>企业业绩</w:t>
            </w:r>
          </w:p>
        </w:tc>
        <w:tc>
          <w:tcPr>
            <w:tcW w:w="531" w:type="dxa"/>
            <w:vAlign w:val="center"/>
          </w:tcPr>
          <w:p w14:paraId="09B2AC94">
            <w:pPr>
              <w:adjustRightInd w:val="0"/>
              <w:snapToGrid w:val="0"/>
              <w:spacing w:before="48" w:beforeLines="20" w:after="48" w:afterLines="20"/>
              <w:jc w:val="center"/>
              <w:rPr>
                <w:rFonts w:ascii="宋体" w:hAnsi="宋体"/>
              </w:rPr>
            </w:pPr>
            <w:r>
              <w:rPr>
                <w:rFonts w:hint="eastAsia" w:ascii="宋体" w:hAnsi="宋体"/>
              </w:rPr>
              <w:t>20</w:t>
            </w:r>
          </w:p>
        </w:tc>
        <w:tc>
          <w:tcPr>
            <w:tcW w:w="4430" w:type="dxa"/>
            <w:vAlign w:val="center"/>
          </w:tcPr>
          <w:p w14:paraId="269352C1">
            <w:pPr>
              <w:widowControl/>
              <w:jc w:val="left"/>
              <w:rPr>
                <w:rFonts w:ascii="宋体" w:hAnsi="宋体" w:cs="宋体"/>
                <w:color w:val="auto"/>
                <w:szCs w:val="21"/>
                <w:highlight w:val="none"/>
              </w:rPr>
            </w:pPr>
            <w:r>
              <w:rPr>
                <w:rFonts w:hint="eastAsia" w:hAnsi="宋体" w:cs="宋体"/>
              </w:rPr>
              <w:t>（1）</w:t>
            </w:r>
            <w:r>
              <w:rPr>
                <w:rFonts w:hint="eastAsia" w:ascii="宋体" w:hAnsi="宋体" w:cs="宋体"/>
                <w:szCs w:val="21"/>
              </w:rPr>
              <w:t>满足最低资格审查条件得12分，在满足最低资格审查条</w:t>
            </w:r>
            <w:r>
              <w:rPr>
                <w:rFonts w:hint="eastAsia" w:ascii="宋体" w:hAnsi="宋体" w:cs="宋体"/>
                <w:color w:val="auto"/>
                <w:szCs w:val="21"/>
                <w:highlight w:val="none"/>
              </w:rPr>
              <w:t>件基础上，累计完成的二级或二级以上公路交通安全设施工程施工有效业绩每增加50万元加1分，最多加8分，中间内插计算得分（四舍五入保留2位小数）。</w:t>
            </w:r>
          </w:p>
          <w:p w14:paraId="7CDA774C">
            <w:pPr>
              <w:widowControl/>
              <w:jc w:val="left"/>
              <w:rPr>
                <w:rFonts w:ascii="楷体" w:hAnsi="楷体" w:eastAsia="楷体" w:cs="楷体"/>
                <w:color w:val="auto"/>
                <w:szCs w:val="21"/>
                <w:highlight w:val="none"/>
              </w:rPr>
            </w:pPr>
            <w:r>
              <w:rPr>
                <w:rFonts w:hint="eastAsia" w:ascii="楷体" w:hAnsi="楷体" w:eastAsia="楷体" w:cs="楷体"/>
                <w:color w:val="auto"/>
                <w:szCs w:val="21"/>
                <w:highlight w:val="none"/>
              </w:rPr>
              <w:t>注：</w:t>
            </w:r>
          </w:p>
          <w:p w14:paraId="641F9FDC">
            <w:pPr>
              <w:widowControl/>
              <w:jc w:val="left"/>
              <w:rPr>
                <w:rFonts w:ascii="楷体" w:hAnsi="楷体" w:eastAsia="楷体" w:cs="楷体"/>
                <w:color w:val="auto"/>
                <w:szCs w:val="21"/>
                <w:highlight w:val="none"/>
              </w:rPr>
            </w:pPr>
            <w:r>
              <w:rPr>
                <w:rFonts w:hint="eastAsia" w:ascii="楷体" w:hAnsi="楷体" w:eastAsia="楷体" w:cs="楷体"/>
                <w:color w:val="auto"/>
                <w:szCs w:val="21"/>
                <w:highlight w:val="none"/>
              </w:rPr>
              <w:t>有效业绩应满足下列要求：</w:t>
            </w:r>
          </w:p>
          <w:p w14:paraId="2C44A180">
            <w:pPr>
              <w:pStyle w:val="4"/>
              <w:rPr>
                <w:rFonts w:ascii="楷体" w:hAnsi="楷体" w:eastAsia="楷体" w:cs="楷体"/>
              </w:rPr>
            </w:pPr>
            <w:r>
              <w:rPr>
                <w:rFonts w:hint="eastAsia" w:ascii="楷体" w:hAnsi="楷体" w:eastAsia="楷体" w:cs="楷体"/>
              </w:rPr>
              <w:t>①完成时间：2021</w:t>
            </w:r>
            <w:r>
              <w:rPr>
                <w:rFonts w:ascii="楷体" w:hAnsi="楷体" w:eastAsia="楷体" w:cs="楷体"/>
              </w:rPr>
              <w:t>年1月1日</w:t>
            </w:r>
            <w:r>
              <w:rPr>
                <w:rFonts w:hint="eastAsia" w:ascii="楷体" w:hAnsi="楷体" w:eastAsia="楷体" w:cs="楷体"/>
              </w:rPr>
              <w:t>至投标截止时间（以交工时间为准）</w:t>
            </w:r>
          </w:p>
          <w:p w14:paraId="5FF47886">
            <w:pPr>
              <w:widowControl/>
              <w:jc w:val="left"/>
              <w:rPr>
                <w:rFonts w:ascii="楷体" w:hAnsi="楷体" w:eastAsia="楷体" w:cs="楷体"/>
                <w:szCs w:val="21"/>
              </w:rPr>
            </w:pPr>
            <w:r>
              <w:rPr>
                <w:rFonts w:hint="eastAsia" w:ascii="楷体" w:hAnsi="楷体" w:eastAsia="楷体" w:cs="楷体"/>
                <w:szCs w:val="21"/>
              </w:rPr>
              <w:t>②</w:t>
            </w:r>
            <w:r>
              <w:rPr>
                <w:rFonts w:ascii="楷体" w:hAnsi="楷体" w:eastAsia="楷体" w:cs="楷体"/>
                <w:szCs w:val="21"/>
              </w:rPr>
              <w:t>应是已列入交通运输部“全国公路建设市场监督管理系统（https://hwdms.mot.gov.cn/BMWebSite/）”或省级交通运输主管部门“公路建设市场信用信息管理系统”并公开的总包已建业绩。</w:t>
            </w:r>
          </w:p>
          <w:p w14:paraId="40C0A264">
            <w:pPr>
              <w:widowControl/>
              <w:jc w:val="left"/>
              <w:rPr>
                <w:rFonts w:hAnsi="宋体" w:cs="宋体"/>
              </w:rPr>
            </w:pPr>
            <w:r>
              <w:rPr>
                <w:rFonts w:hint="eastAsia" w:ascii="楷体" w:hAnsi="楷体" w:eastAsia="楷体" w:cs="楷体"/>
                <w:szCs w:val="21"/>
              </w:rPr>
              <w:t>③</w:t>
            </w:r>
            <w:r>
              <w:rPr>
                <w:rFonts w:ascii="楷体" w:hAnsi="楷体" w:eastAsia="楷体" w:cs="楷体"/>
                <w:szCs w:val="21"/>
              </w:rPr>
              <w:t>应为国内新建或改扩建工程业绩。</w:t>
            </w:r>
          </w:p>
        </w:tc>
      </w:tr>
      <w:tr w14:paraId="13E00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586" w:type="dxa"/>
            <w:vMerge w:val="continue"/>
            <w:vAlign w:val="center"/>
          </w:tcPr>
          <w:p w14:paraId="04DB3BA1">
            <w:pPr>
              <w:adjustRightInd w:val="0"/>
              <w:snapToGrid w:val="0"/>
              <w:spacing w:before="48" w:beforeLines="20" w:after="48" w:afterLines="20"/>
              <w:jc w:val="center"/>
              <w:rPr>
                <w:rFonts w:ascii="宋体" w:hAnsi="宋体"/>
              </w:rPr>
            </w:pPr>
          </w:p>
        </w:tc>
        <w:tc>
          <w:tcPr>
            <w:tcW w:w="500" w:type="dxa"/>
            <w:vMerge w:val="continue"/>
            <w:vAlign w:val="center"/>
          </w:tcPr>
          <w:p w14:paraId="698B4FA0">
            <w:pPr>
              <w:adjustRightInd w:val="0"/>
              <w:snapToGrid w:val="0"/>
              <w:spacing w:before="48" w:beforeLines="20" w:after="48" w:afterLines="20"/>
              <w:ind w:left="113" w:right="113"/>
              <w:jc w:val="center"/>
              <w:rPr>
                <w:rFonts w:ascii="宋体" w:hAnsi="宋体"/>
              </w:rPr>
            </w:pPr>
          </w:p>
        </w:tc>
        <w:tc>
          <w:tcPr>
            <w:tcW w:w="502" w:type="dxa"/>
            <w:vMerge w:val="restart"/>
            <w:vAlign w:val="center"/>
          </w:tcPr>
          <w:p w14:paraId="207A998C">
            <w:pPr>
              <w:adjustRightInd w:val="0"/>
              <w:snapToGrid w:val="0"/>
              <w:spacing w:before="48" w:beforeLines="20" w:after="48" w:afterLines="20"/>
              <w:ind w:left="113" w:right="113"/>
              <w:jc w:val="center"/>
              <w:rPr>
                <w:rFonts w:ascii="宋体" w:hAnsi="宋体"/>
              </w:rPr>
            </w:pPr>
            <w:r>
              <w:rPr>
                <w:rFonts w:hint="eastAsia" w:ascii="宋体" w:hAnsi="宋体"/>
              </w:rPr>
              <w:t>履约信誉</w:t>
            </w:r>
          </w:p>
        </w:tc>
        <w:tc>
          <w:tcPr>
            <w:tcW w:w="993" w:type="dxa"/>
            <w:vMerge w:val="restart"/>
            <w:vAlign w:val="center"/>
          </w:tcPr>
          <w:p w14:paraId="1A616355">
            <w:pPr>
              <w:adjustRightInd w:val="0"/>
              <w:snapToGrid w:val="0"/>
              <w:spacing w:before="48" w:beforeLines="20" w:after="48" w:afterLines="20"/>
              <w:jc w:val="center"/>
              <w:rPr>
                <w:rFonts w:ascii="宋体" w:hAnsi="宋体"/>
              </w:rPr>
            </w:pPr>
            <w:r>
              <w:rPr>
                <w:rFonts w:hint="eastAsia" w:ascii="宋体" w:hAnsi="宋体"/>
              </w:rPr>
              <w:t>15分</w:t>
            </w:r>
          </w:p>
        </w:tc>
        <w:tc>
          <w:tcPr>
            <w:tcW w:w="2125" w:type="dxa"/>
            <w:vMerge w:val="restart"/>
            <w:vAlign w:val="center"/>
          </w:tcPr>
          <w:p w14:paraId="252C74B2">
            <w:pPr>
              <w:adjustRightInd w:val="0"/>
              <w:snapToGrid w:val="0"/>
              <w:spacing w:before="48" w:beforeLines="20" w:after="48" w:afterLines="20"/>
              <w:jc w:val="center"/>
              <w:rPr>
                <w:rFonts w:ascii="宋体" w:hAnsi="宋体"/>
              </w:rPr>
            </w:pPr>
            <w:r>
              <w:rPr>
                <w:rFonts w:hint="eastAsia" w:ascii="宋体" w:hAnsi="宋体"/>
              </w:rPr>
              <w:t>投标人的</w:t>
            </w:r>
          </w:p>
          <w:p w14:paraId="358588B6">
            <w:pPr>
              <w:adjustRightInd w:val="0"/>
              <w:snapToGrid w:val="0"/>
              <w:spacing w:before="48" w:beforeLines="20" w:after="48" w:afterLines="20"/>
              <w:jc w:val="center"/>
              <w:rPr>
                <w:rFonts w:ascii="宋体" w:hAnsi="宋体"/>
              </w:rPr>
            </w:pPr>
            <w:r>
              <w:rPr>
                <w:rFonts w:hint="eastAsia" w:ascii="宋体" w:hAnsi="宋体"/>
              </w:rPr>
              <w:t>信用评价等级</w:t>
            </w:r>
          </w:p>
        </w:tc>
        <w:tc>
          <w:tcPr>
            <w:tcW w:w="531" w:type="dxa"/>
            <w:shd w:val="clear" w:color="auto" w:fill="auto"/>
            <w:vAlign w:val="center"/>
          </w:tcPr>
          <w:p w14:paraId="5EDA82DC">
            <w:pPr>
              <w:adjustRightInd w:val="0"/>
              <w:snapToGrid w:val="0"/>
              <w:spacing w:before="48" w:beforeLines="20" w:after="48" w:afterLines="20"/>
              <w:jc w:val="center"/>
              <w:rPr>
                <w:rFonts w:ascii="宋体" w:hAnsi="宋体" w:eastAsia="宋体" w:cs="Times New Roman"/>
                <w:kern w:val="2"/>
                <w:sz w:val="21"/>
                <w:szCs w:val="22"/>
                <w:lang w:val="en-US" w:eastAsia="zh-CN" w:bidi="ar-SA"/>
              </w:rPr>
            </w:pPr>
            <w:r>
              <w:rPr>
                <w:rFonts w:hint="eastAsia" w:ascii="宋体" w:hAnsi="宋体"/>
              </w:rPr>
              <w:t>15</w:t>
            </w:r>
          </w:p>
        </w:tc>
        <w:tc>
          <w:tcPr>
            <w:tcW w:w="4430" w:type="dxa"/>
            <w:shd w:val="clear" w:color="auto" w:fill="auto"/>
            <w:vAlign w:val="center"/>
          </w:tcPr>
          <w:p w14:paraId="7FDB1C77">
            <w:pPr>
              <w:adjustRightInd w:val="0"/>
              <w:snapToGrid w:val="0"/>
              <w:spacing w:before="48" w:beforeLines="20" w:after="48" w:afterLines="20"/>
              <w:jc w:val="left"/>
              <w:rPr>
                <w:rFonts w:ascii="宋体" w:hAnsi="宋体" w:eastAsia="宋体" w:cs="Times New Roman"/>
                <w:kern w:val="2"/>
                <w:sz w:val="21"/>
                <w:szCs w:val="22"/>
                <w:lang w:val="en-US" w:eastAsia="zh-CN" w:bidi="ar-SA"/>
              </w:rPr>
            </w:pPr>
            <w:r>
              <w:rPr>
                <w:rFonts w:hint="eastAsia" w:ascii="宋体" w:hAnsi="宋体"/>
              </w:rPr>
              <w:t>信用评价AA级，得15分。</w:t>
            </w:r>
          </w:p>
        </w:tc>
      </w:tr>
      <w:tr w14:paraId="77CF4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586" w:type="dxa"/>
            <w:vMerge w:val="continue"/>
            <w:vAlign w:val="center"/>
          </w:tcPr>
          <w:p w14:paraId="1552FDAD">
            <w:pPr>
              <w:adjustRightInd w:val="0"/>
              <w:snapToGrid w:val="0"/>
              <w:spacing w:before="48" w:beforeLines="20" w:after="48" w:afterLines="20"/>
              <w:jc w:val="center"/>
              <w:rPr>
                <w:rFonts w:ascii="宋体" w:hAnsi="宋体"/>
              </w:rPr>
            </w:pPr>
          </w:p>
        </w:tc>
        <w:tc>
          <w:tcPr>
            <w:tcW w:w="500" w:type="dxa"/>
            <w:vMerge w:val="continue"/>
            <w:vAlign w:val="center"/>
          </w:tcPr>
          <w:p w14:paraId="2BDA8B7F">
            <w:pPr>
              <w:adjustRightInd w:val="0"/>
              <w:snapToGrid w:val="0"/>
              <w:spacing w:before="48" w:beforeLines="20" w:after="48" w:afterLines="20"/>
              <w:ind w:left="113" w:right="113"/>
              <w:jc w:val="center"/>
              <w:rPr>
                <w:rFonts w:ascii="宋体" w:hAnsi="宋体"/>
              </w:rPr>
            </w:pPr>
          </w:p>
        </w:tc>
        <w:tc>
          <w:tcPr>
            <w:tcW w:w="502" w:type="dxa"/>
            <w:vMerge w:val="continue"/>
            <w:vAlign w:val="center"/>
          </w:tcPr>
          <w:p w14:paraId="7A266312">
            <w:pPr>
              <w:adjustRightInd w:val="0"/>
              <w:snapToGrid w:val="0"/>
              <w:spacing w:before="48" w:beforeLines="20" w:after="48" w:afterLines="20"/>
              <w:ind w:left="113" w:right="113"/>
              <w:jc w:val="center"/>
              <w:rPr>
                <w:rFonts w:ascii="宋体" w:hAnsi="宋体"/>
              </w:rPr>
            </w:pPr>
          </w:p>
        </w:tc>
        <w:tc>
          <w:tcPr>
            <w:tcW w:w="993" w:type="dxa"/>
            <w:vMerge w:val="continue"/>
            <w:vAlign w:val="center"/>
          </w:tcPr>
          <w:p w14:paraId="2DB3A4DF">
            <w:pPr>
              <w:adjustRightInd w:val="0"/>
              <w:snapToGrid w:val="0"/>
              <w:spacing w:before="48" w:beforeLines="20" w:after="48" w:afterLines="20"/>
              <w:jc w:val="center"/>
              <w:rPr>
                <w:rFonts w:ascii="宋体" w:hAnsi="宋体"/>
              </w:rPr>
            </w:pPr>
          </w:p>
        </w:tc>
        <w:tc>
          <w:tcPr>
            <w:tcW w:w="2125" w:type="dxa"/>
            <w:vMerge w:val="continue"/>
            <w:vAlign w:val="center"/>
          </w:tcPr>
          <w:p w14:paraId="5FC8D840">
            <w:pPr>
              <w:adjustRightInd w:val="0"/>
              <w:snapToGrid w:val="0"/>
              <w:spacing w:before="48" w:beforeLines="20" w:after="48" w:afterLines="20"/>
              <w:jc w:val="center"/>
              <w:rPr>
                <w:rFonts w:ascii="宋体" w:hAnsi="宋体"/>
              </w:rPr>
            </w:pPr>
          </w:p>
        </w:tc>
        <w:tc>
          <w:tcPr>
            <w:tcW w:w="531" w:type="dxa"/>
            <w:shd w:val="clear" w:color="auto" w:fill="auto"/>
            <w:vAlign w:val="center"/>
          </w:tcPr>
          <w:p w14:paraId="371CF5E7">
            <w:pPr>
              <w:adjustRightInd w:val="0"/>
              <w:snapToGrid w:val="0"/>
              <w:spacing w:before="48" w:beforeLines="20" w:after="48" w:afterLines="20"/>
              <w:jc w:val="center"/>
              <w:rPr>
                <w:rFonts w:hint="eastAsia" w:ascii="宋体" w:hAnsi="宋体" w:eastAsia="宋体" w:cs="Times New Roman"/>
                <w:kern w:val="2"/>
                <w:sz w:val="21"/>
                <w:szCs w:val="22"/>
                <w:lang w:val="en-US" w:eastAsia="zh-CN" w:bidi="ar-SA"/>
              </w:rPr>
            </w:pPr>
            <w:r>
              <w:rPr>
                <w:rFonts w:hint="eastAsia" w:ascii="宋体" w:hAnsi="宋体"/>
              </w:rPr>
              <w:t>1</w:t>
            </w:r>
            <w:r>
              <w:rPr>
                <w:rFonts w:hint="eastAsia" w:ascii="宋体" w:hAnsi="宋体"/>
                <w:lang w:val="en-US" w:eastAsia="zh-CN"/>
              </w:rPr>
              <w:t>3</w:t>
            </w:r>
          </w:p>
        </w:tc>
        <w:tc>
          <w:tcPr>
            <w:tcW w:w="4430" w:type="dxa"/>
            <w:shd w:val="clear" w:color="auto" w:fill="auto"/>
            <w:vAlign w:val="center"/>
          </w:tcPr>
          <w:p w14:paraId="6D1272E9">
            <w:pPr>
              <w:adjustRightInd w:val="0"/>
              <w:snapToGrid w:val="0"/>
              <w:spacing w:before="48" w:beforeLines="20" w:after="48" w:afterLines="20"/>
              <w:jc w:val="left"/>
              <w:rPr>
                <w:rFonts w:ascii="宋体" w:hAnsi="宋体" w:eastAsia="宋体" w:cs="Times New Roman"/>
                <w:kern w:val="2"/>
                <w:sz w:val="21"/>
                <w:szCs w:val="22"/>
                <w:lang w:val="en-US" w:eastAsia="zh-CN" w:bidi="ar-SA"/>
              </w:rPr>
            </w:pPr>
            <w:r>
              <w:rPr>
                <w:rFonts w:hint="eastAsia" w:ascii="宋体" w:hAnsi="宋体"/>
              </w:rPr>
              <w:t>信用评价A级，得1</w:t>
            </w:r>
            <w:r>
              <w:rPr>
                <w:rFonts w:hint="eastAsia" w:ascii="宋体" w:hAnsi="宋体"/>
                <w:lang w:val="en-US" w:eastAsia="zh-CN"/>
              </w:rPr>
              <w:t>3</w:t>
            </w:r>
            <w:r>
              <w:rPr>
                <w:rFonts w:hint="eastAsia" w:ascii="宋体" w:hAnsi="宋体"/>
              </w:rPr>
              <w:t>分。</w:t>
            </w:r>
          </w:p>
        </w:tc>
      </w:tr>
      <w:tr w14:paraId="69C8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586" w:type="dxa"/>
            <w:vMerge w:val="continue"/>
            <w:vAlign w:val="center"/>
          </w:tcPr>
          <w:p w14:paraId="65C653B8">
            <w:pPr>
              <w:adjustRightInd w:val="0"/>
              <w:snapToGrid w:val="0"/>
              <w:spacing w:before="48" w:beforeLines="20" w:after="48" w:afterLines="20"/>
              <w:jc w:val="center"/>
              <w:rPr>
                <w:rFonts w:ascii="宋体" w:hAnsi="宋体"/>
              </w:rPr>
            </w:pPr>
          </w:p>
        </w:tc>
        <w:tc>
          <w:tcPr>
            <w:tcW w:w="500" w:type="dxa"/>
            <w:vMerge w:val="continue"/>
            <w:vAlign w:val="center"/>
          </w:tcPr>
          <w:p w14:paraId="0486B7A7">
            <w:pPr>
              <w:adjustRightInd w:val="0"/>
              <w:snapToGrid w:val="0"/>
              <w:spacing w:before="48" w:beforeLines="20" w:after="48" w:afterLines="20"/>
              <w:ind w:left="113" w:right="113"/>
              <w:jc w:val="center"/>
              <w:rPr>
                <w:rFonts w:ascii="宋体" w:hAnsi="宋体"/>
              </w:rPr>
            </w:pPr>
          </w:p>
        </w:tc>
        <w:tc>
          <w:tcPr>
            <w:tcW w:w="502" w:type="dxa"/>
            <w:vMerge w:val="continue"/>
            <w:vAlign w:val="center"/>
          </w:tcPr>
          <w:p w14:paraId="3F40342C">
            <w:pPr>
              <w:adjustRightInd w:val="0"/>
              <w:snapToGrid w:val="0"/>
              <w:spacing w:before="48" w:beforeLines="20" w:after="48" w:afterLines="20"/>
              <w:ind w:left="113" w:right="113"/>
              <w:jc w:val="center"/>
              <w:rPr>
                <w:rFonts w:ascii="宋体" w:hAnsi="宋体"/>
              </w:rPr>
            </w:pPr>
          </w:p>
        </w:tc>
        <w:tc>
          <w:tcPr>
            <w:tcW w:w="993" w:type="dxa"/>
            <w:vMerge w:val="continue"/>
            <w:vAlign w:val="center"/>
          </w:tcPr>
          <w:p w14:paraId="1D1E3FCC">
            <w:pPr>
              <w:adjustRightInd w:val="0"/>
              <w:snapToGrid w:val="0"/>
              <w:spacing w:before="48" w:beforeLines="20" w:after="48" w:afterLines="20"/>
              <w:jc w:val="center"/>
              <w:rPr>
                <w:rFonts w:ascii="宋体" w:hAnsi="宋体"/>
              </w:rPr>
            </w:pPr>
          </w:p>
        </w:tc>
        <w:tc>
          <w:tcPr>
            <w:tcW w:w="2125" w:type="dxa"/>
            <w:vMerge w:val="continue"/>
            <w:vAlign w:val="center"/>
          </w:tcPr>
          <w:p w14:paraId="2C823759">
            <w:pPr>
              <w:adjustRightInd w:val="0"/>
              <w:snapToGrid w:val="0"/>
              <w:spacing w:before="48" w:beforeLines="20" w:after="48" w:afterLines="20"/>
              <w:jc w:val="center"/>
              <w:rPr>
                <w:rFonts w:ascii="宋体" w:hAnsi="宋体"/>
              </w:rPr>
            </w:pPr>
          </w:p>
        </w:tc>
        <w:tc>
          <w:tcPr>
            <w:tcW w:w="531" w:type="dxa"/>
            <w:shd w:val="clear" w:color="auto" w:fill="auto"/>
            <w:vAlign w:val="center"/>
          </w:tcPr>
          <w:p w14:paraId="1A921AB0">
            <w:pPr>
              <w:adjustRightInd w:val="0"/>
              <w:snapToGrid w:val="0"/>
              <w:spacing w:before="48" w:beforeLines="20" w:after="48" w:afterLines="20"/>
              <w:jc w:val="center"/>
              <w:rPr>
                <w:rFonts w:hint="eastAsia" w:ascii="宋体" w:hAnsi="宋体" w:eastAsia="宋体" w:cs="Times New Roman"/>
                <w:kern w:val="2"/>
                <w:sz w:val="21"/>
                <w:szCs w:val="22"/>
                <w:lang w:val="en-US" w:eastAsia="zh-CN" w:bidi="ar-SA"/>
              </w:rPr>
            </w:pPr>
            <w:r>
              <w:rPr>
                <w:rFonts w:hint="eastAsia" w:ascii="宋体" w:hAnsi="宋体"/>
              </w:rPr>
              <w:t>1</w:t>
            </w:r>
            <w:r>
              <w:rPr>
                <w:rFonts w:hint="eastAsia" w:ascii="宋体" w:hAnsi="宋体"/>
                <w:lang w:val="en-US" w:eastAsia="zh-CN"/>
              </w:rPr>
              <w:t>1</w:t>
            </w:r>
          </w:p>
        </w:tc>
        <w:tc>
          <w:tcPr>
            <w:tcW w:w="4430" w:type="dxa"/>
            <w:shd w:val="clear" w:color="auto" w:fill="auto"/>
            <w:vAlign w:val="center"/>
          </w:tcPr>
          <w:p w14:paraId="7216A51B">
            <w:pPr>
              <w:adjustRightInd w:val="0"/>
              <w:snapToGrid w:val="0"/>
              <w:spacing w:before="48" w:beforeLines="20" w:after="48" w:afterLines="20"/>
              <w:jc w:val="left"/>
              <w:rPr>
                <w:rFonts w:ascii="宋体" w:hAnsi="宋体" w:eastAsia="宋体" w:cs="Times New Roman"/>
                <w:kern w:val="2"/>
                <w:sz w:val="21"/>
                <w:szCs w:val="22"/>
                <w:lang w:val="en-US" w:eastAsia="zh-CN" w:bidi="ar-SA"/>
              </w:rPr>
            </w:pPr>
            <w:r>
              <w:rPr>
                <w:rFonts w:hint="eastAsia" w:ascii="宋体" w:hAnsi="宋体"/>
              </w:rPr>
              <w:t>信用评价B级，得1</w:t>
            </w:r>
            <w:r>
              <w:rPr>
                <w:rFonts w:hint="eastAsia" w:ascii="宋体" w:hAnsi="宋体"/>
                <w:lang w:val="en-US" w:eastAsia="zh-CN"/>
              </w:rPr>
              <w:t>1</w:t>
            </w:r>
            <w:r>
              <w:rPr>
                <w:rFonts w:hint="eastAsia" w:ascii="宋体" w:hAnsi="宋体"/>
              </w:rPr>
              <w:t>分。</w:t>
            </w:r>
          </w:p>
        </w:tc>
      </w:tr>
      <w:tr w14:paraId="32A0F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586" w:type="dxa"/>
            <w:vMerge w:val="continue"/>
            <w:vAlign w:val="center"/>
          </w:tcPr>
          <w:p w14:paraId="5C7186ED">
            <w:pPr>
              <w:adjustRightInd w:val="0"/>
              <w:snapToGrid w:val="0"/>
              <w:spacing w:before="48" w:beforeLines="20" w:after="48" w:afterLines="20"/>
              <w:jc w:val="center"/>
              <w:rPr>
                <w:rFonts w:ascii="宋体" w:hAnsi="宋体"/>
              </w:rPr>
            </w:pPr>
          </w:p>
        </w:tc>
        <w:tc>
          <w:tcPr>
            <w:tcW w:w="500" w:type="dxa"/>
            <w:vMerge w:val="continue"/>
            <w:vAlign w:val="center"/>
          </w:tcPr>
          <w:p w14:paraId="0A520C51">
            <w:pPr>
              <w:adjustRightInd w:val="0"/>
              <w:snapToGrid w:val="0"/>
              <w:spacing w:before="48" w:beforeLines="20" w:after="48" w:afterLines="20"/>
              <w:jc w:val="center"/>
              <w:rPr>
                <w:rFonts w:ascii="宋体" w:hAnsi="宋体"/>
              </w:rPr>
            </w:pPr>
          </w:p>
        </w:tc>
        <w:tc>
          <w:tcPr>
            <w:tcW w:w="502" w:type="dxa"/>
            <w:vMerge w:val="continue"/>
            <w:vAlign w:val="center"/>
          </w:tcPr>
          <w:p w14:paraId="08AF2737">
            <w:pPr>
              <w:adjustRightInd w:val="0"/>
              <w:snapToGrid w:val="0"/>
              <w:spacing w:before="48" w:beforeLines="20" w:after="48" w:afterLines="20"/>
              <w:jc w:val="center"/>
              <w:rPr>
                <w:rFonts w:ascii="宋体" w:hAnsi="宋体"/>
              </w:rPr>
            </w:pPr>
          </w:p>
        </w:tc>
        <w:tc>
          <w:tcPr>
            <w:tcW w:w="993" w:type="dxa"/>
            <w:vMerge w:val="continue"/>
            <w:vAlign w:val="center"/>
          </w:tcPr>
          <w:p w14:paraId="42802DC4">
            <w:pPr>
              <w:adjustRightInd w:val="0"/>
              <w:snapToGrid w:val="0"/>
              <w:spacing w:before="48" w:beforeLines="20" w:after="48" w:afterLines="20"/>
              <w:jc w:val="center"/>
              <w:rPr>
                <w:rFonts w:ascii="宋体" w:hAnsi="宋体"/>
              </w:rPr>
            </w:pPr>
          </w:p>
        </w:tc>
        <w:tc>
          <w:tcPr>
            <w:tcW w:w="2125" w:type="dxa"/>
            <w:vMerge w:val="continue"/>
            <w:vAlign w:val="center"/>
          </w:tcPr>
          <w:p w14:paraId="4A68884D">
            <w:pPr>
              <w:adjustRightInd w:val="0"/>
              <w:snapToGrid w:val="0"/>
              <w:spacing w:before="48" w:beforeLines="20" w:after="48" w:afterLines="20"/>
              <w:jc w:val="left"/>
              <w:rPr>
                <w:rFonts w:ascii="宋体" w:hAnsi="宋体"/>
              </w:rPr>
            </w:pPr>
          </w:p>
        </w:tc>
        <w:tc>
          <w:tcPr>
            <w:tcW w:w="531" w:type="dxa"/>
            <w:shd w:val="clear" w:color="auto" w:fill="auto"/>
            <w:vAlign w:val="center"/>
          </w:tcPr>
          <w:p w14:paraId="2741D27B">
            <w:pPr>
              <w:adjustRightInd w:val="0"/>
              <w:snapToGrid w:val="0"/>
              <w:spacing w:before="48" w:beforeLines="20" w:after="48" w:afterLines="20"/>
              <w:jc w:val="center"/>
              <w:rPr>
                <w:rFonts w:ascii="宋体" w:hAnsi="宋体" w:eastAsia="宋体" w:cs="Times New Roman"/>
                <w:kern w:val="2"/>
                <w:sz w:val="21"/>
                <w:szCs w:val="22"/>
                <w:lang w:val="en-US" w:eastAsia="zh-CN" w:bidi="ar-SA"/>
              </w:rPr>
            </w:pPr>
            <w:r>
              <w:rPr>
                <w:rFonts w:hint="eastAsia" w:ascii="宋体" w:hAnsi="宋体"/>
              </w:rPr>
              <w:t>9</w:t>
            </w:r>
          </w:p>
        </w:tc>
        <w:tc>
          <w:tcPr>
            <w:tcW w:w="4430" w:type="dxa"/>
            <w:shd w:val="clear" w:color="auto" w:fill="auto"/>
            <w:vAlign w:val="center"/>
          </w:tcPr>
          <w:p w14:paraId="233490BA">
            <w:pPr>
              <w:adjustRightInd w:val="0"/>
              <w:snapToGrid w:val="0"/>
              <w:spacing w:before="48" w:beforeLines="20" w:after="48" w:afterLines="20"/>
              <w:jc w:val="left"/>
              <w:rPr>
                <w:rFonts w:ascii="宋体" w:hAnsi="宋体" w:eastAsia="宋体" w:cs="Times New Roman"/>
                <w:kern w:val="2"/>
                <w:sz w:val="21"/>
                <w:szCs w:val="22"/>
                <w:lang w:val="en-US" w:eastAsia="zh-CN" w:bidi="ar-SA"/>
              </w:rPr>
            </w:pPr>
            <w:r>
              <w:rPr>
                <w:rFonts w:hint="eastAsia" w:ascii="宋体" w:hAnsi="宋体"/>
              </w:rPr>
              <w:t>信用评价C级，得9分。</w:t>
            </w:r>
          </w:p>
        </w:tc>
      </w:tr>
      <w:tr w14:paraId="3F704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586" w:type="dxa"/>
            <w:vMerge w:val="continue"/>
            <w:vAlign w:val="center"/>
          </w:tcPr>
          <w:p w14:paraId="63A898B5">
            <w:pPr>
              <w:adjustRightInd w:val="0"/>
              <w:snapToGrid w:val="0"/>
              <w:spacing w:before="48" w:beforeLines="20" w:after="48" w:afterLines="20"/>
              <w:jc w:val="center"/>
              <w:rPr>
                <w:rFonts w:ascii="宋体" w:hAnsi="宋体"/>
              </w:rPr>
            </w:pPr>
          </w:p>
        </w:tc>
        <w:tc>
          <w:tcPr>
            <w:tcW w:w="500" w:type="dxa"/>
            <w:vMerge w:val="continue"/>
            <w:vAlign w:val="center"/>
          </w:tcPr>
          <w:p w14:paraId="55F7435A">
            <w:pPr>
              <w:adjustRightInd w:val="0"/>
              <w:snapToGrid w:val="0"/>
              <w:spacing w:before="48" w:beforeLines="20" w:after="48" w:afterLines="20"/>
              <w:jc w:val="center"/>
              <w:rPr>
                <w:rFonts w:ascii="宋体" w:hAnsi="宋体"/>
              </w:rPr>
            </w:pPr>
          </w:p>
        </w:tc>
        <w:tc>
          <w:tcPr>
            <w:tcW w:w="502" w:type="dxa"/>
            <w:vMerge w:val="continue"/>
            <w:vAlign w:val="center"/>
          </w:tcPr>
          <w:p w14:paraId="09DFA73E">
            <w:pPr>
              <w:adjustRightInd w:val="0"/>
              <w:snapToGrid w:val="0"/>
              <w:spacing w:before="48" w:beforeLines="20" w:after="48" w:afterLines="20"/>
              <w:jc w:val="center"/>
              <w:rPr>
                <w:rFonts w:ascii="宋体" w:hAnsi="宋体"/>
              </w:rPr>
            </w:pPr>
          </w:p>
        </w:tc>
        <w:tc>
          <w:tcPr>
            <w:tcW w:w="993" w:type="dxa"/>
            <w:vMerge w:val="continue"/>
            <w:vAlign w:val="center"/>
          </w:tcPr>
          <w:p w14:paraId="641FBD4E">
            <w:pPr>
              <w:adjustRightInd w:val="0"/>
              <w:snapToGrid w:val="0"/>
              <w:spacing w:before="48" w:beforeLines="20" w:after="48" w:afterLines="20"/>
              <w:jc w:val="center"/>
              <w:rPr>
                <w:rFonts w:ascii="宋体" w:hAnsi="宋体"/>
              </w:rPr>
            </w:pPr>
          </w:p>
        </w:tc>
        <w:tc>
          <w:tcPr>
            <w:tcW w:w="2125" w:type="dxa"/>
            <w:vMerge w:val="continue"/>
            <w:vAlign w:val="center"/>
          </w:tcPr>
          <w:p w14:paraId="30AE33A0">
            <w:pPr>
              <w:adjustRightInd w:val="0"/>
              <w:snapToGrid w:val="0"/>
              <w:spacing w:before="48" w:beforeLines="20" w:after="48" w:afterLines="20"/>
              <w:jc w:val="left"/>
              <w:rPr>
                <w:rFonts w:ascii="宋体" w:hAnsi="宋体"/>
              </w:rPr>
            </w:pPr>
          </w:p>
        </w:tc>
        <w:tc>
          <w:tcPr>
            <w:tcW w:w="531" w:type="dxa"/>
            <w:shd w:val="clear" w:color="auto" w:fill="auto"/>
            <w:vAlign w:val="center"/>
          </w:tcPr>
          <w:p w14:paraId="25FF563F">
            <w:pPr>
              <w:adjustRightInd w:val="0"/>
              <w:snapToGrid w:val="0"/>
              <w:spacing w:before="48" w:beforeLines="20" w:after="48" w:afterLines="20"/>
              <w:jc w:val="center"/>
              <w:rPr>
                <w:rFonts w:ascii="宋体" w:hAnsi="宋体" w:eastAsia="宋体" w:cs="Times New Roman"/>
                <w:kern w:val="2"/>
                <w:sz w:val="21"/>
                <w:szCs w:val="22"/>
                <w:lang w:val="en-US" w:eastAsia="zh-CN" w:bidi="ar-SA"/>
              </w:rPr>
            </w:pPr>
            <w:r>
              <w:rPr>
                <w:rFonts w:hint="eastAsia" w:ascii="宋体" w:hAnsi="宋体"/>
              </w:rPr>
              <w:t>0</w:t>
            </w:r>
          </w:p>
        </w:tc>
        <w:tc>
          <w:tcPr>
            <w:tcW w:w="4430" w:type="dxa"/>
            <w:shd w:val="clear" w:color="auto" w:fill="auto"/>
            <w:vAlign w:val="center"/>
          </w:tcPr>
          <w:p w14:paraId="4F9C6F8D">
            <w:pPr>
              <w:adjustRightInd w:val="0"/>
              <w:snapToGrid w:val="0"/>
              <w:spacing w:before="48" w:beforeLines="20" w:after="48" w:afterLines="20"/>
              <w:jc w:val="left"/>
              <w:rPr>
                <w:rFonts w:ascii="宋体" w:hAnsi="宋体" w:eastAsia="宋体" w:cs="Times New Roman"/>
                <w:kern w:val="2"/>
                <w:sz w:val="21"/>
                <w:szCs w:val="22"/>
                <w:lang w:val="en-US" w:eastAsia="zh-CN" w:bidi="ar-SA"/>
              </w:rPr>
            </w:pPr>
            <w:r>
              <w:rPr>
                <w:rFonts w:hint="eastAsia" w:ascii="宋体" w:hAnsi="宋体"/>
              </w:rPr>
              <w:t>信用评价D级，得0分。</w:t>
            </w:r>
          </w:p>
        </w:tc>
      </w:tr>
      <w:tr w14:paraId="213A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586" w:type="dxa"/>
            <w:vMerge w:val="continue"/>
            <w:vAlign w:val="center"/>
          </w:tcPr>
          <w:p w14:paraId="51083DA6">
            <w:pPr>
              <w:adjustRightInd w:val="0"/>
              <w:snapToGrid w:val="0"/>
              <w:spacing w:before="48" w:beforeLines="20" w:after="48" w:afterLines="20"/>
              <w:jc w:val="center"/>
              <w:rPr>
                <w:rFonts w:ascii="楷体" w:hAnsi="楷体" w:eastAsia="楷体"/>
              </w:rPr>
            </w:pPr>
          </w:p>
        </w:tc>
        <w:tc>
          <w:tcPr>
            <w:tcW w:w="500" w:type="dxa"/>
            <w:vMerge w:val="continue"/>
            <w:vAlign w:val="center"/>
          </w:tcPr>
          <w:p w14:paraId="4431F31A">
            <w:pPr>
              <w:adjustRightInd w:val="0"/>
              <w:snapToGrid w:val="0"/>
              <w:spacing w:before="48" w:beforeLines="20" w:after="48" w:afterLines="20"/>
              <w:jc w:val="center"/>
              <w:rPr>
                <w:rFonts w:ascii="楷体" w:hAnsi="楷体" w:eastAsia="楷体"/>
              </w:rPr>
            </w:pPr>
          </w:p>
        </w:tc>
        <w:tc>
          <w:tcPr>
            <w:tcW w:w="502" w:type="dxa"/>
            <w:vMerge w:val="continue"/>
            <w:vAlign w:val="center"/>
          </w:tcPr>
          <w:p w14:paraId="4B481891">
            <w:pPr>
              <w:adjustRightInd w:val="0"/>
              <w:snapToGrid w:val="0"/>
              <w:spacing w:before="48" w:beforeLines="20" w:after="48" w:afterLines="20"/>
              <w:jc w:val="center"/>
              <w:rPr>
                <w:rFonts w:ascii="楷体" w:hAnsi="楷体" w:eastAsia="楷体"/>
              </w:rPr>
            </w:pPr>
          </w:p>
        </w:tc>
        <w:tc>
          <w:tcPr>
            <w:tcW w:w="8079" w:type="dxa"/>
            <w:gridSpan w:val="4"/>
            <w:vAlign w:val="center"/>
          </w:tcPr>
          <w:p w14:paraId="27E350A3">
            <w:pPr>
              <w:rPr>
                <w:rFonts w:ascii="宋体" w:hAnsi="宋体"/>
                <w:szCs w:val="21"/>
              </w:rPr>
            </w:pPr>
            <w:r>
              <w:rPr>
                <w:rFonts w:hint="eastAsia" w:ascii="宋体" w:hAnsi="宋体"/>
                <w:szCs w:val="21"/>
              </w:rPr>
              <w:t>投标人的信用评价按以下</w:t>
            </w:r>
            <w:r>
              <w:rPr>
                <w:rFonts w:hint="eastAsia" w:ascii="宋体" w:hAnsi="宋体"/>
              </w:rPr>
              <w:t>原则确定</w:t>
            </w:r>
            <w:r>
              <w:rPr>
                <w:rFonts w:hint="eastAsia" w:ascii="宋体" w:hAnsi="宋体"/>
                <w:szCs w:val="21"/>
              </w:rPr>
              <w:t>：</w:t>
            </w:r>
          </w:p>
          <w:p w14:paraId="56994E83">
            <w:pPr>
              <w:adjustRightInd w:val="0"/>
              <w:snapToGrid w:val="0"/>
              <w:spacing w:before="48" w:beforeLines="20" w:after="48" w:afterLines="20"/>
              <w:jc w:val="left"/>
              <w:rPr>
                <w:rFonts w:ascii="宋体" w:hAnsi="宋体"/>
                <w:szCs w:val="21"/>
              </w:rPr>
            </w:pPr>
            <w:r>
              <w:rPr>
                <w:rFonts w:hint="eastAsia" w:ascii="宋体" w:hAnsi="宋体"/>
                <w:szCs w:val="21"/>
              </w:rPr>
              <w:t>（1）吉林省交通运输厅发布的《</w:t>
            </w:r>
            <w:r>
              <w:rPr>
                <w:rFonts w:ascii="宋体" w:hAnsi="宋体"/>
                <w:bCs/>
                <w:szCs w:val="21"/>
              </w:rPr>
              <w:t>关于发布</w:t>
            </w:r>
            <w:r>
              <w:rPr>
                <w:rFonts w:hint="eastAsia" w:ascii="宋体" w:hAnsi="宋体"/>
                <w:bCs/>
                <w:szCs w:val="21"/>
              </w:rPr>
              <w:t>2024</w:t>
            </w:r>
            <w:r>
              <w:rPr>
                <w:rFonts w:ascii="宋体" w:hAnsi="宋体"/>
                <w:bCs/>
                <w:szCs w:val="21"/>
              </w:rPr>
              <w:t>年度公路</w:t>
            </w:r>
            <w:r>
              <w:rPr>
                <w:rFonts w:hint="eastAsia" w:ascii="宋体" w:hAnsi="宋体"/>
                <w:bCs/>
                <w:szCs w:val="21"/>
              </w:rPr>
              <w:t>建设市场吉林省省级综合评价结果</w:t>
            </w:r>
            <w:r>
              <w:rPr>
                <w:rFonts w:ascii="宋体" w:hAnsi="宋体"/>
                <w:bCs/>
                <w:szCs w:val="21"/>
              </w:rPr>
              <w:t>的通告</w:t>
            </w:r>
            <w:r>
              <w:rPr>
                <w:rFonts w:hint="eastAsia" w:ascii="宋体" w:hAnsi="宋体"/>
                <w:szCs w:val="21"/>
              </w:rPr>
              <w:t>》中投标人的企业信用等级；</w:t>
            </w:r>
          </w:p>
          <w:p w14:paraId="5265D480">
            <w:pPr>
              <w:adjustRightInd w:val="0"/>
              <w:snapToGrid w:val="0"/>
              <w:spacing w:before="48" w:beforeLines="20" w:after="48" w:afterLines="20"/>
              <w:jc w:val="left"/>
              <w:rPr>
                <w:rFonts w:ascii="宋体" w:hAnsi="宋体"/>
                <w:szCs w:val="21"/>
              </w:rPr>
            </w:pPr>
            <w:r>
              <w:rPr>
                <w:rFonts w:hint="eastAsia" w:ascii="宋体" w:hAnsi="宋体"/>
                <w:szCs w:val="21"/>
              </w:rPr>
              <w:t>（2）交通运输部“全国公路建设市场监督管理系统”“全国公路从业单位信用评价结果”中投标人的全国综合评价2024年度企业信用等级；</w:t>
            </w:r>
          </w:p>
          <w:p w14:paraId="27961555">
            <w:pPr>
              <w:adjustRightInd w:val="0"/>
              <w:snapToGrid w:val="0"/>
              <w:spacing w:before="48" w:beforeLines="20" w:after="48" w:afterLines="20"/>
              <w:jc w:val="left"/>
              <w:rPr>
                <w:rFonts w:ascii="宋体" w:hAnsi="宋体"/>
                <w:szCs w:val="21"/>
              </w:rPr>
            </w:pPr>
            <w:r>
              <w:rPr>
                <w:rFonts w:hint="eastAsia" w:ascii="宋体" w:hAnsi="宋体"/>
                <w:szCs w:val="21"/>
              </w:rPr>
              <w:t>（3）同一投标人同时具有上述企业信用评价的，以吉林省评价为准；</w:t>
            </w:r>
          </w:p>
          <w:p w14:paraId="43BD27C2">
            <w:pPr>
              <w:adjustRightInd w:val="0"/>
              <w:snapToGrid w:val="0"/>
              <w:spacing w:before="48" w:beforeLines="20" w:after="48" w:afterLines="20"/>
              <w:jc w:val="left"/>
              <w:rPr>
                <w:rFonts w:hint="eastAsia" w:ascii="宋体" w:hAnsi="宋体" w:eastAsia="宋体"/>
                <w:szCs w:val="21"/>
                <w:lang w:eastAsia="zh-CN"/>
              </w:rPr>
            </w:pPr>
            <w:r>
              <w:rPr>
                <w:rFonts w:hint="eastAsia" w:ascii="宋体" w:hAnsi="宋体"/>
                <w:szCs w:val="21"/>
              </w:rPr>
              <w:t>（4）无以上信用评价等级的，根据“全国公路建设市场监督管理系统--不良行为记录”查询结果，若无不良信用记录，按A级对待，如有不良信用记录，视其严重程度按B级或以下对待</w:t>
            </w:r>
            <w:r>
              <w:rPr>
                <w:rFonts w:hint="eastAsia" w:ascii="宋体" w:hAnsi="宋体"/>
                <w:szCs w:val="21"/>
                <w:lang w:eastAsia="zh-CN"/>
              </w:rPr>
              <w:t>；</w:t>
            </w:r>
          </w:p>
          <w:p w14:paraId="4AAB1B10">
            <w:pPr>
              <w:adjustRightInd w:val="0"/>
              <w:snapToGrid w:val="0"/>
              <w:spacing w:before="48" w:beforeLines="20" w:after="48" w:afterLines="20"/>
              <w:jc w:val="left"/>
              <w:rPr>
                <w:rFonts w:ascii="宋体" w:hAnsi="宋体"/>
                <w:szCs w:val="21"/>
              </w:rPr>
            </w:pPr>
            <w:r>
              <w:rPr>
                <w:rFonts w:hint="eastAsia" w:ascii="宋体" w:hAnsi="宋体"/>
                <w:szCs w:val="21"/>
              </w:rPr>
              <w:t>（5）投标人的评价结果必须是以施工企业身份获得的，以设计企业或监理企业身份获得的评价在本次招标中无效。</w:t>
            </w:r>
          </w:p>
        </w:tc>
      </w:tr>
      <w:tr w14:paraId="30E71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9667" w:type="dxa"/>
            <w:gridSpan w:val="7"/>
            <w:vAlign w:val="center"/>
          </w:tcPr>
          <w:p w14:paraId="4A905701">
            <w:pPr>
              <w:adjustRightInd w:val="0"/>
              <w:snapToGrid w:val="0"/>
              <w:spacing w:before="48" w:beforeLines="20" w:after="48" w:afterLines="20"/>
              <w:jc w:val="left"/>
              <w:rPr>
                <w:rFonts w:ascii="宋体" w:hAnsi="宋体"/>
              </w:rPr>
            </w:pPr>
            <w:r>
              <w:rPr>
                <w:rFonts w:hint="eastAsia" w:ascii="宋体" w:hAnsi="宋体"/>
              </w:rPr>
              <w:t>需要补充的其他内容：</w:t>
            </w:r>
          </w:p>
          <w:p w14:paraId="1E66A253">
            <w:pPr>
              <w:tabs>
                <w:tab w:val="left" w:pos="0"/>
              </w:tabs>
              <w:adjustRightInd w:val="0"/>
              <w:snapToGrid w:val="0"/>
              <w:spacing w:before="48" w:beforeLines="20" w:after="48" w:afterLines="20"/>
              <w:jc w:val="left"/>
              <w:rPr>
                <w:rFonts w:ascii="宋体" w:hAnsi="宋体"/>
              </w:rPr>
            </w:pPr>
            <w:r>
              <w:rPr>
                <w:rFonts w:hint="eastAsia" w:ascii="宋体" w:hAnsi="宋体"/>
              </w:rPr>
              <w:t>1.各评分因素（履约信誉评分项除外）得分一般不得低于其权重分值的60%，且各评分因素得分应以评标委员会各成员的打分平均值确定，评标委员会成员数量为7人以上时，该平均值以去掉一个最高分和一个最低分后计算。评标委员会成员对某一项评分因素的评分低于权重分值60%的，应在评标报告中作出说明。所有评分分值均保留至小数点后两位，小数点后第三位四舍五入。</w:t>
            </w:r>
          </w:p>
          <w:p w14:paraId="626DFF46">
            <w:pPr>
              <w:tabs>
                <w:tab w:val="left" w:pos="0"/>
              </w:tabs>
              <w:adjustRightInd w:val="0"/>
              <w:snapToGrid w:val="0"/>
              <w:spacing w:before="48" w:beforeLines="20" w:after="48" w:afterLines="20"/>
              <w:jc w:val="left"/>
              <w:rPr>
                <w:rFonts w:ascii="宋体" w:hAnsi="宋体"/>
              </w:rPr>
            </w:pPr>
            <w:r>
              <w:rPr>
                <w:rFonts w:hint="eastAsia" w:ascii="Times New Roman" w:hAnsi="Times New Roman"/>
                <w:bCs/>
                <w:szCs w:val="24"/>
              </w:rPr>
              <w:t>2.施工组织设计采用“暗标”评审，如果某投标人的施工组织设计没有按照招标文件规定的格式、内容编制，且经评标委员会认定会暴露投标人信息的，评标委员会应否决其投标，并在评标报告中作出详细说明。</w:t>
            </w:r>
          </w:p>
        </w:tc>
      </w:tr>
    </w:tbl>
    <w:p w14:paraId="2C9CA6E1">
      <w:pPr>
        <w:rPr>
          <w:rFonts w:ascii="黑体" w:hAnsi="黑体" w:eastAsia="黑体"/>
          <w:bCs/>
          <w:color w:val="FF0000"/>
          <w:kern w:val="0"/>
          <w:sz w:val="24"/>
          <w:szCs w:val="24"/>
        </w:rPr>
      </w:pPr>
      <w:r>
        <w:rPr>
          <w:rFonts w:hint="eastAsia" w:ascii="黑体" w:hAnsi="黑体" w:eastAsia="黑体"/>
          <w:bCs/>
          <w:color w:val="FF0000"/>
          <w:kern w:val="0"/>
          <w:sz w:val="24"/>
          <w:szCs w:val="24"/>
        </w:rPr>
        <w:br w:type="page"/>
      </w:r>
    </w:p>
    <w:p w14:paraId="10BADC35">
      <w:pPr>
        <w:keepNext/>
        <w:keepLines/>
        <w:adjustRightInd w:val="0"/>
        <w:snapToGrid w:val="0"/>
        <w:outlineLvl w:val="2"/>
        <w:rPr>
          <w:rFonts w:ascii="宋体" w:hAnsi="宋体"/>
          <w:bCs/>
          <w:kern w:val="0"/>
          <w:sz w:val="32"/>
          <w:szCs w:val="32"/>
        </w:rPr>
      </w:pPr>
      <w:r>
        <w:rPr>
          <w:rFonts w:hint="eastAsia" w:ascii="黑体" w:hAnsi="黑体" w:eastAsia="黑体"/>
          <w:bCs/>
          <w:kern w:val="0"/>
          <w:sz w:val="24"/>
          <w:szCs w:val="24"/>
        </w:rPr>
        <w:t>LH01标段</w:t>
      </w:r>
      <w:r>
        <w:rPr>
          <w:rFonts w:ascii="黑体" w:hAnsi="黑体" w:eastAsia="黑体"/>
          <w:bCs/>
          <w:kern w:val="0"/>
          <w:sz w:val="24"/>
          <w:szCs w:val="24"/>
        </w:rPr>
        <w:t>评标办法前附表</w:t>
      </w:r>
      <w:r>
        <w:rPr>
          <w:rFonts w:ascii="宋体" w:hAnsi="宋体"/>
          <w:bCs/>
          <w:kern w:val="0"/>
          <w:sz w:val="30"/>
          <w:szCs w:val="30"/>
          <w:vertAlign w:val="superscript"/>
        </w:rPr>
        <w:footnoteReference w:id="2"/>
      </w:r>
    </w:p>
    <w:tbl>
      <w:tblPr>
        <w:tblStyle w:val="7"/>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0" w:type="dxa"/>
          <w:bottom w:w="85" w:type="dxa"/>
          <w:right w:w="0" w:type="dxa"/>
        </w:tblCellMar>
      </w:tblPr>
      <w:tblGrid>
        <w:gridCol w:w="856"/>
        <w:gridCol w:w="1389"/>
        <w:gridCol w:w="7383"/>
      </w:tblGrid>
      <w:tr w14:paraId="4B112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trHeight w:val="570" w:hRule="atLeast"/>
          <w:tblHeader/>
          <w:jc w:val="center"/>
        </w:trPr>
        <w:tc>
          <w:tcPr>
            <w:tcW w:w="2245" w:type="dxa"/>
            <w:gridSpan w:val="2"/>
            <w:shd w:val="clear" w:color="auto" w:fill="auto"/>
            <w:vAlign w:val="center"/>
          </w:tcPr>
          <w:p w14:paraId="6B9EA841">
            <w:pPr>
              <w:autoSpaceDE w:val="0"/>
              <w:autoSpaceDN w:val="0"/>
              <w:adjustRightInd w:val="0"/>
              <w:snapToGrid w:val="0"/>
              <w:spacing w:line="300" w:lineRule="auto"/>
              <w:ind w:firstLine="210" w:firstLineChars="100"/>
              <w:jc w:val="center"/>
              <w:rPr>
                <w:rFonts w:ascii="宋体" w:hAnsi="宋体"/>
                <w:szCs w:val="21"/>
              </w:rPr>
            </w:pPr>
            <w:r>
              <w:rPr>
                <w:rFonts w:ascii="宋体" w:hAnsi="宋体"/>
                <w:szCs w:val="21"/>
              </w:rPr>
              <w:t>条款号</w:t>
            </w:r>
          </w:p>
        </w:tc>
        <w:tc>
          <w:tcPr>
            <w:tcW w:w="7383" w:type="dxa"/>
            <w:shd w:val="clear" w:color="auto" w:fill="auto"/>
            <w:vAlign w:val="center"/>
          </w:tcPr>
          <w:p w14:paraId="40A9BEFF">
            <w:pPr>
              <w:autoSpaceDE w:val="0"/>
              <w:autoSpaceDN w:val="0"/>
              <w:adjustRightInd w:val="0"/>
              <w:snapToGrid w:val="0"/>
              <w:spacing w:line="300" w:lineRule="auto"/>
              <w:ind w:firstLine="210" w:firstLineChars="100"/>
              <w:jc w:val="center"/>
              <w:rPr>
                <w:rFonts w:ascii="宋体" w:hAnsi="宋体"/>
                <w:szCs w:val="21"/>
              </w:rPr>
            </w:pPr>
            <w:r>
              <w:rPr>
                <w:rFonts w:ascii="宋体" w:hAnsi="宋体"/>
                <w:szCs w:val="21"/>
              </w:rPr>
              <w:t>评审因素与评审标准</w:t>
            </w:r>
          </w:p>
        </w:tc>
      </w:tr>
      <w:tr w14:paraId="49FCA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trHeight w:val="1666" w:hRule="atLeast"/>
          <w:jc w:val="center"/>
        </w:trPr>
        <w:tc>
          <w:tcPr>
            <w:tcW w:w="856" w:type="dxa"/>
            <w:shd w:val="clear" w:color="auto" w:fill="auto"/>
            <w:vAlign w:val="center"/>
          </w:tcPr>
          <w:p w14:paraId="6B1386EB">
            <w:pPr>
              <w:autoSpaceDE w:val="0"/>
              <w:autoSpaceDN w:val="0"/>
              <w:adjustRightInd w:val="0"/>
              <w:snapToGrid w:val="0"/>
              <w:spacing w:line="300" w:lineRule="auto"/>
              <w:ind w:firstLine="420" w:firstLineChars="200"/>
              <w:rPr>
                <w:rFonts w:ascii="宋体" w:hAnsi="宋体"/>
                <w:szCs w:val="21"/>
              </w:rPr>
            </w:pPr>
            <w:r>
              <w:rPr>
                <w:rFonts w:hint="eastAsia" w:ascii="宋体" w:hAnsi="宋体"/>
                <w:szCs w:val="21"/>
              </w:rPr>
              <w:t>1</w:t>
            </w:r>
          </w:p>
        </w:tc>
        <w:tc>
          <w:tcPr>
            <w:tcW w:w="1389" w:type="dxa"/>
            <w:shd w:val="clear" w:color="auto" w:fill="auto"/>
            <w:vAlign w:val="center"/>
          </w:tcPr>
          <w:p w14:paraId="672BDE3A">
            <w:pPr>
              <w:adjustRightInd w:val="0"/>
              <w:snapToGrid w:val="0"/>
              <w:spacing w:line="300" w:lineRule="auto"/>
              <w:ind w:firstLine="210" w:firstLineChars="100"/>
              <w:rPr>
                <w:rFonts w:ascii="宋体" w:hAnsi="宋体"/>
                <w:szCs w:val="21"/>
              </w:rPr>
            </w:pPr>
            <w:r>
              <w:rPr>
                <w:rFonts w:hint="eastAsia" w:ascii="宋体" w:hAnsi="宋体"/>
                <w:szCs w:val="21"/>
              </w:rPr>
              <w:t>评标方法</w:t>
            </w:r>
          </w:p>
        </w:tc>
        <w:tc>
          <w:tcPr>
            <w:tcW w:w="7383" w:type="dxa"/>
            <w:shd w:val="clear" w:color="auto" w:fill="auto"/>
            <w:vAlign w:val="center"/>
          </w:tcPr>
          <w:p w14:paraId="18F956D3">
            <w:pPr>
              <w:adjustRightInd w:val="0"/>
              <w:snapToGrid w:val="0"/>
              <w:ind w:firstLine="210" w:firstLineChars="100"/>
              <w:jc w:val="left"/>
              <w:rPr>
                <w:rFonts w:ascii="宋体" w:hAnsi="宋体"/>
                <w:szCs w:val="21"/>
              </w:rPr>
            </w:pPr>
            <w:r>
              <w:rPr>
                <w:rFonts w:hint="eastAsia" w:ascii="宋体" w:hAnsi="宋体"/>
                <w:szCs w:val="21"/>
              </w:rPr>
              <w:t>评标价相等时，评标委员会依次按照以下优先顺序推荐中标候选人：</w:t>
            </w:r>
          </w:p>
          <w:p w14:paraId="6C9C457D">
            <w:pPr>
              <w:adjustRightInd w:val="0"/>
              <w:snapToGrid w:val="0"/>
              <w:ind w:firstLine="210" w:firstLineChars="100"/>
              <w:jc w:val="left"/>
              <w:rPr>
                <w:rFonts w:ascii="宋体" w:hAnsi="宋体"/>
                <w:szCs w:val="21"/>
              </w:rPr>
            </w:pPr>
            <w:r>
              <w:rPr>
                <w:rFonts w:hint="eastAsia" w:ascii="宋体" w:hAnsi="宋体"/>
                <w:szCs w:val="21"/>
              </w:rPr>
              <w:t>（1）商务和技术得分较高的投标人优先；</w:t>
            </w:r>
          </w:p>
          <w:p w14:paraId="4222BEC0">
            <w:pPr>
              <w:adjustRightInd w:val="0"/>
              <w:snapToGrid w:val="0"/>
              <w:ind w:firstLine="210" w:firstLineChars="100"/>
              <w:jc w:val="left"/>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）评标委员会投票确定。</w:t>
            </w:r>
          </w:p>
        </w:tc>
      </w:tr>
      <w:tr w14:paraId="0FCE5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trHeight w:val="992" w:hRule="atLeast"/>
          <w:jc w:val="center"/>
        </w:trPr>
        <w:tc>
          <w:tcPr>
            <w:tcW w:w="856" w:type="dxa"/>
            <w:shd w:val="clear" w:color="auto" w:fill="auto"/>
            <w:vAlign w:val="center"/>
          </w:tcPr>
          <w:p w14:paraId="7D7D571C">
            <w:pPr>
              <w:autoSpaceDE w:val="0"/>
              <w:autoSpaceDN w:val="0"/>
              <w:adjustRightInd w:val="0"/>
              <w:snapToGrid w:val="0"/>
              <w:spacing w:line="300" w:lineRule="auto"/>
              <w:ind w:firstLine="210" w:firstLineChars="100"/>
              <w:rPr>
                <w:rFonts w:ascii="宋体" w:hAnsi="宋体"/>
                <w:szCs w:val="21"/>
              </w:rPr>
            </w:pPr>
            <w:r>
              <w:rPr>
                <w:rFonts w:ascii="宋体" w:hAnsi="宋体"/>
                <w:szCs w:val="21"/>
              </w:rPr>
              <w:t>2.1.1</w:t>
            </w:r>
          </w:p>
          <w:p w14:paraId="4C83C0F0">
            <w:pPr>
              <w:autoSpaceDE w:val="0"/>
              <w:autoSpaceDN w:val="0"/>
              <w:adjustRightInd w:val="0"/>
              <w:snapToGrid w:val="0"/>
              <w:spacing w:line="300" w:lineRule="auto"/>
              <w:ind w:firstLine="210" w:firstLineChars="100"/>
              <w:rPr>
                <w:rFonts w:ascii="宋体" w:hAnsi="宋体"/>
                <w:szCs w:val="21"/>
              </w:rPr>
            </w:pPr>
            <w:r>
              <w:rPr>
                <w:rFonts w:ascii="宋体" w:hAnsi="宋体"/>
                <w:szCs w:val="21"/>
              </w:rPr>
              <w:t>2.1.3</w:t>
            </w:r>
          </w:p>
        </w:tc>
        <w:tc>
          <w:tcPr>
            <w:tcW w:w="1389" w:type="dxa"/>
            <w:shd w:val="clear" w:color="auto" w:fill="auto"/>
            <w:vAlign w:val="center"/>
          </w:tcPr>
          <w:p w14:paraId="758D8316">
            <w:pPr>
              <w:adjustRightInd w:val="0"/>
              <w:snapToGrid w:val="0"/>
              <w:spacing w:line="300" w:lineRule="auto"/>
              <w:ind w:firstLine="210" w:firstLineChars="100"/>
              <w:rPr>
                <w:rFonts w:ascii="宋体" w:hAnsi="宋体"/>
                <w:szCs w:val="21"/>
              </w:rPr>
            </w:pPr>
            <w:r>
              <w:rPr>
                <w:rFonts w:hint="eastAsia" w:ascii="宋体" w:hAnsi="宋体"/>
                <w:szCs w:val="21"/>
              </w:rPr>
              <w:t>形式评审与</w:t>
            </w:r>
          </w:p>
          <w:p w14:paraId="50EAE345">
            <w:pPr>
              <w:adjustRightInd w:val="0"/>
              <w:snapToGrid w:val="0"/>
              <w:spacing w:line="300" w:lineRule="auto"/>
              <w:ind w:firstLine="210" w:firstLineChars="100"/>
              <w:rPr>
                <w:rFonts w:ascii="宋体" w:hAnsi="宋体"/>
                <w:szCs w:val="21"/>
              </w:rPr>
            </w:pPr>
            <w:r>
              <w:rPr>
                <w:rFonts w:hint="eastAsia" w:ascii="宋体" w:hAnsi="宋体"/>
                <w:szCs w:val="21"/>
              </w:rPr>
              <w:t>响应性评审</w:t>
            </w:r>
          </w:p>
          <w:p w14:paraId="5E1DA6B4">
            <w:pPr>
              <w:adjustRightInd w:val="0"/>
              <w:snapToGrid w:val="0"/>
              <w:spacing w:line="300" w:lineRule="auto"/>
              <w:ind w:firstLine="420" w:firstLineChars="200"/>
              <w:rPr>
                <w:rFonts w:ascii="宋体" w:hAnsi="宋体"/>
                <w:szCs w:val="21"/>
              </w:rPr>
            </w:pPr>
            <w:r>
              <w:rPr>
                <w:rFonts w:hint="eastAsia" w:ascii="宋体" w:hAnsi="宋体"/>
                <w:szCs w:val="21"/>
              </w:rPr>
              <w:t>标准</w:t>
            </w:r>
          </w:p>
        </w:tc>
        <w:tc>
          <w:tcPr>
            <w:tcW w:w="7383" w:type="dxa"/>
            <w:shd w:val="clear" w:color="auto" w:fill="auto"/>
            <w:vAlign w:val="center"/>
          </w:tcPr>
          <w:p w14:paraId="32914306">
            <w:pPr>
              <w:spacing w:before="120" w:beforeLines="50"/>
              <w:ind w:firstLine="211" w:firstLineChars="100"/>
              <w:rPr>
                <w:rFonts w:ascii="宋体" w:hAnsi="宋体"/>
                <w:b/>
              </w:rPr>
            </w:pPr>
            <w:r>
              <w:rPr>
                <w:rFonts w:hint="eastAsia" w:ascii="宋体" w:hAnsi="宋体"/>
                <w:b/>
              </w:rPr>
              <w:t>第一个信封（商务及技术文件）评审标准：</w:t>
            </w:r>
          </w:p>
          <w:p w14:paraId="09C50BC8">
            <w:pPr>
              <w:ind w:left="210" w:leftChars="100"/>
              <w:rPr>
                <w:rFonts w:ascii="宋体" w:hAnsi="宋体"/>
                <w:szCs w:val="21"/>
              </w:rPr>
            </w:pPr>
            <w:r>
              <w:rPr>
                <w:rFonts w:hint="eastAsia" w:ascii="宋体" w:hAnsi="宋体"/>
                <w:szCs w:val="21"/>
              </w:rPr>
              <w:t>（1）投标文件按照招标文件规定的格式、内容填写，字迹清晰可辨：</w:t>
            </w:r>
          </w:p>
          <w:p w14:paraId="6761BFE3">
            <w:pPr>
              <w:ind w:firstLine="420" w:firstLineChars="200"/>
              <w:rPr>
                <w:rFonts w:ascii="宋体" w:hAnsi="宋体"/>
                <w:szCs w:val="21"/>
              </w:rPr>
            </w:pPr>
            <w:r>
              <w:rPr>
                <w:rFonts w:hint="eastAsia" w:ascii="宋体" w:hAnsi="宋体"/>
                <w:szCs w:val="21"/>
              </w:rPr>
              <w:t>a.投标函按招标文件规定填报了项目名称、标段号、补遗书编号（如有）、工期、工程质量要求及安全目标；</w:t>
            </w:r>
          </w:p>
          <w:p w14:paraId="2C0B4534">
            <w:pPr>
              <w:ind w:firstLine="420" w:firstLineChars="200"/>
              <w:rPr>
                <w:rFonts w:ascii="宋体" w:hAnsi="宋体"/>
                <w:szCs w:val="21"/>
              </w:rPr>
            </w:pPr>
            <w:r>
              <w:rPr>
                <w:rFonts w:hint="eastAsia" w:ascii="宋体" w:hAnsi="宋体"/>
                <w:szCs w:val="21"/>
              </w:rPr>
              <w:t>b.投标函附录的所有数据均符合招标文件规定；</w:t>
            </w:r>
          </w:p>
          <w:p w14:paraId="476A9848">
            <w:pPr>
              <w:ind w:firstLine="420" w:firstLineChars="200"/>
              <w:rPr>
                <w:rFonts w:ascii="宋体" w:hAnsi="宋体"/>
                <w:szCs w:val="21"/>
              </w:rPr>
            </w:pPr>
            <w:r>
              <w:rPr>
                <w:rFonts w:hint="eastAsia" w:ascii="宋体" w:hAnsi="宋体"/>
                <w:szCs w:val="21"/>
              </w:rPr>
              <w:t xml:space="preserve">c.投标文件组成齐全完整，内容均按规定填写。 </w:t>
            </w:r>
          </w:p>
          <w:p w14:paraId="5F60EB6E">
            <w:pPr>
              <w:ind w:left="210" w:leftChars="100"/>
              <w:rPr>
                <w:rFonts w:ascii="宋体" w:hAnsi="宋体"/>
                <w:szCs w:val="21"/>
              </w:rPr>
            </w:pPr>
            <w:r>
              <w:rPr>
                <w:rFonts w:hint="eastAsia" w:ascii="宋体" w:hAnsi="宋体"/>
                <w:szCs w:val="21"/>
              </w:rPr>
              <w:t>（2）投标文件上法定代表人或其委托代理人的签字、投标人的单位章盖章齐全，符合招标文件规定。</w:t>
            </w:r>
          </w:p>
          <w:p w14:paraId="2434BCAB">
            <w:pPr>
              <w:ind w:left="210" w:leftChars="100"/>
              <w:rPr>
                <w:rFonts w:ascii="宋体" w:hAnsi="宋体"/>
                <w:szCs w:val="21"/>
              </w:rPr>
            </w:pPr>
            <w:r>
              <w:rPr>
                <w:rFonts w:hint="eastAsia" w:ascii="宋体" w:hAnsi="宋体"/>
                <w:szCs w:val="21"/>
              </w:rPr>
              <w:t>（3）投标人按照招标文件的规定提供了投标保证金：</w:t>
            </w:r>
          </w:p>
          <w:p w14:paraId="1636C091">
            <w:pPr>
              <w:ind w:firstLine="420" w:firstLineChars="200"/>
              <w:rPr>
                <w:rFonts w:ascii="宋体" w:hAnsi="宋体"/>
                <w:szCs w:val="21"/>
              </w:rPr>
            </w:pPr>
            <w:r>
              <w:rPr>
                <w:rFonts w:hint="eastAsia" w:ascii="宋体" w:hAnsi="宋体"/>
                <w:szCs w:val="21"/>
              </w:rPr>
              <w:t>a.投标保证金金额符合招标文件规定的金额，且投标保证金有效期不少于投标有效期；</w:t>
            </w:r>
          </w:p>
          <w:p w14:paraId="4D86495A">
            <w:pPr>
              <w:ind w:firstLine="420" w:firstLineChars="200"/>
              <w:rPr>
                <w:rFonts w:ascii="宋体" w:hAnsi="宋体"/>
                <w:szCs w:val="21"/>
              </w:rPr>
            </w:pPr>
            <w:r>
              <w:rPr>
                <w:rFonts w:hint="eastAsia" w:ascii="宋体" w:hAnsi="宋体"/>
                <w:szCs w:val="21"/>
              </w:rPr>
              <w:t>b.若投标保证金采用现金或支票形式提交，投标人应在</w:t>
            </w:r>
            <w:r>
              <w:rPr>
                <w:rFonts w:hint="eastAsia" w:ascii="宋体" w:hAnsi="宋体" w:cs="宋体"/>
                <w:bCs/>
                <w:szCs w:val="21"/>
                <w:lang w:val="zh-CN"/>
              </w:rPr>
              <w:t>递交投标文件截止时间之前</w:t>
            </w:r>
            <w:r>
              <w:rPr>
                <w:rFonts w:hint="eastAsia" w:ascii="宋体" w:hAnsi="宋体"/>
                <w:szCs w:val="21"/>
              </w:rPr>
              <w:t>，</w:t>
            </w:r>
            <w:r>
              <w:rPr>
                <w:rFonts w:ascii="宋体" w:hAnsi="宋体"/>
              </w:rPr>
              <w:t>将投标保证金由投标人的基本账户</w:t>
            </w:r>
            <w:r>
              <w:rPr>
                <w:rFonts w:hint="eastAsia" w:ascii="宋体" w:hAnsi="宋体"/>
              </w:rPr>
              <w:t>一次性</w:t>
            </w:r>
            <w:r>
              <w:rPr>
                <w:rFonts w:ascii="宋体" w:hAnsi="宋体"/>
              </w:rPr>
              <w:t>转入</w:t>
            </w:r>
            <w:r>
              <w:rPr>
                <w:rFonts w:hint="eastAsia" w:ascii="宋体" w:hAnsi="宋体"/>
              </w:rPr>
              <w:t>并到达</w:t>
            </w:r>
            <w:r>
              <w:rPr>
                <w:rFonts w:ascii="宋体" w:hAnsi="宋体"/>
              </w:rPr>
              <w:t>招标人指定账户</w:t>
            </w:r>
            <w:r>
              <w:rPr>
                <w:rFonts w:hint="eastAsia" w:ascii="宋体" w:hAnsi="宋体"/>
                <w:szCs w:val="21"/>
              </w:rPr>
              <w:t>；</w:t>
            </w:r>
          </w:p>
          <w:p w14:paraId="33B8D0E5">
            <w:pPr>
              <w:ind w:firstLine="420" w:firstLineChars="200"/>
              <w:rPr>
                <w:rFonts w:ascii="宋体" w:hAnsi="宋体"/>
                <w:szCs w:val="21"/>
              </w:rPr>
            </w:pPr>
            <w:r>
              <w:rPr>
                <w:rFonts w:hint="eastAsia" w:ascii="宋体" w:hAnsi="宋体"/>
                <w:szCs w:val="21"/>
              </w:rPr>
              <w:t>c.若投标保证金采用保函或保单形式提交，银行保函或保单符合招标文件规定。</w:t>
            </w:r>
          </w:p>
          <w:p w14:paraId="5432BACE">
            <w:pPr>
              <w:ind w:firstLine="210" w:firstLineChars="100"/>
              <w:rPr>
                <w:rFonts w:ascii="宋体" w:hAnsi="宋体"/>
                <w:szCs w:val="21"/>
              </w:rPr>
            </w:pPr>
            <w:r>
              <w:rPr>
                <w:rFonts w:hint="eastAsia" w:ascii="宋体" w:hAnsi="宋体"/>
                <w:szCs w:val="21"/>
              </w:rPr>
              <w:t>（4）投标人法定代表人授权委托代理人签署投标文件的，须提交授权委托书，授权委托书符合招标文件规定。</w:t>
            </w:r>
          </w:p>
          <w:p w14:paraId="393553F8">
            <w:pPr>
              <w:ind w:firstLine="210" w:firstLineChars="100"/>
              <w:rPr>
                <w:rFonts w:ascii="宋体" w:hAnsi="宋体"/>
                <w:szCs w:val="21"/>
              </w:rPr>
            </w:pPr>
            <w:r>
              <w:rPr>
                <w:rFonts w:hint="eastAsia" w:ascii="宋体" w:hAnsi="宋体"/>
                <w:szCs w:val="21"/>
              </w:rPr>
              <w:t>（5）投标人法定代表人亲自签署投标文件的，提供了法定代表人身份证明，法定代表人身份证明符合招标文件规定</w:t>
            </w:r>
            <w:r>
              <w:rPr>
                <w:rFonts w:hint="eastAsia" w:ascii="宋体" w:hAnsi="宋体" w:cs="宋体"/>
                <w:szCs w:val="21"/>
              </w:rPr>
              <w:t>。</w:t>
            </w:r>
          </w:p>
          <w:p w14:paraId="4DE3107C">
            <w:pPr>
              <w:ind w:firstLine="210" w:firstLineChars="100"/>
              <w:rPr>
                <w:rFonts w:ascii="宋体" w:hAnsi="宋体"/>
                <w:szCs w:val="21"/>
              </w:rPr>
            </w:pPr>
            <w:r>
              <w:rPr>
                <w:rFonts w:hint="eastAsia" w:ascii="宋体" w:hAnsi="宋体"/>
                <w:szCs w:val="21"/>
              </w:rPr>
              <w:t>（6）投标人未以联合体形式投标。</w:t>
            </w:r>
          </w:p>
          <w:p w14:paraId="1AFC3227">
            <w:pPr>
              <w:ind w:firstLine="210" w:firstLineChars="100"/>
              <w:rPr>
                <w:rFonts w:ascii="宋体" w:hAnsi="宋体"/>
                <w:szCs w:val="21"/>
              </w:rPr>
            </w:pPr>
            <w:r>
              <w:rPr>
                <w:rFonts w:hint="eastAsia" w:ascii="宋体" w:hAnsi="宋体"/>
                <w:szCs w:val="21"/>
              </w:rPr>
              <w:t>（7）投标人分包情况符合招标文件规定</w:t>
            </w:r>
            <w:r>
              <w:rPr>
                <w:rFonts w:hint="eastAsia" w:ascii="宋体" w:hAnsi="宋体"/>
              </w:rPr>
              <w:t>。</w:t>
            </w:r>
          </w:p>
          <w:p w14:paraId="581CB21F">
            <w:pPr>
              <w:ind w:firstLine="210" w:firstLineChars="100"/>
              <w:rPr>
                <w:rFonts w:ascii="宋体" w:hAnsi="宋体"/>
                <w:szCs w:val="21"/>
              </w:rPr>
            </w:pPr>
            <w:r>
              <w:rPr>
                <w:rFonts w:hint="eastAsia" w:ascii="宋体" w:hAnsi="宋体"/>
                <w:szCs w:val="21"/>
              </w:rPr>
              <w:t>（8）同一投标人在同一标段未提交两个以上不同的投标文件。</w:t>
            </w:r>
          </w:p>
          <w:p w14:paraId="5FEA32B1">
            <w:pPr>
              <w:ind w:firstLine="210" w:firstLineChars="100"/>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）投标文件中未出现有关投标报价的内容。</w:t>
            </w:r>
          </w:p>
          <w:p w14:paraId="36A78B90">
            <w:pPr>
              <w:ind w:firstLine="210" w:firstLineChars="100"/>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）投标文件载明的招标项目完成期限未超过招标文件规定的时限。</w:t>
            </w:r>
          </w:p>
          <w:p w14:paraId="54A1F64B">
            <w:pPr>
              <w:ind w:firstLine="210" w:firstLineChars="1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）投标文件对招标文件的实质性要求和条件作出响应。</w:t>
            </w:r>
          </w:p>
          <w:p w14:paraId="6472730F">
            <w:pPr>
              <w:ind w:firstLine="210" w:firstLineChars="10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）权利义务符合招标文件规定：</w:t>
            </w:r>
          </w:p>
          <w:p w14:paraId="15B50229">
            <w:pPr>
              <w:ind w:firstLine="420" w:firstLineChars="200"/>
              <w:rPr>
                <w:rFonts w:ascii="宋体" w:hAnsi="宋体"/>
                <w:szCs w:val="21"/>
              </w:rPr>
            </w:pPr>
            <w:r>
              <w:rPr>
                <w:rFonts w:hint="eastAsia" w:ascii="宋体" w:hAnsi="宋体"/>
                <w:szCs w:val="21"/>
              </w:rPr>
              <w:t>a.投标人应接受招标文件规定的风险划分原则，未提出新的风险划分办法；</w:t>
            </w:r>
          </w:p>
          <w:p w14:paraId="5C208E19">
            <w:pPr>
              <w:ind w:firstLine="420" w:firstLineChars="200"/>
              <w:rPr>
                <w:rFonts w:ascii="宋体" w:hAnsi="宋体"/>
                <w:szCs w:val="21"/>
              </w:rPr>
            </w:pPr>
            <w:r>
              <w:rPr>
                <w:rFonts w:hint="eastAsia" w:ascii="宋体" w:hAnsi="宋体"/>
                <w:szCs w:val="21"/>
              </w:rPr>
              <w:t>b.投标人未增加发包人的责任范围，或减少投标人义务；</w:t>
            </w:r>
          </w:p>
          <w:p w14:paraId="67F83F8E">
            <w:pPr>
              <w:ind w:firstLine="420" w:firstLineChars="200"/>
              <w:rPr>
                <w:rFonts w:ascii="宋体" w:hAnsi="宋体"/>
                <w:szCs w:val="21"/>
              </w:rPr>
            </w:pPr>
            <w:r>
              <w:rPr>
                <w:rFonts w:hint="eastAsia" w:ascii="宋体" w:hAnsi="宋体"/>
                <w:szCs w:val="21"/>
              </w:rPr>
              <w:t>c.投标人未提出不同的工程验收、计量、支付办法；</w:t>
            </w:r>
          </w:p>
          <w:p w14:paraId="39AB08B2">
            <w:pPr>
              <w:ind w:firstLine="420" w:firstLineChars="200"/>
              <w:rPr>
                <w:rFonts w:ascii="宋体" w:hAnsi="宋体"/>
                <w:szCs w:val="21"/>
              </w:rPr>
            </w:pPr>
            <w:r>
              <w:rPr>
                <w:rFonts w:hint="eastAsia" w:ascii="宋体" w:hAnsi="宋体"/>
                <w:szCs w:val="21"/>
              </w:rPr>
              <w:t>d.投标人对合同纠纷、事故处理办法未提出异议；</w:t>
            </w:r>
          </w:p>
          <w:p w14:paraId="717973E5">
            <w:pPr>
              <w:ind w:firstLine="420" w:firstLineChars="200"/>
              <w:rPr>
                <w:rFonts w:ascii="宋体" w:hAnsi="宋体"/>
                <w:szCs w:val="21"/>
              </w:rPr>
            </w:pPr>
            <w:r>
              <w:rPr>
                <w:rFonts w:hint="eastAsia" w:ascii="宋体" w:hAnsi="宋体"/>
                <w:szCs w:val="21"/>
              </w:rPr>
              <w:t>e.投标人在投标活动中无欺诈行为；</w:t>
            </w:r>
          </w:p>
          <w:p w14:paraId="5B601339">
            <w:pPr>
              <w:ind w:firstLine="420" w:firstLineChars="200"/>
              <w:rPr>
                <w:rFonts w:ascii="宋体" w:hAnsi="宋体"/>
                <w:szCs w:val="21"/>
              </w:rPr>
            </w:pPr>
            <w:r>
              <w:rPr>
                <w:rFonts w:hint="eastAsia" w:ascii="宋体" w:hAnsi="宋体"/>
                <w:szCs w:val="21"/>
              </w:rPr>
              <w:t>f.投标人未对合同条款有重要保留。</w:t>
            </w:r>
          </w:p>
        </w:tc>
      </w:tr>
      <w:tr w14:paraId="469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trHeight w:val="3985" w:hRule="atLeast"/>
          <w:jc w:val="center"/>
        </w:trPr>
        <w:tc>
          <w:tcPr>
            <w:tcW w:w="856" w:type="dxa"/>
            <w:shd w:val="clear" w:color="auto" w:fill="auto"/>
            <w:vAlign w:val="center"/>
          </w:tcPr>
          <w:p w14:paraId="79B07A75">
            <w:pPr>
              <w:autoSpaceDE w:val="0"/>
              <w:autoSpaceDN w:val="0"/>
              <w:adjustRightInd w:val="0"/>
              <w:snapToGrid w:val="0"/>
              <w:spacing w:line="300" w:lineRule="auto"/>
              <w:ind w:firstLine="210" w:firstLineChars="100"/>
              <w:rPr>
                <w:rFonts w:ascii="宋体" w:hAnsi="宋体"/>
                <w:szCs w:val="21"/>
              </w:rPr>
            </w:pPr>
            <w:r>
              <w:rPr>
                <w:rFonts w:ascii="宋体" w:hAnsi="宋体"/>
                <w:szCs w:val="21"/>
              </w:rPr>
              <w:t>2.1.1</w:t>
            </w:r>
          </w:p>
          <w:p w14:paraId="0256D35E">
            <w:pPr>
              <w:autoSpaceDE w:val="0"/>
              <w:autoSpaceDN w:val="0"/>
              <w:adjustRightInd w:val="0"/>
              <w:snapToGrid w:val="0"/>
              <w:spacing w:line="300" w:lineRule="auto"/>
              <w:ind w:firstLine="210" w:firstLineChars="100"/>
              <w:rPr>
                <w:rFonts w:ascii="宋体" w:hAnsi="宋体"/>
                <w:szCs w:val="21"/>
              </w:rPr>
            </w:pPr>
            <w:r>
              <w:rPr>
                <w:rFonts w:ascii="宋体" w:hAnsi="宋体"/>
                <w:szCs w:val="21"/>
              </w:rPr>
              <w:t>2.1.3</w:t>
            </w:r>
          </w:p>
        </w:tc>
        <w:tc>
          <w:tcPr>
            <w:tcW w:w="1389" w:type="dxa"/>
            <w:shd w:val="clear" w:color="auto" w:fill="auto"/>
            <w:vAlign w:val="center"/>
          </w:tcPr>
          <w:p w14:paraId="57F7702C">
            <w:pPr>
              <w:adjustRightInd w:val="0"/>
              <w:snapToGrid w:val="0"/>
              <w:spacing w:line="300" w:lineRule="auto"/>
              <w:ind w:firstLine="210" w:firstLineChars="100"/>
              <w:rPr>
                <w:rFonts w:ascii="宋体" w:hAnsi="宋体"/>
                <w:szCs w:val="21"/>
              </w:rPr>
            </w:pPr>
            <w:r>
              <w:rPr>
                <w:rFonts w:hint="eastAsia" w:ascii="宋体" w:hAnsi="宋体"/>
                <w:szCs w:val="21"/>
              </w:rPr>
              <w:t>形式评审与</w:t>
            </w:r>
          </w:p>
          <w:p w14:paraId="4A973C93">
            <w:pPr>
              <w:adjustRightInd w:val="0"/>
              <w:snapToGrid w:val="0"/>
              <w:spacing w:line="300" w:lineRule="auto"/>
              <w:ind w:firstLine="210" w:firstLineChars="100"/>
              <w:rPr>
                <w:rFonts w:ascii="宋体" w:hAnsi="宋体"/>
                <w:szCs w:val="21"/>
              </w:rPr>
            </w:pPr>
            <w:r>
              <w:rPr>
                <w:rFonts w:hint="eastAsia" w:ascii="宋体" w:hAnsi="宋体"/>
                <w:szCs w:val="21"/>
              </w:rPr>
              <w:t>响应性评审</w:t>
            </w:r>
          </w:p>
          <w:p w14:paraId="26FBB629">
            <w:pPr>
              <w:adjustRightInd w:val="0"/>
              <w:snapToGrid w:val="0"/>
              <w:spacing w:line="300" w:lineRule="auto"/>
              <w:ind w:firstLine="420" w:firstLineChars="200"/>
              <w:rPr>
                <w:rFonts w:ascii="宋体" w:hAnsi="宋体"/>
                <w:szCs w:val="21"/>
              </w:rPr>
            </w:pPr>
            <w:r>
              <w:rPr>
                <w:rFonts w:hint="eastAsia" w:ascii="宋体" w:hAnsi="宋体"/>
                <w:szCs w:val="21"/>
              </w:rPr>
              <w:t>标准</w:t>
            </w:r>
          </w:p>
        </w:tc>
        <w:tc>
          <w:tcPr>
            <w:tcW w:w="7383" w:type="dxa"/>
            <w:shd w:val="clear" w:color="auto" w:fill="auto"/>
          </w:tcPr>
          <w:p w14:paraId="218805CF">
            <w:pPr>
              <w:adjustRightInd w:val="0"/>
              <w:snapToGrid w:val="0"/>
              <w:ind w:firstLine="211" w:firstLineChars="100"/>
              <w:rPr>
                <w:rFonts w:ascii="宋体" w:hAnsi="宋体"/>
                <w:b/>
              </w:rPr>
            </w:pPr>
            <w:r>
              <w:rPr>
                <w:rFonts w:hint="eastAsia" w:ascii="宋体" w:hAnsi="宋体"/>
                <w:b/>
              </w:rPr>
              <w:t>第二个信封（报价文件）评审标准：</w:t>
            </w:r>
          </w:p>
          <w:p w14:paraId="7A53918A">
            <w:pPr>
              <w:adjustRightInd w:val="0"/>
              <w:snapToGrid w:val="0"/>
              <w:ind w:left="210"/>
              <w:rPr>
                <w:rFonts w:ascii="宋体" w:hAnsi="宋体"/>
                <w:szCs w:val="21"/>
              </w:rPr>
            </w:pPr>
            <w:r>
              <w:rPr>
                <w:rFonts w:hint="eastAsia" w:ascii="宋体" w:hAnsi="宋体"/>
                <w:szCs w:val="21"/>
              </w:rPr>
              <w:t>（1）投标文件按照招标文件规定的格式、内容填写，字迹清晰可辨：</w:t>
            </w:r>
          </w:p>
          <w:p w14:paraId="730355F0">
            <w:pPr>
              <w:adjustRightInd w:val="0"/>
              <w:snapToGrid w:val="0"/>
              <w:ind w:left="210"/>
              <w:rPr>
                <w:rFonts w:ascii="宋体" w:hAnsi="宋体"/>
                <w:szCs w:val="21"/>
              </w:rPr>
            </w:pPr>
            <w:r>
              <w:rPr>
                <w:rFonts w:hint="eastAsia" w:ascii="宋体" w:hAnsi="宋体"/>
                <w:szCs w:val="21"/>
              </w:rPr>
              <w:t>a.投标函按招标文件规定填报了项目名称、标段号、补遗书编号（如有）、投标价（包括大写金额和小写金额）。</w:t>
            </w:r>
          </w:p>
          <w:p w14:paraId="6204CD4C">
            <w:pPr>
              <w:adjustRightInd w:val="0"/>
              <w:snapToGrid w:val="0"/>
              <w:ind w:left="210"/>
              <w:rPr>
                <w:rFonts w:ascii="宋体" w:hAnsi="宋体"/>
                <w:szCs w:val="21"/>
              </w:rPr>
            </w:pPr>
            <w:r>
              <w:rPr>
                <w:rFonts w:hint="eastAsia" w:ascii="宋体" w:hAnsi="宋体"/>
                <w:szCs w:val="21"/>
              </w:rPr>
              <w:t>b.已标价工程量清单说明与招标文件规定一致，未进行实质性修改和删减；</w:t>
            </w:r>
          </w:p>
          <w:p w14:paraId="6D44D936">
            <w:pPr>
              <w:adjustRightInd w:val="0"/>
              <w:snapToGrid w:val="0"/>
              <w:ind w:left="210"/>
              <w:rPr>
                <w:rFonts w:ascii="宋体" w:hAnsi="宋体"/>
                <w:szCs w:val="21"/>
              </w:rPr>
            </w:pPr>
            <w:r>
              <w:rPr>
                <w:rFonts w:hint="eastAsia" w:ascii="宋体" w:hAnsi="宋体"/>
                <w:szCs w:val="21"/>
              </w:rPr>
              <w:t>c.投标文件组成齐全完整，内容均按规定填写。</w:t>
            </w:r>
          </w:p>
          <w:p w14:paraId="054DEF72">
            <w:pPr>
              <w:adjustRightInd w:val="0"/>
              <w:snapToGrid w:val="0"/>
              <w:ind w:left="210"/>
              <w:rPr>
                <w:rFonts w:ascii="宋体" w:hAnsi="宋体"/>
                <w:szCs w:val="21"/>
              </w:rPr>
            </w:pPr>
            <w:r>
              <w:rPr>
                <w:rFonts w:hint="eastAsia" w:ascii="宋体" w:hAnsi="宋体"/>
                <w:szCs w:val="21"/>
              </w:rPr>
              <w:t>（2）投标文件上法定代表人或其委托代理人的签字、投标人的单位章盖章齐全，符合招标文件规定。</w:t>
            </w:r>
          </w:p>
          <w:p w14:paraId="19E7A196">
            <w:pPr>
              <w:adjustRightInd w:val="0"/>
              <w:snapToGrid w:val="0"/>
              <w:ind w:left="210"/>
              <w:rPr>
                <w:rFonts w:ascii="宋体" w:hAnsi="宋体"/>
                <w:szCs w:val="21"/>
              </w:rPr>
            </w:pPr>
            <w:r>
              <w:rPr>
                <w:rFonts w:hint="eastAsia" w:ascii="宋体" w:hAnsi="宋体"/>
                <w:szCs w:val="21"/>
              </w:rPr>
              <w:t>（3）投标报价未超过招标文件设定的最高投标限价。</w:t>
            </w:r>
          </w:p>
          <w:p w14:paraId="662EC1AB">
            <w:pPr>
              <w:adjustRightInd w:val="0"/>
              <w:snapToGrid w:val="0"/>
              <w:ind w:left="210"/>
              <w:rPr>
                <w:rFonts w:ascii="宋体" w:hAnsi="宋体"/>
                <w:szCs w:val="21"/>
              </w:rPr>
            </w:pPr>
            <w:r>
              <w:rPr>
                <w:rFonts w:hint="eastAsia" w:ascii="宋体" w:hAnsi="宋体"/>
                <w:szCs w:val="21"/>
              </w:rPr>
              <w:t>（4）投标报价中的大写金额能够确定具体数值。</w:t>
            </w:r>
          </w:p>
          <w:p w14:paraId="2AC8B695">
            <w:pPr>
              <w:adjustRightInd w:val="0"/>
              <w:snapToGrid w:val="0"/>
              <w:ind w:left="210"/>
              <w:rPr>
                <w:rFonts w:ascii="宋体" w:hAnsi="宋体"/>
                <w:szCs w:val="21"/>
              </w:rPr>
            </w:pPr>
            <w:r>
              <w:rPr>
                <w:rFonts w:hint="eastAsia" w:ascii="宋体" w:hAnsi="宋体"/>
                <w:szCs w:val="21"/>
              </w:rPr>
              <w:t>（5）同一投标人未提交两个以上不同的投标报价。</w:t>
            </w:r>
          </w:p>
          <w:p w14:paraId="71113676">
            <w:pPr>
              <w:adjustRightInd w:val="0"/>
              <w:snapToGrid w:val="0"/>
              <w:ind w:left="210"/>
              <w:rPr>
                <w:rFonts w:ascii="宋体" w:hAnsi="宋体"/>
                <w:szCs w:val="21"/>
              </w:rPr>
            </w:pPr>
            <w:r>
              <w:rPr>
                <w:rFonts w:hint="eastAsia" w:ascii="宋体" w:hAnsi="宋体"/>
                <w:szCs w:val="21"/>
              </w:rPr>
              <w:t>（6）投标人未提交调价函。</w:t>
            </w:r>
          </w:p>
          <w:p w14:paraId="3C633FE2">
            <w:pPr>
              <w:adjustRightInd w:val="0"/>
              <w:snapToGrid w:val="0"/>
              <w:ind w:left="210"/>
              <w:rPr>
                <w:rFonts w:ascii="宋体" w:hAnsi="宋体"/>
                <w:szCs w:val="21"/>
              </w:rPr>
            </w:pPr>
            <w:r>
              <w:rPr>
                <w:rFonts w:hint="eastAsia" w:ascii="宋体" w:hAnsi="宋体"/>
                <w:szCs w:val="21"/>
              </w:rPr>
              <w:t>（7）投标人填写完毕的工程量固化清单未对工程量固化清单电子文件中的数据、格式和运算定义进行修改；工程量固化清单中的投标报价和投标函大写金额报价一致。</w:t>
            </w:r>
          </w:p>
        </w:tc>
      </w:tr>
      <w:tr w14:paraId="519D2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trHeight w:val="2863" w:hRule="atLeast"/>
          <w:jc w:val="center"/>
        </w:trPr>
        <w:tc>
          <w:tcPr>
            <w:tcW w:w="856" w:type="dxa"/>
            <w:tcBorders>
              <w:bottom w:val="single" w:color="auto" w:sz="4" w:space="0"/>
            </w:tcBorders>
            <w:shd w:val="clear" w:color="auto" w:fill="auto"/>
            <w:vAlign w:val="center"/>
          </w:tcPr>
          <w:p w14:paraId="19BA6D20">
            <w:pPr>
              <w:autoSpaceDE w:val="0"/>
              <w:autoSpaceDN w:val="0"/>
              <w:adjustRightInd w:val="0"/>
              <w:snapToGrid w:val="0"/>
              <w:spacing w:line="300" w:lineRule="auto"/>
              <w:ind w:firstLine="210" w:firstLineChars="100"/>
              <w:rPr>
                <w:rFonts w:ascii="宋体" w:hAnsi="宋体"/>
                <w:szCs w:val="21"/>
              </w:rPr>
            </w:pPr>
            <w:r>
              <w:rPr>
                <w:rFonts w:ascii="宋体" w:hAnsi="宋体"/>
                <w:szCs w:val="21"/>
              </w:rPr>
              <w:t>2.1.2</w:t>
            </w:r>
          </w:p>
        </w:tc>
        <w:tc>
          <w:tcPr>
            <w:tcW w:w="1389" w:type="dxa"/>
            <w:tcBorders>
              <w:bottom w:val="single" w:color="auto" w:sz="4" w:space="0"/>
            </w:tcBorders>
            <w:shd w:val="clear" w:color="auto" w:fill="auto"/>
            <w:vAlign w:val="center"/>
          </w:tcPr>
          <w:p w14:paraId="1FF91328">
            <w:pPr>
              <w:adjustRightInd w:val="0"/>
              <w:snapToGrid w:val="0"/>
              <w:spacing w:line="300" w:lineRule="auto"/>
              <w:jc w:val="center"/>
              <w:rPr>
                <w:rFonts w:ascii="宋体" w:hAnsi="宋体"/>
                <w:szCs w:val="21"/>
              </w:rPr>
            </w:pPr>
            <w:r>
              <w:rPr>
                <w:rFonts w:hint="eastAsia" w:ascii="宋体" w:hAnsi="宋体"/>
                <w:szCs w:val="21"/>
              </w:rPr>
              <w:t>资格评审</w:t>
            </w:r>
          </w:p>
          <w:p w14:paraId="3160B7A7">
            <w:pPr>
              <w:adjustRightInd w:val="0"/>
              <w:snapToGrid w:val="0"/>
              <w:spacing w:line="300" w:lineRule="auto"/>
              <w:jc w:val="center"/>
              <w:rPr>
                <w:rFonts w:ascii="宋体" w:hAnsi="宋体"/>
                <w:szCs w:val="21"/>
              </w:rPr>
            </w:pPr>
            <w:r>
              <w:rPr>
                <w:rFonts w:hint="eastAsia" w:ascii="宋体" w:hAnsi="宋体"/>
                <w:szCs w:val="21"/>
              </w:rPr>
              <w:t>标准</w:t>
            </w:r>
          </w:p>
        </w:tc>
        <w:tc>
          <w:tcPr>
            <w:tcW w:w="7383" w:type="dxa"/>
            <w:tcBorders>
              <w:bottom w:val="single" w:color="auto" w:sz="4" w:space="0"/>
            </w:tcBorders>
            <w:shd w:val="clear" w:color="auto" w:fill="auto"/>
          </w:tcPr>
          <w:p w14:paraId="66725E81">
            <w:pPr>
              <w:adjustRightInd w:val="0"/>
              <w:snapToGrid w:val="0"/>
              <w:ind w:left="210"/>
              <w:rPr>
                <w:rFonts w:ascii="宋体" w:hAnsi="宋体" w:cs="宋体"/>
              </w:rPr>
            </w:pPr>
            <w:r>
              <w:rPr>
                <w:rFonts w:hint="eastAsia" w:ascii="宋体" w:hAnsi="宋体" w:cs="宋体"/>
              </w:rPr>
              <w:t>（1）投标人具备有效的营业执照（事业单位法人证书）、基本账户开户许可证（或基本账户开户银行出具的开户证明，采用保函形式提交投标保证金的，可不提供）、在国家企业信用信息公示系统中基础信息（体现股东及出资详细信息）的网页截图（事业单位无须提供）。</w:t>
            </w:r>
          </w:p>
          <w:p w14:paraId="4CA056BA">
            <w:pPr>
              <w:adjustRightInd w:val="0"/>
              <w:snapToGrid w:val="0"/>
              <w:ind w:left="210"/>
              <w:rPr>
                <w:rFonts w:ascii="宋体" w:hAnsi="宋体" w:cs="宋体"/>
              </w:rPr>
            </w:pPr>
            <w:r>
              <w:rPr>
                <w:rFonts w:hint="eastAsia" w:ascii="宋体" w:hAnsi="宋体" w:cs="宋体"/>
              </w:rPr>
              <w:t>（2）投标人的资质等级符合招标文件规定</w:t>
            </w:r>
            <w:r>
              <w:rPr>
                <w:rFonts w:hint="eastAsia" w:ascii="宋体" w:hAnsi="宋体" w:cs="宋体"/>
                <w:lang w:val="en-US" w:eastAsia="zh-CN"/>
              </w:rPr>
              <w:t xml:space="preserve"> </w:t>
            </w:r>
            <w:r>
              <w:rPr>
                <w:rFonts w:hint="eastAsia" w:ascii="宋体" w:hAnsi="宋体" w:cs="宋体"/>
              </w:rPr>
              <w:t>。</w:t>
            </w:r>
          </w:p>
          <w:p w14:paraId="3E2BEB92">
            <w:pPr>
              <w:adjustRightInd w:val="0"/>
              <w:snapToGrid w:val="0"/>
              <w:ind w:left="210"/>
              <w:rPr>
                <w:rFonts w:ascii="宋体" w:hAnsi="宋体" w:cs="宋体"/>
              </w:rPr>
            </w:pPr>
            <w:r>
              <w:rPr>
                <w:rFonts w:hint="eastAsia" w:ascii="宋体" w:hAnsi="宋体" w:cs="宋体"/>
              </w:rPr>
              <w:t>（3）投标人的财务状况符合招标文件规定。</w:t>
            </w:r>
          </w:p>
          <w:p w14:paraId="35F91D40">
            <w:pPr>
              <w:adjustRightInd w:val="0"/>
              <w:snapToGrid w:val="0"/>
              <w:ind w:left="210"/>
              <w:rPr>
                <w:rFonts w:ascii="宋体" w:hAnsi="宋体" w:cs="宋体"/>
              </w:rPr>
            </w:pPr>
            <w:r>
              <w:rPr>
                <w:rFonts w:hint="eastAsia" w:ascii="宋体" w:hAnsi="宋体" w:cs="宋体"/>
              </w:rPr>
              <w:t>（4）投标人的类似项目业绩符合招标文件规定。</w:t>
            </w:r>
          </w:p>
          <w:p w14:paraId="30E3F897">
            <w:pPr>
              <w:adjustRightInd w:val="0"/>
              <w:snapToGrid w:val="0"/>
              <w:ind w:left="210"/>
              <w:rPr>
                <w:rFonts w:ascii="宋体" w:hAnsi="宋体" w:cs="宋体"/>
              </w:rPr>
            </w:pPr>
            <w:r>
              <w:rPr>
                <w:rFonts w:hint="eastAsia" w:ascii="宋体" w:hAnsi="宋体" w:cs="宋体"/>
              </w:rPr>
              <w:t>（5）投标人的信誉符合招标文件规定。</w:t>
            </w:r>
          </w:p>
          <w:p w14:paraId="34C4989D">
            <w:pPr>
              <w:adjustRightInd w:val="0"/>
              <w:snapToGrid w:val="0"/>
              <w:ind w:left="210"/>
              <w:rPr>
                <w:rFonts w:ascii="宋体" w:hAnsi="宋体" w:cs="宋体"/>
              </w:rPr>
            </w:pPr>
            <w:r>
              <w:rPr>
                <w:rFonts w:hint="eastAsia" w:ascii="宋体" w:hAnsi="宋体" w:cs="宋体"/>
              </w:rPr>
              <w:t>（6）投标人的项目经理和项目总工资格、在岗情况符合招标文件规定。</w:t>
            </w:r>
          </w:p>
          <w:p w14:paraId="751F9E1E">
            <w:pPr>
              <w:adjustRightInd w:val="0"/>
              <w:snapToGrid w:val="0"/>
              <w:ind w:left="210"/>
              <w:rPr>
                <w:rFonts w:ascii="宋体" w:hAnsi="宋体" w:cs="宋体"/>
              </w:rPr>
            </w:pPr>
            <w:r>
              <w:rPr>
                <w:rFonts w:hint="eastAsia" w:ascii="宋体" w:hAnsi="宋体" w:cs="宋体"/>
              </w:rPr>
              <w:t>（7）</w:t>
            </w:r>
            <w:r>
              <w:rPr>
                <w:rFonts w:hint="eastAsia" w:ascii="Times New Roman" w:hAnsi="Times New Roman"/>
                <w:szCs w:val="21"/>
              </w:rPr>
              <w:t>投标人的其他要求符合招标文件规定。</w:t>
            </w:r>
          </w:p>
          <w:p w14:paraId="5901D1FE">
            <w:pPr>
              <w:adjustRightInd w:val="0"/>
              <w:snapToGrid w:val="0"/>
              <w:ind w:left="210"/>
              <w:rPr>
                <w:rFonts w:ascii="宋体" w:hAnsi="宋体" w:cs="宋体"/>
              </w:rPr>
            </w:pPr>
            <w:r>
              <w:rPr>
                <w:rFonts w:hint="eastAsia" w:ascii="宋体" w:hAnsi="宋体" w:cs="宋体"/>
              </w:rPr>
              <w:t>（8）投标人不存在第二章“投标人须知”第1.4.3项或第1.4.4项规定的任何一种情形。</w:t>
            </w:r>
          </w:p>
          <w:p w14:paraId="35E1E919">
            <w:pPr>
              <w:adjustRightInd w:val="0"/>
              <w:snapToGrid w:val="0"/>
              <w:ind w:left="210"/>
              <w:rPr>
                <w:rFonts w:ascii="宋体" w:hAnsi="宋体" w:cs="宋体"/>
              </w:rPr>
            </w:pPr>
            <w:r>
              <w:rPr>
                <w:rFonts w:hint="eastAsia" w:ascii="宋体" w:hAnsi="宋体" w:cs="宋体"/>
              </w:rPr>
              <w:t>（9）投标人符合第二章“投标人须知”第1.4.5项规定（不适用）。</w:t>
            </w:r>
          </w:p>
          <w:p w14:paraId="36B8262B">
            <w:pPr>
              <w:pStyle w:val="4"/>
              <w:ind w:firstLine="210" w:firstLineChars="100"/>
            </w:pPr>
            <w:r>
              <w:rPr>
                <w:rFonts w:hint="eastAsia" w:hAnsi="宋体" w:cs="宋体"/>
                <w:szCs w:val="22"/>
              </w:rPr>
              <w:t>（10）</w:t>
            </w:r>
            <w:r>
              <w:rPr>
                <w:rFonts w:hint="eastAsia" w:hAnsi="宋体"/>
              </w:rPr>
              <w:t>投标人未以联合体形式投标</w:t>
            </w:r>
            <w:r>
              <w:rPr>
                <w:rFonts w:hint="eastAsia" w:hAnsi="宋体" w:cs="宋体"/>
                <w:szCs w:val="22"/>
              </w:rPr>
              <w:t>。</w:t>
            </w:r>
          </w:p>
        </w:tc>
      </w:tr>
    </w:tbl>
    <w:p w14:paraId="141747D5">
      <w:pPr>
        <w:jc w:val="right"/>
      </w:pPr>
    </w:p>
    <w:p w14:paraId="5C2B80EE">
      <w:pPr>
        <w:jc w:val="right"/>
        <w:sectPr>
          <w:headerReference r:id="rId8" w:type="default"/>
          <w:footerReference r:id="rId9" w:type="default"/>
          <w:footnotePr>
            <w:numFmt w:val="decimalEnclosedCircleChinese"/>
            <w:numRestart w:val="eachPage"/>
          </w:footnotePr>
          <w:pgSz w:w="11907" w:h="16840"/>
          <w:pgMar w:top="1134" w:right="1134" w:bottom="1134" w:left="1134" w:header="0" w:footer="567" w:gutter="0"/>
          <w:cols w:space="720" w:num="1"/>
        </w:sectPr>
      </w:pPr>
    </w:p>
    <w:p w14:paraId="0BFE2067">
      <w:pPr>
        <w:jc w:val="right"/>
      </w:pPr>
      <w:r>
        <w:t>续上表</w:t>
      </w:r>
    </w:p>
    <w:tbl>
      <w:tblPr>
        <w:tblStyle w:val="7"/>
        <w:tblW w:w="97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0" w:type="dxa"/>
          <w:bottom w:w="85" w:type="dxa"/>
          <w:right w:w="0" w:type="dxa"/>
        </w:tblCellMar>
      </w:tblPr>
      <w:tblGrid>
        <w:gridCol w:w="856"/>
        <w:gridCol w:w="1389"/>
        <w:gridCol w:w="7465"/>
      </w:tblGrid>
      <w:tr w14:paraId="3C2C4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cantSplit/>
          <w:trHeight w:val="560" w:hRule="atLeast"/>
        </w:trPr>
        <w:tc>
          <w:tcPr>
            <w:tcW w:w="856" w:type="dxa"/>
            <w:tcBorders>
              <w:top w:val="single" w:color="000000" w:sz="4" w:space="0"/>
              <w:left w:val="single" w:color="000000" w:sz="4" w:space="0"/>
              <w:bottom w:val="single" w:color="auto" w:sz="4" w:space="0"/>
              <w:right w:val="single" w:color="000000" w:sz="4" w:space="0"/>
            </w:tcBorders>
            <w:shd w:val="clear" w:color="auto" w:fill="auto"/>
            <w:vAlign w:val="center"/>
          </w:tcPr>
          <w:p w14:paraId="2F2DBF26">
            <w:pPr>
              <w:autoSpaceDE w:val="0"/>
              <w:autoSpaceDN w:val="0"/>
              <w:adjustRightInd w:val="0"/>
              <w:snapToGrid w:val="0"/>
              <w:spacing w:line="300" w:lineRule="auto"/>
              <w:ind w:firstLine="4" w:firstLineChars="2"/>
              <w:jc w:val="center"/>
              <w:rPr>
                <w:rFonts w:ascii="宋体" w:hAnsi="宋体"/>
                <w:szCs w:val="21"/>
              </w:rPr>
            </w:pPr>
            <w:r>
              <w:rPr>
                <w:rFonts w:ascii="宋体" w:hAnsi="宋体"/>
                <w:szCs w:val="21"/>
              </w:rPr>
              <w:t>条款号</w:t>
            </w:r>
          </w:p>
        </w:tc>
        <w:tc>
          <w:tcPr>
            <w:tcW w:w="1389" w:type="dxa"/>
            <w:tcBorders>
              <w:top w:val="single" w:color="000000" w:sz="4" w:space="0"/>
              <w:left w:val="single" w:color="000000" w:sz="4" w:space="0"/>
              <w:bottom w:val="single" w:color="auto" w:sz="4" w:space="0"/>
              <w:right w:val="single" w:color="000000" w:sz="4" w:space="0"/>
            </w:tcBorders>
            <w:shd w:val="clear" w:color="auto" w:fill="auto"/>
            <w:vAlign w:val="center"/>
          </w:tcPr>
          <w:p w14:paraId="090AE355">
            <w:pPr>
              <w:adjustRightInd w:val="0"/>
              <w:snapToGrid w:val="0"/>
              <w:spacing w:line="300" w:lineRule="auto"/>
              <w:jc w:val="center"/>
              <w:rPr>
                <w:rFonts w:ascii="宋体" w:hAnsi="宋体"/>
                <w:szCs w:val="21"/>
              </w:rPr>
            </w:pPr>
            <w:r>
              <w:rPr>
                <w:rFonts w:hint="eastAsia" w:ascii="宋体" w:hAnsi="宋体"/>
                <w:szCs w:val="21"/>
              </w:rPr>
              <w:t>条款内容</w:t>
            </w:r>
          </w:p>
        </w:tc>
        <w:tc>
          <w:tcPr>
            <w:tcW w:w="7465" w:type="dxa"/>
            <w:tcBorders>
              <w:top w:val="single" w:color="000000" w:sz="4" w:space="0"/>
              <w:left w:val="single" w:color="000000" w:sz="4" w:space="0"/>
              <w:bottom w:val="single" w:color="auto" w:sz="4" w:space="0"/>
              <w:right w:val="single" w:color="000000" w:sz="4" w:space="0"/>
            </w:tcBorders>
            <w:shd w:val="clear" w:color="auto" w:fill="auto"/>
            <w:vAlign w:val="center"/>
          </w:tcPr>
          <w:p w14:paraId="01BFF525">
            <w:pPr>
              <w:adjustRightInd w:val="0"/>
              <w:snapToGrid w:val="0"/>
              <w:ind w:firstLine="27" w:firstLineChars="13"/>
              <w:jc w:val="center"/>
              <w:rPr>
                <w:rFonts w:ascii="宋体" w:hAnsi="宋体"/>
                <w:szCs w:val="21"/>
              </w:rPr>
            </w:pPr>
            <w:r>
              <w:rPr>
                <w:rFonts w:hint="eastAsia" w:ascii="宋体" w:hAnsi="宋体"/>
                <w:szCs w:val="21"/>
              </w:rPr>
              <w:t>编列内容</w:t>
            </w:r>
          </w:p>
        </w:tc>
      </w:tr>
      <w:tr w14:paraId="1236B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cantSplit/>
          <w:trHeight w:val="20" w:hRule="atLeast"/>
        </w:trPr>
        <w:tc>
          <w:tcPr>
            <w:tcW w:w="856" w:type="dxa"/>
            <w:tcBorders>
              <w:top w:val="single" w:color="000000" w:sz="4" w:space="0"/>
              <w:left w:val="single" w:color="000000" w:sz="4" w:space="0"/>
              <w:bottom w:val="single" w:color="auto" w:sz="4" w:space="0"/>
              <w:right w:val="single" w:color="000000" w:sz="4" w:space="0"/>
            </w:tcBorders>
            <w:shd w:val="clear" w:color="auto" w:fill="auto"/>
            <w:vAlign w:val="center"/>
          </w:tcPr>
          <w:p w14:paraId="09D07E36">
            <w:pPr>
              <w:autoSpaceDE w:val="0"/>
              <w:autoSpaceDN w:val="0"/>
              <w:adjustRightInd w:val="0"/>
              <w:snapToGrid w:val="0"/>
              <w:spacing w:line="300" w:lineRule="auto"/>
              <w:ind w:firstLine="210" w:firstLineChars="100"/>
              <w:rPr>
                <w:rFonts w:ascii="宋体" w:hAnsi="宋体"/>
                <w:szCs w:val="21"/>
              </w:rPr>
            </w:pPr>
            <w:r>
              <w:rPr>
                <w:rFonts w:ascii="宋体" w:hAnsi="宋体"/>
                <w:szCs w:val="21"/>
              </w:rPr>
              <w:t>2.2.1</w:t>
            </w:r>
          </w:p>
        </w:tc>
        <w:tc>
          <w:tcPr>
            <w:tcW w:w="1389" w:type="dxa"/>
            <w:tcBorders>
              <w:top w:val="single" w:color="000000" w:sz="4" w:space="0"/>
              <w:left w:val="single" w:color="000000" w:sz="4" w:space="0"/>
              <w:bottom w:val="single" w:color="auto" w:sz="4" w:space="0"/>
              <w:right w:val="single" w:color="000000" w:sz="4" w:space="0"/>
            </w:tcBorders>
            <w:shd w:val="clear" w:color="auto" w:fill="auto"/>
            <w:vAlign w:val="center"/>
          </w:tcPr>
          <w:p w14:paraId="1E8694B1">
            <w:pPr>
              <w:adjustRightInd w:val="0"/>
              <w:snapToGrid w:val="0"/>
              <w:spacing w:line="300" w:lineRule="auto"/>
              <w:jc w:val="center"/>
              <w:rPr>
                <w:rFonts w:ascii="宋体" w:hAnsi="宋体"/>
                <w:szCs w:val="21"/>
              </w:rPr>
            </w:pPr>
            <w:r>
              <w:rPr>
                <w:rFonts w:hint="eastAsia" w:ascii="宋体" w:hAnsi="宋体"/>
                <w:szCs w:val="21"/>
              </w:rPr>
              <w:t>第一个信封</w:t>
            </w:r>
          </w:p>
          <w:p w14:paraId="2C03112F">
            <w:pPr>
              <w:adjustRightInd w:val="0"/>
              <w:snapToGrid w:val="0"/>
              <w:spacing w:line="300" w:lineRule="auto"/>
              <w:jc w:val="center"/>
              <w:rPr>
                <w:rFonts w:ascii="宋体" w:hAnsi="宋体"/>
                <w:szCs w:val="21"/>
              </w:rPr>
            </w:pPr>
            <w:r>
              <w:rPr>
                <w:rFonts w:hint="eastAsia" w:ascii="宋体" w:hAnsi="宋体"/>
                <w:szCs w:val="21"/>
              </w:rPr>
              <w:t>评分分值构成（总分</w:t>
            </w:r>
            <w:r>
              <w:rPr>
                <w:rFonts w:ascii="宋体" w:hAnsi="宋体"/>
                <w:szCs w:val="21"/>
              </w:rPr>
              <w:t>100</w:t>
            </w:r>
            <w:r>
              <w:rPr>
                <w:rFonts w:hint="eastAsia" w:ascii="宋体" w:hAnsi="宋体"/>
                <w:szCs w:val="21"/>
              </w:rPr>
              <w:t>分）</w:t>
            </w:r>
          </w:p>
        </w:tc>
        <w:tc>
          <w:tcPr>
            <w:tcW w:w="7465" w:type="dxa"/>
            <w:tcBorders>
              <w:top w:val="single" w:color="000000" w:sz="4" w:space="0"/>
              <w:left w:val="single" w:color="000000" w:sz="4" w:space="0"/>
              <w:bottom w:val="single" w:color="auto" w:sz="4" w:space="0"/>
              <w:right w:val="single" w:color="000000" w:sz="4" w:space="0"/>
            </w:tcBorders>
            <w:shd w:val="clear" w:color="auto" w:fill="auto"/>
          </w:tcPr>
          <w:p w14:paraId="0CB70B79">
            <w:pPr>
              <w:adjustRightInd w:val="0"/>
              <w:snapToGrid w:val="0"/>
              <w:ind w:firstLine="210" w:firstLineChars="100"/>
              <w:rPr>
                <w:rFonts w:ascii="宋体" w:hAnsi="宋体"/>
                <w:szCs w:val="21"/>
              </w:rPr>
            </w:pPr>
            <w:r>
              <w:rPr>
                <w:rFonts w:hint="eastAsia" w:ascii="宋体" w:hAnsi="宋体"/>
                <w:szCs w:val="21"/>
              </w:rPr>
              <w:t>施工组织设计：40分</w:t>
            </w:r>
          </w:p>
          <w:p w14:paraId="653FDACD">
            <w:pPr>
              <w:adjustRightInd w:val="0"/>
              <w:snapToGrid w:val="0"/>
              <w:ind w:firstLine="210" w:firstLineChars="100"/>
              <w:rPr>
                <w:rFonts w:ascii="宋体" w:hAnsi="宋体"/>
                <w:szCs w:val="21"/>
              </w:rPr>
            </w:pPr>
            <w:r>
              <w:rPr>
                <w:rFonts w:hint="eastAsia" w:ascii="宋体" w:hAnsi="宋体"/>
                <w:szCs w:val="21"/>
              </w:rPr>
              <w:t>主要人员：25分</w:t>
            </w:r>
          </w:p>
          <w:p w14:paraId="5DB9CD00">
            <w:pPr>
              <w:adjustRightInd w:val="0"/>
              <w:snapToGrid w:val="0"/>
              <w:ind w:firstLine="210" w:firstLineChars="100"/>
              <w:rPr>
                <w:rFonts w:ascii="宋体" w:hAnsi="宋体"/>
                <w:szCs w:val="21"/>
              </w:rPr>
            </w:pPr>
            <w:r>
              <w:rPr>
                <w:rFonts w:hint="eastAsia" w:ascii="宋体" w:hAnsi="宋体"/>
              </w:rPr>
              <w:t>后续服务及优惠条件</w:t>
            </w:r>
            <w:r>
              <w:rPr>
                <w:rFonts w:hint="eastAsia" w:ascii="宋体" w:hAnsi="宋体"/>
                <w:szCs w:val="21"/>
              </w:rPr>
              <w:t>：15分</w:t>
            </w:r>
          </w:p>
          <w:p w14:paraId="3BFA73BC">
            <w:pPr>
              <w:adjustRightInd w:val="0"/>
              <w:snapToGrid w:val="0"/>
              <w:ind w:firstLine="210" w:firstLineChars="100"/>
              <w:rPr>
                <w:rFonts w:ascii="宋体" w:hAnsi="宋体"/>
                <w:szCs w:val="21"/>
              </w:rPr>
            </w:pPr>
            <w:r>
              <w:rPr>
                <w:rFonts w:hint="eastAsia" w:ascii="宋体" w:hAnsi="宋体"/>
                <w:szCs w:val="21"/>
              </w:rPr>
              <w:t>企业业绩：20分</w:t>
            </w:r>
          </w:p>
        </w:tc>
      </w:tr>
      <w:tr w14:paraId="58DC5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cantSplit/>
          <w:trHeight w:val="20" w:hRule="atLeast"/>
        </w:trPr>
        <w:tc>
          <w:tcPr>
            <w:tcW w:w="856" w:type="dxa"/>
            <w:tcBorders>
              <w:top w:val="single" w:color="000000" w:sz="4" w:space="0"/>
              <w:left w:val="single" w:color="000000" w:sz="4" w:space="0"/>
              <w:bottom w:val="single" w:color="auto" w:sz="4" w:space="0"/>
              <w:right w:val="single" w:color="000000" w:sz="4" w:space="0"/>
            </w:tcBorders>
            <w:shd w:val="clear" w:color="auto" w:fill="auto"/>
            <w:vAlign w:val="center"/>
          </w:tcPr>
          <w:p w14:paraId="58B0E8AF">
            <w:pPr>
              <w:autoSpaceDE w:val="0"/>
              <w:autoSpaceDN w:val="0"/>
              <w:adjustRightInd w:val="0"/>
              <w:snapToGrid w:val="0"/>
              <w:spacing w:line="300" w:lineRule="auto"/>
              <w:ind w:firstLine="210" w:firstLineChars="100"/>
              <w:rPr>
                <w:rFonts w:ascii="宋体" w:hAnsi="宋体"/>
                <w:szCs w:val="21"/>
              </w:rPr>
            </w:pPr>
            <w:r>
              <w:rPr>
                <w:rFonts w:hint="eastAsia" w:ascii="宋体" w:hAnsi="宋体"/>
                <w:szCs w:val="21"/>
              </w:rPr>
              <w:t>2.2.</w:t>
            </w:r>
            <w:r>
              <w:rPr>
                <w:rFonts w:ascii="宋体" w:hAnsi="宋体"/>
                <w:szCs w:val="21"/>
              </w:rPr>
              <w:t>3</w:t>
            </w:r>
          </w:p>
        </w:tc>
        <w:tc>
          <w:tcPr>
            <w:tcW w:w="1389" w:type="dxa"/>
            <w:tcBorders>
              <w:top w:val="single" w:color="000000" w:sz="4" w:space="0"/>
              <w:left w:val="single" w:color="000000" w:sz="4" w:space="0"/>
              <w:bottom w:val="single" w:color="auto" w:sz="4" w:space="0"/>
              <w:right w:val="single" w:color="000000" w:sz="4" w:space="0"/>
            </w:tcBorders>
            <w:shd w:val="clear" w:color="auto" w:fill="auto"/>
            <w:vAlign w:val="center"/>
          </w:tcPr>
          <w:p w14:paraId="15DB5AD1">
            <w:pPr>
              <w:adjustRightInd w:val="0"/>
              <w:snapToGrid w:val="0"/>
              <w:spacing w:line="300" w:lineRule="auto"/>
              <w:jc w:val="center"/>
              <w:rPr>
                <w:rFonts w:ascii="宋体" w:hAnsi="宋体"/>
                <w:szCs w:val="21"/>
              </w:rPr>
            </w:pPr>
            <w:r>
              <w:rPr>
                <w:rFonts w:hint="eastAsia" w:ascii="宋体" w:hAnsi="宋体"/>
                <w:szCs w:val="21"/>
              </w:rPr>
              <w:t>第二个信封</w:t>
            </w:r>
          </w:p>
          <w:p w14:paraId="1B37C438">
            <w:pPr>
              <w:adjustRightInd w:val="0"/>
              <w:snapToGrid w:val="0"/>
              <w:spacing w:line="300" w:lineRule="auto"/>
              <w:jc w:val="center"/>
              <w:rPr>
                <w:rFonts w:ascii="宋体" w:hAnsi="宋体"/>
                <w:szCs w:val="21"/>
              </w:rPr>
            </w:pPr>
            <w:r>
              <w:rPr>
                <w:rFonts w:hint="eastAsia" w:ascii="宋体" w:hAnsi="宋体"/>
                <w:szCs w:val="21"/>
              </w:rPr>
              <w:t>详细评审标准</w:t>
            </w:r>
          </w:p>
        </w:tc>
        <w:tc>
          <w:tcPr>
            <w:tcW w:w="7465" w:type="dxa"/>
            <w:tcBorders>
              <w:top w:val="single" w:color="000000" w:sz="4" w:space="0"/>
              <w:left w:val="single" w:color="000000" w:sz="4" w:space="0"/>
              <w:bottom w:val="single" w:color="auto" w:sz="4" w:space="0"/>
              <w:right w:val="single" w:color="000000" w:sz="4" w:space="0"/>
            </w:tcBorders>
            <w:shd w:val="clear" w:color="auto" w:fill="auto"/>
            <w:vAlign w:val="center"/>
          </w:tcPr>
          <w:p w14:paraId="456F45FA">
            <w:pPr>
              <w:adjustRightInd w:val="0"/>
              <w:snapToGrid w:val="0"/>
              <w:ind w:firstLine="210" w:firstLineChars="100"/>
              <w:rPr>
                <w:rFonts w:ascii="宋体" w:hAnsi="宋体"/>
                <w:szCs w:val="21"/>
              </w:rPr>
            </w:pPr>
            <w:r>
              <w:rPr>
                <w:rFonts w:hint="eastAsia" w:ascii="宋体" w:hAnsi="宋体"/>
                <w:szCs w:val="21"/>
              </w:rPr>
              <w:t>评标价计算公式：评标价=投标函文字报价</w:t>
            </w:r>
          </w:p>
        </w:tc>
      </w:tr>
      <w:tr w14:paraId="46978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cantSplit/>
          <w:trHeight w:val="20" w:hRule="atLeast"/>
        </w:trPr>
        <w:tc>
          <w:tcPr>
            <w:tcW w:w="856" w:type="dxa"/>
            <w:tcBorders>
              <w:top w:val="single" w:color="000000" w:sz="4" w:space="0"/>
              <w:left w:val="single" w:color="000000" w:sz="4" w:space="0"/>
              <w:bottom w:val="single" w:color="auto" w:sz="4" w:space="0"/>
              <w:right w:val="single" w:color="000000" w:sz="4" w:space="0"/>
            </w:tcBorders>
            <w:shd w:val="clear" w:color="auto" w:fill="auto"/>
            <w:vAlign w:val="center"/>
          </w:tcPr>
          <w:p w14:paraId="176ADB4A">
            <w:pPr>
              <w:autoSpaceDE w:val="0"/>
              <w:autoSpaceDN w:val="0"/>
              <w:adjustRightInd w:val="0"/>
              <w:snapToGrid w:val="0"/>
              <w:spacing w:line="300" w:lineRule="auto"/>
              <w:ind w:firstLine="210" w:firstLineChars="100"/>
              <w:rPr>
                <w:rFonts w:ascii="宋体" w:hAnsi="宋体"/>
                <w:szCs w:val="21"/>
              </w:rPr>
            </w:pPr>
            <w:r>
              <w:rPr>
                <w:rFonts w:hint="eastAsia" w:ascii="宋体" w:hAnsi="宋体"/>
                <w:szCs w:val="21"/>
              </w:rPr>
              <w:t>3.2.4</w:t>
            </w:r>
          </w:p>
        </w:tc>
        <w:tc>
          <w:tcPr>
            <w:tcW w:w="1389" w:type="dxa"/>
            <w:tcBorders>
              <w:top w:val="single" w:color="000000" w:sz="4" w:space="0"/>
              <w:left w:val="single" w:color="000000" w:sz="4" w:space="0"/>
              <w:bottom w:val="single" w:color="auto" w:sz="4" w:space="0"/>
              <w:right w:val="single" w:color="000000" w:sz="4" w:space="0"/>
            </w:tcBorders>
            <w:shd w:val="clear" w:color="auto" w:fill="auto"/>
            <w:vAlign w:val="center"/>
          </w:tcPr>
          <w:p w14:paraId="796B56E2">
            <w:pPr>
              <w:adjustRightInd w:val="0"/>
              <w:snapToGrid w:val="0"/>
              <w:spacing w:line="300" w:lineRule="auto"/>
              <w:jc w:val="center"/>
              <w:rPr>
                <w:rFonts w:ascii="宋体" w:hAnsi="宋体"/>
                <w:szCs w:val="21"/>
              </w:rPr>
            </w:pPr>
            <w:r>
              <w:rPr>
                <w:rFonts w:hint="eastAsia" w:ascii="宋体" w:hAnsi="宋体"/>
                <w:szCs w:val="21"/>
              </w:rPr>
              <w:t>通过第一个</w:t>
            </w:r>
          </w:p>
          <w:p w14:paraId="25F1145D">
            <w:pPr>
              <w:adjustRightInd w:val="0"/>
              <w:snapToGrid w:val="0"/>
              <w:spacing w:line="300" w:lineRule="auto"/>
              <w:jc w:val="center"/>
              <w:rPr>
                <w:rFonts w:ascii="宋体" w:hAnsi="宋体"/>
                <w:szCs w:val="21"/>
              </w:rPr>
            </w:pPr>
            <w:r>
              <w:rPr>
                <w:rFonts w:hint="eastAsia" w:ascii="宋体" w:hAnsi="宋体"/>
                <w:szCs w:val="21"/>
              </w:rPr>
              <w:t>信封详细评审的投标人数量</w:t>
            </w:r>
          </w:p>
        </w:tc>
        <w:tc>
          <w:tcPr>
            <w:tcW w:w="7465" w:type="dxa"/>
            <w:tcBorders>
              <w:top w:val="single" w:color="000000" w:sz="4" w:space="0"/>
              <w:left w:val="single" w:color="000000" w:sz="4" w:space="0"/>
              <w:bottom w:val="single" w:color="auto" w:sz="4" w:space="0"/>
              <w:right w:val="single" w:color="000000" w:sz="4" w:space="0"/>
            </w:tcBorders>
            <w:shd w:val="clear" w:color="auto" w:fill="auto"/>
          </w:tcPr>
          <w:p w14:paraId="2CA6FBCB">
            <w:pPr>
              <w:adjustRightInd w:val="0"/>
              <w:snapToGrid w:val="0"/>
              <w:ind w:firstLine="210" w:firstLineChars="100"/>
              <w:rPr>
                <w:rFonts w:ascii="宋体" w:hAnsi="宋体"/>
                <w:szCs w:val="21"/>
              </w:rPr>
            </w:pPr>
            <w:r>
              <w:rPr>
                <w:rFonts w:hint="eastAsia" w:ascii="宋体" w:hAnsi="宋体"/>
                <w:szCs w:val="21"/>
              </w:rPr>
              <w:t>按照投标人的商务和技术得分由高到低排序，选择前3名通过详细评审。</w:t>
            </w:r>
          </w:p>
          <w:p w14:paraId="1D166394">
            <w:pPr>
              <w:adjustRightInd w:val="0"/>
              <w:snapToGrid w:val="0"/>
              <w:ind w:firstLine="210" w:firstLineChars="100"/>
              <w:rPr>
                <w:rFonts w:ascii="宋体" w:hAnsi="宋体"/>
                <w:szCs w:val="21"/>
              </w:rPr>
            </w:pPr>
            <w:r>
              <w:rPr>
                <w:rFonts w:ascii="宋体" w:hAnsi="宋体"/>
                <w:szCs w:val="21"/>
              </w:rPr>
              <w:t>如同一标段出现多名投标人的</w:t>
            </w:r>
            <w:r>
              <w:rPr>
                <w:rFonts w:hint="eastAsia" w:ascii="宋体" w:hAnsi="宋体"/>
                <w:szCs w:val="21"/>
              </w:rPr>
              <w:t>商务和技术得分</w:t>
            </w:r>
            <w:r>
              <w:rPr>
                <w:rFonts w:ascii="宋体" w:hAnsi="宋体"/>
                <w:szCs w:val="21"/>
              </w:rPr>
              <w:t>相等时，则按照以下</w:t>
            </w:r>
            <w:r>
              <w:rPr>
                <w:rFonts w:hint="eastAsia" w:ascii="宋体" w:hAnsi="宋体"/>
                <w:szCs w:val="21"/>
              </w:rPr>
              <w:t>优先顺序进行</w:t>
            </w:r>
            <w:r>
              <w:rPr>
                <w:rFonts w:ascii="宋体" w:hAnsi="宋体"/>
                <w:szCs w:val="21"/>
              </w:rPr>
              <w:t>排序：</w:t>
            </w:r>
          </w:p>
          <w:p w14:paraId="7EF6ED84">
            <w:pPr>
              <w:adjustRightInd w:val="0"/>
              <w:snapToGrid w:val="0"/>
              <w:ind w:firstLine="210" w:firstLineChars="100"/>
              <w:rPr>
                <w:rFonts w:ascii="宋体" w:hAnsi="宋体"/>
                <w:szCs w:val="21"/>
              </w:rPr>
            </w:pPr>
            <w:r>
              <w:rPr>
                <w:rFonts w:hint="eastAsia" w:ascii="宋体" w:hAnsi="宋体"/>
                <w:szCs w:val="21"/>
              </w:rPr>
              <w:t>a</w:t>
            </w:r>
            <w:r>
              <w:rPr>
                <w:rFonts w:ascii="宋体" w:hAnsi="宋体"/>
                <w:szCs w:val="21"/>
              </w:rPr>
              <w:t>.施工组织设计得分较高者</w:t>
            </w:r>
            <w:r>
              <w:rPr>
                <w:rFonts w:hint="eastAsia" w:ascii="宋体" w:hAnsi="宋体"/>
                <w:szCs w:val="21"/>
              </w:rPr>
              <w:t>排序在先</w:t>
            </w:r>
            <w:r>
              <w:rPr>
                <w:rFonts w:ascii="宋体" w:hAnsi="宋体"/>
                <w:szCs w:val="21"/>
              </w:rPr>
              <w:t>；</w:t>
            </w:r>
          </w:p>
          <w:p w14:paraId="6202EF77">
            <w:pPr>
              <w:adjustRightInd w:val="0"/>
              <w:snapToGrid w:val="0"/>
              <w:ind w:firstLine="210" w:firstLineChars="100"/>
              <w:rPr>
                <w:rFonts w:ascii="宋体" w:hAnsi="宋体"/>
                <w:szCs w:val="21"/>
              </w:rPr>
            </w:pPr>
            <w:r>
              <w:rPr>
                <w:rFonts w:hint="eastAsia" w:ascii="宋体" w:hAnsi="宋体"/>
                <w:szCs w:val="21"/>
              </w:rPr>
              <w:t>b</w:t>
            </w:r>
            <w:r>
              <w:rPr>
                <w:rFonts w:ascii="宋体" w:hAnsi="宋体"/>
                <w:szCs w:val="21"/>
              </w:rPr>
              <w:t>.</w:t>
            </w:r>
            <w:r>
              <w:rPr>
                <w:rFonts w:hint="eastAsia" w:ascii="宋体" w:hAnsi="宋体"/>
                <w:szCs w:val="21"/>
              </w:rPr>
              <w:t>主要人员</w:t>
            </w:r>
            <w:r>
              <w:rPr>
                <w:rFonts w:ascii="宋体" w:hAnsi="宋体"/>
                <w:szCs w:val="21"/>
              </w:rPr>
              <w:t>得分较高者</w:t>
            </w:r>
            <w:r>
              <w:rPr>
                <w:rFonts w:hint="eastAsia" w:ascii="宋体" w:hAnsi="宋体"/>
                <w:szCs w:val="21"/>
              </w:rPr>
              <w:t>排序在先</w:t>
            </w:r>
            <w:r>
              <w:rPr>
                <w:rFonts w:ascii="宋体" w:hAnsi="宋体"/>
                <w:szCs w:val="21"/>
              </w:rPr>
              <w:t>；</w:t>
            </w:r>
          </w:p>
          <w:p w14:paraId="25A994A7">
            <w:pPr>
              <w:adjustRightInd w:val="0"/>
              <w:snapToGrid w:val="0"/>
              <w:ind w:firstLine="210" w:firstLineChars="100"/>
              <w:rPr>
                <w:rFonts w:ascii="宋体" w:hAnsi="宋体"/>
                <w:szCs w:val="21"/>
              </w:rPr>
            </w:pPr>
            <w:r>
              <w:rPr>
                <w:rFonts w:hint="eastAsia" w:ascii="宋体" w:hAnsi="宋体"/>
                <w:szCs w:val="21"/>
              </w:rPr>
              <w:t>c</w:t>
            </w:r>
            <w:r>
              <w:rPr>
                <w:rFonts w:ascii="宋体" w:hAnsi="宋体"/>
                <w:szCs w:val="21"/>
              </w:rPr>
              <w:t>.</w:t>
            </w:r>
            <w:r>
              <w:rPr>
                <w:rFonts w:hint="eastAsia" w:ascii="宋体" w:hAnsi="宋体"/>
                <w:szCs w:val="21"/>
              </w:rPr>
              <w:t>后续服务及优惠条件</w:t>
            </w:r>
            <w:r>
              <w:rPr>
                <w:rFonts w:ascii="宋体" w:hAnsi="宋体"/>
                <w:szCs w:val="21"/>
              </w:rPr>
              <w:t>得分较高者</w:t>
            </w:r>
            <w:r>
              <w:rPr>
                <w:rFonts w:hint="eastAsia" w:ascii="宋体" w:hAnsi="宋体"/>
                <w:szCs w:val="21"/>
              </w:rPr>
              <w:t>排序在先</w:t>
            </w:r>
            <w:r>
              <w:rPr>
                <w:rFonts w:ascii="宋体" w:hAnsi="宋体"/>
                <w:szCs w:val="21"/>
              </w:rPr>
              <w:t>。</w:t>
            </w:r>
          </w:p>
          <w:p w14:paraId="75B89E23">
            <w:pPr>
              <w:adjustRightInd w:val="0"/>
              <w:snapToGrid w:val="0"/>
              <w:ind w:firstLine="210" w:firstLineChars="100"/>
              <w:rPr>
                <w:rFonts w:ascii="宋体" w:hAnsi="宋体"/>
                <w:szCs w:val="21"/>
              </w:rPr>
            </w:pPr>
            <w:r>
              <w:rPr>
                <w:rFonts w:ascii="宋体" w:hAnsi="宋体"/>
                <w:szCs w:val="21"/>
              </w:rPr>
              <w:t>若以上各项评分因素得分都相等，则通过评委会投票表决，推荐票数多的投标人</w:t>
            </w:r>
            <w:r>
              <w:rPr>
                <w:rFonts w:hint="eastAsia" w:ascii="宋体" w:hAnsi="宋体"/>
                <w:szCs w:val="21"/>
              </w:rPr>
              <w:t>排序</w:t>
            </w:r>
            <w:r>
              <w:rPr>
                <w:rFonts w:ascii="宋体" w:hAnsi="宋体"/>
                <w:szCs w:val="21"/>
              </w:rPr>
              <w:t>在先</w:t>
            </w:r>
            <w:r>
              <w:rPr>
                <w:rFonts w:hint="eastAsia" w:ascii="宋体" w:hAnsi="宋体"/>
                <w:szCs w:val="21"/>
              </w:rPr>
              <w:t>。</w:t>
            </w:r>
          </w:p>
        </w:tc>
      </w:tr>
    </w:tbl>
    <w:p w14:paraId="3EDE8850"/>
    <w:p w14:paraId="7A2040C6"/>
    <w:p w14:paraId="4261D25B"/>
    <w:p w14:paraId="3DCFD296"/>
    <w:p w14:paraId="68CEA30D"/>
    <w:p w14:paraId="5A520C67"/>
    <w:p w14:paraId="18B2ADBA">
      <w:pPr>
        <w:widowControl/>
        <w:jc w:val="left"/>
      </w:pPr>
      <w:r>
        <w:br w:type="page"/>
      </w:r>
    </w:p>
    <w:p w14:paraId="19BF780A">
      <w:pPr>
        <w:jc w:val="right"/>
        <w:rPr>
          <w:rFonts w:ascii="宋体" w:hAnsi="宋体" w:cs="宋体"/>
          <w:sz w:val="24"/>
          <w:szCs w:val="24"/>
        </w:rPr>
      </w:pPr>
      <w:r>
        <w:t>续上表</w:t>
      </w:r>
    </w:p>
    <w:tbl>
      <w:tblPr>
        <w:tblStyle w:val="7"/>
        <w:tblW w:w="966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86"/>
        <w:gridCol w:w="500"/>
        <w:gridCol w:w="502"/>
        <w:gridCol w:w="993"/>
        <w:gridCol w:w="2125"/>
        <w:gridCol w:w="531"/>
        <w:gridCol w:w="4430"/>
      </w:tblGrid>
      <w:tr w14:paraId="10E9D8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atLeast"/>
          <w:tblHeader/>
        </w:trPr>
        <w:tc>
          <w:tcPr>
            <w:tcW w:w="5237" w:type="dxa"/>
            <w:gridSpan w:val="6"/>
            <w:tcBorders>
              <w:top w:val="single" w:color="auto" w:sz="4" w:space="0"/>
              <w:left w:val="single" w:color="auto" w:sz="4" w:space="0"/>
            </w:tcBorders>
            <w:vAlign w:val="center"/>
          </w:tcPr>
          <w:p w14:paraId="616CC556">
            <w:pPr>
              <w:adjustRightInd w:val="0"/>
              <w:snapToGrid w:val="0"/>
              <w:spacing w:before="24" w:beforeLines="10" w:after="24" w:afterLines="10"/>
              <w:jc w:val="center"/>
              <w:rPr>
                <w:rFonts w:ascii="宋体" w:hAnsi="宋体"/>
              </w:rPr>
            </w:pPr>
            <w:r>
              <w:rPr>
                <w:rFonts w:ascii="宋体" w:hAnsi="宋体"/>
              </w:rPr>
              <w:t>评分因素与拟定权重分值</w:t>
            </w:r>
          </w:p>
        </w:tc>
        <w:tc>
          <w:tcPr>
            <w:tcW w:w="4430" w:type="dxa"/>
            <w:vMerge w:val="restart"/>
            <w:tcBorders>
              <w:top w:val="single" w:color="auto" w:sz="4" w:space="0"/>
              <w:right w:val="single" w:color="auto" w:sz="4" w:space="0"/>
            </w:tcBorders>
            <w:vAlign w:val="center"/>
          </w:tcPr>
          <w:p w14:paraId="24DB6CCE">
            <w:pPr>
              <w:adjustRightInd w:val="0"/>
              <w:snapToGrid w:val="0"/>
              <w:spacing w:before="24" w:beforeLines="10" w:after="24" w:afterLines="10"/>
              <w:jc w:val="center"/>
              <w:rPr>
                <w:rFonts w:ascii="宋体" w:hAnsi="宋体"/>
              </w:rPr>
            </w:pPr>
            <w:r>
              <w:rPr>
                <w:rFonts w:ascii="宋体" w:hAnsi="宋体"/>
              </w:rPr>
              <w:t>评分标准</w:t>
            </w:r>
          </w:p>
        </w:tc>
      </w:tr>
      <w:tr w14:paraId="0C094F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atLeast"/>
          <w:tblHeader/>
        </w:trPr>
        <w:tc>
          <w:tcPr>
            <w:tcW w:w="586" w:type="dxa"/>
            <w:tcBorders>
              <w:left w:val="single" w:color="auto" w:sz="4" w:space="0"/>
            </w:tcBorders>
            <w:vAlign w:val="center"/>
          </w:tcPr>
          <w:p w14:paraId="761AF388">
            <w:pPr>
              <w:adjustRightInd w:val="0"/>
              <w:snapToGrid w:val="0"/>
              <w:spacing w:before="24" w:beforeLines="10" w:after="24" w:afterLines="10"/>
              <w:jc w:val="center"/>
              <w:rPr>
                <w:rFonts w:ascii="宋体" w:hAnsi="宋体"/>
              </w:rPr>
            </w:pPr>
            <w:r>
              <w:rPr>
                <w:rFonts w:ascii="宋体" w:hAnsi="宋体"/>
              </w:rPr>
              <w:t>条款</w:t>
            </w:r>
          </w:p>
          <w:p w14:paraId="02FD9D26">
            <w:pPr>
              <w:adjustRightInd w:val="0"/>
              <w:snapToGrid w:val="0"/>
              <w:spacing w:before="24" w:beforeLines="10" w:after="24" w:afterLines="10"/>
              <w:jc w:val="center"/>
              <w:rPr>
                <w:rFonts w:ascii="宋体" w:hAnsi="宋体"/>
              </w:rPr>
            </w:pPr>
            <w:r>
              <w:rPr>
                <w:rFonts w:ascii="宋体" w:hAnsi="宋体"/>
              </w:rPr>
              <w:t>号</w:t>
            </w:r>
          </w:p>
        </w:tc>
        <w:tc>
          <w:tcPr>
            <w:tcW w:w="1002" w:type="dxa"/>
            <w:gridSpan w:val="2"/>
            <w:vAlign w:val="center"/>
          </w:tcPr>
          <w:p w14:paraId="56826E48">
            <w:pPr>
              <w:adjustRightInd w:val="0"/>
              <w:snapToGrid w:val="0"/>
              <w:spacing w:before="24" w:beforeLines="10" w:after="24" w:afterLines="10"/>
              <w:jc w:val="center"/>
              <w:rPr>
                <w:rFonts w:ascii="宋体" w:hAnsi="宋体"/>
              </w:rPr>
            </w:pPr>
            <w:r>
              <w:rPr>
                <w:rFonts w:ascii="宋体" w:hAnsi="宋体"/>
              </w:rPr>
              <w:t>评分</w:t>
            </w:r>
          </w:p>
          <w:p w14:paraId="64CD91D4">
            <w:pPr>
              <w:adjustRightInd w:val="0"/>
              <w:snapToGrid w:val="0"/>
              <w:spacing w:before="24" w:beforeLines="10" w:after="24" w:afterLines="10"/>
              <w:jc w:val="center"/>
              <w:rPr>
                <w:rFonts w:ascii="宋体" w:hAnsi="宋体"/>
              </w:rPr>
            </w:pPr>
            <w:r>
              <w:rPr>
                <w:rFonts w:ascii="宋体" w:hAnsi="宋体"/>
              </w:rPr>
              <w:t>因素</w:t>
            </w:r>
          </w:p>
        </w:tc>
        <w:tc>
          <w:tcPr>
            <w:tcW w:w="993" w:type="dxa"/>
            <w:vAlign w:val="center"/>
          </w:tcPr>
          <w:p w14:paraId="3D606269">
            <w:pPr>
              <w:adjustRightInd w:val="0"/>
              <w:snapToGrid w:val="0"/>
              <w:spacing w:before="24" w:beforeLines="10" w:after="24" w:afterLines="10"/>
              <w:jc w:val="center"/>
              <w:rPr>
                <w:rFonts w:ascii="宋体" w:hAnsi="宋体"/>
              </w:rPr>
            </w:pPr>
            <w:r>
              <w:rPr>
                <w:rFonts w:ascii="宋体" w:hAnsi="宋体"/>
              </w:rPr>
              <w:t>评分因素</w:t>
            </w:r>
          </w:p>
          <w:p w14:paraId="35AC1B4E">
            <w:pPr>
              <w:adjustRightInd w:val="0"/>
              <w:snapToGrid w:val="0"/>
              <w:spacing w:before="24" w:beforeLines="10" w:after="24" w:afterLines="10"/>
              <w:jc w:val="center"/>
              <w:rPr>
                <w:rFonts w:ascii="宋体" w:hAnsi="宋体"/>
              </w:rPr>
            </w:pPr>
            <w:r>
              <w:rPr>
                <w:rFonts w:ascii="宋体" w:hAnsi="宋体"/>
              </w:rPr>
              <w:t>权重分值</w:t>
            </w:r>
          </w:p>
        </w:tc>
        <w:tc>
          <w:tcPr>
            <w:tcW w:w="2125" w:type="dxa"/>
            <w:vAlign w:val="center"/>
          </w:tcPr>
          <w:p w14:paraId="26A04BEA">
            <w:pPr>
              <w:adjustRightInd w:val="0"/>
              <w:snapToGrid w:val="0"/>
              <w:spacing w:before="24" w:beforeLines="10" w:after="24" w:afterLines="10"/>
              <w:jc w:val="center"/>
              <w:rPr>
                <w:rFonts w:ascii="宋体" w:hAnsi="宋体"/>
              </w:rPr>
            </w:pPr>
            <w:r>
              <w:rPr>
                <w:rFonts w:ascii="宋体" w:hAnsi="宋体"/>
              </w:rPr>
              <w:t>各评分因</w:t>
            </w:r>
          </w:p>
          <w:p w14:paraId="6E8D1BE8">
            <w:pPr>
              <w:adjustRightInd w:val="0"/>
              <w:snapToGrid w:val="0"/>
              <w:spacing w:before="24" w:beforeLines="10" w:after="24" w:afterLines="10"/>
              <w:jc w:val="center"/>
              <w:rPr>
                <w:rFonts w:ascii="宋体" w:hAnsi="宋体"/>
              </w:rPr>
            </w:pPr>
            <w:r>
              <w:rPr>
                <w:rFonts w:ascii="宋体" w:hAnsi="宋体"/>
              </w:rPr>
              <w:t>素细分项</w:t>
            </w:r>
          </w:p>
        </w:tc>
        <w:tc>
          <w:tcPr>
            <w:tcW w:w="531" w:type="dxa"/>
            <w:vAlign w:val="center"/>
          </w:tcPr>
          <w:p w14:paraId="3674938F">
            <w:pPr>
              <w:adjustRightInd w:val="0"/>
              <w:snapToGrid w:val="0"/>
              <w:spacing w:before="24" w:beforeLines="10" w:after="24" w:afterLines="10"/>
              <w:jc w:val="center"/>
              <w:rPr>
                <w:rFonts w:ascii="宋体" w:hAnsi="宋体"/>
              </w:rPr>
            </w:pPr>
            <w:r>
              <w:rPr>
                <w:rFonts w:ascii="宋体" w:hAnsi="宋体"/>
              </w:rPr>
              <w:t>分值</w:t>
            </w:r>
          </w:p>
        </w:tc>
        <w:tc>
          <w:tcPr>
            <w:tcW w:w="4430" w:type="dxa"/>
            <w:vMerge w:val="continue"/>
            <w:tcBorders>
              <w:right w:val="single" w:color="auto" w:sz="4" w:space="0"/>
            </w:tcBorders>
            <w:vAlign w:val="center"/>
          </w:tcPr>
          <w:p w14:paraId="314DAD97">
            <w:pPr>
              <w:adjustRightInd w:val="0"/>
              <w:snapToGrid w:val="0"/>
              <w:spacing w:before="24" w:beforeLines="10" w:after="24" w:afterLines="10"/>
              <w:jc w:val="center"/>
              <w:rPr>
                <w:rFonts w:ascii="宋体" w:hAnsi="宋体"/>
              </w:rPr>
            </w:pPr>
          </w:p>
        </w:tc>
      </w:tr>
      <w:tr w14:paraId="0D2709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10" w:hRule="atLeast"/>
        </w:trPr>
        <w:tc>
          <w:tcPr>
            <w:tcW w:w="586" w:type="dxa"/>
            <w:vMerge w:val="restart"/>
            <w:tcBorders>
              <w:left w:val="single" w:color="auto" w:sz="4" w:space="0"/>
            </w:tcBorders>
            <w:vAlign w:val="center"/>
          </w:tcPr>
          <w:p w14:paraId="5C2D4D39">
            <w:pPr>
              <w:adjustRightInd w:val="0"/>
              <w:snapToGrid w:val="0"/>
              <w:spacing w:before="24" w:beforeLines="10" w:after="24" w:afterLines="10"/>
              <w:jc w:val="center"/>
              <w:rPr>
                <w:rFonts w:ascii="宋体" w:hAnsi="宋体"/>
              </w:rPr>
            </w:pPr>
            <w:r>
              <w:rPr>
                <w:rFonts w:ascii="宋体" w:hAnsi="宋体"/>
              </w:rPr>
              <w:t>2.2.</w:t>
            </w:r>
            <w:r>
              <w:rPr>
                <w:rFonts w:hint="eastAsia" w:ascii="宋体" w:hAnsi="宋体"/>
              </w:rPr>
              <w:t>2</w:t>
            </w:r>
            <w:r>
              <w:rPr>
                <w:rFonts w:ascii="宋体" w:hAnsi="宋体"/>
              </w:rPr>
              <w:t>（1）</w:t>
            </w:r>
          </w:p>
        </w:tc>
        <w:tc>
          <w:tcPr>
            <w:tcW w:w="1002" w:type="dxa"/>
            <w:gridSpan w:val="2"/>
            <w:vMerge w:val="restart"/>
            <w:vAlign w:val="center"/>
          </w:tcPr>
          <w:p w14:paraId="50F8724D">
            <w:pPr>
              <w:adjustRightInd w:val="0"/>
              <w:snapToGrid w:val="0"/>
              <w:spacing w:before="24" w:beforeLines="10" w:after="24" w:afterLines="10"/>
              <w:jc w:val="center"/>
              <w:rPr>
                <w:rFonts w:ascii="宋体" w:hAnsi="宋体"/>
              </w:rPr>
            </w:pPr>
            <w:r>
              <w:rPr>
                <w:rFonts w:ascii="宋体" w:hAnsi="宋体"/>
              </w:rPr>
              <w:t>施工组织设计</w:t>
            </w:r>
          </w:p>
        </w:tc>
        <w:tc>
          <w:tcPr>
            <w:tcW w:w="993" w:type="dxa"/>
            <w:vMerge w:val="restart"/>
            <w:vAlign w:val="center"/>
          </w:tcPr>
          <w:p w14:paraId="6645D1B5">
            <w:pPr>
              <w:adjustRightInd w:val="0"/>
              <w:snapToGrid w:val="0"/>
              <w:spacing w:before="24" w:beforeLines="10" w:after="24" w:afterLines="10"/>
              <w:jc w:val="center"/>
              <w:rPr>
                <w:rFonts w:ascii="宋体" w:hAnsi="宋体"/>
              </w:rPr>
            </w:pPr>
            <w:r>
              <w:rPr>
                <w:rFonts w:hint="eastAsia" w:ascii="宋体" w:hAnsi="宋体"/>
              </w:rPr>
              <w:t>40</w:t>
            </w:r>
            <w:r>
              <w:rPr>
                <w:rFonts w:ascii="宋体" w:hAnsi="宋体"/>
              </w:rPr>
              <w:t>分</w:t>
            </w:r>
          </w:p>
        </w:tc>
        <w:tc>
          <w:tcPr>
            <w:tcW w:w="2125" w:type="dxa"/>
            <w:vAlign w:val="center"/>
          </w:tcPr>
          <w:p w14:paraId="1F8AEF83">
            <w:pPr>
              <w:ind w:right="113"/>
              <w:jc w:val="center"/>
              <w:rPr>
                <w:rFonts w:ascii="宋体" w:hAnsi="宋体"/>
                <w:szCs w:val="21"/>
              </w:rPr>
            </w:pPr>
            <w:r>
              <w:rPr>
                <w:rFonts w:hint="eastAsia" w:ascii="宋体" w:hAnsi="宋体"/>
                <w:szCs w:val="21"/>
              </w:rPr>
              <w:t>关键工程的施工方案、方法与技术措施</w:t>
            </w:r>
          </w:p>
        </w:tc>
        <w:tc>
          <w:tcPr>
            <w:tcW w:w="531" w:type="dxa"/>
            <w:tcBorders>
              <w:bottom w:val="single" w:color="auto" w:sz="4" w:space="0"/>
            </w:tcBorders>
            <w:vAlign w:val="center"/>
          </w:tcPr>
          <w:p w14:paraId="30133781">
            <w:pPr>
              <w:autoSpaceDE w:val="0"/>
              <w:autoSpaceDN w:val="0"/>
              <w:adjustRightInd w:val="0"/>
              <w:spacing w:line="360" w:lineRule="atLeast"/>
              <w:jc w:val="center"/>
              <w:rPr>
                <w:rFonts w:ascii="宋体" w:hAnsi="宋体" w:cs="宋体"/>
                <w:bCs/>
                <w:szCs w:val="21"/>
              </w:rPr>
            </w:pPr>
            <w:r>
              <w:rPr>
                <w:rFonts w:hint="eastAsia" w:ascii="宋体" w:hAnsi="宋体" w:cs="宋体"/>
                <w:bCs/>
                <w:szCs w:val="21"/>
              </w:rPr>
              <w:t>20</w:t>
            </w:r>
          </w:p>
        </w:tc>
        <w:tc>
          <w:tcPr>
            <w:tcW w:w="4430" w:type="dxa"/>
            <w:tcBorders>
              <w:bottom w:val="single" w:color="auto" w:sz="4" w:space="0"/>
              <w:right w:val="single" w:color="auto" w:sz="4" w:space="0"/>
            </w:tcBorders>
            <w:vAlign w:val="center"/>
          </w:tcPr>
          <w:p w14:paraId="6C450B34">
            <w:pPr>
              <w:jc w:val="left"/>
              <w:rPr>
                <w:rFonts w:ascii="宋体" w:hAnsi="宋体"/>
                <w:kern w:val="0"/>
                <w:szCs w:val="21"/>
              </w:rPr>
            </w:pPr>
            <w:r>
              <w:rPr>
                <w:rFonts w:hint="eastAsia" w:ascii="宋体" w:hAnsi="宋体"/>
                <w:kern w:val="0"/>
                <w:szCs w:val="21"/>
              </w:rPr>
              <w:t>好，16-20 分；</w:t>
            </w:r>
          </w:p>
          <w:p w14:paraId="2FCBC4B3">
            <w:pPr>
              <w:jc w:val="left"/>
              <w:rPr>
                <w:rFonts w:ascii="宋体" w:hAnsi="宋体"/>
                <w:kern w:val="0"/>
                <w:szCs w:val="21"/>
              </w:rPr>
            </w:pPr>
            <w:r>
              <w:rPr>
                <w:rFonts w:hint="eastAsia" w:ascii="宋体" w:hAnsi="宋体"/>
                <w:kern w:val="0"/>
                <w:szCs w:val="21"/>
              </w:rPr>
              <w:t>较好，12-16分；</w:t>
            </w:r>
          </w:p>
          <w:p w14:paraId="3745D5C7">
            <w:pPr>
              <w:jc w:val="left"/>
              <w:rPr>
                <w:rFonts w:ascii="宋体" w:hAnsi="宋体"/>
                <w:kern w:val="0"/>
                <w:szCs w:val="21"/>
              </w:rPr>
            </w:pPr>
            <w:r>
              <w:rPr>
                <w:rFonts w:hint="eastAsia" w:ascii="宋体" w:hAnsi="宋体"/>
                <w:kern w:val="0"/>
                <w:szCs w:val="21"/>
              </w:rPr>
              <w:t>一般，12分。</w:t>
            </w:r>
          </w:p>
        </w:tc>
      </w:tr>
      <w:tr w14:paraId="68DFCA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6" w:type="dxa"/>
            <w:vMerge w:val="continue"/>
            <w:tcBorders>
              <w:left w:val="single" w:color="auto" w:sz="4" w:space="0"/>
            </w:tcBorders>
            <w:vAlign w:val="center"/>
          </w:tcPr>
          <w:p w14:paraId="2DA2C95D">
            <w:pPr>
              <w:adjustRightInd w:val="0"/>
              <w:snapToGrid w:val="0"/>
              <w:spacing w:before="24" w:beforeLines="10" w:after="24" w:afterLines="10"/>
              <w:jc w:val="center"/>
              <w:rPr>
                <w:rFonts w:ascii="宋体" w:hAnsi="宋体"/>
              </w:rPr>
            </w:pPr>
          </w:p>
        </w:tc>
        <w:tc>
          <w:tcPr>
            <w:tcW w:w="1002" w:type="dxa"/>
            <w:gridSpan w:val="2"/>
            <w:vMerge w:val="continue"/>
            <w:vAlign w:val="center"/>
          </w:tcPr>
          <w:p w14:paraId="5913B1ED">
            <w:pPr>
              <w:adjustRightInd w:val="0"/>
              <w:snapToGrid w:val="0"/>
              <w:spacing w:before="24" w:beforeLines="10" w:after="24" w:afterLines="10"/>
              <w:jc w:val="center"/>
              <w:rPr>
                <w:rFonts w:ascii="宋体" w:hAnsi="宋体"/>
              </w:rPr>
            </w:pPr>
          </w:p>
        </w:tc>
        <w:tc>
          <w:tcPr>
            <w:tcW w:w="993" w:type="dxa"/>
            <w:vMerge w:val="continue"/>
            <w:vAlign w:val="center"/>
          </w:tcPr>
          <w:p w14:paraId="639DB354">
            <w:pPr>
              <w:adjustRightInd w:val="0"/>
              <w:snapToGrid w:val="0"/>
              <w:spacing w:before="24" w:beforeLines="10" w:after="24" w:afterLines="10"/>
              <w:jc w:val="center"/>
              <w:rPr>
                <w:rFonts w:ascii="宋体" w:hAnsi="宋体"/>
              </w:rPr>
            </w:pPr>
          </w:p>
        </w:tc>
        <w:tc>
          <w:tcPr>
            <w:tcW w:w="2125" w:type="dxa"/>
            <w:tcBorders>
              <w:top w:val="single" w:color="auto" w:sz="4" w:space="0"/>
            </w:tcBorders>
            <w:vAlign w:val="center"/>
          </w:tcPr>
          <w:p w14:paraId="33F57C60">
            <w:pPr>
              <w:ind w:right="113"/>
              <w:jc w:val="center"/>
              <w:rPr>
                <w:rFonts w:ascii="宋体" w:hAnsi="宋体"/>
                <w:szCs w:val="21"/>
              </w:rPr>
            </w:pPr>
            <w:r>
              <w:rPr>
                <w:rFonts w:hint="eastAsia" w:ascii="宋体" w:hAnsi="宋体"/>
                <w:szCs w:val="21"/>
              </w:rPr>
              <w:t>工期保证体系及保证措施</w:t>
            </w:r>
          </w:p>
        </w:tc>
        <w:tc>
          <w:tcPr>
            <w:tcW w:w="531" w:type="dxa"/>
            <w:tcBorders>
              <w:bottom w:val="single" w:color="auto" w:sz="4" w:space="0"/>
            </w:tcBorders>
            <w:vAlign w:val="center"/>
          </w:tcPr>
          <w:p w14:paraId="6BB14710">
            <w:pPr>
              <w:autoSpaceDE w:val="0"/>
              <w:autoSpaceDN w:val="0"/>
              <w:adjustRightInd w:val="0"/>
              <w:spacing w:line="360" w:lineRule="atLeast"/>
              <w:jc w:val="center"/>
              <w:rPr>
                <w:rFonts w:ascii="宋体" w:hAnsi="宋体" w:cs="宋体"/>
                <w:bCs/>
                <w:szCs w:val="21"/>
                <w:lang w:val="zh-CN"/>
              </w:rPr>
            </w:pPr>
            <w:r>
              <w:rPr>
                <w:rFonts w:hint="eastAsia" w:ascii="宋体" w:hAnsi="宋体" w:cs="宋体"/>
                <w:bCs/>
                <w:szCs w:val="21"/>
              </w:rPr>
              <w:t>3</w:t>
            </w:r>
          </w:p>
        </w:tc>
        <w:tc>
          <w:tcPr>
            <w:tcW w:w="4430" w:type="dxa"/>
            <w:tcBorders>
              <w:right w:val="single" w:color="auto" w:sz="4" w:space="0"/>
            </w:tcBorders>
            <w:vAlign w:val="center"/>
          </w:tcPr>
          <w:p w14:paraId="0B002900">
            <w:pPr>
              <w:jc w:val="left"/>
              <w:rPr>
                <w:rFonts w:ascii="宋体" w:hAnsi="宋体"/>
                <w:kern w:val="0"/>
                <w:szCs w:val="21"/>
              </w:rPr>
            </w:pPr>
            <w:r>
              <w:rPr>
                <w:rFonts w:hint="eastAsia" w:ascii="宋体" w:hAnsi="宋体"/>
                <w:kern w:val="0"/>
                <w:szCs w:val="21"/>
              </w:rPr>
              <w:t>好，2.4-3.0分；</w:t>
            </w:r>
          </w:p>
          <w:p w14:paraId="2031A5F7">
            <w:pPr>
              <w:jc w:val="left"/>
              <w:rPr>
                <w:rFonts w:ascii="宋体" w:hAnsi="宋体"/>
                <w:kern w:val="0"/>
                <w:szCs w:val="21"/>
              </w:rPr>
            </w:pPr>
            <w:r>
              <w:rPr>
                <w:rFonts w:hint="eastAsia" w:ascii="宋体" w:hAnsi="宋体"/>
                <w:kern w:val="0"/>
                <w:szCs w:val="21"/>
              </w:rPr>
              <w:t>较好，1.8-2.4分；</w:t>
            </w:r>
          </w:p>
          <w:p w14:paraId="2BB8BAB7">
            <w:pPr>
              <w:rPr>
                <w:rFonts w:ascii="宋体" w:hAnsi="宋体"/>
                <w:szCs w:val="21"/>
              </w:rPr>
            </w:pPr>
            <w:r>
              <w:rPr>
                <w:rFonts w:hint="eastAsia" w:ascii="宋体" w:hAnsi="宋体"/>
                <w:kern w:val="0"/>
                <w:szCs w:val="21"/>
              </w:rPr>
              <w:t>一般，1.8分。</w:t>
            </w:r>
          </w:p>
        </w:tc>
      </w:tr>
      <w:tr w14:paraId="232518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6" w:type="dxa"/>
            <w:vMerge w:val="continue"/>
            <w:tcBorders>
              <w:left w:val="single" w:color="auto" w:sz="4" w:space="0"/>
            </w:tcBorders>
            <w:vAlign w:val="center"/>
          </w:tcPr>
          <w:p w14:paraId="6C7AEA7B">
            <w:pPr>
              <w:adjustRightInd w:val="0"/>
              <w:snapToGrid w:val="0"/>
              <w:spacing w:before="24" w:beforeLines="10" w:after="24" w:afterLines="10"/>
              <w:jc w:val="center"/>
              <w:rPr>
                <w:rFonts w:ascii="宋体" w:hAnsi="宋体"/>
              </w:rPr>
            </w:pPr>
          </w:p>
        </w:tc>
        <w:tc>
          <w:tcPr>
            <w:tcW w:w="1002" w:type="dxa"/>
            <w:gridSpan w:val="2"/>
            <w:vMerge w:val="continue"/>
            <w:vAlign w:val="center"/>
          </w:tcPr>
          <w:p w14:paraId="42824EB8">
            <w:pPr>
              <w:adjustRightInd w:val="0"/>
              <w:snapToGrid w:val="0"/>
              <w:spacing w:before="24" w:beforeLines="10" w:after="24" w:afterLines="10"/>
              <w:jc w:val="center"/>
              <w:rPr>
                <w:rFonts w:ascii="宋体" w:hAnsi="宋体"/>
              </w:rPr>
            </w:pPr>
          </w:p>
        </w:tc>
        <w:tc>
          <w:tcPr>
            <w:tcW w:w="993" w:type="dxa"/>
            <w:vMerge w:val="continue"/>
            <w:vAlign w:val="center"/>
          </w:tcPr>
          <w:p w14:paraId="1C12C130">
            <w:pPr>
              <w:adjustRightInd w:val="0"/>
              <w:snapToGrid w:val="0"/>
              <w:spacing w:before="24" w:beforeLines="10" w:after="24" w:afterLines="10"/>
              <w:jc w:val="center"/>
              <w:rPr>
                <w:rFonts w:ascii="宋体" w:hAnsi="宋体"/>
              </w:rPr>
            </w:pPr>
          </w:p>
        </w:tc>
        <w:tc>
          <w:tcPr>
            <w:tcW w:w="2125" w:type="dxa"/>
            <w:tcBorders>
              <w:top w:val="single" w:color="auto" w:sz="4" w:space="0"/>
            </w:tcBorders>
            <w:vAlign w:val="center"/>
          </w:tcPr>
          <w:p w14:paraId="168A07D6">
            <w:pPr>
              <w:ind w:right="113"/>
              <w:jc w:val="center"/>
              <w:rPr>
                <w:rFonts w:ascii="宋体" w:hAnsi="宋体"/>
                <w:szCs w:val="21"/>
              </w:rPr>
            </w:pPr>
            <w:r>
              <w:rPr>
                <w:rFonts w:hint="eastAsia" w:ascii="宋体" w:hAnsi="宋体"/>
                <w:szCs w:val="21"/>
              </w:rPr>
              <w:t>工程质量管理体系及保证措施</w:t>
            </w:r>
          </w:p>
        </w:tc>
        <w:tc>
          <w:tcPr>
            <w:tcW w:w="531" w:type="dxa"/>
            <w:tcBorders>
              <w:bottom w:val="single" w:color="auto" w:sz="4" w:space="0"/>
            </w:tcBorders>
            <w:vAlign w:val="center"/>
          </w:tcPr>
          <w:p w14:paraId="485B5576">
            <w:pPr>
              <w:pStyle w:val="11"/>
              <w:tabs>
                <w:tab w:val="left" w:pos="457"/>
              </w:tabs>
              <w:spacing w:before="60" w:line="360" w:lineRule="atLeast"/>
              <w:jc w:val="center"/>
              <w:rPr>
                <w:sz w:val="21"/>
                <w:szCs w:val="21"/>
              </w:rPr>
            </w:pPr>
            <w:r>
              <w:rPr>
                <w:rFonts w:hint="eastAsia"/>
                <w:sz w:val="21"/>
                <w:szCs w:val="21"/>
              </w:rPr>
              <w:t>5</w:t>
            </w:r>
          </w:p>
        </w:tc>
        <w:tc>
          <w:tcPr>
            <w:tcW w:w="4430" w:type="dxa"/>
            <w:tcBorders>
              <w:right w:val="single" w:color="auto" w:sz="4" w:space="0"/>
            </w:tcBorders>
            <w:vAlign w:val="center"/>
          </w:tcPr>
          <w:p w14:paraId="72EA7CF6">
            <w:pPr>
              <w:jc w:val="left"/>
              <w:rPr>
                <w:rFonts w:ascii="宋体" w:hAnsi="宋体"/>
                <w:kern w:val="0"/>
                <w:szCs w:val="21"/>
              </w:rPr>
            </w:pPr>
            <w:r>
              <w:rPr>
                <w:rFonts w:hint="eastAsia" w:ascii="宋体" w:hAnsi="宋体"/>
                <w:kern w:val="0"/>
                <w:szCs w:val="21"/>
              </w:rPr>
              <w:t>好，4-5分；</w:t>
            </w:r>
          </w:p>
          <w:p w14:paraId="28C8D531">
            <w:pPr>
              <w:jc w:val="left"/>
              <w:rPr>
                <w:rFonts w:ascii="宋体" w:hAnsi="宋体"/>
                <w:kern w:val="0"/>
                <w:szCs w:val="21"/>
              </w:rPr>
            </w:pPr>
            <w:r>
              <w:rPr>
                <w:rFonts w:hint="eastAsia" w:ascii="宋体" w:hAnsi="宋体"/>
                <w:kern w:val="0"/>
                <w:szCs w:val="21"/>
              </w:rPr>
              <w:t>较好，3-4分；</w:t>
            </w:r>
          </w:p>
          <w:p w14:paraId="3BA77AF7">
            <w:pPr>
              <w:rPr>
                <w:rFonts w:ascii="宋体" w:hAnsi="宋体"/>
                <w:szCs w:val="21"/>
              </w:rPr>
            </w:pPr>
            <w:r>
              <w:rPr>
                <w:rFonts w:hint="eastAsia" w:ascii="宋体" w:hAnsi="宋体"/>
                <w:kern w:val="0"/>
                <w:szCs w:val="21"/>
              </w:rPr>
              <w:t>一般，3分。</w:t>
            </w:r>
          </w:p>
        </w:tc>
      </w:tr>
      <w:tr w14:paraId="4E8E3E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6" w:type="dxa"/>
            <w:vMerge w:val="continue"/>
            <w:tcBorders>
              <w:left w:val="single" w:color="auto" w:sz="4" w:space="0"/>
            </w:tcBorders>
            <w:vAlign w:val="center"/>
          </w:tcPr>
          <w:p w14:paraId="611B0E30">
            <w:pPr>
              <w:adjustRightInd w:val="0"/>
              <w:snapToGrid w:val="0"/>
              <w:spacing w:before="24" w:beforeLines="10" w:after="24" w:afterLines="10"/>
              <w:jc w:val="center"/>
              <w:rPr>
                <w:rFonts w:ascii="宋体" w:hAnsi="宋体"/>
              </w:rPr>
            </w:pPr>
          </w:p>
        </w:tc>
        <w:tc>
          <w:tcPr>
            <w:tcW w:w="1002" w:type="dxa"/>
            <w:gridSpan w:val="2"/>
            <w:vMerge w:val="continue"/>
            <w:vAlign w:val="center"/>
          </w:tcPr>
          <w:p w14:paraId="65FC38BA">
            <w:pPr>
              <w:adjustRightInd w:val="0"/>
              <w:snapToGrid w:val="0"/>
              <w:spacing w:before="24" w:beforeLines="10" w:after="24" w:afterLines="10"/>
              <w:jc w:val="center"/>
              <w:rPr>
                <w:rFonts w:ascii="宋体" w:hAnsi="宋体"/>
              </w:rPr>
            </w:pPr>
          </w:p>
        </w:tc>
        <w:tc>
          <w:tcPr>
            <w:tcW w:w="993" w:type="dxa"/>
            <w:vMerge w:val="continue"/>
            <w:vAlign w:val="center"/>
          </w:tcPr>
          <w:p w14:paraId="181929FD">
            <w:pPr>
              <w:adjustRightInd w:val="0"/>
              <w:snapToGrid w:val="0"/>
              <w:spacing w:before="24" w:beforeLines="10" w:after="24" w:afterLines="10"/>
              <w:jc w:val="center"/>
              <w:rPr>
                <w:rFonts w:ascii="宋体" w:hAnsi="宋体"/>
              </w:rPr>
            </w:pPr>
          </w:p>
        </w:tc>
        <w:tc>
          <w:tcPr>
            <w:tcW w:w="2125" w:type="dxa"/>
            <w:tcBorders>
              <w:top w:val="single" w:color="auto" w:sz="4" w:space="0"/>
            </w:tcBorders>
            <w:vAlign w:val="center"/>
          </w:tcPr>
          <w:p w14:paraId="186C9066">
            <w:pPr>
              <w:ind w:right="113"/>
              <w:jc w:val="center"/>
              <w:rPr>
                <w:rFonts w:ascii="宋体" w:hAnsi="宋体"/>
                <w:szCs w:val="21"/>
              </w:rPr>
            </w:pPr>
            <w:r>
              <w:rPr>
                <w:rFonts w:hint="eastAsia" w:ascii="宋体" w:hAnsi="宋体"/>
                <w:szCs w:val="21"/>
              </w:rPr>
              <w:t>安全生产管理体系及保证措施</w:t>
            </w:r>
          </w:p>
        </w:tc>
        <w:tc>
          <w:tcPr>
            <w:tcW w:w="531" w:type="dxa"/>
            <w:tcBorders>
              <w:bottom w:val="single" w:color="auto" w:sz="4" w:space="0"/>
            </w:tcBorders>
            <w:vAlign w:val="center"/>
          </w:tcPr>
          <w:p w14:paraId="17EC6975">
            <w:pPr>
              <w:pStyle w:val="11"/>
              <w:tabs>
                <w:tab w:val="left" w:pos="457"/>
              </w:tabs>
              <w:spacing w:before="60" w:line="360" w:lineRule="atLeast"/>
              <w:jc w:val="center"/>
              <w:rPr>
                <w:sz w:val="21"/>
                <w:szCs w:val="21"/>
              </w:rPr>
            </w:pPr>
            <w:r>
              <w:rPr>
                <w:rFonts w:hint="eastAsia"/>
                <w:sz w:val="21"/>
                <w:szCs w:val="21"/>
              </w:rPr>
              <w:t>5</w:t>
            </w:r>
          </w:p>
        </w:tc>
        <w:tc>
          <w:tcPr>
            <w:tcW w:w="4430" w:type="dxa"/>
            <w:tcBorders>
              <w:right w:val="single" w:color="auto" w:sz="4" w:space="0"/>
            </w:tcBorders>
            <w:vAlign w:val="center"/>
          </w:tcPr>
          <w:p w14:paraId="63965D28">
            <w:pPr>
              <w:jc w:val="left"/>
              <w:rPr>
                <w:rFonts w:ascii="宋体" w:hAnsi="宋体"/>
                <w:kern w:val="0"/>
                <w:szCs w:val="21"/>
              </w:rPr>
            </w:pPr>
            <w:r>
              <w:rPr>
                <w:rFonts w:hint="eastAsia" w:ascii="宋体" w:hAnsi="宋体"/>
                <w:kern w:val="0"/>
                <w:szCs w:val="21"/>
              </w:rPr>
              <w:t>好，4-5分；</w:t>
            </w:r>
          </w:p>
          <w:p w14:paraId="1A80B574">
            <w:pPr>
              <w:jc w:val="left"/>
              <w:rPr>
                <w:rFonts w:ascii="宋体" w:hAnsi="宋体"/>
                <w:kern w:val="0"/>
                <w:szCs w:val="21"/>
              </w:rPr>
            </w:pPr>
            <w:r>
              <w:rPr>
                <w:rFonts w:hint="eastAsia" w:ascii="宋体" w:hAnsi="宋体"/>
                <w:kern w:val="0"/>
                <w:szCs w:val="21"/>
              </w:rPr>
              <w:t>较好，3-4分；</w:t>
            </w:r>
          </w:p>
          <w:p w14:paraId="56BDE886">
            <w:pPr>
              <w:rPr>
                <w:rFonts w:ascii="宋体" w:hAnsi="宋体"/>
                <w:szCs w:val="21"/>
              </w:rPr>
            </w:pPr>
            <w:r>
              <w:rPr>
                <w:rFonts w:hint="eastAsia" w:ascii="宋体" w:hAnsi="宋体"/>
                <w:kern w:val="0"/>
                <w:szCs w:val="21"/>
              </w:rPr>
              <w:t>一般，3分。</w:t>
            </w:r>
          </w:p>
        </w:tc>
      </w:tr>
      <w:tr w14:paraId="22993B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6" w:type="dxa"/>
            <w:vMerge w:val="continue"/>
            <w:tcBorders>
              <w:left w:val="single" w:color="auto" w:sz="4" w:space="0"/>
            </w:tcBorders>
            <w:vAlign w:val="center"/>
          </w:tcPr>
          <w:p w14:paraId="41F390CC">
            <w:pPr>
              <w:adjustRightInd w:val="0"/>
              <w:snapToGrid w:val="0"/>
              <w:spacing w:before="24" w:beforeLines="10" w:after="24" w:afterLines="10"/>
              <w:jc w:val="center"/>
              <w:rPr>
                <w:rFonts w:ascii="宋体" w:hAnsi="宋体"/>
              </w:rPr>
            </w:pPr>
          </w:p>
        </w:tc>
        <w:tc>
          <w:tcPr>
            <w:tcW w:w="1002" w:type="dxa"/>
            <w:gridSpan w:val="2"/>
            <w:vMerge w:val="continue"/>
            <w:vAlign w:val="center"/>
          </w:tcPr>
          <w:p w14:paraId="3806BD26">
            <w:pPr>
              <w:adjustRightInd w:val="0"/>
              <w:snapToGrid w:val="0"/>
              <w:spacing w:before="24" w:beforeLines="10" w:after="24" w:afterLines="10"/>
              <w:jc w:val="center"/>
              <w:rPr>
                <w:rFonts w:ascii="宋体" w:hAnsi="宋体"/>
              </w:rPr>
            </w:pPr>
          </w:p>
        </w:tc>
        <w:tc>
          <w:tcPr>
            <w:tcW w:w="993" w:type="dxa"/>
            <w:vMerge w:val="continue"/>
            <w:vAlign w:val="center"/>
          </w:tcPr>
          <w:p w14:paraId="759328E1">
            <w:pPr>
              <w:adjustRightInd w:val="0"/>
              <w:snapToGrid w:val="0"/>
              <w:spacing w:before="24" w:beforeLines="10" w:after="24" w:afterLines="10"/>
              <w:jc w:val="center"/>
              <w:rPr>
                <w:rFonts w:ascii="宋体" w:hAnsi="宋体"/>
              </w:rPr>
            </w:pPr>
          </w:p>
        </w:tc>
        <w:tc>
          <w:tcPr>
            <w:tcW w:w="2125" w:type="dxa"/>
            <w:tcBorders>
              <w:top w:val="single" w:color="auto" w:sz="4" w:space="0"/>
            </w:tcBorders>
            <w:vAlign w:val="center"/>
          </w:tcPr>
          <w:p w14:paraId="299423EB">
            <w:pPr>
              <w:ind w:right="113"/>
              <w:jc w:val="center"/>
              <w:rPr>
                <w:rFonts w:ascii="宋体" w:hAnsi="宋体"/>
                <w:szCs w:val="21"/>
              </w:rPr>
            </w:pPr>
            <w:r>
              <w:rPr>
                <w:rFonts w:hint="eastAsia" w:ascii="宋体" w:hAnsi="宋体"/>
                <w:szCs w:val="21"/>
              </w:rPr>
              <w:t>环境保护、水土保持、文明施工、文物保护保证体系及保证措施</w:t>
            </w:r>
          </w:p>
        </w:tc>
        <w:tc>
          <w:tcPr>
            <w:tcW w:w="531" w:type="dxa"/>
            <w:tcBorders>
              <w:bottom w:val="single" w:color="auto" w:sz="4" w:space="0"/>
            </w:tcBorders>
            <w:vAlign w:val="center"/>
          </w:tcPr>
          <w:p w14:paraId="3332C2AB">
            <w:pPr>
              <w:pStyle w:val="11"/>
              <w:tabs>
                <w:tab w:val="left" w:pos="457"/>
              </w:tabs>
              <w:spacing w:before="60" w:line="360" w:lineRule="atLeast"/>
              <w:jc w:val="center"/>
              <w:rPr>
                <w:sz w:val="21"/>
                <w:szCs w:val="21"/>
              </w:rPr>
            </w:pPr>
            <w:r>
              <w:rPr>
                <w:rFonts w:hint="eastAsia"/>
                <w:sz w:val="21"/>
                <w:szCs w:val="21"/>
              </w:rPr>
              <w:t>5</w:t>
            </w:r>
          </w:p>
        </w:tc>
        <w:tc>
          <w:tcPr>
            <w:tcW w:w="4430" w:type="dxa"/>
            <w:tcBorders>
              <w:right w:val="single" w:color="auto" w:sz="4" w:space="0"/>
            </w:tcBorders>
            <w:vAlign w:val="center"/>
          </w:tcPr>
          <w:p w14:paraId="3D62DADC">
            <w:pPr>
              <w:jc w:val="left"/>
              <w:rPr>
                <w:rFonts w:ascii="宋体" w:hAnsi="宋体"/>
                <w:kern w:val="0"/>
                <w:szCs w:val="21"/>
              </w:rPr>
            </w:pPr>
            <w:r>
              <w:rPr>
                <w:rFonts w:hint="eastAsia" w:ascii="宋体" w:hAnsi="宋体"/>
                <w:kern w:val="0"/>
                <w:szCs w:val="21"/>
              </w:rPr>
              <w:t>好，4-5分；</w:t>
            </w:r>
          </w:p>
          <w:p w14:paraId="1473015E">
            <w:pPr>
              <w:jc w:val="left"/>
              <w:rPr>
                <w:rFonts w:ascii="宋体" w:hAnsi="宋体"/>
                <w:kern w:val="0"/>
                <w:szCs w:val="21"/>
              </w:rPr>
            </w:pPr>
            <w:r>
              <w:rPr>
                <w:rFonts w:hint="eastAsia" w:ascii="宋体" w:hAnsi="宋体"/>
                <w:kern w:val="0"/>
                <w:szCs w:val="21"/>
              </w:rPr>
              <w:t>较好，3-4分；</w:t>
            </w:r>
          </w:p>
          <w:p w14:paraId="1B0825A7">
            <w:pPr>
              <w:rPr>
                <w:rFonts w:ascii="宋体" w:hAnsi="宋体"/>
                <w:szCs w:val="21"/>
              </w:rPr>
            </w:pPr>
            <w:r>
              <w:rPr>
                <w:rFonts w:hint="eastAsia" w:ascii="宋体" w:hAnsi="宋体"/>
                <w:kern w:val="0"/>
                <w:szCs w:val="21"/>
              </w:rPr>
              <w:t>一般，3分。</w:t>
            </w:r>
          </w:p>
        </w:tc>
      </w:tr>
      <w:tr w14:paraId="7C1E3D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814" w:hRule="atLeast"/>
        </w:trPr>
        <w:tc>
          <w:tcPr>
            <w:tcW w:w="586" w:type="dxa"/>
            <w:vMerge w:val="continue"/>
            <w:tcBorders>
              <w:left w:val="single" w:color="auto" w:sz="4" w:space="0"/>
            </w:tcBorders>
            <w:vAlign w:val="center"/>
          </w:tcPr>
          <w:p w14:paraId="6B8B9FEB">
            <w:pPr>
              <w:adjustRightInd w:val="0"/>
              <w:snapToGrid w:val="0"/>
              <w:spacing w:before="24" w:beforeLines="10" w:after="24" w:afterLines="10"/>
              <w:jc w:val="center"/>
              <w:rPr>
                <w:rFonts w:ascii="宋体" w:hAnsi="宋体"/>
              </w:rPr>
            </w:pPr>
          </w:p>
        </w:tc>
        <w:tc>
          <w:tcPr>
            <w:tcW w:w="1002" w:type="dxa"/>
            <w:gridSpan w:val="2"/>
            <w:vMerge w:val="continue"/>
            <w:vAlign w:val="center"/>
          </w:tcPr>
          <w:p w14:paraId="6682EA16">
            <w:pPr>
              <w:adjustRightInd w:val="0"/>
              <w:snapToGrid w:val="0"/>
              <w:spacing w:before="24" w:beforeLines="10" w:after="24" w:afterLines="10"/>
              <w:jc w:val="center"/>
              <w:rPr>
                <w:rFonts w:ascii="宋体" w:hAnsi="宋体"/>
              </w:rPr>
            </w:pPr>
          </w:p>
        </w:tc>
        <w:tc>
          <w:tcPr>
            <w:tcW w:w="993" w:type="dxa"/>
            <w:vMerge w:val="continue"/>
            <w:vAlign w:val="center"/>
          </w:tcPr>
          <w:p w14:paraId="475B479A">
            <w:pPr>
              <w:adjustRightInd w:val="0"/>
              <w:snapToGrid w:val="0"/>
              <w:spacing w:before="24" w:beforeLines="10" w:after="24" w:afterLines="10"/>
              <w:jc w:val="center"/>
              <w:rPr>
                <w:rFonts w:ascii="宋体" w:hAnsi="宋体"/>
              </w:rPr>
            </w:pPr>
          </w:p>
        </w:tc>
        <w:tc>
          <w:tcPr>
            <w:tcW w:w="2125" w:type="dxa"/>
            <w:tcBorders>
              <w:top w:val="single" w:color="auto" w:sz="4" w:space="0"/>
            </w:tcBorders>
            <w:vAlign w:val="center"/>
          </w:tcPr>
          <w:p w14:paraId="13D6B138">
            <w:pPr>
              <w:ind w:right="113"/>
              <w:jc w:val="center"/>
              <w:rPr>
                <w:rFonts w:ascii="宋体" w:hAnsi="宋体"/>
                <w:szCs w:val="21"/>
              </w:rPr>
            </w:pPr>
            <w:r>
              <w:rPr>
                <w:rFonts w:hint="eastAsia" w:ascii="宋体" w:hAnsi="宋体"/>
                <w:szCs w:val="21"/>
              </w:rPr>
              <w:t>项目风险预测与防范，事故应急预案</w:t>
            </w:r>
          </w:p>
        </w:tc>
        <w:tc>
          <w:tcPr>
            <w:tcW w:w="531" w:type="dxa"/>
            <w:tcBorders>
              <w:bottom w:val="single" w:color="auto" w:sz="4" w:space="0"/>
            </w:tcBorders>
            <w:vAlign w:val="center"/>
          </w:tcPr>
          <w:p w14:paraId="2E5975C1">
            <w:pPr>
              <w:pStyle w:val="11"/>
              <w:tabs>
                <w:tab w:val="left" w:pos="457"/>
              </w:tabs>
              <w:spacing w:before="60" w:line="360" w:lineRule="atLeast"/>
              <w:jc w:val="center"/>
              <w:rPr>
                <w:sz w:val="21"/>
                <w:szCs w:val="21"/>
              </w:rPr>
            </w:pPr>
            <w:r>
              <w:rPr>
                <w:rFonts w:hint="eastAsia"/>
                <w:sz w:val="21"/>
                <w:szCs w:val="21"/>
              </w:rPr>
              <w:t>2</w:t>
            </w:r>
          </w:p>
        </w:tc>
        <w:tc>
          <w:tcPr>
            <w:tcW w:w="4430" w:type="dxa"/>
            <w:tcBorders>
              <w:right w:val="single" w:color="auto" w:sz="4" w:space="0"/>
            </w:tcBorders>
            <w:vAlign w:val="center"/>
          </w:tcPr>
          <w:p w14:paraId="390740BC">
            <w:pPr>
              <w:jc w:val="left"/>
              <w:rPr>
                <w:rFonts w:ascii="宋体" w:hAnsi="宋体"/>
                <w:kern w:val="0"/>
                <w:szCs w:val="21"/>
              </w:rPr>
            </w:pPr>
            <w:r>
              <w:rPr>
                <w:rFonts w:hint="eastAsia" w:ascii="宋体" w:hAnsi="宋体"/>
                <w:kern w:val="0"/>
                <w:szCs w:val="21"/>
              </w:rPr>
              <w:t>好，1.6-2分；</w:t>
            </w:r>
          </w:p>
          <w:p w14:paraId="664B3B0B">
            <w:pPr>
              <w:jc w:val="left"/>
              <w:rPr>
                <w:rFonts w:ascii="宋体" w:hAnsi="宋体"/>
                <w:kern w:val="0"/>
                <w:szCs w:val="21"/>
              </w:rPr>
            </w:pPr>
            <w:r>
              <w:rPr>
                <w:rFonts w:hint="eastAsia" w:ascii="宋体" w:hAnsi="宋体"/>
                <w:kern w:val="0"/>
                <w:szCs w:val="21"/>
              </w:rPr>
              <w:t>较好，1.2-1.6分；</w:t>
            </w:r>
          </w:p>
          <w:p w14:paraId="6F251186">
            <w:pPr>
              <w:rPr>
                <w:rFonts w:ascii="宋体" w:hAnsi="宋体"/>
                <w:szCs w:val="21"/>
              </w:rPr>
            </w:pPr>
            <w:r>
              <w:rPr>
                <w:rFonts w:hint="eastAsia" w:ascii="宋体" w:hAnsi="宋体"/>
                <w:kern w:val="0"/>
                <w:szCs w:val="21"/>
              </w:rPr>
              <w:t>一般，1.2分。</w:t>
            </w:r>
          </w:p>
        </w:tc>
      </w:tr>
      <w:tr w14:paraId="53637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7" w:hRule="atLeast"/>
        </w:trPr>
        <w:tc>
          <w:tcPr>
            <w:tcW w:w="586" w:type="dxa"/>
            <w:vMerge w:val="restart"/>
            <w:shd w:val="clear" w:color="auto" w:fill="auto"/>
            <w:vAlign w:val="center"/>
          </w:tcPr>
          <w:p w14:paraId="2F2B945A">
            <w:pPr>
              <w:adjustRightInd w:val="0"/>
              <w:snapToGrid w:val="0"/>
              <w:spacing w:before="24" w:beforeLines="10" w:after="24" w:afterLines="10"/>
              <w:jc w:val="center"/>
              <w:rPr>
                <w:rFonts w:ascii="宋体" w:hAnsi="宋体"/>
              </w:rPr>
            </w:pPr>
            <w:r>
              <w:rPr>
                <w:rFonts w:ascii="宋体" w:hAnsi="宋体"/>
              </w:rPr>
              <w:t>2.2.</w:t>
            </w:r>
            <w:r>
              <w:rPr>
                <w:rFonts w:hint="eastAsia" w:ascii="宋体" w:hAnsi="宋体"/>
              </w:rPr>
              <w:t>2</w:t>
            </w:r>
            <w:r>
              <w:rPr>
                <w:rFonts w:ascii="宋体" w:hAnsi="宋体"/>
              </w:rPr>
              <w:t>（2）</w:t>
            </w:r>
          </w:p>
        </w:tc>
        <w:tc>
          <w:tcPr>
            <w:tcW w:w="1002" w:type="dxa"/>
            <w:gridSpan w:val="2"/>
            <w:vMerge w:val="restart"/>
            <w:shd w:val="clear" w:color="auto" w:fill="auto"/>
            <w:vAlign w:val="center"/>
          </w:tcPr>
          <w:p w14:paraId="35E7039B">
            <w:pPr>
              <w:adjustRightInd w:val="0"/>
              <w:snapToGrid w:val="0"/>
              <w:spacing w:before="24" w:beforeLines="10" w:after="24" w:afterLines="10"/>
              <w:jc w:val="center"/>
              <w:rPr>
                <w:rFonts w:ascii="宋体" w:hAnsi="宋体"/>
              </w:rPr>
            </w:pPr>
            <w:r>
              <w:rPr>
                <w:rFonts w:hint="eastAsia" w:ascii="宋体" w:hAnsi="宋体"/>
              </w:rPr>
              <w:t>主要</w:t>
            </w:r>
          </w:p>
          <w:p w14:paraId="7A823303">
            <w:pPr>
              <w:adjustRightInd w:val="0"/>
              <w:snapToGrid w:val="0"/>
              <w:spacing w:before="24" w:beforeLines="10" w:after="24" w:afterLines="10"/>
              <w:jc w:val="center"/>
              <w:rPr>
                <w:rFonts w:ascii="宋体" w:hAnsi="宋体"/>
              </w:rPr>
            </w:pPr>
            <w:r>
              <w:rPr>
                <w:rFonts w:hint="eastAsia" w:ascii="宋体" w:hAnsi="宋体"/>
              </w:rPr>
              <w:t>人员</w:t>
            </w:r>
          </w:p>
        </w:tc>
        <w:tc>
          <w:tcPr>
            <w:tcW w:w="993" w:type="dxa"/>
            <w:vMerge w:val="restart"/>
            <w:shd w:val="clear" w:color="auto" w:fill="auto"/>
            <w:vAlign w:val="center"/>
          </w:tcPr>
          <w:p w14:paraId="6FEBF4E5">
            <w:pPr>
              <w:adjustRightInd w:val="0"/>
              <w:snapToGrid w:val="0"/>
              <w:spacing w:before="24" w:beforeLines="10" w:after="24" w:afterLines="10"/>
              <w:jc w:val="center"/>
              <w:rPr>
                <w:rFonts w:ascii="宋体" w:hAnsi="宋体"/>
              </w:rPr>
            </w:pPr>
            <w:r>
              <w:rPr>
                <w:rFonts w:hint="eastAsia" w:ascii="宋体" w:hAnsi="宋体"/>
              </w:rPr>
              <w:t>25</w:t>
            </w:r>
            <w:r>
              <w:rPr>
                <w:rFonts w:ascii="宋体" w:hAnsi="宋体"/>
              </w:rPr>
              <w:t>分</w:t>
            </w:r>
          </w:p>
        </w:tc>
        <w:tc>
          <w:tcPr>
            <w:tcW w:w="2125" w:type="dxa"/>
            <w:shd w:val="clear" w:color="auto" w:fill="auto"/>
            <w:vAlign w:val="center"/>
          </w:tcPr>
          <w:p w14:paraId="4A1EEA4E">
            <w:pPr>
              <w:adjustRightInd w:val="0"/>
              <w:snapToGrid w:val="0"/>
              <w:spacing w:before="24" w:beforeLines="10" w:after="24" w:afterLines="10"/>
              <w:jc w:val="center"/>
              <w:rPr>
                <w:rFonts w:ascii="宋体" w:hAnsi="宋体"/>
              </w:rPr>
            </w:pPr>
            <w:r>
              <w:rPr>
                <w:rFonts w:ascii="宋体" w:hAnsi="宋体"/>
              </w:rPr>
              <w:t>项目经理</w:t>
            </w:r>
          </w:p>
          <w:p w14:paraId="1F0F8895">
            <w:pPr>
              <w:adjustRightInd w:val="0"/>
              <w:snapToGrid w:val="0"/>
              <w:spacing w:before="24" w:beforeLines="10" w:after="24" w:afterLines="10"/>
              <w:jc w:val="center"/>
              <w:rPr>
                <w:rFonts w:ascii="宋体" w:hAnsi="宋体"/>
              </w:rPr>
            </w:pPr>
            <w:r>
              <w:rPr>
                <w:rFonts w:ascii="宋体" w:hAnsi="宋体"/>
              </w:rPr>
              <w:t>任职</w:t>
            </w:r>
            <w:r>
              <w:rPr>
                <w:rFonts w:hint="eastAsia" w:ascii="宋体" w:hAnsi="宋体"/>
              </w:rPr>
              <w:t>资格与业绩</w:t>
            </w:r>
          </w:p>
        </w:tc>
        <w:tc>
          <w:tcPr>
            <w:tcW w:w="531" w:type="dxa"/>
            <w:shd w:val="clear" w:color="auto" w:fill="auto"/>
            <w:vAlign w:val="center"/>
          </w:tcPr>
          <w:p w14:paraId="31F7723A">
            <w:pPr>
              <w:adjustRightInd w:val="0"/>
              <w:snapToGrid w:val="0"/>
              <w:spacing w:before="24" w:beforeLines="10" w:after="24" w:afterLines="10"/>
              <w:jc w:val="center"/>
              <w:rPr>
                <w:rFonts w:ascii="宋体" w:hAnsi="宋体"/>
              </w:rPr>
            </w:pPr>
            <w:r>
              <w:rPr>
                <w:rFonts w:hint="eastAsia" w:ascii="宋体" w:hAnsi="宋体"/>
              </w:rPr>
              <w:t>15</w:t>
            </w:r>
          </w:p>
        </w:tc>
        <w:tc>
          <w:tcPr>
            <w:tcW w:w="4430" w:type="dxa"/>
            <w:shd w:val="clear" w:color="auto" w:fill="auto"/>
            <w:vAlign w:val="center"/>
          </w:tcPr>
          <w:p w14:paraId="7CE5FA73">
            <w:pPr>
              <w:pStyle w:val="4"/>
              <w:rPr>
                <w:rFonts w:hAnsi="宋体" w:cs="宋体"/>
                <w:color w:val="auto"/>
              </w:rPr>
            </w:pPr>
            <w:r>
              <w:rPr>
                <w:rFonts w:hint="eastAsia" w:hAnsi="宋体" w:cs="宋体"/>
                <w:color w:val="auto"/>
              </w:rPr>
              <w:t>满足最低资格审查条件得9分，担任过1项公路绿化工程施工的项目经理得12分；担任过2项公路绿化工程施工的项目经理得15分。</w:t>
            </w:r>
          </w:p>
          <w:p w14:paraId="1DC616C0">
            <w:pPr>
              <w:widowControl/>
              <w:jc w:val="left"/>
              <w:rPr>
                <w:rFonts w:ascii="楷体" w:hAnsi="楷体" w:eastAsia="楷体" w:cs="楷体"/>
                <w:color w:val="auto"/>
              </w:rPr>
            </w:pPr>
            <w:r>
              <w:rPr>
                <w:rFonts w:hint="eastAsia" w:ascii="楷体" w:hAnsi="楷体" w:eastAsia="楷体" w:cs="楷体"/>
                <w:color w:val="auto"/>
              </w:rPr>
              <w:t>注：项目经理个人业绩应提供与业主签订的施工合同及工程接收（移交）证书或交（竣）工验收证书，如合同中无法体现任职经历，则需提供业主出具的证明材料。</w:t>
            </w:r>
          </w:p>
        </w:tc>
      </w:tr>
      <w:tr w14:paraId="3D44C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7" w:hRule="atLeast"/>
        </w:trPr>
        <w:tc>
          <w:tcPr>
            <w:tcW w:w="586" w:type="dxa"/>
            <w:vMerge w:val="continue"/>
            <w:vAlign w:val="center"/>
          </w:tcPr>
          <w:p w14:paraId="2A1B3B28">
            <w:pPr>
              <w:adjustRightInd w:val="0"/>
              <w:snapToGrid w:val="0"/>
              <w:spacing w:before="24" w:beforeLines="10" w:after="24" w:afterLines="10"/>
              <w:jc w:val="center"/>
              <w:rPr>
                <w:rFonts w:ascii="宋体" w:hAnsi="宋体"/>
              </w:rPr>
            </w:pPr>
          </w:p>
        </w:tc>
        <w:tc>
          <w:tcPr>
            <w:tcW w:w="1002" w:type="dxa"/>
            <w:gridSpan w:val="2"/>
            <w:vMerge w:val="continue"/>
            <w:vAlign w:val="center"/>
          </w:tcPr>
          <w:p w14:paraId="71B94139">
            <w:pPr>
              <w:adjustRightInd w:val="0"/>
              <w:snapToGrid w:val="0"/>
              <w:spacing w:before="24" w:beforeLines="10" w:after="24" w:afterLines="10"/>
              <w:jc w:val="center"/>
              <w:rPr>
                <w:rFonts w:ascii="宋体" w:hAnsi="宋体"/>
              </w:rPr>
            </w:pPr>
          </w:p>
        </w:tc>
        <w:tc>
          <w:tcPr>
            <w:tcW w:w="993" w:type="dxa"/>
            <w:vMerge w:val="continue"/>
            <w:vAlign w:val="center"/>
          </w:tcPr>
          <w:p w14:paraId="6B0823C9">
            <w:pPr>
              <w:adjustRightInd w:val="0"/>
              <w:snapToGrid w:val="0"/>
              <w:spacing w:before="24" w:beforeLines="10" w:after="24" w:afterLines="10"/>
              <w:jc w:val="center"/>
              <w:rPr>
                <w:rFonts w:ascii="宋体" w:hAnsi="宋体"/>
              </w:rPr>
            </w:pPr>
          </w:p>
        </w:tc>
        <w:tc>
          <w:tcPr>
            <w:tcW w:w="2125" w:type="dxa"/>
            <w:shd w:val="clear" w:color="auto" w:fill="auto"/>
            <w:vAlign w:val="center"/>
          </w:tcPr>
          <w:p w14:paraId="3251CE6E">
            <w:pPr>
              <w:adjustRightInd w:val="0"/>
              <w:snapToGrid w:val="0"/>
              <w:spacing w:before="24" w:beforeLines="10" w:after="24" w:afterLines="10"/>
              <w:jc w:val="center"/>
              <w:rPr>
                <w:rFonts w:ascii="宋体" w:hAnsi="宋体"/>
              </w:rPr>
            </w:pPr>
            <w:r>
              <w:rPr>
                <w:rFonts w:ascii="宋体" w:hAnsi="宋体"/>
              </w:rPr>
              <w:t>项目</w:t>
            </w:r>
            <w:r>
              <w:rPr>
                <w:rFonts w:hint="eastAsia" w:ascii="宋体" w:hAnsi="宋体"/>
              </w:rPr>
              <w:t>总工</w:t>
            </w:r>
          </w:p>
          <w:p w14:paraId="076927E8">
            <w:pPr>
              <w:adjustRightInd w:val="0"/>
              <w:snapToGrid w:val="0"/>
              <w:spacing w:before="24" w:beforeLines="10" w:after="24" w:afterLines="10"/>
              <w:jc w:val="center"/>
              <w:rPr>
                <w:rFonts w:ascii="宋体" w:hAnsi="宋体"/>
              </w:rPr>
            </w:pPr>
            <w:r>
              <w:rPr>
                <w:rFonts w:ascii="宋体" w:hAnsi="宋体"/>
              </w:rPr>
              <w:t>任职</w:t>
            </w:r>
            <w:r>
              <w:rPr>
                <w:rFonts w:hint="eastAsia" w:ascii="宋体" w:hAnsi="宋体"/>
              </w:rPr>
              <w:t>资格与业绩</w:t>
            </w:r>
          </w:p>
        </w:tc>
        <w:tc>
          <w:tcPr>
            <w:tcW w:w="531" w:type="dxa"/>
            <w:shd w:val="clear" w:color="auto" w:fill="auto"/>
            <w:vAlign w:val="center"/>
          </w:tcPr>
          <w:p w14:paraId="682CAFDE">
            <w:pPr>
              <w:adjustRightInd w:val="0"/>
              <w:snapToGrid w:val="0"/>
              <w:spacing w:before="24" w:beforeLines="10" w:after="24" w:afterLines="10"/>
              <w:jc w:val="center"/>
              <w:rPr>
                <w:rFonts w:ascii="宋体" w:hAnsi="宋体"/>
              </w:rPr>
            </w:pPr>
            <w:r>
              <w:rPr>
                <w:rFonts w:hint="eastAsia" w:ascii="宋体" w:hAnsi="宋体"/>
              </w:rPr>
              <w:t>10</w:t>
            </w:r>
          </w:p>
        </w:tc>
        <w:tc>
          <w:tcPr>
            <w:tcW w:w="4430" w:type="dxa"/>
            <w:shd w:val="clear" w:color="auto" w:fill="auto"/>
            <w:vAlign w:val="center"/>
          </w:tcPr>
          <w:p w14:paraId="1563C785">
            <w:pPr>
              <w:pStyle w:val="4"/>
              <w:rPr>
                <w:rFonts w:hAnsi="宋体" w:cs="宋体"/>
                <w:color w:val="auto"/>
              </w:rPr>
            </w:pPr>
            <w:r>
              <w:rPr>
                <w:rFonts w:hint="eastAsia" w:hAnsi="宋体" w:cs="宋体"/>
                <w:color w:val="auto"/>
              </w:rPr>
              <w:t>满足最低资格审查条件得6分，担任过1项公路绿化工程施工的项目总工得8分；担任过2项公路绿化工程施工的项目总工得10分。</w:t>
            </w:r>
          </w:p>
          <w:p w14:paraId="2FE9F410">
            <w:pPr>
              <w:pStyle w:val="4"/>
              <w:rPr>
                <w:color w:val="auto"/>
              </w:rPr>
            </w:pPr>
            <w:r>
              <w:rPr>
                <w:rFonts w:hint="eastAsia" w:ascii="楷体" w:hAnsi="楷体" w:eastAsia="楷体" w:cs="楷体"/>
                <w:color w:val="auto"/>
              </w:rPr>
              <w:t>注：项目总工个人业绩</w:t>
            </w:r>
            <w:r>
              <w:rPr>
                <w:rFonts w:hint="eastAsia" w:ascii="楷体" w:hAnsi="楷体" w:eastAsia="楷体" w:cs="楷体"/>
                <w:color w:val="auto"/>
                <w:szCs w:val="22"/>
              </w:rPr>
              <w:t>应提供与业主签订的施工合同及工程接收（移交）证书或交（竣）工验收证书，如合同中无法体现任职经历，则需提供业主出具的证明材料</w:t>
            </w:r>
            <w:r>
              <w:rPr>
                <w:rFonts w:hint="eastAsia" w:ascii="楷体" w:hAnsi="楷体" w:eastAsia="楷体" w:cs="楷体"/>
                <w:color w:val="auto"/>
              </w:rPr>
              <w:t>。</w:t>
            </w:r>
          </w:p>
        </w:tc>
      </w:tr>
      <w:tr w14:paraId="46E8A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553" w:hRule="atLeast"/>
        </w:trPr>
        <w:tc>
          <w:tcPr>
            <w:tcW w:w="586" w:type="dxa"/>
            <w:vMerge w:val="continue"/>
            <w:vAlign w:val="center"/>
          </w:tcPr>
          <w:p w14:paraId="137476A8">
            <w:pPr>
              <w:adjustRightInd w:val="0"/>
              <w:snapToGrid w:val="0"/>
              <w:spacing w:before="48" w:beforeLines="20" w:after="48" w:afterLines="20"/>
              <w:jc w:val="center"/>
              <w:rPr>
                <w:rFonts w:ascii="宋体" w:hAnsi="宋体"/>
              </w:rPr>
            </w:pPr>
          </w:p>
          <w:p w14:paraId="75F8D73B">
            <w:pPr>
              <w:adjustRightInd w:val="0"/>
              <w:snapToGrid w:val="0"/>
              <w:spacing w:before="48" w:beforeLines="20" w:after="48" w:afterLines="20"/>
              <w:jc w:val="center"/>
              <w:rPr>
                <w:rFonts w:ascii="宋体" w:hAnsi="宋体"/>
              </w:rPr>
            </w:pPr>
          </w:p>
        </w:tc>
        <w:tc>
          <w:tcPr>
            <w:tcW w:w="500" w:type="dxa"/>
            <w:vMerge w:val="restart"/>
            <w:vAlign w:val="center"/>
          </w:tcPr>
          <w:p w14:paraId="6665E838">
            <w:pPr>
              <w:adjustRightInd w:val="0"/>
              <w:snapToGrid w:val="0"/>
              <w:spacing w:before="48" w:beforeLines="20" w:after="48" w:afterLines="20"/>
              <w:ind w:left="113" w:right="113"/>
              <w:jc w:val="center"/>
              <w:rPr>
                <w:rFonts w:ascii="宋体" w:hAnsi="宋体"/>
              </w:rPr>
            </w:pPr>
          </w:p>
        </w:tc>
        <w:tc>
          <w:tcPr>
            <w:tcW w:w="502" w:type="dxa"/>
            <w:vAlign w:val="center"/>
          </w:tcPr>
          <w:p w14:paraId="6E8A9ADC">
            <w:pPr>
              <w:adjustRightInd w:val="0"/>
              <w:snapToGrid w:val="0"/>
              <w:spacing w:before="48" w:beforeLines="20" w:after="48" w:afterLines="20"/>
              <w:ind w:left="113" w:right="113"/>
              <w:jc w:val="center"/>
              <w:rPr>
                <w:rFonts w:ascii="宋体" w:hAnsi="宋体"/>
              </w:rPr>
            </w:pPr>
            <w:r>
              <w:rPr>
                <w:rFonts w:hint="eastAsia" w:ascii="宋体" w:hAnsi="宋体"/>
              </w:rPr>
              <w:t>企业业绩</w:t>
            </w:r>
          </w:p>
        </w:tc>
        <w:tc>
          <w:tcPr>
            <w:tcW w:w="993" w:type="dxa"/>
            <w:vAlign w:val="center"/>
          </w:tcPr>
          <w:p w14:paraId="5663E70D">
            <w:pPr>
              <w:adjustRightInd w:val="0"/>
              <w:snapToGrid w:val="0"/>
              <w:spacing w:before="48" w:beforeLines="20" w:after="48" w:afterLines="20"/>
              <w:jc w:val="center"/>
              <w:rPr>
                <w:rFonts w:ascii="宋体" w:hAnsi="宋体"/>
              </w:rPr>
            </w:pPr>
            <w:r>
              <w:rPr>
                <w:rFonts w:hint="eastAsia" w:ascii="宋体" w:hAnsi="宋体"/>
              </w:rPr>
              <w:t>20</w:t>
            </w:r>
            <w:r>
              <w:rPr>
                <w:rFonts w:ascii="宋体" w:hAnsi="宋体"/>
              </w:rPr>
              <w:t>分</w:t>
            </w:r>
          </w:p>
        </w:tc>
        <w:tc>
          <w:tcPr>
            <w:tcW w:w="2125" w:type="dxa"/>
            <w:vAlign w:val="center"/>
          </w:tcPr>
          <w:p w14:paraId="51A3C4C0">
            <w:pPr>
              <w:adjustRightInd w:val="0"/>
              <w:snapToGrid w:val="0"/>
              <w:spacing w:before="48" w:beforeLines="20" w:after="48" w:afterLines="20"/>
              <w:jc w:val="center"/>
              <w:rPr>
                <w:rFonts w:ascii="宋体" w:hAnsi="宋体"/>
              </w:rPr>
            </w:pPr>
            <w:r>
              <w:rPr>
                <w:rFonts w:hint="eastAsia" w:ascii="宋体" w:hAnsi="宋体"/>
              </w:rPr>
              <w:t>企业业绩</w:t>
            </w:r>
          </w:p>
        </w:tc>
        <w:tc>
          <w:tcPr>
            <w:tcW w:w="531" w:type="dxa"/>
            <w:vAlign w:val="center"/>
          </w:tcPr>
          <w:p w14:paraId="12BFCA3A">
            <w:pPr>
              <w:adjustRightInd w:val="0"/>
              <w:snapToGrid w:val="0"/>
              <w:spacing w:before="48" w:beforeLines="20" w:after="48" w:afterLines="20"/>
              <w:jc w:val="center"/>
              <w:rPr>
                <w:rFonts w:ascii="宋体" w:hAnsi="宋体"/>
              </w:rPr>
            </w:pPr>
            <w:r>
              <w:rPr>
                <w:rFonts w:hint="eastAsia" w:ascii="宋体" w:hAnsi="宋体"/>
              </w:rPr>
              <w:t>20</w:t>
            </w:r>
          </w:p>
        </w:tc>
        <w:tc>
          <w:tcPr>
            <w:tcW w:w="4430" w:type="dxa"/>
            <w:vAlign w:val="center"/>
          </w:tcPr>
          <w:p w14:paraId="62BDC9B1">
            <w:pPr>
              <w:widowControl/>
              <w:jc w:val="left"/>
              <w:rPr>
                <w:rFonts w:ascii="宋体" w:hAnsi="宋体" w:cs="宋体"/>
                <w:szCs w:val="21"/>
              </w:rPr>
            </w:pPr>
            <w:r>
              <w:rPr>
                <w:rFonts w:hint="eastAsia" w:hAnsi="宋体" w:cs="宋体"/>
              </w:rPr>
              <w:t>满足最低资格审查条件得12分，在满足最低资格审查条件基础上，</w:t>
            </w:r>
            <w:r>
              <w:rPr>
                <w:rFonts w:hint="eastAsia" w:ascii="宋体" w:hAnsi="宋体" w:cs="宋体"/>
                <w:szCs w:val="21"/>
              </w:rPr>
              <w:t>累计完成的公路绿化工程施工有效</w:t>
            </w:r>
            <w:r>
              <w:rPr>
                <w:rFonts w:hint="eastAsia" w:ascii="宋体" w:hAnsi="宋体" w:cs="宋体"/>
                <w:szCs w:val="21"/>
                <w:highlight w:val="none"/>
              </w:rPr>
              <w:t>业绩每增加100万元加1分，最多加8分，</w:t>
            </w:r>
            <w:r>
              <w:rPr>
                <w:rFonts w:hint="eastAsia" w:ascii="宋体" w:hAnsi="宋体" w:cs="宋体"/>
                <w:szCs w:val="21"/>
              </w:rPr>
              <w:t>中间内插计算得分（四舍五入保留2位小数）。</w:t>
            </w:r>
          </w:p>
          <w:p w14:paraId="25EF751A">
            <w:pPr>
              <w:widowControl/>
              <w:jc w:val="left"/>
              <w:rPr>
                <w:rFonts w:ascii="楷体" w:hAnsi="楷体" w:eastAsia="楷体" w:cs="楷体"/>
                <w:szCs w:val="21"/>
              </w:rPr>
            </w:pPr>
            <w:r>
              <w:rPr>
                <w:rFonts w:hint="eastAsia" w:ascii="楷体" w:hAnsi="楷体" w:eastAsia="楷体" w:cs="楷体"/>
                <w:szCs w:val="21"/>
              </w:rPr>
              <w:t>注：①施工业绩需提供与业主签订的施工合同及工程接收（移交）证书或交（竣）工验收证书。</w:t>
            </w:r>
          </w:p>
          <w:p w14:paraId="6E6C2C33">
            <w:pPr>
              <w:widowControl/>
              <w:jc w:val="left"/>
              <w:rPr>
                <w:rFonts w:ascii="楷体" w:hAnsi="楷体" w:eastAsia="楷体" w:cs="楷体"/>
                <w:szCs w:val="21"/>
              </w:rPr>
            </w:pPr>
            <w:r>
              <w:rPr>
                <w:rFonts w:hint="eastAsia" w:ascii="楷体" w:hAnsi="楷体" w:eastAsia="楷体" w:cs="楷体"/>
                <w:szCs w:val="21"/>
              </w:rPr>
              <w:t>②如无法体现招标文件要求的绿化工程施工业绩数据，则应提供业主出具的证明材料。</w:t>
            </w:r>
          </w:p>
        </w:tc>
      </w:tr>
      <w:tr w14:paraId="695F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7" w:hRule="atLeast"/>
        </w:trPr>
        <w:tc>
          <w:tcPr>
            <w:tcW w:w="586" w:type="dxa"/>
            <w:vMerge w:val="continue"/>
            <w:vAlign w:val="center"/>
          </w:tcPr>
          <w:p w14:paraId="660910A4">
            <w:pPr>
              <w:adjustRightInd w:val="0"/>
              <w:snapToGrid w:val="0"/>
              <w:spacing w:before="48" w:beforeLines="20" w:after="48" w:afterLines="20"/>
              <w:jc w:val="center"/>
              <w:rPr>
                <w:rFonts w:ascii="宋体" w:hAnsi="宋体"/>
              </w:rPr>
            </w:pPr>
          </w:p>
        </w:tc>
        <w:tc>
          <w:tcPr>
            <w:tcW w:w="500" w:type="dxa"/>
            <w:vMerge w:val="continue"/>
            <w:vAlign w:val="center"/>
          </w:tcPr>
          <w:p w14:paraId="04D04E6E">
            <w:pPr>
              <w:adjustRightInd w:val="0"/>
              <w:snapToGrid w:val="0"/>
              <w:spacing w:before="48" w:beforeLines="20" w:after="48" w:afterLines="20"/>
              <w:jc w:val="center"/>
              <w:rPr>
                <w:rFonts w:ascii="宋体" w:hAnsi="宋体"/>
              </w:rPr>
            </w:pPr>
          </w:p>
        </w:tc>
        <w:tc>
          <w:tcPr>
            <w:tcW w:w="502" w:type="dxa"/>
            <w:vAlign w:val="center"/>
          </w:tcPr>
          <w:p w14:paraId="465D8630">
            <w:pPr>
              <w:adjustRightInd w:val="0"/>
              <w:snapToGrid w:val="0"/>
              <w:spacing w:before="48" w:beforeLines="20" w:after="48" w:afterLines="20"/>
              <w:jc w:val="center"/>
              <w:rPr>
                <w:rFonts w:ascii="宋体" w:hAnsi="宋体"/>
              </w:rPr>
            </w:pPr>
            <w:r>
              <w:rPr>
                <w:rFonts w:hint="eastAsia" w:ascii="宋体" w:hAnsi="宋体"/>
              </w:rPr>
              <w:t>服务承诺</w:t>
            </w:r>
          </w:p>
        </w:tc>
        <w:tc>
          <w:tcPr>
            <w:tcW w:w="993" w:type="dxa"/>
            <w:vAlign w:val="center"/>
          </w:tcPr>
          <w:p w14:paraId="0CF1AA12">
            <w:pPr>
              <w:adjustRightInd w:val="0"/>
              <w:snapToGrid w:val="0"/>
              <w:spacing w:before="48" w:beforeLines="20" w:after="48" w:afterLines="20"/>
              <w:jc w:val="center"/>
              <w:rPr>
                <w:rFonts w:ascii="宋体" w:hAnsi="宋体"/>
              </w:rPr>
            </w:pPr>
            <w:r>
              <w:rPr>
                <w:rFonts w:hint="eastAsia" w:ascii="宋体" w:hAnsi="宋体"/>
              </w:rPr>
              <w:t>15分</w:t>
            </w:r>
          </w:p>
        </w:tc>
        <w:tc>
          <w:tcPr>
            <w:tcW w:w="2125" w:type="dxa"/>
            <w:vAlign w:val="center"/>
          </w:tcPr>
          <w:p w14:paraId="228B78D1">
            <w:pPr>
              <w:adjustRightInd w:val="0"/>
              <w:snapToGrid w:val="0"/>
              <w:spacing w:before="48" w:beforeLines="20" w:after="48" w:afterLines="20"/>
              <w:jc w:val="center"/>
              <w:rPr>
                <w:rFonts w:ascii="宋体" w:hAnsi="宋体"/>
              </w:rPr>
            </w:pPr>
            <w:r>
              <w:rPr>
                <w:rFonts w:hint="eastAsia" w:ascii="宋体" w:hAnsi="宋体"/>
              </w:rPr>
              <w:t>后续服务及优惠条件</w:t>
            </w:r>
          </w:p>
        </w:tc>
        <w:tc>
          <w:tcPr>
            <w:tcW w:w="531" w:type="dxa"/>
            <w:vAlign w:val="center"/>
          </w:tcPr>
          <w:p w14:paraId="621F16B3">
            <w:pPr>
              <w:adjustRightInd w:val="0"/>
              <w:snapToGrid w:val="0"/>
              <w:spacing w:before="48" w:beforeLines="20" w:after="48" w:afterLines="20"/>
              <w:jc w:val="center"/>
              <w:rPr>
                <w:rFonts w:ascii="宋体" w:hAnsi="宋体"/>
              </w:rPr>
            </w:pPr>
            <w:r>
              <w:rPr>
                <w:rFonts w:hint="eastAsia" w:ascii="宋体" w:hAnsi="宋体"/>
              </w:rPr>
              <w:t>15</w:t>
            </w:r>
          </w:p>
        </w:tc>
        <w:tc>
          <w:tcPr>
            <w:tcW w:w="4430" w:type="dxa"/>
            <w:vAlign w:val="center"/>
          </w:tcPr>
          <w:p w14:paraId="3181FB5D">
            <w:pPr>
              <w:jc w:val="left"/>
              <w:rPr>
                <w:rFonts w:hint="eastAsia" w:ascii="宋体" w:hAnsi="宋体" w:eastAsia="宋体"/>
                <w:kern w:val="0"/>
                <w:szCs w:val="21"/>
                <w:lang w:eastAsia="zh-CN"/>
              </w:rPr>
            </w:pPr>
            <w:r>
              <w:rPr>
                <w:rFonts w:hint="eastAsia" w:ascii="宋体" w:hAnsi="宋体"/>
                <w:lang w:val="en-US" w:eastAsia="zh-CN"/>
              </w:rPr>
              <w:t>好</w:t>
            </w:r>
            <w:r>
              <w:rPr>
                <w:rFonts w:hint="eastAsia" w:ascii="宋体" w:hAnsi="宋体"/>
              </w:rPr>
              <w:t>，</w:t>
            </w:r>
            <w:r>
              <w:rPr>
                <w:rFonts w:hint="eastAsia" w:ascii="宋体" w:hAnsi="宋体"/>
                <w:lang w:val="en-US" w:eastAsia="zh-CN"/>
              </w:rPr>
              <w:t>12-</w:t>
            </w:r>
            <w:r>
              <w:rPr>
                <w:rFonts w:hint="eastAsia" w:ascii="宋体" w:hAnsi="宋体"/>
              </w:rPr>
              <w:t>15分</w:t>
            </w:r>
            <w:r>
              <w:rPr>
                <w:rFonts w:hint="eastAsia" w:ascii="宋体" w:hAnsi="宋体"/>
                <w:lang w:eastAsia="zh-CN"/>
              </w:rPr>
              <w:t>；</w:t>
            </w:r>
          </w:p>
          <w:p w14:paraId="7F26FCDD">
            <w:pPr>
              <w:jc w:val="left"/>
              <w:rPr>
                <w:rFonts w:ascii="宋体" w:hAnsi="宋体"/>
                <w:kern w:val="0"/>
                <w:szCs w:val="21"/>
              </w:rPr>
            </w:pPr>
            <w:r>
              <w:rPr>
                <w:rFonts w:hint="eastAsia" w:ascii="宋体" w:hAnsi="宋体"/>
                <w:kern w:val="0"/>
                <w:szCs w:val="21"/>
              </w:rPr>
              <w:t>较好，</w:t>
            </w:r>
            <w:r>
              <w:rPr>
                <w:rFonts w:hint="eastAsia" w:ascii="宋体" w:hAnsi="宋体"/>
                <w:kern w:val="0"/>
                <w:szCs w:val="21"/>
                <w:lang w:val="en-US" w:eastAsia="zh-CN"/>
              </w:rPr>
              <w:t>9</w:t>
            </w:r>
            <w:r>
              <w:rPr>
                <w:rFonts w:hint="eastAsia" w:ascii="宋体" w:hAnsi="宋体"/>
                <w:kern w:val="0"/>
                <w:szCs w:val="21"/>
              </w:rPr>
              <w:t>-</w:t>
            </w:r>
            <w:r>
              <w:rPr>
                <w:rFonts w:hint="eastAsia" w:ascii="宋体" w:hAnsi="宋体"/>
                <w:kern w:val="0"/>
                <w:szCs w:val="21"/>
                <w:lang w:val="en-US" w:eastAsia="zh-CN"/>
              </w:rPr>
              <w:t>12</w:t>
            </w:r>
            <w:r>
              <w:rPr>
                <w:rFonts w:hint="eastAsia" w:ascii="宋体" w:hAnsi="宋体"/>
                <w:kern w:val="0"/>
                <w:szCs w:val="21"/>
              </w:rPr>
              <w:t>分；</w:t>
            </w:r>
          </w:p>
          <w:p w14:paraId="15C88DAE">
            <w:pPr>
              <w:adjustRightInd w:val="0"/>
              <w:snapToGrid w:val="0"/>
              <w:spacing w:before="48" w:beforeLines="20" w:after="48" w:afterLines="20"/>
              <w:jc w:val="left"/>
              <w:rPr>
                <w:rFonts w:ascii="宋体" w:hAnsi="宋体"/>
              </w:rPr>
            </w:pPr>
            <w:r>
              <w:rPr>
                <w:rFonts w:hint="eastAsia" w:ascii="宋体" w:hAnsi="宋体"/>
                <w:kern w:val="0"/>
                <w:szCs w:val="21"/>
              </w:rPr>
              <w:t>一般，</w:t>
            </w:r>
            <w:r>
              <w:rPr>
                <w:rFonts w:hint="eastAsia" w:ascii="宋体" w:hAnsi="宋体"/>
                <w:kern w:val="0"/>
                <w:szCs w:val="21"/>
                <w:lang w:val="en-US" w:eastAsia="zh-CN"/>
              </w:rPr>
              <w:t>9</w:t>
            </w:r>
            <w:r>
              <w:rPr>
                <w:rFonts w:hint="eastAsia" w:ascii="宋体" w:hAnsi="宋体"/>
                <w:kern w:val="0"/>
                <w:szCs w:val="21"/>
              </w:rPr>
              <w:t>分。</w:t>
            </w:r>
          </w:p>
        </w:tc>
      </w:tr>
      <w:tr w14:paraId="7B24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29" w:hRule="atLeast"/>
        </w:trPr>
        <w:tc>
          <w:tcPr>
            <w:tcW w:w="9667" w:type="dxa"/>
            <w:gridSpan w:val="7"/>
            <w:vAlign w:val="center"/>
          </w:tcPr>
          <w:p w14:paraId="54CE56EF">
            <w:pPr>
              <w:adjustRightInd w:val="0"/>
              <w:snapToGrid w:val="0"/>
              <w:spacing w:before="48" w:beforeLines="20" w:after="48" w:afterLines="20"/>
              <w:jc w:val="left"/>
              <w:rPr>
                <w:rFonts w:ascii="宋体" w:hAnsi="宋体"/>
              </w:rPr>
            </w:pPr>
            <w:r>
              <w:rPr>
                <w:rFonts w:hint="eastAsia" w:ascii="宋体" w:hAnsi="宋体"/>
              </w:rPr>
              <w:t>需要补充的其他内容：</w:t>
            </w:r>
          </w:p>
          <w:p w14:paraId="0AE9EA51">
            <w:pPr>
              <w:tabs>
                <w:tab w:val="left" w:pos="0"/>
              </w:tabs>
              <w:adjustRightInd w:val="0"/>
              <w:snapToGrid w:val="0"/>
              <w:spacing w:before="48" w:beforeLines="20" w:after="48" w:afterLines="20"/>
              <w:jc w:val="left"/>
              <w:rPr>
                <w:rFonts w:ascii="宋体" w:hAnsi="宋体"/>
              </w:rPr>
            </w:pPr>
            <w:r>
              <w:rPr>
                <w:rFonts w:hint="eastAsia" w:ascii="宋体" w:hAnsi="宋体"/>
              </w:rPr>
              <w:t>1.各评分因素（履约信誉评分项除外）得分一般不得低于其权重分值的60%，且各评分因素得分应以评标委员会各成员的打分平均值确定，评标委员会成员数量为7人以上时，该平均值以去掉一个最高分和一个最低分后计算。评标委员会成员对某一项评分因素的评分低于权重分值60%的，应在评标报告中作出说明。所有评分分值均保留至小数点后两位，小数点后第三位四舍五入。</w:t>
            </w:r>
          </w:p>
          <w:p w14:paraId="4ACED096">
            <w:pPr>
              <w:tabs>
                <w:tab w:val="left" w:pos="0"/>
              </w:tabs>
              <w:adjustRightInd w:val="0"/>
              <w:snapToGrid w:val="0"/>
              <w:spacing w:before="48" w:beforeLines="20" w:after="48" w:afterLines="20"/>
              <w:jc w:val="left"/>
              <w:rPr>
                <w:rFonts w:ascii="宋体" w:hAnsi="宋体"/>
              </w:rPr>
            </w:pPr>
            <w:bookmarkStart w:id="30" w:name="_GoBack"/>
            <w:r>
              <w:rPr>
                <w:rFonts w:hint="eastAsia" w:ascii="Times New Roman" w:hAnsi="Times New Roman"/>
                <w:bCs/>
                <w:szCs w:val="24"/>
              </w:rPr>
              <w:t>2.施工组织设计采用“暗标”评审，如果某投标人的施工组织设计没有按照招标文件规定的格式、内容编制，且经评标委员会认定会暴露投标人信息的，评标委员会应否决其投标，并在评标报告中作出详细说明</w:t>
            </w:r>
            <w:bookmarkEnd w:id="30"/>
            <w:r>
              <w:rPr>
                <w:rFonts w:hint="eastAsia" w:ascii="Times New Roman" w:hAnsi="Times New Roman"/>
                <w:bCs/>
                <w:szCs w:val="24"/>
              </w:rPr>
              <w:t>。</w:t>
            </w:r>
          </w:p>
        </w:tc>
      </w:tr>
    </w:tbl>
    <w:p w14:paraId="2289ACD1">
      <w:pPr>
        <w:keepNext w:val="0"/>
        <w:keepLines w:val="0"/>
        <w:pageBreakBefore w:val="0"/>
        <w:widowControl w:val="0"/>
        <w:numPr>
          <w:ilvl w:val="0"/>
          <w:numId w:val="1"/>
        </w:numPr>
        <w:kinsoku/>
        <w:wordWrap/>
        <w:overflowPunct/>
        <w:topLinePunct w:val="0"/>
        <w:autoSpaceDE/>
        <w:autoSpaceDN/>
        <w:bidi w:val="0"/>
        <w:spacing w:line="320" w:lineRule="exact"/>
        <w:textAlignment w:val="auto"/>
        <w:rPr>
          <w:rFonts w:hint="eastAsia" w:ascii="黑体" w:hAnsi="黑体" w:eastAsia="黑体" w:cs="Times New Roman"/>
          <w:color w:val="auto"/>
          <w:sz w:val="28"/>
          <w:szCs w:val="28"/>
          <w:highlight w:val="none"/>
          <w:lang w:val="en-US" w:eastAsia="zh-CN"/>
        </w:rPr>
      </w:pPr>
      <w:r>
        <w:rPr>
          <w:rFonts w:hint="eastAsia" w:ascii="黑体" w:hAnsi="黑体" w:eastAsia="黑体" w:cs="Times New Roman"/>
          <w:color w:val="auto"/>
          <w:sz w:val="28"/>
          <w:szCs w:val="28"/>
          <w:highlight w:val="none"/>
          <w:lang w:val="en-US" w:eastAsia="zh-CN"/>
        </w:rPr>
        <w:t>公开时间</w:t>
      </w:r>
    </w:p>
    <w:p w14:paraId="1302A750">
      <w:pPr>
        <w:pStyle w:val="12"/>
        <w:tabs>
          <w:tab w:val="left" w:pos="426"/>
        </w:tabs>
        <w:spacing w:line="360" w:lineRule="auto"/>
        <w:jc w:val="left"/>
        <w:outlineLvl w:val="2"/>
        <w:rPr>
          <w:rFonts w:hint="eastAsia" w:ascii="宋体" w:hAnsi="宋体"/>
          <w:b w:val="0"/>
          <w:bCs w:val="0"/>
          <w:kern w:val="2"/>
          <w:sz w:val="21"/>
          <w:szCs w:val="21"/>
        </w:rPr>
      </w:pPr>
      <w:r>
        <w:rPr>
          <w:rFonts w:hint="eastAsia" w:ascii="宋体" w:hAnsi="宋体"/>
          <w:b w:val="0"/>
          <w:bCs w:val="0"/>
          <w:kern w:val="2"/>
          <w:sz w:val="21"/>
          <w:szCs w:val="21"/>
        </w:rPr>
        <w:t>本次招标文件关键内容信息公开时间至投标截止时间10日前结束。</w:t>
      </w:r>
    </w:p>
    <w:p w14:paraId="7A2F2BD7">
      <w:pPr>
        <w:keepNext w:val="0"/>
        <w:keepLines w:val="0"/>
        <w:pageBreakBefore w:val="0"/>
        <w:widowControl w:val="0"/>
        <w:numPr>
          <w:ilvl w:val="0"/>
          <w:numId w:val="1"/>
        </w:numPr>
        <w:kinsoku/>
        <w:wordWrap/>
        <w:overflowPunct/>
        <w:topLinePunct w:val="0"/>
        <w:autoSpaceDE/>
        <w:autoSpaceDN/>
        <w:bidi w:val="0"/>
        <w:spacing w:line="320" w:lineRule="exact"/>
        <w:textAlignment w:val="auto"/>
        <w:rPr>
          <w:rFonts w:hint="eastAsia" w:ascii="黑体" w:hAnsi="黑体" w:eastAsia="黑体" w:cs="Times New Roman"/>
          <w:color w:val="auto"/>
          <w:sz w:val="28"/>
          <w:szCs w:val="28"/>
          <w:highlight w:val="none"/>
          <w:lang w:val="en-US" w:eastAsia="zh-CN"/>
        </w:rPr>
      </w:pPr>
      <w:r>
        <w:rPr>
          <w:rFonts w:hint="eastAsia" w:ascii="黑体" w:hAnsi="黑体" w:eastAsia="黑体" w:cs="Times New Roman"/>
          <w:color w:val="auto"/>
          <w:sz w:val="28"/>
          <w:szCs w:val="28"/>
          <w:highlight w:val="none"/>
          <w:lang w:val="en-US" w:eastAsia="zh-CN"/>
        </w:rPr>
        <w:t>联系方式</w:t>
      </w:r>
    </w:p>
    <w:p w14:paraId="025207EA">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ascii="宋体" w:hAnsi="宋体"/>
          <w:szCs w:val="21"/>
        </w:rPr>
      </w:pPr>
      <w:r>
        <w:rPr>
          <w:rFonts w:hint="eastAsia" w:ascii="宋体" w:hAnsi="宋体"/>
          <w:szCs w:val="21"/>
        </w:rPr>
        <w:t>招标人：乾安县国省干线公路建设办公室</w:t>
      </w:r>
    </w:p>
    <w:p w14:paraId="200641B3">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ascii="宋体" w:hAnsi="宋体"/>
          <w:szCs w:val="21"/>
        </w:rPr>
      </w:pPr>
      <w:r>
        <w:rPr>
          <w:rFonts w:hint="eastAsia" w:ascii="宋体" w:hAnsi="宋体"/>
          <w:szCs w:val="21"/>
        </w:rPr>
        <w:t>地址：</w:t>
      </w:r>
      <w:r>
        <w:rPr>
          <w:rFonts w:hint="eastAsia" w:ascii="宋体" w:hAnsi="宋体" w:cs="宋体"/>
          <w:bCs/>
          <w:kern w:val="0"/>
          <w:szCs w:val="21"/>
          <w:lang w:val="zh-CN" w:bidi="zh-CN"/>
        </w:rPr>
        <w:t>乾安县</w:t>
      </w:r>
      <w:r>
        <w:rPr>
          <w:rFonts w:hint="eastAsia" w:ascii="宋体" w:hAnsi="宋体" w:cs="宋体"/>
          <w:bCs/>
          <w:kern w:val="0"/>
          <w:szCs w:val="21"/>
          <w:lang w:bidi="zh-CN"/>
        </w:rPr>
        <w:t>夜光路与昆池街交汇处</w:t>
      </w:r>
      <w:r>
        <w:rPr>
          <w:rFonts w:hint="eastAsia" w:ascii="宋体" w:hAnsi="宋体" w:cs="宋体"/>
          <w:bCs/>
          <w:kern w:val="0"/>
          <w:szCs w:val="21"/>
          <w:lang w:val="zh-CN" w:bidi="zh-CN"/>
        </w:rPr>
        <w:t>（</w:t>
      </w:r>
      <w:r>
        <w:rPr>
          <w:rFonts w:hint="eastAsia" w:ascii="宋体" w:hAnsi="宋体" w:cs="宋体"/>
          <w:bCs/>
          <w:kern w:val="0"/>
          <w:szCs w:val="21"/>
          <w:lang w:bidi="zh-CN"/>
        </w:rPr>
        <w:t>原县幼儿园院内</w:t>
      </w:r>
      <w:r>
        <w:rPr>
          <w:rFonts w:hint="eastAsia" w:ascii="宋体" w:hAnsi="宋体" w:cs="宋体"/>
          <w:bCs/>
          <w:kern w:val="0"/>
          <w:szCs w:val="21"/>
          <w:lang w:val="zh-CN" w:bidi="zh-CN"/>
        </w:rPr>
        <w:t>）</w:t>
      </w:r>
    </w:p>
    <w:p w14:paraId="2B133185">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ascii="宋体" w:hAnsi="宋体"/>
          <w:szCs w:val="21"/>
        </w:rPr>
      </w:pPr>
      <w:r>
        <w:rPr>
          <w:rFonts w:hint="eastAsia" w:ascii="宋体" w:hAnsi="宋体"/>
          <w:szCs w:val="21"/>
        </w:rPr>
        <w:t>联系人：刘清辉</w:t>
      </w:r>
    </w:p>
    <w:p w14:paraId="1A5F7C5B">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ascii="宋体" w:hAnsi="宋体"/>
          <w:szCs w:val="21"/>
        </w:rPr>
      </w:pPr>
      <w:r>
        <w:rPr>
          <w:rFonts w:hint="eastAsia" w:ascii="宋体" w:hAnsi="宋体"/>
          <w:szCs w:val="21"/>
        </w:rPr>
        <w:t>电话：</w:t>
      </w:r>
      <w:r>
        <w:rPr>
          <w:rFonts w:hint="eastAsia" w:ascii="宋体" w:hAnsi="宋体" w:cs="宋体"/>
          <w:bCs/>
          <w:kern w:val="0"/>
          <w:szCs w:val="21"/>
          <w:lang w:val="zh-CN" w:bidi="zh-CN"/>
        </w:rPr>
        <w:t>0438-822254</w:t>
      </w:r>
      <w:r>
        <w:rPr>
          <w:rFonts w:hint="eastAsia" w:ascii="宋体" w:hAnsi="宋体" w:cs="宋体"/>
          <w:bCs/>
          <w:kern w:val="0"/>
          <w:szCs w:val="21"/>
          <w:lang w:bidi="zh-CN"/>
        </w:rPr>
        <w:t>8</w:t>
      </w:r>
    </w:p>
    <w:p w14:paraId="5C327C02">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ascii="宋体" w:hAnsi="宋体"/>
          <w:szCs w:val="21"/>
        </w:rPr>
      </w:pPr>
      <w:r>
        <w:rPr>
          <w:rFonts w:hint="eastAsia" w:ascii="宋体" w:hAnsi="宋体"/>
          <w:szCs w:val="21"/>
        </w:rPr>
        <w:t>招标代理机构：吉林省国信工程咨询有限公司</w:t>
      </w:r>
    </w:p>
    <w:p w14:paraId="17CC4779">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ascii="宋体" w:hAnsi="宋体"/>
          <w:szCs w:val="21"/>
        </w:rPr>
      </w:pPr>
      <w:r>
        <w:rPr>
          <w:rFonts w:hint="eastAsia" w:ascii="宋体" w:hAnsi="宋体"/>
          <w:szCs w:val="21"/>
        </w:rPr>
        <w:t>地址：长春市朝阳区永昌小区14号楼4-65，301-7-103</w:t>
      </w:r>
    </w:p>
    <w:p w14:paraId="12DEB245">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ascii="宋体" w:hAnsi="宋体"/>
          <w:szCs w:val="21"/>
        </w:rPr>
      </w:pPr>
      <w:r>
        <w:rPr>
          <w:rFonts w:hint="eastAsia" w:ascii="宋体" w:hAnsi="宋体"/>
          <w:szCs w:val="21"/>
        </w:rPr>
        <w:t>联系人：刘富君</w:t>
      </w:r>
    </w:p>
    <w:p w14:paraId="0469B53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ascii="宋体" w:hAnsi="宋体"/>
          <w:szCs w:val="21"/>
        </w:rPr>
      </w:pPr>
      <w:r>
        <w:rPr>
          <w:rFonts w:hint="eastAsia" w:ascii="宋体" w:hAnsi="宋体"/>
          <w:szCs w:val="21"/>
        </w:rPr>
        <w:t>电话：13904301958（办公电话）</w:t>
      </w:r>
    </w:p>
    <w:p w14:paraId="6659E901">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ascii="宋体" w:hAnsi="宋体"/>
          <w:szCs w:val="21"/>
        </w:rPr>
      </w:pPr>
      <w:r>
        <w:rPr>
          <w:rFonts w:hint="eastAsia" w:ascii="宋体" w:hAnsi="宋体"/>
          <w:szCs w:val="21"/>
        </w:rPr>
        <w:t>监督部门：松原市交通运输局</w:t>
      </w:r>
    </w:p>
    <w:p w14:paraId="224CA607">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ascii="宋体" w:hAnsi="宋体"/>
          <w:szCs w:val="21"/>
          <w:highlight w:val="red"/>
        </w:rPr>
      </w:pPr>
      <w:r>
        <w:rPr>
          <w:rFonts w:hint="eastAsia" w:ascii="宋体" w:hAnsi="宋体"/>
          <w:szCs w:val="21"/>
        </w:rPr>
        <w:t>电话：0438-2085025</w:t>
      </w:r>
    </w:p>
    <w:p w14:paraId="74B1CE29">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default" w:ascii="黑体" w:hAnsi="Times New Roman" w:eastAsia="黑体" w:cs="Times New Roman"/>
          <w:b/>
          <w:bCs/>
          <w:color w:val="auto"/>
          <w:kern w:val="0"/>
          <w:sz w:val="30"/>
          <w:szCs w:val="30"/>
          <w:highlight w:val="none"/>
          <w:lang w:val="en-US" w:eastAsia="zh-CN" w:bidi="ar-SA"/>
        </w:rPr>
      </w:pPr>
      <w:r>
        <w:rPr>
          <w:rFonts w:hint="eastAsia" w:ascii="宋体" w:hAnsi="宋体"/>
          <w:szCs w:val="21"/>
        </w:rPr>
        <w:t>招标代理机构项目负责人：刘富君</w:t>
      </w:r>
    </w:p>
    <w:p w14:paraId="409A90C7"/>
    <w:sectPr>
      <w:headerReference r:id="rId10" w:type="default"/>
      <w:footerReference r:id="rId11" w:type="default"/>
      <w:pgSz w:w="11906" w:h="16838"/>
      <w:pgMar w:top="144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15233">
    <w:pPr>
      <w:pStyle w:val="5"/>
      <w:rPr>
        <w:szCs w:val="24"/>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6879C8">
                          <w:pPr>
                            <w:pStyle w:val="5"/>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56879C8">
                    <w:pPr>
                      <w:pStyle w:val="5"/>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9D3F3">
    <w:pPr>
      <w:pStyle w:val="5"/>
      <w:rPr>
        <w:szCs w:val="24"/>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5B579E">
                          <w:pPr>
                            <w:pStyle w:val="5"/>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D5B579E">
                    <w:pPr>
                      <w:pStyle w:val="5"/>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0098C">
    <w:pPr>
      <w:pStyle w:val="5"/>
      <w:rPr>
        <w:szCs w:val="24"/>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854DC2">
                          <w:pPr>
                            <w:pStyle w:val="5"/>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8854DC2">
                    <w:pPr>
                      <w:pStyle w:val="5"/>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5962643"/>
    </w:sdtPr>
    <w:sdtEndPr>
      <w:rPr>
        <w:rFonts w:ascii="宋体" w:hAnsi="宋体"/>
        <w:sz w:val="21"/>
        <w:szCs w:val="21"/>
      </w:rPr>
    </w:sdtEndPr>
    <w:sdtContent>
      <w:p w14:paraId="3016BA43">
        <w:pPr>
          <w:pStyle w:val="5"/>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lang w:val="zh-CN"/>
          </w:rPr>
          <w:t>92</w:t>
        </w:r>
        <w:r>
          <w:rPr>
            <w:rFonts w:ascii="宋体" w:hAnsi="宋体"/>
            <w:sz w:val="21"/>
            <w:szCs w:val="21"/>
          </w:rPr>
          <w:fldChar w:fldCharType="end"/>
        </w:r>
      </w:p>
    </w:sdtContent>
  </w:sdt>
  <w:p w14:paraId="16F4711D">
    <w:pPr>
      <w:pStyle w:val="5"/>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5C6D577F">
      <w:pPr>
        <w:pStyle w:val="6"/>
        <w:jc w:val="both"/>
        <w:rPr>
          <w:rFonts w:ascii="楷体" w:hAnsi="楷体" w:eastAsia="楷体"/>
        </w:rPr>
      </w:pPr>
      <w:r>
        <w:rPr>
          <w:rStyle w:val="10"/>
        </w:rPr>
        <w:footnoteRef/>
      </w:r>
      <w:r>
        <w:rPr>
          <w:rFonts w:hint="eastAsia" w:ascii="楷体" w:hAnsi="楷体" w:eastAsia="楷体"/>
        </w:rPr>
        <w:t>“评标办法前附表”用于明确评标的方法、因素、标准和程序。没有列明的因素和标准不得作为评标的依据。凡“评标办法前附表”对本章正文内容进行完善和补充的，均以“评标办法前附表”为准；未进行补充、完善的，以本章正文内容为准。</w:t>
      </w:r>
    </w:p>
  </w:footnote>
  <w:footnote w:id="1">
    <w:p w14:paraId="69C28E22">
      <w:pPr>
        <w:pStyle w:val="6"/>
        <w:jc w:val="both"/>
        <w:rPr>
          <w:rFonts w:ascii="楷体" w:hAnsi="楷体" w:eastAsia="楷体"/>
        </w:rPr>
      </w:pPr>
      <w:r>
        <w:rPr>
          <w:rStyle w:val="10"/>
        </w:rPr>
        <w:footnoteRef/>
      </w:r>
      <w:r>
        <w:rPr>
          <w:rFonts w:hint="eastAsia" w:ascii="楷体" w:hAnsi="楷体" w:eastAsia="楷体"/>
        </w:rPr>
        <w:t>“评标办法前附表”用于明确评标的方法、因素、标准和程序。没有列明的因素和标准不得作为评标的依据。凡“评标办法前附表”对本章正文内容进行完善和补充的，均以“评标办法前附表”为准；未进行补充、完善的，以本章正文内容为准。</w:t>
      </w:r>
    </w:p>
  </w:footnote>
  <w:footnote w:id="2">
    <w:p w14:paraId="67D396E0">
      <w:pPr>
        <w:pStyle w:val="6"/>
        <w:jc w:val="both"/>
        <w:rPr>
          <w:rFonts w:ascii="楷体" w:hAnsi="楷体" w:eastAsia="楷体"/>
        </w:rPr>
      </w:pPr>
      <w:r>
        <w:rPr>
          <w:rStyle w:val="10"/>
        </w:rPr>
        <w:footnoteRef/>
      </w:r>
      <w:r>
        <w:rPr>
          <w:rFonts w:hint="eastAsia" w:ascii="楷体" w:hAnsi="楷体" w:eastAsia="楷体"/>
        </w:rPr>
        <w:t>“评标办法前附表”用于明确评标的方法、因素、标准和程序。没有列明的因素和标准不得作为评标的依据。凡“评标办法前附表”对本章正文内容进行完善和补充的，均以“评标办法前附表”为准；未进行补充、完善的，以本章正文内容为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15BA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9FB1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312F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68E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B2B9F5"/>
    <w:multiLevelType w:val="singleLevel"/>
    <w:tmpl w:val="2FB2B9F5"/>
    <w:lvl w:ilvl="0" w:tentative="0">
      <w:start w:val="5"/>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作者">
    <w15:presenceInfo w15:providerId="None" w15:userId="作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15488D"/>
    <w:rsid w:val="37C43056"/>
    <w:rsid w:val="53041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9"/>
    <w:pPr>
      <w:keepNext/>
      <w:keepLines/>
      <w:spacing w:before="260" w:after="260" w:line="416" w:lineRule="auto"/>
      <w:outlineLvl w:val="2"/>
    </w:pPr>
    <w:rPr>
      <w:b/>
      <w:bCs/>
      <w:kern w:val="0"/>
      <w:sz w:val="32"/>
      <w:szCs w:val="32"/>
    </w:rPr>
  </w:style>
  <w:style w:type="paragraph" w:styleId="3">
    <w:name w:val="heading 4"/>
    <w:basedOn w:val="1"/>
    <w:next w:val="1"/>
    <w:qFormat/>
    <w:uiPriority w:val="9"/>
    <w:pPr>
      <w:tabs>
        <w:tab w:val="left" w:pos="315"/>
      </w:tabs>
      <w:spacing w:before="120" w:after="120"/>
      <w:outlineLvl w:val="3"/>
    </w:pPr>
    <w:rPr>
      <w:rFonts w:ascii="Cambria" w:hAnsi="Cambria" w:eastAsia="黑体"/>
      <w:bCs/>
      <w:sz w:val="24"/>
      <w:szCs w:val="28"/>
    </w:rPr>
  </w:style>
  <w:style w:type="character" w:default="1" w:styleId="9">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szCs w:val="21"/>
    </w:rPr>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paragraph" w:styleId="6">
    <w:name w:val="footnote text"/>
    <w:basedOn w:val="1"/>
    <w:unhideWhenUsed/>
    <w:qFormat/>
    <w:uiPriority w:val="0"/>
    <w:pPr>
      <w:snapToGrid w:val="0"/>
      <w:jc w:val="left"/>
    </w:pPr>
    <w:rPr>
      <w:kern w:val="0"/>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otnote reference"/>
    <w:qFormat/>
    <w:uiPriority w:val="0"/>
    <w:rPr>
      <w:vertAlign w:val="superscript"/>
    </w:rPr>
  </w:style>
  <w:style w:type="paragraph" w:customStyle="1" w:styleId="11">
    <w:name w:val="Table Paragraph"/>
    <w:basedOn w:val="1"/>
    <w:qFormat/>
    <w:uiPriority w:val="99"/>
    <w:pPr>
      <w:autoSpaceDE w:val="0"/>
      <w:autoSpaceDN w:val="0"/>
      <w:jc w:val="left"/>
    </w:pPr>
    <w:rPr>
      <w:rFonts w:ascii="宋体" w:hAnsi="宋体" w:cs="宋体"/>
      <w:kern w:val="0"/>
      <w:sz w:val="22"/>
      <w:lang w:val="zh-CN" w:bidi="zh-CN"/>
    </w:rPr>
  </w:style>
  <w:style w:type="paragraph" w:customStyle="1" w:styleId="12">
    <w:name w:val="样式3"/>
    <w:basedOn w:val="1"/>
    <w:autoRedefine/>
    <w:qFormat/>
    <w:uiPriority w:val="0"/>
    <w:pPr>
      <w:keepNext/>
      <w:keepLines/>
      <w:spacing w:line="400" w:lineRule="exact"/>
      <w:outlineLvl w:val="0"/>
    </w:pPr>
    <w:rPr>
      <w:b/>
      <w:bCs/>
      <w:kern w:val="44"/>
      <w:sz w:val="28"/>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12423</Words>
  <Characters>13448</Characters>
  <Lines>0</Lines>
  <Paragraphs>0</Paragraphs>
  <TotalTime>0</TotalTime>
  <ScaleCrop>false</ScaleCrop>
  <LinksUpToDate>false</LinksUpToDate>
  <CharactersWithSpaces>13471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2026-04-08T08:16:00Z</dcterms:created>
  <dc:creator>Administrator</dc:creator>
  <cp:lastModifiedBy>Administrator</cp:lastModifiedBy>
  <dcterms:modified xsi:type="dcterms:W3CDTF">2026-04-08T08:27:44Z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eyJoZGlkIjoiNWM4NDk5MTZmZTViNGU3NjkzZmMyZDhlNzA0NGZhYTciLCJ1c2VySWQiOiI0ODM0MzY0MTcifQ==</vt:lpwstr>
  </property>
  <property fmtid="{D5CDD505-2E9C-101B-9397-08002B2CF9AE}" pid="4" name="ICV">
    <vt:lpwstr>CB884832279646428E1A09C866F71D71_12</vt:lpwstr>
  </property>
</Properties>
</file>