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A0D4B">
      <w:pPr>
        <w:spacing w:line="580" w:lineRule="exact"/>
        <w:jc w:val="center"/>
        <w:rPr>
          <w:rFonts w:hint="eastAsia" w:ascii="黑体" w:hAnsi="黑体" w:eastAsia="黑体"/>
          <w:sz w:val="28"/>
          <w:szCs w:val="28"/>
          <w:highlight w:val="none"/>
        </w:rPr>
      </w:pPr>
      <w:bookmarkStart w:id="0" w:name="OLE_LINK1"/>
      <w:r>
        <w:rPr>
          <w:rFonts w:hint="eastAsia" w:ascii="黑体" w:hAnsi="黑体" w:eastAsia="黑体"/>
          <w:sz w:val="28"/>
          <w:szCs w:val="28"/>
          <w:highlight w:val="none"/>
        </w:rPr>
        <w:t>长春至榆树高速公路建设项目房建工程施工监理</w:t>
      </w:r>
      <w:bookmarkEnd w:id="0"/>
      <w:r>
        <w:rPr>
          <w:rFonts w:hint="eastAsia" w:ascii="黑体" w:hAnsi="黑体" w:eastAsia="黑体"/>
          <w:sz w:val="28"/>
          <w:szCs w:val="28"/>
          <w:highlight w:val="none"/>
        </w:rPr>
        <w:t>招标</w:t>
      </w:r>
    </w:p>
    <w:p w14:paraId="42C081EC">
      <w:pPr>
        <w:spacing w:line="400" w:lineRule="exact"/>
        <w:jc w:val="center"/>
        <w:rPr>
          <w:rFonts w:hint="eastAsia" w:ascii="黑体" w:hAnsi="黑体" w:eastAsia="黑体"/>
          <w:sz w:val="28"/>
          <w:szCs w:val="28"/>
          <w:highlight w:val="none"/>
        </w:rPr>
      </w:pPr>
      <w:r>
        <w:rPr>
          <w:rFonts w:hint="eastAsia" w:ascii="黑体" w:hAnsi="黑体" w:eastAsia="黑体"/>
          <w:bCs/>
          <w:color w:val="auto"/>
          <w:sz w:val="28"/>
          <w:szCs w:val="28"/>
          <w:highlight w:val="none"/>
        </w:rPr>
        <w:t>招标文件关键内容信息公开</w:t>
      </w:r>
    </w:p>
    <w:p w14:paraId="480ECA7B">
      <w:pPr>
        <w:spacing w:before="120" w:beforeLines="50" w:after="120" w:afterLines="50" w:line="400" w:lineRule="exact"/>
        <w:rPr>
          <w:rFonts w:ascii="黑体" w:eastAsia="黑体"/>
          <w:sz w:val="24"/>
          <w:highlight w:val="none"/>
        </w:rPr>
      </w:pPr>
      <w:r>
        <w:rPr>
          <w:rFonts w:ascii="黑体" w:eastAsia="黑体"/>
          <w:sz w:val="24"/>
          <w:highlight w:val="none"/>
        </w:rPr>
        <w:t>1.</w:t>
      </w:r>
      <w:r>
        <w:rPr>
          <w:rFonts w:hint="eastAsia" w:ascii="黑体" w:eastAsia="黑体"/>
          <w:sz w:val="24"/>
          <w:highlight w:val="none"/>
        </w:rPr>
        <w:t xml:space="preserve">招标条件 </w:t>
      </w:r>
    </w:p>
    <w:p w14:paraId="7A7AAC18">
      <w:pPr>
        <w:spacing w:line="400" w:lineRule="exact"/>
        <w:ind w:firstLine="420" w:firstLineChars="200"/>
        <w:rPr>
          <w:rFonts w:hint="eastAsia" w:ascii="宋体" w:hAnsi="宋体" w:eastAsia="宋体"/>
          <w:bCs/>
          <w:highlight w:val="none"/>
        </w:rPr>
      </w:pPr>
      <w:r>
        <w:rPr>
          <w:rFonts w:hint="eastAsia" w:ascii="宋体" w:hAnsi="宋体" w:eastAsia="宋体" w:cs="宋体"/>
          <w:highlight w:val="none"/>
        </w:rPr>
        <w:t>本招标项目</w:t>
      </w:r>
      <w:r>
        <w:rPr>
          <w:rFonts w:hint="eastAsia" w:ascii="黑体" w:hAnsi="黑体" w:eastAsia="黑体" w:cs="宋体"/>
          <w:highlight w:val="none"/>
          <w:u w:val="single"/>
        </w:rPr>
        <w:t>长春至榆树高速公路建设项目</w:t>
      </w:r>
      <w:r>
        <w:rPr>
          <w:rFonts w:hint="eastAsia" w:ascii="宋体" w:hAnsi="宋体" w:eastAsia="宋体" w:cs="宋体"/>
          <w:highlight w:val="none"/>
        </w:rPr>
        <w:t>已由吉林省发展和改革委员会以《关于长春至榆树高速公路工程可行性研究报告的批复》（吉发改审批【2022】305号）、</w:t>
      </w:r>
      <w:r>
        <w:rPr>
          <w:rFonts w:hint="eastAsia" w:ascii="宋体" w:hAnsi="宋体" w:eastAsia="宋体"/>
          <w:highlight w:val="none"/>
        </w:rPr>
        <w:t>《</w:t>
      </w:r>
      <w:r>
        <w:rPr>
          <w:rFonts w:ascii="宋体" w:hAnsi="宋体" w:eastAsia="宋体" w:cs="微软雅黑"/>
          <w:highlight w:val="none"/>
        </w:rPr>
        <w:t>吉林省发展改革委关于长春至榆树高速公路工程可行性研究调整报告的批复</w:t>
      </w:r>
      <w:r>
        <w:rPr>
          <w:rFonts w:hint="eastAsia" w:ascii="宋体" w:hAnsi="宋体" w:eastAsia="宋体" w:cs="微软雅黑"/>
          <w:highlight w:val="none"/>
        </w:rPr>
        <w:t>》（</w:t>
      </w:r>
      <w:r>
        <w:rPr>
          <w:rFonts w:ascii="宋体" w:hAnsi="宋体" w:eastAsia="宋体" w:cs="微软雅黑"/>
          <w:highlight w:val="none"/>
        </w:rPr>
        <w:t>吉发改审批</w:t>
      </w:r>
      <w:r>
        <w:rPr>
          <w:rFonts w:hint="eastAsia" w:ascii="宋体" w:hAnsi="宋体" w:eastAsia="宋体"/>
          <w:highlight w:val="none"/>
        </w:rPr>
        <w:t>【</w:t>
      </w:r>
      <w:r>
        <w:rPr>
          <w:rFonts w:ascii="宋体" w:hAnsi="宋体" w:eastAsia="宋体" w:cs="微软雅黑"/>
          <w:highlight w:val="none"/>
        </w:rPr>
        <w:t>2025</w:t>
      </w:r>
      <w:r>
        <w:rPr>
          <w:rFonts w:hint="eastAsia" w:ascii="宋体" w:hAnsi="宋体" w:eastAsia="宋体"/>
          <w:highlight w:val="none"/>
        </w:rPr>
        <w:t>】</w:t>
      </w:r>
      <w:r>
        <w:rPr>
          <w:rFonts w:ascii="宋体" w:hAnsi="宋体" w:eastAsia="宋体" w:cs="微软雅黑"/>
          <w:highlight w:val="none"/>
        </w:rPr>
        <w:t>92号</w:t>
      </w:r>
      <w:r>
        <w:rPr>
          <w:rFonts w:hint="eastAsia" w:ascii="宋体" w:hAnsi="宋体" w:eastAsia="宋体" w:cs="微软雅黑"/>
          <w:highlight w:val="none"/>
        </w:rPr>
        <w:t>）</w:t>
      </w:r>
      <w:r>
        <w:rPr>
          <w:rFonts w:hint="eastAsia" w:ascii="宋体" w:hAnsi="宋体" w:eastAsia="宋体"/>
          <w:highlight w:val="none"/>
        </w:rPr>
        <w:t>批准建设</w:t>
      </w:r>
      <w:r>
        <w:rPr>
          <w:rFonts w:hint="eastAsia" w:ascii="宋体" w:hAnsi="宋体" w:eastAsia="宋体" w:cs="宋体"/>
          <w:highlight w:val="none"/>
        </w:rPr>
        <w:t>，施工图设计已由吉林省交通运输厅以《</w:t>
      </w:r>
      <w:r>
        <w:rPr>
          <w:rFonts w:ascii="宋体" w:hAnsi="宋体" w:eastAsia="宋体" w:cs="宋体"/>
          <w:highlight w:val="none"/>
        </w:rPr>
        <w:t>吉林省交通运输厅关于长春至榆树高速公路房建、10kV外电及上跨陶舒铁路工程施工图设计的批复</w:t>
      </w:r>
      <w:r>
        <w:rPr>
          <w:rFonts w:hint="eastAsia" w:ascii="宋体" w:hAnsi="宋体" w:eastAsia="宋体" w:cs="宋体"/>
          <w:highlight w:val="none"/>
        </w:rPr>
        <w:t>》（</w:t>
      </w:r>
      <w:r>
        <w:rPr>
          <w:rFonts w:ascii="宋体" w:hAnsi="宋体" w:eastAsia="宋体" w:cs="宋体"/>
          <w:highlight w:val="none"/>
        </w:rPr>
        <w:t>吉交审批函</w:t>
      </w:r>
      <w:r>
        <w:rPr>
          <w:rFonts w:hint="eastAsia" w:ascii="宋体" w:hAnsi="宋体" w:eastAsia="宋体" w:cs="宋体"/>
          <w:highlight w:val="none"/>
        </w:rPr>
        <w:t>【</w:t>
      </w:r>
      <w:r>
        <w:rPr>
          <w:rFonts w:ascii="宋体" w:hAnsi="宋体" w:eastAsia="宋体" w:cs="宋体"/>
          <w:highlight w:val="none"/>
        </w:rPr>
        <w:t>2025</w:t>
      </w:r>
      <w:r>
        <w:rPr>
          <w:rFonts w:hint="eastAsia" w:ascii="宋体" w:hAnsi="宋体" w:eastAsia="宋体" w:cs="宋体"/>
          <w:highlight w:val="none"/>
        </w:rPr>
        <w:t>】</w:t>
      </w:r>
      <w:r>
        <w:rPr>
          <w:rFonts w:ascii="宋体" w:hAnsi="宋体" w:eastAsia="宋体" w:cs="宋体"/>
          <w:highlight w:val="none"/>
        </w:rPr>
        <w:t>16号</w:t>
      </w:r>
      <w:r>
        <w:rPr>
          <w:rFonts w:hint="eastAsia" w:ascii="宋体" w:hAnsi="宋体" w:eastAsia="宋体" w:cs="宋体"/>
          <w:highlight w:val="none"/>
        </w:rPr>
        <w:t>）批准，项目业主为</w:t>
      </w:r>
      <w:r>
        <w:rPr>
          <w:rFonts w:hint="eastAsia" w:ascii="黑体" w:hAnsi="黑体" w:eastAsia="黑体" w:cs="宋体"/>
          <w:highlight w:val="none"/>
          <w:u w:val="single"/>
        </w:rPr>
        <w:t>长春市高等级公路建设管理中心</w:t>
      </w:r>
      <w:r>
        <w:rPr>
          <w:rFonts w:hint="eastAsia" w:ascii="宋体" w:hAnsi="宋体" w:eastAsia="宋体" w:cs="宋体"/>
          <w:highlight w:val="none"/>
        </w:rPr>
        <w:t>，建设资金来自</w:t>
      </w:r>
      <w:r>
        <w:rPr>
          <w:rFonts w:hint="eastAsia" w:ascii="黑体" w:hAnsi="黑体" w:eastAsia="黑体" w:cs="宋体"/>
          <w:highlight w:val="none"/>
          <w:u w:val="single"/>
        </w:rPr>
        <w:t>省补贴及政府专项债券</w:t>
      </w:r>
      <w:r>
        <w:rPr>
          <w:rFonts w:hint="eastAsia" w:ascii="宋体" w:hAnsi="宋体" w:eastAsia="宋体" w:cs="宋体"/>
          <w:highlight w:val="none"/>
        </w:rPr>
        <w:t>，出资比例为</w:t>
      </w:r>
      <w:r>
        <w:rPr>
          <w:rFonts w:hint="eastAsia" w:ascii="黑体" w:hAnsi="黑体" w:eastAsia="黑体" w:cs="宋体"/>
          <w:highlight w:val="none"/>
          <w:u w:val="single"/>
        </w:rPr>
        <w:t>10：90</w:t>
      </w:r>
      <w:r>
        <w:rPr>
          <w:rFonts w:hint="eastAsia" w:ascii="宋体" w:hAnsi="宋体" w:eastAsia="宋体" w:cs="宋体"/>
          <w:highlight w:val="none"/>
        </w:rPr>
        <w:t>，招标人为</w:t>
      </w:r>
      <w:r>
        <w:rPr>
          <w:rFonts w:hint="eastAsia" w:ascii="黑体" w:hAnsi="黑体" w:eastAsia="黑体" w:cs="宋体"/>
          <w:highlight w:val="none"/>
          <w:u w:val="single"/>
        </w:rPr>
        <w:t>长春市高等级公路建设管理中心</w:t>
      </w:r>
      <w:r>
        <w:rPr>
          <w:rFonts w:hint="eastAsia" w:ascii="宋体" w:hAnsi="宋体" w:eastAsia="宋体" w:cs="宋体"/>
          <w:highlight w:val="none"/>
        </w:rPr>
        <w:t>。项目已具备招标条件,现对该项目</w:t>
      </w:r>
      <w:r>
        <w:rPr>
          <w:rFonts w:hint="eastAsia" w:ascii="黑体" w:hAnsi="黑体" w:eastAsia="黑体"/>
          <w:highlight w:val="none"/>
        </w:rPr>
        <w:t>房建工程</w:t>
      </w:r>
      <w:r>
        <w:rPr>
          <w:rFonts w:hint="eastAsia" w:ascii="黑体" w:hAnsi="黑体" w:eastAsia="黑体" w:cs="宋体"/>
          <w:highlight w:val="none"/>
        </w:rPr>
        <w:t>施工监理</w:t>
      </w:r>
      <w:r>
        <w:rPr>
          <w:rFonts w:hint="eastAsia" w:ascii="宋体" w:hAnsi="宋体" w:eastAsia="宋体" w:cs="宋体"/>
          <w:highlight w:val="none"/>
        </w:rPr>
        <w:t>进行公开招标。</w:t>
      </w:r>
    </w:p>
    <w:p w14:paraId="4F2905A3">
      <w:pPr>
        <w:spacing w:before="120" w:beforeLines="50" w:after="120" w:afterLines="50" w:line="400" w:lineRule="exact"/>
        <w:rPr>
          <w:rFonts w:ascii="黑体" w:eastAsia="黑体"/>
          <w:sz w:val="24"/>
          <w:highlight w:val="none"/>
        </w:rPr>
      </w:pPr>
      <w:r>
        <w:rPr>
          <w:rFonts w:ascii="黑体" w:eastAsia="黑体"/>
          <w:sz w:val="24"/>
          <w:highlight w:val="none"/>
        </w:rPr>
        <w:t>2.项目概况与招标范围</w:t>
      </w:r>
    </w:p>
    <w:p w14:paraId="3FAC27CC">
      <w:pPr>
        <w:spacing w:line="400" w:lineRule="exact"/>
        <w:ind w:firstLine="420" w:firstLineChars="200"/>
        <w:rPr>
          <w:rFonts w:hint="eastAsia" w:ascii="宋体" w:hAnsi="宋体" w:eastAsia="宋体"/>
          <w:highlight w:val="none"/>
          <w:lang w:val="zh-CN" w:bidi="ar"/>
        </w:rPr>
      </w:pPr>
      <w:bookmarkStart w:id="1" w:name="_Toc246996903"/>
      <w:bookmarkStart w:id="2" w:name="_Toc179632530"/>
      <w:bookmarkStart w:id="3" w:name="_Toc247085674"/>
      <w:bookmarkStart w:id="4" w:name="_Toc152045514"/>
      <w:bookmarkStart w:id="5" w:name="_Toc152042290"/>
      <w:bookmarkStart w:id="6" w:name="_Toc246996160"/>
      <w:bookmarkStart w:id="7" w:name="_Toc144974482"/>
      <w:r>
        <w:rPr>
          <w:rFonts w:hint="eastAsia" w:ascii="宋体" w:hAnsi="宋体" w:eastAsia="宋体"/>
          <w:highlight w:val="none"/>
          <w:lang w:val="zh-CN" w:bidi="ar"/>
        </w:rPr>
        <w:t>2.1 项目名称：长春至榆树高速公路建设项目房建工程施工监理。</w:t>
      </w:r>
    </w:p>
    <w:p w14:paraId="69F68BAE">
      <w:pPr>
        <w:spacing w:line="400" w:lineRule="exact"/>
        <w:ind w:firstLine="420" w:firstLineChars="200"/>
        <w:rPr>
          <w:rFonts w:hint="eastAsia" w:ascii="宋体" w:hAnsi="宋体" w:eastAsia="宋体"/>
          <w:highlight w:val="none"/>
          <w:lang w:val="zh-CN" w:bidi="ar"/>
        </w:rPr>
      </w:pPr>
      <w:r>
        <w:rPr>
          <w:rFonts w:hint="eastAsia" w:ascii="宋体" w:hAnsi="宋体" w:eastAsia="宋体"/>
          <w:highlight w:val="none"/>
          <w:lang w:val="zh-CN" w:bidi="ar"/>
        </w:rPr>
        <w:t>2.</w:t>
      </w:r>
      <w:r>
        <w:rPr>
          <w:rFonts w:ascii="宋体" w:hAnsi="宋体" w:eastAsia="宋体"/>
          <w:highlight w:val="none"/>
          <w:lang w:val="zh-CN" w:bidi="ar"/>
        </w:rPr>
        <w:t>2</w:t>
      </w:r>
      <w:r>
        <w:rPr>
          <w:rFonts w:hint="eastAsia" w:ascii="宋体" w:hAnsi="宋体" w:eastAsia="宋体"/>
          <w:highlight w:val="none"/>
          <w:lang w:val="zh-CN" w:bidi="ar"/>
        </w:rPr>
        <w:t xml:space="preserve"> 建设规模：</w:t>
      </w:r>
      <w:bookmarkStart w:id="8" w:name="OLE_LINK2"/>
      <w:r>
        <w:rPr>
          <w:rFonts w:ascii="宋体" w:hAnsi="宋体" w:eastAsia="宋体"/>
          <w:highlight w:val="none"/>
          <w:lang w:val="zh-CN" w:bidi="ar"/>
        </w:rPr>
        <w:t>高速公路主线</w:t>
      </w:r>
      <w:r>
        <w:rPr>
          <w:rFonts w:hint="eastAsia" w:ascii="宋体" w:hAnsi="宋体" w:eastAsia="宋体"/>
          <w:highlight w:val="none"/>
          <w:lang w:val="zh-CN" w:bidi="ar"/>
        </w:rPr>
        <w:t>140.043 公里，九台连接线2.534公里，榆树连接线4.661公里。全线共设管理分中心（含养护工区及收费站）1处、管理处（含养护工区及收费站）2处、服务区（含加油站）3处，停车区2处，收费站6处，总建筑面积36843平方米。</w:t>
      </w:r>
    </w:p>
    <w:bookmarkEnd w:id="8"/>
    <w:p w14:paraId="36EFC80A">
      <w:pPr>
        <w:spacing w:line="400" w:lineRule="exact"/>
        <w:ind w:firstLine="420" w:firstLineChars="200"/>
        <w:rPr>
          <w:rFonts w:hint="eastAsia" w:ascii="宋体" w:hAnsi="宋体" w:eastAsia="宋体"/>
          <w:highlight w:val="none"/>
          <w:lang w:val="zh-CN" w:bidi="ar"/>
        </w:rPr>
      </w:pPr>
      <w:r>
        <w:rPr>
          <w:rFonts w:hint="eastAsia" w:ascii="宋体" w:hAnsi="宋体" w:eastAsia="宋体"/>
          <w:highlight w:val="none"/>
          <w:lang w:val="zh-CN" w:bidi="ar"/>
        </w:rPr>
        <w:t>2</w:t>
      </w:r>
      <w:r>
        <w:rPr>
          <w:rFonts w:ascii="宋体" w:hAnsi="宋体" w:eastAsia="宋体"/>
          <w:highlight w:val="none"/>
          <w:lang w:val="zh-CN" w:bidi="ar"/>
        </w:rPr>
        <w:t>.</w:t>
      </w:r>
      <w:r>
        <w:rPr>
          <w:rFonts w:hint="eastAsia" w:ascii="宋体" w:hAnsi="宋体" w:eastAsia="宋体"/>
          <w:highlight w:val="none"/>
          <w:lang w:val="zh-CN" w:bidi="ar"/>
        </w:rPr>
        <w:t>3</w:t>
      </w:r>
      <w:r>
        <w:rPr>
          <w:rFonts w:ascii="宋体" w:hAnsi="宋体" w:eastAsia="宋体"/>
          <w:highlight w:val="none"/>
          <w:lang w:val="zh-CN" w:bidi="ar"/>
        </w:rPr>
        <w:t xml:space="preserve"> 主要工程内容：</w:t>
      </w:r>
      <w:r>
        <w:rPr>
          <w:rFonts w:hint="eastAsia" w:ascii="宋体" w:hAnsi="宋体" w:eastAsia="宋体"/>
          <w:highlight w:val="none"/>
          <w:lang w:val="zh-CN" w:bidi="ar"/>
        </w:rPr>
        <w:t>建筑、采暖、通风、给排水、消防、动力照明、防雷接地、火灾报警、弱电等工程</w:t>
      </w:r>
      <w:r>
        <w:rPr>
          <w:rFonts w:hint="eastAsia" w:asciiTheme="minorEastAsia" w:hAnsiTheme="minorEastAsia" w:eastAsiaTheme="minorEastAsia"/>
          <w:highlight w:val="none"/>
          <w:lang w:val="zh-CN" w:bidi="ar"/>
        </w:rPr>
        <w:t>。</w:t>
      </w:r>
    </w:p>
    <w:p w14:paraId="79751B86">
      <w:pPr>
        <w:spacing w:line="400" w:lineRule="exact"/>
        <w:ind w:firstLine="420" w:firstLineChars="200"/>
        <w:rPr>
          <w:rFonts w:hint="eastAsia" w:cs="宋体" w:asciiTheme="majorEastAsia" w:hAnsiTheme="majorEastAsia" w:eastAsiaTheme="majorEastAsia"/>
          <w:highlight w:val="none"/>
        </w:rPr>
      </w:pPr>
      <w:r>
        <w:rPr>
          <w:rFonts w:hint="eastAsia" w:ascii="宋体" w:hAnsi="宋体" w:eastAsia="宋体"/>
          <w:highlight w:val="none"/>
          <w:lang w:val="zh-CN" w:bidi="ar"/>
        </w:rPr>
        <w:t>2.4</w:t>
      </w:r>
      <w:r>
        <w:rPr>
          <w:rFonts w:ascii="宋体" w:hAnsi="宋体" w:eastAsia="宋体"/>
          <w:highlight w:val="none"/>
          <w:lang w:val="zh-CN" w:bidi="ar"/>
        </w:rPr>
        <w:t xml:space="preserve"> </w:t>
      </w:r>
      <w:r>
        <w:rPr>
          <w:rFonts w:hint="eastAsia" w:ascii="宋体" w:hAnsi="宋体" w:eastAsia="宋体"/>
          <w:highlight w:val="none"/>
          <w:lang w:val="zh-CN" w:bidi="ar"/>
        </w:rPr>
        <w:t>监理范围：施工图纸及工程量清单所包含全部内容的</w:t>
      </w:r>
      <w:r>
        <w:rPr>
          <w:rFonts w:ascii="宋体" w:hAnsi="宋体" w:eastAsia="宋体" w:cs="宋体"/>
          <w:highlight w:val="none"/>
        </w:rPr>
        <w:t>全过程施工监理服务</w:t>
      </w:r>
      <w:r>
        <w:rPr>
          <w:rFonts w:hint="eastAsia" w:cs="宋体" w:asciiTheme="majorEastAsia" w:hAnsiTheme="majorEastAsia" w:eastAsiaTheme="majorEastAsia"/>
          <w:highlight w:val="none"/>
        </w:rPr>
        <w:t>。</w:t>
      </w:r>
      <w:r>
        <w:rPr>
          <w:rFonts w:cs="宋体" w:asciiTheme="majorEastAsia" w:hAnsiTheme="majorEastAsia" w:eastAsiaTheme="majorEastAsia"/>
          <w:highlight w:val="none"/>
        </w:rPr>
        <w:t>包含但不限于施工准备阶段、施工阶段、工程竣工验收阶段、竣工资料整理及备案阶段、竣工结算和决算阶段、 缺陷责任期阶段、保修期阶段、审计阶段 (如有) 提供全过程监理服务。</w:t>
      </w:r>
    </w:p>
    <w:p w14:paraId="652C76B0">
      <w:pPr>
        <w:spacing w:line="400" w:lineRule="exact"/>
        <w:ind w:firstLine="420" w:firstLineChars="200"/>
        <w:rPr>
          <w:rFonts w:hint="eastAsia" w:ascii="宋体" w:hAnsi="宋体" w:eastAsia="宋体" w:cs="宋体"/>
          <w:highlight w:val="none"/>
        </w:rPr>
      </w:pPr>
      <w:r>
        <w:rPr>
          <w:rFonts w:ascii="宋体" w:hAnsi="宋体" w:eastAsia="宋体" w:cs="宋体"/>
          <w:highlight w:val="none"/>
        </w:rPr>
        <w:t>2.</w:t>
      </w:r>
      <w:r>
        <w:rPr>
          <w:rFonts w:hint="eastAsia" w:ascii="宋体" w:hAnsi="宋体" w:eastAsia="宋体" w:cs="宋体"/>
          <w:highlight w:val="none"/>
        </w:rPr>
        <w:t>5</w:t>
      </w:r>
      <w:r>
        <w:rPr>
          <w:rFonts w:ascii="宋体" w:hAnsi="宋体" w:eastAsia="宋体" w:cs="宋体"/>
          <w:highlight w:val="none"/>
        </w:rPr>
        <w:t xml:space="preserve"> 监理服务期限：</w:t>
      </w:r>
      <w:r>
        <w:rPr>
          <w:rFonts w:ascii="黑体" w:hAnsi="黑体" w:eastAsia="黑体" w:cs="宋体"/>
          <w:highlight w:val="none"/>
        </w:rPr>
        <w:t>预计为1004日历天</w:t>
      </w:r>
      <w:r>
        <w:rPr>
          <w:rFonts w:ascii="宋体" w:hAnsi="宋体" w:eastAsia="宋体" w:cs="宋体"/>
          <w:highlight w:val="none"/>
        </w:rPr>
        <w:t>（施工期+缺陷责任期）。其中：施工计划工期为2026年12月1日～2027年8月31日，273日历天，缺陷责任期为731日历天（24个月）</w:t>
      </w:r>
      <w:r>
        <w:rPr>
          <w:rFonts w:hint="eastAsia" w:ascii="宋体" w:hAnsi="宋体" w:eastAsia="宋体" w:cs="宋体"/>
          <w:highlight w:val="none"/>
        </w:rPr>
        <w:t>。</w:t>
      </w:r>
    </w:p>
    <w:p w14:paraId="7F9C5B57">
      <w:pPr>
        <w:spacing w:line="400" w:lineRule="exact"/>
        <w:ind w:left="5" w:right="10" w:firstLine="417"/>
        <w:rPr>
          <w:rFonts w:hint="eastAsia" w:ascii="宋体" w:hAnsi="宋体" w:eastAsia="宋体" w:cs="宋体"/>
          <w:highlight w:val="none"/>
        </w:rPr>
      </w:pPr>
      <w:r>
        <w:rPr>
          <w:rFonts w:ascii="宋体" w:hAnsi="宋体" w:eastAsia="宋体" w:cs="宋体"/>
          <w:highlight w:val="none"/>
        </w:rPr>
        <w:t>2.</w:t>
      </w:r>
      <w:r>
        <w:rPr>
          <w:rFonts w:hint="eastAsia" w:ascii="宋体" w:hAnsi="宋体" w:eastAsia="宋体" w:cs="宋体"/>
          <w:highlight w:val="none"/>
        </w:rPr>
        <w:t>6</w:t>
      </w:r>
      <w:r>
        <w:rPr>
          <w:rFonts w:ascii="宋体" w:hAnsi="宋体" w:eastAsia="宋体" w:cs="宋体"/>
          <w:highlight w:val="none"/>
        </w:rPr>
        <w:t xml:space="preserve"> 监理服务质量：符合国家现行标准《建设工程监理规范》及吉林省地方标准《建设工程监理规范实施细则》。</w:t>
      </w:r>
    </w:p>
    <w:p w14:paraId="0DC10263">
      <w:pPr>
        <w:spacing w:line="400" w:lineRule="exact"/>
        <w:ind w:firstLine="420" w:firstLineChars="200"/>
        <w:rPr>
          <w:rFonts w:hint="eastAsia" w:asciiTheme="minorEastAsia" w:hAnsiTheme="minorEastAsia" w:eastAsiaTheme="minorEastAsia"/>
          <w:highlight w:val="none"/>
          <w:lang w:val="zh-CN" w:bidi="ar"/>
        </w:rPr>
      </w:pPr>
      <w:r>
        <w:rPr>
          <w:rFonts w:hint="eastAsia" w:ascii="宋体" w:hAnsi="宋体" w:eastAsia="宋体"/>
          <w:highlight w:val="none"/>
          <w:lang w:val="zh-CN" w:bidi="ar"/>
        </w:rPr>
        <w:t>2</w:t>
      </w:r>
      <w:r>
        <w:rPr>
          <w:rFonts w:ascii="宋体" w:hAnsi="宋体" w:eastAsia="宋体"/>
          <w:highlight w:val="none"/>
          <w:lang w:val="zh-CN" w:bidi="ar"/>
        </w:rPr>
        <w:t>.</w:t>
      </w:r>
      <w:r>
        <w:rPr>
          <w:rFonts w:hint="eastAsia" w:ascii="宋体" w:hAnsi="宋体" w:eastAsia="宋体"/>
          <w:highlight w:val="none"/>
          <w:lang w:val="zh-CN" w:bidi="ar"/>
        </w:rPr>
        <w:t xml:space="preserve">7 </w:t>
      </w:r>
      <w:r>
        <w:rPr>
          <w:rFonts w:ascii="宋体" w:hAnsi="宋体" w:eastAsia="宋体"/>
          <w:highlight w:val="none"/>
          <w:lang w:val="zh-CN" w:bidi="ar"/>
        </w:rPr>
        <w:t>标段划分</w:t>
      </w:r>
      <w:r>
        <w:rPr>
          <w:rFonts w:hint="eastAsia" w:ascii="宋体" w:hAnsi="宋体" w:eastAsia="宋体"/>
          <w:highlight w:val="none"/>
          <w:lang w:val="zh-CN" w:bidi="ar"/>
        </w:rPr>
        <w:t>及建设地点</w:t>
      </w:r>
      <w:r>
        <w:rPr>
          <w:rFonts w:ascii="宋体" w:hAnsi="宋体" w:eastAsia="宋体"/>
          <w:highlight w:val="none"/>
          <w:lang w:val="zh-CN" w:bidi="ar"/>
        </w:rPr>
        <w:t>：本次施工监理招标划分为</w:t>
      </w:r>
      <w:r>
        <w:rPr>
          <w:rFonts w:hint="eastAsia" w:ascii="宋体" w:hAnsi="宋体" w:eastAsia="宋体"/>
          <w:highlight w:val="none"/>
          <w:lang w:val="zh-CN" w:bidi="ar"/>
        </w:rPr>
        <w:t>1个标段，</w:t>
      </w:r>
      <w:r>
        <w:rPr>
          <w:rFonts w:hint="eastAsia" w:asciiTheme="minorEastAsia" w:hAnsiTheme="minorEastAsia" w:eastAsiaTheme="minorEastAsia"/>
          <w:highlight w:val="none"/>
          <w:lang w:val="zh-CN" w:bidi="ar"/>
        </w:rPr>
        <w:t>即</w:t>
      </w:r>
      <w:bookmarkStart w:id="9" w:name="OLE_LINK3"/>
      <w:r>
        <w:rPr>
          <w:rFonts w:hint="eastAsia" w:asciiTheme="minorEastAsia" w:hAnsiTheme="minorEastAsia" w:eastAsiaTheme="minorEastAsia"/>
          <w:highlight w:val="none"/>
          <w:lang w:val="zh-CN" w:bidi="ar"/>
        </w:rPr>
        <w:t>F</w:t>
      </w:r>
      <w:r>
        <w:rPr>
          <w:rFonts w:asciiTheme="minorEastAsia" w:hAnsiTheme="minorEastAsia" w:eastAsiaTheme="minorEastAsia"/>
          <w:highlight w:val="none"/>
          <w:lang w:val="zh-CN" w:bidi="ar"/>
        </w:rPr>
        <w:t>JJL01</w:t>
      </w:r>
      <w:bookmarkEnd w:id="9"/>
      <w:r>
        <w:rPr>
          <w:rFonts w:asciiTheme="minorEastAsia" w:hAnsiTheme="minorEastAsia" w:eastAsiaTheme="minorEastAsia"/>
          <w:highlight w:val="none"/>
          <w:lang w:val="zh-CN" w:bidi="ar"/>
        </w:rPr>
        <w:t>标段</w:t>
      </w:r>
      <w:bookmarkEnd w:id="1"/>
      <w:bookmarkEnd w:id="2"/>
      <w:bookmarkEnd w:id="3"/>
      <w:bookmarkEnd w:id="4"/>
      <w:bookmarkEnd w:id="5"/>
      <w:bookmarkEnd w:id="6"/>
      <w:bookmarkEnd w:id="7"/>
      <w:r>
        <w:rPr>
          <w:rFonts w:hint="eastAsia" w:asciiTheme="minorEastAsia" w:hAnsiTheme="minorEastAsia" w:eastAsiaTheme="minorEastAsia"/>
          <w:highlight w:val="none"/>
          <w:lang w:val="zh-CN" w:bidi="ar"/>
        </w:rPr>
        <w:t>，具体如下：</w:t>
      </w:r>
    </w:p>
    <w:tbl>
      <w:tblPr>
        <w:tblStyle w:val="16"/>
        <w:tblW w:w="5000" w:type="pct"/>
        <w:tblInd w:w="0" w:type="dxa"/>
        <w:tblLayout w:type="autofit"/>
        <w:tblCellMar>
          <w:top w:w="0" w:type="dxa"/>
          <w:left w:w="108" w:type="dxa"/>
          <w:bottom w:w="0" w:type="dxa"/>
          <w:right w:w="108" w:type="dxa"/>
        </w:tblCellMar>
      </w:tblPr>
      <w:tblGrid>
        <w:gridCol w:w="993"/>
        <w:gridCol w:w="734"/>
        <w:gridCol w:w="4102"/>
        <w:gridCol w:w="2217"/>
        <w:gridCol w:w="2142"/>
      </w:tblGrid>
      <w:tr w14:paraId="29D5992A">
        <w:tblPrEx>
          <w:tblCellMar>
            <w:top w:w="0" w:type="dxa"/>
            <w:left w:w="108" w:type="dxa"/>
            <w:bottom w:w="0" w:type="dxa"/>
            <w:right w:w="108" w:type="dxa"/>
          </w:tblCellMar>
        </w:tblPrEx>
        <w:trPr>
          <w:trHeight w:val="397" w:hRule="atLeast"/>
        </w:trPr>
        <w:tc>
          <w:tcPr>
            <w:tcW w:w="487" w:type="pct"/>
            <w:tcBorders>
              <w:top w:val="single" w:color="auto" w:sz="4" w:space="0"/>
              <w:left w:val="single" w:color="auto" w:sz="4" w:space="0"/>
              <w:bottom w:val="single" w:color="auto" w:sz="4" w:space="0"/>
              <w:right w:val="single" w:color="auto" w:sz="4" w:space="0"/>
            </w:tcBorders>
            <w:noWrap/>
            <w:vAlign w:val="center"/>
          </w:tcPr>
          <w:p w14:paraId="090AB214">
            <w:pPr>
              <w:spacing w:line="280" w:lineRule="exact"/>
              <w:jc w:val="center"/>
              <w:rPr>
                <w:rFonts w:hint="eastAsia" w:ascii="宋体" w:hAnsi="宋体" w:eastAsia="宋体" w:cs="宋体"/>
                <w:highlight w:val="none"/>
              </w:rPr>
            </w:pPr>
            <w:r>
              <w:rPr>
                <w:rFonts w:ascii="宋体" w:hAnsi="宋体" w:eastAsia="宋体" w:cs="宋体"/>
                <w:highlight w:val="none"/>
              </w:rPr>
              <w:t>标段号</w:t>
            </w:r>
          </w:p>
        </w:tc>
        <w:tc>
          <w:tcPr>
            <w:tcW w:w="360" w:type="pct"/>
            <w:tcBorders>
              <w:top w:val="single" w:color="auto" w:sz="4" w:space="0"/>
              <w:left w:val="nil"/>
              <w:bottom w:val="single" w:color="auto" w:sz="4" w:space="0"/>
              <w:right w:val="single" w:color="auto" w:sz="4" w:space="0"/>
            </w:tcBorders>
            <w:vAlign w:val="center"/>
          </w:tcPr>
          <w:p w14:paraId="7A5E6834">
            <w:pPr>
              <w:spacing w:line="280" w:lineRule="exact"/>
              <w:jc w:val="center"/>
              <w:rPr>
                <w:rFonts w:hint="eastAsia" w:ascii="宋体" w:hAnsi="宋体" w:eastAsia="宋体" w:cs="宋体"/>
                <w:highlight w:val="none"/>
              </w:rPr>
            </w:pPr>
            <w:r>
              <w:rPr>
                <w:rFonts w:ascii="宋体" w:hAnsi="宋体" w:eastAsia="宋体" w:cs="宋体"/>
                <w:highlight w:val="none"/>
              </w:rPr>
              <w:t>序号</w:t>
            </w:r>
          </w:p>
        </w:tc>
        <w:tc>
          <w:tcPr>
            <w:tcW w:w="2013" w:type="pct"/>
            <w:tcBorders>
              <w:top w:val="single" w:color="auto" w:sz="4" w:space="0"/>
              <w:left w:val="nil"/>
              <w:bottom w:val="single" w:color="auto" w:sz="4" w:space="0"/>
              <w:right w:val="single" w:color="auto" w:sz="4" w:space="0"/>
            </w:tcBorders>
            <w:vAlign w:val="center"/>
          </w:tcPr>
          <w:p w14:paraId="12D082E9">
            <w:pPr>
              <w:spacing w:line="280" w:lineRule="exact"/>
              <w:jc w:val="center"/>
              <w:rPr>
                <w:rFonts w:hint="eastAsia" w:ascii="宋体" w:hAnsi="宋体" w:eastAsia="宋体" w:cs="宋体"/>
                <w:highlight w:val="none"/>
              </w:rPr>
            </w:pPr>
            <w:r>
              <w:rPr>
                <w:rFonts w:ascii="宋体" w:hAnsi="宋体" w:eastAsia="宋体" w:cs="宋体"/>
                <w:highlight w:val="none"/>
              </w:rPr>
              <w:t>场区名称</w:t>
            </w:r>
          </w:p>
        </w:tc>
        <w:tc>
          <w:tcPr>
            <w:tcW w:w="1088" w:type="pct"/>
            <w:tcBorders>
              <w:top w:val="single" w:color="auto" w:sz="4" w:space="0"/>
              <w:left w:val="nil"/>
              <w:bottom w:val="single" w:color="auto" w:sz="4" w:space="0"/>
              <w:right w:val="single" w:color="auto" w:sz="4" w:space="0"/>
            </w:tcBorders>
            <w:vAlign w:val="center"/>
          </w:tcPr>
          <w:p w14:paraId="643AED66">
            <w:pPr>
              <w:spacing w:line="280" w:lineRule="exact"/>
              <w:jc w:val="center"/>
              <w:rPr>
                <w:rFonts w:hint="eastAsia" w:ascii="宋体" w:hAnsi="宋体" w:eastAsia="宋体" w:cs="宋体"/>
                <w:highlight w:val="none"/>
              </w:rPr>
            </w:pPr>
            <w:r>
              <w:rPr>
                <w:rFonts w:hint="eastAsia" w:ascii="宋体" w:hAnsi="宋体" w:eastAsia="宋体" w:cs="宋体"/>
                <w:highlight w:val="none"/>
              </w:rPr>
              <w:t>建设地点</w:t>
            </w:r>
          </w:p>
        </w:tc>
        <w:tc>
          <w:tcPr>
            <w:tcW w:w="1051" w:type="pct"/>
            <w:tcBorders>
              <w:top w:val="single" w:color="auto" w:sz="4" w:space="0"/>
              <w:left w:val="nil"/>
              <w:bottom w:val="single" w:color="auto" w:sz="4" w:space="0"/>
              <w:right w:val="single" w:color="auto" w:sz="4" w:space="0"/>
            </w:tcBorders>
            <w:vAlign w:val="center"/>
          </w:tcPr>
          <w:p w14:paraId="43B24A35">
            <w:pPr>
              <w:spacing w:line="280" w:lineRule="exact"/>
              <w:jc w:val="center"/>
              <w:rPr>
                <w:rFonts w:hint="eastAsia" w:ascii="宋体" w:hAnsi="宋体" w:eastAsia="宋体" w:cs="宋体"/>
                <w:highlight w:val="none"/>
              </w:rPr>
            </w:pPr>
            <w:r>
              <w:rPr>
                <w:rFonts w:ascii="宋体" w:hAnsi="宋体" w:eastAsia="宋体" w:cs="宋体"/>
                <w:highlight w:val="none"/>
              </w:rPr>
              <w:t>总建筑面积(</w:t>
            </w:r>
            <w:r>
              <w:rPr>
                <w:rFonts w:hint="eastAsia" w:ascii="宋体" w:hAnsi="宋体" w:eastAsia="宋体" w:cs="宋体"/>
                <w:highlight w:val="none"/>
              </w:rPr>
              <w:t>M</w:t>
            </w:r>
            <w:r>
              <w:rPr>
                <w:rFonts w:hint="eastAsia" w:ascii="宋体" w:hAnsi="宋体" w:eastAsia="宋体" w:cs="宋体"/>
                <w:highlight w:val="none"/>
                <w:vertAlign w:val="superscript"/>
              </w:rPr>
              <w:t>2</w:t>
            </w:r>
            <w:r>
              <w:rPr>
                <w:rFonts w:ascii="宋体" w:hAnsi="宋体" w:eastAsia="宋体" w:cs="宋体"/>
                <w:highlight w:val="none"/>
              </w:rPr>
              <w:t>)</w:t>
            </w:r>
            <w:r>
              <w:rPr>
                <w:rFonts w:ascii="宋体" w:hAnsi="宋体" w:eastAsia="宋体" w:cs="宋体"/>
                <w:highlight w:val="none"/>
              </w:rPr>
              <w:br w:type="textWrapping"/>
            </w:r>
            <w:r>
              <w:rPr>
                <w:rFonts w:ascii="宋体" w:hAnsi="宋体" w:eastAsia="宋体" w:cs="宋体"/>
                <w:highlight w:val="none"/>
              </w:rPr>
              <w:t>(不含地下)</w:t>
            </w:r>
          </w:p>
        </w:tc>
      </w:tr>
      <w:tr w14:paraId="34F70CB3">
        <w:tblPrEx>
          <w:tblCellMar>
            <w:top w:w="0" w:type="dxa"/>
            <w:left w:w="108" w:type="dxa"/>
            <w:bottom w:w="0" w:type="dxa"/>
            <w:right w:w="108" w:type="dxa"/>
          </w:tblCellMar>
        </w:tblPrEx>
        <w:trPr>
          <w:trHeight w:val="397" w:hRule="atLeast"/>
        </w:trPr>
        <w:tc>
          <w:tcPr>
            <w:tcW w:w="487" w:type="pct"/>
            <w:vMerge w:val="restart"/>
            <w:tcBorders>
              <w:top w:val="single" w:color="auto" w:sz="4" w:space="0"/>
              <w:left w:val="single" w:color="auto" w:sz="4" w:space="0"/>
              <w:right w:val="single" w:color="auto" w:sz="4" w:space="0"/>
            </w:tcBorders>
            <w:noWrap/>
            <w:vAlign w:val="center"/>
          </w:tcPr>
          <w:p w14:paraId="0261A5CC">
            <w:pPr>
              <w:spacing w:line="280" w:lineRule="exact"/>
              <w:jc w:val="center"/>
              <w:rPr>
                <w:rFonts w:hint="eastAsia" w:ascii="宋体" w:hAnsi="宋体" w:eastAsia="宋体" w:cs="宋体"/>
                <w:highlight w:val="none"/>
              </w:rPr>
            </w:pPr>
            <w:r>
              <w:rPr>
                <w:rFonts w:hint="eastAsia" w:ascii="黑体" w:hAnsi="黑体" w:eastAsia="黑体"/>
                <w:highlight w:val="none"/>
                <w:lang w:val="zh-CN" w:bidi="ar"/>
              </w:rPr>
              <w:t>F</w:t>
            </w:r>
            <w:r>
              <w:rPr>
                <w:rFonts w:ascii="黑体" w:hAnsi="黑体" w:eastAsia="黑体"/>
                <w:highlight w:val="none"/>
                <w:lang w:val="zh-CN" w:bidi="ar"/>
              </w:rPr>
              <w:t>JJL01</w:t>
            </w:r>
          </w:p>
        </w:tc>
        <w:tc>
          <w:tcPr>
            <w:tcW w:w="360" w:type="pct"/>
            <w:tcBorders>
              <w:top w:val="single" w:color="auto" w:sz="4" w:space="0"/>
              <w:left w:val="nil"/>
              <w:bottom w:val="single" w:color="auto" w:sz="4" w:space="0"/>
              <w:right w:val="single" w:color="auto" w:sz="4" w:space="0"/>
            </w:tcBorders>
            <w:vAlign w:val="center"/>
          </w:tcPr>
          <w:p w14:paraId="772225CC">
            <w:pPr>
              <w:spacing w:line="280" w:lineRule="exact"/>
              <w:jc w:val="center"/>
              <w:rPr>
                <w:rFonts w:hint="eastAsia" w:ascii="宋体" w:hAnsi="宋体" w:eastAsia="宋体" w:cs="宋体"/>
                <w:highlight w:val="none"/>
              </w:rPr>
            </w:pPr>
            <w:r>
              <w:rPr>
                <w:rFonts w:hint="eastAsia" w:ascii="宋体" w:hAnsi="宋体" w:eastAsia="宋体" w:cs="宋体"/>
                <w:highlight w:val="none"/>
              </w:rPr>
              <w:t>1</w:t>
            </w:r>
          </w:p>
        </w:tc>
        <w:tc>
          <w:tcPr>
            <w:tcW w:w="2013" w:type="pct"/>
            <w:tcBorders>
              <w:top w:val="single" w:color="auto" w:sz="4" w:space="0"/>
              <w:left w:val="nil"/>
              <w:bottom w:val="single" w:color="auto" w:sz="4" w:space="0"/>
              <w:right w:val="single" w:color="auto" w:sz="4" w:space="0"/>
            </w:tcBorders>
            <w:vAlign w:val="center"/>
          </w:tcPr>
          <w:p w14:paraId="74110722">
            <w:pPr>
              <w:spacing w:line="280" w:lineRule="exact"/>
              <w:rPr>
                <w:rFonts w:hint="eastAsia" w:ascii="宋体" w:hAnsi="宋体" w:eastAsia="宋体" w:cs="宋体"/>
                <w:highlight w:val="none"/>
              </w:rPr>
            </w:pPr>
            <w:r>
              <w:rPr>
                <w:rFonts w:ascii="宋体" w:hAnsi="宋体" w:eastAsia="宋体" w:cs="宋体"/>
                <w:highlight w:val="none"/>
              </w:rPr>
              <w:t>龙嘉服务区</w:t>
            </w:r>
          </w:p>
        </w:tc>
        <w:tc>
          <w:tcPr>
            <w:tcW w:w="1088" w:type="pct"/>
            <w:tcBorders>
              <w:top w:val="single" w:color="auto" w:sz="4" w:space="0"/>
              <w:left w:val="nil"/>
              <w:bottom w:val="single" w:color="auto" w:sz="4" w:space="0"/>
              <w:right w:val="single" w:color="auto" w:sz="4" w:space="0"/>
            </w:tcBorders>
            <w:vAlign w:val="center"/>
          </w:tcPr>
          <w:p w14:paraId="4C4B9637">
            <w:pPr>
              <w:spacing w:line="280" w:lineRule="exact"/>
              <w:jc w:val="center"/>
              <w:rPr>
                <w:rFonts w:hint="eastAsia" w:ascii="宋体" w:hAnsi="宋体" w:eastAsia="宋体" w:cs="宋体"/>
                <w:highlight w:val="none"/>
              </w:rPr>
            </w:pPr>
            <w:r>
              <w:rPr>
                <w:rFonts w:hint="eastAsia" w:ascii="宋体" w:hAnsi="宋体" w:eastAsia="宋体" w:cs="宋体"/>
                <w:highlight w:val="none"/>
              </w:rPr>
              <w:t>长春市（九台区）</w:t>
            </w:r>
          </w:p>
        </w:tc>
        <w:tc>
          <w:tcPr>
            <w:tcW w:w="1051" w:type="pct"/>
            <w:tcBorders>
              <w:top w:val="single" w:color="auto" w:sz="4" w:space="0"/>
              <w:left w:val="nil"/>
              <w:bottom w:val="single" w:color="auto" w:sz="4" w:space="0"/>
              <w:right w:val="single" w:color="auto" w:sz="4" w:space="0"/>
            </w:tcBorders>
            <w:vAlign w:val="center"/>
          </w:tcPr>
          <w:p w14:paraId="0ACEA75B">
            <w:pPr>
              <w:spacing w:line="280" w:lineRule="exact"/>
              <w:jc w:val="center"/>
              <w:rPr>
                <w:rFonts w:hint="eastAsia" w:ascii="宋体" w:hAnsi="宋体" w:eastAsia="宋体" w:cs="宋体"/>
                <w:highlight w:val="none"/>
              </w:rPr>
            </w:pPr>
            <w:r>
              <w:rPr>
                <w:rFonts w:ascii="宋体" w:hAnsi="宋体" w:eastAsia="宋体" w:cs="宋体"/>
                <w:highlight w:val="none"/>
              </w:rPr>
              <w:t>4891.95</w:t>
            </w:r>
          </w:p>
        </w:tc>
      </w:tr>
      <w:tr w14:paraId="247255A4">
        <w:tblPrEx>
          <w:tblCellMar>
            <w:top w:w="0" w:type="dxa"/>
            <w:left w:w="108" w:type="dxa"/>
            <w:bottom w:w="0" w:type="dxa"/>
            <w:right w:w="108" w:type="dxa"/>
          </w:tblCellMar>
        </w:tblPrEx>
        <w:trPr>
          <w:trHeight w:val="397" w:hRule="atLeast"/>
        </w:trPr>
        <w:tc>
          <w:tcPr>
            <w:tcW w:w="487" w:type="pct"/>
            <w:vMerge w:val="continue"/>
            <w:tcBorders>
              <w:left w:val="single" w:color="auto" w:sz="4" w:space="0"/>
              <w:right w:val="single" w:color="auto" w:sz="4" w:space="0"/>
            </w:tcBorders>
            <w:noWrap/>
            <w:vAlign w:val="center"/>
          </w:tcPr>
          <w:p w14:paraId="04AF032D">
            <w:pPr>
              <w:spacing w:line="280" w:lineRule="exact"/>
              <w:jc w:val="center"/>
              <w:rPr>
                <w:rFonts w:hint="eastAsia" w:ascii="宋体" w:hAnsi="宋体" w:eastAsia="宋体" w:cs="宋体"/>
                <w:highlight w:val="none"/>
              </w:rPr>
            </w:pPr>
          </w:p>
        </w:tc>
        <w:tc>
          <w:tcPr>
            <w:tcW w:w="360" w:type="pct"/>
            <w:tcBorders>
              <w:top w:val="single" w:color="auto" w:sz="4" w:space="0"/>
              <w:left w:val="nil"/>
              <w:bottom w:val="single" w:color="auto" w:sz="4" w:space="0"/>
              <w:right w:val="single" w:color="auto" w:sz="4" w:space="0"/>
            </w:tcBorders>
            <w:vAlign w:val="center"/>
          </w:tcPr>
          <w:p w14:paraId="49198826">
            <w:pPr>
              <w:spacing w:line="280" w:lineRule="exact"/>
              <w:jc w:val="center"/>
              <w:rPr>
                <w:rFonts w:hint="eastAsia" w:ascii="宋体" w:hAnsi="宋体" w:eastAsia="宋体" w:cs="宋体"/>
                <w:highlight w:val="none"/>
              </w:rPr>
            </w:pPr>
            <w:r>
              <w:rPr>
                <w:rFonts w:hint="eastAsia" w:ascii="宋体" w:hAnsi="宋体" w:eastAsia="宋体" w:cs="宋体"/>
                <w:highlight w:val="none"/>
              </w:rPr>
              <w:t>2</w:t>
            </w:r>
          </w:p>
        </w:tc>
        <w:tc>
          <w:tcPr>
            <w:tcW w:w="2013" w:type="pct"/>
            <w:tcBorders>
              <w:top w:val="single" w:color="auto" w:sz="4" w:space="0"/>
              <w:left w:val="nil"/>
              <w:bottom w:val="single" w:color="auto" w:sz="4" w:space="0"/>
              <w:right w:val="single" w:color="auto" w:sz="4" w:space="0"/>
            </w:tcBorders>
            <w:vAlign w:val="center"/>
          </w:tcPr>
          <w:p w14:paraId="7388F97C">
            <w:pPr>
              <w:spacing w:line="280" w:lineRule="exact"/>
              <w:rPr>
                <w:rFonts w:hint="eastAsia" w:ascii="宋体" w:hAnsi="宋体" w:eastAsia="宋体" w:cs="宋体"/>
                <w:highlight w:val="none"/>
              </w:rPr>
            </w:pPr>
            <w:r>
              <w:rPr>
                <w:rFonts w:ascii="宋体" w:hAnsi="宋体" w:eastAsia="宋体" w:cs="宋体"/>
                <w:highlight w:val="none"/>
              </w:rPr>
              <w:t>青山服务区</w:t>
            </w:r>
          </w:p>
        </w:tc>
        <w:tc>
          <w:tcPr>
            <w:tcW w:w="1088" w:type="pct"/>
            <w:tcBorders>
              <w:top w:val="single" w:color="auto" w:sz="4" w:space="0"/>
              <w:left w:val="nil"/>
              <w:bottom w:val="single" w:color="auto" w:sz="4" w:space="0"/>
              <w:right w:val="single" w:color="auto" w:sz="4" w:space="0"/>
            </w:tcBorders>
            <w:vAlign w:val="center"/>
          </w:tcPr>
          <w:p w14:paraId="68D80886">
            <w:pPr>
              <w:spacing w:line="280" w:lineRule="exact"/>
              <w:jc w:val="center"/>
              <w:rPr>
                <w:rFonts w:hint="eastAsia" w:ascii="宋体" w:hAnsi="宋体" w:eastAsia="宋体" w:cs="宋体"/>
                <w:highlight w:val="none"/>
              </w:rPr>
            </w:pPr>
            <w:r>
              <w:rPr>
                <w:rFonts w:hint="eastAsia" w:ascii="宋体" w:hAnsi="宋体" w:eastAsia="宋体" w:cs="宋体"/>
                <w:highlight w:val="none"/>
              </w:rPr>
              <w:t>长春市（九台区）</w:t>
            </w:r>
          </w:p>
        </w:tc>
        <w:tc>
          <w:tcPr>
            <w:tcW w:w="1051" w:type="pct"/>
            <w:tcBorders>
              <w:top w:val="single" w:color="auto" w:sz="4" w:space="0"/>
              <w:left w:val="nil"/>
              <w:bottom w:val="single" w:color="auto" w:sz="4" w:space="0"/>
              <w:right w:val="single" w:color="auto" w:sz="4" w:space="0"/>
            </w:tcBorders>
            <w:vAlign w:val="center"/>
          </w:tcPr>
          <w:p w14:paraId="42CBEDE6">
            <w:pPr>
              <w:spacing w:line="280" w:lineRule="exact"/>
              <w:jc w:val="center"/>
              <w:rPr>
                <w:rFonts w:hint="eastAsia" w:ascii="宋体" w:hAnsi="宋体" w:eastAsia="宋体" w:cs="宋体"/>
                <w:highlight w:val="none"/>
              </w:rPr>
            </w:pPr>
            <w:r>
              <w:rPr>
                <w:rFonts w:ascii="宋体" w:hAnsi="宋体" w:eastAsia="宋体" w:cs="宋体"/>
                <w:highlight w:val="none"/>
              </w:rPr>
              <w:t>4891.95</w:t>
            </w:r>
          </w:p>
        </w:tc>
      </w:tr>
      <w:tr w14:paraId="34BCFB37">
        <w:tblPrEx>
          <w:tblCellMar>
            <w:top w:w="0" w:type="dxa"/>
            <w:left w:w="108" w:type="dxa"/>
            <w:bottom w:w="0" w:type="dxa"/>
            <w:right w:w="108" w:type="dxa"/>
          </w:tblCellMar>
        </w:tblPrEx>
        <w:trPr>
          <w:trHeight w:val="397" w:hRule="atLeast"/>
        </w:trPr>
        <w:tc>
          <w:tcPr>
            <w:tcW w:w="487" w:type="pct"/>
            <w:vMerge w:val="continue"/>
            <w:tcBorders>
              <w:left w:val="single" w:color="auto" w:sz="4" w:space="0"/>
              <w:right w:val="single" w:color="auto" w:sz="4" w:space="0"/>
            </w:tcBorders>
            <w:noWrap/>
            <w:vAlign w:val="center"/>
          </w:tcPr>
          <w:p w14:paraId="514C3A30">
            <w:pPr>
              <w:spacing w:line="280" w:lineRule="exact"/>
              <w:jc w:val="center"/>
              <w:rPr>
                <w:rFonts w:hint="eastAsia" w:ascii="宋体" w:hAnsi="宋体" w:eastAsia="宋体" w:cs="宋体"/>
                <w:highlight w:val="none"/>
              </w:rPr>
            </w:pPr>
          </w:p>
        </w:tc>
        <w:tc>
          <w:tcPr>
            <w:tcW w:w="360" w:type="pct"/>
            <w:tcBorders>
              <w:top w:val="single" w:color="auto" w:sz="4" w:space="0"/>
              <w:left w:val="nil"/>
              <w:bottom w:val="single" w:color="auto" w:sz="4" w:space="0"/>
              <w:right w:val="single" w:color="auto" w:sz="4" w:space="0"/>
            </w:tcBorders>
            <w:vAlign w:val="center"/>
          </w:tcPr>
          <w:p w14:paraId="74611375">
            <w:pPr>
              <w:spacing w:line="280" w:lineRule="exact"/>
              <w:jc w:val="center"/>
              <w:rPr>
                <w:rFonts w:hint="eastAsia" w:ascii="宋体" w:hAnsi="宋体" w:eastAsia="宋体" w:cs="宋体"/>
                <w:highlight w:val="none"/>
              </w:rPr>
            </w:pPr>
            <w:r>
              <w:rPr>
                <w:rFonts w:hint="eastAsia" w:ascii="宋体" w:hAnsi="宋体" w:eastAsia="宋体" w:cs="宋体"/>
                <w:highlight w:val="none"/>
              </w:rPr>
              <w:t>3</w:t>
            </w:r>
          </w:p>
        </w:tc>
        <w:tc>
          <w:tcPr>
            <w:tcW w:w="2013" w:type="pct"/>
            <w:tcBorders>
              <w:top w:val="single" w:color="auto" w:sz="4" w:space="0"/>
              <w:left w:val="nil"/>
              <w:bottom w:val="single" w:color="auto" w:sz="4" w:space="0"/>
              <w:right w:val="single" w:color="auto" w:sz="4" w:space="0"/>
            </w:tcBorders>
            <w:vAlign w:val="center"/>
          </w:tcPr>
          <w:p w14:paraId="4B346F68">
            <w:pPr>
              <w:spacing w:line="280" w:lineRule="exact"/>
              <w:rPr>
                <w:rFonts w:hint="eastAsia" w:ascii="宋体" w:hAnsi="宋体" w:eastAsia="宋体" w:cs="宋体"/>
                <w:highlight w:val="none"/>
              </w:rPr>
            </w:pPr>
            <w:r>
              <w:rPr>
                <w:rFonts w:ascii="宋体" w:hAnsi="宋体" w:eastAsia="宋体" w:cs="宋体"/>
                <w:highlight w:val="none"/>
              </w:rPr>
              <w:t>榆树服务区</w:t>
            </w:r>
          </w:p>
        </w:tc>
        <w:tc>
          <w:tcPr>
            <w:tcW w:w="1088" w:type="pct"/>
            <w:tcBorders>
              <w:top w:val="single" w:color="auto" w:sz="4" w:space="0"/>
              <w:left w:val="nil"/>
              <w:bottom w:val="single" w:color="auto" w:sz="4" w:space="0"/>
              <w:right w:val="single" w:color="auto" w:sz="4" w:space="0"/>
            </w:tcBorders>
            <w:vAlign w:val="center"/>
          </w:tcPr>
          <w:p w14:paraId="35A2C505">
            <w:pPr>
              <w:spacing w:line="280" w:lineRule="exact"/>
              <w:jc w:val="center"/>
              <w:rPr>
                <w:rFonts w:hint="eastAsia" w:ascii="宋体" w:hAnsi="宋体" w:eastAsia="宋体" w:cs="宋体"/>
                <w:highlight w:val="none"/>
              </w:rPr>
            </w:pPr>
            <w:r>
              <w:rPr>
                <w:rFonts w:hint="eastAsia" w:ascii="宋体" w:hAnsi="宋体" w:eastAsia="宋体"/>
                <w:highlight w:val="none"/>
              </w:rPr>
              <w:t>榆树市</w:t>
            </w:r>
          </w:p>
        </w:tc>
        <w:tc>
          <w:tcPr>
            <w:tcW w:w="1051" w:type="pct"/>
            <w:tcBorders>
              <w:top w:val="single" w:color="auto" w:sz="4" w:space="0"/>
              <w:left w:val="nil"/>
              <w:bottom w:val="single" w:color="auto" w:sz="4" w:space="0"/>
              <w:right w:val="single" w:color="auto" w:sz="4" w:space="0"/>
            </w:tcBorders>
            <w:vAlign w:val="center"/>
          </w:tcPr>
          <w:p w14:paraId="406D1B4C">
            <w:pPr>
              <w:spacing w:line="280" w:lineRule="exact"/>
              <w:jc w:val="center"/>
              <w:rPr>
                <w:rFonts w:hint="eastAsia" w:ascii="宋体" w:hAnsi="宋体" w:eastAsia="宋体" w:cs="宋体"/>
                <w:highlight w:val="none"/>
              </w:rPr>
            </w:pPr>
            <w:r>
              <w:rPr>
                <w:rFonts w:ascii="宋体" w:hAnsi="宋体" w:eastAsia="宋体" w:cs="宋体"/>
                <w:highlight w:val="none"/>
              </w:rPr>
              <w:t>4891.95</w:t>
            </w:r>
          </w:p>
        </w:tc>
      </w:tr>
      <w:tr w14:paraId="73810BF3">
        <w:tblPrEx>
          <w:tblCellMar>
            <w:top w:w="0" w:type="dxa"/>
            <w:left w:w="108" w:type="dxa"/>
            <w:bottom w:w="0" w:type="dxa"/>
            <w:right w:w="108" w:type="dxa"/>
          </w:tblCellMar>
        </w:tblPrEx>
        <w:trPr>
          <w:trHeight w:val="397" w:hRule="atLeast"/>
        </w:trPr>
        <w:tc>
          <w:tcPr>
            <w:tcW w:w="487" w:type="pct"/>
            <w:vMerge w:val="continue"/>
            <w:tcBorders>
              <w:left w:val="single" w:color="auto" w:sz="4" w:space="0"/>
              <w:right w:val="single" w:color="auto" w:sz="4" w:space="0"/>
            </w:tcBorders>
            <w:noWrap/>
            <w:vAlign w:val="center"/>
          </w:tcPr>
          <w:p w14:paraId="50FE4732">
            <w:pPr>
              <w:spacing w:line="280" w:lineRule="exact"/>
              <w:jc w:val="center"/>
              <w:rPr>
                <w:rFonts w:hint="eastAsia" w:ascii="宋体" w:hAnsi="宋体" w:eastAsia="宋体" w:cs="宋体"/>
                <w:highlight w:val="none"/>
              </w:rPr>
            </w:pPr>
          </w:p>
        </w:tc>
        <w:tc>
          <w:tcPr>
            <w:tcW w:w="360" w:type="pct"/>
            <w:tcBorders>
              <w:top w:val="single" w:color="auto" w:sz="4" w:space="0"/>
              <w:left w:val="nil"/>
              <w:bottom w:val="single" w:color="auto" w:sz="4" w:space="0"/>
              <w:right w:val="single" w:color="auto" w:sz="4" w:space="0"/>
            </w:tcBorders>
            <w:vAlign w:val="center"/>
          </w:tcPr>
          <w:p w14:paraId="45FE1750">
            <w:pPr>
              <w:spacing w:line="280" w:lineRule="exact"/>
              <w:jc w:val="center"/>
              <w:rPr>
                <w:rFonts w:hint="eastAsia" w:ascii="宋体" w:hAnsi="宋体" w:eastAsia="宋体" w:cs="宋体"/>
                <w:highlight w:val="none"/>
              </w:rPr>
            </w:pPr>
            <w:r>
              <w:rPr>
                <w:rFonts w:hint="eastAsia" w:ascii="宋体" w:hAnsi="宋体" w:eastAsia="宋体" w:cs="宋体"/>
                <w:highlight w:val="none"/>
              </w:rPr>
              <w:t>4</w:t>
            </w:r>
          </w:p>
        </w:tc>
        <w:tc>
          <w:tcPr>
            <w:tcW w:w="2013" w:type="pct"/>
            <w:tcBorders>
              <w:top w:val="single" w:color="auto" w:sz="4" w:space="0"/>
              <w:left w:val="nil"/>
              <w:bottom w:val="single" w:color="auto" w:sz="4" w:space="0"/>
              <w:right w:val="single" w:color="auto" w:sz="4" w:space="0"/>
            </w:tcBorders>
            <w:vAlign w:val="center"/>
          </w:tcPr>
          <w:p w14:paraId="3FD14336">
            <w:pPr>
              <w:spacing w:line="280" w:lineRule="exact"/>
              <w:rPr>
                <w:rFonts w:hint="eastAsia" w:ascii="宋体" w:hAnsi="宋体" w:eastAsia="宋体" w:cs="宋体"/>
                <w:highlight w:val="none"/>
              </w:rPr>
            </w:pPr>
            <w:r>
              <w:rPr>
                <w:rFonts w:ascii="宋体" w:hAnsi="宋体" w:eastAsia="宋体" w:cs="宋体"/>
                <w:highlight w:val="none"/>
              </w:rPr>
              <w:t>栖凤停车区</w:t>
            </w:r>
          </w:p>
        </w:tc>
        <w:tc>
          <w:tcPr>
            <w:tcW w:w="1088" w:type="pct"/>
            <w:tcBorders>
              <w:top w:val="single" w:color="auto" w:sz="4" w:space="0"/>
              <w:left w:val="nil"/>
              <w:bottom w:val="single" w:color="auto" w:sz="4" w:space="0"/>
              <w:right w:val="single" w:color="auto" w:sz="4" w:space="0"/>
            </w:tcBorders>
            <w:vAlign w:val="center"/>
          </w:tcPr>
          <w:p w14:paraId="5A0C3EB7">
            <w:pPr>
              <w:spacing w:line="280" w:lineRule="exact"/>
              <w:jc w:val="center"/>
              <w:rPr>
                <w:rFonts w:hint="eastAsia" w:ascii="宋体" w:hAnsi="宋体" w:eastAsia="宋体" w:cs="宋体"/>
                <w:highlight w:val="none"/>
              </w:rPr>
            </w:pPr>
            <w:r>
              <w:rPr>
                <w:rFonts w:hint="eastAsia" w:ascii="宋体" w:hAnsi="宋体" w:eastAsia="宋体" w:cs="宋体"/>
                <w:highlight w:val="none"/>
              </w:rPr>
              <w:t>长春市（九台区）</w:t>
            </w:r>
          </w:p>
        </w:tc>
        <w:tc>
          <w:tcPr>
            <w:tcW w:w="1051" w:type="pct"/>
            <w:tcBorders>
              <w:top w:val="single" w:color="auto" w:sz="4" w:space="0"/>
              <w:left w:val="nil"/>
              <w:bottom w:val="single" w:color="auto" w:sz="4" w:space="0"/>
              <w:right w:val="single" w:color="auto" w:sz="4" w:space="0"/>
            </w:tcBorders>
            <w:vAlign w:val="center"/>
          </w:tcPr>
          <w:p w14:paraId="22CED2FD">
            <w:pPr>
              <w:spacing w:line="280" w:lineRule="exact"/>
              <w:jc w:val="center"/>
              <w:rPr>
                <w:rFonts w:hint="eastAsia" w:ascii="宋体" w:hAnsi="宋体" w:eastAsia="宋体" w:cs="宋体"/>
                <w:highlight w:val="none"/>
              </w:rPr>
            </w:pPr>
            <w:r>
              <w:rPr>
                <w:rFonts w:ascii="宋体" w:hAnsi="宋体" w:eastAsia="宋体" w:cs="宋体"/>
                <w:highlight w:val="none"/>
              </w:rPr>
              <w:t xml:space="preserve">226.40 </w:t>
            </w:r>
          </w:p>
        </w:tc>
      </w:tr>
      <w:tr w14:paraId="5338BEAE">
        <w:tblPrEx>
          <w:tblCellMar>
            <w:top w:w="0" w:type="dxa"/>
            <w:left w:w="108" w:type="dxa"/>
            <w:bottom w:w="0" w:type="dxa"/>
            <w:right w:w="108" w:type="dxa"/>
          </w:tblCellMar>
        </w:tblPrEx>
        <w:trPr>
          <w:trHeight w:val="397" w:hRule="atLeast"/>
        </w:trPr>
        <w:tc>
          <w:tcPr>
            <w:tcW w:w="487" w:type="pct"/>
            <w:vMerge w:val="continue"/>
            <w:tcBorders>
              <w:left w:val="single" w:color="auto" w:sz="4" w:space="0"/>
              <w:right w:val="single" w:color="auto" w:sz="4" w:space="0"/>
            </w:tcBorders>
            <w:noWrap/>
            <w:vAlign w:val="center"/>
          </w:tcPr>
          <w:p w14:paraId="38B45387">
            <w:pPr>
              <w:spacing w:line="280" w:lineRule="exact"/>
              <w:jc w:val="center"/>
              <w:rPr>
                <w:rFonts w:hint="eastAsia" w:ascii="宋体" w:hAnsi="宋体" w:eastAsia="宋体" w:cs="宋体"/>
                <w:highlight w:val="none"/>
              </w:rPr>
            </w:pPr>
          </w:p>
        </w:tc>
        <w:tc>
          <w:tcPr>
            <w:tcW w:w="360" w:type="pct"/>
            <w:tcBorders>
              <w:top w:val="single" w:color="auto" w:sz="4" w:space="0"/>
              <w:left w:val="nil"/>
              <w:bottom w:val="single" w:color="auto" w:sz="4" w:space="0"/>
              <w:right w:val="single" w:color="auto" w:sz="4" w:space="0"/>
            </w:tcBorders>
            <w:vAlign w:val="center"/>
          </w:tcPr>
          <w:p w14:paraId="78F52B65">
            <w:pPr>
              <w:spacing w:line="280" w:lineRule="exact"/>
              <w:jc w:val="center"/>
              <w:rPr>
                <w:rFonts w:hint="eastAsia" w:ascii="宋体" w:hAnsi="宋体" w:eastAsia="宋体" w:cs="宋体"/>
                <w:highlight w:val="none"/>
              </w:rPr>
            </w:pPr>
            <w:r>
              <w:rPr>
                <w:rFonts w:hint="eastAsia" w:ascii="宋体" w:hAnsi="宋体" w:eastAsia="宋体" w:cs="宋体"/>
                <w:highlight w:val="none"/>
              </w:rPr>
              <w:t>5</w:t>
            </w:r>
          </w:p>
        </w:tc>
        <w:tc>
          <w:tcPr>
            <w:tcW w:w="2013" w:type="pct"/>
            <w:tcBorders>
              <w:top w:val="single" w:color="auto" w:sz="4" w:space="0"/>
              <w:left w:val="nil"/>
              <w:bottom w:val="single" w:color="auto" w:sz="4" w:space="0"/>
              <w:right w:val="single" w:color="auto" w:sz="4" w:space="0"/>
            </w:tcBorders>
            <w:vAlign w:val="center"/>
          </w:tcPr>
          <w:p w14:paraId="708EBB39">
            <w:pPr>
              <w:spacing w:line="280" w:lineRule="exact"/>
              <w:rPr>
                <w:rFonts w:hint="eastAsia" w:ascii="宋体" w:hAnsi="宋体" w:eastAsia="宋体" w:cs="宋体"/>
                <w:highlight w:val="none"/>
              </w:rPr>
            </w:pPr>
            <w:r>
              <w:rPr>
                <w:rFonts w:ascii="宋体" w:hAnsi="宋体" w:eastAsia="宋体" w:cs="宋体"/>
                <w:highlight w:val="none"/>
              </w:rPr>
              <w:t>秀水停车区</w:t>
            </w:r>
          </w:p>
        </w:tc>
        <w:tc>
          <w:tcPr>
            <w:tcW w:w="1088" w:type="pct"/>
            <w:tcBorders>
              <w:top w:val="single" w:color="auto" w:sz="4" w:space="0"/>
              <w:left w:val="nil"/>
              <w:bottom w:val="single" w:color="auto" w:sz="4" w:space="0"/>
              <w:right w:val="single" w:color="auto" w:sz="4" w:space="0"/>
            </w:tcBorders>
            <w:vAlign w:val="center"/>
          </w:tcPr>
          <w:p w14:paraId="2EB16B86">
            <w:pPr>
              <w:spacing w:line="280" w:lineRule="exact"/>
              <w:jc w:val="center"/>
              <w:rPr>
                <w:rFonts w:hint="eastAsia" w:ascii="宋体" w:hAnsi="宋体" w:eastAsia="宋体" w:cs="宋体"/>
                <w:highlight w:val="none"/>
              </w:rPr>
            </w:pPr>
            <w:r>
              <w:rPr>
                <w:rFonts w:hint="eastAsia" w:ascii="宋体" w:hAnsi="宋体" w:eastAsia="宋体"/>
                <w:highlight w:val="none"/>
              </w:rPr>
              <w:t>榆树市</w:t>
            </w:r>
          </w:p>
        </w:tc>
        <w:tc>
          <w:tcPr>
            <w:tcW w:w="1051" w:type="pct"/>
            <w:tcBorders>
              <w:top w:val="single" w:color="auto" w:sz="4" w:space="0"/>
              <w:left w:val="nil"/>
              <w:bottom w:val="single" w:color="auto" w:sz="4" w:space="0"/>
              <w:right w:val="single" w:color="auto" w:sz="4" w:space="0"/>
            </w:tcBorders>
            <w:vAlign w:val="center"/>
          </w:tcPr>
          <w:p w14:paraId="6776CA38">
            <w:pPr>
              <w:spacing w:line="280" w:lineRule="exact"/>
              <w:jc w:val="center"/>
              <w:rPr>
                <w:rFonts w:hint="eastAsia" w:ascii="宋体" w:hAnsi="宋体" w:eastAsia="宋体" w:cs="宋体"/>
                <w:highlight w:val="none"/>
              </w:rPr>
            </w:pPr>
            <w:r>
              <w:rPr>
                <w:rFonts w:ascii="宋体" w:hAnsi="宋体" w:eastAsia="宋体" w:cs="宋体"/>
                <w:highlight w:val="none"/>
              </w:rPr>
              <w:t xml:space="preserve">226.40 </w:t>
            </w:r>
          </w:p>
        </w:tc>
      </w:tr>
      <w:tr w14:paraId="28E95BB4">
        <w:tblPrEx>
          <w:tblCellMar>
            <w:top w:w="0" w:type="dxa"/>
            <w:left w:w="108" w:type="dxa"/>
            <w:bottom w:w="0" w:type="dxa"/>
            <w:right w:w="108" w:type="dxa"/>
          </w:tblCellMar>
        </w:tblPrEx>
        <w:trPr>
          <w:trHeight w:val="397" w:hRule="atLeast"/>
        </w:trPr>
        <w:tc>
          <w:tcPr>
            <w:tcW w:w="487" w:type="pct"/>
            <w:vMerge w:val="continue"/>
            <w:tcBorders>
              <w:left w:val="single" w:color="auto" w:sz="4" w:space="0"/>
              <w:right w:val="single" w:color="auto" w:sz="4" w:space="0"/>
            </w:tcBorders>
            <w:noWrap/>
            <w:vAlign w:val="center"/>
          </w:tcPr>
          <w:p w14:paraId="42F7E81C">
            <w:pPr>
              <w:spacing w:line="280" w:lineRule="exact"/>
              <w:jc w:val="center"/>
              <w:rPr>
                <w:rFonts w:hint="eastAsia" w:ascii="宋体" w:hAnsi="宋体" w:eastAsia="宋体" w:cs="宋体"/>
                <w:highlight w:val="none"/>
              </w:rPr>
            </w:pPr>
          </w:p>
        </w:tc>
        <w:tc>
          <w:tcPr>
            <w:tcW w:w="360" w:type="pct"/>
            <w:tcBorders>
              <w:top w:val="single" w:color="auto" w:sz="4" w:space="0"/>
              <w:left w:val="nil"/>
              <w:bottom w:val="single" w:color="auto" w:sz="4" w:space="0"/>
              <w:right w:val="single" w:color="auto" w:sz="4" w:space="0"/>
            </w:tcBorders>
            <w:vAlign w:val="center"/>
          </w:tcPr>
          <w:p w14:paraId="3B905E47">
            <w:pPr>
              <w:spacing w:line="280" w:lineRule="exact"/>
              <w:jc w:val="center"/>
              <w:rPr>
                <w:rFonts w:hint="eastAsia" w:ascii="宋体" w:hAnsi="宋体" w:eastAsia="宋体" w:cs="宋体"/>
                <w:highlight w:val="none"/>
              </w:rPr>
            </w:pPr>
            <w:r>
              <w:rPr>
                <w:rFonts w:hint="eastAsia" w:ascii="宋体" w:hAnsi="宋体" w:eastAsia="宋体" w:cs="宋体"/>
                <w:highlight w:val="none"/>
              </w:rPr>
              <w:t>6</w:t>
            </w:r>
          </w:p>
        </w:tc>
        <w:tc>
          <w:tcPr>
            <w:tcW w:w="2013" w:type="pct"/>
            <w:tcBorders>
              <w:top w:val="single" w:color="auto" w:sz="4" w:space="0"/>
              <w:left w:val="nil"/>
              <w:bottom w:val="single" w:color="auto" w:sz="4" w:space="0"/>
              <w:right w:val="single" w:color="auto" w:sz="4" w:space="0"/>
            </w:tcBorders>
            <w:vAlign w:val="center"/>
          </w:tcPr>
          <w:p w14:paraId="2C7D970C">
            <w:pPr>
              <w:spacing w:line="280" w:lineRule="exact"/>
              <w:rPr>
                <w:rFonts w:hint="eastAsia" w:ascii="宋体" w:hAnsi="宋体" w:eastAsia="宋体" w:cs="宋体"/>
                <w:highlight w:val="none"/>
              </w:rPr>
            </w:pPr>
            <w:r>
              <w:rPr>
                <w:rFonts w:ascii="宋体" w:hAnsi="宋体" w:eastAsia="宋体" w:cs="宋体"/>
                <w:highlight w:val="none"/>
              </w:rPr>
              <w:t>九台西管理分中心、养护工区、收费站</w:t>
            </w:r>
          </w:p>
        </w:tc>
        <w:tc>
          <w:tcPr>
            <w:tcW w:w="1088" w:type="pct"/>
            <w:tcBorders>
              <w:top w:val="single" w:color="auto" w:sz="4" w:space="0"/>
              <w:left w:val="nil"/>
              <w:bottom w:val="single" w:color="auto" w:sz="4" w:space="0"/>
              <w:right w:val="single" w:color="auto" w:sz="4" w:space="0"/>
            </w:tcBorders>
            <w:vAlign w:val="center"/>
          </w:tcPr>
          <w:p w14:paraId="6918653F">
            <w:pPr>
              <w:spacing w:line="280" w:lineRule="exact"/>
              <w:jc w:val="center"/>
              <w:rPr>
                <w:rFonts w:hint="eastAsia" w:ascii="宋体" w:hAnsi="宋体" w:eastAsia="宋体" w:cs="宋体"/>
                <w:highlight w:val="none"/>
              </w:rPr>
            </w:pPr>
            <w:r>
              <w:rPr>
                <w:rFonts w:hint="eastAsia" w:ascii="宋体" w:hAnsi="宋体" w:eastAsia="宋体" w:cs="宋体"/>
                <w:highlight w:val="none"/>
              </w:rPr>
              <w:t>长春市（九台区）</w:t>
            </w:r>
          </w:p>
        </w:tc>
        <w:tc>
          <w:tcPr>
            <w:tcW w:w="1051" w:type="pct"/>
            <w:tcBorders>
              <w:top w:val="single" w:color="auto" w:sz="4" w:space="0"/>
              <w:left w:val="nil"/>
              <w:bottom w:val="single" w:color="auto" w:sz="4" w:space="0"/>
              <w:right w:val="single" w:color="auto" w:sz="4" w:space="0"/>
            </w:tcBorders>
            <w:vAlign w:val="center"/>
          </w:tcPr>
          <w:p w14:paraId="67F12370">
            <w:pPr>
              <w:spacing w:line="280" w:lineRule="exact"/>
              <w:jc w:val="center"/>
              <w:rPr>
                <w:rFonts w:hint="eastAsia" w:ascii="宋体" w:hAnsi="宋体" w:eastAsia="宋体" w:cs="宋体"/>
                <w:highlight w:val="none"/>
              </w:rPr>
            </w:pPr>
            <w:r>
              <w:rPr>
                <w:rFonts w:ascii="宋体" w:hAnsi="宋体" w:eastAsia="宋体" w:cs="宋体"/>
                <w:highlight w:val="none"/>
              </w:rPr>
              <w:t>6258.83</w:t>
            </w:r>
          </w:p>
        </w:tc>
      </w:tr>
      <w:tr w14:paraId="4BD73AE8">
        <w:tblPrEx>
          <w:tblCellMar>
            <w:top w:w="0" w:type="dxa"/>
            <w:left w:w="108" w:type="dxa"/>
            <w:bottom w:w="0" w:type="dxa"/>
            <w:right w:w="108" w:type="dxa"/>
          </w:tblCellMar>
        </w:tblPrEx>
        <w:trPr>
          <w:trHeight w:val="397" w:hRule="atLeast"/>
        </w:trPr>
        <w:tc>
          <w:tcPr>
            <w:tcW w:w="487" w:type="pct"/>
            <w:vMerge w:val="continue"/>
            <w:tcBorders>
              <w:left w:val="single" w:color="auto" w:sz="4" w:space="0"/>
              <w:right w:val="single" w:color="auto" w:sz="4" w:space="0"/>
            </w:tcBorders>
            <w:noWrap/>
            <w:vAlign w:val="center"/>
          </w:tcPr>
          <w:p w14:paraId="1B6FBDF8">
            <w:pPr>
              <w:spacing w:line="280" w:lineRule="exact"/>
              <w:jc w:val="center"/>
              <w:rPr>
                <w:rFonts w:hint="eastAsia" w:ascii="宋体" w:hAnsi="宋体" w:eastAsia="宋体" w:cs="宋体"/>
                <w:highlight w:val="none"/>
              </w:rPr>
            </w:pPr>
          </w:p>
        </w:tc>
        <w:tc>
          <w:tcPr>
            <w:tcW w:w="360" w:type="pct"/>
            <w:tcBorders>
              <w:top w:val="single" w:color="auto" w:sz="4" w:space="0"/>
              <w:left w:val="nil"/>
              <w:bottom w:val="single" w:color="auto" w:sz="4" w:space="0"/>
              <w:right w:val="single" w:color="auto" w:sz="4" w:space="0"/>
            </w:tcBorders>
            <w:vAlign w:val="center"/>
          </w:tcPr>
          <w:p w14:paraId="28D781B3">
            <w:pPr>
              <w:spacing w:line="280" w:lineRule="exact"/>
              <w:jc w:val="center"/>
              <w:rPr>
                <w:rFonts w:hint="eastAsia" w:ascii="宋体" w:hAnsi="宋体" w:eastAsia="宋体" w:cs="宋体"/>
                <w:highlight w:val="none"/>
              </w:rPr>
            </w:pPr>
            <w:r>
              <w:rPr>
                <w:rFonts w:hint="eastAsia" w:ascii="宋体" w:hAnsi="宋体" w:eastAsia="宋体" w:cs="宋体"/>
                <w:highlight w:val="none"/>
              </w:rPr>
              <w:t>7</w:t>
            </w:r>
          </w:p>
        </w:tc>
        <w:tc>
          <w:tcPr>
            <w:tcW w:w="2013" w:type="pct"/>
            <w:tcBorders>
              <w:top w:val="single" w:color="auto" w:sz="4" w:space="0"/>
              <w:left w:val="nil"/>
              <w:bottom w:val="single" w:color="auto" w:sz="4" w:space="0"/>
              <w:right w:val="single" w:color="auto" w:sz="4" w:space="0"/>
            </w:tcBorders>
            <w:vAlign w:val="center"/>
          </w:tcPr>
          <w:p w14:paraId="6E97891D">
            <w:pPr>
              <w:spacing w:line="280" w:lineRule="exact"/>
              <w:rPr>
                <w:rFonts w:hint="eastAsia" w:ascii="宋体" w:hAnsi="宋体" w:eastAsia="宋体" w:cs="宋体"/>
                <w:highlight w:val="none"/>
              </w:rPr>
            </w:pPr>
            <w:r>
              <w:rPr>
                <w:rFonts w:ascii="宋体" w:hAnsi="宋体" w:eastAsia="宋体" w:cs="宋体"/>
                <w:highlight w:val="none"/>
              </w:rPr>
              <w:t>上河湾管理</w:t>
            </w:r>
            <w:r>
              <w:rPr>
                <w:rFonts w:hint="eastAsia" w:ascii="宋体" w:hAnsi="宋体" w:eastAsia="宋体" w:cs="宋体"/>
                <w:highlight w:val="none"/>
              </w:rPr>
              <w:t>处</w:t>
            </w:r>
            <w:r>
              <w:rPr>
                <w:rFonts w:ascii="宋体" w:hAnsi="宋体" w:eastAsia="宋体" w:cs="宋体"/>
                <w:highlight w:val="none"/>
              </w:rPr>
              <w:t>、养护工区、收费站</w:t>
            </w:r>
          </w:p>
        </w:tc>
        <w:tc>
          <w:tcPr>
            <w:tcW w:w="1088" w:type="pct"/>
            <w:tcBorders>
              <w:top w:val="single" w:color="auto" w:sz="4" w:space="0"/>
              <w:left w:val="nil"/>
              <w:bottom w:val="single" w:color="auto" w:sz="4" w:space="0"/>
              <w:right w:val="single" w:color="auto" w:sz="4" w:space="0"/>
            </w:tcBorders>
            <w:vAlign w:val="center"/>
          </w:tcPr>
          <w:p w14:paraId="46741C9D">
            <w:pPr>
              <w:spacing w:line="280" w:lineRule="exact"/>
              <w:jc w:val="center"/>
              <w:rPr>
                <w:rFonts w:hint="eastAsia" w:ascii="宋体" w:hAnsi="宋体" w:eastAsia="宋体" w:cs="宋体"/>
                <w:highlight w:val="none"/>
              </w:rPr>
            </w:pPr>
            <w:r>
              <w:rPr>
                <w:rFonts w:hint="eastAsia" w:ascii="宋体" w:hAnsi="宋体" w:eastAsia="宋体" w:cs="宋体"/>
                <w:highlight w:val="none"/>
              </w:rPr>
              <w:t>长春市（九台区）</w:t>
            </w:r>
          </w:p>
        </w:tc>
        <w:tc>
          <w:tcPr>
            <w:tcW w:w="1051" w:type="pct"/>
            <w:tcBorders>
              <w:top w:val="single" w:color="auto" w:sz="4" w:space="0"/>
              <w:left w:val="nil"/>
              <w:bottom w:val="single" w:color="auto" w:sz="4" w:space="0"/>
              <w:right w:val="single" w:color="auto" w:sz="4" w:space="0"/>
            </w:tcBorders>
            <w:vAlign w:val="center"/>
          </w:tcPr>
          <w:p w14:paraId="6F7A8F45">
            <w:pPr>
              <w:spacing w:line="280" w:lineRule="exact"/>
              <w:jc w:val="center"/>
              <w:rPr>
                <w:rFonts w:hint="eastAsia" w:ascii="宋体" w:hAnsi="宋体" w:eastAsia="宋体" w:cs="宋体"/>
                <w:highlight w:val="none"/>
              </w:rPr>
            </w:pPr>
            <w:r>
              <w:rPr>
                <w:rFonts w:ascii="宋体" w:hAnsi="宋体" w:eastAsia="宋体" w:cs="宋体"/>
                <w:highlight w:val="none"/>
              </w:rPr>
              <w:t>3685.98</w:t>
            </w:r>
          </w:p>
        </w:tc>
      </w:tr>
      <w:tr w14:paraId="1338FF23">
        <w:tblPrEx>
          <w:tblCellMar>
            <w:top w:w="0" w:type="dxa"/>
            <w:left w:w="108" w:type="dxa"/>
            <w:bottom w:w="0" w:type="dxa"/>
            <w:right w:w="108" w:type="dxa"/>
          </w:tblCellMar>
        </w:tblPrEx>
        <w:trPr>
          <w:trHeight w:val="397" w:hRule="atLeast"/>
        </w:trPr>
        <w:tc>
          <w:tcPr>
            <w:tcW w:w="487" w:type="pct"/>
            <w:vMerge w:val="continue"/>
            <w:tcBorders>
              <w:left w:val="single" w:color="auto" w:sz="4" w:space="0"/>
              <w:right w:val="single" w:color="auto" w:sz="4" w:space="0"/>
            </w:tcBorders>
            <w:noWrap/>
            <w:vAlign w:val="center"/>
          </w:tcPr>
          <w:p w14:paraId="1AFBC567">
            <w:pPr>
              <w:spacing w:line="280" w:lineRule="exact"/>
              <w:jc w:val="center"/>
              <w:rPr>
                <w:rFonts w:hint="eastAsia" w:ascii="宋体" w:hAnsi="宋体" w:eastAsia="宋体" w:cs="宋体"/>
                <w:highlight w:val="none"/>
              </w:rPr>
            </w:pPr>
          </w:p>
        </w:tc>
        <w:tc>
          <w:tcPr>
            <w:tcW w:w="360" w:type="pct"/>
            <w:tcBorders>
              <w:top w:val="single" w:color="auto" w:sz="4" w:space="0"/>
              <w:left w:val="nil"/>
              <w:bottom w:val="single" w:color="auto" w:sz="4" w:space="0"/>
              <w:right w:val="single" w:color="auto" w:sz="4" w:space="0"/>
            </w:tcBorders>
            <w:vAlign w:val="center"/>
          </w:tcPr>
          <w:p w14:paraId="47D0C234">
            <w:pPr>
              <w:spacing w:line="280" w:lineRule="exact"/>
              <w:jc w:val="center"/>
              <w:rPr>
                <w:rFonts w:hint="eastAsia" w:ascii="宋体" w:hAnsi="宋体" w:eastAsia="宋体" w:cs="宋体"/>
                <w:highlight w:val="none"/>
              </w:rPr>
            </w:pPr>
            <w:r>
              <w:rPr>
                <w:rFonts w:hint="eastAsia" w:ascii="宋体" w:hAnsi="宋体" w:eastAsia="宋体" w:cs="宋体"/>
                <w:highlight w:val="none"/>
              </w:rPr>
              <w:t>8</w:t>
            </w:r>
          </w:p>
        </w:tc>
        <w:tc>
          <w:tcPr>
            <w:tcW w:w="2013" w:type="pct"/>
            <w:tcBorders>
              <w:top w:val="single" w:color="auto" w:sz="4" w:space="0"/>
              <w:left w:val="nil"/>
              <w:bottom w:val="single" w:color="auto" w:sz="4" w:space="0"/>
              <w:right w:val="single" w:color="auto" w:sz="4" w:space="0"/>
            </w:tcBorders>
            <w:vAlign w:val="center"/>
          </w:tcPr>
          <w:p w14:paraId="2EB7312A">
            <w:pPr>
              <w:spacing w:line="280" w:lineRule="exact"/>
              <w:rPr>
                <w:rFonts w:hint="eastAsia" w:ascii="宋体" w:hAnsi="宋体" w:eastAsia="宋体" w:cs="宋体"/>
                <w:highlight w:val="none"/>
              </w:rPr>
            </w:pPr>
            <w:r>
              <w:rPr>
                <w:rFonts w:ascii="宋体" w:hAnsi="宋体" w:eastAsia="宋体" w:cs="宋体"/>
                <w:highlight w:val="none"/>
              </w:rPr>
              <w:t>榆树西管理</w:t>
            </w:r>
            <w:r>
              <w:rPr>
                <w:rFonts w:hint="eastAsia" w:ascii="宋体" w:hAnsi="宋体" w:eastAsia="宋体" w:cs="宋体"/>
                <w:highlight w:val="none"/>
              </w:rPr>
              <w:t>处</w:t>
            </w:r>
            <w:r>
              <w:rPr>
                <w:rFonts w:ascii="宋体" w:hAnsi="宋体" w:eastAsia="宋体" w:cs="宋体"/>
                <w:highlight w:val="none"/>
              </w:rPr>
              <w:t>、养护工区、收费站</w:t>
            </w:r>
          </w:p>
        </w:tc>
        <w:tc>
          <w:tcPr>
            <w:tcW w:w="1088" w:type="pct"/>
            <w:tcBorders>
              <w:top w:val="single" w:color="auto" w:sz="4" w:space="0"/>
              <w:left w:val="nil"/>
              <w:bottom w:val="single" w:color="auto" w:sz="4" w:space="0"/>
              <w:right w:val="single" w:color="auto" w:sz="4" w:space="0"/>
            </w:tcBorders>
            <w:vAlign w:val="center"/>
          </w:tcPr>
          <w:p w14:paraId="44E5DDCB">
            <w:pPr>
              <w:spacing w:line="280" w:lineRule="exact"/>
              <w:jc w:val="center"/>
              <w:rPr>
                <w:rFonts w:hint="eastAsia" w:ascii="宋体" w:hAnsi="宋体" w:eastAsia="宋体" w:cs="宋体"/>
                <w:highlight w:val="none"/>
              </w:rPr>
            </w:pPr>
            <w:r>
              <w:rPr>
                <w:rFonts w:hint="eastAsia" w:ascii="宋体" w:hAnsi="宋体" w:eastAsia="宋体"/>
                <w:highlight w:val="none"/>
              </w:rPr>
              <w:t>榆树市</w:t>
            </w:r>
          </w:p>
        </w:tc>
        <w:tc>
          <w:tcPr>
            <w:tcW w:w="1051" w:type="pct"/>
            <w:tcBorders>
              <w:top w:val="single" w:color="auto" w:sz="4" w:space="0"/>
              <w:left w:val="nil"/>
              <w:bottom w:val="single" w:color="auto" w:sz="4" w:space="0"/>
              <w:right w:val="single" w:color="auto" w:sz="4" w:space="0"/>
            </w:tcBorders>
            <w:vAlign w:val="center"/>
          </w:tcPr>
          <w:p w14:paraId="417A7DCD">
            <w:pPr>
              <w:spacing w:line="280" w:lineRule="exact"/>
              <w:jc w:val="center"/>
              <w:rPr>
                <w:rFonts w:hint="eastAsia" w:ascii="宋体" w:hAnsi="宋体" w:eastAsia="宋体" w:cs="宋体"/>
                <w:highlight w:val="none"/>
              </w:rPr>
            </w:pPr>
            <w:r>
              <w:rPr>
                <w:rFonts w:ascii="宋体" w:hAnsi="宋体" w:eastAsia="宋体" w:cs="宋体"/>
                <w:highlight w:val="none"/>
              </w:rPr>
              <w:t>4019.96</w:t>
            </w:r>
          </w:p>
        </w:tc>
      </w:tr>
      <w:tr w14:paraId="2E46DAF0">
        <w:tblPrEx>
          <w:tblCellMar>
            <w:top w:w="0" w:type="dxa"/>
            <w:left w:w="108" w:type="dxa"/>
            <w:bottom w:w="0" w:type="dxa"/>
            <w:right w:w="108" w:type="dxa"/>
          </w:tblCellMar>
        </w:tblPrEx>
        <w:trPr>
          <w:trHeight w:val="397" w:hRule="atLeast"/>
        </w:trPr>
        <w:tc>
          <w:tcPr>
            <w:tcW w:w="487" w:type="pct"/>
            <w:vMerge w:val="continue"/>
            <w:tcBorders>
              <w:left w:val="single" w:color="auto" w:sz="4" w:space="0"/>
              <w:right w:val="single" w:color="auto" w:sz="4" w:space="0"/>
            </w:tcBorders>
            <w:noWrap/>
            <w:vAlign w:val="center"/>
          </w:tcPr>
          <w:p w14:paraId="0CA09724">
            <w:pPr>
              <w:spacing w:line="280" w:lineRule="exact"/>
              <w:jc w:val="center"/>
              <w:rPr>
                <w:rFonts w:hint="eastAsia" w:ascii="宋体" w:hAnsi="宋体" w:eastAsia="宋体" w:cs="宋体"/>
                <w:highlight w:val="none"/>
              </w:rPr>
            </w:pPr>
          </w:p>
        </w:tc>
        <w:tc>
          <w:tcPr>
            <w:tcW w:w="360" w:type="pct"/>
            <w:tcBorders>
              <w:top w:val="single" w:color="auto" w:sz="4" w:space="0"/>
              <w:left w:val="nil"/>
              <w:bottom w:val="single" w:color="auto" w:sz="4" w:space="0"/>
              <w:right w:val="single" w:color="auto" w:sz="4" w:space="0"/>
            </w:tcBorders>
            <w:vAlign w:val="center"/>
          </w:tcPr>
          <w:p w14:paraId="07D3071D">
            <w:pPr>
              <w:spacing w:line="280" w:lineRule="exact"/>
              <w:jc w:val="center"/>
              <w:rPr>
                <w:rFonts w:hint="eastAsia" w:ascii="宋体" w:hAnsi="宋体" w:eastAsia="宋体" w:cs="宋体"/>
                <w:highlight w:val="none"/>
              </w:rPr>
            </w:pPr>
            <w:r>
              <w:rPr>
                <w:rFonts w:hint="eastAsia" w:ascii="宋体" w:hAnsi="宋体" w:eastAsia="宋体" w:cs="宋体"/>
                <w:highlight w:val="none"/>
              </w:rPr>
              <w:t>9</w:t>
            </w:r>
          </w:p>
        </w:tc>
        <w:tc>
          <w:tcPr>
            <w:tcW w:w="2013" w:type="pct"/>
            <w:tcBorders>
              <w:top w:val="single" w:color="auto" w:sz="4" w:space="0"/>
              <w:left w:val="nil"/>
              <w:bottom w:val="single" w:color="auto" w:sz="4" w:space="0"/>
              <w:right w:val="single" w:color="auto" w:sz="4" w:space="0"/>
            </w:tcBorders>
            <w:vAlign w:val="center"/>
          </w:tcPr>
          <w:p w14:paraId="45C49E81">
            <w:pPr>
              <w:spacing w:line="280" w:lineRule="exact"/>
              <w:rPr>
                <w:rFonts w:hint="eastAsia" w:ascii="宋体" w:hAnsi="宋体" w:eastAsia="宋体" w:cs="宋体"/>
                <w:highlight w:val="none"/>
              </w:rPr>
            </w:pPr>
            <w:r>
              <w:rPr>
                <w:rFonts w:ascii="宋体" w:hAnsi="宋体" w:eastAsia="宋体" w:cs="宋体"/>
                <w:highlight w:val="none"/>
              </w:rPr>
              <w:t>兴华互通匝道收费站</w:t>
            </w:r>
          </w:p>
        </w:tc>
        <w:tc>
          <w:tcPr>
            <w:tcW w:w="1088" w:type="pct"/>
            <w:tcBorders>
              <w:top w:val="single" w:color="auto" w:sz="4" w:space="0"/>
              <w:left w:val="nil"/>
              <w:bottom w:val="single" w:color="auto" w:sz="4" w:space="0"/>
              <w:right w:val="single" w:color="auto" w:sz="4" w:space="0"/>
            </w:tcBorders>
            <w:vAlign w:val="center"/>
          </w:tcPr>
          <w:p w14:paraId="230192D5">
            <w:pPr>
              <w:spacing w:line="280" w:lineRule="exact"/>
              <w:jc w:val="center"/>
              <w:rPr>
                <w:rFonts w:hint="eastAsia" w:ascii="宋体" w:hAnsi="宋体" w:eastAsia="宋体" w:cs="宋体"/>
                <w:highlight w:val="none"/>
              </w:rPr>
            </w:pPr>
            <w:r>
              <w:rPr>
                <w:rFonts w:hint="eastAsia" w:ascii="宋体" w:hAnsi="宋体" w:eastAsia="宋体" w:cs="宋体"/>
                <w:highlight w:val="none"/>
              </w:rPr>
              <w:t>长春市（经开区）</w:t>
            </w:r>
          </w:p>
        </w:tc>
        <w:tc>
          <w:tcPr>
            <w:tcW w:w="1051" w:type="pct"/>
            <w:tcBorders>
              <w:top w:val="single" w:color="auto" w:sz="4" w:space="0"/>
              <w:left w:val="nil"/>
              <w:bottom w:val="single" w:color="auto" w:sz="4" w:space="0"/>
              <w:right w:val="single" w:color="auto" w:sz="4" w:space="0"/>
            </w:tcBorders>
            <w:vAlign w:val="center"/>
          </w:tcPr>
          <w:p w14:paraId="0E6AB24D">
            <w:pPr>
              <w:spacing w:line="280" w:lineRule="exact"/>
              <w:jc w:val="center"/>
              <w:rPr>
                <w:rFonts w:hint="eastAsia" w:ascii="宋体" w:hAnsi="宋体" w:eastAsia="宋体" w:cs="宋体"/>
                <w:highlight w:val="none"/>
              </w:rPr>
            </w:pPr>
            <w:r>
              <w:rPr>
                <w:rFonts w:ascii="宋体" w:hAnsi="宋体" w:eastAsia="宋体" w:cs="宋体"/>
                <w:highlight w:val="none"/>
              </w:rPr>
              <w:t>1610.15</w:t>
            </w:r>
          </w:p>
        </w:tc>
      </w:tr>
      <w:tr w14:paraId="6F0DD162">
        <w:tblPrEx>
          <w:tblCellMar>
            <w:top w:w="0" w:type="dxa"/>
            <w:left w:w="108" w:type="dxa"/>
            <w:bottom w:w="0" w:type="dxa"/>
            <w:right w:w="108" w:type="dxa"/>
          </w:tblCellMar>
        </w:tblPrEx>
        <w:trPr>
          <w:trHeight w:val="397" w:hRule="atLeast"/>
        </w:trPr>
        <w:tc>
          <w:tcPr>
            <w:tcW w:w="487" w:type="pct"/>
            <w:vMerge w:val="continue"/>
            <w:tcBorders>
              <w:left w:val="single" w:color="auto" w:sz="4" w:space="0"/>
              <w:right w:val="single" w:color="auto" w:sz="4" w:space="0"/>
            </w:tcBorders>
            <w:noWrap/>
            <w:vAlign w:val="center"/>
          </w:tcPr>
          <w:p w14:paraId="6F49EE0B">
            <w:pPr>
              <w:spacing w:line="280" w:lineRule="exact"/>
              <w:jc w:val="center"/>
              <w:rPr>
                <w:rFonts w:hint="eastAsia" w:ascii="宋体" w:hAnsi="宋体" w:eastAsia="宋体" w:cs="宋体"/>
                <w:highlight w:val="none"/>
              </w:rPr>
            </w:pPr>
          </w:p>
        </w:tc>
        <w:tc>
          <w:tcPr>
            <w:tcW w:w="360" w:type="pct"/>
            <w:tcBorders>
              <w:top w:val="single" w:color="auto" w:sz="4" w:space="0"/>
              <w:left w:val="nil"/>
              <w:bottom w:val="single" w:color="auto" w:sz="4" w:space="0"/>
              <w:right w:val="single" w:color="auto" w:sz="4" w:space="0"/>
            </w:tcBorders>
            <w:vAlign w:val="center"/>
          </w:tcPr>
          <w:p w14:paraId="023E196E">
            <w:pPr>
              <w:spacing w:line="280" w:lineRule="exact"/>
              <w:jc w:val="center"/>
              <w:rPr>
                <w:rFonts w:hint="eastAsia" w:ascii="宋体" w:hAnsi="宋体" w:eastAsia="宋体" w:cs="宋体"/>
                <w:highlight w:val="none"/>
              </w:rPr>
            </w:pPr>
            <w:r>
              <w:rPr>
                <w:rFonts w:hint="eastAsia" w:ascii="宋体" w:hAnsi="宋体" w:eastAsia="宋体" w:cs="宋体"/>
                <w:highlight w:val="none"/>
              </w:rPr>
              <w:t>10</w:t>
            </w:r>
          </w:p>
        </w:tc>
        <w:tc>
          <w:tcPr>
            <w:tcW w:w="2013" w:type="pct"/>
            <w:tcBorders>
              <w:top w:val="single" w:color="auto" w:sz="4" w:space="0"/>
              <w:left w:val="nil"/>
              <w:bottom w:val="single" w:color="auto" w:sz="4" w:space="0"/>
              <w:right w:val="single" w:color="auto" w:sz="4" w:space="0"/>
            </w:tcBorders>
            <w:vAlign w:val="center"/>
          </w:tcPr>
          <w:p w14:paraId="23624723">
            <w:pPr>
              <w:spacing w:line="280" w:lineRule="exact"/>
              <w:rPr>
                <w:rFonts w:hint="eastAsia" w:ascii="宋体" w:hAnsi="宋体" w:eastAsia="宋体" w:cs="宋体"/>
                <w:highlight w:val="none"/>
              </w:rPr>
            </w:pPr>
            <w:r>
              <w:rPr>
                <w:rFonts w:ascii="宋体" w:hAnsi="宋体" w:eastAsia="宋体" w:cs="宋体"/>
                <w:highlight w:val="none"/>
              </w:rPr>
              <w:t>卡伦互通匝道收费站</w:t>
            </w:r>
          </w:p>
        </w:tc>
        <w:tc>
          <w:tcPr>
            <w:tcW w:w="1088" w:type="pct"/>
            <w:tcBorders>
              <w:top w:val="single" w:color="auto" w:sz="4" w:space="0"/>
              <w:left w:val="nil"/>
              <w:bottom w:val="single" w:color="auto" w:sz="4" w:space="0"/>
              <w:right w:val="single" w:color="auto" w:sz="4" w:space="0"/>
            </w:tcBorders>
            <w:vAlign w:val="center"/>
          </w:tcPr>
          <w:p w14:paraId="0C4FC9B6">
            <w:pPr>
              <w:spacing w:line="280" w:lineRule="exact"/>
              <w:jc w:val="center"/>
              <w:rPr>
                <w:rFonts w:hint="eastAsia" w:ascii="宋体" w:hAnsi="宋体" w:eastAsia="宋体" w:cs="宋体"/>
                <w:highlight w:val="none"/>
              </w:rPr>
            </w:pPr>
            <w:r>
              <w:rPr>
                <w:rFonts w:hint="eastAsia" w:ascii="宋体" w:hAnsi="宋体" w:eastAsia="宋体" w:cs="宋体"/>
                <w:highlight w:val="none"/>
              </w:rPr>
              <w:t>长春市（九台区）</w:t>
            </w:r>
          </w:p>
        </w:tc>
        <w:tc>
          <w:tcPr>
            <w:tcW w:w="1051" w:type="pct"/>
            <w:tcBorders>
              <w:top w:val="single" w:color="auto" w:sz="4" w:space="0"/>
              <w:left w:val="nil"/>
              <w:bottom w:val="single" w:color="auto" w:sz="4" w:space="0"/>
              <w:right w:val="single" w:color="auto" w:sz="4" w:space="0"/>
            </w:tcBorders>
            <w:vAlign w:val="center"/>
          </w:tcPr>
          <w:p w14:paraId="6BF9F3E0">
            <w:pPr>
              <w:spacing w:line="280" w:lineRule="exact"/>
              <w:jc w:val="center"/>
              <w:rPr>
                <w:rFonts w:hint="eastAsia" w:ascii="宋体" w:hAnsi="宋体" w:eastAsia="宋体" w:cs="宋体"/>
                <w:highlight w:val="none"/>
              </w:rPr>
            </w:pPr>
            <w:r>
              <w:rPr>
                <w:rFonts w:ascii="宋体" w:hAnsi="宋体" w:eastAsia="宋体" w:cs="宋体"/>
                <w:highlight w:val="none"/>
              </w:rPr>
              <w:t xml:space="preserve">1437.10 </w:t>
            </w:r>
          </w:p>
        </w:tc>
      </w:tr>
      <w:tr w14:paraId="151AC507">
        <w:tblPrEx>
          <w:tblCellMar>
            <w:top w:w="0" w:type="dxa"/>
            <w:left w:w="108" w:type="dxa"/>
            <w:bottom w:w="0" w:type="dxa"/>
            <w:right w:w="108" w:type="dxa"/>
          </w:tblCellMar>
        </w:tblPrEx>
        <w:trPr>
          <w:trHeight w:val="397" w:hRule="atLeast"/>
        </w:trPr>
        <w:tc>
          <w:tcPr>
            <w:tcW w:w="487" w:type="pct"/>
            <w:vMerge w:val="continue"/>
            <w:tcBorders>
              <w:left w:val="single" w:color="auto" w:sz="4" w:space="0"/>
              <w:right w:val="single" w:color="auto" w:sz="4" w:space="0"/>
            </w:tcBorders>
            <w:noWrap/>
            <w:vAlign w:val="center"/>
          </w:tcPr>
          <w:p w14:paraId="002683EF">
            <w:pPr>
              <w:spacing w:line="280" w:lineRule="exact"/>
              <w:jc w:val="center"/>
              <w:rPr>
                <w:rFonts w:hint="eastAsia" w:ascii="宋体" w:hAnsi="宋体" w:eastAsia="宋体" w:cs="宋体"/>
                <w:highlight w:val="none"/>
              </w:rPr>
            </w:pPr>
          </w:p>
        </w:tc>
        <w:tc>
          <w:tcPr>
            <w:tcW w:w="360" w:type="pct"/>
            <w:tcBorders>
              <w:top w:val="single" w:color="auto" w:sz="4" w:space="0"/>
              <w:left w:val="nil"/>
              <w:bottom w:val="single" w:color="auto" w:sz="4" w:space="0"/>
              <w:right w:val="single" w:color="auto" w:sz="4" w:space="0"/>
            </w:tcBorders>
            <w:vAlign w:val="center"/>
          </w:tcPr>
          <w:p w14:paraId="60A00784">
            <w:pPr>
              <w:spacing w:line="280" w:lineRule="exact"/>
              <w:jc w:val="center"/>
              <w:rPr>
                <w:rFonts w:hint="eastAsia" w:ascii="宋体" w:hAnsi="宋体" w:eastAsia="宋体" w:cs="宋体"/>
                <w:highlight w:val="none"/>
              </w:rPr>
            </w:pPr>
            <w:r>
              <w:rPr>
                <w:rFonts w:hint="eastAsia" w:ascii="宋体" w:hAnsi="宋体" w:eastAsia="宋体" w:cs="宋体"/>
                <w:highlight w:val="none"/>
              </w:rPr>
              <w:t>11</w:t>
            </w:r>
          </w:p>
        </w:tc>
        <w:tc>
          <w:tcPr>
            <w:tcW w:w="2013" w:type="pct"/>
            <w:tcBorders>
              <w:top w:val="single" w:color="auto" w:sz="4" w:space="0"/>
              <w:left w:val="nil"/>
              <w:bottom w:val="single" w:color="auto" w:sz="4" w:space="0"/>
              <w:right w:val="single" w:color="auto" w:sz="4" w:space="0"/>
            </w:tcBorders>
            <w:vAlign w:val="center"/>
          </w:tcPr>
          <w:p w14:paraId="764D4CC9">
            <w:pPr>
              <w:spacing w:line="280" w:lineRule="exact"/>
              <w:rPr>
                <w:rFonts w:hint="eastAsia" w:ascii="宋体" w:hAnsi="宋体" w:eastAsia="宋体" w:cs="宋体"/>
                <w:highlight w:val="none"/>
              </w:rPr>
            </w:pPr>
            <w:r>
              <w:rPr>
                <w:rFonts w:ascii="宋体" w:hAnsi="宋体" w:eastAsia="宋体" w:cs="宋体"/>
                <w:highlight w:val="none"/>
              </w:rPr>
              <w:t>吉祥互通匝道收费站</w:t>
            </w:r>
          </w:p>
        </w:tc>
        <w:tc>
          <w:tcPr>
            <w:tcW w:w="1088" w:type="pct"/>
            <w:tcBorders>
              <w:top w:val="single" w:color="auto" w:sz="4" w:space="0"/>
              <w:left w:val="nil"/>
              <w:bottom w:val="single" w:color="auto" w:sz="4" w:space="0"/>
              <w:right w:val="single" w:color="auto" w:sz="4" w:space="0"/>
            </w:tcBorders>
            <w:vAlign w:val="center"/>
          </w:tcPr>
          <w:p w14:paraId="0E87B096">
            <w:pPr>
              <w:spacing w:line="280" w:lineRule="exact"/>
              <w:jc w:val="center"/>
              <w:rPr>
                <w:rFonts w:hint="eastAsia" w:ascii="宋体" w:hAnsi="宋体" w:eastAsia="宋体" w:cs="宋体"/>
                <w:highlight w:val="none"/>
              </w:rPr>
            </w:pPr>
            <w:r>
              <w:rPr>
                <w:rFonts w:hint="eastAsia" w:ascii="宋体" w:hAnsi="宋体" w:eastAsia="宋体" w:cs="宋体"/>
                <w:highlight w:val="none"/>
              </w:rPr>
              <w:t>长春市（九台区）</w:t>
            </w:r>
          </w:p>
        </w:tc>
        <w:tc>
          <w:tcPr>
            <w:tcW w:w="1051" w:type="pct"/>
            <w:tcBorders>
              <w:top w:val="single" w:color="auto" w:sz="4" w:space="0"/>
              <w:left w:val="nil"/>
              <w:bottom w:val="single" w:color="auto" w:sz="4" w:space="0"/>
              <w:right w:val="single" w:color="auto" w:sz="4" w:space="0"/>
            </w:tcBorders>
            <w:vAlign w:val="center"/>
          </w:tcPr>
          <w:p w14:paraId="068E1DD2">
            <w:pPr>
              <w:spacing w:line="280" w:lineRule="exact"/>
              <w:jc w:val="center"/>
              <w:rPr>
                <w:rFonts w:hint="eastAsia" w:ascii="宋体" w:hAnsi="宋体" w:eastAsia="宋体" w:cs="宋体"/>
                <w:highlight w:val="none"/>
              </w:rPr>
            </w:pPr>
            <w:r>
              <w:rPr>
                <w:rFonts w:ascii="宋体" w:hAnsi="宋体" w:eastAsia="宋体" w:cs="宋体"/>
                <w:highlight w:val="none"/>
              </w:rPr>
              <w:t>1437.1</w:t>
            </w:r>
          </w:p>
        </w:tc>
      </w:tr>
      <w:tr w14:paraId="5CB8D0E7">
        <w:tblPrEx>
          <w:tblCellMar>
            <w:top w:w="0" w:type="dxa"/>
            <w:left w:w="108" w:type="dxa"/>
            <w:bottom w:w="0" w:type="dxa"/>
            <w:right w:w="108" w:type="dxa"/>
          </w:tblCellMar>
        </w:tblPrEx>
        <w:trPr>
          <w:trHeight w:val="397" w:hRule="atLeast"/>
        </w:trPr>
        <w:tc>
          <w:tcPr>
            <w:tcW w:w="487" w:type="pct"/>
            <w:vMerge w:val="continue"/>
            <w:tcBorders>
              <w:left w:val="single" w:color="auto" w:sz="4" w:space="0"/>
              <w:right w:val="single" w:color="auto" w:sz="4" w:space="0"/>
            </w:tcBorders>
            <w:noWrap/>
            <w:vAlign w:val="center"/>
          </w:tcPr>
          <w:p w14:paraId="3F0558D0">
            <w:pPr>
              <w:spacing w:line="280" w:lineRule="exact"/>
              <w:jc w:val="center"/>
              <w:rPr>
                <w:rFonts w:hint="eastAsia" w:ascii="宋体" w:hAnsi="宋体" w:eastAsia="宋体" w:cs="宋体"/>
                <w:highlight w:val="none"/>
              </w:rPr>
            </w:pPr>
          </w:p>
        </w:tc>
        <w:tc>
          <w:tcPr>
            <w:tcW w:w="360" w:type="pct"/>
            <w:tcBorders>
              <w:top w:val="single" w:color="auto" w:sz="4" w:space="0"/>
              <w:left w:val="nil"/>
              <w:bottom w:val="single" w:color="auto" w:sz="4" w:space="0"/>
              <w:right w:val="single" w:color="auto" w:sz="4" w:space="0"/>
            </w:tcBorders>
            <w:vAlign w:val="center"/>
          </w:tcPr>
          <w:p w14:paraId="4B2CF10A">
            <w:pPr>
              <w:spacing w:line="280" w:lineRule="exact"/>
              <w:jc w:val="center"/>
              <w:rPr>
                <w:rFonts w:hint="eastAsia" w:ascii="宋体" w:hAnsi="宋体" w:eastAsia="宋体" w:cs="宋体"/>
                <w:highlight w:val="none"/>
              </w:rPr>
            </w:pPr>
            <w:r>
              <w:rPr>
                <w:rFonts w:hint="eastAsia" w:ascii="宋体" w:hAnsi="宋体" w:eastAsia="宋体" w:cs="宋体"/>
                <w:highlight w:val="none"/>
              </w:rPr>
              <w:t>12</w:t>
            </w:r>
          </w:p>
        </w:tc>
        <w:tc>
          <w:tcPr>
            <w:tcW w:w="2013" w:type="pct"/>
            <w:tcBorders>
              <w:top w:val="single" w:color="auto" w:sz="4" w:space="0"/>
              <w:left w:val="nil"/>
              <w:bottom w:val="single" w:color="auto" w:sz="4" w:space="0"/>
              <w:right w:val="single" w:color="auto" w:sz="4" w:space="0"/>
            </w:tcBorders>
            <w:vAlign w:val="center"/>
          </w:tcPr>
          <w:p w14:paraId="1627DF6E">
            <w:pPr>
              <w:spacing w:line="280" w:lineRule="exact"/>
              <w:rPr>
                <w:rFonts w:hint="eastAsia" w:ascii="宋体" w:hAnsi="宋体" w:eastAsia="宋体" w:cs="宋体"/>
                <w:highlight w:val="none"/>
              </w:rPr>
            </w:pPr>
            <w:r>
              <w:rPr>
                <w:rFonts w:ascii="宋体" w:hAnsi="宋体" w:eastAsia="宋体" w:cs="宋体"/>
                <w:highlight w:val="none"/>
              </w:rPr>
              <w:t>城子街互通匝道收费站</w:t>
            </w:r>
          </w:p>
        </w:tc>
        <w:tc>
          <w:tcPr>
            <w:tcW w:w="1088" w:type="pct"/>
            <w:tcBorders>
              <w:top w:val="single" w:color="auto" w:sz="4" w:space="0"/>
              <w:left w:val="nil"/>
              <w:bottom w:val="single" w:color="auto" w:sz="4" w:space="0"/>
              <w:right w:val="single" w:color="auto" w:sz="4" w:space="0"/>
            </w:tcBorders>
            <w:vAlign w:val="center"/>
          </w:tcPr>
          <w:p w14:paraId="12B34DCA">
            <w:pPr>
              <w:spacing w:line="280" w:lineRule="exact"/>
              <w:jc w:val="center"/>
              <w:rPr>
                <w:rFonts w:hint="eastAsia" w:ascii="宋体" w:hAnsi="宋体" w:eastAsia="宋体" w:cs="宋体"/>
                <w:highlight w:val="none"/>
              </w:rPr>
            </w:pPr>
            <w:r>
              <w:rPr>
                <w:rFonts w:hint="eastAsia" w:ascii="宋体" w:hAnsi="宋体" w:eastAsia="宋体" w:cs="宋体"/>
                <w:highlight w:val="none"/>
              </w:rPr>
              <w:t>长春市（九台区）</w:t>
            </w:r>
          </w:p>
        </w:tc>
        <w:tc>
          <w:tcPr>
            <w:tcW w:w="1051" w:type="pct"/>
            <w:tcBorders>
              <w:top w:val="single" w:color="auto" w:sz="4" w:space="0"/>
              <w:left w:val="nil"/>
              <w:bottom w:val="single" w:color="auto" w:sz="4" w:space="0"/>
              <w:right w:val="single" w:color="auto" w:sz="4" w:space="0"/>
            </w:tcBorders>
            <w:vAlign w:val="center"/>
          </w:tcPr>
          <w:p w14:paraId="03BBF529">
            <w:pPr>
              <w:spacing w:line="280" w:lineRule="exact"/>
              <w:jc w:val="center"/>
              <w:rPr>
                <w:rFonts w:hint="eastAsia" w:ascii="宋体" w:hAnsi="宋体" w:eastAsia="宋体" w:cs="宋体"/>
                <w:highlight w:val="none"/>
              </w:rPr>
            </w:pPr>
            <w:r>
              <w:rPr>
                <w:rFonts w:ascii="宋体" w:hAnsi="宋体" w:eastAsia="宋体" w:cs="宋体"/>
                <w:highlight w:val="none"/>
              </w:rPr>
              <w:t>1088.34</w:t>
            </w:r>
          </w:p>
        </w:tc>
      </w:tr>
      <w:tr w14:paraId="26F60AF6">
        <w:tblPrEx>
          <w:tblCellMar>
            <w:top w:w="0" w:type="dxa"/>
            <w:left w:w="108" w:type="dxa"/>
            <w:bottom w:w="0" w:type="dxa"/>
            <w:right w:w="108" w:type="dxa"/>
          </w:tblCellMar>
        </w:tblPrEx>
        <w:trPr>
          <w:trHeight w:val="397" w:hRule="atLeast"/>
        </w:trPr>
        <w:tc>
          <w:tcPr>
            <w:tcW w:w="487" w:type="pct"/>
            <w:vMerge w:val="continue"/>
            <w:tcBorders>
              <w:left w:val="single" w:color="auto" w:sz="4" w:space="0"/>
              <w:right w:val="single" w:color="auto" w:sz="4" w:space="0"/>
            </w:tcBorders>
            <w:noWrap/>
            <w:vAlign w:val="center"/>
          </w:tcPr>
          <w:p w14:paraId="393311CC">
            <w:pPr>
              <w:spacing w:line="280" w:lineRule="exact"/>
              <w:jc w:val="center"/>
              <w:rPr>
                <w:rFonts w:hint="eastAsia" w:ascii="宋体" w:hAnsi="宋体" w:eastAsia="宋体" w:cs="宋体"/>
                <w:highlight w:val="none"/>
              </w:rPr>
            </w:pPr>
          </w:p>
        </w:tc>
        <w:tc>
          <w:tcPr>
            <w:tcW w:w="360" w:type="pct"/>
            <w:tcBorders>
              <w:top w:val="single" w:color="auto" w:sz="4" w:space="0"/>
              <w:left w:val="nil"/>
              <w:bottom w:val="single" w:color="auto" w:sz="4" w:space="0"/>
              <w:right w:val="single" w:color="auto" w:sz="4" w:space="0"/>
            </w:tcBorders>
            <w:vAlign w:val="center"/>
          </w:tcPr>
          <w:p w14:paraId="773E9DD1">
            <w:pPr>
              <w:spacing w:line="280" w:lineRule="exact"/>
              <w:jc w:val="center"/>
              <w:rPr>
                <w:rFonts w:hint="eastAsia" w:ascii="宋体" w:hAnsi="宋体" w:eastAsia="宋体" w:cs="宋体"/>
                <w:highlight w:val="none"/>
              </w:rPr>
            </w:pPr>
            <w:r>
              <w:rPr>
                <w:rFonts w:hint="eastAsia" w:ascii="宋体" w:hAnsi="宋体" w:eastAsia="宋体" w:cs="宋体"/>
                <w:highlight w:val="none"/>
              </w:rPr>
              <w:t>13</w:t>
            </w:r>
          </w:p>
        </w:tc>
        <w:tc>
          <w:tcPr>
            <w:tcW w:w="2013" w:type="pct"/>
            <w:tcBorders>
              <w:top w:val="single" w:color="auto" w:sz="4" w:space="0"/>
              <w:left w:val="nil"/>
              <w:bottom w:val="single" w:color="auto" w:sz="4" w:space="0"/>
              <w:right w:val="single" w:color="auto" w:sz="4" w:space="0"/>
            </w:tcBorders>
            <w:vAlign w:val="center"/>
          </w:tcPr>
          <w:p w14:paraId="38394B8B">
            <w:pPr>
              <w:spacing w:line="280" w:lineRule="exact"/>
              <w:rPr>
                <w:rFonts w:hint="eastAsia" w:ascii="宋体" w:hAnsi="宋体" w:eastAsia="宋体" w:cs="宋体"/>
                <w:highlight w:val="none"/>
              </w:rPr>
            </w:pPr>
            <w:r>
              <w:rPr>
                <w:rFonts w:ascii="宋体" w:hAnsi="宋体" w:eastAsia="宋体" w:cs="宋体"/>
                <w:highlight w:val="none"/>
              </w:rPr>
              <w:t>朝阳互通匝道收费站</w:t>
            </w:r>
          </w:p>
        </w:tc>
        <w:tc>
          <w:tcPr>
            <w:tcW w:w="1088" w:type="pct"/>
            <w:tcBorders>
              <w:top w:val="single" w:color="auto" w:sz="4" w:space="0"/>
              <w:left w:val="nil"/>
              <w:bottom w:val="single" w:color="auto" w:sz="4" w:space="0"/>
              <w:right w:val="single" w:color="auto" w:sz="4" w:space="0"/>
            </w:tcBorders>
            <w:vAlign w:val="center"/>
          </w:tcPr>
          <w:p w14:paraId="0913EDA3">
            <w:pPr>
              <w:spacing w:line="280" w:lineRule="exact"/>
              <w:jc w:val="center"/>
              <w:rPr>
                <w:rFonts w:hint="eastAsia" w:ascii="宋体" w:hAnsi="宋体" w:eastAsia="宋体" w:cs="宋体"/>
                <w:highlight w:val="none"/>
              </w:rPr>
            </w:pPr>
            <w:r>
              <w:rPr>
                <w:rFonts w:hint="eastAsia" w:ascii="宋体" w:hAnsi="宋体" w:eastAsia="宋体" w:cs="宋体"/>
                <w:highlight w:val="none"/>
              </w:rPr>
              <w:t>德惠市</w:t>
            </w:r>
          </w:p>
        </w:tc>
        <w:tc>
          <w:tcPr>
            <w:tcW w:w="1051" w:type="pct"/>
            <w:tcBorders>
              <w:top w:val="single" w:color="auto" w:sz="4" w:space="0"/>
              <w:left w:val="nil"/>
              <w:bottom w:val="single" w:color="auto" w:sz="4" w:space="0"/>
              <w:right w:val="single" w:color="auto" w:sz="4" w:space="0"/>
            </w:tcBorders>
            <w:vAlign w:val="center"/>
          </w:tcPr>
          <w:p w14:paraId="5C904D65">
            <w:pPr>
              <w:spacing w:line="280" w:lineRule="exact"/>
              <w:jc w:val="center"/>
              <w:rPr>
                <w:rFonts w:hint="eastAsia" w:ascii="宋体" w:hAnsi="宋体" w:eastAsia="宋体" w:cs="宋体"/>
                <w:highlight w:val="none"/>
              </w:rPr>
            </w:pPr>
            <w:r>
              <w:rPr>
                <w:rFonts w:ascii="宋体" w:hAnsi="宋体" w:eastAsia="宋体" w:cs="宋体"/>
                <w:highlight w:val="none"/>
              </w:rPr>
              <w:t>1088.34</w:t>
            </w:r>
          </w:p>
        </w:tc>
      </w:tr>
      <w:tr w14:paraId="422D2EB4">
        <w:tblPrEx>
          <w:tblCellMar>
            <w:top w:w="0" w:type="dxa"/>
            <w:left w:w="108" w:type="dxa"/>
            <w:bottom w:w="0" w:type="dxa"/>
            <w:right w:w="108" w:type="dxa"/>
          </w:tblCellMar>
        </w:tblPrEx>
        <w:trPr>
          <w:trHeight w:val="397" w:hRule="atLeast"/>
        </w:trPr>
        <w:tc>
          <w:tcPr>
            <w:tcW w:w="487" w:type="pct"/>
            <w:vMerge w:val="continue"/>
            <w:tcBorders>
              <w:left w:val="single" w:color="auto" w:sz="4" w:space="0"/>
              <w:right w:val="single" w:color="auto" w:sz="4" w:space="0"/>
            </w:tcBorders>
            <w:noWrap/>
            <w:vAlign w:val="center"/>
          </w:tcPr>
          <w:p w14:paraId="480F4F17">
            <w:pPr>
              <w:spacing w:line="280" w:lineRule="exact"/>
              <w:jc w:val="center"/>
              <w:rPr>
                <w:rFonts w:hint="eastAsia" w:ascii="宋体" w:hAnsi="宋体" w:eastAsia="宋体" w:cs="宋体"/>
                <w:highlight w:val="none"/>
              </w:rPr>
            </w:pPr>
          </w:p>
        </w:tc>
        <w:tc>
          <w:tcPr>
            <w:tcW w:w="360" w:type="pct"/>
            <w:tcBorders>
              <w:top w:val="single" w:color="auto" w:sz="4" w:space="0"/>
              <w:left w:val="nil"/>
              <w:bottom w:val="single" w:color="auto" w:sz="4" w:space="0"/>
              <w:right w:val="single" w:color="auto" w:sz="4" w:space="0"/>
            </w:tcBorders>
            <w:vAlign w:val="center"/>
          </w:tcPr>
          <w:p w14:paraId="0E5A0963">
            <w:pPr>
              <w:spacing w:line="280" w:lineRule="exact"/>
              <w:jc w:val="center"/>
              <w:rPr>
                <w:rFonts w:hint="eastAsia" w:ascii="宋体" w:hAnsi="宋体" w:eastAsia="宋体" w:cs="宋体"/>
                <w:highlight w:val="none"/>
              </w:rPr>
            </w:pPr>
            <w:r>
              <w:rPr>
                <w:rFonts w:hint="eastAsia" w:ascii="宋体" w:hAnsi="宋体" w:eastAsia="宋体" w:cs="宋体"/>
                <w:highlight w:val="none"/>
              </w:rPr>
              <w:t>14</w:t>
            </w:r>
          </w:p>
        </w:tc>
        <w:tc>
          <w:tcPr>
            <w:tcW w:w="2013" w:type="pct"/>
            <w:tcBorders>
              <w:top w:val="single" w:color="auto" w:sz="4" w:space="0"/>
              <w:left w:val="nil"/>
              <w:bottom w:val="single" w:color="auto" w:sz="4" w:space="0"/>
              <w:right w:val="single" w:color="auto" w:sz="4" w:space="0"/>
            </w:tcBorders>
            <w:vAlign w:val="center"/>
          </w:tcPr>
          <w:p w14:paraId="2F26E140">
            <w:pPr>
              <w:spacing w:line="280" w:lineRule="exact"/>
              <w:rPr>
                <w:rFonts w:hint="eastAsia" w:ascii="宋体" w:hAnsi="宋体" w:eastAsia="宋体" w:cs="宋体"/>
                <w:highlight w:val="none"/>
              </w:rPr>
            </w:pPr>
            <w:r>
              <w:rPr>
                <w:rFonts w:ascii="宋体" w:hAnsi="宋体" w:eastAsia="宋体" w:cs="宋体"/>
                <w:highlight w:val="none"/>
              </w:rPr>
              <w:t>秀水互通匝道收费站</w:t>
            </w:r>
          </w:p>
        </w:tc>
        <w:tc>
          <w:tcPr>
            <w:tcW w:w="1088" w:type="pct"/>
            <w:tcBorders>
              <w:top w:val="single" w:color="auto" w:sz="4" w:space="0"/>
              <w:left w:val="nil"/>
              <w:bottom w:val="single" w:color="auto" w:sz="4" w:space="0"/>
              <w:right w:val="single" w:color="auto" w:sz="4" w:space="0"/>
            </w:tcBorders>
            <w:vAlign w:val="center"/>
          </w:tcPr>
          <w:p w14:paraId="019C1644">
            <w:pPr>
              <w:spacing w:line="280" w:lineRule="exact"/>
              <w:jc w:val="center"/>
              <w:rPr>
                <w:rFonts w:hint="eastAsia" w:ascii="宋体" w:hAnsi="宋体" w:eastAsia="宋体" w:cs="宋体"/>
                <w:highlight w:val="none"/>
              </w:rPr>
            </w:pPr>
            <w:r>
              <w:rPr>
                <w:rFonts w:hint="eastAsia" w:ascii="宋体" w:hAnsi="宋体" w:eastAsia="宋体"/>
                <w:highlight w:val="none"/>
              </w:rPr>
              <w:t>榆树市</w:t>
            </w:r>
          </w:p>
        </w:tc>
        <w:tc>
          <w:tcPr>
            <w:tcW w:w="1051" w:type="pct"/>
            <w:tcBorders>
              <w:top w:val="single" w:color="auto" w:sz="4" w:space="0"/>
              <w:left w:val="nil"/>
              <w:bottom w:val="single" w:color="auto" w:sz="4" w:space="0"/>
              <w:right w:val="single" w:color="auto" w:sz="4" w:space="0"/>
            </w:tcBorders>
            <w:vAlign w:val="center"/>
          </w:tcPr>
          <w:p w14:paraId="5C0EE327">
            <w:pPr>
              <w:spacing w:line="280" w:lineRule="exact"/>
              <w:jc w:val="center"/>
              <w:rPr>
                <w:rFonts w:hint="eastAsia" w:ascii="宋体" w:hAnsi="宋体" w:eastAsia="宋体" w:cs="宋体"/>
                <w:highlight w:val="none"/>
              </w:rPr>
            </w:pPr>
            <w:r>
              <w:rPr>
                <w:rFonts w:ascii="宋体" w:hAnsi="宋体" w:eastAsia="宋体" w:cs="宋体"/>
                <w:highlight w:val="none"/>
              </w:rPr>
              <w:t>1088.34</w:t>
            </w:r>
          </w:p>
        </w:tc>
      </w:tr>
      <w:tr w14:paraId="2120F834">
        <w:tblPrEx>
          <w:tblCellMar>
            <w:top w:w="0" w:type="dxa"/>
            <w:left w:w="108" w:type="dxa"/>
            <w:bottom w:w="0" w:type="dxa"/>
            <w:right w:w="108" w:type="dxa"/>
          </w:tblCellMar>
        </w:tblPrEx>
        <w:trPr>
          <w:trHeight w:val="397" w:hRule="atLeast"/>
        </w:trPr>
        <w:tc>
          <w:tcPr>
            <w:tcW w:w="487" w:type="pct"/>
            <w:vMerge w:val="continue"/>
            <w:tcBorders>
              <w:left w:val="single" w:color="auto" w:sz="4" w:space="0"/>
              <w:bottom w:val="single" w:color="000000" w:sz="4" w:space="0"/>
              <w:right w:val="single" w:color="auto" w:sz="4" w:space="0"/>
            </w:tcBorders>
            <w:vAlign w:val="center"/>
          </w:tcPr>
          <w:p w14:paraId="5A658508">
            <w:pPr>
              <w:spacing w:line="280" w:lineRule="exact"/>
              <w:rPr>
                <w:rFonts w:hint="eastAsia" w:ascii="黑体" w:hAnsi="黑体" w:eastAsia="黑体" w:cs="宋体"/>
                <w:highlight w:val="none"/>
              </w:rPr>
            </w:pPr>
          </w:p>
        </w:tc>
        <w:tc>
          <w:tcPr>
            <w:tcW w:w="2373" w:type="pct"/>
            <w:gridSpan w:val="2"/>
            <w:tcBorders>
              <w:top w:val="nil"/>
              <w:left w:val="single" w:color="auto" w:sz="4" w:space="0"/>
              <w:bottom w:val="single" w:color="auto" w:sz="4" w:space="0"/>
              <w:right w:val="single" w:color="auto" w:sz="4" w:space="0"/>
            </w:tcBorders>
            <w:vAlign w:val="center"/>
          </w:tcPr>
          <w:p w14:paraId="03AD755A">
            <w:pPr>
              <w:spacing w:line="280" w:lineRule="exact"/>
              <w:jc w:val="center"/>
              <w:rPr>
                <w:rFonts w:hint="eastAsia" w:ascii="黑体" w:hAnsi="黑体" w:eastAsia="黑体" w:cs="宋体"/>
                <w:highlight w:val="none"/>
              </w:rPr>
            </w:pPr>
            <w:r>
              <w:rPr>
                <w:rFonts w:hint="eastAsia" w:ascii="黑体" w:hAnsi="黑体" w:eastAsia="黑体" w:cs="宋体"/>
                <w:highlight w:val="none"/>
              </w:rPr>
              <w:t>合计</w:t>
            </w:r>
          </w:p>
        </w:tc>
        <w:tc>
          <w:tcPr>
            <w:tcW w:w="1088" w:type="pct"/>
            <w:tcBorders>
              <w:top w:val="nil"/>
              <w:left w:val="single" w:color="auto" w:sz="4" w:space="0"/>
              <w:bottom w:val="single" w:color="auto" w:sz="4" w:space="0"/>
              <w:right w:val="single" w:color="auto" w:sz="4" w:space="0"/>
            </w:tcBorders>
            <w:vAlign w:val="center"/>
          </w:tcPr>
          <w:p w14:paraId="307BB152">
            <w:pPr>
              <w:spacing w:line="280" w:lineRule="exact"/>
              <w:jc w:val="center"/>
              <w:rPr>
                <w:rFonts w:hint="eastAsia" w:ascii="黑体" w:hAnsi="黑体" w:eastAsia="黑体" w:cs="宋体"/>
                <w:highlight w:val="none"/>
              </w:rPr>
            </w:pPr>
          </w:p>
        </w:tc>
        <w:tc>
          <w:tcPr>
            <w:tcW w:w="1051" w:type="pct"/>
            <w:tcBorders>
              <w:top w:val="nil"/>
              <w:left w:val="single" w:color="auto" w:sz="4" w:space="0"/>
              <w:bottom w:val="single" w:color="auto" w:sz="4" w:space="0"/>
              <w:right w:val="single" w:color="auto" w:sz="4" w:space="0"/>
            </w:tcBorders>
            <w:vAlign w:val="center"/>
          </w:tcPr>
          <w:p w14:paraId="144E7667">
            <w:pPr>
              <w:spacing w:line="280" w:lineRule="exact"/>
              <w:jc w:val="center"/>
              <w:rPr>
                <w:rFonts w:hint="eastAsia" w:ascii="黑体" w:hAnsi="黑体" w:eastAsia="黑体" w:cs="宋体"/>
                <w:highlight w:val="none"/>
              </w:rPr>
            </w:pPr>
            <w:r>
              <w:rPr>
                <w:rFonts w:hint="eastAsia" w:ascii="黑体" w:hAnsi="黑体" w:eastAsia="黑体"/>
                <w:highlight w:val="none"/>
              </w:rPr>
              <w:t>36842.79</w:t>
            </w:r>
          </w:p>
        </w:tc>
      </w:tr>
    </w:tbl>
    <w:p w14:paraId="082D6CB3">
      <w:pPr>
        <w:spacing w:before="120" w:beforeLines="50" w:after="120" w:afterLines="50" w:line="400" w:lineRule="exact"/>
        <w:rPr>
          <w:rFonts w:ascii="黑体" w:eastAsia="黑体"/>
          <w:sz w:val="24"/>
          <w:highlight w:val="none"/>
        </w:rPr>
      </w:pPr>
      <w:r>
        <w:rPr>
          <w:rFonts w:ascii="黑体" w:eastAsia="黑体"/>
          <w:sz w:val="24"/>
          <w:highlight w:val="none"/>
        </w:rPr>
        <w:t>3.</w:t>
      </w:r>
      <w:r>
        <w:rPr>
          <w:rFonts w:hint="eastAsia" w:ascii="黑体" w:eastAsia="黑体"/>
          <w:sz w:val="24"/>
          <w:highlight w:val="none"/>
        </w:rPr>
        <w:t>投标人资格要求</w:t>
      </w:r>
    </w:p>
    <w:p w14:paraId="51AFC187">
      <w:pPr>
        <w:spacing w:line="400" w:lineRule="exact"/>
        <w:ind w:right="1" w:firstLine="424"/>
        <w:rPr>
          <w:rFonts w:hint="eastAsia" w:cs="宋体" w:asciiTheme="minorEastAsia" w:hAnsiTheme="minorEastAsia" w:eastAsiaTheme="minorEastAsia"/>
          <w:highlight w:val="none"/>
        </w:rPr>
      </w:pPr>
      <w:r>
        <w:rPr>
          <w:rFonts w:cs="宋体" w:asciiTheme="minorEastAsia" w:hAnsiTheme="minorEastAsia" w:eastAsiaTheme="minorEastAsia"/>
          <w:highlight w:val="none"/>
        </w:rPr>
        <w:t>3.1 本次招标要求投标人具备独立法人资格，具备有效的营业执照，具备建设行政主管部门核发的工程监理综合资质或房屋建筑工程监理丙级及以上资质，并在人员、试验检测仪器设备方面具有相应的监理能力。</w:t>
      </w:r>
    </w:p>
    <w:p w14:paraId="609A9532">
      <w:pPr>
        <w:spacing w:line="400" w:lineRule="exact"/>
        <w:ind w:right="1" w:firstLine="425"/>
        <w:rPr>
          <w:rFonts w:hint="eastAsia" w:cs="宋体" w:asciiTheme="minorEastAsia" w:hAnsiTheme="minorEastAsia" w:eastAsiaTheme="minorEastAsia"/>
          <w:highlight w:val="none"/>
        </w:rPr>
      </w:pPr>
      <w:r>
        <w:rPr>
          <w:rFonts w:cs="宋体" w:asciiTheme="minorEastAsia" w:hAnsiTheme="minorEastAsia" w:eastAsiaTheme="minorEastAsia"/>
          <w:highlight w:val="none"/>
        </w:rPr>
        <w:t>3.2 业绩要求：近</w:t>
      </w:r>
      <w:r>
        <w:rPr>
          <w:rFonts w:hint="eastAsia" w:cs="宋体" w:asciiTheme="minorEastAsia" w:hAnsiTheme="minorEastAsia" w:eastAsiaTheme="minorEastAsia"/>
          <w:highlight w:val="none"/>
        </w:rPr>
        <w:t>三</w:t>
      </w:r>
      <w:r>
        <w:rPr>
          <w:rFonts w:cs="宋体" w:asciiTheme="minorEastAsia" w:hAnsiTheme="minorEastAsia" w:eastAsiaTheme="minorEastAsia"/>
          <w:highlight w:val="none"/>
        </w:rPr>
        <w:t>年</w:t>
      </w:r>
      <w:r>
        <w:rPr>
          <w:rFonts w:hint="eastAsia" w:cs="宋体" w:asciiTheme="minorEastAsia" w:hAnsiTheme="minorEastAsia" w:eastAsiaTheme="minorEastAsia"/>
          <w:highlight w:val="none"/>
        </w:rPr>
        <w:t>（2023年1月1日至投标截止时间，以工程竣工时间为准）</w:t>
      </w:r>
      <w:r>
        <w:rPr>
          <w:rFonts w:cs="宋体" w:asciiTheme="minorEastAsia" w:hAnsiTheme="minorEastAsia" w:eastAsiaTheme="minorEastAsia"/>
          <w:highlight w:val="none"/>
        </w:rPr>
        <w:t>至少独立完成过1项</w:t>
      </w:r>
    </w:p>
    <w:p w14:paraId="7B98E5A7">
      <w:pPr>
        <w:spacing w:line="400" w:lineRule="exact"/>
        <w:ind w:right="1" w:firstLine="425"/>
        <w:rPr>
          <w:rFonts w:hint="eastAsia" w:cs="宋体" w:asciiTheme="minorEastAsia" w:hAnsiTheme="minorEastAsia" w:eastAsiaTheme="minorEastAsia"/>
          <w:highlight w:val="none"/>
        </w:rPr>
      </w:pPr>
      <w:r>
        <w:rPr>
          <w:rFonts w:cs="宋体" w:asciiTheme="minorEastAsia" w:hAnsiTheme="minorEastAsia" w:eastAsiaTheme="minorEastAsia"/>
          <w:highlight w:val="none"/>
        </w:rPr>
        <w:t>（指1个监理委托合同）建筑面积不少于35000平方米的房建工程施工监理业绩。</w:t>
      </w:r>
    </w:p>
    <w:p w14:paraId="00F1AF52">
      <w:pPr>
        <w:spacing w:line="400" w:lineRule="exact"/>
        <w:ind w:right="1" w:firstLine="425"/>
        <w:rPr>
          <w:rFonts w:hint="eastAsia" w:ascii="黑体" w:hAnsi="黑体" w:eastAsia="黑体"/>
          <w:highlight w:val="none"/>
        </w:rPr>
      </w:pPr>
      <w:r>
        <w:rPr>
          <w:rFonts w:hint="eastAsia" w:cs="宋体" w:asciiTheme="minorEastAsia" w:hAnsiTheme="minorEastAsia" w:eastAsiaTheme="minorEastAsia"/>
          <w:highlight w:val="none"/>
        </w:rPr>
        <w:t>3</w:t>
      </w:r>
      <w:r>
        <w:rPr>
          <w:rFonts w:cs="宋体" w:asciiTheme="minorEastAsia" w:hAnsiTheme="minorEastAsia" w:eastAsiaTheme="minorEastAsia"/>
          <w:highlight w:val="none"/>
        </w:rPr>
        <w:t>.3</w:t>
      </w:r>
      <w:r>
        <w:rPr>
          <w:rFonts w:hint="eastAsia" w:cs="宋体" w:asciiTheme="minorEastAsia" w:hAnsiTheme="minorEastAsia" w:eastAsiaTheme="minorEastAsia"/>
          <w:highlight w:val="none"/>
        </w:rPr>
        <w:t xml:space="preserve"> </w:t>
      </w:r>
      <w:r>
        <w:rPr>
          <w:rFonts w:cs="宋体" w:asciiTheme="majorEastAsia" w:hAnsiTheme="majorEastAsia" w:eastAsiaTheme="majorEastAsia"/>
          <w:highlight w:val="none"/>
        </w:rPr>
        <w:t>企业业绩和总监理工程师业绩认定：</w:t>
      </w:r>
      <w:r>
        <w:rPr>
          <w:rFonts w:hint="eastAsia" w:cs="宋体" w:asciiTheme="majorEastAsia" w:hAnsiTheme="majorEastAsia" w:eastAsiaTheme="majorEastAsia"/>
          <w:highlight w:val="none"/>
        </w:rPr>
        <w:t>必须是通过互联网且不需任何权限即可在工程所在地的省级建筑市场监管一体化工作平台或省级建筑市场监管公共服务平台或全国建筑市场监管公共服务平台查询得到</w:t>
      </w:r>
      <w:r>
        <w:rPr>
          <w:rFonts w:hint="eastAsia" w:ascii="宋体" w:hAnsi="宋体" w:eastAsia="宋体"/>
          <w:highlight w:val="none"/>
        </w:rPr>
        <w:t>。查询到的数据应能满足招标文件评审的要求，其它网站查询的业绩不予认定。</w:t>
      </w:r>
    </w:p>
    <w:p w14:paraId="4EC99252">
      <w:pPr>
        <w:spacing w:line="400" w:lineRule="exact"/>
        <w:ind w:right="1" w:firstLine="425"/>
        <w:rPr>
          <w:rFonts w:hint="eastAsia" w:cs="宋体" w:asciiTheme="minorEastAsia" w:hAnsiTheme="minorEastAsia" w:eastAsiaTheme="minorEastAsia"/>
          <w:highlight w:val="none"/>
        </w:rPr>
      </w:pPr>
      <w:r>
        <w:rPr>
          <w:rFonts w:hint="eastAsia" w:ascii="宋体" w:hAnsi="宋体" w:eastAsia="宋体"/>
          <w:highlight w:val="none"/>
        </w:rPr>
        <w:t>注：所有业绩均须是新建或改扩建工程，维修、改造、装修装饰等工程不予认可。</w:t>
      </w:r>
    </w:p>
    <w:p w14:paraId="0C9786E4">
      <w:pPr>
        <w:spacing w:line="400" w:lineRule="exact"/>
        <w:ind w:firstLine="420" w:firstLineChars="200"/>
        <w:rPr>
          <w:highlight w:val="none"/>
        </w:rPr>
      </w:pPr>
      <w:r>
        <w:rPr>
          <w:rFonts w:hint="eastAsia" w:ascii="宋体" w:hAnsi="宋体" w:eastAsia="宋体"/>
          <w:highlight w:val="none"/>
        </w:rPr>
        <w:t>关于涉密工程招标评标业绩执行吉建招</w:t>
      </w:r>
      <w:r>
        <w:rPr>
          <w:rFonts w:hint="eastAsia" w:ascii="宋体" w:hAnsi="宋体" w:eastAsia="宋体" w:cs="宋体"/>
          <w:highlight w:val="none"/>
        </w:rPr>
        <w:t>【</w:t>
      </w:r>
      <w:r>
        <w:rPr>
          <w:rFonts w:hint="eastAsia" w:ascii="宋体" w:hAnsi="宋体" w:eastAsia="宋体"/>
          <w:highlight w:val="none"/>
        </w:rPr>
        <w:t>2017</w:t>
      </w:r>
      <w:r>
        <w:rPr>
          <w:rFonts w:hint="eastAsia" w:ascii="宋体" w:hAnsi="宋体" w:eastAsia="宋体" w:cs="宋体"/>
          <w:highlight w:val="none"/>
        </w:rPr>
        <w:t>】</w:t>
      </w:r>
      <w:r>
        <w:rPr>
          <w:rFonts w:hint="eastAsia" w:ascii="宋体" w:hAnsi="宋体" w:eastAsia="宋体"/>
          <w:highlight w:val="none"/>
        </w:rPr>
        <w:t>12号文件《吉林省住房和城乡建设厅关于涉密工程招标评标业绩认定的补充通知》的规定。</w:t>
      </w:r>
    </w:p>
    <w:p w14:paraId="5A891137">
      <w:pPr>
        <w:spacing w:line="400" w:lineRule="exact"/>
        <w:ind w:right="1" w:firstLine="425"/>
        <w:rPr>
          <w:rFonts w:hint="eastAsia" w:cs="宋体" w:asciiTheme="minorEastAsia" w:hAnsiTheme="minorEastAsia" w:eastAsiaTheme="minorEastAsia"/>
          <w:highlight w:val="none"/>
        </w:rPr>
      </w:pPr>
      <w:r>
        <w:rPr>
          <w:rFonts w:cs="宋体" w:asciiTheme="minorEastAsia" w:hAnsiTheme="minorEastAsia" w:eastAsiaTheme="minorEastAsia"/>
          <w:highlight w:val="none"/>
        </w:rPr>
        <w:t xml:space="preserve">3.4 </w:t>
      </w:r>
      <w:r>
        <w:rPr>
          <w:rFonts w:hint="eastAsia" w:cs="宋体" w:asciiTheme="minorEastAsia" w:hAnsiTheme="minorEastAsia" w:eastAsiaTheme="minorEastAsia"/>
          <w:highlight w:val="none"/>
        </w:rPr>
        <w:t>总</w:t>
      </w:r>
      <w:r>
        <w:rPr>
          <w:rFonts w:cs="宋体" w:asciiTheme="minorEastAsia" w:hAnsiTheme="minorEastAsia" w:eastAsiaTheme="minorEastAsia"/>
          <w:highlight w:val="none"/>
        </w:rPr>
        <w:t>监理工程师要求：具有房屋建筑工程专业国家注册监理工程师证书，建筑相关专业高级技术职称，</w:t>
      </w:r>
      <w:r>
        <w:rPr>
          <w:rFonts w:hint="eastAsia" w:cs="宋体" w:asciiTheme="minorEastAsia" w:hAnsiTheme="minorEastAsia" w:eastAsiaTheme="minorEastAsia"/>
          <w:highlight w:val="none"/>
        </w:rPr>
        <w:t>且</w:t>
      </w:r>
      <w:r>
        <w:rPr>
          <w:rFonts w:cs="宋体" w:asciiTheme="minorEastAsia" w:hAnsiTheme="minorEastAsia" w:eastAsiaTheme="minorEastAsia"/>
          <w:highlight w:val="none"/>
        </w:rPr>
        <w:t>无在建工程（提供无在建工程承诺书，该承诺书须由</w:t>
      </w:r>
      <w:r>
        <w:rPr>
          <w:rFonts w:hint="eastAsia" w:cs="宋体" w:asciiTheme="minorEastAsia" w:hAnsiTheme="minorEastAsia" w:eastAsiaTheme="minorEastAsia"/>
          <w:highlight w:val="none"/>
        </w:rPr>
        <w:t>总</w:t>
      </w:r>
      <w:r>
        <w:rPr>
          <w:rFonts w:cs="宋体" w:asciiTheme="minorEastAsia" w:hAnsiTheme="minorEastAsia" w:eastAsiaTheme="minorEastAsia"/>
          <w:highlight w:val="none"/>
        </w:rPr>
        <w:t>监理工程师本人签字并加盖投标单位公章）。</w:t>
      </w:r>
    </w:p>
    <w:p w14:paraId="57665CCC">
      <w:pPr>
        <w:spacing w:line="400" w:lineRule="exact"/>
        <w:ind w:right="1" w:firstLine="425"/>
        <w:rPr>
          <w:rFonts w:hint="eastAsia" w:cs="宋体" w:asciiTheme="minorEastAsia" w:hAnsiTheme="minorEastAsia" w:eastAsiaTheme="minorEastAsia"/>
          <w:highlight w:val="none"/>
        </w:rPr>
      </w:pPr>
      <w:r>
        <w:rPr>
          <w:rFonts w:hint="eastAsia" w:cs="宋体" w:asciiTheme="minorEastAsia" w:hAnsiTheme="minorEastAsia" w:eastAsiaTheme="minorEastAsia"/>
          <w:highlight w:val="none"/>
        </w:rPr>
        <w:t>3</w:t>
      </w:r>
      <w:r>
        <w:rPr>
          <w:rFonts w:cs="宋体" w:asciiTheme="minorEastAsia" w:hAnsiTheme="minorEastAsia" w:eastAsiaTheme="minorEastAsia"/>
          <w:highlight w:val="none"/>
        </w:rPr>
        <w:t>.5 其他</w:t>
      </w:r>
      <w:r>
        <w:rPr>
          <w:rFonts w:hint="eastAsia" w:cs="宋体" w:asciiTheme="minorEastAsia" w:hAnsiTheme="minorEastAsia" w:eastAsiaTheme="minorEastAsia"/>
          <w:highlight w:val="none"/>
        </w:rPr>
        <w:t>主</w:t>
      </w:r>
      <w:r>
        <w:rPr>
          <w:rFonts w:cs="宋体" w:asciiTheme="minorEastAsia" w:hAnsiTheme="minorEastAsia" w:eastAsiaTheme="minorEastAsia"/>
          <w:highlight w:val="none"/>
        </w:rPr>
        <w:t>要监理人员要求：至少应配备房屋建筑工程专业监理工程师4人，水暖专业监理工程师4人</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电气专业监理工程师4人</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监理人员具体要求应符合吉建消【2020】9 号文件的要求</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监理工程师可提供国家注册监理工程师执业资格或提供相关专业职称证书和企业对其实践经验并经监理业务培训的证明或者承诺；监理员提供中专及以上学历证明和企业对其经过监理业务培训的证明或者承诺）。</w:t>
      </w:r>
    </w:p>
    <w:p w14:paraId="4E359507">
      <w:pPr>
        <w:spacing w:line="400" w:lineRule="exact"/>
        <w:ind w:left="2" w:right="87" w:firstLine="422"/>
        <w:rPr>
          <w:rFonts w:hint="eastAsia" w:cs="宋体" w:asciiTheme="majorEastAsia" w:hAnsiTheme="majorEastAsia" w:eastAsiaTheme="majorEastAsia"/>
          <w:highlight w:val="none"/>
        </w:rPr>
      </w:pPr>
      <w:r>
        <w:rPr>
          <w:rFonts w:hint="eastAsia" w:cs="宋体" w:asciiTheme="minorEastAsia" w:hAnsiTheme="minorEastAsia" w:eastAsiaTheme="minorEastAsia"/>
          <w:highlight w:val="none"/>
        </w:rPr>
        <w:t>3</w:t>
      </w:r>
      <w:r>
        <w:rPr>
          <w:rFonts w:cs="宋体" w:asciiTheme="minorEastAsia" w:hAnsiTheme="minorEastAsia" w:eastAsiaTheme="minorEastAsia"/>
          <w:highlight w:val="none"/>
        </w:rPr>
        <w:t xml:space="preserve">.6 </w:t>
      </w:r>
      <w:r>
        <w:rPr>
          <w:rFonts w:cs="宋体" w:asciiTheme="majorEastAsia" w:hAnsiTheme="majorEastAsia" w:eastAsiaTheme="majorEastAsia"/>
          <w:highlight w:val="none"/>
        </w:rPr>
        <w:t>投标人拟派项目管理机构人员均应为投标人在职人员，</w:t>
      </w:r>
      <w:r>
        <w:rPr>
          <w:rFonts w:hint="eastAsia" w:cs="宋体" w:asciiTheme="majorEastAsia" w:hAnsiTheme="majorEastAsia" w:eastAsiaTheme="majorEastAsia"/>
          <w:highlight w:val="none"/>
        </w:rPr>
        <w:t>须</w:t>
      </w:r>
      <w:r>
        <w:rPr>
          <w:rFonts w:cs="宋体" w:asciiTheme="majorEastAsia" w:hAnsiTheme="majorEastAsia" w:eastAsiaTheme="majorEastAsia"/>
          <w:highlight w:val="none"/>
        </w:rPr>
        <w:t>提供 2026年6月1日至投标截止时间前任意一个月的社保证明材料，以社保官网查询为准</w:t>
      </w:r>
      <w:r>
        <w:rPr>
          <w:rFonts w:hint="eastAsia" w:cs="宋体" w:asciiTheme="majorEastAsia" w:hAnsiTheme="majorEastAsia" w:eastAsiaTheme="majorEastAsia"/>
          <w:highlight w:val="none"/>
        </w:rPr>
        <w:t>（分公司缴纳的社会保险可以予以认可，上级公司、子公司、人力资源服务机构等其他单位缴纳或个人缴纳社会保险均不予认可）。</w:t>
      </w:r>
    </w:p>
    <w:p w14:paraId="40A1FCC5">
      <w:pPr>
        <w:spacing w:line="400" w:lineRule="exact"/>
        <w:ind w:left="21" w:leftChars="10" w:firstLine="420" w:firstLineChars="200"/>
        <w:outlineLvl w:val="1"/>
        <w:rPr>
          <w:rFonts w:hint="eastAsia" w:cs="宋体" w:asciiTheme="minorEastAsia" w:hAnsiTheme="minorEastAsia" w:eastAsiaTheme="minorEastAsia"/>
          <w:highlight w:val="none"/>
          <w14:textOutline w14:w="3797" w14:cap="sq" w14:cmpd="sng" w14:algn="ctr">
            <w14:solidFill>
              <w14:srgbClr w14:val="000000"/>
            </w14:solidFill>
            <w14:prstDash w14:val="solid"/>
            <w14:bevel/>
          </w14:textOutline>
        </w:rPr>
      </w:pPr>
      <w:r>
        <w:rPr>
          <w:rFonts w:hint="eastAsia" w:cs="宋体" w:asciiTheme="majorEastAsia" w:hAnsiTheme="majorEastAsia" w:eastAsiaTheme="majorEastAsia"/>
          <w:highlight w:val="none"/>
        </w:rPr>
        <w:t>3</w:t>
      </w:r>
      <w:r>
        <w:rPr>
          <w:rFonts w:cs="宋体" w:asciiTheme="majorEastAsia" w:hAnsiTheme="majorEastAsia" w:eastAsiaTheme="majorEastAsia"/>
          <w:highlight w:val="none"/>
        </w:rPr>
        <w:t xml:space="preserve">.7 </w:t>
      </w:r>
      <w:r>
        <w:rPr>
          <w:rFonts w:cs="宋体" w:asciiTheme="minorEastAsia" w:hAnsiTheme="minorEastAsia" w:eastAsiaTheme="minorEastAsia"/>
          <w:highlight w:val="none"/>
        </w:rPr>
        <w:t>投标人的企业资质</w:t>
      </w:r>
      <w:r>
        <w:rPr>
          <w:rFonts w:hint="eastAsia" w:cs="宋体" w:asciiTheme="minorEastAsia" w:hAnsiTheme="minorEastAsia" w:eastAsiaTheme="minorEastAsia"/>
          <w:highlight w:val="none"/>
        </w:rPr>
        <w:t>及</w:t>
      </w:r>
      <w:r>
        <w:rPr>
          <w:rFonts w:cs="宋体" w:asciiTheme="minorEastAsia" w:hAnsiTheme="minorEastAsia" w:eastAsiaTheme="minorEastAsia"/>
          <w:highlight w:val="none"/>
        </w:rPr>
        <w:t>项目管理机构所有人员资格信息须在吉林省建筑市场监管公共服务平台查询得到</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所有信息应满足招标文件评审要求，并在有效期内</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以吉林省建筑市场监管公共服务平台查询结果为准</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未查询到信息或查询到的信息与投标文件不一致的，评标时均不予认定</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若“吉林省建筑市场监管公共服务平台”不设相应人员证件有效期栏目，则证件有效期以标书中所附证件扫描件有效期为准。</w:t>
      </w:r>
    </w:p>
    <w:p w14:paraId="1CD03239">
      <w:pPr>
        <w:spacing w:line="400" w:lineRule="exact"/>
        <w:ind w:left="420" w:leftChars="200"/>
        <w:rPr>
          <w:rFonts w:hint="eastAsia" w:cs="宋体" w:asciiTheme="minorEastAsia" w:hAnsiTheme="minorEastAsia" w:eastAsiaTheme="minorEastAsia"/>
          <w:highlight w:val="none"/>
        </w:rPr>
      </w:pPr>
      <w:r>
        <w:rPr>
          <w:rFonts w:cs="宋体" w:asciiTheme="minorEastAsia" w:hAnsiTheme="minorEastAsia" w:eastAsiaTheme="minorEastAsia"/>
          <w:highlight w:val="none"/>
        </w:rPr>
        <w:t>3.8 财务要求：</w:t>
      </w:r>
      <w:r>
        <w:rPr>
          <w:rFonts w:hint="eastAsia" w:ascii="宋体" w:hAnsi="宋体" w:eastAsia="宋体"/>
          <w:highlight w:val="none"/>
          <w:lang w:val="zh-CN"/>
        </w:rPr>
        <w:t>投标人近三年（2023年～投标截止时间）具有良好的商业信誉和健全的财务会计制度。</w:t>
      </w:r>
      <w:r>
        <w:rPr>
          <w:rFonts w:cs="宋体" w:asciiTheme="minorEastAsia" w:hAnsiTheme="minorEastAsia" w:eastAsiaTheme="minorEastAsia"/>
          <w:highlight w:val="none"/>
        </w:rPr>
        <w:t xml:space="preserve">3.9 </w:t>
      </w:r>
      <w:r>
        <w:rPr>
          <w:rFonts w:ascii="宋体" w:hAnsi="宋体" w:eastAsia="宋体" w:cs="宋体"/>
          <w:highlight w:val="none"/>
        </w:rPr>
        <w:t>本次招标不接受联合体投标。</w:t>
      </w:r>
    </w:p>
    <w:p w14:paraId="7A23857A">
      <w:pPr>
        <w:spacing w:line="400" w:lineRule="exact"/>
        <w:ind w:firstLine="420" w:firstLineChars="200"/>
        <w:rPr>
          <w:rFonts w:hint="eastAsia" w:ascii="宋体" w:hAnsi="宋体" w:eastAsia="宋体"/>
          <w:highlight w:val="none"/>
        </w:rPr>
      </w:pPr>
      <w:r>
        <w:rPr>
          <w:rFonts w:cs="宋体" w:asciiTheme="minorEastAsia" w:hAnsiTheme="minorEastAsia" w:eastAsiaTheme="minorEastAsia"/>
          <w:highlight w:val="none"/>
        </w:rPr>
        <w:t>3.10 信誉要求：</w:t>
      </w:r>
      <w:r>
        <w:rPr>
          <w:rFonts w:hint="eastAsia" w:ascii="宋体" w:hAnsi="宋体" w:eastAsia="宋体"/>
          <w:highlight w:val="none"/>
        </w:rPr>
        <w:t>（1）拒绝列入政府取消投标资格记录期间的企业或个人投标；</w:t>
      </w:r>
      <w:r>
        <w:rPr>
          <w:rFonts w:hint="eastAsia" w:ascii="宋体" w:hAnsi="宋体" w:eastAsia="宋体"/>
          <w:color w:val="333333"/>
          <w:highlight w:val="none"/>
          <w:shd w:val="clear" w:color="auto" w:fill="FFFFFF"/>
        </w:rPr>
        <w:t>（2）未被市场监督管理机关在国家企业信用信息公示系统（</w:t>
      </w:r>
      <w:r>
        <w:rPr>
          <w:rFonts w:hint="eastAsia" w:ascii="宋体" w:hAnsi="宋体" w:eastAsia="宋体"/>
          <w:highlight w:val="none"/>
          <w:shd w:val="clear" w:color="auto" w:fill="FFFFFF"/>
        </w:rPr>
        <w:t>www.gsxt.gov.cn</w:t>
      </w:r>
      <w:r>
        <w:rPr>
          <w:rFonts w:hint="eastAsia" w:ascii="宋体" w:hAnsi="宋体" w:eastAsia="宋体"/>
          <w:color w:val="333333"/>
          <w:highlight w:val="none"/>
          <w:shd w:val="clear" w:color="auto" w:fill="FFFFFF"/>
        </w:rPr>
        <w:t>）中列入严重违法失信企业名单；（3）未被最高人民法院在“信用中国”网站（</w:t>
      </w:r>
      <w:r>
        <w:rPr>
          <w:rFonts w:hint="eastAsia" w:ascii="宋体" w:hAnsi="宋体" w:eastAsia="宋体"/>
          <w:highlight w:val="none"/>
          <w:shd w:val="clear" w:color="auto" w:fill="FFFFFF"/>
        </w:rPr>
        <w:t>www.creditchina.gov.cn</w:t>
      </w:r>
      <w:r>
        <w:rPr>
          <w:rFonts w:hint="eastAsia" w:ascii="宋体" w:hAnsi="宋体" w:eastAsia="宋体"/>
          <w:color w:val="333333"/>
          <w:highlight w:val="none"/>
          <w:shd w:val="clear" w:color="auto" w:fill="FFFFFF"/>
        </w:rPr>
        <w:t>）列入失信被执行人名单及重大税收违法案件当事人名单；（4）在近三年（</w:t>
      </w:r>
      <w:r>
        <w:rPr>
          <w:rFonts w:hint="eastAsia" w:ascii="宋体" w:hAnsi="宋体" w:eastAsia="宋体"/>
          <w:highlight w:val="none"/>
        </w:rPr>
        <w:t>2023年1月1日至投标截止时间</w:t>
      </w:r>
      <w:r>
        <w:rPr>
          <w:rFonts w:hint="eastAsia" w:ascii="宋体" w:hAnsi="宋体" w:eastAsia="宋体"/>
          <w:color w:val="333333"/>
          <w:highlight w:val="none"/>
          <w:shd w:val="clear" w:color="auto" w:fill="FFFFFF"/>
        </w:rPr>
        <w:t>）投标人或其法定代表人、拟委任的总监理工程师未在“中国裁判文书网”(</w:t>
      </w:r>
      <w:r>
        <w:rPr>
          <w:rFonts w:ascii="宋体" w:hAnsi="宋体" w:eastAsia="宋体"/>
          <w:color w:val="333333"/>
          <w:highlight w:val="none"/>
          <w:shd w:val="clear" w:color="auto" w:fill="FFFFFF"/>
        </w:rPr>
        <w:t>wenshu.court.gov.cn</w:t>
      </w:r>
      <w:r>
        <w:rPr>
          <w:rFonts w:hint="eastAsia" w:ascii="宋体" w:hAnsi="宋体" w:eastAsia="宋体"/>
          <w:color w:val="333333"/>
          <w:highlight w:val="none"/>
          <w:shd w:val="clear" w:color="auto" w:fill="FFFFFF"/>
        </w:rPr>
        <w:t>)上有行贿犯罪行为。</w:t>
      </w:r>
    </w:p>
    <w:p w14:paraId="7328C819">
      <w:pPr>
        <w:spacing w:line="400" w:lineRule="exact"/>
        <w:ind w:left="3" w:right="87" w:firstLine="423"/>
        <w:rPr>
          <w:rFonts w:hint="eastAsia" w:cs="宋体" w:asciiTheme="minorEastAsia" w:hAnsiTheme="minorEastAsia" w:eastAsiaTheme="minorEastAsia"/>
          <w:highlight w:val="none"/>
        </w:rPr>
      </w:pPr>
      <w:r>
        <w:rPr>
          <w:rFonts w:cs="宋体" w:asciiTheme="minorEastAsia" w:hAnsiTheme="minorEastAsia" w:eastAsiaTheme="minorEastAsia"/>
          <w:highlight w:val="none"/>
        </w:rPr>
        <w:t>3.1</w:t>
      </w:r>
      <w:r>
        <w:rPr>
          <w:rFonts w:hint="eastAsia" w:cs="宋体" w:asciiTheme="minorEastAsia" w:hAnsiTheme="minorEastAsia" w:eastAsiaTheme="minorEastAsia"/>
          <w:highlight w:val="none"/>
        </w:rPr>
        <w:t>1</w:t>
      </w:r>
      <w:r>
        <w:rPr>
          <w:rFonts w:cs="宋体" w:asciiTheme="minorEastAsia" w:hAnsiTheme="minorEastAsia" w:eastAsiaTheme="minorEastAsia"/>
          <w:highlight w:val="none"/>
        </w:rPr>
        <w:t xml:space="preserve"> 与招标人存在利害关系可能影响招标公正性的法人、其他组织或者个人，不得参加投标。单位负责人为同一人或者存在控股、管理关系的不同单位，不得参加同一标段投标或者未划分标段的同一招标项目投标。违反这两款规定的，相关投标均无效。</w:t>
      </w:r>
    </w:p>
    <w:p w14:paraId="7E915BAB">
      <w:pPr>
        <w:spacing w:before="120" w:beforeLines="50" w:after="120" w:afterLines="50" w:line="400" w:lineRule="exact"/>
        <w:rPr>
          <w:rFonts w:ascii="黑体" w:eastAsia="黑体"/>
          <w:sz w:val="24"/>
          <w:highlight w:val="none"/>
        </w:rPr>
      </w:pPr>
      <w:r>
        <w:rPr>
          <w:rFonts w:ascii="黑体" w:eastAsia="黑体"/>
          <w:sz w:val="24"/>
          <w:highlight w:val="none"/>
        </w:rPr>
        <w:t>4</w:t>
      </w:r>
      <w:r>
        <w:rPr>
          <w:rFonts w:hint="eastAsia" w:ascii="黑体" w:eastAsia="黑体"/>
          <w:sz w:val="24"/>
          <w:highlight w:val="none"/>
        </w:rPr>
        <w:t>.评标办法</w:t>
      </w:r>
    </w:p>
    <w:p w14:paraId="2976A13D">
      <w:pPr>
        <w:tabs>
          <w:tab w:val="left" w:pos="540"/>
        </w:tabs>
        <w:spacing w:line="400" w:lineRule="exact"/>
        <w:ind w:firstLine="420"/>
        <w:rPr>
          <w:rFonts w:hint="eastAsia" w:ascii="宋体" w:hAnsi="宋体" w:eastAsia="宋体"/>
          <w:highlight w:val="none"/>
        </w:rPr>
      </w:pPr>
      <w:r>
        <w:rPr>
          <w:rFonts w:hint="eastAsia" w:ascii="宋体" w:hAnsi="宋体" w:eastAsia="宋体"/>
          <w:highlight w:val="none"/>
        </w:rPr>
        <w:t>本次招标采用资格后审方式的</w:t>
      </w:r>
      <w:r>
        <w:rPr>
          <w:rFonts w:hint="eastAsia" w:ascii="黑体" w:hAnsi="黑体" w:eastAsia="黑体"/>
          <w:highlight w:val="none"/>
          <w:u w:val="single"/>
        </w:rPr>
        <w:t>综合评估法</w:t>
      </w:r>
      <w:r>
        <w:rPr>
          <w:rFonts w:hint="eastAsia" w:ascii="宋体" w:hAnsi="宋体" w:eastAsia="宋体"/>
          <w:highlight w:val="none"/>
        </w:rPr>
        <w:t>评标。</w:t>
      </w:r>
    </w:p>
    <w:p w14:paraId="47146D36">
      <w:pPr>
        <w:spacing w:before="120" w:beforeLines="50" w:after="120" w:afterLines="50" w:line="400" w:lineRule="exact"/>
        <w:rPr>
          <w:rFonts w:ascii="黑体" w:eastAsia="黑体"/>
          <w:sz w:val="24"/>
          <w:highlight w:val="none"/>
        </w:rPr>
      </w:pPr>
      <w:r>
        <w:rPr>
          <w:rFonts w:ascii="黑体" w:eastAsia="黑体"/>
          <w:sz w:val="24"/>
          <w:highlight w:val="none"/>
        </w:rPr>
        <w:t>5.</w:t>
      </w:r>
      <w:r>
        <w:rPr>
          <w:rFonts w:hint="eastAsia" w:ascii="黑体" w:eastAsia="黑体"/>
          <w:sz w:val="24"/>
          <w:highlight w:val="none"/>
        </w:rPr>
        <w:t xml:space="preserve"> 电子化招投标相关要求</w:t>
      </w:r>
    </w:p>
    <w:p w14:paraId="346C271C">
      <w:pPr>
        <w:spacing w:line="400" w:lineRule="exact"/>
        <w:ind w:firstLine="420" w:firstLineChars="200"/>
        <w:rPr>
          <w:rFonts w:hint="eastAsia" w:ascii="宋体" w:hAnsi="宋体" w:eastAsia="宋体" w:cs="宋体"/>
          <w:highlight w:val="none"/>
        </w:rPr>
      </w:pPr>
      <w:r>
        <w:rPr>
          <w:rFonts w:ascii="宋体" w:hAnsi="宋体" w:eastAsia="宋体"/>
          <w:highlight w:val="none"/>
        </w:rPr>
        <w:t xml:space="preserve">5.1 本次招标全程实行电子化招投标。 </w:t>
      </w:r>
    </w:p>
    <w:p w14:paraId="02F7463D">
      <w:pPr>
        <w:spacing w:before="240" w:beforeLines="100" w:after="240" w:afterLines="100" w:line="400" w:lineRule="exact"/>
        <w:rPr>
          <w:rFonts w:ascii="黑体" w:eastAsia="黑体"/>
          <w:sz w:val="24"/>
          <w:highlight w:val="none"/>
        </w:rPr>
      </w:pPr>
      <w:bookmarkStart w:id="10" w:name="_bookmark2"/>
      <w:bookmarkEnd w:id="10"/>
      <w:r>
        <w:rPr>
          <w:rFonts w:hint="eastAsia" w:ascii="黑体" w:eastAsia="黑体"/>
          <w:sz w:val="24"/>
          <w:highlight w:val="none"/>
        </w:rPr>
        <w:t>6.招标文件的获取</w:t>
      </w:r>
    </w:p>
    <w:p w14:paraId="634E4615">
      <w:pPr>
        <w:spacing w:line="400" w:lineRule="exact"/>
        <w:ind w:firstLine="420"/>
        <w:rPr>
          <w:rFonts w:hint="eastAsia" w:ascii="宋体" w:hAnsi="宋体" w:eastAsia="宋体"/>
          <w:highlight w:val="none"/>
        </w:rPr>
      </w:pPr>
      <w:bookmarkStart w:id="11" w:name="_Hlk170804672"/>
      <w:r>
        <w:rPr>
          <w:rFonts w:hint="eastAsia" w:ascii="宋体" w:hAnsi="宋体" w:eastAsia="宋体"/>
          <w:highlight w:val="none"/>
        </w:rPr>
        <w:t>6.1</w:t>
      </w:r>
      <w:bookmarkStart w:id="12" w:name="_Hlk170804693"/>
      <w:r>
        <w:rPr>
          <w:rFonts w:hint="eastAsia" w:ascii="宋体" w:hAnsi="宋体" w:eastAsia="宋体"/>
          <w:highlight w:val="none"/>
        </w:rPr>
        <w:t>凡有意参加投标者，请于</w:t>
      </w:r>
      <w:bookmarkStart w:id="13" w:name="_Hlk199141945"/>
      <w:r>
        <w:rPr>
          <w:rFonts w:hint="eastAsia" w:ascii="黑体" w:hAnsi="黑体" w:eastAsia="黑体"/>
          <w:highlight w:val="none"/>
          <w:u w:val="single"/>
        </w:rPr>
        <w:t>20</w:t>
      </w:r>
      <w:r>
        <w:rPr>
          <w:rFonts w:ascii="黑体" w:hAnsi="黑体" w:eastAsia="黑体"/>
          <w:highlight w:val="none"/>
          <w:u w:val="single"/>
        </w:rPr>
        <w:t>2</w:t>
      </w:r>
      <w:r>
        <w:rPr>
          <w:rFonts w:hint="eastAsia" w:ascii="黑体" w:hAnsi="黑体" w:eastAsia="黑体"/>
          <w:highlight w:val="none"/>
          <w:u w:val="single"/>
        </w:rPr>
        <w:t>6年10月20日至2026年10月26日</w:t>
      </w:r>
      <w:r>
        <w:rPr>
          <w:rFonts w:hint="eastAsia" w:ascii="宋体" w:hAnsi="宋体" w:eastAsia="宋体"/>
          <w:highlight w:val="none"/>
        </w:rPr>
        <w:t>，</w:t>
      </w:r>
      <w:bookmarkEnd w:id="13"/>
      <w:r>
        <w:rPr>
          <w:rFonts w:hint="eastAsia" w:ascii="宋体" w:hAnsi="宋体" w:eastAsia="宋体"/>
          <w:highlight w:val="none"/>
        </w:rPr>
        <w:t>登录吉林省公共资源交易一体化平台（https://www.ggzyyth.jl.cn/TPBidder）免费下载招标文件。</w:t>
      </w:r>
      <w:bookmarkEnd w:id="12"/>
    </w:p>
    <w:bookmarkEnd w:id="11"/>
    <w:p w14:paraId="4CE38F1D">
      <w:pPr>
        <w:spacing w:before="240" w:beforeLines="100" w:after="240" w:afterLines="100" w:line="400" w:lineRule="exact"/>
        <w:rPr>
          <w:rFonts w:ascii="黑体" w:eastAsia="黑体"/>
          <w:sz w:val="24"/>
          <w:highlight w:val="none"/>
        </w:rPr>
      </w:pPr>
      <w:bookmarkStart w:id="14" w:name="_Toc184704558"/>
      <w:r>
        <w:rPr>
          <w:rFonts w:hint="eastAsia" w:ascii="黑体" w:eastAsia="黑体"/>
          <w:sz w:val="24"/>
          <w:highlight w:val="none"/>
        </w:rPr>
        <w:t>7．</w:t>
      </w:r>
      <w:bookmarkEnd w:id="14"/>
      <w:r>
        <w:rPr>
          <w:rFonts w:hint="eastAsia" w:ascii="黑体" w:eastAsia="黑体"/>
          <w:sz w:val="24"/>
          <w:highlight w:val="none"/>
        </w:rPr>
        <w:t>投标文件的递交及相关事宜</w:t>
      </w:r>
    </w:p>
    <w:p w14:paraId="50F62333">
      <w:pPr>
        <w:spacing w:line="400" w:lineRule="exact"/>
        <w:ind w:firstLine="420" w:firstLineChars="200"/>
        <w:rPr>
          <w:rFonts w:hint="eastAsia" w:ascii="宋体" w:hAnsi="宋体" w:eastAsia="宋体"/>
          <w:highlight w:val="none"/>
        </w:rPr>
      </w:pPr>
      <w:bookmarkStart w:id="15" w:name="_Hlk186359074"/>
      <w:r>
        <w:rPr>
          <w:rFonts w:hint="eastAsia" w:ascii="宋体" w:hAnsi="宋体" w:eastAsia="宋体"/>
          <w:highlight w:val="none"/>
        </w:rPr>
        <w:t>7.1招标人不组织工程现场踏勘和投标预备会。</w:t>
      </w:r>
    </w:p>
    <w:p w14:paraId="0DB1494D">
      <w:pPr>
        <w:spacing w:line="400" w:lineRule="exact"/>
        <w:ind w:firstLine="420" w:firstLineChars="200"/>
        <w:rPr>
          <w:rFonts w:hint="eastAsia" w:ascii="宋体" w:hAnsi="宋体" w:eastAsia="宋体"/>
          <w:highlight w:val="none"/>
        </w:rPr>
      </w:pPr>
      <w:r>
        <w:rPr>
          <w:rFonts w:hint="eastAsia" w:ascii="宋体" w:hAnsi="宋体" w:eastAsia="宋体"/>
          <w:highlight w:val="none"/>
        </w:rPr>
        <w:t>7.2投标文件递交的截止时间（投标截止时间，下同）：</w:t>
      </w:r>
      <w:r>
        <w:rPr>
          <w:rFonts w:hint="eastAsia" w:ascii="黑体" w:hAnsi="黑体" w:eastAsia="黑体"/>
          <w:highlight w:val="none"/>
          <w:u w:val="single"/>
        </w:rPr>
        <w:t xml:space="preserve"> 2026年11月12日9时00分</w:t>
      </w:r>
      <w:r>
        <w:rPr>
          <w:rFonts w:hint="eastAsia" w:ascii="宋体" w:hAnsi="宋体" w:eastAsia="宋体"/>
          <w:highlight w:val="none"/>
        </w:rPr>
        <w:t>，投标人应在投标截止时间前将加密的电子投标文件上传至“吉林省公共资源交易一体化平台”，逾期上传的电子投标文件，电子招标投标交易平台将予以拒收。</w:t>
      </w:r>
    </w:p>
    <w:p w14:paraId="6555C66B">
      <w:pPr>
        <w:spacing w:line="400" w:lineRule="exact"/>
        <w:ind w:firstLine="420"/>
        <w:rPr>
          <w:rFonts w:hint="eastAsia" w:ascii="宋体" w:hAnsi="宋体" w:eastAsia="宋体"/>
          <w:highlight w:val="none"/>
        </w:rPr>
      </w:pPr>
      <w:r>
        <w:rPr>
          <w:rFonts w:hint="eastAsia" w:ascii="宋体" w:hAnsi="宋体" w:eastAsia="宋体"/>
          <w:highlight w:val="none"/>
        </w:rPr>
        <w:t>7.3投标文件开标时间：同投标截止时间，开标地点：吉林省公共资源交易中心四楼开标区。</w:t>
      </w:r>
    </w:p>
    <w:bookmarkEnd w:id="15"/>
    <w:p w14:paraId="26A9E099">
      <w:pPr>
        <w:spacing w:before="240" w:beforeLines="100" w:after="240" w:afterLines="100" w:line="400" w:lineRule="exact"/>
        <w:rPr>
          <w:rFonts w:ascii="黑体" w:eastAsia="黑体"/>
          <w:sz w:val="24"/>
          <w:highlight w:val="none"/>
        </w:rPr>
      </w:pPr>
      <w:bookmarkStart w:id="16" w:name="_Toc184704559"/>
      <w:r>
        <w:rPr>
          <w:rFonts w:hint="eastAsia" w:ascii="黑体" w:eastAsia="黑体"/>
          <w:sz w:val="24"/>
          <w:highlight w:val="none"/>
        </w:rPr>
        <w:t>8．发布公告的媒介</w:t>
      </w:r>
      <w:bookmarkEnd w:id="16"/>
    </w:p>
    <w:p w14:paraId="5E1A0C5F">
      <w:pPr>
        <w:spacing w:line="400" w:lineRule="exact"/>
        <w:ind w:firstLine="420"/>
        <w:rPr>
          <w:rFonts w:hint="eastAsia" w:ascii="宋体" w:hAnsi="宋体" w:eastAsia="宋体"/>
          <w:highlight w:val="none"/>
        </w:rPr>
      </w:pPr>
      <w:bookmarkStart w:id="17" w:name="_Toc184704560"/>
      <w:r>
        <w:rPr>
          <w:rFonts w:hint="eastAsia" w:ascii="宋体" w:hAnsi="宋体" w:eastAsia="宋体"/>
          <w:highlight w:val="none"/>
        </w:rPr>
        <w:t>8.1本次招标公告同时在中国招标投标公共服务平台、吉林省公共资源交易中心网（同步推送到吉林省公共资源交易公共服务平台）、吉林省交通运输厅网站、长春市交通运输局网站上发布。</w:t>
      </w:r>
    </w:p>
    <w:p w14:paraId="28597A98">
      <w:pPr>
        <w:spacing w:line="400" w:lineRule="exact"/>
        <w:ind w:firstLine="420"/>
        <w:rPr>
          <w:rFonts w:ascii="宋体" w:hAnsi="宋体"/>
          <w:highlight w:val="none"/>
        </w:rPr>
      </w:pPr>
      <w:r>
        <w:rPr>
          <w:rFonts w:hint="eastAsia" w:ascii="宋体" w:hAnsi="宋体" w:eastAsia="宋体"/>
          <w:highlight w:val="none"/>
        </w:rPr>
        <w:t>8.2 本次招标文件的关键内容在吉林省交通运输厅网站、长春市交通运输局网站上公开。</w:t>
      </w:r>
    </w:p>
    <w:bookmarkEnd w:id="17"/>
    <w:p w14:paraId="08AC8481">
      <w:pPr>
        <w:spacing w:line="400" w:lineRule="exact"/>
        <w:ind w:firstLine="420"/>
        <w:rPr>
          <w:rFonts w:hint="eastAsia" w:ascii="黑体" w:hAnsi="黑体" w:eastAsia="黑体"/>
          <w:highlight w:val="none"/>
        </w:rPr>
      </w:pPr>
    </w:p>
    <w:p w14:paraId="0DD6452C">
      <w:pPr>
        <w:widowControl w:val="0"/>
        <w:kinsoku/>
        <w:autoSpaceDE/>
        <w:autoSpaceDN/>
        <w:adjustRightInd/>
        <w:snapToGrid/>
        <w:spacing w:before="240" w:beforeLines="100" w:line="360" w:lineRule="auto"/>
        <w:textAlignment w:val="auto"/>
        <w:rPr>
          <w:highlight w:val="none"/>
        </w:rPr>
      </w:pPr>
      <w:r>
        <w:rPr>
          <w:rFonts w:hint="eastAsia" w:ascii="黑体" w:hAnsi="黑体" w:eastAsia="黑体" w:cs="方正大标宋简体"/>
          <w:bCs/>
          <w:snapToGrid/>
          <w:color w:val="auto"/>
          <w:kern w:val="2"/>
          <w:sz w:val="28"/>
          <w:szCs w:val="28"/>
          <w:highlight w:val="none"/>
          <w:lang w:val="en-US" w:eastAsia="zh-CN"/>
        </w:rPr>
        <w:t>9.</w:t>
      </w:r>
      <w:r>
        <w:rPr>
          <w:rFonts w:ascii="黑体" w:hAnsi="黑体" w:eastAsia="黑体" w:cs="方正大标宋简体"/>
          <w:bCs/>
          <w:snapToGrid/>
          <w:color w:val="auto"/>
          <w:kern w:val="2"/>
          <w:sz w:val="28"/>
          <w:szCs w:val="28"/>
          <w:highlight w:val="none"/>
        </w:rPr>
        <w:t>投标人须知前附表</w:t>
      </w:r>
    </w:p>
    <w:tbl>
      <w:tblPr>
        <w:tblStyle w:val="22"/>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66"/>
        <w:gridCol w:w="2103"/>
        <w:gridCol w:w="6909"/>
      </w:tblGrid>
      <w:tr w14:paraId="24E73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484" w:type="pct"/>
            <w:vAlign w:val="center"/>
          </w:tcPr>
          <w:p w14:paraId="70285B8F">
            <w:pPr>
              <w:spacing w:line="360" w:lineRule="exact"/>
              <w:jc w:val="center"/>
              <w:rPr>
                <w:rFonts w:hint="eastAsia" w:ascii="宋体" w:hAnsi="宋体" w:eastAsia="宋体"/>
                <w:highlight w:val="none"/>
              </w:rPr>
            </w:pPr>
            <w:r>
              <w:rPr>
                <w:rFonts w:ascii="宋体" w:hAnsi="宋体" w:eastAsia="宋体"/>
                <w:highlight w:val="none"/>
              </w:rPr>
              <w:t>条款号</w:t>
            </w:r>
          </w:p>
        </w:tc>
        <w:tc>
          <w:tcPr>
            <w:tcW w:w="1054" w:type="pct"/>
            <w:vAlign w:val="center"/>
          </w:tcPr>
          <w:p w14:paraId="574D6E17">
            <w:pPr>
              <w:spacing w:line="360" w:lineRule="exact"/>
              <w:jc w:val="center"/>
              <w:rPr>
                <w:rFonts w:hint="eastAsia" w:ascii="宋体" w:hAnsi="宋体" w:eastAsia="宋体"/>
                <w:highlight w:val="none"/>
              </w:rPr>
            </w:pPr>
            <w:r>
              <w:rPr>
                <w:rFonts w:ascii="宋体" w:hAnsi="宋体" w:eastAsia="宋体"/>
                <w:highlight w:val="none"/>
              </w:rPr>
              <w:t>条款名称</w:t>
            </w:r>
          </w:p>
        </w:tc>
        <w:tc>
          <w:tcPr>
            <w:tcW w:w="3462" w:type="pct"/>
            <w:vAlign w:val="center"/>
          </w:tcPr>
          <w:p w14:paraId="50854CFC">
            <w:pPr>
              <w:spacing w:line="360" w:lineRule="exact"/>
              <w:jc w:val="center"/>
              <w:rPr>
                <w:rFonts w:hint="eastAsia" w:ascii="宋体" w:hAnsi="宋体" w:eastAsia="宋体"/>
                <w:highlight w:val="none"/>
              </w:rPr>
            </w:pPr>
            <w:r>
              <w:rPr>
                <w:rFonts w:ascii="宋体" w:hAnsi="宋体" w:eastAsia="宋体"/>
                <w:highlight w:val="none"/>
              </w:rPr>
              <w:t>编列内容</w:t>
            </w:r>
          </w:p>
        </w:tc>
      </w:tr>
      <w:tr w14:paraId="4756D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7" w:hRule="atLeast"/>
        </w:trPr>
        <w:tc>
          <w:tcPr>
            <w:tcW w:w="484" w:type="pct"/>
            <w:vAlign w:val="center"/>
          </w:tcPr>
          <w:p w14:paraId="553E0063">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1.1.2</w:t>
            </w:r>
          </w:p>
        </w:tc>
        <w:tc>
          <w:tcPr>
            <w:tcW w:w="1054" w:type="pct"/>
            <w:vAlign w:val="center"/>
          </w:tcPr>
          <w:p w14:paraId="46A1B3C6">
            <w:pPr>
              <w:spacing w:line="360" w:lineRule="exact"/>
              <w:contextualSpacing/>
              <w:jc w:val="center"/>
              <w:rPr>
                <w:rFonts w:hint="eastAsia" w:ascii="宋体" w:hAnsi="宋体" w:eastAsia="宋体"/>
                <w:highlight w:val="none"/>
              </w:rPr>
            </w:pPr>
            <w:r>
              <w:rPr>
                <w:rFonts w:hint="eastAsia" w:ascii="宋体" w:hAnsi="宋体" w:eastAsia="宋体"/>
                <w:highlight w:val="none"/>
              </w:rPr>
              <w:t>招标人</w:t>
            </w:r>
          </w:p>
        </w:tc>
        <w:tc>
          <w:tcPr>
            <w:tcW w:w="3462" w:type="pct"/>
            <w:vAlign w:val="center"/>
          </w:tcPr>
          <w:p w14:paraId="1093E15B">
            <w:pPr>
              <w:spacing w:line="360" w:lineRule="exact"/>
              <w:rPr>
                <w:rFonts w:hint="eastAsia" w:ascii="宋体" w:hAnsi="宋体" w:eastAsia="宋体"/>
                <w:highlight w:val="none"/>
              </w:rPr>
            </w:pPr>
            <w:r>
              <w:rPr>
                <w:rFonts w:hint="eastAsia" w:ascii="宋体" w:hAnsi="宋体" w:eastAsia="宋体"/>
                <w:highlight w:val="none"/>
              </w:rPr>
              <w:t>名  称：</w:t>
            </w:r>
            <w:r>
              <w:rPr>
                <w:rFonts w:hint="eastAsia" w:ascii="黑体" w:hAnsi="黑体" w:eastAsia="黑体"/>
                <w:highlight w:val="none"/>
              </w:rPr>
              <w:t>长春市高等级公路建设管理中心</w:t>
            </w:r>
          </w:p>
          <w:p w14:paraId="14390B5F">
            <w:pPr>
              <w:spacing w:line="360" w:lineRule="exact"/>
              <w:rPr>
                <w:rFonts w:hint="eastAsia" w:ascii="宋体" w:hAnsi="宋体" w:eastAsia="宋体"/>
                <w:highlight w:val="none"/>
              </w:rPr>
            </w:pPr>
            <w:r>
              <w:rPr>
                <w:rFonts w:hint="eastAsia" w:ascii="宋体" w:hAnsi="宋体" w:eastAsia="宋体"/>
                <w:highlight w:val="none"/>
              </w:rPr>
              <w:t>地  址：长春市二道区洋浦大街安龙泉立交桥交汇</w:t>
            </w:r>
          </w:p>
          <w:p w14:paraId="6B75EE89">
            <w:pPr>
              <w:spacing w:line="360" w:lineRule="exact"/>
              <w:rPr>
                <w:rFonts w:hint="eastAsia" w:ascii="宋体" w:hAnsi="宋体" w:eastAsia="宋体"/>
                <w:highlight w:val="none"/>
              </w:rPr>
            </w:pPr>
            <w:r>
              <w:rPr>
                <w:rFonts w:hint="eastAsia" w:ascii="宋体" w:hAnsi="宋体" w:eastAsia="宋体"/>
                <w:highlight w:val="none"/>
              </w:rPr>
              <w:t>联系人：杨帆</w:t>
            </w:r>
          </w:p>
          <w:p w14:paraId="681D4E6F">
            <w:pPr>
              <w:spacing w:line="360" w:lineRule="exact"/>
              <w:jc w:val="both"/>
              <w:rPr>
                <w:rFonts w:hint="eastAsia" w:cs="宋体" w:asciiTheme="majorEastAsia" w:hAnsiTheme="majorEastAsia" w:eastAsiaTheme="majorEastAsia"/>
                <w:highlight w:val="none"/>
              </w:rPr>
            </w:pPr>
            <w:r>
              <w:rPr>
                <w:rFonts w:hint="eastAsia" w:ascii="宋体" w:hAnsi="宋体" w:eastAsia="宋体"/>
                <w:highlight w:val="none"/>
              </w:rPr>
              <w:t>电  话：</w:t>
            </w:r>
            <w:r>
              <w:rPr>
                <w:rFonts w:hint="eastAsia" w:ascii="宋体" w:hAnsi="宋体" w:eastAsia="宋体" w:cs="宋体"/>
                <w:highlight w:val="none"/>
              </w:rPr>
              <w:t>0431-85504370</w:t>
            </w:r>
          </w:p>
        </w:tc>
      </w:tr>
      <w:tr w14:paraId="1B4DD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7" w:hRule="atLeast"/>
        </w:trPr>
        <w:tc>
          <w:tcPr>
            <w:tcW w:w="484" w:type="pct"/>
            <w:vAlign w:val="center"/>
          </w:tcPr>
          <w:p w14:paraId="69C65B8C">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1.1.3</w:t>
            </w:r>
          </w:p>
        </w:tc>
        <w:tc>
          <w:tcPr>
            <w:tcW w:w="1054" w:type="pct"/>
            <w:vAlign w:val="center"/>
          </w:tcPr>
          <w:p w14:paraId="79B2F83A">
            <w:pPr>
              <w:spacing w:line="360" w:lineRule="exact"/>
              <w:contextualSpacing/>
              <w:jc w:val="center"/>
              <w:rPr>
                <w:rFonts w:hint="eastAsia" w:ascii="宋体" w:hAnsi="宋体" w:eastAsia="宋体"/>
                <w:highlight w:val="none"/>
              </w:rPr>
            </w:pPr>
            <w:r>
              <w:rPr>
                <w:rFonts w:hint="eastAsia" w:ascii="宋体" w:hAnsi="宋体" w:eastAsia="宋体"/>
                <w:highlight w:val="none"/>
              </w:rPr>
              <w:t>招标代理机构</w:t>
            </w:r>
          </w:p>
        </w:tc>
        <w:tc>
          <w:tcPr>
            <w:tcW w:w="3462" w:type="pct"/>
            <w:vAlign w:val="center"/>
          </w:tcPr>
          <w:p w14:paraId="54EDAD53">
            <w:pPr>
              <w:spacing w:line="360" w:lineRule="exact"/>
              <w:rPr>
                <w:rFonts w:hint="eastAsia" w:ascii="黑体" w:hAnsi="黑体" w:eastAsia="黑体"/>
                <w:spacing w:val="-10"/>
                <w:highlight w:val="none"/>
              </w:rPr>
            </w:pPr>
            <w:r>
              <w:rPr>
                <w:rFonts w:hint="eastAsia" w:ascii="宋体" w:hAnsi="宋体" w:eastAsia="宋体"/>
                <w:highlight w:val="none"/>
              </w:rPr>
              <w:t>招标代理机构</w:t>
            </w:r>
            <w:r>
              <w:rPr>
                <w:rFonts w:ascii="宋体" w:hAnsi="宋体" w:eastAsia="宋体"/>
                <w:highlight w:val="none"/>
              </w:rPr>
              <w:t>:</w:t>
            </w:r>
            <w:r>
              <w:rPr>
                <w:rFonts w:hint="eastAsia" w:ascii="黑体" w:hAnsi="黑体" w:eastAsia="黑体"/>
                <w:highlight w:val="none"/>
              </w:rPr>
              <w:t>吉林省伟邦公路技术有限公司</w:t>
            </w:r>
          </w:p>
          <w:p w14:paraId="3D1F2A2F">
            <w:pPr>
              <w:spacing w:line="360" w:lineRule="exact"/>
              <w:rPr>
                <w:rFonts w:hint="eastAsia" w:ascii="宋体" w:hAnsi="宋体" w:eastAsia="宋体"/>
                <w:highlight w:val="none"/>
              </w:rPr>
            </w:pPr>
            <w:r>
              <w:rPr>
                <w:rFonts w:hint="eastAsia" w:ascii="宋体" w:hAnsi="宋体" w:eastAsia="宋体"/>
                <w:highlight w:val="none"/>
              </w:rPr>
              <w:t>地  址</w:t>
            </w:r>
            <w:r>
              <w:rPr>
                <w:rFonts w:ascii="宋体" w:hAnsi="宋体" w:eastAsia="宋体"/>
                <w:highlight w:val="none"/>
              </w:rPr>
              <w:t>:</w:t>
            </w:r>
            <w:r>
              <w:rPr>
                <w:rFonts w:hint="eastAsia" w:ascii="宋体" w:hAnsi="宋体" w:eastAsia="宋体"/>
                <w:highlight w:val="none"/>
              </w:rPr>
              <w:t>长春净月高新技术产业开发区擎天树街855号</w:t>
            </w:r>
          </w:p>
          <w:p w14:paraId="6FA22F87">
            <w:pPr>
              <w:spacing w:line="360" w:lineRule="exact"/>
              <w:rPr>
                <w:rFonts w:hint="eastAsia" w:ascii="宋体" w:hAnsi="宋体" w:eastAsia="宋体"/>
                <w:highlight w:val="none"/>
              </w:rPr>
            </w:pPr>
            <w:r>
              <w:rPr>
                <w:rFonts w:hint="eastAsia" w:ascii="宋体" w:hAnsi="宋体" w:eastAsia="宋体"/>
                <w:highlight w:val="none"/>
              </w:rPr>
              <w:t>联系人</w:t>
            </w:r>
            <w:r>
              <w:rPr>
                <w:rFonts w:ascii="宋体" w:hAnsi="宋体" w:eastAsia="宋体"/>
                <w:highlight w:val="none"/>
              </w:rPr>
              <w:t>:</w:t>
            </w:r>
            <w:r>
              <w:rPr>
                <w:rFonts w:hint="eastAsia" w:ascii="宋体" w:hAnsi="宋体" w:eastAsia="宋体"/>
                <w:highlight w:val="none"/>
              </w:rPr>
              <w:t xml:space="preserve"> 赵鑫 </w:t>
            </w:r>
            <w:r>
              <w:rPr>
                <w:rFonts w:ascii="宋体" w:hAnsi="宋体" w:eastAsia="宋体"/>
                <w:highlight w:val="none"/>
              </w:rPr>
              <w:t>刘世远</w:t>
            </w:r>
          </w:p>
          <w:p w14:paraId="2503BBF1">
            <w:pPr>
              <w:spacing w:line="360" w:lineRule="exact"/>
              <w:jc w:val="both"/>
              <w:rPr>
                <w:rFonts w:hint="eastAsia" w:cs="宋体" w:asciiTheme="majorEastAsia" w:hAnsiTheme="majorEastAsia" w:eastAsiaTheme="majorEastAsia"/>
                <w:highlight w:val="none"/>
              </w:rPr>
            </w:pPr>
            <w:r>
              <w:rPr>
                <w:rFonts w:hint="eastAsia" w:ascii="宋体" w:hAnsi="宋体" w:eastAsia="宋体"/>
                <w:highlight w:val="none"/>
              </w:rPr>
              <w:t>电  话</w:t>
            </w:r>
            <w:r>
              <w:rPr>
                <w:rFonts w:ascii="宋体" w:hAnsi="宋体" w:eastAsia="宋体"/>
                <w:highlight w:val="none"/>
              </w:rPr>
              <w:t xml:space="preserve">: </w:t>
            </w:r>
            <w:r>
              <w:rPr>
                <w:rFonts w:hint="eastAsia" w:ascii="宋体" w:hAnsi="宋体" w:eastAsia="宋体"/>
                <w:highlight w:val="none"/>
              </w:rPr>
              <w:t>0431</w:t>
            </w:r>
            <w:r>
              <w:rPr>
                <w:rFonts w:hint="eastAsia" w:ascii="宋体" w:hAnsi="宋体" w:eastAsia="宋体" w:cs="宋体"/>
                <w:highlight w:val="none"/>
              </w:rPr>
              <w:t>-</w:t>
            </w:r>
            <w:r>
              <w:rPr>
                <w:rFonts w:hint="eastAsia" w:ascii="宋体" w:hAnsi="宋体" w:eastAsia="宋体"/>
                <w:highlight w:val="none"/>
              </w:rPr>
              <w:t>88655555</w:t>
            </w:r>
          </w:p>
        </w:tc>
      </w:tr>
      <w:tr w14:paraId="1CDBA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484" w:type="pct"/>
            <w:vAlign w:val="center"/>
          </w:tcPr>
          <w:p w14:paraId="13815F0D">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1.1.4</w:t>
            </w:r>
          </w:p>
        </w:tc>
        <w:tc>
          <w:tcPr>
            <w:tcW w:w="1054" w:type="pct"/>
            <w:vAlign w:val="center"/>
          </w:tcPr>
          <w:p w14:paraId="65282D05">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招标项目名称</w:t>
            </w:r>
          </w:p>
        </w:tc>
        <w:tc>
          <w:tcPr>
            <w:tcW w:w="3462" w:type="pct"/>
            <w:vAlign w:val="center"/>
          </w:tcPr>
          <w:p w14:paraId="5153F49A">
            <w:pPr>
              <w:spacing w:line="360" w:lineRule="exact"/>
              <w:ind w:left="21" w:leftChars="10"/>
              <w:jc w:val="both"/>
              <w:rPr>
                <w:rFonts w:hint="eastAsia" w:cs="宋体" w:asciiTheme="majorEastAsia" w:hAnsiTheme="majorEastAsia" w:eastAsiaTheme="majorEastAsia"/>
                <w:highlight w:val="none"/>
              </w:rPr>
            </w:pPr>
            <w:r>
              <w:rPr>
                <w:rFonts w:hint="eastAsia" w:cs="宋体" w:asciiTheme="majorEastAsia" w:hAnsiTheme="majorEastAsia" w:eastAsiaTheme="majorEastAsia"/>
                <w:highlight w:val="none"/>
              </w:rPr>
              <w:t>长春至榆树高速公路建设项目房建工程施工监理</w:t>
            </w:r>
          </w:p>
        </w:tc>
      </w:tr>
      <w:tr w14:paraId="3ED9C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484" w:type="pct"/>
            <w:vAlign w:val="center"/>
          </w:tcPr>
          <w:p w14:paraId="3162DBF0">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1.1.5</w:t>
            </w:r>
          </w:p>
        </w:tc>
        <w:tc>
          <w:tcPr>
            <w:tcW w:w="1054" w:type="pct"/>
            <w:vAlign w:val="center"/>
          </w:tcPr>
          <w:p w14:paraId="389C5E27">
            <w:pPr>
              <w:spacing w:line="360" w:lineRule="exact"/>
              <w:jc w:val="center"/>
              <w:rPr>
                <w:rFonts w:hint="eastAsia" w:cs="宋体" w:asciiTheme="majorEastAsia" w:hAnsiTheme="majorEastAsia" w:eastAsiaTheme="majorEastAsia"/>
                <w:highlight w:val="none"/>
              </w:rPr>
            </w:pPr>
            <w:r>
              <w:rPr>
                <w:rFonts w:hint="eastAsia" w:cs="宋体" w:asciiTheme="majorEastAsia" w:hAnsiTheme="majorEastAsia" w:eastAsiaTheme="majorEastAsia"/>
                <w:highlight w:val="none"/>
              </w:rPr>
              <w:t>项目建设</w:t>
            </w:r>
            <w:r>
              <w:rPr>
                <w:rFonts w:cs="宋体" w:asciiTheme="majorEastAsia" w:hAnsiTheme="majorEastAsia" w:eastAsiaTheme="majorEastAsia"/>
                <w:highlight w:val="none"/>
              </w:rPr>
              <w:t>地点</w:t>
            </w:r>
          </w:p>
        </w:tc>
        <w:tc>
          <w:tcPr>
            <w:tcW w:w="3462" w:type="pct"/>
            <w:vAlign w:val="center"/>
          </w:tcPr>
          <w:p w14:paraId="61D4E172">
            <w:pPr>
              <w:spacing w:line="360" w:lineRule="exact"/>
              <w:ind w:left="21" w:leftChars="10"/>
              <w:jc w:val="both"/>
              <w:rPr>
                <w:rFonts w:hint="eastAsia" w:cs="宋体" w:asciiTheme="majorEastAsia" w:hAnsiTheme="majorEastAsia" w:eastAsiaTheme="majorEastAsia"/>
                <w:highlight w:val="none"/>
              </w:rPr>
            </w:pPr>
            <w:r>
              <w:rPr>
                <w:rFonts w:hint="eastAsia" w:ascii="宋体" w:hAnsi="宋体" w:eastAsia="宋体"/>
                <w:highlight w:val="none"/>
              </w:rPr>
              <w:t>见招标文件第一章“招标公告”</w:t>
            </w:r>
          </w:p>
        </w:tc>
      </w:tr>
      <w:tr w14:paraId="33BA5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484" w:type="pct"/>
            <w:vAlign w:val="center"/>
          </w:tcPr>
          <w:p w14:paraId="4391BEAB">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1.1.6</w:t>
            </w:r>
          </w:p>
        </w:tc>
        <w:tc>
          <w:tcPr>
            <w:tcW w:w="1054" w:type="pct"/>
            <w:vAlign w:val="center"/>
          </w:tcPr>
          <w:p w14:paraId="494C7D30">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项目建设规模</w:t>
            </w:r>
          </w:p>
        </w:tc>
        <w:tc>
          <w:tcPr>
            <w:tcW w:w="3462" w:type="pct"/>
            <w:vAlign w:val="center"/>
          </w:tcPr>
          <w:p w14:paraId="166B76D4">
            <w:pPr>
              <w:spacing w:line="360" w:lineRule="exact"/>
              <w:ind w:left="21" w:leftChars="10"/>
              <w:jc w:val="both"/>
              <w:rPr>
                <w:rFonts w:hint="eastAsia" w:cs="宋体" w:asciiTheme="majorEastAsia" w:hAnsiTheme="majorEastAsia" w:eastAsiaTheme="majorEastAsia"/>
                <w:highlight w:val="none"/>
              </w:rPr>
            </w:pPr>
            <w:r>
              <w:rPr>
                <w:rFonts w:hint="eastAsia" w:ascii="宋体" w:hAnsi="宋体" w:eastAsia="宋体"/>
                <w:highlight w:val="none"/>
              </w:rPr>
              <w:t>见招标文件第一章“招标公告”</w:t>
            </w:r>
          </w:p>
        </w:tc>
      </w:tr>
      <w:tr w14:paraId="73C05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484" w:type="pct"/>
            <w:vAlign w:val="center"/>
          </w:tcPr>
          <w:p w14:paraId="0E5E53E8">
            <w:pPr>
              <w:spacing w:line="360" w:lineRule="exact"/>
              <w:jc w:val="center"/>
              <w:rPr>
                <w:rFonts w:hint="eastAsia" w:cs="宋体" w:asciiTheme="majorEastAsia" w:hAnsiTheme="majorEastAsia" w:eastAsiaTheme="majorEastAsia"/>
                <w:highlight w:val="none"/>
              </w:rPr>
            </w:pPr>
            <w:r>
              <w:rPr>
                <w:rFonts w:hint="eastAsia" w:cs="宋体" w:asciiTheme="majorEastAsia" w:hAnsiTheme="majorEastAsia" w:eastAsiaTheme="majorEastAsia"/>
                <w:highlight w:val="none"/>
              </w:rPr>
              <w:t>1</w:t>
            </w:r>
            <w:r>
              <w:rPr>
                <w:rFonts w:cs="宋体" w:asciiTheme="majorEastAsia" w:hAnsiTheme="majorEastAsia" w:eastAsiaTheme="majorEastAsia"/>
                <w:highlight w:val="none"/>
              </w:rPr>
              <w:t>.1.7</w:t>
            </w:r>
          </w:p>
        </w:tc>
        <w:tc>
          <w:tcPr>
            <w:tcW w:w="1054" w:type="pct"/>
            <w:vAlign w:val="center"/>
          </w:tcPr>
          <w:p w14:paraId="53C59FE1">
            <w:pPr>
              <w:spacing w:line="360" w:lineRule="exact"/>
              <w:jc w:val="center"/>
              <w:rPr>
                <w:rFonts w:hint="eastAsia" w:ascii="宋体" w:hAnsi="宋体" w:eastAsia="宋体" w:cs="宋体"/>
                <w:highlight w:val="none"/>
              </w:rPr>
            </w:pPr>
            <w:r>
              <w:rPr>
                <w:rFonts w:ascii="宋体" w:hAnsi="宋体" w:eastAsia="宋体" w:cs="宋体"/>
                <w:highlight w:val="none"/>
              </w:rPr>
              <w:t>工程项目施工预计</w:t>
            </w:r>
          </w:p>
          <w:p w14:paraId="5F936835">
            <w:pPr>
              <w:spacing w:line="360" w:lineRule="exact"/>
              <w:jc w:val="center"/>
              <w:rPr>
                <w:rFonts w:hint="eastAsia" w:cs="宋体" w:asciiTheme="majorEastAsia" w:hAnsiTheme="majorEastAsia" w:eastAsiaTheme="majorEastAsia"/>
                <w:highlight w:val="none"/>
              </w:rPr>
            </w:pPr>
            <w:r>
              <w:rPr>
                <w:rFonts w:ascii="宋体" w:hAnsi="宋体" w:eastAsia="宋体" w:cs="宋体"/>
                <w:highlight w:val="none"/>
              </w:rPr>
              <w:t>开工日期和建设周期</w:t>
            </w:r>
          </w:p>
        </w:tc>
        <w:tc>
          <w:tcPr>
            <w:tcW w:w="3462" w:type="pct"/>
            <w:vAlign w:val="center"/>
          </w:tcPr>
          <w:p w14:paraId="4C92212A">
            <w:pPr>
              <w:spacing w:line="360" w:lineRule="exact"/>
              <w:rPr>
                <w:rFonts w:hint="eastAsia" w:ascii="黑体" w:hAnsi="黑体" w:eastAsia="黑体"/>
                <w:highlight w:val="none"/>
                <w:lang w:val="zh-CN" w:bidi="ar"/>
              </w:rPr>
            </w:pPr>
            <w:r>
              <w:rPr>
                <w:rFonts w:hint="eastAsia" w:ascii="黑体" w:hAnsi="黑体" w:eastAsia="黑体"/>
                <w:highlight w:val="none"/>
                <w:lang w:val="zh-CN" w:bidi="ar"/>
              </w:rPr>
              <w:t>计划工期：</w:t>
            </w:r>
            <w:r>
              <w:rPr>
                <w:rFonts w:hint="eastAsia" w:ascii="黑体" w:hAnsi="黑体" w:eastAsia="黑体"/>
                <w:highlight w:val="none"/>
                <w:u w:val="single"/>
                <w:lang w:val="zh-CN" w:bidi="ar"/>
              </w:rPr>
              <w:t>273日历天</w:t>
            </w:r>
          </w:p>
          <w:p w14:paraId="1D0F1403">
            <w:pPr>
              <w:spacing w:line="360" w:lineRule="exact"/>
              <w:rPr>
                <w:rFonts w:hint="eastAsia" w:ascii="黑体" w:hAnsi="黑体" w:eastAsia="黑体"/>
                <w:highlight w:val="none"/>
                <w:lang w:val="zh-CN" w:bidi="ar"/>
              </w:rPr>
            </w:pPr>
            <w:r>
              <w:rPr>
                <w:rFonts w:hint="eastAsia" w:ascii="黑体" w:hAnsi="黑体" w:eastAsia="黑体"/>
                <w:highlight w:val="none"/>
                <w:lang w:val="zh-CN" w:bidi="ar"/>
              </w:rPr>
              <w:t>计划开工日期：</w:t>
            </w:r>
            <w:r>
              <w:rPr>
                <w:rFonts w:hint="eastAsia" w:ascii="黑体" w:hAnsi="黑体" w:eastAsia="黑体"/>
                <w:highlight w:val="none"/>
                <w:u w:val="single"/>
                <w:lang w:val="zh-CN" w:bidi="ar"/>
              </w:rPr>
              <w:t>2026年12月1日</w:t>
            </w:r>
          </w:p>
          <w:p w14:paraId="5437979D">
            <w:pPr>
              <w:spacing w:line="360" w:lineRule="exact"/>
              <w:ind w:left="21" w:leftChars="10"/>
              <w:jc w:val="both"/>
              <w:rPr>
                <w:rFonts w:hint="eastAsia" w:cs="宋体" w:asciiTheme="majorEastAsia" w:hAnsiTheme="majorEastAsia" w:eastAsiaTheme="majorEastAsia"/>
                <w:highlight w:val="none"/>
              </w:rPr>
            </w:pPr>
            <w:r>
              <w:rPr>
                <w:rFonts w:hint="eastAsia" w:ascii="黑体" w:hAnsi="黑体" w:eastAsia="黑体"/>
                <w:highlight w:val="none"/>
                <w:lang w:val="zh-CN" w:bidi="ar"/>
              </w:rPr>
              <w:t>计划竣工日期：</w:t>
            </w:r>
            <w:r>
              <w:rPr>
                <w:rFonts w:hint="eastAsia" w:ascii="黑体" w:hAnsi="黑体" w:eastAsia="黑体"/>
                <w:highlight w:val="none"/>
                <w:u w:val="single"/>
                <w:lang w:val="zh-CN" w:bidi="ar"/>
              </w:rPr>
              <w:t>2027年8月31日</w:t>
            </w:r>
          </w:p>
        </w:tc>
      </w:tr>
      <w:tr w14:paraId="02795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484" w:type="pct"/>
            <w:vAlign w:val="center"/>
          </w:tcPr>
          <w:p w14:paraId="341E76F9">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1.1.8</w:t>
            </w:r>
          </w:p>
        </w:tc>
        <w:tc>
          <w:tcPr>
            <w:tcW w:w="1054" w:type="pct"/>
            <w:vAlign w:val="center"/>
          </w:tcPr>
          <w:p w14:paraId="0FC6FF75">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建筑安装工程费</w:t>
            </w:r>
          </w:p>
        </w:tc>
        <w:tc>
          <w:tcPr>
            <w:tcW w:w="3462" w:type="pct"/>
            <w:vAlign w:val="center"/>
          </w:tcPr>
          <w:p w14:paraId="6042EC8A">
            <w:pPr>
              <w:spacing w:line="360" w:lineRule="exact"/>
              <w:ind w:left="21" w:leftChars="10"/>
              <w:jc w:val="both"/>
              <w:rPr>
                <w:rFonts w:hint="eastAsia" w:cs="宋体" w:asciiTheme="majorEastAsia" w:hAnsiTheme="majorEastAsia" w:eastAsiaTheme="majorEastAsia"/>
                <w:highlight w:val="none"/>
              </w:rPr>
            </w:pPr>
            <w:r>
              <w:rPr>
                <w:rFonts w:hint="eastAsia" w:cs="宋体" w:asciiTheme="majorEastAsia" w:hAnsiTheme="majorEastAsia" w:eastAsiaTheme="majorEastAsia"/>
                <w:highlight w:val="none"/>
              </w:rPr>
              <w:t>/</w:t>
            </w:r>
          </w:p>
        </w:tc>
      </w:tr>
      <w:tr w14:paraId="145E2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484" w:type="pct"/>
            <w:vAlign w:val="center"/>
          </w:tcPr>
          <w:p w14:paraId="0502CD29">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1.2.1</w:t>
            </w:r>
          </w:p>
        </w:tc>
        <w:tc>
          <w:tcPr>
            <w:tcW w:w="1054" w:type="pct"/>
            <w:vAlign w:val="center"/>
          </w:tcPr>
          <w:p w14:paraId="57856334">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资金来源</w:t>
            </w:r>
            <w:r>
              <w:rPr>
                <w:rFonts w:hint="eastAsia" w:cs="宋体" w:asciiTheme="majorEastAsia" w:hAnsiTheme="majorEastAsia" w:eastAsiaTheme="majorEastAsia"/>
                <w:highlight w:val="none"/>
              </w:rPr>
              <w:t>及比例</w:t>
            </w:r>
          </w:p>
        </w:tc>
        <w:tc>
          <w:tcPr>
            <w:tcW w:w="3462" w:type="pct"/>
            <w:vAlign w:val="center"/>
          </w:tcPr>
          <w:p w14:paraId="333BB366">
            <w:pPr>
              <w:spacing w:line="360" w:lineRule="exact"/>
              <w:ind w:left="21" w:leftChars="10"/>
              <w:jc w:val="both"/>
              <w:rPr>
                <w:rFonts w:hint="eastAsia" w:cs="宋体" w:asciiTheme="majorEastAsia" w:hAnsiTheme="majorEastAsia" w:eastAsiaTheme="majorEastAsia"/>
                <w:highlight w:val="none"/>
              </w:rPr>
            </w:pPr>
            <w:r>
              <w:rPr>
                <w:rFonts w:hint="eastAsia" w:ascii="宋体" w:hAnsi="宋体" w:eastAsia="宋体"/>
                <w:highlight w:val="none"/>
              </w:rPr>
              <w:t>见招标文件第一章“招标公告”</w:t>
            </w:r>
          </w:p>
        </w:tc>
      </w:tr>
      <w:tr w14:paraId="78B3F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484" w:type="pct"/>
            <w:vAlign w:val="center"/>
          </w:tcPr>
          <w:p w14:paraId="7A40B5F5">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1.2.2</w:t>
            </w:r>
          </w:p>
        </w:tc>
        <w:tc>
          <w:tcPr>
            <w:tcW w:w="1054" w:type="pct"/>
            <w:vAlign w:val="center"/>
          </w:tcPr>
          <w:p w14:paraId="1F916C98">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资金落实情况</w:t>
            </w:r>
          </w:p>
        </w:tc>
        <w:tc>
          <w:tcPr>
            <w:tcW w:w="3462" w:type="pct"/>
            <w:vAlign w:val="center"/>
          </w:tcPr>
          <w:p w14:paraId="28FFCEF9">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已落实</w:t>
            </w:r>
          </w:p>
        </w:tc>
      </w:tr>
      <w:tr w14:paraId="0AF1E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484" w:type="pct"/>
            <w:vAlign w:val="center"/>
          </w:tcPr>
          <w:p w14:paraId="2A686D35">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1.3.1</w:t>
            </w:r>
          </w:p>
        </w:tc>
        <w:tc>
          <w:tcPr>
            <w:tcW w:w="1054" w:type="pct"/>
            <w:vAlign w:val="center"/>
          </w:tcPr>
          <w:p w14:paraId="03325EDA">
            <w:pPr>
              <w:spacing w:line="360" w:lineRule="exact"/>
              <w:jc w:val="center"/>
              <w:rPr>
                <w:rFonts w:hint="eastAsia" w:cs="宋体" w:asciiTheme="majorEastAsia" w:hAnsiTheme="majorEastAsia" w:eastAsiaTheme="majorEastAsia"/>
                <w:highlight w:val="none"/>
              </w:rPr>
            </w:pPr>
            <w:r>
              <w:rPr>
                <w:rFonts w:hint="eastAsia" w:cs="宋体" w:asciiTheme="majorEastAsia" w:hAnsiTheme="majorEastAsia" w:eastAsiaTheme="majorEastAsia"/>
                <w:highlight w:val="none"/>
              </w:rPr>
              <w:t>招</w:t>
            </w:r>
            <w:r>
              <w:rPr>
                <w:rFonts w:cs="宋体" w:asciiTheme="majorEastAsia" w:hAnsiTheme="majorEastAsia" w:eastAsiaTheme="majorEastAsia"/>
                <w:highlight w:val="none"/>
              </w:rPr>
              <w:t>标</w:t>
            </w:r>
            <w:r>
              <w:rPr>
                <w:rFonts w:hint="eastAsia" w:cs="宋体" w:asciiTheme="majorEastAsia" w:hAnsiTheme="majorEastAsia" w:eastAsiaTheme="majorEastAsia"/>
                <w:highlight w:val="none"/>
              </w:rPr>
              <w:t>范围</w:t>
            </w:r>
          </w:p>
        </w:tc>
        <w:tc>
          <w:tcPr>
            <w:tcW w:w="3462" w:type="pct"/>
            <w:vAlign w:val="center"/>
          </w:tcPr>
          <w:p w14:paraId="3E6D8772">
            <w:pPr>
              <w:spacing w:line="360" w:lineRule="exact"/>
              <w:ind w:left="21" w:leftChars="10"/>
              <w:jc w:val="both"/>
              <w:rPr>
                <w:rFonts w:hint="eastAsia" w:ascii="宋体" w:hAnsi="宋体" w:eastAsia="宋体" w:cs="宋体"/>
                <w:highlight w:val="none"/>
              </w:rPr>
            </w:pPr>
            <w:r>
              <w:rPr>
                <w:rFonts w:hint="eastAsia" w:ascii="宋体" w:hAnsi="宋体" w:eastAsia="宋体" w:cs="宋体"/>
                <w:highlight w:val="none"/>
              </w:rPr>
              <w:t>施工图纸及工程量清单所包含全部内容的</w:t>
            </w:r>
            <w:r>
              <w:rPr>
                <w:rFonts w:ascii="宋体" w:hAnsi="宋体" w:eastAsia="宋体" w:cs="宋体"/>
                <w:highlight w:val="none"/>
              </w:rPr>
              <w:t>全过程施工监理服务</w:t>
            </w:r>
            <w:r>
              <w:rPr>
                <w:rFonts w:hint="eastAsia" w:ascii="宋体" w:hAnsi="宋体" w:eastAsia="宋体" w:cs="宋体"/>
                <w:highlight w:val="none"/>
              </w:rPr>
              <w:t>。</w:t>
            </w:r>
            <w:r>
              <w:rPr>
                <w:rFonts w:ascii="宋体" w:hAnsi="宋体" w:eastAsia="宋体" w:cs="宋体"/>
                <w:highlight w:val="none"/>
              </w:rPr>
              <w:t xml:space="preserve">包含但不限于施工准备阶段、施工阶段、工程竣工验收阶段、竣工资料整理及备案阶段、竣工结算和决算阶段、 缺陷责任期阶段、保修期阶段、审计阶段 </w:t>
            </w:r>
            <w:r>
              <w:rPr>
                <w:rFonts w:hint="eastAsia" w:ascii="宋体" w:hAnsi="宋体" w:eastAsia="宋体" w:cs="宋体"/>
                <w:highlight w:val="none"/>
              </w:rPr>
              <w:t>（</w:t>
            </w:r>
            <w:r>
              <w:rPr>
                <w:rFonts w:ascii="宋体" w:hAnsi="宋体" w:eastAsia="宋体" w:cs="宋体"/>
                <w:highlight w:val="none"/>
              </w:rPr>
              <w:t>如有</w:t>
            </w:r>
            <w:r>
              <w:rPr>
                <w:rFonts w:hint="eastAsia" w:ascii="宋体" w:hAnsi="宋体" w:eastAsia="宋体" w:cs="宋体"/>
                <w:highlight w:val="none"/>
              </w:rPr>
              <w:t>）</w:t>
            </w:r>
            <w:r>
              <w:rPr>
                <w:rFonts w:ascii="宋体" w:hAnsi="宋体" w:eastAsia="宋体" w:cs="宋体"/>
                <w:highlight w:val="none"/>
              </w:rPr>
              <w:t xml:space="preserve"> 提供全过程监理服务。</w:t>
            </w:r>
          </w:p>
        </w:tc>
      </w:tr>
      <w:tr w14:paraId="5A61F2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484" w:type="pct"/>
            <w:vAlign w:val="center"/>
          </w:tcPr>
          <w:p w14:paraId="7D4618E0">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1.3.2</w:t>
            </w:r>
          </w:p>
        </w:tc>
        <w:tc>
          <w:tcPr>
            <w:tcW w:w="1054" w:type="pct"/>
            <w:vAlign w:val="center"/>
          </w:tcPr>
          <w:p w14:paraId="053542C3">
            <w:pPr>
              <w:spacing w:line="360" w:lineRule="exact"/>
              <w:jc w:val="center"/>
              <w:outlineLvl w:val="1"/>
              <w:rPr>
                <w:rFonts w:hint="eastAsia" w:cs="宋体" w:asciiTheme="majorEastAsia" w:hAnsiTheme="majorEastAsia" w:eastAsiaTheme="majorEastAsia"/>
                <w:highlight w:val="none"/>
              </w:rPr>
            </w:pPr>
            <w:r>
              <w:rPr>
                <w:rFonts w:cs="宋体" w:asciiTheme="majorEastAsia" w:hAnsiTheme="majorEastAsia" w:eastAsiaTheme="majorEastAsia"/>
                <w:highlight w:val="none"/>
              </w:rPr>
              <w:t>监理服务期限</w:t>
            </w:r>
          </w:p>
        </w:tc>
        <w:tc>
          <w:tcPr>
            <w:tcW w:w="3462" w:type="pct"/>
            <w:vAlign w:val="center"/>
          </w:tcPr>
          <w:p w14:paraId="674EF034">
            <w:pPr>
              <w:spacing w:line="360" w:lineRule="exact"/>
              <w:rPr>
                <w:rFonts w:hint="eastAsia" w:cs="宋体" w:asciiTheme="majorEastAsia" w:hAnsiTheme="majorEastAsia" w:eastAsiaTheme="majorEastAsia"/>
                <w:highlight w:val="none"/>
              </w:rPr>
            </w:pPr>
            <w:r>
              <w:rPr>
                <w:rFonts w:ascii="宋体" w:hAnsi="宋体" w:eastAsia="宋体" w:cs="宋体"/>
                <w:highlight w:val="none"/>
              </w:rPr>
              <w:t>监理服务期预计为1004日历天（施工期+缺陷责任期）。其中：施工计划工期为2026年12月1日～2027年8月31日，273日历天，缺陷责任期为731日历天（24个月）</w:t>
            </w:r>
            <w:r>
              <w:rPr>
                <w:rFonts w:hint="eastAsia" w:ascii="宋体" w:hAnsi="宋体" w:eastAsia="宋体" w:cs="宋体"/>
                <w:highlight w:val="none"/>
              </w:rPr>
              <w:t>。</w:t>
            </w:r>
          </w:p>
        </w:tc>
      </w:tr>
      <w:tr w14:paraId="63532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484" w:type="pct"/>
            <w:vAlign w:val="center"/>
          </w:tcPr>
          <w:p w14:paraId="7A8EC909">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1.3.3</w:t>
            </w:r>
          </w:p>
        </w:tc>
        <w:tc>
          <w:tcPr>
            <w:tcW w:w="1054" w:type="pct"/>
            <w:vAlign w:val="center"/>
          </w:tcPr>
          <w:p w14:paraId="52C35DF2">
            <w:pPr>
              <w:spacing w:line="360" w:lineRule="exact"/>
              <w:jc w:val="center"/>
              <w:outlineLvl w:val="1"/>
              <w:rPr>
                <w:rFonts w:hint="eastAsia" w:cs="宋体" w:asciiTheme="majorEastAsia" w:hAnsiTheme="majorEastAsia" w:eastAsiaTheme="majorEastAsia"/>
                <w:highlight w:val="none"/>
              </w:rPr>
            </w:pPr>
            <w:r>
              <w:rPr>
                <w:rFonts w:cs="宋体" w:asciiTheme="majorEastAsia" w:hAnsiTheme="majorEastAsia" w:eastAsiaTheme="majorEastAsia"/>
                <w:highlight w:val="none"/>
              </w:rPr>
              <w:t>质量标准</w:t>
            </w:r>
          </w:p>
        </w:tc>
        <w:tc>
          <w:tcPr>
            <w:tcW w:w="3462" w:type="pct"/>
            <w:vAlign w:val="center"/>
          </w:tcPr>
          <w:p w14:paraId="2BF7FA89">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符合国家现行标准《建设工程监理规范》及吉林省地方标准《建设工程监理规范实施细则》</w:t>
            </w:r>
          </w:p>
        </w:tc>
      </w:tr>
      <w:tr w14:paraId="265DB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4" w:hRule="atLeast"/>
        </w:trPr>
        <w:tc>
          <w:tcPr>
            <w:tcW w:w="484" w:type="pct"/>
            <w:vAlign w:val="center"/>
          </w:tcPr>
          <w:p w14:paraId="08716A8C">
            <w:pPr>
              <w:spacing w:line="360" w:lineRule="exact"/>
              <w:jc w:val="center"/>
              <w:rPr>
                <w:rFonts w:hint="eastAsia" w:cs="宋体" w:asciiTheme="majorEastAsia" w:hAnsiTheme="majorEastAsia" w:eastAsiaTheme="majorEastAsia"/>
                <w:highlight w:val="none"/>
              </w:rPr>
            </w:pPr>
            <w:bookmarkStart w:id="18" w:name="_Hlk209081422"/>
            <w:r>
              <w:rPr>
                <w:rFonts w:cs="宋体" w:asciiTheme="majorEastAsia" w:hAnsiTheme="majorEastAsia" w:eastAsiaTheme="majorEastAsia"/>
                <w:highlight w:val="none"/>
              </w:rPr>
              <w:t>1.4.1</w:t>
            </w:r>
          </w:p>
        </w:tc>
        <w:tc>
          <w:tcPr>
            <w:tcW w:w="1054" w:type="pct"/>
            <w:vAlign w:val="center"/>
          </w:tcPr>
          <w:p w14:paraId="02113AE7">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投标人资质条件、能 力、信誉</w:t>
            </w:r>
          </w:p>
        </w:tc>
        <w:tc>
          <w:tcPr>
            <w:tcW w:w="3462" w:type="pct"/>
            <w:tcBorders>
              <w:bottom w:val="single" w:color="auto" w:sz="4" w:space="0"/>
            </w:tcBorders>
          </w:tcPr>
          <w:p w14:paraId="6A0D72AD">
            <w:pPr>
              <w:spacing w:line="360" w:lineRule="exact"/>
              <w:rPr>
                <w:rFonts w:hint="eastAsia" w:cs="宋体" w:asciiTheme="minorEastAsia" w:hAnsiTheme="minorEastAsia" w:eastAsiaTheme="minorEastAsia"/>
                <w:highlight w:val="none"/>
              </w:rPr>
            </w:pPr>
            <w:r>
              <w:rPr>
                <w:rFonts w:ascii="黑体" w:hAnsi="黑体" w:eastAsia="黑体" w:cs="宋体"/>
                <w:highlight w:val="none"/>
              </w:rPr>
              <w:t>（</w:t>
            </w:r>
            <w:r>
              <w:rPr>
                <w:rFonts w:hint="eastAsia" w:ascii="黑体" w:hAnsi="黑体" w:eastAsia="黑体" w:cs="宋体"/>
                <w:highlight w:val="none"/>
              </w:rPr>
              <w:t>1）</w:t>
            </w:r>
            <w:r>
              <w:rPr>
                <w:rFonts w:ascii="黑体" w:hAnsi="黑体" w:eastAsia="黑体" w:cs="宋体"/>
                <w:highlight w:val="none"/>
              </w:rPr>
              <w:t>资质要求：</w:t>
            </w:r>
            <w:r>
              <w:rPr>
                <w:rFonts w:cs="宋体" w:asciiTheme="minorEastAsia" w:hAnsiTheme="minorEastAsia" w:eastAsiaTheme="minorEastAsia"/>
                <w:highlight w:val="none"/>
              </w:rPr>
              <w:t>具备建设行政主管部门核发的工程监理综合资质或房屋建筑工程监理丙级及以上资质。</w:t>
            </w:r>
          </w:p>
          <w:p w14:paraId="3CE3D732">
            <w:pPr>
              <w:spacing w:line="360" w:lineRule="exact"/>
              <w:rPr>
                <w:rFonts w:hint="eastAsia" w:ascii="宋体" w:hAnsi="宋体" w:eastAsia="宋体"/>
                <w:highlight w:val="none"/>
                <w:lang w:val="zh-CN"/>
              </w:rPr>
            </w:pPr>
            <w:r>
              <w:rPr>
                <w:rFonts w:hint="eastAsia" w:ascii="黑体" w:hAnsi="黑体" w:eastAsia="黑体" w:cs="宋体"/>
                <w:highlight w:val="none"/>
              </w:rPr>
              <w:t>（2）</w:t>
            </w:r>
            <w:r>
              <w:rPr>
                <w:rFonts w:ascii="黑体" w:hAnsi="黑体" w:eastAsia="黑体" w:cs="宋体"/>
                <w:highlight w:val="none"/>
              </w:rPr>
              <w:t>财务要求：</w:t>
            </w:r>
            <w:r>
              <w:rPr>
                <w:rFonts w:hint="eastAsia" w:ascii="宋体" w:hAnsi="宋体" w:eastAsia="宋体"/>
                <w:highlight w:val="none"/>
                <w:lang w:val="zh-CN"/>
              </w:rPr>
              <w:t>投标人近三年（2023年～投标截止时间）具有良好的商业信誉和健全的财务会计制度。</w:t>
            </w:r>
          </w:p>
          <w:p w14:paraId="437BB162">
            <w:pPr>
              <w:spacing w:line="360" w:lineRule="exact"/>
              <w:ind w:right="1"/>
              <w:rPr>
                <w:rFonts w:hint="eastAsia" w:cs="宋体" w:asciiTheme="majorEastAsia" w:hAnsiTheme="majorEastAsia" w:eastAsiaTheme="majorEastAsia"/>
                <w:highlight w:val="none"/>
              </w:rPr>
            </w:pPr>
            <w:r>
              <w:rPr>
                <w:rFonts w:hint="eastAsia" w:ascii="黑体" w:hAnsi="黑体" w:eastAsia="黑体" w:cs="宋体"/>
                <w:highlight w:val="none"/>
              </w:rPr>
              <w:t>（</w:t>
            </w:r>
            <w:r>
              <w:rPr>
                <w:rFonts w:ascii="黑体" w:hAnsi="黑体" w:eastAsia="黑体" w:cs="宋体"/>
                <w:highlight w:val="none"/>
              </w:rPr>
              <w:t>3</w:t>
            </w:r>
            <w:r>
              <w:rPr>
                <w:rFonts w:hint="eastAsia" w:ascii="黑体" w:hAnsi="黑体" w:eastAsia="黑体" w:cs="宋体"/>
                <w:highlight w:val="none"/>
              </w:rPr>
              <w:t>）</w:t>
            </w:r>
            <w:r>
              <w:rPr>
                <w:rFonts w:ascii="黑体" w:hAnsi="黑体" w:eastAsia="黑体" w:cs="宋体"/>
                <w:highlight w:val="none"/>
              </w:rPr>
              <w:t>业绩要求：</w:t>
            </w:r>
            <w:r>
              <w:rPr>
                <w:rFonts w:cs="宋体" w:asciiTheme="minorEastAsia" w:hAnsiTheme="minorEastAsia" w:eastAsiaTheme="minorEastAsia"/>
                <w:highlight w:val="none"/>
              </w:rPr>
              <w:t>近</w:t>
            </w:r>
            <w:r>
              <w:rPr>
                <w:rFonts w:hint="eastAsia" w:cs="宋体" w:asciiTheme="minorEastAsia" w:hAnsiTheme="minorEastAsia" w:eastAsiaTheme="minorEastAsia"/>
                <w:highlight w:val="none"/>
              </w:rPr>
              <w:t>三</w:t>
            </w:r>
            <w:r>
              <w:rPr>
                <w:rFonts w:cs="宋体" w:asciiTheme="minorEastAsia" w:hAnsiTheme="minorEastAsia" w:eastAsiaTheme="minorEastAsia"/>
                <w:highlight w:val="none"/>
              </w:rPr>
              <w:t>年</w:t>
            </w:r>
            <w:r>
              <w:rPr>
                <w:rFonts w:hint="eastAsia" w:cs="宋体" w:asciiTheme="minorEastAsia" w:hAnsiTheme="minorEastAsia" w:eastAsiaTheme="minorEastAsia"/>
                <w:highlight w:val="none"/>
              </w:rPr>
              <w:t>（2023年1月1日至投标截止时间，以工程竣工时间为准）</w:t>
            </w:r>
            <w:r>
              <w:rPr>
                <w:rFonts w:cs="宋体" w:asciiTheme="minorEastAsia" w:hAnsiTheme="minorEastAsia" w:eastAsiaTheme="minorEastAsia"/>
                <w:highlight w:val="none"/>
              </w:rPr>
              <w:t>至少独立完成过1项（指1个监理委托合同）</w:t>
            </w:r>
            <w:r>
              <w:rPr>
                <w:rFonts w:cs="宋体" w:asciiTheme="majorEastAsia" w:hAnsiTheme="majorEastAsia" w:eastAsiaTheme="majorEastAsia"/>
                <w:highlight w:val="none"/>
              </w:rPr>
              <w:t>建筑面积不少于35000平方米的房建工程施工监理业绩。</w:t>
            </w:r>
          </w:p>
          <w:p w14:paraId="60A39BF6">
            <w:pPr>
              <w:spacing w:line="400" w:lineRule="exact"/>
              <w:ind w:right="1" w:firstLine="425"/>
              <w:rPr>
                <w:rFonts w:hint="eastAsia" w:ascii="宋体" w:hAnsi="宋体" w:eastAsia="宋体"/>
                <w:highlight w:val="none"/>
              </w:rPr>
            </w:pPr>
            <w:r>
              <w:rPr>
                <w:rFonts w:cs="宋体" w:asciiTheme="majorEastAsia" w:hAnsiTheme="majorEastAsia" w:eastAsiaTheme="majorEastAsia"/>
                <w:highlight w:val="none"/>
              </w:rPr>
              <w:t>企业业绩和总监理工程师业绩认定：</w:t>
            </w:r>
            <w:r>
              <w:rPr>
                <w:rFonts w:hint="eastAsia" w:cs="宋体" w:asciiTheme="majorEastAsia" w:hAnsiTheme="majorEastAsia" w:eastAsiaTheme="majorEastAsia"/>
                <w:highlight w:val="none"/>
              </w:rPr>
              <w:t>必须是通过互联网且不需任何权限即可在工程所在地的省级建筑市场监管一体化工作平台或省级建筑市场监管公共服务平台或全国建筑市场监管公共服务平台查询得到</w:t>
            </w:r>
            <w:r>
              <w:rPr>
                <w:rFonts w:hint="eastAsia" w:ascii="宋体" w:hAnsi="宋体" w:eastAsia="宋体"/>
                <w:highlight w:val="none"/>
              </w:rPr>
              <w:t>。</w:t>
            </w:r>
          </w:p>
          <w:p w14:paraId="52DF8B65">
            <w:pPr>
              <w:spacing w:line="400" w:lineRule="exact"/>
              <w:ind w:right="1" w:firstLine="425"/>
              <w:rPr>
                <w:rFonts w:hint="eastAsia" w:ascii="黑体" w:hAnsi="黑体" w:eastAsia="黑体" w:cs="宋体"/>
                <w:highlight w:val="none"/>
              </w:rPr>
            </w:pPr>
            <w:r>
              <w:rPr>
                <w:rFonts w:hint="eastAsia" w:ascii="宋体" w:hAnsi="宋体" w:eastAsia="宋体"/>
                <w:highlight w:val="none"/>
              </w:rPr>
              <w:t>注：</w:t>
            </w:r>
            <w:r>
              <w:rPr>
                <w:rFonts w:hint="eastAsia" w:ascii="黑体" w:hAnsi="黑体" w:eastAsia="黑体"/>
                <w:highlight w:val="none"/>
              </w:rPr>
              <w:t>所有业绩均须是新建或改扩建工程，维修、改造、装修装饰等工程不予认可。</w:t>
            </w:r>
          </w:p>
          <w:p w14:paraId="6FF3E492">
            <w:pPr>
              <w:spacing w:line="360" w:lineRule="exact"/>
              <w:ind w:firstLine="420" w:firstLineChars="200"/>
              <w:rPr>
                <w:rFonts w:hint="eastAsia" w:asciiTheme="minorEastAsia" w:hAnsiTheme="minorEastAsia" w:eastAsiaTheme="minorEastAsia"/>
                <w:highlight w:val="none"/>
              </w:rPr>
            </w:pPr>
            <w:r>
              <w:rPr>
                <w:rFonts w:hint="eastAsia" w:asciiTheme="minorEastAsia" w:hAnsiTheme="minorEastAsia" w:eastAsiaTheme="minorEastAsia"/>
                <w:highlight w:val="none"/>
              </w:rPr>
              <w:t>查询到的数据应能满足招标文件评审的要求，其它网站查询的业绩不予认定。</w:t>
            </w:r>
          </w:p>
          <w:p w14:paraId="7A94A79A">
            <w:pPr>
              <w:spacing w:line="360" w:lineRule="exact"/>
              <w:ind w:firstLine="420" w:firstLineChars="200"/>
              <w:rPr>
                <w:highlight w:val="none"/>
              </w:rPr>
            </w:pPr>
            <w:r>
              <w:rPr>
                <w:rFonts w:hint="eastAsia" w:ascii="宋体" w:hAnsi="宋体" w:eastAsia="宋体"/>
                <w:highlight w:val="none"/>
              </w:rPr>
              <w:t>关于涉密工程招标评标业绩执行吉建招</w:t>
            </w:r>
            <w:r>
              <w:rPr>
                <w:rFonts w:hint="eastAsia" w:ascii="宋体" w:hAnsi="宋体" w:eastAsia="宋体" w:cs="宋体"/>
                <w:highlight w:val="none"/>
              </w:rPr>
              <w:t>【</w:t>
            </w:r>
            <w:r>
              <w:rPr>
                <w:rFonts w:hint="eastAsia" w:ascii="宋体" w:hAnsi="宋体" w:eastAsia="宋体"/>
                <w:highlight w:val="none"/>
              </w:rPr>
              <w:t>2017</w:t>
            </w:r>
            <w:r>
              <w:rPr>
                <w:rFonts w:hint="eastAsia" w:ascii="宋体" w:hAnsi="宋体" w:eastAsia="宋体" w:cs="宋体"/>
                <w:highlight w:val="none"/>
              </w:rPr>
              <w:t>】</w:t>
            </w:r>
            <w:r>
              <w:rPr>
                <w:rFonts w:hint="eastAsia" w:ascii="宋体" w:hAnsi="宋体" w:eastAsia="宋体"/>
                <w:highlight w:val="none"/>
              </w:rPr>
              <w:t>12号文件《吉林省住房和城乡建设厅关于涉密工程招标评标业绩认定的补充通知》的规定。</w:t>
            </w:r>
          </w:p>
          <w:p w14:paraId="3A69848B">
            <w:pPr>
              <w:tabs>
                <w:tab w:val="left" w:pos="222"/>
              </w:tabs>
              <w:spacing w:line="360" w:lineRule="exact"/>
              <w:rPr>
                <w:rFonts w:hint="eastAsia" w:cs="宋体" w:asciiTheme="majorEastAsia" w:hAnsiTheme="majorEastAsia" w:eastAsiaTheme="majorEastAsia"/>
                <w:highlight w:val="none"/>
              </w:rPr>
            </w:pPr>
            <w:r>
              <w:rPr>
                <w:rFonts w:hint="eastAsia" w:ascii="黑体" w:hAnsi="黑体" w:eastAsia="黑体" w:cs="宋体"/>
                <w:highlight w:val="none"/>
              </w:rPr>
              <w:t>（4）</w:t>
            </w:r>
            <w:r>
              <w:rPr>
                <w:rFonts w:ascii="黑体" w:hAnsi="黑体" w:eastAsia="黑体" w:cs="宋体"/>
                <w:highlight w:val="none"/>
              </w:rPr>
              <w:t>信誉要求：</w:t>
            </w:r>
            <w:r>
              <w:rPr>
                <w:rFonts w:cs="宋体" w:asciiTheme="majorEastAsia" w:hAnsiTheme="majorEastAsia" w:eastAsiaTheme="majorEastAsia"/>
                <w:highlight w:val="none"/>
              </w:rPr>
              <w:t xml:space="preserve"> </w:t>
            </w:r>
          </w:p>
          <w:p w14:paraId="7D0E9CC9">
            <w:pPr>
              <w:spacing w:line="360" w:lineRule="exact"/>
              <w:rPr>
                <w:rFonts w:hint="eastAsia" w:ascii="宋体" w:hAnsi="宋体" w:eastAsia="宋体"/>
                <w:highlight w:val="none"/>
              </w:rPr>
            </w:pPr>
            <w:r>
              <w:rPr>
                <w:rFonts w:cs="宋体" w:asciiTheme="majorEastAsia" w:hAnsiTheme="majorEastAsia" w:eastAsiaTheme="majorEastAsia"/>
                <w:highlight w:val="none"/>
              </w:rPr>
              <w:fldChar w:fldCharType="begin"/>
            </w:r>
            <w:r>
              <w:rPr>
                <w:rFonts w:cs="宋体" w:asciiTheme="majorEastAsia" w:hAnsiTheme="majorEastAsia" w:eastAsiaTheme="majorEastAsia"/>
                <w:highlight w:val="none"/>
              </w:rPr>
              <w:instrText xml:space="preserve"> </w:instrText>
            </w:r>
            <w:r>
              <w:rPr>
                <w:rFonts w:hint="eastAsia" w:cs="宋体" w:asciiTheme="majorEastAsia" w:hAnsiTheme="majorEastAsia" w:eastAsiaTheme="majorEastAsia"/>
                <w:highlight w:val="none"/>
              </w:rPr>
              <w:instrText xml:space="preserve">= 1 \* GB3</w:instrText>
            </w:r>
            <w:r>
              <w:rPr>
                <w:rFonts w:cs="宋体" w:asciiTheme="majorEastAsia" w:hAnsiTheme="majorEastAsia" w:eastAsiaTheme="majorEastAsia"/>
                <w:highlight w:val="none"/>
              </w:rPr>
              <w:instrText xml:space="preserve"> </w:instrText>
            </w:r>
            <w:r>
              <w:rPr>
                <w:rFonts w:cs="宋体" w:asciiTheme="majorEastAsia" w:hAnsiTheme="majorEastAsia" w:eastAsiaTheme="majorEastAsia"/>
                <w:highlight w:val="none"/>
              </w:rPr>
              <w:fldChar w:fldCharType="separate"/>
            </w:r>
            <w:r>
              <w:rPr>
                <w:rFonts w:hint="eastAsia" w:cs="宋体" w:asciiTheme="majorEastAsia" w:hAnsiTheme="majorEastAsia" w:eastAsiaTheme="majorEastAsia"/>
                <w:highlight w:val="none"/>
              </w:rPr>
              <w:t>①</w:t>
            </w:r>
            <w:r>
              <w:rPr>
                <w:rFonts w:cs="宋体" w:asciiTheme="majorEastAsia" w:hAnsiTheme="majorEastAsia" w:eastAsiaTheme="majorEastAsia"/>
                <w:highlight w:val="none"/>
              </w:rPr>
              <w:fldChar w:fldCharType="end"/>
            </w:r>
            <w:r>
              <w:rPr>
                <w:rFonts w:hint="eastAsia" w:ascii="宋体" w:hAnsi="宋体" w:eastAsia="宋体"/>
                <w:highlight w:val="none"/>
              </w:rPr>
              <w:t>拒绝列入政府取消投标资格记录期间的企业或个人投标；</w:t>
            </w:r>
          </w:p>
          <w:p w14:paraId="34A1D87C">
            <w:pPr>
              <w:spacing w:line="360" w:lineRule="exact"/>
              <w:rPr>
                <w:rFonts w:hint="eastAsia" w:ascii="宋体" w:hAnsi="宋体" w:eastAsia="宋体"/>
                <w:color w:val="333333"/>
                <w:highlight w:val="none"/>
                <w:shd w:val="clear" w:color="auto" w:fill="FFFFFF"/>
              </w:rPr>
            </w:pPr>
            <w:r>
              <w:rPr>
                <w:rFonts w:cs="宋体" w:asciiTheme="minorEastAsia" w:hAnsiTheme="minorEastAsia" w:eastAsiaTheme="minorEastAsia"/>
                <w:highlight w:val="none"/>
              </w:rPr>
              <w:fldChar w:fldCharType="begin"/>
            </w:r>
            <w:r>
              <w:rPr>
                <w:rFonts w:cs="宋体" w:asciiTheme="minorEastAsia" w:hAnsiTheme="minorEastAsia" w:eastAsiaTheme="minorEastAsia"/>
                <w:highlight w:val="none"/>
              </w:rPr>
              <w:instrText xml:space="preserve"> </w:instrText>
            </w:r>
            <w:r>
              <w:rPr>
                <w:rFonts w:hint="eastAsia" w:cs="宋体" w:asciiTheme="minorEastAsia" w:hAnsiTheme="minorEastAsia" w:eastAsiaTheme="minorEastAsia"/>
                <w:highlight w:val="none"/>
              </w:rPr>
              <w:instrText xml:space="preserve">= 2 \* GB3</w:instrText>
            </w:r>
            <w:r>
              <w:rPr>
                <w:rFonts w:cs="宋体" w:asciiTheme="minorEastAsia" w:hAnsiTheme="minorEastAsia" w:eastAsiaTheme="minorEastAsia"/>
                <w:highlight w:val="none"/>
              </w:rPr>
              <w:instrText xml:space="preserve"> </w:instrText>
            </w:r>
            <w:r>
              <w:rPr>
                <w:rFonts w:cs="宋体" w:asciiTheme="minorEastAsia" w:hAnsiTheme="minorEastAsia" w:eastAsiaTheme="minorEastAsia"/>
                <w:highlight w:val="none"/>
              </w:rPr>
              <w:fldChar w:fldCharType="separate"/>
            </w:r>
            <w:r>
              <w:rPr>
                <w:rFonts w:hint="eastAsia" w:cs="宋体" w:asciiTheme="minorEastAsia" w:hAnsiTheme="minorEastAsia" w:eastAsiaTheme="minorEastAsia"/>
                <w:highlight w:val="none"/>
              </w:rPr>
              <w:t>②</w:t>
            </w:r>
            <w:r>
              <w:rPr>
                <w:rFonts w:cs="宋体" w:asciiTheme="minorEastAsia" w:hAnsiTheme="minorEastAsia" w:eastAsiaTheme="minorEastAsia"/>
                <w:highlight w:val="none"/>
              </w:rPr>
              <w:fldChar w:fldCharType="end"/>
            </w:r>
            <w:r>
              <w:rPr>
                <w:rFonts w:hint="eastAsia" w:ascii="宋体" w:hAnsi="宋体" w:eastAsia="宋体"/>
                <w:color w:val="333333"/>
                <w:highlight w:val="none"/>
                <w:shd w:val="clear" w:color="auto" w:fill="FFFFFF"/>
              </w:rPr>
              <w:t>未被市场监督管理机关在国家企业信用信息公示系统</w:t>
            </w:r>
          </w:p>
          <w:p w14:paraId="3FFAE47D">
            <w:pPr>
              <w:spacing w:line="360" w:lineRule="exact"/>
              <w:rPr>
                <w:rFonts w:hint="eastAsia" w:ascii="宋体" w:hAnsi="宋体" w:eastAsia="宋体"/>
                <w:color w:val="333333"/>
                <w:highlight w:val="none"/>
                <w:shd w:val="clear" w:color="auto" w:fill="FFFFFF"/>
              </w:rPr>
            </w:pPr>
            <w:r>
              <w:rPr>
                <w:rFonts w:hint="eastAsia" w:ascii="宋体" w:hAnsi="宋体" w:eastAsia="宋体"/>
                <w:color w:val="333333"/>
                <w:highlight w:val="none"/>
                <w:shd w:val="clear" w:color="auto" w:fill="FFFFFF"/>
              </w:rPr>
              <w:t xml:space="preserve"> （</w:t>
            </w:r>
            <w:r>
              <w:rPr>
                <w:rFonts w:hint="eastAsia" w:ascii="宋体" w:hAnsi="宋体" w:eastAsia="宋体"/>
                <w:highlight w:val="none"/>
                <w:shd w:val="clear" w:color="auto" w:fill="FFFFFF"/>
              </w:rPr>
              <w:t>www.gsxt.gov.cn</w:t>
            </w:r>
            <w:r>
              <w:rPr>
                <w:rFonts w:hint="eastAsia" w:ascii="宋体" w:hAnsi="宋体" w:eastAsia="宋体"/>
                <w:color w:val="333333"/>
                <w:highlight w:val="none"/>
                <w:shd w:val="clear" w:color="auto" w:fill="FFFFFF"/>
              </w:rPr>
              <w:t>）中列入严重违法失信企业名单；</w:t>
            </w:r>
          </w:p>
          <w:p w14:paraId="171C6847">
            <w:pPr>
              <w:spacing w:line="360" w:lineRule="exact"/>
              <w:rPr>
                <w:rFonts w:hint="eastAsia" w:ascii="宋体" w:hAnsi="宋体" w:eastAsia="宋体"/>
                <w:color w:val="333333"/>
                <w:highlight w:val="none"/>
                <w:shd w:val="clear" w:color="auto" w:fill="FFFFFF"/>
              </w:rPr>
            </w:pPr>
            <w:r>
              <w:rPr>
                <w:rFonts w:cs="宋体" w:asciiTheme="majorEastAsia" w:hAnsiTheme="majorEastAsia" w:eastAsiaTheme="majorEastAsia"/>
                <w:highlight w:val="none"/>
              </w:rPr>
              <w:fldChar w:fldCharType="begin"/>
            </w:r>
            <w:r>
              <w:rPr>
                <w:rFonts w:cs="宋体" w:asciiTheme="majorEastAsia" w:hAnsiTheme="majorEastAsia" w:eastAsiaTheme="majorEastAsia"/>
                <w:highlight w:val="none"/>
              </w:rPr>
              <w:instrText xml:space="preserve"> </w:instrText>
            </w:r>
            <w:r>
              <w:rPr>
                <w:rFonts w:hint="eastAsia" w:cs="宋体" w:asciiTheme="majorEastAsia" w:hAnsiTheme="majorEastAsia" w:eastAsiaTheme="majorEastAsia"/>
                <w:highlight w:val="none"/>
              </w:rPr>
              <w:instrText xml:space="preserve">= 3 \* GB3</w:instrText>
            </w:r>
            <w:r>
              <w:rPr>
                <w:rFonts w:cs="宋体" w:asciiTheme="majorEastAsia" w:hAnsiTheme="majorEastAsia" w:eastAsiaTheme="majorEastAsia"/>
                <w:highlight w:val="none"/>
              </w:rPr>
              <w:instrText xml:space="preserve"> </w:instrText>
            </w:r>
            <w:r>
              <w:rPr>
                <w:rFonts w:cs="宋体" w:asciiTheme="majorEastAsia" w:hAnsiTheme="majorEastAsia" w:eastAsiaTheme="majorEastAsia"/>
                <w:highlight w:val="none"/>
              </w:rPr>
              <w:fldChar w:fldCharType="separate"/>
            </w:r>
            <w:r>
              <w:rPr>
                <w:rFonts w:hint="eastAsia" w:cs="宋体" w:asciiTheme="majorEastAsia" w:hAnsiTheme="majorEastAsia" w:eastAsiaTheme="majorEastAsia"/>
                <w:highlight w:val="none"/>
              </w:rPr>
              <w:t>③</w:t>
            </w:r>
            <w:r>
              <w:rPr>
                <w:rFonts w:cs="宋体" w:asciiTheme="majorEastAsia" w:hAnsiTheme="majorEastAsia" w:eastAsiaTheme="majorEastAsia"/>
                <w:highlight w:val="none"/>
              </w:rPr>
              <w:fldChar w:fldCharType="end"/>
            </w:r>
            <w:r>
              <w:rPr>
                <w:rFonts w:hint="eastAsia" w:ascii="宋体" w:hAnsi="宋体" w:eastAsia="宋体"/>
                <w:color w:val="333333"/>
                <w:highlight w:val="none"/>
                <w:shd w:val="clear" w:color="auto" w:fill="FFFFFF"/>
              </w:rPr>
              <w:t>未被最高人民法院在“信用中国”网站（</w:t>
            </w:r>
            <w:r>
              <w:rPr>
                <w:rFonts w:hint="eastAsia" w:ascii="宋体" w:hAnsi="宋体" w:eastAsia="宋体"/>
                <w:highlight w:val="none"/>
                <w:shd w:val="clear" w:color="auto" w:fill="FFFFFF"/>
              </w:rPr>
              <w:t>www.creditchina.gov.cn</w:t>
            </w:r>
            <w:r>
              <w:rPr>
                <w:rFonts w:hint="eastAsia" w:ascii="宋体" w:hAnsi="宋体" w:eastAsia="宋体"/>
                <w:color w:val="333333"/>
                <w:highlight w:val="none"/>
                <w:shd w:val="clear" w:color="auto" w:fill="FFFFFF"/>
              </w:rPr>
              <w:t>）列入失信被执行人名单及重大税收违法案件当事人名单；</w:t>
            </w:r>
          </w:p>
          <w:p w14:paraId="37D92F9B">
            <w:pPr>
              <w:spacing w:line="360" w:lineRule="exact"/>
              <w:rPr>
                <w:rFonts w:hint="eastAsia" w:ascii="宋体" w:hAnsi="宋体" w:eastAsia="宋体"/>
                <w:color w:val="333333"/>
                <w:highlight w:val="none"/>
                <w:shd w:val="clear" w:color="auto" w:fill="FFFFFF"/>
              </w:rPr>
            </w:pPr>
            <w:r>
              <w:rPr>
                <w:rFonts w:cs="宋体" w:asciiTheme="majorEastAsia" w:hAnsiTheme="majorEastAsia" w:eastAsiaTheme="majorEastAsia"/>
                <w:highlight w:val="none"/>
              </w:rPr>
              <w:fldChar w:fldCharType="begin"/>
            </w:r>
            <w:r>
              <w:rPr>
                <w:rFonts w:cs="宋体" w:asciiTheme="majorEastAsia" w:hAnsiTheme="majorEastAsia" w:eastAsiaTheme="majorEastAsia"/>
                <w:highlight w:val="none"/>
              </w:rPr>
              <w:instrText xml:space="preserve"> </w:instrText>
            </w:r>
            <w:r>
              <w:rPr>
                <w:rFonts w:hint="eastAsia" w:cs="宋体" w:asciiTheme="majorEastAsia" w:hAnsiTheme="majorEastAsia" w:eastAsiaTheme="majorEastAsia"/>
                <w:highlight w:val="none"/>
              </w:rPr>
              <w:instrText xml:space="preserve">= 4 \* GB3</w:instrText>
            </w:r>
            <w:r>
              <w:rPr>
                <w:rFonts w:cs="宋体" w:asciiTheme="majorEastAsia" w:hAnsiTheme="majorEastAsia" w:eastAsiaTheme="majorEastAsia"/>
                <w:highlight w:val="none"/>
              </w:rPr>
              <w:instrText xml:space="preserve"> </w:instrText>
            </w:r>
            <w:r>
              <w:rPr>
                <w:rFonts w:cs="宋体" w:asciiTheme="majorEastAsia" w:hAnsiTheme="majorEastAsia" w:eastAsiaTheme="majorEastAsia"/>
                <w:highlight w:val="none"/>
              </w:rPr>
              <w:fldChar w:fldCharType="separate"/>
            </w:r>
            <w:r>
              <w:rPr>
                <w:rFonts w:hint="eastAsia" w:cs="宋体" w:asciiTheme="majorEastAsia" w:hAnsiTheme="majorEastAsia" w:eastAsiaTheme="majorEastAsia"/>
                <w:highlight w:val="none"/>
              </w:rPr>
              <w:t>④</w:t>
            </w:r>
            <w:r>
              <w:rPr>
                <w:rFonts w:cs="宋体" w:asciiTheme="majorEastAsia" w:hAnsiTheme="majorEastAsia" w:eastAsiaTheme="majorEastAsia"/>
                <w:highlight w:val="none"/>
              </w:rPr>
              <w:fldChar w:fldCharType="end"/>
            </w:r>
            <w:r>
              <w:rPr>
                <w:rFonts w:hint="eastAsia" w:ascii="宋体" w:hAnsi="宋体" w:eastAsia="宋体"/>
                <w:color w:val="333333"/>
                <w:highlight w:val="none"/>
                <w:shd w:val="clear" w:color="auto" w:fill="FFFFFF"/>
              </w:rPr>
              <w:t>在近三年内（2023 年1月1日至投标截止时间）投标人或其法定代表人、拟委任的总监理工程师未在“中国裁判文书网”(wenshu.court.gov.cn)上有行贿犯罪行为。</w:t>
            </w:r>
          </w:p>
          <w:p w14:paraId="22040F8C">
            <w:pPr>
              <w:spacing w:line="360" w:lineRule="exact"/>
              <w:rPr>
                <w:rFonts w:hint="eastAsia" w:cs="宋体" w:asciiTheme="majorEastAsia" w:hAnsiTheme="majorEastAsia" w:eastAsiaTheme="majorEastAsia"/>
                <w:highlight w:val="none"/>
              </w:rPr>
            </w:pPr>
            <w:r>
              <w:rPr>
                <w:rFonts w:hint="eastAsia" w:ascii="黑体" w:hAnsi="黑体" w:eastAsia="黑体" w:cs="宋体"/>
                <w:highlight w:val="none"/>
              </w:rPr>
              <w:t>（5）总监理工程师资格要求：</w:t>
            </w:r>
            <w:r>
              <w:rPr>
                <w:rFonts w:ascii="宋体" w:hAnsi="宋体" w:eastAsia="宋体" w:cs="宋体"/>
                <w:highlight w:val="none"/>
              </w:rPr>
              <w:t>具有房屋建筑工程专业国家注册监理工程师证书，建筑相关专业高级技术职称，</w:t>
            </w:r>
            <w:r>
              <w:rPr>
                <w:rFonts w:hint="eastAsia" w:ascii="宋体" w:hAnsi="宋体" w:eastAsia="宋体" w:cs="宋体"/>
                <w:highlight w:val="none"/>
              </w:rPr>
              <w:t>且</w:t>
            </w:r>
            <w:r>
              <w:rPr>
                <w:rFonts w:ascii="宋体" w:hAnsi="宋体" w:eastAsia="宋体" w:cs="宋体"/>
                <w:highlight w:val="none"/>
              </w:rPr>
              <w:t>无在建工程（提供无在建工程承诺书，</w:t>
            </w:r>
            <w:r>
              <w:rPr>
                <w:rFonts w:cs="宋体" w:asciiTheme="majorEastAsia" w:hAnsiTheme="majorEastAsia" w:eastAsiaTheme="majorEastAsia"/>
                <w:highlight w:val="none"/>
              </w:rPr>
              <w:t>该承诺书须由</w:t>
            </w:r>
            <w:r>
              <w:rPr>
                <w:rFonts w:hint="eastAsia" w:cs="宋体" w:asciiTheme="majorEastAsia" w:hAnsiTheme="majorEastAsia" w:eastAsiaTheme="majorEastAsia"/>
                <w:highlight w:val="none"/>
              </w:rPr>
              <w:t>总</w:t>
            </w:r>
            <w:r>
              <w:rPr>
                <w:rFonts w:cs="宋体" w:asciiTheme="majorEastAsia" w:hAnsiTheme="majorEastAsia" w:eastAsiaTheme="majorEastAsia"/>
                <w:highlight w:val="none"/>
              </w:rPr>
              <w:t>监理工程师本人签字并加盖投标单位公章）。</w:t>
            </w:r>
          </w:p>
          <w:p w14:paraId="10D53738">
            <w:pPr>
              <w:spacing w:line="360" w:lineRule="exact"/>
              <w:rPr>
                <w:rFonts w:hint="eastAsia" w:cs="宋体" w:asciiTheme="minorEastAsia" w:hAnsiTheme="minorEastAsia" w:eastAsiaTheme="minorEastAsia"/>
                <w:highlight w:val="none"/>
              </w:rPr>
            </w:pPr>
            <w:r>
              <w:rPr>
                <w:rFonts w:ascii="黑体" w:hAnsi="黑体" w:eastAsia="黑体" w:cs="宋体"/>
                <w:highlight w:val="none"/>
              </w:rPr>
              <w:t>（</w:t>
            </w:r>
            <w:r>
              <w:rPr>
                <w:rFonts w:hint="eastAsia" w:ascii="黑体" w:hAnsi="黑体" w:eastAsia="黑体" w:cs="宋体"/>
                <w:highlight w:val="none"/>
              </w:rPr>
              <w:t>6）其他主要监理人员要求：</w:t>
            </w:r>
            <w:r>
              <w:rPr>
                <w:rFonts w:cs="宋体" w:asciiTheme="minorEastAsia" w:hAnsiTheme="minorEastAsia" w:eastAsiaTheme="minorEastAsia"/>
                <w:highlight w:val="none"/>
              </w:rPr>
              <w:t>至少应配备房屋建筑工程专业监理工程师4人，水暖专业监理工程师4人</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电气专业监理工程师4人</w:t>
            </w:r>
            <w:r>
              <w:rPr>
                <w:rFonts w:hint="eastAsia" w:cs="宋体" w:asciiTheme="minorEastAsia" w:hAnsiTheme="minorEastAsia" w:eastAsiaTheme="minorEastAsia"/>
                <w:highlight w:val="none"/>
              </w:rPr>
              <w:t>。</w:t>
            </w:r>
          </w:p>
          <w:p w14:paraId="5EB40C26">
            <w:pPr>
              <w:spacing w:line="360" w:lineRule="exact"/>
              <w:ind w:firstLine="420" w:firstLineChars="200"/>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监理人员具体要求应符合吉建消【2020】9 号文件的要求</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监理工程师可提供国家注册监理工程师执业资格或提供相关专业职称证书和企业对其实践经验并经监理业务培训的证明或者承诺；监理员提供中专及以上学历证明和企业对其经过监理业务培训的证明或者承诺）。</w:t>
            </w:r>
          </w:p>
          <w:p w14:paraId="3C42FF79">
            <w:pPr>
              <w:spacing w:line="360" w:lineRule="exact"/>
              <w:rPr>
                <w:rFonts w:hint="eastAsia" w:ascii="宋体" w:hAnsi="宋体" w:eastAsia="宋体"/>
                <w:color w:val="333333"/>
                <w:highlight w:val="none"/>
                <w:shd w:val="clear" w:color="auto" w:fill="FFFFFF"/>
              </w:rPr>
            </w:pPr>
            <w:r>
              <w:rPr>
                <w:rFonts w:ascii="黑体" w:hAnsi="黑体" w:eastAsia="黑体" w:cs="宋体"/>
                <w:highlight w:val="none"/>
              </w:rPr>
              <w:t>（</w:t>
            </w:r>
            <w:r>
              <w:rPr>
                <w:rFonts w:hint="eastAsia" w:ascii="黑体" w:hAnsi="黑体" w:eastAsia="黑体" w:cs="宋体"/>
                <w:highlight w:val="none"/>
              </w:rPr>
              <w:t>7）试验检测仪器设备要求：</w:t>
            </w:r>
            <w:r>
              <w:rPr>
                <w:rFonts w:hint="eastAsia" w:ascii="宋体" w:hAnsi="宋体" w:eastAsia="宋体"/>
                <w:color w:val="333333"/>
                <w:highlight w:val="none"/>
                <w:shd w:val="clear" w:color="auto" w:fill="FFFFFF"/>
              </w:rPr>
              <w:t>/</w:t>
            </w:r>
          </w:p>
          <w:p w14:paraId="714F8D7C">
            <w:pPr>
              <w:spacing w:line="360" w:lineRule="exact"/>
              <w:rPr>
                <w:rFonts w:hint="eastAsia" w:ascii="黑体" w:hAnsi="黑体" w:eastAsia="黑体" w:cs="宋体"/>
                <w:highlight w:val="none"/>
              </w:rPr>
            </w:pPr>
            <w:r>
              <w:rPr>
                <w:rFonts w:ascii="黑体" w:hAnsi="黑体" w:eastAsia="黑体" w:cs="宋体"/>
                <w:highlight w:val="none"/>
              </w:rPr>
              <w:t>（</w:t>
            </w:r>
            <w:r>
              <w:rPr>
                <w:rFonts w:hint="eastAsia" w:ascii="黑体" w:hAnsi="黑体" w:eastAsia="黑体" w:cs="宋体"/>
                <w:highlight w:val="none"/>
              </w:rPr>
              <w:t>8）其他要求：</w:t>
            </w:r>
          </w:p>
          <w:p w14:paraId="13F3C7A9">
            <w:pPr>
              <w:spacing w:line="360" w:lineRule="exact"/>
              <w:rPr>
                <w:rFonts w:hint="eastAsia" w:cs="宋体" w:asciiTheme="minorEastAsia" w:hAnsiTheme="minorEastAsia" w:eastAsiaTheme="minorEastAsia"/>
                <w:highlight w:val="none"/>
              </w:rPr>
            </w:pPr>
            <w:r>
              <w:rPr>
                <w:rFonts w:cs="宋体" w:asciiTheme="majorEastAsia" w:hAnsiTheme="majorEastAsia" w:eastAsiaTheme="majorEastAsia"/>
                <w:highlight w:val="none"/>
              </w:rPr>
              <w:fldChar w:fldCharType="begin"/>
            </w:r>
            <w:r>
              <w:rPr>
                <w:rFonts w:cs="宋体" w:asciiTheme="majorEastAsia" w:hAnsiTheme="majorEastAsia" w:eastAsiaTheme="majorEastAsia"/>
                <w:highlight w:val="none"/>
              </w:rPr>
              <w:instrText xml:space="preserve"> </w:instrText>
            </w:r>
            <w:r>
              <w:rPr>
                <w:rFonts w:hint="eastAsia" w:cs="宋体" w:asciiTheme="majorEastAsia" w:hAnsiTheme="majorEastAsia" w:eastAsiaTheme="majorEastAsia"/>
                <w:highlight w:val="none"/>
              </w:rPr>
              <w:instrText xml:space="preserve">= 1 \* GB3</w:instrText>
            </w:r>
            <w:r>
              <w:rPr>
                <w:rFonts w:cs="宋体" w:asciiTheme="majorEastAsia" w:hAnsiTheme="majorEastAsia" w:eastAsiaTheme="majorEastAsia"/>
                <w:highlight w:val="none"/>
              </w:rPr>
              <w:instrText xml:space="preserve"> </w:instrText>
            </w:r>
            <w:r>
              <w:rPr>
                <w:rFonts w:cs="宋体" w:asciiTheme="majorEastAsia" w:hAnsiTheme="majorEastAsia" w:eastAsiaTheme="majorEastAsia"/>
                <w:highlight w:val="none"/>
              </w:rPr>
              <w:fldChar w:fldCharType="separate"/>
            </w:r>
            <w:r>
              <w:rPr>
                <w:rFonts w:hint="eastAsia" w:cs="宋体" w:asciiTheme="majorEastAsia" w:hAnsiTheme="majorEastAsia" w:eastAsiaTheme="majorEastAsia"/>
                <w:highlight w:val="none"/>
              </w:rPr>
              <w:t>①</w:t>
            </w:r>
            <w:r>
              <w:rPr>
                <w:rFonts w:cs="宋体" w:asciiTheme="majorEastAsia" w:hAnsiTheme="majorEastAsia" w:eastAsiaTheme="majorEastAsia"/>
                <w:highlight w:val="none"/>
              </w:rPr>
              <w:fldChar w:fldCharType="end"/>
            </w:r>
            <w:r>
              <w:rPr>
                <w:rFonts w:ascii="黑体" w:hAnsi="黑体" w:eastAsia="黑体" w:cs="宋体"/>
                <w:highlight w:val="none"/>
              </w:rPr>
              <w:t>投标人拟派项目管理机构人员均应为投标人在职人员</w:t>
            </w:r>
            <w:r>
              <w:rPr>
                <w:rFonts w:cs="宋体" w:asciiTheme="minorEastAsia" w:hAnsiTheme="minorEastAsia" w:eastAsiaTheme="minorEastAsia"/>
                <w:highlight w:val="none"/>
              </w:rPr>
              <w:t>，</w:t>
            </w:r>
            <w:r>
              <w:rPr>
                <w:rFonts w:hint="eastAsia" w:cs="宋体" w:asciiTheme="minorEastAsia" w:hAnsiTheme="minorEastAsia" w:eastAsiaTheme="minorEastAsia"/>
                <w:highlight w:val="none"/>
              </w:rPr>
              <w:t>须</w:t>
            </w:r>
            <w:r>
              <w:rPr>
                <w:rFonts w:cs="宋体" w:asciiTheme="minorEastAsia" w:hAnsiTheme="minorEastAsia" w:eastAsiaTheme="minorEastAsia"/>
                <w:highlight w:val="none"/>
              </w:rPr>
              <w:t xml:space="preserve">提供 </w:t>
            </w:r>
            <w:r>
              <w:rPr>
                <w:rFonts w:ascii="黑体" w:hAnsi="黑体" w:eastAsia="黑体" w:cs="宋体"/>
                <w:highlight w:val="none"/>
              </w:rPr>
              <w:t>2026年6月1日至投标截止时间前任意一个月的社保证明材料</w:t>
            </w:r>
            <w:r>
              <w:rPr>
                <w:rFonts w:cs="宋体" w:asciiTheme="minorEastAsia" w:hAnsiTheme="minorEastAsia" w:eastAsiaTheme="minorEastAsia"/>
                <w:highlight w:val="none"/>
              </w:rPr>
              <w:t>，以社保官网查询为准</w:t>
            </w:r>
            <w:r>
              <w:rPr>
                <w:rFonts w:hint="eastAsia" w:cs="宋体" w:asciiTheme="minorEastAsia" w:hAnsiTheme="minorEastAsia" w:eastAsiaTheme="minorEastAsia"/>
                <w:highlight w:val="none"/>
              </w:rPr>
              <w:t>（分公司缴纳的社会保险可以予以认可，上级公司、子公司、人力资源服务机构等其他单位缴纳或个人缴纳社会保险均不予认可）。</w:t>
            </w:r>
          </w:p>
          <w:p w14:paraId="0A3F4A62">
            <w:pPr>
              <w:spacing w:line="360" w:lineRule="exact"/>
              <w:outlineLvl w:val="1"/>
              <w:rPr>
                <w:rFonts w:hint="eastAsia" w:cs="宋体" w:asciiTheme="majorEastAsia" w:hAnsiTheme="majorEastAsia" w:eastAsiaTheme="majorEastAsia"/>
                <w:highlight w:val="none"/>
                <w14:textOutline w14:w="3797" w14:cap="sq" w14:cmpd="sng" w14:algn="ctr">
                  <w14:solidFill>
                    <w14:srgbClr w14:val="000000"/>
                  </w14:solidFill>
                  <w14:prstDash w14:val="solid"/>
                  <w14:bevel/>
                </w14:textOutline>
              </w:rPr>
            </w:pPr>
            <w:r>
              <w:rPr>
                <w:rFonts w:cs="宋体" w:asciiTheme="minorEastAsia" w:hAnsiTheme="minorEastAsia" w:eastAsiaTheme="minorEastAsia"/>
                <w:highlight w:val="none"/>
              </w:rPr>
              <w:fldChar w:fldCharType="begin"/>
            </w:r>
            <w:r>
              <w:rPr>
                <w:rFonts w:cs="宋体" w:asciiTheme="minorEastAsia" w:hAnsiTheme="minorEastAsia" w:eastAsiaTheme="minorEastAsia"/>
                <w:highlight w:val="none"/>
              </w:rPr>
              <w:instrText xml:space="preserve"> </w:instrText>
            </w:r>
            <w:r>
              <w:rPr>
                <w:rFonts w:hint="eastAsia" w:cs="宋体" w:asciiTheme="minorEastAsia" w:hAnsiTheme="minorEastAsia" w:eastAsiaTheme="minorEastAsia"/>
                <w:highlight w:val="none"/>
              </w:rPr>
              <w:instrText xml:space="preserve">= 2 \* GB3</w:instrText>
            </w:r>
            <w:r>
              <w:rPr>
                <w:rFonts w:cs="宋体" w:asciiTheme="minorEastAsia" w:hAnsiTheme="minorEastAsia" w:eastAsiaTheme="minorEastAsia"/>
                <w:highlight w:val="none"/>
              </w:rPr>
              <w:instrText xml:space="preserve"> </w:instrText>
            </w:r>
            <w:r>
              <w:rPr>
                <w:rFonts w:cs="宋体" w:asciiTheme="minorEastAsia" w:hAnsiTheme="minorEastAsia" w:eastAsiaTheme="minorEastAsia"/>
                <w:highlight w:val="none"/>
              </w:rPr>
              <w:fldChar w:fldCharType="separate"/>
            </w:r>
            <w:r>
              <w:rPr>
                <w:rFonts w:hint="eastAsia" w:cs="宋体" w:asciiTheme="minorEastAsia" w:hAnsiTheme="minorEastAsia" w:eastAsiaTheme="minorEastAsia"/>
                <w:highlight w:val="none"/>
              </w:rPr>
              <w:t>②</w:t>
            </w:r>
            <w:r>
              <w:rPr>
                <w:rFonts w:cs="宋体" w:asciiTheme="minorEastAsia" w:hAnsiTheme="minorEastAsia" w:eastAsiaTheme="minorEastAsia"/>
                <w:highlight w:val="none"/>
              </w:rPr>
              <w:fldChar w:fldCharType="end"/>
            </w:r>
            <w:r>
              <w:rPr>
                <w:rFonts w:cs="宋体" w:asciiTheme="majorEastAsia" w:hAnsiTheme="majorEastAsia" w:eastAsiaTheme="majorEastAsia"/>
                <w:highlight w:val="none"/>
              </w:rPr>
              <w:t>投标人的</w:t>
            </w:r>
            <w:r>
              <w:rPr>
                <w:rFonts w:ascii="黑体" w:hAnsi="黑体" w:eastAsia="黑体" w:cs="宋体"/>
                <w:highlight w:val="none"/>
              </w:rPr>
              <w:t>企业资质</w:t>
            </w:r>
            <w:r>
              <w:rPr>
                <w:rFonts w:hint="eastAsia" w:ascii="黑体" w:hAnsi="黑体" w:eastAsia="黑体" w:cs="宋体"/>
                <w:highlight w:val="none"/>
              </w:rPr>
              <w:t>及</w:t>
            </w:r>
            <w:r>
              <w:rPr>
                <w:rFonts w:ascii="黑体" w:hAnsi="黑体" w:eastAsia="黑体" w:cs="宋体"/>
                <w:highlight w:val="none"/>
              </w:rPr>
              <w:t>项目管理机构所有人员</w:t>
            </w:r>
            <w:r>
              <w:rPr>
                <w:rFonts w:cs="宋体" w:asciiTheme="minorEastAsia" w:hAnsiTheme="minorEastAsia" w:eastAsiaTheme="minorEastAsia"/>
                <w:highlight w:val="none"/>
              </w:rPr>
              <w:t>资格信息须在吉林省</w:t>
            </w:r>
            <w:r>
              <w:rPr>
                <w:rFonts w:cs="宋体" w:asciiTheme="majorEastAsia" w:hAnsiTheme="majorEastAsia" w:eastAsiaTheme="majorEastAsia"/>
                <w:highlight w:val="none"/>
              </w:rPr>
              <w:t>建筑市场监管公共服务平台查询得到</w:t>
            </w:r>
            <w:r>
              <w:rPr>
                <w:rFonts w:hint="eastAsia" w:cs="宋体" w:asciiTheme="majorEastAsia" w:hAnsiTheme="majorEastAsia" w:eastAsiaTheme="majorEastAsia"/>
                <w:highlight w:val="none"/>
              </w:rPr>
              <w:t>，</w:t>
            </w:r>
            <w:r>
              <w:rPr>
                <w:rFonts w:cs="宋体" w:asciiTheme="minorEastAsia" w:hAnsiTheme="minorEastAsia" w:eastAsiaTheme="minorEastAsia"/>
                <w:highlight w:val="none"/>
              </w:rPr>
              <w:t>所有信息应满足招标文件评审要求，并在有效期内</w:t>
            </w:r>
            <w:r>
              <w:rPr>
                <w:rFonts w:hint="eastAsia" w:cs="宋体" w:asciiTheme="minorEastAsia" w:hAnsiTheme="minorEastAsia" w:eastAsiaTheme="minorEastAsia"/>
                <w:highlight w:val="none"/>
              </w:rPr>
              <w:t>，</w:t>
            </w:r>
            <w:r>
              <w:rPr>
                <w:rFonts w:ascii="黑体" w:hAnsi="黑体" w:eastAsia="黑体" w:cs="宋体"/>
                <w:highlight w:val="none"/>
              </w:rPr>
              <w:t>以吉林省建筑市场监管公共服务平台查询结果为准</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未查询到信息或查询到的信息与投标文件不一致的，评标时均不予认定</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若“吉林省建筑市场监管公共服务平台”不设相应人员证件有效期栏目，则证件有效期以标书中所附证件扫描件有效期为准。</w:t>
            </w:r>
          </w:p>
          <w:p w14:paraId="7DDD1AE5">
            <w:pPr>
              <w:spacing w:line="360" w:lineRule="exact"/>
              <w:rPr>
                <w:rFonts w:hint="eastAsia" w:cs="宋体" w:asciiTheme="majorEastAsia" w:hAnsiTheme="majorEastAsia" w:eastAsiaTheme="majorEastAsia"/>
                <w:highlight w:val="none"/>
              </w:rPr>
            </w:pPr>
            <w:r>
              <w:rPr>
                <w:rFonts w:cs="宋体" w:asciiTheme="majorEastAsia" w:hAnsiTheme="majorEastAsia" w:eastAsiaTheme="majorEastAsia"/>
                <w:highlight w:val="none"/>
              </w:rPr>
              <w:fldChar w:fldCharType="begin"/>
            </w:r>
            <w:r>
              <w:rPr>
                <w:rFonts w:cs="宋体" w:asciiTheme="majorEastAsia" w:hAnsiTheme="majorEastAsia" w:eastAsiaTheme="majorEastAsia"/>
                <w:highlight w:val="none"/>
              </w:rPr>
              <w:instrText xml:space="preserve"> </w:instrText>
            </w:r>
            <w:r>
              <w:rPr>
                <w:rFonts w:hint="eastAsia" w:cs="宋体" w:asciiTheme="majorEastAsia" w:hAnsiTheme="majorEastAsia" w:eastAsiaTheme="majorEastAsia"/>
                <w:highlight w:val="none"/>
              </w:rPr>
              <w:instrText xml:space="preserve">= 3 \* GB3</w:instrText>
            </w:r>
            <w:r>
              <w:rPr>
                <w:rFonts w:cs="宋体" w:asciiTheme="majorEastAsia" w:hAnsiTheme="majorEastAsia" w:eastAsiaTheme="majorEastAsia"/>
                <w:highlight w:val="none"/>
              </w:rPr>
              <w:instrText xml:space="preserve"> </w:instrText>
            </w:r>
            <w:r>
              <w:rPr>
                <w:rFonts w:cs="宋体" w:asciiTheme="majorEastAsia" w:hAnsiTheme="majorEastAsia" w:eastAsiaTheme="majorEastAsia"/>
                <w:highlight w:val="none"/>
              </w:rPr>
              <w:fldChar w:fldCharType="separate"/>
            </w:r>
            <w:r>
              <w:rPr>
                <w:rFonts w:hint="eastAsia" w:cs="宋体" w:asciiTheme="majorEastAsia" w:hAnsiTheme="majorEastAsia" w:eastAsiaTheme="majorEastAsia"/>
                <w:highlight w:val="none"/>
              </w:rPr>
              <w:t>③</w:t>
            </w:r>
            <w:r>
              <w:rPr>
                <w:rFonts w:cs="宋体" w:asciiTheme="majorEastAsia" w:hAnsiTheme="majorEastAsia" w:eastAsiaTheme="majorEastAsia"/>
                <w:highlight w:val="none"/>
              </w:rPr>
              <w:fldChar w:fldCharType="end"/>
            </w:r>
            <w:r>
              <w:rPr>
                <w:rFonts w:cs="宋体" w:asciiTheme="majorEastAsia" w:hAnsiTheme="majorEastAsia" w:eastAsiaTheme="majorEastAsia"/>
                <w:highlight w:val="none"/>
              </w:rPr>
              <w:t>与招标人存在利害关系可能影响招标公正性的法人、其他组织或者个人，不得参加投标。单位负责人为同一人或者存在控股、管理关系的不同单位，不得参加同一标段投标或者未划分标段的同一招标项目投标。违反这两款规定的，相关投标均无效。</w:t>
            </w:r>
          </w:p>
        </w:tc>
      </w:tr>
      <w:bookmarkEnd w:id="18"/>
      <w:tr w14:paraId="1CBB7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484" w:type="pct"/>
            <w:vAlign w:val="center"/>
          </w:tcPr>
          <w:p w14:paraId="7482BDDB">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1.4.2</w:t>
            </w:r>
          </w:p>
        </w:tc>
        <w:tc>
          <w:tcPr>
            <w:tcW w:w="1054" w:type="pct"/>
            <w:vAlign w:val="center"/>
          </w:tcPr>
          <w:p w14:paraId="46D7F74B">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是否接受</w:t>
            </w:r>
          </w:p>
          <w:p w14:paraId="474727BA">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联合体投标</w:t>
            </w:r>
          </w:p>
        </w:tc>
        <w:tc>
          <w:tcPr>
            <w:tcW w:w="3462" w:type="pct"/>
            <w:vAlign w:val="center"/>
          </w:tcPr>
          <w:p w14:paraId="0FCBE922">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不接受</w:t>
            </w:r>
          </w:p>
        </w:tc>
      </w:tr>
      <w:tr w14:paraId="00FFA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484" w:type="pct"/>
            <w:vAlign w:val="center"/>
          </w:tcPr>
          <w:p w14:paraId="5F37776D">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1.4.3</w:t>
            </w:r>
          </w:p>
        </w:tc>
        <w:tc>
          <w:tcPr>
            <w:tcW w:w="1054" w:type="pct"/>
            <w:vAlign w:val="center"/>
          </w:tcPr>
          <w:p w14:paraId="6DED766C">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 xml:space="preserve">投标人不得存在的 </w:t>
            </w:r>
          </w:p>
          <w:p w14:paraId="49E507AB">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其他情形</w:t>
            </w:r>
          </w:p>
        </w:tc>
        <w:tc>
          <w:tcPr>
            <w:tcW w:w="3462" w:type="pct"/>
            <w:vAlign w:val="center"/>
          </w:tcPr>
          <w:p w14:paraId="7263FD77">
            <w:pPr>
              <w:spacing w:line="360" w:lineRule="exact"/>
              <w:jc w:val="both"/>
              <w:rPr>
                <w:rFonts w:hint="eastAsia" w:cs="宋体" w:asciiTheme="majorEastAsia" w:hAnsiTheme="majorEastAsia" w:eastAsiaTheme="majorEastAsia"/>
                <w:highlight w:val="none"/>
              </w:rPr>
            </w:pPr>
            <w:r>
              <w:rPr>
                <w:rFonts w:hint="eastAsia" w:ascii="宋体" w:hAnsi="宋体" w:eastAsia="宋体"/>
                <w:highlight w:val="none"/>
              </w:rPr>
              <w:t>/</w:t>
            </w:r>
          </w:p>
        </w:tc>
      </w:tr>
      <w:tr w14:paraId="4D2E5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484" w:type="pct"/>
            <w:vAlign w:val="center"/>
          </w:tcPr>
          <w:p w14:paraId="6C0EB31A">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1.9.1</w:t>
            </w:r>
          </w:p>
        </w:tc>
        <w:tc>
          <w:tcPr>
            <w:tcW w:w="1054" w:type="pct"/>
            <w:vAlign w:val="center"/>
          </w:tcPr>
          <w:p w14:paraId="0AF9EFE0">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踏勘现场</w:t>
            </w:r>
          </w:p>
        </w:tc>
        <w:tc>
          <w:tcPr>
            <w:tcW w:w="3462" w:type="pct"/>
            <w:vAlign w:val="center"/>
          </w:tcPr>
          <w:p w14:paraId="317413F5">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不组织，投标人自行踏勘。</w:t>
            </w:r>
          </w:p>
        </w:tc>
      </w:tr>
      <w:tr w14:paraId="42C08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484" w:type="pct"/>
            <w:vAlign w:val="center"/>
          </w:tcPr>
          <w:p w14:paraId="06EFB6BA">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1.10.1</w:t>
            </w:r>
          </w:p>
        </w:tc>
        <w:tc>
          <w:tcPr>
            <w:tcW w:w="1054" w:type="pct"/>
            <w:vAlign w:val="center"/>
          </w:tcPr>
          <w:p w14:paraId="3541B851">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投标预备会</w:t>
            </w:r>
          </w:p>
        </w:tc>
        <w:tc>
          <w:tcPr>
            <w:tcW w:w="3462" w:type="pct"/>
            <w:vAlign w:val="center"/>
          </w:tcPr>
          <w:p w14:paraId="3548BE7D">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不召开</w:t>
            </w:r>
          </w:p>
        </w:tc>
      </w:tr>
      <w:tr w14:paraId="60E6E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484" w:type="pct"/>
            <w:vAlign w:val="center"/>
          </w:tcPr>
          <w:p w14:paraId="6F957480">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1.10.2</w:t>
            </w:r>
          </w:p>
        </w:tc>
        <w:tc>
          <w:tcPr>
            <w:tcW w:w="1054" w:type="pct"/>
            <w:vAlign w:val="center"/>
          </w:tcPr>
          <w:p w14:paraId="53A34849">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投标人提出问题</w:t>
            </w:r>
          </w:p>
        </w:tc>
        <w:tc>
          <w:tcPr>
            <w:tcW w:w="3462" w:type="pct"/>
            <w:vAlign w:val="center"/>
          </w:tcPr>
          <w:p w14:paraId="6D2FE166">
            <w:pPr>
              <w:spacing w:line="360" w:lineRule="exact"/>
              <w:ind w:left="21" w:leftChars="10"/>
              <w:jc w:val="both"/>
              <w:rPr>
                <w:rFonts w:hint="eastAsia" w:cs="宋体" w:asciiTheme="majorEastAsia" w:hAnsiTheme="majorEastAsia" w:eastAsiaTheme="majorEastAsia"/>
                <w:highlight w:val="none"/>
              </w:rPr>
            </w:pPr>
            <w:r>
              <w:rPr>
                <w:rFonts w:hint="eastAsia" w:cs="宋体" w:asciiTheme="majorEastAsia" w:hAnsiTheme="majorEastAsia" w:eastAsiaTheme="majorEastAsia"/>
                <w:highlight w:val="none"/>
              </w:rPr>
              <w:t>/</w:t>
            </w:r>
          </w:p>
        </w:tc>
      </w:tr>
      <w:tr w14:paraId="2E4DB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3" w:hRule="atLeast"/>
        </w:trPr>
        <w:tc>
          <w:tcPr>
            <w:tcW w:w="484" w:type="pct"/>
            <w:vAlign w:val="center"/>
          </w:tcPr>
          <w:p w14:paraId="161C4F70">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1.10.3</w:t>
            </w:r>
          </w:p>
        </w:tc>
        <w:tc>
          <w:tcPr>
            <w:tcW w:w="1054" w:type="pct"/>
            <w:vAlign w:val="center"/>
          </w:tcPr>
          <w:p w14:paraId="57204185">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招标文件澄清发出的形式</w:t>
            </w:r>
          </w:p>
        </w:tc>
        <w:tc>
          <w:tcPr>
            <w:tcW w:w="3462" w:type="pct"/>
            <w:vAlign w:val="center"/>
          </w:tcPr>
          <w:p w14:paraId="0CA4EE11">
            <w:pPr>
              <w:spacing w:line="360" w:lineRule="exact"/>
              <w:ind w:left="21" w:leftChars="10"/>
              <w:jc w:val="both"/>
              <w:rPr>
                <w:rFonts w:hint="eastAsia" w:cs="宋体" w:asciiTheme="majorEastAsia" w:hAnsiTheme="majorEastAsia" w:eastAsiaTheme="majorEastAsia"/>
                <w:highlight w:val="none"/>
              </w:rPr>
            </w:pPr>
            <w:r>
              <w:rPr>
                <w:rFonts w:hint="eastAsia" w:cs="宋体" w:asciiTheme="majorEastAsia" w:hAnsiTheme="majorEastAsia" w:eastAsiaTheme="majorEastAsia"/>
                <w:highlight w:val="none"/>
              </w:rPr>
              <w:t>/</w:t>
            </w:r>
          </w:p>
        </w:tc>
      </w:tr>
      <w:tr w14:paraId="13255F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3" w:hRule="atLeast"/>
        </w:trPr>
        <w:tc>
          <w:tcPr>
            <w:tcW w:w="484" w:type="pct"/>
            <w:vAlign w:val="center"/>
          </w:tcPr>
          <w:p w14:paraId="76C2D363">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1.12.1</w:t>
            </w:r>
          </w:p>
        </w:tc>
        <w:tc>
          <w:tcPr>
            <w:tcW w:w="1054" w:type="pct"/>
            <w:vAlign w:val="center"/>
          </w:tcPr>
          <w:p w14:paraId="2B347EF8">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实质性要求和条件</w:t>
            </w:r>
          </w:p>
        </w:tc>
        <w:tc>
          <w:tcPr>
            <w:tcW w:w="3462" w:type="pct"/>
            <w:vAlign w:val="center"/>
          </w:tcPr>
          <w:p w14:paraId="17F7A944">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详见评标办法前附表</w:t>
            </w:r>
          </w:p>
        </w:tc>
      </w:tr>
      <w:tr w14:paraId="275578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3" w:hRule="atLeast"/>
        </w:trPr>
        <w:tc>
          <w:tcPr>
            <w:tcW w:w="484" w:type="pct"/>
            <w:vAlign w:val="center"/>
          </w:tcPr>
          <w:p w14:paraId="1BDC3433">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1.12.3</w:t>
            </w:r>
          </w:p>
        </w:tc>
        <w:tc>
          <w:tcPr>
            <w:tcW w:w="1054" w:type="pct"/>
            <w:vAlign w:val="center"/>
          </w:tcPr>
          <w:p w14:paraId="69CB4CDC">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偏差</w:t>
            </w:r>
          </w:p>
        </w:tc>
        <w:tc>
          <w:tcPr>
            <w:tcW w:w="3462" w:type="pct"/>
            <w:vAlign w:val="center"/>
          </w:tcPr>
          <w:p w14:paraId="375086F0">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不允许</w:t>
            </w:r>
          </w:p>
        </w:tc>
      </w:tr>
      <w:tr w14:paraId="61676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3" w:hRule="atLeast"/>
        </w:trPr>
        <w:tc>
          <w:tcPr>
            <w:tcW w:w="484" w:type="pct"/>
            <w:vAlign w:val="center"/>
          </w:tcPr>
          <w:p w14:paraId="14EBAD3F">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2.1</w:t>
            </w:r>
          </w:p>
        </w:tc>
        <w:tc>
          <w:tcPr>
            <w:tcW w:w="1054" w:type="pct"/>
            <w:vAlign w:val="center"/>
          </w:tcPr>
          <w:p w14:paraId="3061FC8A">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构成招标文件的其</w:t>
            </w:r>
          </w:p>
          <w:p w14:paraId="3A220BE1">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他资料</w:t>
            </w:r>
          </w:p>
        </w:tc>
        <w:tc>
          <w:tcPr>
            <w:tcW w:w="3462" w:type="pct"/>
            <w:vAlign w:val="center"/>
          </w:tcPr>
          <w:p w14:paraId="472E9719">
            <w:pPr>
              <w:spacing w:line="360" w:lineRule="exact"/>
              <w:jc w:val="both"/>
              <w:rPr>
                <w:rFonts w:hint="eastAsia" w:cs="宋体" w:asciiTheme="majorEastAsia" w:hAnsiTheme="majorEastAsia" w:eastAsiaTheme="majorEastAsia"/>
                <w:highlight w:val="none"/>
              </w:rPr>
            </w:pPr>
            <w:r>
              <w:rPr>
                <w:rFonts w:hint="eastAsia" w:cs="宋体" w:asciiTheme="majorEastAsia" w:hAnsiTheme="majorEastAsia" w:eastAsiaTheme="majorEastAsia"/>
                <w:highlight w:val="none"/>
              </w:rPr>
              <w:t>/</w:t>
            </w:r>
          </w:p>
        </w:tc>
      </w:tr>
      <w:tr w14:paraId="0EC5DA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484" w:type="pct"/>
            <w:vAlign w:val="center"/>
          </w:tcPr>
          <w:p w14:paraId="3807BD6A">
            <w:pPr>
              <w:spacing w:line="360" w:lineRule="exact"/>
              <w:jc w:val="center"/>
              <w:rPr>
                <w:rFonts w:hint="eastAsia" w:cs="宋体" w:asciiTheme="majorEastAsia" w:hAnsiTheme="majorEastAsia" w:eastAsiaTheme="majorEastAsia"/>
                <w:highlight w:val="none"/>
              </w:rPr>
            </w:pPr>
            <w:r>
              <w:rPr>
                <w:rFonts w:hint="eastAsia" w:ascii="宋体" w:hAnsi="宋体" w:eastAsia="宋体"/>
                <w:highlight w:val="none"/>
              </w:rPr>
              <w:t>2.2.1</w:t>
            </w:r>
          </w:p>
        </w:tc>
        <w:tc>
          <w:tcPr>
            <w:tcW w:w="1054" w:type="pct"/>
            <w:vAlign w:val="center"/>
          </w:tcPr>
          <w:p w14:paraId="1BFA5A7C">
            <w:pPr>
              <w:spacing w:line="360" w:lineRule="exact"/>
              <w:jc w:val="center"/>
              <w:rPr>
                <w:rFonts w:hint="eastAsia" w:cs="宋体" w:asciiTheme="majorEastAsia" w:hAnsiTheme="majorEastAsia" w:eastAsiaTheme="majorEastAsia"/>
                <w:highlight w:val="none"/>
              </w:rPr>
            </w:pPr>
            <w:r>
              <w:rPr>
                <w:rFonts w:hint="eastAsia" w:ascii="宋体" w:hAnsi="宋体" w:eastAsia="宋体"/>
                <w:highlight w:val="none"/>
              </w:rPr>
              <w:t>投标人要求澄清招标文件的截止时间</w:t>
            </w:r>
          </w:p>
        </w:tc>
        <w:tc>
          <w:tcPr>
            <w:tcW w:w="3462" w:type="pct"/>
            <w:vAlign w:val="center"/>
          </w:tcPr>
          <w:p w14:paraId="6F920B23">
            <w:pPr>
              <w:spacing w:line="360" w:lineRule="exact"/>
              <w:contextualSpacing/>
              <w:rPr>
                <w:rFonts w:hint="eastAsia" w:ascii="宋体" w:hAnsi="宋体" w:eastAsia="宋体"/>
                <w:highlight w:val="none"/>
              </w:rPr>
            </w:pPr>
            <w:r>
              <w:rPr>
                <w:rFonts w:hint="eastAsia" w:ascii="宋体" w:hAnsi="宋体" w:eastAsia="宋体"/>
                <w:highlight w:val="none"/>
              </w:rPr>
              <w:t>投标截止时间前10天</w:t>
            </w:r>
          </w:p>
          <w:p w14:paraId="6E6E0BC1">
            <w:pPr>
              <w:spacing w:line="360" w:lineRule="exact"/>
              <w:jc w:val="both"/>
              <w:rPr>
                <w:rFonts w:hint="eastAsia" w:cs="宋体" w:asciiTheme="majorEastAsia" w:hAnsiTheme="majorEastAsia" w:eastAsiaTheme="majorEastAsia"/>
                <w:highlight w:val="none"/>
              </w:rPr>
            </w:pPr>
            <w:r>
              <w:rPr>
                <w:rFonts w:hint="eastAsia" w:ascii="宋体" w:hAnsi="宋体" w:eastAsia="宋体"/>
                <w:highlight w:val="none"/>
              </w:rPr>
              <w:t>形式：在一体化平台交易系统上提交，</w:t>
            </w:r>
            <w:r>
              <w:rPr>
                <w:rFonts w:ascii="宋体" w:hAnsi="宋体" w:eastAsia="宋体"/>
                <w:highlight w:val="none"/>
              </w:rPr>
              <w:t>同时将要求澄清的内容发送至邮箱</w:t>
            </w:r>
            <w:r>
              <w:rPr>
                <w:rFonts w:hint="eastAsia" w:ascii="宋体" w:hAnsi="宋体" w:eastAsia="宋体"/>
                <w:highlight w:val="none"/>
              </w:rPr>
              <w:t>“</w:t>
            </w:r>
            <w:r>
              <w:rPr>
                <w:rFonts w:ascii="宋体" w:hAnsi="宋体" w:eastAsia="宋体"/>
                <w:highlight w:val="none"/>
              </w:rPr>
              <w:t>jlwbgl@163.com</w:t>
            </w:r>
            <w:r>
              <w:rPr>
                <w:rFonts w:hint="eastAsia" w:ascii="宋体" w:hAnsi="宋体" w:eastAsia="宋体"/>
                <w:highlight w:val="none"/>
              </w:rPr>
              <w:t>”</w:t>
            </w:r>
            <w:r>
              <w:rPr>
                <w:rFonts w:ascii="宋体" w:hAnsi="宋体" w:eastAsia="宋体"/>
                <w:highlight w:val="none"/>
              </w:rPr>
              <w:t>，并电话通知招标代理机构查收。</w:t>
            </w:r>
          </w:p>
        </w:tc>
      </w:tr>
      <w:tr w14:paraId="5AFC7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3" w:hRule="atLeast"/>
        </w:trPr>
        <w:tc>
          <w:tcPr>
            <w:tcW w:w="484" w:type="pct"/>
            <w:vAlign w:val="center"/>
          </w:tcPr>
          <w:p w14:paraId="279CFB83">
            <w:pPr>
              <w:spacing w:line="360" w:lineRule="exact"/>
              <w:jc w:val="center"/>
              <w:rPr>
                <w:rFonts w:hint="eastAsia" w:ascii="宋体" w:hAnsi="宋体" w:eastAsia="宋体"/>
                <w:highlight w:val="none"/>
              </w:rPr>
            </w:pPr>
            <w:r>
              <w:rPr>
                <w:rFonts w:hint="eastAsia" w:ascii="宋体" w:hAnsi="宋体" w:eastAsia="宋体"/>
                <w:highlight w:val="none"/>
              </w:rPr>
              <w:t>2.2.2</w:t>
            </w:r>
          </w:p>
        </w:tc>
        <w:tc>
          <w:tcPr>
            <w:tcW w:w="1054" w:type="pct"/>
            <w:vAlign w:val="center"/>
          </w:tcPr>
          <w:p w14:paraId="4C69A555">
            <w:pPr>
              <w:spacing w:line="360" w:lineRule="exact"/>
              <w:jc w:val="center"/>
              <w:rPr>
                <w:rFonts w:hint="eastAsia" w:ascii="宋体" w:hAnsi="宋体" w:eastAsia="宋体"/>
                <w:highlight w:val="none"/>
              </w:rPr>
            </w:pPr>
            <w:r>
              <w:rPr>
                <w:rFonts w:hint="eastAsia" w:ascii="宋体" w:hAnsi="宋体" w:eastAsia="宋体"/>
                <w:highlight w:val="none"/>
              </w:rPr>
              <w:t>投标截止时间</w:t>
            </w:r>
          </w:p>
        </w:tc>
        <w:tc>
          <w:tcPr>
            <w:tcW w:w="3462" w:type="pct"/>
            <w:vAlign w:val="center"/>
          </w:tcPr>
          <w:p w14:paraId="0BF8986E">
            <w:pPr>
              <w:spacing w:line="360" w:lineRule="exact"/>
              <w:contextualSpacing/>
              <w:rPr>
                <w:rFonts w:hint="eastAsia" w:ascii="宋体" w:hAnsi="宋体" w:eastAsia="宋体"/>
                <w:highlight w:val="none"/>
              </w:rPr>
            </w:pPr>
            <w:r>
              <w:rPr>
                <w:rFonts w:hint="eastAsia" w:ascii="黑体" w:hAnsi="黑体" w:eastAsia="黑体"/>
                <w:highlight w:val="none"/>
                <w:u w:val="single"/>
              </w:rPr>
              <w:t>2026年11月12日9时00分</w:t>
            </w:r>
          </w:p>
        </w:tc>
      </w:tr>
      <w:tr w14:paraId="55C8B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484" w:type="pct"/>
            <w:vAlign w:val="center"/>
          </w:tcPr>
          <w:p w14:paraId="567B5190">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2.2.3</w:t>
            </w:r>
          </w:p>
        </w:tc>
        <w:tc>
          <w:tcPr>
            <w:tcW w:w="1054" w:type="pct"/>
            <w:tcBorders>
              <w:bottom w:val="single" w:color="auto" w:sz="4" w:space="0"/>
            </w:tcBorders>
            <w:vAlign w:val="center"/>
          </w:tcPr>
          <w:p w14:paraId="53F4F021">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投标人确认收到</w:t>
            </w:r>
          </w:p>
          <w:p w14:paraId="76AD14A0">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招标文件澄清</w:t>
            </w:r>
          </w:p>
        </w:tc>
        <w:tc>
          <w:tcPr>
            <w:tcW w:w="3462" w:type="pct"/>
            <w:tcBorders>
              <w:bottom w:val="single" w:color="auto" w:sz="4" w:space="0"/>
            </w:tcBorders>
            <w:vAlign w:val="center"/>
          </w:tcPr>
          <w:p w14:paraId="68FD3AE1">
            <w:pPr>
              <w:spacing w:line="360" w:lineRule="exact"/>
              <w:ind w:left="21" w:leftChars="10"/>
              <w:jc w:val="both"/>
              <w:rPr>
                <w:rFonts w:hint="eastAsia" w:cs="宋体" w:asciiTheme="majorEastAsia" w:hAnsiTheme="majorEastAsia" w:eastAsiaTheme="majorEastAsia"/>
                <w:highlight w:val="none"/>
              </w:rPr>
            </w:pPr>
            <w:r>
              <w:rPr>
                <w:rFonts w:hint="eastAsia" w:ascii="宋体" w:hAnsi="宋体" w:eastAsia="宋体"/>
                <w:highlight w:val="none"/>
              </w:rPr>
              <w:t>请潜在投标人在参加与本项目活动期间关注网站信息，所有有意愿的投标人有义务在网上自行查询，无需书面回复。</w:t>
            </w:r>
          </w:p>
        </w:tc>
      </w:tr>
      <w:tr w14:paraId="699B0D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484" w:type="pct"/>
            <w:vAlign w:val="center"/>
          </w:tcPr>
          <w:p w14:paraId="3935E3FD">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2.3.2</w:t>
            </w:r>
          </w:p>
        </w:tc>
        <w:tc>
          <w:tcPr>
            <w:tcW w:w="1054" w:type="pct"/>
            <w:tcBorders>
              <w:top w:val="single" w:color="auto" w:sz="4" w:space="0"/>
            </w:tcBorders>
            <w:vAlign w:val="center"/>
          </w:tcPr>
          <w:p w14:paraId="63783979">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投标人确认收到</w:t>
            </w:r>
          </w:p>
          <w:p w14:paraId="1641CBA0">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招标文件修改</w:t>
            </w:r>
          </w:p>
        </w:tc>
        <w:tc>
          <w:tcPr>
            <w:tcW w:w="3462" w:type="pct"/>
            <w:tcBorders>
              <w:top w:val="single" w:color="auto" w:sz="4" w:space="0"/>
            </w:tcBorders>
          </w:tcPr>
          <w:p w14:paraId="752D657B">
            <w:pPr>
              <w:spacing w:line="360" w:lineRule="exact"/>
              <w:ind w:left="21" w:leftChars="10"/>
              <w:rPr>
                <w:rFonts w:hint="eastAsia" w:asciiTheme="majorEastAsia" w:hAnsiTheme="majorEastAsia" w:eastAsiaTheme="majorEastAsia"/>
                <w:highlight w:val="none"/>
              </w:rPr>
            </w:pPr>
            <w:r>
              <w:rPr>
                <w:rFonts w:hint="eastAsia" w:ascii="宋体" w:hAnsi="宋体" w:eastAsia="宋体"/>
                <w:highlight w:val="none"/>
              </w:rPr>
              <w:t>请潜在投标人在参加与本项目活动期间关注网站信息，所有有意愿的投标人有义务在网上自行查询，无需书面回复。</w:t>
            </w:r>
          </w:p>
        </w:tc>
      </w:tr>
      <w:tr w14:paraId="5FFC1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484" w:type="pct"/>
            <w:vAlign w:val="center"/>
          </w:tcPr>
          <w:p w14:paraId="7C71383F">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3.1.1</w:t>
            </w:r>
          </w:p>
        </w:tc>
        <w:tc>
          <w:tcPr>
            <w:tcW w:w="1054" w:type="pct"/>
            <w:vAlign w:val="center"/>
          </w:tcPr>
          <w:p w14:paraId="1E87C738">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构成投标文件的其他资料</w:t>
            </w:r>
          </w:p>
        </w:tc>
        <w:tc>
          <w:tcPr>
            <w:tcW w:w="3462" w:type="pct"/>
            <w:vAlign w:val="center"/>
          </w:tcPr>
          <w:p w14:paraId="4435D368">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评标办法中要求的资料</w:t>
            </w:r>
          </w:p>
        </w:tc>
      </w:tr>
      <w:tr w14:paraId="1A278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484" w:type="pct"/>
            <w:vAlign w:val="center"/>
          </w:tcPr>
          <w:p w14:paraId="665B53A7">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3.2.1</w:t>
            </w:r>
          </w:p>
        </w:tc>
        <w:tc>
          <w:tcPr>
            <w:tcW w:w="1054" w:type="pct"/>
            <w:vAlign w:val="center"/>
          </w:tcPr>
          <w:p w14:paraId="58A52960">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增值税税金的计算</w:t>
            </w:r>
          </w:p>
          <w:p w14:paraId="53311D71">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方法</w:t>
            </w:r>
          </w:p>
        </w:tc>
        <w:tc>
          <w:tcPr>
            <w:tcW w:w="3462" w:type="pct"/>
            <w:vAlign w:val="center"/>
          </w:tcPr>
          <w:p w14:paraId="1E436287">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增值税税金按一般计税方法计算</w:t>
            </w:r>
          </w:p>
        </w:tc>
      </w:tr>
      <w:tr w14:paraId="277DF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84" w:type="pct"/>
            <w:vAlign w:val="center"/>
          </w:tcPr>
          <w:p w14:paraId="7A51009D">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3.2.3</w:t>
            </w:r>
          </w:p>
        </w:tc>
        <w:tc>
          <w:tcPr>
            <w:tcW w:w="1054" w:type="pct"/>
            <w:vAlign w:val="center"/>
          </w:tcPr>
          <w:p w14:paraId="10918212">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报价方式</w:t>
            </w:r>
          </w:p>
        </w:tc>
        <w:tc>
          <w:tcPr>
            <w:tcW w:w="3462" w:type="pct"/>
            <w:vAlign w:val="center"/>
          </w:tcPr>
          <w:p w14:paraId="3937A9E8">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总价</w:t>
            </w:r>
          </w:p>
        </w:tc>
      </w:tr>
      <w:tr w14:paraId="4AD08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84" w:type="pct"/>
            <w:vAlign w:val="center"/>
          </w:tcPr>
          <w:p w14:paraId="26EEBD95">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3.2.4</w:t>
            </w:r>
          </w:p>
        </w:tc>
        <w:tc>
          <w:tcPr>
            <w:tcW w:w="1054" w:type="pct"/>
            <w:vAlign w:val="center"/>
          </w:tcPr>
          <w:p w14:paraId="2FEBD672">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最高投标限价</w:t>
            </w:r>
          </w:p>
        </w:tc>
        <w:tc>
          <w:tcPr>
            <w:tcW w:w="3462" w:type="pct"/>
            <w:vAlign w:val="center"/>
          </w:tcPr>
          <w:p w14:paraId="058E9AAD">
            <w:pPr>
              <w:spacing w:line="360" w:lineRule="exact"/>
              <w:ind w:left="21" w:leftChars="10"/>
              <w:jc w:val="both"/>
              <w:rPr>
                <w:rFonts w:hint="eastAsia" w:ascii="黑体" w:hAnsi="黑体" w:eastAsia="黑体" w:cs="宋体"/>
                <w:highlight w:val="none"/>
              </w:rPr>
            </w:pPr>
            <w:r>
              <w:rPr>
                <w:rFonts w:hint="eastAsia" w:ascii="黑体" w:hAnsi="黑体" w:eastAsia="黑体" w:cs="宋体"/>
                <w:highlight w:val="none"/>
              </w:rPr>
              <w:t>最高投标限价：</w:t>
            </w:r>
            <w:r>
              <w:rPr>
                <w:rFonts w:hint="eastAsia" w:ascii="黑体" w:hAnsi="黑体" w:eastAsia="黑体"/>
                <w:sz w:val="22"/>
                <w:szCs w:val="22"/>
                <w:highlight w:val="none"/>
              </w:rPr>
              <w:t xml:space="preserve">3,671,000 </w:t>
            </w:r>
            <w:r>
              <w:rPr>
                <w:rFonts w:hint="eastAsia" w:ascii="黑体" w:hAnsi="黑体" w:eastAsia="黑体" w:cs="宋体"/>
                <w:highlight w:val="none"/>
              </w:rPr>
              <w:t>元。</w:t>
            </w:r>
          </w:p>
        </w:tc>
      </w:tr>
      <w:tr w14:paraId="69CB4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84" w:type="pct"/>
            <w:vAlign w:val="center"/>
          </w:tcPr>
          <w:p w14:paraId="3D0BFD06">
            <w:pPr>
              <w:spacing w:line="360" w:lineRule="exact"/>
              <w:jc w:val="center"/>
              <w:rPr>
                <w:rFonts w:hint="eastAsia" w:cs="宋体" w:asciiTheme="majorEastAsia" w:hAnsiTheme="majorEastAsia" w:eastAsiaTheme="majorEastAsia"/>
                <w:highlight w:val="none"/>
              </w:rPr>
            </w:pPr>
            <w:r>
              <w:rPr>
                <w:rFonts w:hint="eastAsia" w:cs="宋体" w:asciiTheme="majorEastAsia" w:hAnsiTheme="majorEastAsia" w:eastAsiaTheme="majorEastAsia"/>
                <w:highlight w:val="none"/>
              </w:rPr>
              <w:t>3</w:t>
            </w:r>
            <w:r>
              <w:rPr>
                <w:rFonts w:cs="宋体" w:asciiTheme="majorEastAsia" w:hAnsiTheme="majorEastAsia" w:eastAsiaTheme="majorEastAsia"/>
                <w:highlight w:val="none"/>
              </w:rPr>
              <w:t>.2.5</w:t>
            </w:r>
          </w:p>
        </w:tc>
        <w:tc>
          <w:tcPr>
            <w:tcW w:w="1054" w:type="pct"/>
            <w:vAlign w:val="center"/>
          </w:tcPr>
          <w:p w14:paraId="0FF6B396">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投标报价的其他要求</w:t>
            </w:r>
          </w:p>
        </w:tc>
        <w:tc>
          <w:tcPr>
            <w:tcW w:w="3462" w:type="pct"/>
            <w:vAlign w:val="center"/>
          </w:tcPr>
          <w:p w14:paraId="06544442">
            <w:pPr>
              <w:widowControl w:val="0"/>
              <w:kinsoku/>
              <w:autoSpaceDE/>
              <w:autoSpaceDN/>
              <w:spacing w:line="340" w:lineRule="exact"/>
              <w:jc w:val="both"/>
              <w:textAlignment w:val="auto"/>
              <w:rPr>
                <w:rFonts w:hint="eastAsia" w:cs="宋体" w:asciiTheme="majorEastAsia" w:hAnsiTheme="majorEastAsia" w:eastAsiaTheme="majorEastAsia"/>
                <w:highlight w:val="none"/>
              </w:rPr>
            </w:pPr>
            <w:r>
              <w:rPr>
                <w:rFonts w:ascii="黑体" w:hAnsi="黑体" w:eastAsia="黑体"/>
                <w:bCs/>
                <w:highlight w:val="none"/>
              </w:rPr>
              <w:t>缺陷责任期阶段监理服务费</w:t>
            </w:r>
            <w:r>
              <w:rPr>
                <w:rFonts w:hint="eastAsia" w:ascii="黑体" w:hAnsi="黑体" w:eastAsia="黑体"/>
                <w:bCs/>
                <w:highlight w:val="none"/>
              </w:rPr>
              <w:t>不应低于施工期监理服务费用的5%</w:t>
            </w:r>
            <w:r>
              <w:rPr>
                <w:rFonts w:hint="eastAsia" w:ascii="楷体" w:hAnsi="楷体" w:eastAsia="楷体"/>
                <w:bCs/>
                <w:highlight w:val="none"/>
              </w:rPr>
              <w:t>。</w:t>
            </w:r>
          </w:p>
        </w:tc>
      </w:tr>
      <w:tr w14:paraId="3A446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84" w:type="pct"/>
            <w:vAlign w:val="center"/>
          </w:tcPr>
          <w:p w14:paraId="36319D4A">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3.3.1</w:t>
            </w:r>
          </w:p>
        </w:tc>
        <w:tc>
          <w:tcPr>
            <w:tcW w:w="1054" w:type="pct"/>
            <w:vAlign w:val="center"/>
          </w:tcPr>
          <w:p w14:paraId="286BEDCF">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投标有效期</w:t>
            </w:r>
          </w:p>
        </w:tc>
        <w:tc>
          <w:tcPr>
            <w:tcW w:w="3462" w:type="pct"/>
            <w:vAlign w:val="center"/>
          </w:tcPr>
          <w:p w14:paraId="4F8EF471">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投标截止之日后 90 天 (日历天)</w:t>
            </w:r>
          </w:p>
        </w:tc>
      </w:tr>
      <w:tr w14:paraId="0B452F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2" w:hRule="atLeast"/>
        </w:trPr>
        <w:tc>
          <w:tcPr>
            <w:tcW w:w="484" w:type="pct"/>
            <w:tcBorders>
              <w:bottom w:val="single" w:color="auto" w:sz="4" w:space="0"/>
            </w:tcBorders>
            <w:vAlign w:val="center"/>
          </w:tcPr>
          <w:p w14:paraId="6E76D3F9">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3.4.1</w:t>
            </w:r>
          </w:p>
        </w:tc>
        <w:tc>
          <w:tcPr>
            <w:tcW w:w="1054" w:type="pct"/>
            <w:tcBorders>
              <w:bottom w:val="single" w:color="auto" w:sz="4" w:space="0"/>
            </w:tcBorders>
            <w:vAlign w:val="center"/>
          </w:tcPr>
          <w:p w14:paraId="5FAEDA10">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投标保证金</w:t>
            </w:r>
          </w:p>
        </w:tc>
        <w:tc>
          <w:tcPr>
            <w:tcW w:w="3462" w:type="pct"/>
            <w:tcBorders>
              <w:bottom w:val="single" w:color="auto" w:sz="4" w:space="0"/>
            </w:tcBorders>
            <w:vAlign w:val="center"/>
          </w:tcPr>
          <w:p w14:paraId="5CCD5D60">
            <w:pPr>
              <w:spacing w:line="360" w:lineRule="exact"/>
              <w:rPr>
                <w:rFonts w:hint="eastAsia" w:ascii="黑体" w:hAnsi="黑体" w:eastAsia="黑体"/>
                <w:highlight w:val="none"/>
              </w:rPr>
            </w:pPr>
            <w:r>
              <w:rPr>
                <w:rFonts w:hint="eastAsia" w:ascii="宋体" w:hAnsi="宋体" w:eastAsia="宋体"/>
                <w:highlight w:val="none"/>
                <w:lang w:val="zh-CN"/>
              </w:rPr>
              <w:t>投标保证金的金额</w:t>
            </w:r>
            <w:r>
              <w:rPr>
                <w:rFonts w:hint="eastAsia" w:ascii="宋体" w:hAnsi="宋体" w:eastAsia="宋体"/>
                <w:highlight w:val="none"/>
              </w:rPr>
              <w:t>：</w:t>
            </w:r>
            <w:r>
              <w:rPr>
                <w:rFonts w:hint="eastAsia" w:ascii="黑体" w:hAnsi="黑体" w:eastAsia="黑体"/>
                <w:highlight w:val="none"/>
              </w:rPr>
              <w:t>3万元</w:t>
            </w:r>
          </w:p>
          <w:p w14:paraId="4D842183">
            <w:pPr>
              <w:spacing w:line="360" w:lineRule="exact"/>
              <w:rPr>
                <w:rFonts w:hint="eastAsia" w:ascii="宋体" w:hAnsi="宋体" w:eastAsia="宋体"/>
                <w:highlight w:val="none"/>
              </w:rPr>
            </w:pPr>
            <w:bookmarkStart w:id="19" w:name="OLE_LINK30"/>
            <w:bookmarkStart w:id="20" w:name="OLE_LINK59"/>
            <w:r>
              <w:rPr>
                <w:rFonts w:hint="eastAsia" w:ascii="宋体" w:hAnsi="宋体" w:eastAsia="宋体"/>
                <w:highlight w:val="none"/>
              </w:rPr>
              <w:t>投标保证金的形式：现金、支票或在吉林省公共资源交易一体化平台开展电子保函担保业务的第三方服务机构提供的电子保函。</w:t>
            </w:r>
          </w:p>
          <w:bookmarkEnd w:id="19"/>
          <w:p w14:paraId="61067F2C">
            <w:pPr>
              <w:spacing w:line="360" w:lineRule="exact"/>
              <w:rPr>
                <w:rFonts w:hint="eastAsia" w:ascii="宋体" w:hAnsi="宋体" w:eastAsia="宋体"/>
                <w:highlight w:val="none"/>
              </w:rPr>
            </w:pPr>
            <w:r>
              <w:rPr>
                <w:rFonts w:ascii="宋体" w:hAnsi="宋体" w:eastAsia="宋体"/>
                <w:highlight w:val="none"/>
              </w:rPr>
              <w:fldChar w:fldCharType="begin"/>
            </w:r>
            <w:r>
              <w:rPr>
                <w:rFonts w:ascii="宋体" w:hAnsi="宋体" w:eastAsia="宋体"/>
                <w:highlight w:val="none"/>
              </w:rPr>
              <w:instrText xml:space="preserve"> </w:instrText>
            </w:r>
            <w:r>
              <w:rPr>
                <w:rFonts w:hint="eastAsia" w:ascii="宋体" w:hAnsi="宋体" w:eastAsia="宋体"/>
                <w:highlight w:val="none"/>
              </w:rPr>
              <w:instrText xml:space="preserve">= 1 \* GB3</w:instrText>
            </w:r>
            <w:r>
              <w:rPr>
                <w:rFonts w:ascii="宋体" w:hAnsi="宋体" w:eastAsia="宋体"/>
                <w:highlight w:val="none"/>
              </w:rPr>
              <w:instrText xml:space="preserve"> </w:instrText>
            </w:r>
            <w:r>
              <w:rPr>
                <w:rFonts w:ascii="宋体" w:hAnsi="宋体" w:eastAsia="宋体"/>
                <w:highlight w:val="none"/>
              </w:rPr>
              <w:fldChar w:fldCharType="separate"/>
            </w:r>
            <w:r>
              <w:rPr>
                <w:rFonts w:hint="eastAsia" w:ascii="宋体" w:hAnsi="宋体" w:eastAsia="宋体"/>
                <w:highlight w:val="none"/>
              </w:rPr>
              <w:t>①</w:t>
            </w:r>
            <w:r>
              <w:rPr>
                <w:rFonts w:ascii="宋体" w:hAnsi="宋体" w:eastAsia="宋体"/>
                <w:highlight w:val="none"/>
              </w:rPr>
              <w:fldChar w:fldCharType="end"/>
            </w:r>
            <w:r>
              <w:rPr>
                <w:rFonts w:hint="eastAsia" w:ascii="宋体" w:hAnsi="宋体" w:eastAsia="宋体"/>
                <w:highlight w:val="none"/>
              </w:rPr>
              <w:t>采用现金或支票形式的：应由投标人的基本账户一次性汇入招标人指定账户。投标人</w:t>
            </w:r>
            <w:r>
              <w:rPr>
                <w:rFonts w:ascii="宋体" w:hAnsi="宋体" w:eastAsia="宋体"/>
                <w:highlight w:val="none"/>
              </w:rPr>
              <w:t>应保证</w:t>
            </w:r>
            <w:r>
              <w:rPr>
                <w:rFonts w:hint="eastAsia" w:ascii="宋体" w:hAnsi="宋体" w:eastAsia="宋体"/>
                <w:highlight w:val="none"/>
              </w:rPr>
              <w:t>上述款项</w:t>
            </w:r>
            <w:r>
              <w:rPr>
                <w:rFonts w:ascii="宋体" w:hAnsi="宋体" w:eastAsia="宋体"/>
                <w:highlight w:val="none"/>
              </w:rPr>
              <w:t>在</w:t>
            </w:r>
            <w:r>
              <w:rPr>
                <w:rFonts w:hint="eastAsia" w:ascii="宋体" w:hAnsi="宋体" w:eastAsia="宋体"/>
                <w:highlight w:val="none"/>
              </w:rPr>
              <w:t>投标截止时间前</w:t>
            </w:r>
            <w:r>
              <w:rPr>
                <w:rFonts w:ascii="宋体" w:hAnsi="宋体" w:eastAsia="宋体"/>
                <w:highlight w:val="none"/>
              </w:rPr>
              <w:t>到达</w:t>
            </w:r>
            <w:r>
              <w:rPr>
                <w:rFonts w:hint="eastAsia" w:ascii="宋体" w:hAnsi="宋体" w:eastAsia="宋体"/>
                <w:highlight w:val="none"/>
              </w:rPr>
              <w:t>招</w:t>
            </w:r>
            <w:r>
              <w:rPr>
                <w:rFonts w:ascii="宋体" w:hAnsi="宋体" w:eastAsia="宋体"/>
                <w:highlight w:val="none"/>
              </w:rPr>
              <w:t>标人指定账户，否则视为</w:t>
            </w:r>
            <w:r>
              <w:rPr>
                <w:rFonts w:hint="eastAsia" w:ascii="宋体" w:hAnsi="宋体" w:eastAsia="宋体"/>
                <w:highlight w:val="none"/>
              </w:rPr>
              <w:t>投</w:t>
            </w:r>
            <w:r>
              <w:rPr>
                <w:rFonts w:ascii="宋体" w:hAnsi="宋体" w:eastAsia="宋体"/>
                <w:highlight w:val="none"/>
              </w:rPr>
              <w:t>标保证金无效。</w:t>
            </w:r>
          </w:p>
          <w:p w14:paraId="514999FE">
            <w:pPr>
              <w:spacing w:line="360" w:lineRule="exact"/>
              <w:rPr>
                <w:rFonts w:hint="eastAsia" w:ascii="宋体" w:hAnsi="宋体" w:eastAsia="宋体"/>
                <w:highlight w:val="none"/>
              </w:rPr>
            </w:pPr>
            <w:r>
              <w:rPr>
                <w:rFonts w:hint="eastAsia" w:ascii="宋体" w:hAnsi="宋体" w:eastAsia="宋体"/>
                <w:highlight w:val="none"/>
              </w:rPr>
              <w:t>招标人指定的银行及账号如下：</w:t>
            </w:r>
          </w:p>
          <w:p w14:paraId="0FA58B67">
            <w:pPr>
              <w:spacing w:line="360" w:lineRule="exact"/>
              <w:rPr>
                <w:rFonts w:hint="eastAsia" w:ascii="宋体" w:hAnsi="宋体" w:eastAsia="宋体"/>
                <w:highlight w:val="none"/>
              </w:rPr>
            </w:pPr>
            <w:r>
              <w:rPr>
                <w:rFonts w:hint="eastAsia" w:ascii="宋体" w:hAnsi="宋体" w:eastAsia="宋体"/>
                <w:highlight w:val="none"/>
              </w:rPr>
              <w:t xml:space="preserve">开户名称：吉林省伟邦公路技术有限公司 </w:t>
            </w:r>
          </w:p>
          <w:p w14:paraId="5CE1B7FF">
            <w:pPr>
              <w:spacing w:line="360" w:lineRule="exact"/>
              <w:rPr>
                <w:rFonts w:hint="eastAsia" w:ascii="宋体" w:hAnsi="宋体" w:eastAsia="宋体"/>
                <w:highlight w:val="none"/>
              </w:rPr>
            </w:pPr>
            <w:r>
              <w:rPr>
                <w:rFonts w:hint="eastAsia" w:ascii="宋体" w:hAnsi="宋体" w:eastAsia="宋体"/>
                <w:highlight w:val="none"/>
              </w:rPr>
              <w:t xml:space="preserve">开户银行：建设银行九台支行 </w:t>
            </w:r>
          </w:p>
          <w:p w14:paraId="5A5C99B6">
            <w:pPr>
              <w:spacing w:line="360" w:lineRule="exact"/>
              <w:rPr>
                <w:rFonts w:hint="eastAsia" w:ascii="宋体" w:hAnsi="宋体" w:eastAsia="宋体"/>
                <w:highlight w:val="none"/>
              </w:rPr>
            </w:pPr>
            <w:r>
              <w:rPr>
                <w:rFonts w:hint="eastAsia" w:ascii="宋体" w:hAnsi="宋体" w:eastAsia="宋体"/>
                <w:highlight w:val="none"/>
              </w:rPr>
              <w:t>银行账号：22001390100055001391</w:t>
            </w:r>
            <w:r>
              <w:rPr>
                <w:rFonts w:ascii="宋体" w:hAnsi="宋体" w:eastAsia="宋体"/>
                <w:highlight w:val="none"/>
              </w:rPr>
              <w:cr/>
            </w:r>
            <w:r>
              <w:rPr>
                <w:rFonts w:hint="eastAsia" w:ascii="宋体" w:hAnsi="宋体" w:eastAsia="宋体"/>
                <w:highlight w:val="none"/>
              </w:rPr>
              <w:t>银行转账业务备注栏可填写：“</w:t>
            </w:r>
            <w:r>
              <w:rPr>
                <w:rFonts w:hint="eastAsia" w:ascii="黑体" w:hAnsi="黑体" w:eastAsia="黑体"/>
                <w:highlight w:val="none"/>
              </w:rPr>
              <w:t>长榆高速房建监理投标保证金”。</w:t>
            </w:r>
          </w:p>
          <w:p w14:paraId="5B9F59CF">
            <w:pPr>
              <w:spacing w:line="360" w:lineRule="exact"/>
              <w:ind w:left="21" w:leftChars="10"/>
              <w:jc w:val="both"/>
              <w:rPr>
                <w:rFonts w:hint="eastAsia" w:cs="宋体" w:asciiTheme="majorEastAsia" w:hAnsiTheme="majorEastAsia" w:eastAsiaTheme="majorEastAsia"/>
                <w:highlight w:val="none"/>
              </w:rPr>
            </w:pPr>
            <w:r>
              <w:rPr>
                <w:rFonts w:ascii="宋体" w:hAnsi="宋体" w:eastAsia="宋体"/>
                <w:highlight w:val="none"/>
              </w:rPr>
              <w:fldChar w:fldCharType="begin"/>
            </w:r>
            <w:r>
              <w:rPr>
                <w:rFonts w:ascii="宋体" w:hAnsi="宋体" w:eastAsia="宋体"/>
                <w:highlight w:val="none"/>
              </w:rPr>
              <w:instrText xml:space="preserve"> </w:instrText>
            </w:r>
            <w:r>
              <w:rPr>
                <w:rFonts w:hint="eastAsia" w:ascii="宋体" w:hAnsi="宋体" w:eastAsia="宋体"/>
                <w:highlight w:val="none"/>
              </w:rPr>
              <w:instrText xml:space="preserve">= 2 \* GB3</w:instrText>
            </w:r>
            <w:r>
              <w:rPr>
                <w:rFonts w:ascii="宋体" w:hAnsi="宋体" w:eastAsia="宋体"/>
                <w:highlight w:val="none"/>
              </w:rPr>
              <w:instrText xml:space="preserve"> </w:instrText>
            </w:r>
            <w:r>
              <w:rPr>
                <w:rFonts w:ascii="宋体" w:hAnsi="宋体" w:eastAsia="宋体"/>
                <w:highlight w:val="none"/>
              </w:rPr>
              <w:fldChar w:fldCharType="separate"/>
            </w:r>
            <w:r>
              <w:rPr>
                <w:rFonts w:hint="eastAsia" w:ascii="宋体" w:hAnsi="宋体" w:eastAsia="宋体"/>
                <w:highlight w:val="none"/>
              </w:rPr>
              <w:t>②</w:t>
            </w:r>
            <w:r>
              <w:rPr>
                <w:rFonts w:ascii="宋体" w:hAnsi="宋体" w:eastAsia="宋体"/>
                <w:highlight w:val="none"/>
              </w:rPr>
              <w:fldChar w:fldCharType="end"/>
            </w:r>
            <w:r>
              <w:rPr>
                <w:rFonts w:hint="eastAsia" w:ascii="宋体" w:hAnsi="宋体" w:eastAsia="宋体"/>
                <w:highlight w:val="none"/>
              </w:rPr>
              <w:t>采用电子保函形式的：应采用在吉林省公共资源交易一体化平台开展电子保函担保业务的第三方服务机构提供的电子保函。</w:t>
            </w:r>
            <w:bookmarkEnd w:id="20"/>
          </w:p>
        </w:tc>
      </w:tr>
      <w:tr w14:paraId="5604E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484" w:type="pct"/>
            <w:vAlign w:val="center"/>
          </w:tcPr>
          <w:p w14:paraId="784C1C6A">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3.4.4</w:t>
            </w:r>
          </w:p>
        </w:tc>
        <w:tc>
          <w:tcPr>
            <w:tcW w:w="1054" w:type="pct"/>
            <w:vAlign w:val="center"/>
          </w:tcPr>
          <w:p w14:paraId="1AEB0ABE">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其他可以不予退还</w:t>
            </w:r>
          </w:p>
          <w:p w14:paraId="4607D4CB">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投标保证金的情形</w:t>
            </w:r>
          </w:p>
        </w:tc>
        <w:tc>
          <w:tcPr>
            <w:tcW w:w="3462" w:type="pct"/>
            <w:vAlign w:val="center"/>
          </w:tcPr>
          <w:p w14:paraId="357B4B4F">
            <w:pPr>
              <w:spacing w:line="360" w:lineRule="exact"/>
              <w:ind w:left="21" w:leftChars="10"/>
              <w:jc w:val="both"/>
              <w:rPr>
                <w:rFonts w:hint="eastAsia" w:cs="宋体" w:asciiTheme="majorEastAsia" w:hAnsiTheme="majorEastAsia" w:eastAsiaTheme="majorEastAsia"/>
                <w:highlight w:val="none"/>
              </w:rPr>
            </w:pPr>
            <w:r>
              <w:rPr>
                <w:rFonts w:hint="eastAsia" w:cs="宋体" w:asciiTheme="majorEastAsia" w:hAnsiTheme="majorEastAsia" w:eastAsiaTheme="majorEastAsia"/>
                <w:highlight w:val="none"/>
              </w:rPr>
              <w:t>/</w:t>
            </w:r>
          </w:p>
        </w:tc>
      </w:tr>
      <w:tr w14:paraId="62725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484" w:type="pct"/>
            <w:vAlign w:val="center"/>
          </w:tcPr>
          <w:p w14:paraId="16329523">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3.5</w:t>
            </w:r>
          </w:p>
        </w:tc>
        <w:tc>
          <w:tcPr>
            <w:tcW w:w="1054" w:type="pct"/>
            <w:vAlign w:val="center"/>
          </w:tcPr>
          <w:p w14:paraId="2D901032">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资格审查资料的</w:t>
            </w:r>
          </w:p>
          <w:p w14:paraId="0ACA15A6">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特殊要求</w:t>
            </w:r>
          </w:p>
        </w:tc>
        <w:tc>
          <w:tcPr>
            <w:tcW w:w="3462" w:type="pct"/>
            <w:vAlign w:val="center"/>
          </w:tcPr>
          <w:p w14:paraId="05AD3FB9">
            <w:pPr>
              <w:spacing w:line="360" w:lineRule="exact"/>
              <w:ind w:left="21" w:leftChars="10"/>
              <w:jc w:val="both"/>
              <w:rPr>
                <w:rFonts w:hint="eastAsia" w:cs="宋体" w:asciiTheme="majorEastAsia" w:hAnsiTheme="majorEastAsia" w:eastAsiaTheme="majorEastAsia"/>
                <w:highlight w:val="none"/>
              </w:rPr>
            </w:pPr>
            <w:r>
              <w:rPr>
                <w:rFonts w:hint="eastAsia" w:ascii="宋体" w:hAnsi="宋体" w:eastAsia="宋体"/>
                <w:bCs/>
                <w:highlight w:val="none"/>
              </w:rPr>
              <w:t>有，具体要求：投标人须按招标文件第六章“投标文件格式”中规定的表格内容填写资格审查表，并按资格审查表下方的具体要求提供资格审查资料，以证明其满足本章第1.4款规定的资质、财务、业绩、信誉、人员等要求。</w:t>
            </w:r>
            <w:r>
              <w:rPr>
                <w:rFonts w:hint="eastAsia" w:ascii="黑体" w:hAnsi="黑体" w:eastAsia="黑体"/>
                <w:bCs/>
                <w:highlight w:val="none"/>
              </w:rPr>
              <w:t>招标文件中要求投标人提供的各类证照复印件均指彩色扫描件</w:t>
            </w:r>
            <w:r>
              <w:rPr>
                <w:rFonts w:hint="eastAsia" w:ascii="宋体" w:hAnsi="宋体" w:eastAsia="宋体"/>
                <w:bCs/>
                <w:highlight w:val="none"/>
              </w:rPr>
              <w:t>，其他资料的复印件可为黑白扫描件或彩色扫描件。</w:t>
            </w:r>
          </w:p>
        </w:tc>
      </w:tr>
      <w:tr w14:paraId="725D4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484" w:type="pct"/>
            <w:vAlign w:val="center"/>
          </w:tcPr>
          <w:p w14:paraId="582B09F1">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3.5.2</w:t>
            </w:r>
          </w:p>
        </w:tc>
        <w:tc>
          <w:tcPr>
            <w:tcW w:w="1054" w:type="pct"/>
            <w:vAlign w:val="center"/>
          </w:tcPr>
          <w:p w14:paraId="0629411D">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近年财务状况的</w:t>
            </w:r>
          </w:p>
          <w:p w14:paraId="77B3B1D9">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年份要求</w:t>
            </w:r>
          </w:p>
        </w:tc>
        <w:tc>
          <w:tcPr>
            <w:tcW w:w="3462" w:type="pct"/>
            <w:vAlign w:val="center"/>
          </w:tcPr>
          <w:p w14:paraId="43BADA80">
            <w:pPr>
              <w:spacing w:line="360" w:lineRule="exact"/>
              <w:ind w:left="21" w:leftChars="10"/>
              <w:jc w:val="both"/>
              <w:rPr>
                <w:rFonts w:hint="eastAsia" w:cs="宋体" w:asciiTheme="majorEastAsia" w:hAnsiTheme="majorEastAsia" w:eastAsiaTheme="majorEastAsia"/>
                <w:highlight w:val="none"/>
              </w:rPr>
            </w:pPr>
            <w:bookmarkStart w:id="21" w:name="_Hlk208239750"/>
            <w:r>
              <w:rPr>
                <w:rFonts w:ascii="宋体" w:hAnsi="宋体" w:eastAsia="宋体" w:cs="宋体"/>
                <w:highlight w:val="none"/>
              </w:rPr>
              <w:t>“近年财务状况表”应附</w:t>
            </w:r>
            <w:r>
              <w:rPr>
                <w:rFonts w:hint="eastAsia" w:ascii="宋体" w:hAnsi="宋体" w:eastAsia="宋体"/>
                <w:highlight w:val="none"/>
                <w:lang w:val="zh-CN"/>
              </w:rPr>
              <w:t>投标人近三年（2023年～投标截止时间）具有良好的商业信誉和健全的财务会计制度的财务状况承诺函并加盖投标人单位公章。</w:t>
            </w:r>
            <w:r>
              <w:rPr>
                <w:rFonts w:hint="eastAsia" w:ascii="黑体" w:hAnsi="黑体" w:eastAsia="黑体"/>
                <w:highlight w:val="none"/>
                <w:lang w:val="zh-CN"/>
              </w:rPr>
              <w:t>除财务状况承诺函外，投标人无须再提供任何财务证明材料。</w:t>
            </w:r>
            <w:bookmarkEnd w:id="21"/>
          </w:p>
        </w:tc>
      </w:tr>
      <w:tr w14:paraId="276DB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484" w:type="pct"/>
            <w:vAlign w:val="center"/>
          </w:tcPr>
          <w:p w14:paraId="7F5FD895">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3.5.3</w:t>
            </w:r>
          </w:p>
        </w:tc>
        <w:tc>
          <w:tcPr>
            <w:tcW w:w="1054" w:type="pct"/>
            <w:vAlign w:val="center"/>
          </w:tcPr>
          <w:p w14:paraId="1B04C4D7">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近年完成的类似项</w:t>
            </w:r>
          </w:p>
          <w:p w14:paraId="2100378F">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目情况的时间要求</w:t>
            </w:r>
          </w:p>
        </w:tc>
        <w:tc>
          <w:tcPr>
            <w:tcW w:w="3462" w:type="pct"/>
            <w:vAlign w:val="center"/>
          </w:tcPr>
          <w:p w14:paraId="20603F6B">
            <w:pPr>
              <w:spacing w:line="360" w:lineRule="exact"/>
              <w:jc w:val="both"/>
              <w:rPr>
                <w:rFonts w:hint="eastAsia" w:cs="宋体" w:asciiTheme="minorEastAsia" w:hAnsiTheme="minorEastAsia" w:eastAsiaTheme="minorEastAsia"/>
                <w:highlight w:val="none"/>
              </w:rPr>
            </w:pPr>
            <w:r>
              <w:rPr>
                <w:rFonts w:hint="eastAsia" w:ascii="黑体" w:hAnsi="黑体" w:eastAsia="黑体"/>
                <w:highlight w:val="none"/>
              </w:rPr>
              <w:t>2023年1月1日至投标截止时间(</w:t>
            </w:r>
            <w:r>
              <w:rPr>
                <w:rFonts w:hint="eastAsia" w:asciiTheme="minorEastAsia" w:hAnsiTheme="minorEastAsia" w:eastAsiaTheme="minorEastAsia"/>
                <w:highlight w:val="none"/>
              </w:rPr>
              <w:t>以工程竣工时间为准)</w:t>
            </w:r>
            <w:r>
              <w:rPr>
                <w:rFonts w:hint="eastAsia" w:cs="宋体" w:asciiTheme="minorEastAsia" w:hAnsiTheme="minorEastAsia" w:eastAsiaTheme="minorEastAsia"/>
                <w:highlight w:val="none"/>
              </w:rPr>
              <w:t>。</w:t>
            </w:r>
          </w:p>
        </w:tc>
      </w:tr>
      <w:tr w14:paraId="7CD85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484" w:type="pct"/>
            <w:vAlign w:val="center"/>
          </w:tcPr>
          <w:p w14:paraId="370D8265">
            <w:pPr>
              <w:spacing w:line="360" w:lineRule="exact"/>
              <w:jc w:val="center"/>
              <w:rPr>
                <w:rFonts w:hint="eastAsia" w:cs="宋体" w:asciiTheme="majorEastAsia" w:hAnsiTheme="majorEastAsia" w:eastAsiaTheme="majorEastAsia"/>
                <w:highlight w:val="none"/>
              </w:rPr>
            </w:pPr>
            <w:r>
              <w:rPr>
                <w:rFonts w:hint="eastAsia" w:cs="宋体" w:asciiTheme="majorEastAsia" w:hAnsiTheme="majorEastAsia" w:eastAsiaTheme="majorEastAsia"/>
                <w:highlight w:val="none"/>
              </w:rPr>
              <w:t>3</w:t>
            </w:r>
            <w:r>
              <w:rPr>
                <w:rFonts w:cs="宋体" w:asciiTheme="majorEastAsia" w:hAnsiTheme="majorEastAsia" w:eastAsiaTheme="majorEastAsia"/>
                <w:highlight w:val="none"/>
              </w:rPr>
              <w:t>.5.5</w:t>
            </w:r>
          </w:p>
        </w:tc>
        <w:tc>
          <w:tcPr>
            <w:tcW w:w="1054" w:type="pct"/>
            <w:vAlign w:val="center"/>
          </w:tcPr>
          <w:p w14:paraId="1C50406C">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近年发生的诉讼及仲裁情况的时间要求</w:t>
            </w:r>
          </w:p>
        </w:tc>
        <w:tc>
          <w:tcPr>
            <w:tcW w:w="3462" w:type="pct"/>
            <w:vAlign w:val="center"/>
          </w:tcPr>
          <w:p w14:paraId="4DC44002">
            <w:pPr>
              <w:spacing w:line="360" w:lineRule="exact"/>
              <w:jc w:val="both"/>
              <w:rPr>
                <w:rFonts w:hint="eastAsia" w:cs="宋体" w:asciiTheme="majorEastAsia" w:hAnsiTheme="majorEastAsia" w:eastAsiaTheme="majorEastAsia"/>
                <w:highlight w:val="none"/>
              </w:rPr>
            </w:pPr>
            <w:r>
              <w:rPr>
                <w:rFonts w:hint="eastAsia" w:asciiTheme="minorEastAsia" w:hAnsiTheme="minorEastAsia" w:eastAsiaTheme="minorEastAsia"/>
                <w:highlight w:val="none"/>
              </w:rPr>
              <w:t>2023年1月1日至投标截止时间</w:t>
            </w:r>
          </w:p>
        </w:tc>
      </w:tr>
      <w:tr w14:paraId="2D6DC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484" w:type="pct"/>
            <w:vAlign w:val="center"/>
          </w:tcPr>
          <w:p w14:paraId="13C9E706">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3.6.1</w:t>
            </w:r>
          </w:p>
        </w:tc>
        <w:tc>
          <w:tcPr>
            <w:tcW w:w="1054" w:type="pct"/>
            <w:vAlign w:val="center"/>
          </w:tcPr>
          <w:p w14:paraId="43B09870">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是否允许递交备选</w:t>
            </w:r>
          </w:p>
          <w:p w14:paraId="68D4D08F">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投标方案</w:t>
            </w:r>
          </w:p>
        </w:tc>
        <w:tc>
          <w:tcPr>
            <w:tcW w:w="3462" w:type="pct"/>
            <w:vAlign w:val="center"/>
          </w:tcPr>
          <w:p w14:paraId="4751EFEA">
            <w:pPr>
              <w:spacing w:line="360" w:lineRule="exact"/>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不允许</w:t>
            </w:r>
            <w:r>
              <w:rPr>
                <w:rFonts w:hint="eastAsia" w:cs="宋体" w:asciiTheme="majorEastAsia" w:hAnsiTheme="majorEastAsia" w:eastAsiaTheme="majorEastAsia"/>
                <w:highlight w:val="none"/>
              </w:rPr>
              <w:t xml:space="preserve"> </w:t>
            </w:r>
          </w:p>
        </w:tc>
      </w:tr>
      <w:tr w14:paraId="0630E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484" w:type="pct"/>
            <w:vAlign w:val="center"/>
          </w:tcPr>
          <w:p w14:paraId="24D723D7">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3.7.3</w:t>
            </w:r>
          </w:p>
        </w:tc>
        <w:tc>
          <w:tcPr>
            <w:tcW w:w="1054" w:type="pct"/>
            <w:vAlign w:val="center"/>
          </w:tcPr>
          <w:p w14:paraId="6C86A56D">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签字或盖章</w:t>
            </w:r>
          </w:p>
        </w:tc>
        <w:tc>
          <w:tcPr>
            <w:tcW w:w="3462" w:type="pct"/>
            <w:vAlign w:val="center"/>
          </w:tcPr>
          <w:p w14:paraId="5FA53CC9">
            <w:pPr>
              <w:spacing w:line="340" w:lineRule="exact"/>
              <w:ind w:firstLine="420" w:firstLineChars="200"/>
              <w:rPr>
                <w:rFonts w:hint="eastAsia" w:ascii="宋体" w:hAnsi="宋体" w:eastAsia="宋体"/>
                <w:highlight w:val="none"/>
              </w:rPr>
            </w:pPr>
            <w:r>
              <w:rPr>
                <w:rFonts w:hint="eastAsia" w:ascii="宋体" w:hAnsi="宋体" w:eastAsia="宋体"/>
                <w:highlight w:val="none"/>
              </w:rPr>
              <w:t>除有特殊说明外（如授权委托书、承诺），第六章“投标文件格式”中要求盖单位章和（或）签字的地方，投标人均应使用CA数字证书加盖投标人的单位电子印章和（或）法定代表人的个人电子印章或电子签名章（投标人仅须在投标函上加盖投标人的单位电子印章，或加盖法定代表人的个人电子印章或电子签名章）。</w:t>
            </w:r>
          </w:p>
          <w:p w14:paraId="04853AE4">
            <w:pPr>
              <w:spacing w:line="340" w:lineRule="exact"/>
              <w:ind w:firstLine="420" w:firstLineChars="200"/>
              <w:rPr>
                <w:rFonts w:hint="eastAsia" w:cs="宋体" w:asciiTheme="majorEastAsia" w:hAnsiTheme="majorEastAsia" w:eastAsiaTheme="majorEastAsia"/>
                <w:highlight w:val="none"/>
              </w:rPr>
            </w:pPr>
            <w:r>
              <w:rPr>
                <w:rFonts w:hint="eastAsia" w:ascii="宋体" w:hAnsi="宋体" w:eastAsia="宋体"/>
                <w:highlight w:val="none"/>
              </w:rPr>
              <w:t>第六章 “投标文件格式”中授权委托书及承诺（含投标人自拟格式承诺）要求委托代理人签字的地方，投标人可使用CA数字证书加盖委托代理人的个人电子印章或电子签名章；或者按要求盖单位章和签字的地方，均加盖投标人单位章和由相关人员亲笔签字后，上传原件的彩色扫描件。</w:t>
            </w:r>
          </w:p>
        </w:tc>
      </w:tr>
      <w:tr w14:paraId="53C32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84" w:type="pct"/>
            <w:vAlign w:val="center"/>
          </w:tcPr>
          <w:p w14:paraId="0E9B1C9F">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4 2 3</w:t>
            </w:r>
          </w:p>
        </w:tc>
        <w:tc>
          <w:tcPr>
            <w:tcW w:w="1054" w:type="pct"/>
            <w:vAlign w:val="center"/>
          </w:tcPr>
          <w:p w14:paraId="6FA5A73F">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投标文件是否退还</w:t>
            </w:r>
          </w:p>
        </w:tc>
        <w:tc>
          <w:tcPr>
            <w:tcW w:w="3462" w:type="pct"/>
            <w:vAlign w:val="center"/>
          </w:tcPr>
          <w:p w14:paraId="410E1186">
            <w:pPr>
              <w:spacing w:line="360" w:lineRule="exact"/>
              <w:ind w:left="21" w:leftChars="10"/>
              <w:jc w:val="both"/>
              <w:rPr>
                <w:rFonts w:hint="eastAsia" w:cs="宋体" w:asciiTheme="majorEastAsia" w:hAnsiTheme="majorEastAsia" w:eastAsiaTheme="majorEastAsia"/>
                <w:highlight w:val="none"/>
              </w:rPr>
            </w:pPr>
            <w:r>
              <w:rPr>
                <w:rFonts w:hint="eastAsia" w:cs="宋体" w:asciiTheme="majorEastAsia" w:hAnsiTheme="majorEastAsia" w:eastAsiaTheme="majorEastAsia"/>
                <w:highlight w:val="none"/>
              </w:rPr>
              <w:t>否</w:t>
            </w:r>
          </w:p>
        </w:tc>
      </w:tr>
      <w:tr w14:paraId="31634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484" w:type="pct"/>
            <w:vAlign w:val="center"/>
          </w:tcPr>
          <w:p w14:paraId="000C0318">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5.1</w:t>
            </w:r>
          </w:p>
        </w:tc>
        <w:tc>
          <w:tcPr>
            <w:tcW w:w="1054" w:type="pct"/>
            <w:vAlign w:val="center"/>
          </w:tcPr>
          <w:p w14:paraId="67DF673D">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开标时间和地点</w:t>
            </w:r>
          </w:p>
        </w:tc>
        <w:tc>
          <w:tcPr>
            <w:tcW w:w="3462" w:type="pct"/>
            <w:vAlign w:val="center"/>
          </w:tcPr>
          <w:p w14:paraId="23668BDE">
            <w:pPr>
              <w:spacing w:line="360" w:lineRule="exact"/>
              <w:contextualSpacing/>
              <w:rPr>
                <w:rFonts w:hint="eastAsia" w:ascii="宋体" w:hAnsi="宋体" w:eastAsia="宋体"/>
                <w:highlight w:val="none"/>
              </w:rPr>
            </w:pPr>
            <w:r>
              <w:rPr>
                <w:rFonts w:hint="eastAsia" w:ascii="宋体" w:hAnsi="宋体" w:eastAsia="宋体"/>
                <w:highlight w:val="none"/>
              </w:rPr>
              <w:t>开标时间：</w:t>
            </w:r>
            <w:r>
              <w:rPr>
                <w:rFonts w:hint="eastAsia" w:ascii="黑体" w:hAnsi="黑体" w:eastAsia="黑体"/>
                <w:highlight w:val="none"/>
                <w:u w:val="single"/>
              </w:rPr>
              <w:t>2026年11月12日9时0</w:t>
            </w:r>
            <w:r>
              <w:rPr>
                <w:rFonts w:ascii="黑体" w:hAnsi="黑体" w:eastAsia="黑体"/>
                <w:highlight w:val="none"/>
                <w:u w:val="single"/>
              </w:rPr>
              <w:t>0</w:t>
            </w:r>
            <w:r>
              <w:rPr>
                <w:rFonts w:hint="eastAsia" w:ascii="黑体" w:hAnsi="黑体" w:eastAsia="黑体"/>
                <w:highlight w:val="none"/>
                <w:u w:val="single"/>
              </w:rPr>
              <w:t>分</w:t>
            </w:r>
          </w:p>
          <w:p w14:paraId="0F9DBCDE">
            <w:pPr>
              <w:spacing w:line="360" w:lineRule="exact"/>
              <w:ind w:left="21" w:leftChars="10"/>
              <w:contextualSpacing/>
              <w:jc w:val="both"/>
              <w:rPr>
                <w:rFonts w:hint="eastAsia" w:cs="宋体" w:asciiTheme="majorEastAsia" w:hAnsiTheme="majorEastAsia" w:eastAsiaTheme="majorEastAsia"/>
                <w:highlight w:val="none"/>
              </w:rPr>
            </w:pPr>
            <w:r>
              <w:rPr>
                <w:rFonts w:hint="eastAsia" w:ascii="宋体" w:hAnsi="宋体" w:eastAsia="宋体"/>
                <w:highlight w:val="none"/>
              </w:rPr>
              <w:t>开标地点：</w:t>
            </w:r>
            <w:r>
              <w:rPr>
                <w:rFonts w:hint="eastAsia" w:ascii="宋体" w:hAnsi="宋体" w:eastAsia="宋体"/>
                <w:highlight w:val="none"/>
                <w:u w:val="single"/>
              </w:rPr>
              <w:t>吉林省公共资源交易中心四楼开标区</w:t>
            </w:r>
          </w:p>
        </w:tc>
      </w:tr>
      <w:tr w14:paraId="72227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484" w:type="pct"/>
            <w:vAlign w:val="center"/>
          </w:tcPr>
          <w:p w14:paraId="49DA2A0C">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w w:val="88"/>
                <w:highlight w:val="none"/>
              </w:rPr>
              <w:t>5.2</w:t>
            </w:r>
            <w:r>
              <w:rPr>
                <w:rFonts w:cs="宋体" w:asciiTheme="minorEastAsia" w:hAnsiTheme="minorEastAsia" w:eastAsiaTheme="minorEastAsia"/>
                <w:highlight w:val="none"/>
              </w:rPr>
              <w:t xml:space="preserve"> </w:t>
            </w:r>
            <w:r>
              <w:rPr>
                <w:rFonts w:cs="宋体" w:asciiTheme="minorEastAsia" w:hAnsiTheme="minorEastAsia" w:eastAsiaTheme="minorEastAsia"/>
                <w:w w:val="88"/>
                <w:highlight w:val="none"/>
              </w:rPr>
              <w:t>(</w:t>
            </w:r>
            <w:r>
              <w:rPr>
                <w:rFonts w:hint="eastAsia" w:cs="宋体" w:asciiTheme="minorEastAsia" w:hAnsiTheme="minorEastAsia" w:eastAsiaTheme="minorEastAsia"/>
                <w:w w:val="88"/>
                <w:highlight w:val="none"/>
              </w:rPr>
              <w:t>6</w:t>
            </w:r>
            <w:r>
              <w:rPr>
                <w:rFonts w:cs="宋体" w:asciiTheme="minorEastAsia" w:hAnsiTheme="minorEastAsia" w:eastAsiaTheme="minorEastAsia"/>
                <w:w w:val="88"/>
                <w:highlight w:val="none"/>
              </w:rPr>
              <w:t>)</w:t>
            </w:r>
          </w:p>
        </w:tc>
        <w:tc>
          <w:tcPr>
            <w:tcW w:w="1054" w:type="pct"/>
            <w:vAlign w:val="center"/>
          </w:tcPr>
          <w:p w14:paraId="518BE04B">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开标程序</w:t>
            </w:r>
          </w:p>
        </w:tc>
        <w:tc>
          <w:tcPr>
            <w:tcW w:w="3462" w:type="pct"/>
            <w:vAlign w:val="center"/>
          </w:tcPr>
          <w:p w14:paraId="7E287BCD">
            <w:pPr>
              <w:spacing w:line="360" w:lineRule="exact"/>
              <w:ind w:left="21" w:leftChars="10"/>
              <w:jc w:val="both"/>
              <w:rPr>
                <w:rFonts w:hint="eastAsia" w:cs="宋体" w:asciiTheme="majorEastAsia" w:hAnsiTheme="majorEastAsia" w:eastAsiaTheme="majorEastAsia"/>
                <w:highlight w:val="none"/>
              </w:rPr>
            </w:pPr>
            <w:r>
              <w:rPr>
                <w:rFonts w:hint="eastAsia" w:ascii="宋体" w:hAnsi="宋体" w:eastAsia="宋体"/>
                <w:highlight w:val="none"/>
              </w:rPr>
              <w:t>开标顺序：</w:t>
            </w:r>
            <w:r>
              <w:rPr>
                <w:rFonts w:hint="eastAsia" w:ascii="宋体" w:hAnsi="宋体" w:eastAsia="宋体"/>
                <w:bCs/>
                <w:highlight w:val="none"/>
                <w:lang w:val="zh-CN"/>
              </w:rPr>
              <w:t>按平台系统顺序进行。</w:t>
            </w:r>
          </w:p>
        </w:tc>
      </w:tr>
      <w:tr w14:paraId="18FEF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484" w:type="pct"/>
            <w:vAlign w:val="center"/>
          </w:tcPr>
          <w:p w14:paraId="2E435A56">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6.1.1</w:t>
            </w:r>
          </w:p>
        </w:tc>
        <w:tc>
          <w:tcPr>
            <w:tcW w:w="1054" w:type="pct"/>
            <w:vAlign w:val="center"/>
          </w:tcPr>
          <w:p w14:paraId="68ED5BBF">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评标委员会的组建</w:t>
            </w:r>
          </w:p>
        </w:tc>
        <w:tc>
          <w:tcPr>
            <w:tcW w:w="3462" w:type="pct"/>
            <w:vAlign w:val="center"/>
          </w:tcPr>
          <w:p w14:paraId="74E5ABAA">
            <w:pPr>
              <w:spacing w:line="360" w:lineRule="exact"/>
              <w:ind w:left="21" w:leftChars="10"/>
              <w:rPr>
                <w:rFonts w:hint="eastAsia" w:ascii="宋体" w:hAnsi="宋体" w:eastAsia="宋体"/>
                <w:highlight w:val="none"/>
              </w:rPr>
            </w:pPr>
            <w:r>
              <w:rPr>
                <w:rFonts w:hint="eastAsia" w:ascii="宋体" w:hAnsi="宋体" w:eastAsia="宋体"/>
                <w:highlight w:val="none"/>
              </w:rPr>
              <w:t>评标委员会构成：5人，其中招标人代表0人，专家5人。</w:t>
            </w:r>
          </w:p>
          <w:p w14:paraId="29F78D93">
            <w:pPr>
              <w:spacing w:line="360" w:lineRule="exact"/>
              <w:ind w:left="21" w:leftChars="10"/>
              <w:jc w:val="both"/>
              <w:rPr>
                <w:rFonts w:hint="eastAsia" w:cs="宋体" w:asciiTheme="majorEastAsia" w:hAnsiTheme="majorEastAsia" w:eastAsiaTheme="majorEastAsia"/>
                <w:highlight w:val="none"/>
              </w:rPr>
            </w:pPr>
            <w:r>
              <w:rPr>
                <w:rFonts w:hint="eastAsia" w:ascii="宋体" w:hAnsi="宋体" w:eastAsia="宋体"/>
                <w:highlight w:val="none"/>
              </w:rPr>
              <w:t>评标专家确定方式：依法从相应评标专家库</w:t>
            </w:r>
            <w:r>
              <w:rPr>
                <w:rFonts w:ascii="宋体" w:hAnsi="宋体" w:eastAsia="宋体"/>
                <w:highlight w:val="none"/>
              </w:rPr>
              <w:t>中随机抽取。</w:t>
            </w:r>
          </w:p>
        </w:tc>
      </w:tr>
      <w:tr w14:paraId="03065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484" w:type="pct"/>
            <w:vAlign w:val="center"/>
          </w:tcPr>
          <w:p w14:paraId="08E74484">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6.3.2</w:t>
            </w:r>
          </w:p>
        </w:tc>
        <w:tc>
          <w:tcPr>
            <w:tcW w:w="1054" w:type="pct"/>
            <w:vAlign w:val="center"/>
          </w:tcPr>
          <w:p w14:paraId="2B3C337A">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中标候选人的人数</w:t>
            </w:r>
          </w:p>
        </w:tc>
        <w:tc>
          <w:tcPr>
            <w:tcW w:w="3462" w:type="pct"/>
            <w:vAlign w:val="center"/>
          </w:tcPr>
          <w:p w14:paraId="3F8F99A6">
            <w:pPr>
              <w:spacing w:line="360" w:lineRule="exact"/>
              <w:ind w:left="21" w:leftChars="10"/>
              <w:jc w:val="both"/>
              <w:rPr>
                <w:rFonts w:hint="eastAsia" w:cs="宋体" w:asciiTheme="majorEastAsia" w:hAnsiTheme="majorEastAsia" w:eastAsiaTheme="majorEastAsia"/>
                <w:highlight w:val="none"/>
              </w:rPr>
            </w:pPr>
            <w:r>
              <w:rPr>
                <w:rFonts w:hint="eastAsia" w:ascii="宋体" w:hAnsi="宋体" w:eastAsia="宋体"/>
                <w:highlight w:val="none"/>
              </w:rPr>
              <w:t>推荐</w:t>
            </w:r>
            <w:r>
              <w:rPr>
                <w:rFonts w:hint="eastAsia" w:ascii="宋体" w:hAnsi="宋体" w:eastAsia="宋体"/>
                <w:bCs/>
                <w:highlight w:val="none"/>
              </w:rPr>
              <w:t>中标候选人数：</w:t>
            </w:r>
            <w:r>
              <w:rPr>
                <w:rFonts w:ascii="宋体" w:hAnsi="宋体" w:eastAsia="宋体"/>
                <w:bCs/>
                <w:highlight w:val="none"/>
                <w:u w:val="single"/>
              </w:rPr>
              <w:t>1</w:t>
            </w:r>
            <w:r>
              <w:rPr>
                <w:rFonts w:hint="eastAsia" w:ascii="宋体" w:hAnsi="宋体" w:eastAsia="宋体"/>
                <w:bCs/>
                <w:highlight w:val="none"/>
              </w:rPr>
              <w:t>名</w:t>
            </w:r>
          </w:p>
        </w:tc>
      </w:tr>
      <w:tr w14:paraId="61455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484" w:type="pct"/>
            <w:vAlign w:val="center"/>
          </w:tcPr>
          <w:p w14:paraId="252B03B3">
            <w:pPr>
              <w:spacing w:line="360" w:lineRule="exact"/>
              <w:jc w:val="center"/>
              <w:rPr>
                <w:rFonts w:hint="eastAsia" w:cs="宋体" w:asciiTheme="majorEastAsia" w:hAnsiTheme="majorEastAsia" w:eastAsiaTheme="majorEastAsia"/>
                <w:highlight w:val="none"/>
              </w:rPr>
            </w:pPr>
            <w:r>
              <w:rPr>
                <w:rFonts w:hint="eastAsia" w:ascii="宋体" w:hAnsi="宋体"/>
                <w:bCs/>
                <w:highlight w:val="none"/>
              </w:rPr>
              <w:t>7.1</w:t>
            </w:r>
          </w:p>
        </w:tc>
        <w:tc>
          <w:tcPr>
            <w:tcW w:w="1054" w:type="pct"/>
            <w:vAlign w:val="center"/>
          </w:tcPr>
          <w:p w14:paraId="7E39B76D">
            <w:pPr>
              <w:spacing w:line="360" w:lineRule="exact"/>
              <w:jc w:val="center"/>
              <w:rPr>
                <w:rFonts w:hint="eastAsia" w:cs="宋体" w:asciiTheme="majorEastAsia" w:hAnsiTheme="majorEastAsia" w:eastAsiaTheme="majorEastAsia"/>
                <w:highlight w:val="none"/>
              </w:rPr>
            </w:pPr>
            <w:r>
              <w:rPr>
                <w:rFonts w:hint="eastAsia" w:ascii="宋体" w:hAnsi="宋体"/>
                <w:bCs/>
                <w:highlight w:val="none"/>
              </w:rPr>
              <w:t>中标候选人公示媒介及期限</w:t>
            </w:r>
          </w:p>
        </w:tc>
        <w:tc>
          <w:tcPr>
            <w:tcW w:w="3462" w:type="pct"/>
            <w:vAlign w:val="center"/>
          </w:tcPr>
          <w:p w14:paraId="0D23342A">
            <w:pPr>
              <w:spacing w:line="360" w:lineRule="exact"/>
              <w:ind w:right="113"/>
              <w:rPr>
                <w:rFonts w:ascii="宋体" w:hAnsi="宋体"/>
                <w:bCs/>
                <w:highlight w:val="none"/>
              </w:rPr>
            </w:pPr>
            <w:r>
              <w:rPr>
                <w:rFonts w:hint="eastAsia" w:ascii="宋体" w:hAnsi="宋体"/>
                <w:bCs/>
                <w:highlight w:val="none"/>
              </w:rPr>
              <w:t>公示媒介：中国招标投标公共服务平台、吉林省公共资源交易中心网（同步推送到吉林省公共资源交易公共服务平台）、吉林省交通运输厅网站</w:t>
            </w:r>
            <w:r>
              <w:rPr>
                <w:rFonts w:hint="eastAsia" w:ascii="宋体" w:hAnsi="宋体" w:eastAsia="宋体" w:cs="宋体"/>
                <w:bCs/>
                <w:highlight w:val="none"/>
              </w:rPr>
              <w:t>、长春市交通运输局网站</w:t>
            </w:r>
            <w:r>
              <w:rPr>
                <w:rFonts w:hint="eastAsia" w:ascii="宋体" w:hAnsi="宋体"/>
                <w:bCs/>
                <w:highlight w:val="none"/>
              </w:rPr>
              <w:t>。</w:t>
            </w:r>
          </w:p>
          <w:p w14:paraId="1A94EC1A">
            <w:pPr>
              <w:spacing w:line="360" w:lineRule="exact"/>
              <w:ind w:right="113"/>
              <w:rPr>
                <w:rFonts w:ascii="宋体" w:hAnsi="宋体"/>
                <w:bCs/>
                <w:highlight w:val="none"/>
              </w:rPr>
            </w:pPr>
            <w:r>
              <w:rPr>
                <w:rFonts w:hint="eastAsia" w:ascii="宋体" w:hAnsi="宋体"/>
                <w:bCs/>
                <w:highlight w:val="none"/>
              </w:rPr>
              <w:t>公示期限：不少于3日</w:t>
            </w:r>
          </w:p>
          <w:p w14:paraId="11360AB4">
            <w:pPr>
              <w:spacing w:line="360" w:lineRule="exact"/>
              <w:ind w:left="21" w:leftChars="10"/>
              <w:jc w:val="both"/>
              <w:rPr>
                <w:rFonts w:hint="eastAsia" w:cs="宋体" w:asciiTheme="majorEastAsia" w:hAnsiTheme="majorEastAsia" w:eastAsiaTheme="majorEastAsia"/>
                <w:highlight w:val="none"/>
              </w:rPr>
            </w:pPr>
            <w:r>
              <w:rPr>
                <w:rFonts w:hint="eastAsia" w:ascii="宋体" w:hAnsi="宋体"/>
                <w:bCs/>
                <w:highlight w:val="none"/>
              </w:rPr>
              <w:t>公示的其他内容：《投标文件关键内容摘录表》中的其他内容</w:t>
            </w:r>
          </w:p>
        </w:tc>
      </w:tr>
      <w:tr w14:paraId="3A746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7" w:hRule="atLeast"/>
        </w:trPr>
        <w:tc>
          <w:tcPr>
            <w:tcW w:w="484" w:type="pct"/>
            <w:vAlign w:val="center"/>
          </w:tcPr>
          <w:p w14:paraId="3C8A79D4">
            <w:pPr>
              <w:spacing w:line="360" w:lineRule="exact"/>
              <w:jc w:val="center"/>
              <w:rPr>
                <w:rFonts w:hint="eastAsia" w:cs="宋体" w:asciiTheme="majorEastAsia" w:hAnsiTheme="majorEastAsia" w:eastAsiaTheme="majorEastAsia"/>
                <w:highlight w:val="none"/>
              </w:rPr>
            </w:pPr>
            <w:r>
              <w:rPr>
                <w:rFonts w:hint="eastAsia" w:ascii="宋体" w:hAnsi="宋体"/>
                <w:bCs/>
                <w:highlight w:val="none"/>
              </w:rPr>
              <w:t>7.4</w:t>
            </w:r>
          </w:p>
        </w:tc>
        <w:tc>
          <w:tcPr>
            <w:tcW w:w="1054" w:type="pct"/>
            <w:vAlign w:val="center"/>
          </w:tcPr>
          <w:p w14:paraId="22C002EF">
            <w:pPr>
              <w:spacing w:line="360" w:lineRule="exact"/>
              <w:jc w:val="center"/>
              <w:rPr>
                <w:rFonts w:hint="eastAsia" w:cs="宋体" w:asciiTheme="majorEastAsia" w:hAnsiTheme="majorEastAsia" w:eastAsiaTheme="majorEastAsia"/>
                <w:highlight w:val="none"/>
              </w:rPr>
            </w:pPr>
            <w:r>
              <w:rPr>
                <w:rFonts w:hint="eastAsia" w:ascii="宋体" w:hAnsi="宋体"/>
                <w:bCs/>
                <w:highlight w:val="none"/>
              </w:rPr>
              <w:t>是否授权评标委员会确定中标人</w:t>
            </w:r>
          </w:p>
        </w:tc>
        <w:tc>
          <w:tcPr>
            <w:tcW w:w="3462" w:type="pct"/>
            <w:vAlign w:val="center"/>
          </w:tcPr>
          <w:p w14:paraId="3B3D51B5">
            <w:pPr>
              <w:spacing w:line="360" w:lineRule="exact"/>
              <w:ind w:left="21" w:leftChars="10"/>
              <w:jc w:val="both"/>
              <w:rPr>
                <w:rFonts w:hint="eastAsia" w:cs="宋体" w:asciiTheme="majorEastAsia" w:hAnsiTheme="majorEastAsia" w:eastAsiaTheme="majorEastAsia"/>
                <w:highlight w:val="none"/>
              </w:rPr>
            </w:pPr>
            <w:r>
              <w:rPr>
                <w:rFonts w:hint="eastAsia" w:ascii="宋体" w:hAnsi="宋体" w:eastAsia="宋体" w:cs="宋体"/>
                <w:bCs/>
                <w:highlight w:val="none"/>
              </w:rPr>
              <w:t>否</w:t>
            </w:r>
          </w:p>
        </w:tc>
      </w:tr>
      <w:tr w14:paraId="5B83E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7" w:hRule="atLeast"/>
        </w:trPr>
        <w:tc>
          <w:tcPr>
            <w:tcW w:w="484" w:type="pct"/>
            <w:vAlign w:val="center"/>
          </w:tcPr>
          <w:p w14:paraId="7F775EDD">
            <w:pPr>
              <w:spacing w:line="360" w:lineRule="exact"/>
              <w:jc w:val="center"/>
              <w:rPr>
                <w:rFonts w:hint="eastAsia" w:cs="宋体" w:asciiTheme="majorEastAsia" w:hAnsiTheme="majorEastAsia" w:eastAsiaTheme="majorEastAsia"/>
                <w:highlight w:val="none"/>
              </w:rPr>
            </w:pPr>
            <w:r>
              <w:rPr>
                <w:rFonts w:hint="eastAsia" w:ascii="宋体" w:hAnsi="宋体"/>
                <w:bCs/>
                <w:highlight w:val="none"/>
              </w:rPr>
              <w:t>7.5</w:t>
            </w:r>
          </w:p>
        </w:tc>
        <w:tc>
          <w:tcPr>
            <w:tcW w:w="1054" w:type="pct"/>
            <w:vAlign w:val="center"/>
          </w:tcPr>
          <w:p w14:paraId="217F4C18">
            <w:pPr>
              <w:spacing w:line="360" w:lineRule="exact"/>
              <w:jc w:val="center"/>
              <w:rPr>
                <w:rFonts w:hint="eastAsia" w:cs="宋体" w:asciiTheme="majorEastAsia" w:hAnsiTheme="majorEastAsia" w:eastAsiaTheme="majorEastAsia"/>
                <w:highlight w:val="none"/>
              </w:rPr>
            </w:pPr>
            <w:r>
              <w:rPr>
                <w:rFonts w:hint="eastAsia" w:ascii="宋体" w:hAnsi="宋体"/>
                <w:bCs/>
                <w:highlight w:val="none"/>
              </w:rPr>
              <w:t>中标通知书和中标结果通知发出的形式</w:t>
            </w:r>
          </w:p>
        </w:tc>
        <w:tc>
          <w:tcPr>
            <w:tcW w:w="3462" w:type="pct"/>
            <w:vAlign w:val="center"/>
          </w:tcPr>
          <w:p w14:paraId="2B970412">
            <w:pPr>
              <w:spacing w:line="360" w:lineRule="exact"/>
              <w:ind w:left="21" w:leftChars="10"/>
              <w:jc w:val="both"/>
              <w:rPr>
                <w:rFonts w:hint="eastAsia" w:cs="宋体" w:asciiTheme="majorEastAsia" w:hAnsiTheme="majorEastAsia" w:eastAsiaTheme="majorEastAsia"/>
                <w:highlight w:val="none"/>
              </w:rPr>
            </w:pPr>
            <w:r>
              <w:rPr>
                <w:rFonts w:hint="eastAsia" w:ascii="宋体" w:hAnsi="宋体"/>
                <w:bCs/>
                <w:highlight w:val="none"/>
              </w:rPr>
              <w:t>招标人以书面形式向中标人发出中标通知书，同时将中标结果公告发布到本章7.6款所列媒介的形式通知未中标的投标人。</w:t>
            </w:r>
          </w:p>
        </w:tc>
      </w:tr>
      <w:tr w14:paraId="432AD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484" w:type="pct"/>
            <w:vAlign w:val="center"/>
          </w:tcPr>
          <w:p w14:paraId="6E5DA575">
            <w:pPr>
              <w:spacing w:line="360" w:lineRule="exact"/>
              <w:jc w:val="center"/>
              <w:rPr>
                <w:rFonts w:hint="eastAsia" w:cs="宋体" w:asciiTheme="majorEastAsia" w:hAnsiTheme="majorEastAsia" w:eastAsiaTheme="majorEastAsia"/>
                <w:highlight w:val="none"/>
              </w:rPr>
            </w:pPr>
            <w:r>
              <w:rPr>
                <w:rFonts w:hint="eastAsia" w:ascii="宋体" w:hAnsi="宋体"/>
                <w:bCs/>
                <w:highlight w:val="none"/>
              </w:rPr>
              <w:t>7.6</w:t>
            </w:r>
          </w:p>
        </w:tc>
        <w:tc>
          <w:tcPr>
            <w:tcW w:w="1054" w:type="pct"/>
            <w:vAlign w:val="center"/>
          </w:tcPr>
          <w:p w14:paraId="19A16002">
            <w:pPr>
              <w:spacing w:line="360" w:lineRule="exact"/>
              <w:jc w:val="center"/>
              <w:rPr>
                <w:rFonts w:hint="eastAsia" w:cs="宋体" w:asciiTheme="majorEastAsia" w:hAnsiTheme="majorEastAsia" w:eastAsiaTheme="majorEastAsia"/>
                <w:highlight w:val="none"/>
              </w:rPr>
            </w:pPr>
            <w:r>
              <w:rPr>
                <w:rFonts w:hint="eastAsia" w:ascii="宋体" w:hAnsi="宋体"/>
                <w:bCs/>
                <w:highlight w:val="none"/>
              </w:rPr>
              <w:t>中标结果公告媒介及期限</w:t>
            </w:r>
          </w:p>
        </w:tc>
        <w:tc>
          <w:tcPr>
            <w:tcW w:w="3462" w:type="pct"/>
            <w:vAlign w:val="center"/>
          </w:tcPr>
          <w:p w14:paraId="7BC4509B">
            <w:pPr>
              <w:spacing w:line="360" w:lineRule="exact"/>
              <w:ind w:right="113"/>
              <w:rPr>
                <w:rFonts w:hint="eastAsia" w:ascii="宋体" w:hAnsi="宋体" w:eastAsiaTheme="minorEastAsia"/>
                <w:bCs/>
                <w:highlight w:val="none"/>
              </w:rPr>
            </w:pPr>
            <w:r>
              <w:rPr>
                <w:rFonts w:hint="eastAsia" w:ascii="宋体" w:hAnsi="宋体"/>
                <w:bCs/>
                <w:highlight w:val="none"/>
              </w:rPr>
              <w:t>公告媒介：中国招标投标公共服务平台、吉林省公共资源交易中心网（同步推送到吉林省公共资源交易公共服务平台）、吉林省交通运输厅网站</w:t>
            </w:r>
            <w:r>
              <w:rPr>
                <w:rFonts w:hint="eastAsia" w:ascii="宋体" w:hAnsi="宋体" w:eastAsia="宋体" w:cs="宋体"/>
                <w:bCs/>
                <w:highlight w:val="none"/>
              </w:rPr>
              <w:t>、长春市交通运输局网站</w:t>
            </w:r>
            <w:r>
              <w:rPr>
                <w:rFonts w:hint="eastAsia" w:ascii="宋体" w:hAnsi="宋体"/>
                <w:bCs/>
                <w:highlight w:val="none"/>
              </w:rPr>
              <w:t>。</w:t>
            </w:r>
          </w:p>
          <w:p w14:paraId="5EECF2C8">
            <w:pPr>
              <w:spacing w:line="360" w:lineRule="exact"/>
              <w:ind w:left="21" w:leftChars="10"/>
              <w:jc w:val="both"/>
              <w:rPr>
                <w:rFonts w:hint="eastAsia" w:cs="宋体" w:asciiTheme="majorEastAsia" w:hAnsiTheme="majorEastAsia" w:eastAsiaTheme="majorEastAsia"/>
                <w:highlight w:val="none"/>
              </w:rPr>
            </w:pPr>
            <w:r>
              <w:rPr>
                <w:rFonts w:hint="eastAsia" w:ascii="宋体" w:hAnsi="宋体"/>
                <w:bCs/>
                <w:highlight w:val="none"/>
              </w:rPr>
              <w:t>公告期限：不少于3日</w:t>
            </w:r>
          </w:p>
        </w:tc>
      </w:tr>
      <w:tr w14:paraId="0330D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484" w:type="pct"/>
            <w:vAlign w:val="center"/>
          </w:tcPr>
          <w:p w14:paraId="1D997204">
            <w:pPr>
              <w:spacing w:line="360" w:lineRule="exact"/>
              <w:jc w:val="center"/>
              <w:rPr>
                <w:rFonts w:hint="eastAsia" w:cs="宋体" w:asciiTheme="majorEastAsia" w:hAnsiTheme="majorEastAsia" w:eastAsiaTheme="majorEastAsia"/>
                <w:highlight w:val="none"/>
              </w:rPr>
            </w:pPr>
            <w:r>
              <w:rPr>
                <w:rFonts w:hint="eastAsia" w:ascii="宋体" w:hAnsi="宋体"/>
                <w:bCs/>
                <w:highlight w:val="none"/>
              </w:rPr>
              <w:t>7.7.1</w:t>
            </w:r>
          </w:p>
        </w:tc>
        <w:tc>
          <w:tcPr>
            <w:tcW w:w="1054" w:type="pct"/>
            <w:vAlign w:val="center"/>
          </w:tcPr>
          <w:p w14:paraId="22B7BF9F">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履约保证金</w:t>
            </w:r>
          </w:p>
        </w:tc>
        <w:tc>
          <w:tcPr>
            <w:tcW w:w="3462" w:type="pct"/>
          </w:tcPr>
          <w:p w14:paraId="219D626D">
            <w:pPr>
              <w:spacing w:line="340" w:lineRule="exact"/>
              <w:rPr>
                <w:rFonts w:hint="eastAsia" w:ascii="宋体" w:hAnsi="宋体" w:eastAsia="宋体"/>
                <w:highlight w:val="none"/>
              </w:rPr>
            </w:pPr>
            <w:r>
              <w:rPr>
                <w:rFonts w:hint="eastAsia" w:ascii="宋体" w:hAnsi="宋体" w:eastAsia="宋体"/>
                <w:highlight w:val="none"/>
              </w:rPr>
              <w:t>履约保证金的形式：现金、支票、银行保函、担保机构保函或招标人认可的其他形式。</w:t>
            </w:r>
          </w:p>
          <w:p w14:paraId="2DD5B056">
            <w:pPr>
              <w:spacing w:line="360" w:lineRule="exact"/>
              <w:ind w:right="113"/>
              <w:rPr>
                <w:rFonts w:hint="eastAsia" w:ascii="黑体" w:hAnsi="黑体" w:eastAsia="黑体"/>
                <w:highlight w:val="none"/>
                <w:u w:val="single"/>
              </w:rPr>
            </w:pPr>
            <w:r>
              <w:rPr>
                <w:rFonts w:hint="eastAsia" w:ascii="宋体" w:hAnsi="宋体" w:eastAsia="宋体"/>
                <w:highlight w:val="none"/>
              </w:rPr>
              <w:t>履约保证金的金额：</w:t>
            </w:r>
            <w:r>
              <w:rPr>
                <w:rFonts w:hint="eastAsia" w:ascii="黑体" w:hAnsi="黑体" w:eastAsia="黑体"/>
                <w:highlight w:val="none"/>
              </w:rPr>
              <w:t>5％签约合同价</w:t>
            </w:r>
          </w:p>
          <w:p w14:paraId="4EBEA79B">
            <w:pPr>
              <w:spacing w:line="360" w:lineRule="exact"/>
              <w:ind w:left="21" w:leftChars="10"/>
              <w:rPr>
                <w:rFonts w:hint="eastAsia" w:cs="宋体" w:asciiTheme="majorEastAsia" w:hAnsiTheme="majorEastAsia" w:eastAsiaTheme="majorEastAsia"/>
                <w:highlight w:val="none"/>
              </w:rPr>
            </w:pPr>
            <w:r>
              <w:rPr>
                <w:rFonts w:hint="eastAsia" w:ascii="宋体" w:hAnsi="宋体" w:eastAsia="宋体"/>
                <w:highlight w:val="none"/>
              </w:rPr>
              <w:t>注：采用现金或支票形式时，应由中标人的基本账户转入发包人指定账户</w:t>
            </w:r>
          </w:p>
        </w:tc>
      </w:tr>
      <w:tr w14:paraId="5D094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484" w:type="pct"/>
            <w:vAlign w:val="center"/>
          </w:tcPr>
          <w:p w14:paraId="032FC34E">
            <w:pPr>
              <w:spacing w:line="360" w:lineRule="exact"/>
              <w:jc w:val="center"/>
              <w:rPr>
                <w:rFonts w:ascii="宋体" w:hAnsi="宋体"/>
                <w:highlight w:val="none"/>
              </w:rPr>
            </w:pPr>
            <w:r>
              <w:rPr>
                <w:rFonts w:hint="eastAsia" w:ascii="宋体" w:hAnsi="宋体"/>
                <w:highlight w:val="none"/>
              </w:rPr>
              <w:t>8.5.1</w:t>
            </w:r>
          </w:p>
        </w:tc>
        <w:tc>
          <w:tcPr>
            <w:tcW w:w="1054" w:type="pct"/>
            <w:vAlign w:val="center"/>
          </w:tcPr>
          <w:p w14:paraId="5A6431F9">
            <w:pPr>
              <w:spacing w:line="360" w:lineRule="exact"/>
              <w:jc w:val="center"/>
              <w:rPr>
                <w:rFonts w:ascii="宋体" w:hAnsi="宋体"/>
                <w:highlight w:val="none"/>
              </w:rPr>
            </w:pPr>
            <w:r>
              <w:rPr>
                <w:rFonts w:hint="eastAsia" w:ascii="宋体" w:hAnsi="宋体"/>
                <w:highlight w:val="none"/>
              </w:rPr>
              <w:t>监督部门</w:t>
            </w:r>
          </w:p>
        </w:tc>
        <w:tc>
          <w:tcPr>
            <w:tcW w:w="3462" w:type="pct"/>
            <w:vAlign w:val="center"/>
          </w:tcPr>
          <w:p w14:paraId="50DDF57E">
            <w:pPr>
              <w:spacing w:line="360" w:lineRule="exact"/>
              <w:rPr>
                <w:rFonts w:hint="eastAsia" w:ascii="黑体" w:hAnsi="黑体" w:eastAsia="黑体"/>
                <w:highlight w:val="none"/>
              </w:rPr>
            </w:pPr>
            <w:r>
              <w:rPr>
                <w:rFonts w:ascii="宋体" w:hAnsi="宋体"/>
                <w:highlight w:val="none"/>
              </w:rPr>
              <w:t>监督部门：</w:t>
            </w:r>
            <w:r>
              <w:rPr>
                <w:rFonts w:hint="eastAsia" w:ascii="黑体" w:hAnsi="黑体" w:eastAsia="黑体"/>
                <w:highlight w:val="none"/>
              </w:rPr>
              <w:t>长春市交通运输局</w:t>
            </w:r>
          </w:p>
          <w:p w14:paraId="6E1FC560">
            <w:pPr>
              <w:spacing w:line="360" w:lineRule="exact"/>
              <w:rPr>
                <w:rFonts w:ascii="宋体" w:hAnsi="宋体"/>
                <w:highlight w:val="none"/>
              </w:rPr>
            </w:pPr>
            <w:r>
              <w:rPr>
                <w:rFonts w:hint="eastAsia" w:ascii="宋体" w:hAnsi="宋体"/>
                <w:highlight w:val="none"/>
              </w:rPr>
              <w:t>地　　址：长春市民康路555号</w:t>
            </w:r>
          </w:p>
          <w:p w14:paraId="53E3F593">
            <w:pPr>
              <w:spacing w:line="360" w:lineRule="exact"/>
              <w:rPr>
                <w:rFonts w:ascii="宋体" w:hAnsi="宋体"/>
                <w:highlight w:val="none"/>
              </w:rPr>
            </w:pPr>
            <w:r>
              <w:rPr>
                <w:rFonts w:hint="eastAsia" w:ascii="宋体" w:hAnsi="宋体"/>
                <w:highlight w:val="none"/>
              </w:rPr>
              <w:t>电    话：0431- 88973671</w:t>
            </w:r>
          </w:p>
          <w:p w14:paraId="6B50F26C">
            <w:pPr>
              <w:spacing w:line="360" w:lineRule="exact"/>
              <w:rPr>
                <w:rFonts w:ascii="宋体" w:hAnsi="宋体"/>
                <w:highlight w:val="none"/>
              </w:rPr>
            </w:pPr>
            <w:r>
              <w:rPr>
                <w:rFonts w:hint="eastAsia" w:ascii="宋体" w:hAnsi="宋体"/>
                <w:highlight w:val="none"/>
              </w:rPr>
              <w:t>传    真：0431- 88973671</w:t>
            </w:r>
          </w:p>
          <w:p w14:paraId="1B711A43">
            <w:pPr>
              <w:spacing w:line="360" w:lineRule="exact"/>
              <w:rPr>
                <w:rFonts w:ascii="宋体" w:hAnsi="宋体"/>
                <w:highlight w:val="none"/>
              </w:rPr>
            </w:pPr>
            <w:r>
              <w:rPr>
                <w:rFonts w:hint="eastAsia" w:ascii="宋体" w:hAnsi="宋体"/>
                <w:highlight w:val="none"/>
              </w:rPr>
              <w:t>邮政编码：1300</w:t>
            </w:r>
            <w:r>
              <w:rPr>
                <w:rFonts w:ascii="宋体" w:hAnsi="宋体"/>
                <w:highlight w:val="none"/>
              </w:rPr>
              <w:t>00</w:t>
            </w:r>
          </w:p>
        </w:tc>
      </w:tr>
      <w:tr w14:paraId="106A4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484" w:type="pct"/>
            <w:vAlign w:val="center"/>
          </w:tcPr>
          <w:p w14:paraId="4905825A">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9</w:t>
            </w:r>
          </w:p>
        </w:tc>
        <w:tc>
          <w:tcPr>
            <w:tcW w:w="1054" w:type="pct"/>
            <w:vAlign w:val="center"/>
          </w:tcPr>
          <w:p w14:paraId="736680CC">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是否采用电子招标</w:t>
            </w:r>
          </w:p>
          <w:p w14:paraId="3E68049A">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w:t>
            </w:r>
          </w:p>
        </w:tc>
        <w:tc>
          <w:tcPr>
            <w:tcW w:w="3462" w:type="pct"/>
            <w:vAlign w:val="center"/>
          </w:tcPr>
          <w:p w14:paraId="37855067">
            <w:pPr>
              <w:spacing w:line="360" w:lineRule="exact"/>
              <w:ind w:left="21" w:leftChars="10"/>
              <w:jc w:val="both"/>
              <w:rPr>
                <w:rFonts w:hint="eastAsia" w:cs="宋体" w:asciiTheme="majorEastAsia" w:hAnsiTheme="majorEastAsia" w:eastAsiaTheme="majorEastAsia"/>
                <w:highlight w:val="none"/>
              </w:rPr>
            </w:pPr>
            <w:r>
              <w:rPr>
                <w:rFonts w:hint="eastAsia" w:cs="宋体" w:asciiTheme="majorEastAsia" w:hAnsiTheme="majorEastAsia" w:eastAsiaTheme="majorEastAsia"/>
                <w:highlight w:val="none"/>
              </w:rPr>
              <w:t>是</w:t>
            </w:r>
          </w:p>
        </w:tc>
      </w:tr>
      <w:tr w14:paraId="126DD5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484" w:type="pct"/>
            <w:vAlign w:val="center"/>
          </w:tcPr>
          <w:p w14:paraId="58E6C20E">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10</w:t>
            </w:r>
          </w:p>
        </w:tc>
        <w:tc>
          <w:tcPr>
            <w:tcW w:w="4516" w:type="pct"/>
            <w:gridSpan w:val="2"/>
            <w:vAlign w:val="center"/>
          </w:tcPr>
          <w:p w14:paraId="27AF7D7C">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需要补充的其他内容</w:t>
            </w:r>
          </w:p>
        </w:tc>
      </w:tr>
      <w:tr w14:paraId="62157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4" w:hRule="atLeast"/>
        </w:trPr>
        <w:tc>
          <w:tcPr>
            <w:tcW w:w="5000" w:type="pct"/>
            <w:gridSpan w:val="3"/>
            <w:vAlign w:val="center"/>
          </w:tcPr>
          <w:p w14:paraId="1A931E0F">
            <w:pPr>
              <w:spacing w:line="360" w:lineRule="exact"/>
              <w:ind w:firstLine="420"/>
              <w:rPr>
                <w:rFonts w:hint="eastAsia" w:ascii="黑体" w:hAnsi="黑体" w:eastAsia="黑体"/>
                <w:highlight w:val="none"/>
              </w:rPr>
            </w:pPr>
            <w:bookmarkStart w:id="22" w:name="OLE_LINK112"/>
            <w:r>
              <w:rPr>
                <w:rFonts w:hint="eastAsia" w:ascii="黑体" w:hAnsi="黑体" w:eastAsia="黑体"/>
                <w:highlight w:val="none"/>
              </w:rPr>
              <w:t>10.</w:t>
            </w:r>
            <w:bookmarkStart w:id="23" w:name="OLE_LINK84"/>
            <w:r>
              <w:rPr>
                <w:rFonts w:hint="eastAsia" w:ascii="黑体" w:hAnsi="黑体" w:eastAsia="黑体"/>
                <w:highlight w:val="none"/>
              </w:rPr>
              <w:t>1 “双盲”评审：</w:t>
            </w:r>
            <w:r>
              <w:rPr>
                <w:rFonts w:ascii="黑体" w:hAnsi="黑体" w:eastAsia="黑体"/>
                <w:highlight w:val="none"/>
              </w:rPr>
              <w:t>本项目采用“双盲”评审</w:t>
            </w:r>
            <w:r>
              <w:rPr>
                <w:rFonts w:ascii="宋体" w:hAnsi="宋体" w:eastAsia="宋体"/>
                <w:highlight w:val="none"/>
              </w:rPr>
              <w:t>，即评标专家“盲抽”和“盲评”，</w:t>
            </w:r>
            <w:r>
              <w:rPr>
                <w:rFonts w:ascii="黑体" w:hAnsi="黑体" w:eastAsia="黑体"/>
                <w:highlight w:val="none"/>
              </w:rPr>
              <w:t>投标文件的</w:t>
            </w:r>
            <w:r>
              <w:rPr>
                <w:rFonts w:hint="eastAsia" w:ascii="黑体" w:hAnsi="黑体" w:eastAsia="黑体"/>
                <w:highlight w:val="none"/>
              </w:rPr>
              <w:t>监理大纲</w:t>
            </w:r>
            <w:r>
              <w:rPr>
                <w:rFonts w:ascii="黑体" w:hAnsi="黑体" w:eastAsia="黑体"/>
                <w:highlight w:val="none"/>
              </w:rPr>
              <w:t>采用“暗标”形式</w:t>
            </w:r>
            <w:r>
              <w:rPr>
                <w:rFonts w:ascii="宋体" w:hAnsi="宋体" w:eastAsia="宋体"/>
                <w:highlight w:val="none"/>
              </w:rPr>
              <w:t>，投标人应严格按照</w:t>
            </w:r>
            <w:r>
              <w:rPr>
                <w:rFonts w:hint="eastAsia" w:ascii="宋体" w:hAnsi="宋体" w:eastAsia="宋体"/>
                <w:highlight w:val="none"/>
              </w:rPr>
              <w:t>“</w:t>
            </w:r>
            <w:r>
              <w:rPr>
                <w:rFonts w:ascii="宋体" w:hAnsi="宋体" w:eastAsia="宋体"/>
                <w:highlight w:val="none"/>
              </w:rPr>
              <w:t>第六章投标文件格式”中的要求编制</w:t>
            </w:r>
            <w:r>
              <w:rPr>
                <w:rFonts w:hint="eastAsia" w:ascii="宋体" w:hAnsi="宋体" w:eastAsia="宋体"/>
                <w:highlight w:val="none"/>
              </w:rPr>
              <w:t>监理大纲</w:t>
            </w:r>
            <w:r>
              <w:rPr>
                <w:rFonts w:ascii="宋体" w:hAnsi="宋体" w:eastAsia="宋体"/>
                <w:highlight w:val="none"/>
              </w:rPr>
              <w:t>。</w:t>
            </w:r>
            <w:r>
              <w:rPr>
                <w:rFonts w:ascii="黑体" w:hAnsi="黑体" w:eastAsia="黑体"/>
                <w:highlight w:val="none"/>
              </w:rPr>
              <w:t>如果投标人的</w:t>
            </w:r>
            <w:r>
              <w:rPr>
                <w:rFonts w:hint="eastAsia" w:ascii="黑体" w:hAnsi="黑体" w:eastAsia="黑体"/>
                <w:highlight w:val="none"/>
              </w:rPr>
              <w:t>监理大纲</w:t>
            </w:r>
            <w:r>
              <w:rPr>
                <w:rFonts w:ascii="黑体" w:hAnsi="黑体" w:eastAsia="黑体"/>
                <w:highlight w:val="none"/>
              </w:rPr>
              <w:t>没有按照招标文件规定的格式、内容编制，且经评标委员会认定会暴露投标人身份的，评标委员会应一致将其</w:t>
            </w:r>
            <w:r>
              <w:rPr>
                <w:rFonts w:hint="eastAsia" w:ascii="黑体" w:hAnsi="黑体" w:eastAsia="黑体"/>
                <w:highlight w:val="none"/>
              </w:rPr>
              <w:t>监理大纲</w:t>
            </w:r>
            <w:r>
              <w:rPr>
                <w:rFonts w:ascii="黑体" w:hAnsi="黑体" w:eastAsia="黑体"/>
                <w:highlight w:val="none"/>
              </w:rPr>
              <w:t>评为 0 分</w:t>
            </w:r>
            <w:r>
              <w:rPr>
                <w:rFonts w:hint="eastAsia" w:ascii="黑体" w:hAnsi="黑体" w:eastAsia="黑体"/>
                <w:highlight w:val="none"/>
              </w:rPr>
              <w:t>。</w:t>
            </w:r>
          </w:p>
          <w:bookmarkEnd w:id="22"/>
          <w:p w14:paraId="56C0E96E">
            <w:pPr>
              <w:shd w:val="clear" w:color="auto" w:fill="FFFFFF"/>
              <w:spacing w:before="240" w:beforeLines="100" w:line="360" w:lineRule="exact"/>
              <w:ind w:firstLine="420"/>
              <w:rPr>
                <w:rFonts w:hint="eastAsia" w:ascii="宋体" w:hAnsi="宋体" w:eastAsia="宋体" w:cs="宋体"/>
                <w:color w:val="363D45"/>
                <w:highlight w:val="none"/>
              </w:rPr>
            </w:pPr>
            <w:r>
              <w:rPr>
                <w:rFonts w:hint="eastAsia" w:ascii="黑体" w:hAnsi="黑体" w:eastAsia="黑体" w:cs="宋体"/>
                <w:highlight w:val="none"/>
              </w:rPr>
              <w:t>10.2一体化平台：</w:t>
            </w:r>
            <w:bookmarkStart w:id="24" w:name="OLE_LINK85"/>
            <w:r>
              <w:rPr>
                <w:rFonts w:hint="eastAsia" w:ascii="宋体" w:hAnsi="宋体" w:eastAsia="宋体" w:cs="宋体"/>
                <w:color w:val="363D45"/>
                <w:highlight w:val="none"/>
              </w:rPr>
              <w:fldChar w:fldCharType="begin"/>
            </w:r>
            <w:r>
              <w:rPr>
                <w:rFonts w:hint="eastAsia" w:ascii="宋体" w:hAnsi="宋体" w:eastAsia="宋体" w:cs="宋体"/>
                <w:color w:val="363D45"/>
                <w:highlight w:val="none"/>
              </w:rPr>
              <w:instrText xml:space="preserve"> = 1 \* GB3 </w:instrText>
            </w:r>
            <w:r>
              <w:rPr>
                <w:rFonts w:hint="eastAsia" w:ascii="宋体" w:hAnsi="宋体" w:eastAsia="宋体" w:cs="宋体"/>
                <w:color w:val="363D45"/>
                <w:highlight w:val="none"/>
              </w:rPr>
              <w:fldChar w:fldCharType="separate"/>
            </w:r>
            <w:r>
              <w:rPr>
                <w:rFonts w:hint="eastAsia" w:ascii="宋体" w:hAnsi="宋体" w:eastAsia="宋体" w:cs="宋体"/>
                <w:color w:val="363D45"/>
                <w:highlight w:val="none"/>
              </w:rPr>
              <w:t>①</w:t>
            </w:r>
            <w:r>
              <w:rPr>
                <w:rFonts w:hint="eastAsia" w:ascii="宋体" w:hAnsi="宋体" w:eastAsia="宋体" w:cs="宋体"/>
                <w:color w:val="363D45"/>
                <w:highlight w:val="none"/>
              </w:rPr>
              <w:fldChar w:fldCharType="end"/>
            </w:r>
            <w:bookmarkEnd w:id="24"/>
            <w:r>
              <w:rPr>
                <w:rFonts w:hint="eastAsia" w:ascii="宋体" w:hAnsi="宋体" w:eastAsia="宋体" w:cs="宋体"/>
                <w:color w:val="363D45"/>
                <w:highlight w:val="none"/>
              </w:rPr>
              <w:t>本次招投标使用公共资源交易一体化平台系统，具体要求详见《关于做好全省公共资源交易一体化平台全面运行工作的通知》（吉政数联〔2022〕5号）文件。</w:t>
            </w:r>
          </w:p>
          <w:p w14:paraId="729538E9">
            <w:pPr>
              <w:shd w:val="clear" w:color="auto" w:fill="FFFFFF"/>
              <w:spacing w:line="360" w:lineRule="exact"/>
              <w:ind w:firstLine="420"/>
              <w:rPr>
                <w:rFonts w:hint="eastAsia" w:ascii="宋体" w:hAnsi="宋体" w:eastAsia="宋体" w:cs="宋体"/>
                <w:color w:val="363D45"/>
                <w:highlight w:val="none"/>
              </w:rPr>
            </w:pPr>
            <w:bookmarkStart w:id="25" w:name="OLE_LINK87"/>
            <w:r>
              <w:rPr>
                <w:rFonts w:hint="eastAsia" w:ascii="宋体" w:hAnsi="宋体" w:eastAsia="宋体" w:cs="宋体"/>
                <w:color w:val="363D45"/>
                <w:highlight w:val="none"/>
              </w:rPr>
              <w:fldChar w:fldCharType="begin"/>
            </w:r>
            <w:r>
              <w:rPr>
                <w:rFonts w:hint="eastAsia" w:ascii="宋体" w:hAnsi="宋体" w:eastAsia="宋体" w:cs="宋体"/>
                <w:color w:val="363D45"/>
                <w:highlight w:val="none"/>
              </w:rPr>
              <w:instrText xml:space="preserve"> = 2 \* GB3 </w:instrText>
            </w:r>
            <w:r>
              <w:rPr>
                <w:rFonts w:hint="eastAsia" w:ascii="宋体" w:hAnsi="宋体" w:eastAsia="宋体" w:cs="宋体"/>
                <w:color w:val="363D45"/>
                <w:highlight w:val="none"/>
              </w:rPr>
              <w:fldChar w:fldCharType="separate"/>
            </w:r>
            <w:r>
              <w:rPr>
                <w:rFonts w:hint="eastAsia" w:ascii="宋体" w:hAnsi="宋体" w:eastAsia="宋体" w:cs="宋体"/>
                <w:color w:val="363D45"/>
                <w:highlight w:val="none"/>
              </w:rPr>
              <w:t>②</w:t>
            </w:r>
            <w:r>
              <w:rPr>
                <w:rFonts w:hint="eastAsia" w:ascii="宋体" w:hAnsi="宋体" w:eastAsia="宋体" w:cs="宋体"/>
                <w:color w:val="363D45"/>
                <w:highlight w:val="none"/>
              </w:rPr>
              <w:fldChar w:fldCharType="end"/>
            </w:r>
            <w:bookmarkEnd w:id="25"/>
            <w:r>
              <w:rPr>
                <w:rFonts w:hint="eastAsia" w:ascii="宋体" w:hAnsi="宋体" w:eastAsia="宋体" w:cs="宋体"/>
                <w:color w:val="363D45"/>
                <w:highlight w:val="none"/>
              </w:rPr>
              <w:t>招投标交易主体及有关方面登录公共资源交易公共服务平台</w:t>
            </w:r>
          </w:p>
          <w:p w14:paraId="7FFDC595">
            <w:pPr>
              <w:shd w:val="clear" w:color="auto" w:fill="FFFFFF"/>
              <w:spacing w:line="360" w:lineRule="exact"/>
              <w:ind w:firstLine="420"/>
              <w:rPr>
                <w:rFonts w:hint="eastAsia" w:ascii="宋体" w:hAnsi="宋体" w:eastAsia="宋体" w:cs="宋体"/>
                <w:color w:val="363D45"/>
                <w:highlight w:val="none"/>
              </w:rPr>
            </w:pPr>
            <w:r>
              <w:rPr>
                <w:rFonts w:hint="eastAsia" w:ascii="宋体" w:hAnsi="宋体" w:eastAsia="宋体" w:cs="宋体"/>
                <w:color w:val="363D45"/>
                <w:highlight w:val="none"/>
              </w:rPr>
              <w:t>（https://www.ggzyyth.jl.cn/EpointSSO/memberLogin）完善主体信息后，再登录一体化平台系统</w:t>
            </w:r>
          </w:p>
          <w:p w14:paraId="41C7F867">
            <w:pPr>
              <w:shd w:val="clear" w:color="auto" w:fill="FFFFFF"/>
              <w:spacing w:line="360" w:lineRule="exact"/>
              <w:ind w:firstLine="420"/>
              <w:rPr>
                <w:rFonts w:hint="eastAsia" w:ascii="宋体" w:hAnsi="宋体" w:eastAsia="宋体" w:cs="宋体"/>
                <w:color w:val="363D45"/>
                <w:highlight w:val="none"/>
              </w:rPr>
            </w:pPr>
            <w:r>
              <w:rPr>
                <w:rFonts w:hint="eastAsia" w:ascii="宋体" w:hAnsi="宋体" w:eastAsia="宋体" w:cs="宋体"/>
                <w:color w:val="363D45"/>
                <w:highlight w:val="none"/>
              </w:rPr>
              <w:t>（https://www.ggzyyth.jl.cn/TPBidder）开展交易活动。</w:t>
            </w:r>
          </w:p>
          <w:p w14:paraId="1ADE1CAE">
            <w:pPr>
              <w:shd w:val="clear" w:color="auto" w:fill="FFFFFF"/>
              <w:spacing w:before="240" w:beforeLines="100" w:line="360" w:lineRule="exact"/>
              <w:ind w:firstLine="420"/>
              <w:rPr>
                <w:rFonts w:hint="eastAsia" w:ascii="宋体" w:hAnsi="宋体" w:eastAsia="宋体"/>
                <w:highlight w:val="none"/>
              </w:rPr>
            </w:pPr>
            <w:bookmarkStart w:id="26" w:name="OLE_LINK88"/>
            <w:r>
              <w:rPr>
                <w:rFonts w:hint="eastAsia" w:ascii="宋体" w:hAnsi="宋体" w:eastAsia="宋体" w:cs="宋体"/>
                <w:color w:val="363D45"/>
                <w:highlight w:val="none"/>
              </w:rPr>
              <w:fldChar w:fldCharType="begin"/>
            </w:r>
            <w:r>
              <w:rPr>
                <w:rFonts w:hint="eastAsia" w:ascii="宋体" w:hAnsi="宋体" w:eastAsia="宋体" w:cs="宋体"/>
                <w:color w:val="363D45"/>
                <w:highlight w:val="none"/>
              </w:rPr>
              <w:instrText xml:space="preserve"> = 3 \* GB3 </w:instrText>
            </w:r>
            <w:r>
              <w:rPr>
                <w:rFonts w:hint="eastAsia" w:ascii="宋体" w:hAnsi="宋体" w:eastAsia="宋体" w:cs="宋体"/>
                <w:color w:val="363D45"/>
                <w:highlight w:val="none"/>
              </w:rPr>
              <w:fldChar w:fldCharType="separate"/>
            </w:r>
            <w:r>
              <w:rPr>
                <w:rFonts w:hint="eastAsia" w:ascii="宋体" w:hAnsi="宋体" w:eastAsia="宋体" w:cs="宋体"/>
                <w:color w:val="363D45"/>
                <w:highlight w:val="none"/>
              </w:rPr>
              <w:t>③</w:t>
            </w:r>
            <w:r>
              <w:rPr>
                <w:rFonts w:hint="eastAsia" w:ascii="宋体" w:hAnsi="宋体" w:eastAsia="宋体" w:cs="宋体"/>
                <w:color w:val="363D45"/>
                <w:highlight w:val="none"/>
              </w:rPr>
              <w:fldChar w:fldCharType="end"/>
            </w:r>
            <w:bookmarkEnd w:id="26"/>
            <w:r>
              <w:rPr>
                <w:rFonts w:hint="eastAsia" w:ascii="宋体" w:hAnsi="宋体" w:eastAsia="宋体"/>
                <w:highlight w:val="none"/>
              </w:rPr>
              <w:t>一体化平台实现数字证书（CA锁，含电子签章）全省互用。已办理过CA锁的交易主体，CA锁未到期限的，在办理一体化平台业务时，无需重新办理，只需在一体化平台上进行绑定激活，即可使用。拟新办CA锁的交易主体，可在任一平台及场所办理一体化平台数字证书CA锁。一体化平台技术咨询服务电话：</w:t>
            </w:r>
            <w:bookmarkEnd w:id="23"/>
            <w:r>
              <w:rPr>
                <w:rFonts w:hint="eastAsia" w:ascii="宋体" w:hAnsi="宋体" w:eastAsia="宋体"/>
                <w:highlight w:val="none"/>
              </w:rPr>
              <w:t>0431-</w:t>
            </w:r>
            <w:r>
              <w:rPr>
                <w:rFonts w:ascii="宋体" w:hAnsi="宋体" w:eastAsia="宋体"/>
                <w:highlight w:val="none"/>
              </w:rPr>
              <w:t>85177688</w:t>
            </w:r>
            <w:r>
              <w:rPr>
                <w:rFonts w:hint="eastAsia" w:ascii="宋体" w:hAnsi="宋体" w:eastAsia="宋体"/>
                <w:highlight w:val="none"/>
              </w:rPr>
              <w:t>。</w:t>
            </w:r>
          </w:p>
          <w:p w14:paraId="77279454">
            <w:pPr>
              <w:shd w:val="clear" w:color="auto" w:fill="FFFFFF"/>
              <w:spacing w:before="240" w:beforeLines="100" w:line="360" w:lineRule="exact"/>
              <w:ind w:firstLine="420"/>
              <w:rPr>
                <w:rFonts w:hint="eastAsia" w:ascii="宋体" w:hAnsi="宋体" w:eastAsia="宋体"/>
                <w:highlight w:val="none"/>
              </w:rPr>
            </w:pPr>
            <w:r>
              <w:rPr>
                <w:rFonts w:hint="eastAsia" w:ascii="黑体" w:hAnsi="黑体" w:eastAsia="黑体" w:cs="宋体"/>
                <w:highlight w:val="none"/>
              </w:rPr>
              <w:t>10.3变更修改和澄清等信息：</w:t>
            </w:r>
            <w:bookmarkStart w:id="27" w:name="_Hlk170804702"/>
            <w:r>
              <w:rPr>
                <w:rFonts w:hint="eastAsia" w:ascii="宋体" w:hAnsi="宋体" w:eastAsia="宋体"/>
                <w:highlight w:val="none"/>
              </w:rPr>
              <w:t>本项目的变更、招标文件修改和澄清等信息将在吉林省公共资源交易一体化平台（https://www.ggzyyth.jl.cn/TPBidder）上发布，请潜在投标人在参与本项目活动期间随时关注网站信息，否则出现一切后果由投标人自负。</w:t>
            </w:r>
            <w:bookmarkEnd w:id="27"/>
          </w:p>
          <w:p w14:paraId="6E859F40">
            <w:pPr>
              <w:spacing w:line="360" w:lineRule="exact"/>
              <w:ind w:firstLine="420"/>
              <w:rPr>
                <w:rFonts w:hint="eastAsia" w:ascii="宋体" w:hAnsi="宋体" w:eastAsia="宋体"/>
                <w:highlight w:val="none"/>
              </w:rPr>
            </w:pPr>
          </w:p>
          <w:p w14:paraId="173B53C9">
            <w:pPr>
              <w:spacing w:line="360" w:lineRule="exact"/>
              <w:ind w:firstLine="420"/>
              <w:rPr>
                <w:rFonts w:hint="eastAsia" w:ascii="宋体" w:hAnsi="宋体" w:eastAsia="宋体"/>
                <w:highlight w:val="none"/>
              </w:rPr>
            </w:pPr>
            <w:r>
              <w:rPr>
                <w:rFonts w:hint="eastAsia" w:ascii="黑体" w:hAnsi="黑体" w:eastAsia="黑体"/>
                <w:highlight w:val="none"/>
              </w:rPr>
              <w:t>10.4</w:t>
            </w:r>
            <w:r>
              <w:rPr>
                <w:rFonts w:hint="eastAsia" w:ascii="黑体" w:hAnsi="黑体" w:eastAsia="黑体" w:cs="宋体"/>
                <w:highlight w:val="none"/>
              </w:rPr>
              <w:t>远程开标：</w:t>
            </w:r>
            <w:r>
              <w:rPr>
                <w:rFonts w:hint="eastAsia" w:ascii="宋体" w:hAnsi="宋体" w:eastAsia="宋体"/>
                <w:highlight w:val="none"/>
              </w:rPr>
              <w:t>本项目实施网上远程开标，投标人通过一体化平台系统进行远程投标文件解密。开标前，投标人应在准备解密的电脑端提前安装好CA驱动并且能正常登录系统。开标时在代理机构工作人员公布投标人名单后，按顺序进行解密，由投标人选择对应的项目，进入“开标远程解密”菜单，点击远程解密并输入CA 密码，成功解密后状态会显示“已解密”。</w:t>
            </w:r>
            <w:r>
              <w:rPr>
                <w:rFonts w:hint="eastAsia" w:ascii="黑体" w:hAnsi="黑体" w:eastAsia="黑体"/>
                <w:highlight w:val="none"/>
              </w:rPr>
              <w:t>投标文件解密时需插上生成投标文件的CA 锁进行解密，且正确输入密码，投标人未在规定的时间内完成解密的视为无效投标。</w:t>
            </w:r>
            <w:r>
              <w:rPr>
                <w:rFonts w:hint="eastAsia" w:ascii="宋体" w:hAnsi="宋体" w:eastAsia="宋体"/>
                <w:highlight w:val="none"/>
              </w:rPr>
              <w:t>投标人由于数字证书遗失、损坏、更换、续期等自身原因情况导致投标文件无法解密，由投标人自行承担责任。</w:t>
            </w:r>
          </w:p>
          <w:p w14:paraId="5A0A1179">
            <w:pPr>
              <w:spacing w:before="240" w:beforeLines="100" w:line="360" w:lineRule="exact"/>
              <w:ind w:firstLine="420"/>
              <w:rPr>
                <w:rFonts w:hint="eastAsia" w:ascii="宋体" w:hAnsi="宋体" w:eastAsia="宋体"/>
                <w:highlight w:val="none"/>
              </w:rPr>
            </w:pPr>
            <w:r>
              <w:rPr>
                <w:rFonts w:hint="eastAsia" w:ascii="黑体" w:hAnsi="黑体" w:eastAsia="黑体"/>
                <w:highlight w:val="none"/>
              </w:rPr>
              <w:t>10.5</w:t>
            </w:r>
            <w:r>
              <w:rPr>
                <w:rFonts w:hint="eastAsia" w:ascii="黑体" w:hAnsi="黑体" w:eastAsia="黑体" w:cs="宋体"/>
                <w:highlight w:val="none"/>
              </w:rPr>
              <w:t>关键内容公开：</w:t>
            </w:r>
            <w:r>
              <w:rPr>
                <w:rFonts w:hint="eastAsia" w:ascii="宋体" w:hAnsi="宋体" w:eastAsia="宋体"/>
                <w:highlight w:val="none"/>
              </w:rPr>
              <w:t>本次招标文件的</w:t>
            </w:r>
            <w:bookmarkStart w:id="28" w:name="OLE_LINK9"/>
            <w:r>
              <w:rPr>
                <w:rFonts w:hint="eastAsia" w:ascii="宋体" w:hAnsi="宋体" w:eastAsia="宋体"/>
                <w:highlight w:val="none"/>
              </w:rPr>
              <w:t>关键内容</w:t>
            </w:r>
            <w:bookmarkEnd w:id="28"/>
            <w:r>
              <w:rPr>
                <w:rFonts w:hint="eastAsia" w:ascii="宋体" w:hAnsi="宋体" w:eastAsia="宋体"/>
                <w:highlight w:val="none"/>
              </w:rPr>
              <w:t>在吉林省交通运输厅网站、长春市交通运输局网站公开。</w:t>
            </w:r>
          </w:p>
          <w:p w14:paraId="4F4D256C">
            <w:pPr>
              <w:spacing w:before="240" w:beforeLines="100" w:line="360" w:lineRule="exact"/>
              <w:ind w:firstLine="420" w:firstLineChars="200"/>
              <w:rPr>
                <w:rFonts w:hint="eastAsia" w:ascii="宋体" w:hAnsi="宋体" w:eastAsia="宋体" w:cs="宋体"/>
                <w:highlight w:val="none"/>
                <w:lang w:val="zh-CN"/>
              </w:rPr>
            </w:pPr>
            <w:r>
              <w:rPr>
                <w:rFonts w:hint="eastAsia" w:ascii="黑体" w:hAnsi="黑体" w:eastAsia="黑体"/>
                <w:highlight w:val="none"/>
              </w:rPr>
              <w:t>10.6</w:t>
            </w:r>
            <w:r>
              <w:rPr>
                <w:rFonts w:hint="eastAsia" w:ascii="黑体" w:hAnsi="黑体" w:eastAsia="黑体" w:cs="宋体"/>
                <w:highlight w:val="none"/>
              </w:rPr>
              <w:t>词语定义：</w:t>
            </w:r>
            <w:r>
              <w:rPr>
                <w:rFonts w:hint="eastAsia" w:ascii="宋体" w:hAnsi="宋体" w:eastAsia="宋体" w:cs="宋体"/>
                <w:color w:val="363D45"/>
                <w:highlight w:val="none"/>
              </w:rPr>
              <w:fldChar w:fldCharType="begin"/>
            </w:r>
            <w:r>
              <w:rPr>
                <w:rFonts w:hint="eastAsia" w:ascii="宋体" w:hAnsi="宋体" w:eastAsia="宋体" w:cs="宋体"/>
                <w:color w:val="363D45"/>
                <w:highlight w:val="none"/>
              </w:rPr>
              <w:instrText xml:space="preserve"> = 1 \* GB3 </w:instrText>
            </w:r>
            <w:r>
              <w:rPr>
                <w:rFonts w:hint="eastAsia" w:ascii="宋体" w:hAnsi="宋体" w:eastAsia="宋体" w:cs="宋体"/>
                <w:color w:val="363D45"/>
                <w:highlight w:val="none"/>
              </w:rPr>
              <w:fldChar w:fldCharType="separate"/>
            </w:r>
            <w:r>
              <w:rPr>
                <w:rFonts w:hint="eastAsia" w:ascii="宋体" w:hAnsi="宋体" w:eastAsia="宋体" w:cs="宋体"/>
                <w:color w:val="363D45"/>
                <w:highlight w:val="none"/>
              </w:rPr>
              <w:t>①</w:t>
            </w:r>
            <w:r>
              <w:rPr>
                <w:rFonts w:hint="eastAsia" w:ascii="宋体" w:hAnsi="宋体" w:eastAsia="宋体" w:cs="宋体"/>
                <w:color w:val="363D45"/>
                <w:highlight w:val="none"/>
              </w:rPr>
              <w:fldChar w:fldCharType="end"/>
            </w:r>
            <w:r>
              <w:rPr>
                <w:rFonts w:hint="eastAsia" w:ascii="宋体" w:hAnsi="宋体" w:eastAsia="宋体"/>
                <w:highlight w:val="none"/>
              </w:rPr>
              <w:t>本文件中</w:t>
            </w:r>
            <w:r>
              <w:rPr>
                <w:rFonts w:hint="eastAsia" w:ascii="宋体" w:hAnsi="宋体" w:eastAsia="宋体" w:cs="宋体"/>
                <w:highlight w:val="none"/>
                <w:lang w:val="zh-CN"/>
              </w:rPr>
              <w:t>所称的</w:t>
            </w:r>
            <w:r>
              <w:rPr>
                <w:rFonts w:hint="eastAsia" w:ascii="宋体" w:hAnsi="宋体" w:eastAsia="宋体"/>
                <w:highlight w:val="none"/>
              </w:rPr>
              <w:t>“以上”、“以下”、“以内”</w:t>
            </w:r>
            <w:r>
              <w:rPr>
                <w:rFonts w:hint="eastAsia" w:ascii="宋体" w:hAnsi="宋体" w:eastAsia="宋体" w:cs="宋体"/>
                <w:highlight w:val="none"/>
                <w:lang w:val="zh-CN"/>
              </w:rPr>
              <w:t>，包括本数；所称的</w:t>
            </w:r>
            <w:r>
              <w:rPr>
                <w:rFonts w:hint="eastAsia" w:ascii="宋体" w:hAnsi="宋体" w:eastAsia="宋体"/>
                <w:highlight w:val="none"/>
              </w:rPr>
              <w:t>“以外”</w:t>
            </w:r>
            <w:r>
              <w:rPr>
                <w:rFonts w:hint="eastAsia" w:ascii="宋体" w:hAnsi="宋体" w:eastAsia="宋体" w:cs="宋体"/>
                <w:highlight w:val="none"/>
                <w:lang w:val="zh-CN"/>
              </w:rPr>
              <w:t>，不包括本数。</w:t>
            </w:r>
            <w:r>
              <w:rPr>
                <w:rFonts w:hint="eastAsia" w:ascii="宋体" w:hAnsi="宋体" w:eastAsia="宋体" w:cs="宋体"/>
                <w:color w:val="363D45"/>
                <w:highlight w:val="none"/>
              </w:rPr>
              <w:fldChar w:fldCharType="begin"/>
            </w:r>
            <w:r>
              <w:rPr>
                <w:rFonts w:hint="eastAsia" w:ascii="宋体" w:hAnsi="宋体" w:eastAsia="宋体" w:cs="宋体"/>
                <w:color w:val="363D45"/>
                <w:highlight w:val="none"/>
              </w:rPr>
              <w:instrText xml:space="preserve"> = 2 \* GB3 </w:instrText>
            </w:r>
            <w:r>
              <w:rPr>
                <w:rFonts w:hint="eastAsia" w:ascii="宋体" w:hAnsi="宋体" w:eastAsia="宋体" w:cs="宋体"/>
                <w:color w:val="363D45"/>
                <w:highlight w:val="none"/>
              </w:rPr>
              <w:fldChar w:fldCharType="separate"/>
            </w:r>
            <w:r>
              <w:rPr>
                <w:rFonts w:hint="eastAsia" w:ascii="宋体" w:hAnsi="宋体" w:eastAsia="宋体" w:cs="宋体"/>
                <w:color w:val="363D45"/>
                <w:highlight w:val="none"/>
              </w:rPr>
              <w:t>②</w:t>
            </w:r>
            <w:r>
              <w:rPr>
                <w:rFonts w:hint="eastAsia" w:ascii="宋体" w:hAnsi="宋体" w:eastAsia="宋体" w:cs="宋体"/>
                <w:color w:val="363D45"/>
                <w:highlight w:val="none"/>
              </w:rPr>
              <w:fldChar w:fldCharType="end"/>
            </w:r>
            <w:r>
              <w:rPr>
                <w:rFonts w:hint="eastAsia" w:ascii="宋体" w:hAnsi="宋体" w:eastAsia="宋体"/>
                <w:highlight w:val="none"/>
              </w:rPr>
              <w:t>除有特殊说明外，本文件中</w:t>
            </w:r>
            <w:r>
              <w:rPr>
                <w:rFonts w:hint="eastAsia" w:ascii="宋体" w:hAnsi="宋体" w:eastAsia="宋体" w:cs="宋体"/>
                <w:highlight w:val="none"/>
                <w:lang w:val="zh-CN"/>
              </w:rPr>
              <w:t>所称的“近3年”或“近5年”等，是指自投标截止时间所在年度起逆推3年或5年。如：投标截止时间所在年度为202</w:t>
            </w:r>
            <w:r>
              <w:rPr>
                <w:rFonts w:hint="eastAsia" w:ascii="宋体" w:hAnsi="宋体" w:eastAsia="宋体" w:cs="宋体"/>
                <w:highlight w:val="none"/>
              </w:rPr>
              <w:t>6</w:t>
            </w:r>
            <w:r>
              <w:rPr>
                <w:rFonts w:hint="eastAsia" w:ascii="宋体" w:hAnsi="宋体" w:eastAsia="宋体" w:cs="宋体"/>
                <w:highlight w:val="none"/>
                <w:lang w:val="zh-CN"/>
              </w:rPr>
              <w:t>年，“近</w:t>
            </w:r>
            <w:r>
              <w:rPr>
                <w:rFonts w:ascii="宋体" w:hAnsi="宋体" w:eastAsia="宋体" w:cs="宋体"/>
                <w:highlight w:val="none"/>
              </w:rPr>
              <w:t>3</w:t>
            </w:r>
            <w:r>
              <w:rPr>
                <w:rFonts w:hint="eastAsia" w:ascii="宋体" w:hAnsi="宋体" w:eastAsia="宋体" w:cs="宋体"/>
                <w:highlight w:val="none"/>
                <w:lang w:val="zh-CN"/>
              </w:rPr>
              <w:t>年”的年限从2023年1月1日算起</w:t>
            </w:r>
            <w:r>
              <w:rPr>
                <w:rFonts w:ascii="宋体" w:hAnsi="宋体" w:eastAsia="宋体" w:cs="宋体"/>
                <w:highlight w:val="none"/>
              </w:rPr>
              <w:t>,</w:t>
            </w:r>
            <w:r>
              <w:rPr>
                <w:rFonts w:hint="eastAsia" w:ascii="宋体" w:hAnsi="宋体" w:eastAsia="宋体" w:cs="宋体"/>
                <w:highlight w:val="none"/>
                <w:lang w:val="zh-CN"/>
              </w:rPr>
              <w:t>“近</w:t>
            </w:r>
            <w:r>
              <w:rPr>
                <w:rFonts w:ascii="宋体" w:hAnsi="宋体" w:eastAsia="宋体" w:cs="宋体"/>
                <w:highlight w:val="none"/>
              </w:rPr>
              <w:t>5</w:t>
            </w:r>
            <w:r>
              <w:rPr>
                <w:rFonts w:hint="eastAsia" w:ascii="宋体" w:hAnsi="宋体" w:eastAsia="宋体" w:cs="宋体"/>
                <w:highlight w:val="none"/>
                <w:lang w:val="zh-CN"/>
              </w:rPr>
              <w:t>年”的年限从2021年1月1日算起。</w:t>
            </w:r>
            <w:r>
              <w:rPr>
                <w:rFonts w:hint="eastAsia" w:ascii="宋体" w:hAnsi="宋体" w:eastAsia="宋体" w:cs="宋体"/>
                <w:color w:val="363D45"/>
                <w:highlight w:val="none"/>
              </w:rPr>
              <w:fldChar w:fldCharType="begin"/>
            </w:r>
            <w:r>
              <w:rPr>
                <w:rFonts w:hint="eastAsia" w:ascii="宋体" w:hAnsi="宋体" w:eastAsia="宋体" w:cs="宋体"/>
                <w:color w:val="363D45"/>
                <w:highlight w:val="none"/>
              </w:rPr>
              <w:instrText xml:space="preserve"> = 3 \* GB3 </w:instrText>
            </w:r>
            <w:r>
              <w:rPr>
                <w:rFonts w:hint="eastAsia" w:ascii="宋体" w:hAnsi="宋体" w:eastAsia="宋体" w:cs="宋体"/>
                <w:color w:val="363D45"/>
                <w:highlight w:val="none"/>
              </w:rPr>
              <w:fldChar w:fldCharType="separate"/>
            </w:r>
            <w:r>
              <w:rPr>
                <w:rFonts w:hint="eastAsia" w:ascii="宋体" w:hAnsi="宋体" w:eastAsia="宋体" w:cs="宋体"/>
                <w:color w:val="363D45"/>
                <w:highlight w:val="none"/>
              </w:rPr>
              <w:t>③</w:t>
            </w:r>
            <w:r>
              <w:rPr>
                <w:rFonts w:hint="eastAsia" w:ascii="宋体" w:hAnsi="宋体" w:eastAsia="宋体" w:cs="宋体"/>
                <w:color w:val="363D45"/>
                <w:highlight w:val="none"/>
              </w:rPr>
              <w:fldChar w:fldCharType="end"/>
            </w:r>
            <w:r>
              <w:rPr>
                <w:rFonts w:hint="eastAsia" w:ascii="宋体" w:hAnsi="宋体" w:eastAsia="宋体" w:cs="宋体"/>
                <w:highlight w:val="none"/>
                <w:lang w:val="zh-CN"/>
              </w:rPr>
              <w:t xml:space="preserve"> “电子交易平台”指“吉林省公共资源交易一体化平台”。</w:t>
            </w:r>
          </w:p>
          <w:p w14:paraId="5DA19199">
            <w:pPr>
              <w:spacing w:before="240" w:beforeLines="100" w:line="360" w:lineRule="exact"/>
              <w:ind w:firstLine="420"/>
              <w:rPr>
                <w:rFonts w:hint="eastAsia" w:ascii="宋体" w:hAnsi="宋体" w:eastAsia="宋体"/>
                <w:highlight w:val="none"/>
              </w:rPr>
            </w:pPr>
            <w:r>
              <w:rPr>
                <w:rFonts w:hint="eastAsia" w:ascii="黑体" w:hAnsi="黑体" w:eastAsia="黑体" w:cs="宋体"/>
                <w:highlight w:val="none"/>
                <w:lang w:val="zh-CN"/>
              </w:rPr>
              <w:t>10.7</w:t>
            </w:r>
            <w:r>
              <w:rPr>
                <w:rFonts w:hint="eastAsia" w:ascii="黑体" w:hAnsi="黑体" w:eastAsia="黑体" w:cs="宋体"/>
                <w:highlight w:val="none"/>
              </w:rPr>
              <w:t>中标人提供纸质投标文件：</w:t>
            </w:r>
            <w:r>
              <w:rPr>
                <w:rFonts w:hint="eastAsia" w:ascii="宋体" w:hAnsi="宋体" w:eastAsia="宋体"/>
                <w:highlight w:val="none"/>
              </w:rPr>
              <w:t>如投标人中标，须再提供纸质投标文件正本一份，副本一份；中标人提供的纸质投标文件需与投标时提供的电子投标文件保持一致，如有不一致，以电子投标文件为准。</w:t>
            </w:r>
          </w:p>
          <w:p w14:paraId="1A5B93F8">
            <w:pPr>
              <w:spacing w:line="360" w:lineRule="exact"/>
              <w:ind w:firstLine="420"/>
              <w:rPr>
                <w:rFonts w:hint="eastAsia" w:ascii="宋体" w:hAnsi="宋体" w:eastAsia="宋体"/>
                <w:highlight w:val="none"/>
              </w:rPr>
            </w:pPr>
            <w:r>
              <w:rPr>
                <w:rFonts w:hint="eastAsia" w:ascii="宋体" w:hAnsi="宋体" w:eastAsia="宋体"/>
                <w:highlight w:val="none"/>
              </w:rPr>
              <w:t>中标人递交的纸质投标文件应是电子投标文件的打印件，正本应按招标文件要求加盖投标人单位公章，纸质投标文件应标注页码，且不得采用活页夹装订。</w:t>
            </w:r>
          </w:p>
          <w:p w14:paraId="46484E76">
            <w:pPr>
              <w:spacing w:before="240" w:beforeLines="100" w:line="360" w:lineRule="exact"/>
              <w:ind w:firstLine="420"/>
              <w:rPr>
                <w:rFonts w:hint="eastAsia" w:ascii="宋体" w:hAnsi="宋体" w:eastAsia="宋体"/>
                <w:highlight w:val="none"/>
              </w:rPr>
            </w:pPr>
            <w:r>
              <w:rPr>
                <w:rFonts w:hint="eastAsia" w:ascii="黑体" w:hAnsi="黑体" w:eastAsia="黑体"/>
                <w:highlight w:val="none"/>
              </w:rPr>
              <w:t>10.8 招标代理服务费：</w:t>
            </w:r>
            <w:r>
              <w:rPr>
                <w:rFonts w:hint="eastAsia" w:ascii="宋体" w:hAnsi="宋体" w:eastAsia="宋体"/>
                <w:highlight w:val="none"/>
              </w:rPr>
              <w:t>参考原国家计委《招标代理服务收费管理暂行办法》（计价格〔2002〕1980号）、《国家发展改革委办公厅关于招标代理服务收费有关问题的通知》（发改办价格〔2003〕857号）、《国家发展改革委关于降低部分建设项目收费标准规范收费行为等有关问题的通知》（发改价格〔2011〕534号）规定的招标代理服务收费差额费率计算乘以0.5系数为本标段的招标代理服务费。</w:t>
            </w:r>
          </w:p>
          <w:p w14:paraId="5EF6D5A3">
            <w:pPr>
              <w:spacing w:line="360" w:lineRule="exact"/>
              <w:ind w:firstLine="420"/>
              <w:rPr>
                <w:rFonts w:hint="eastAsia" w:ascii="宋体" w:hAnsi="宋体" w:eastAsia="宋体"/>
                <w:highlight w:val="none"/>
              </w:rPr>
            </w:pPr>
            <w:r>
              <w:rPr>
                <w:rFonts w:hint="eastAsia" w:ascii="宋体" w:hAnsi="宋体" w:eastAsia="宋体"/>
                <w:highlight w:val="none"/>
              </w:rPr>
              <w:t>在签订合同前，中标人应将招标代理服务费以电汇形式递交至招标代理机构提供的以下账户：</w:t>
            </w:r>
          </w:p>
          <w:p w14:paraId="3E6EC713">
            <w:pPr>
              <w:spacing w:line="360" w:lineRule="exact"/>
              <w:ind w:firstLine="420"/>
              <w:rPr>
                <w:rFonts w:hint="eastAsia" w:ascii="黑体" w:hAnsi="黑体" w:eastAsia="黑体"/>
                <w:highlight w:val="none"/>
              </w:rPr>
            </w:pPr>
            <w:r>
              <w:rPr>
                <w:rFonts w:hint="eastAsia" w:ascii="黑体" w:hAnsi="黑体" w:eastAsia="黑体"/>
                <w:highlight w:val="none"/>
              </w:rPr>
              <w:t xml:space="preserve">开户名称：吉林省伟邦公路技术有限公司 </w:t>
            </w:r>
          </w:p>
          <w:p w14:paraId="3AD7FD38">
            <w:pPr>
              <w:spacing w:line="360" w:lineRule="exact"/>
              <w:ind w:firstLine="420"/>
              <w:rPr>
                <w:rFonts w:hint="eastAsia" w:ascii="黑体" w:hAnsi="黑体" w:eastAsia="黑体"/>
                <w:highlight w:val="none"/>
              </w:rPr>
            </w:pPr>
            <w:r>
              <w:rPr>
                <w:rFonts w:hint="eastAsia" w:ascii="黑体" w:hAnsi="黑体" w:eastAsia="黑体"/>
                <w:highlight w:val="none"/>
              </w:rPr>
              <w:t xml:space="preserve">开户银行：建设银行九台支行 </w:t>
            </w:r>
          </w:p>
          <w:p w14:paraId="0B1A149B">
            <w:pPr>
              <w:spacing w:line="360" w:lineRule="exact"/>
              <w:ind w:firstLine="420" w:firstLineChars="200"/>
              <w:contextualSpacing/>
              <w:rPr>
                <w:rFonts w:hint="eastAsia" w:ascii="黑体" w:hAnsi="黑体" w:eastAsia="黑体"/>
                <w:highlight w:val="none"/>
              </w:rPr>
            </w:pPr>
            <w:r>
              <w:rPr>
                <w:rFonts w:hint="eastAsia" w:ascii="黑体" w:hAnsi="黑体" w:eastAsia="黑体"/>
                <w:highlight w:val="none"/>
              </w:rPr>
              <w:t>银行账号：22001390100055001391</w:t>
            </w:r>
          </w:p>
          <w:p w14:paraId="029527D3">
            <w:pPr>
              <w:pStyle w:val="4"/>
              <w:spacing w:before="240" w:beforeLines="100" w:after="0" w:line="360" w:lineRule="exact"/>
              <w:ind w:right="63" w:firstLine="422" w:firstLineChars="200"/>
              <w:jc w:val="left"/>
              <w:rPr>
                <w:rFonts w:hint="eastAsia" w:ascii="宋体" w:hAnsi="宋体" w:eastAsia="宋体"/>
                <w:szCs w:val="21"/>
                <w:highlight w:val="none"/>
              </w:rPr>
            </w:pPr>
            <w:r>
              <w:rPr>
                <w:rFonts w:hint="eastAsia" w:ascii="宋体" w:hAnsi="宋体" w:eastAsia="宋体"/>
                <w:b/>
                <w:bCs/>
                <w:szCs w:val="21"/>
                <w:highlight w:val="none"/>
              </w:rPr>
              <w:t>1</w:t>
            </w:r>
            <w:r>
              <w:rPr>
                <w:rFonts w:hint="eastAsia" w:ascii="宋体" w:hAnsi="宋体" w:eastAsia="宋体"/>
                <w:szCs w:val="21"/>
                <w:highlight w:val="none"/>
              </w:rPr>
              <w:t>0.9</w:t>
            </w:r>
            <w:r>
              <w:rPr>
                <w:rFonts w:hint="eastAsia" w:ascii="黑体" w:hAnsi="黑体" w:eastAsia="黑体" w:cs="宋体"/>
                <w:szCs w:val="21"/>
                <w:highlight w:val="none"/>
              </w:rPr>
              <w:t>当</w:t>
            </w:r>
            <w:r>
              <w:rPr>
                <w:rFonts w:hint="eastAsia" w:ascii="黑体" w:hAnsi="黑体" w:eastAsia="黑体"/>
                <w:szCs w:val="21"/>
                <w:highlight w:val="none"/>
              </w:rPr>
              <w:t>通过初步评审的有效投标人不足3家时，由评标委员会确定现有投标人是否具有竞争性，决定是否继续评标</w:t>
            </w:r>
            <w:r>
              <w:rPr>
                <w:rFonts w:hint="eastAsia" w:ascii="宋体" w:hAnsi="宋体" w:eastAsia="宋体"/>
                <w:szCs w:val="21"/>
                <w:highlight w:val="none"/>
              </w:rPr>
              <w:t>。</w:t>
            </w:r>
          </w:p>
          <w:p w14:paraId="0BAC0A57">
            <w:pPr>
              <w:spacing w:line="360" w:lineRule="exact"/>
              <w:jc w:val="center"/>
              <w:rPr>
                <w:rFonts w:hint="eastAsia" w:cs="宋体" w:asciiTheme="majorEastAsia" w:hAnsiTheme="majorEastAsia" w:eastAsiaTheme="majorEastAsia"/>
                <w:highlight w:val="none"/>
              </w:rPr>
            </w:pPr>
          </w:p>
        </w:tc>
      </w:tr>
    </w:tbl>
    <w:p w14:paraId="5D636D60">
      <w:pPr>
        <w:pStyle w:val="12"/>
        <w:spacing w:line="400" w:lineRule="exact"/>
        <w:jc w:val="both"/>
        <w:rPr>
          <w:rFonts w:hint="eastAsia" w:ascii="黑体" w:hAnsi="黑体" w:eastAsia="黑体"/>
          <w:sz w:val="21"/>
          <w:szCs w:val="21"/>
          <w:highlight w:val="none"/>
        </w:rPr>
      </w:pPr>
      <w:r>
        <w:rPr>
          <w:rFonts w:ascii="黑体" w:hAnsi="黑体" w:eastAsia="黑体"/>
          <w:sz w:val="21"/>
          <w:szCs w:val="21"/>
          <w:highlight w:val="none"/>
        </w:rPr>
        <w:tab/>
      </w:r>
      <w:r>
        <w:rPr>
          <w:rFonts w:ascii="黑体" w:hAnsi="黑体" w:eastAsia="黑体"/>
          <w:sz w:val="21"/>
          <w:szCs w:val="21"/>
          <w:highlight w:val="none"/>
        </w:rPr>
        <w:t>注：“</w:t>
      </w:r>
      <w:r>
        <w:rPr>
          <w:rFonts w:hint="eastAsia" w:ascii="黑体" w:hAnsi="黑体" w:eastAsia="黑体"/>
          <w:sz w:val="21"/>
          <w:szCs w:val="21"/>
          <w:highlight w:val="none"/>
        </w:rPr>
        <w:t>投标人须知前附表”用于进一步明确正文中的未尽事宜，</w:t>
      </w:r>
      <w:r>
        <w:rPr>
          <w:rFonts w:ascii="黑体" w:hAnsi="黑体" w:eastAsia="黑体"/>
          <w:sz w:val="21"/>
          <w:szCs w:val="21"/>
          <w:highlight w:val="none"/>
        </w:rPr>
        <w:t>与投标人须知正文不一致之处，以“</w:t>
      </w:r>
      <w:r>
        <w:rPr>
          <w:rFonts w:hint="eastAsia" w:ascii="黑体" w:hAnsi="黑体" w:eastAsia="黑体"/>
          <w:sz w:val="21"/>
          <w:szCs w:val="21"/>
          <w:highlight w:val="none"/>
        </w:rPr>
        <w:t>投标人须知前附表”为准。</w:t>
      </w:r>
    </w:p>
    <w:p w14:paraId="4A67E2FA">
      <w:pPr>
        <w:tabs>
          <w:tab w:val="left" w:pos="600"/>
        </w:tabs>
        <w:rPr>
          <w:highlight w:val="none"/>
        </w:rPr>
      </w:pPr>
    </w:p>
    <w:p w14:paraId="0E7B6844">
      <w:pPr>
        <w:tabs>
          <w:tab w:val="left" w:pos="600"/>
        </w:tabs>
        <w:rPr>
          <w:highlight w:val="none"/>
        </w:rPr>
        <w:sectPr>
          <w:headerReference r:id="rId3" w:type="default"/>
          <w:footerReference r:id="rId4" w:type="default"/>
          <w:pgSz w:w="12240" w:h="15840"/>
          <w:pgMar w:top="1134" w:right="1134" w:bottom="1134" w:left="1134" w:header="0" w:footer="726" w:gutter="0"/>
          <w:pgNumType w:start="1"/>
          <w:cols w:space="720" w:num="1"/>
        </w:sectPr>
      </w:pPr>
      <w:r>
        <w:rPr>
          <w:highlight w:val="none"/>
        </w:rPr>
        <w:tab/>
      </w:r>
    </w:p>
    <w:p w14:paraId="1CADFCD3">
      <w:pPr>
        <w:widowControl w:val="0"/>
        <w:kinsoku/>
        <w:snapToGrid/>
        <w:spacing w:line="360" w:lineRule="exact"/>
        <w:textAlignment w:val="auto"/>
        <w:outlineLvl w:val="1"/>
        <w:rPr>
          <w:sz w:val="2"/>
          <w:highlight w:val="none"/>
        </w:rPr>
      </w:pPr>
      <w:r>
        <w:rPr>
          <w:rFonts w:ascii="黑体" w:hAnsi="黑体" w:eastAsia="黑体" w:cs="方正大标宋简体"/>
          <w:snapToGrid/>
          <w:color w:val="auto"/>
          <w:kern w:val="2"/>
          <w:sz w:val="24"/>
          <w:szCs w:val="18"/>
          <w:highlight w:val="none"/>
          <w:lang w:val="zh-CN"/>
        </w:rPr>
        <w:t>评标办法前附表</w:t>
      </w:r>
    </w:p>
    <w:tbl>
      <w:tblPr>
        <w:tblStyle w:val="22"/>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17"/>
        <w:gridCol w:w="841"/>
        <w:gridCol w:w="1508"/>
        <w:gridCol w:w="6498"/>
      </w:tblGrid>
      <w:tr w14:paraId="686CD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858" w:type="pct"/>
            <w:gridSpan w:val="2"/>
            <w:tcBorders>
              <w:left w:val="single" w:color="000000" w:sz="10" w:space="0"/>
              <w:right w:val="single" w:color="000000" w:sz="4" w:space="0"/>
            </w:tcBorders>
            <w:vAlign w:val="center"/>
          </w:tcPr>
          <w:p w14:paraId="59C8E28C">
            <w:pPr>
              <w:spacing w:line="360" w:lineRule="exact"/>
              <w:jc w:val="center"/>
              <w:rPr>
                <w:rFonts w:hint="eastAsia" w:ascii="宋体" w:hAnsi="宋体" w:eastAsia="宋体" w:cs="宋体"/>
                <w:sz w:val="20"/>
                <w:szCs w:val="20"/>
                <w:highlight w:val="none"/>
              </w:rPr>
            </w:pPr>
            <w:r>
              <w:rPr>
                <w:rFonts w:ascii="宋体" w:hAnsi="宋体" w:eastAsia="宋体" w:cs="宋体"/>
                <w:sz w:val="20"/>
                <w:szCs w:val="20"/>
                <w:highlight w:val="none"/>
              </w:rPr>
              <w:t>条款号</w:t>
            </w:r>
          </w:p>
        </w:tc>
        <w:tc>
          <w:tcPr>
            <w:tcW w:w="780" w:type="pct"/>
            <w:tcBorders>
              <w:left w:val="single" w:color="000000" w:sz="4" w:space="0"/>
              <w:right w:val="single" w:color="000000" w:sz="4" w:space="0"/>
            </w:tcBorders>
            <w:vAlign w:val="center"/>
          </w:tcPr>
          <w:p w14:paraId="0AA80209">
            <w:pPr>
              <w:spacing w:line="360" w:lineRule="exact"/>
              <w:jc w:val="center"/>
              <w:rPr>
                <w:rFonts w:hint="eastAsia" w:ascii="宋体" w:hAnsi="宋体" w:eastAsia="宋体" w:cs="宋体"/>
                <w:highlight w:val="none"/>
              </w:rPr>
            </w:pPr>
            <w:r>
              <w:rPr>
                <w:rFonts w:ascii="宋体" w:hAnsi="宋体" w:eastAsia="宋体" w:cs="宋体"/>
                <w:highlight w:val="none"/>
              </w:rPr>
              <w:t>评审因素</w:t>
            </w:r>
          </w:p>
        </w:tc>
        <w:tc>
          <w:tcPr>
            <w:tcW w:w="3362" w:type="pct"/>
            <w:tcBorders>
              <w:left w:val="single" w:color="000000" w:sz="4" w:space="0"/>
              <w:right w:val="single" w:color="000000" w:sz="10" w:space="0"/>
            </w:tcBorders>
            <w:vAlign w:val="center"/>
          </w:tcPr>
          <w:p w14:paraId="6A62B955">
            <w:pPr>
              <w:spacing w:line="360" w:lineRule="exact"/>
              <w:jc w:val="center"/>
              <w:rPr>
                <w:rFonts w:hint="eastAsia" w:ascii="宋体" w:hAnsi="宋体" w:eastAsia="宋体" w:cs="宋体"/>
                <w:highlight w:val="none"/>
              </w:rPr>
            </w:pPr>
            <w:r>
              <w:rPr>
                <w:rFonts w:ascii="宋体" w:hAnsi="宋体" w:eastAsia="宋体" w:cs="宋体"/>
                <w:highlight w:val="none"/>
              </w:rPr>
              <w:t>评审标准</w:t>
            </w:r>
          </w:p>
        </w:tc>
      </w:tr>
      <w:tr w14:paraId="541FC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0" w:hRule="atLeast"/>
        </w:trPr>
        <w:tc>
          <w:tcPr>
            <w:tcW w:w="423" w:type="pct"/>
            <w:tcBorders>
              <w:left w:val="single" w:color="000000" w:sz="10" w:space="0"/>
              <w:right w:val="single" w:color="000000" w:sz="4" w:space="0"/>
            </w:tcBorders>
            <w:vAlign w:val="center"/>
          </w:tcPr>
          <w:p w14:paraId="32629169">
            <w:pPr>
              <w:spacing w:line="360" w:lineRule="exact"/>
              <w:jc w:val="center"/>
              <w:rPr>
                <w:rFonts w:hint="eastAsia" w:ascii="黑体" w:hAnsi="黑体" w:eastAsia="黑体" w:cs="宋体"/>
                <w:highlight w:val="none"/>
              </w:rPr>
            </w:pPr>
            <w:r>
              <w:rPr>
                <w:rFonts w:ascii="黑体" w:hAnsi="黑体" w:eastAsia="黑体" w:cs="宋体"/>
                <w:highlight w:val="none"/>
              </w:rPr>
              <w:t>1</w:t>
            </w:r>
          </w:p>
        </w:tc>
        <w:tc>
          <w:tcPr>
            <w:tcW w:w="435" w:type="pct"/>
            <w:tcBorders>
              <w:left w:val="single" w:color="000000" w:sz="4" w:space="0"/>
              <w:right w:val="single" w:color="000000" w:sz="4" w:space="0"/>
            </w:tcBorders>
            <w:vAlign w:val="center"/>
          </w:tcPr>
          <w:p w14:paraId="0A71410A">
            <w:pPr>
              <w:spacing w:line="360" w:lineRule="exact"/>
              <w:jc w:val="center"/>
              <w:rPr>
                <w:rFonts w:hint="eastAsia" w:ascii="黑体" w:hAnsi="黑体" w:eastAsia="黑体" w:cs="宋体"/>
                <w:highlight w:val="none"/>
              </w:rPr>
            </w:pPr>
            <w:r>
              <w:rPr>
                <w:rFonts w:ascii="黑体" w:hAnsi="黑体" w:eastAsia="黑体" w:cs="宋体"/>
                <w:highlight w:val="none"/>
              </w:rPr>
              <w:t>评标</w:t>
            </w:r>
          </w:p>
          <w:p w14:paraId="35D8D295">
            <w:pPr>
              <w:spacing w:line="360" w:lineRule="exact"/>
              <w:jc w:val="center"/>
              <w:rPr>
                <w:rFonts w:hint="eastAsia" w:ascii="黑体" w:hAnsi="黑体" w:eastAsia="黑体" w:cs="宋体"/>
                <w:highlight w:val="none"/>
              </w:rPr>
            </w:pPr>
            <w:r>
              <w:rPr>
                <w:rFonts w:ascii="黑体" w:hAnsi="黑体" w:eastAsia="黑体" w:cs="宋体"/>
                <w:highlight w:val="none"/>
              </w:rPr>
              <w:t>方法</w:t>
            </w:r>
          </w:p>
        </w:tc>
        <w:tc>
          <w:tcPr>
            <w:tcW w:w="780" w:type="pct"/>
            <w:tcBorders>
              <w:left w:val="single" w:color="000000" w:sz="4" w:space="0"/>
              <w:right w:val="single" w:color="000000" w:sz="4" w:space="0"/>
            </w:tcBorders>
            <w:vAlign w:val="center"/>
          </w:tcPr>
          <w:p w14:paraId="5A136F93">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中标候选人</w:t>
            </w:r>
          </w:p>
          <w:p w14:paraId="36AC4540">
            <w:pPr>
              <w:spacing w:line="360" w:lineRule="exact"/>
              <w:jc w:val="center"/>
              <w:rPr>
                <w:rFonts w:hint="eastAsia" w:cs="宋体" w:asciiTheme="majorEastAsia" w:hAnsiTheme="majorEastAsia" w:eastAsiaTheme="majorEastAsia"/>
                <w:highlight w:val="none"/>
              </w:rPr>
            </w:pPr>
            <w:r>
              <w:rPr>
                <w:rFonts w:hint="eastAsia" w:cs="宋体" w:asciiTheme="majorEastAsia" w:hAnsiTheme="majorEastAsia" w:eastAsiaTheme="majorEastAsia"/>
                <w:highlight w:val="none"/>
              </w:rPr>
              <w:t>排序</w:t>
            </w:r>
            <w:r>
              <w:rPr>
                <w:rFonts w:cs="宋体" w:asciiTheme="majorEastAsia" w:hAnsiTheme="majorEastAsia" w:eastAsiaTheme="majorEastAsia"/>
                <w:highlight w:val="none"/>
              </w:rPr>
              <w:t>方法</w:t>
            </w:r>
          </w:p>
        </w:tc>
        <w:tc>
          <w:tcPr>
            <w:tcW w:w="3362" w:type="pct"/>
            <w:tcBorders>
              <w:left w:val="single" w:color="000000" w:sz="4" w:space="0"/>
              <w:right w:val="single" w:color="000000" w:sz="10" w:space="0"/>
            </w:tcBorders>
            <w:vAlign w:val="center"/>
          </w:tcPr>
          <w:p w14:paraId="09E982D8">
            <w:pPr>
              <w:spacing w:line="360" w:lineRule="exact"/>
              <w:ind w:left="21" w:leftChars="10" w:firstLine="420" w:firstLineChars="200"/>
              <w:jc w:val="both"/>
              <w:rPr>
                <w:rFonts w:hint="eastAsia" w:asciiTheme="majorEastAsia" w:hAnsiTheme="majorEastAsia" w:eastAsiaTheme="majorEastAsia"/>
                <w:highlight w:val="none"/>
              </w:rPr>
            </w:pPr>
            <w:r>
              <w:rPr>
                <w:rFonts w:hint="eastAsia" w:asciiTheme="majorEastAsia" w:hAnsiTheme="majorEastAsia" w:eastAsiaTheme="majorEastAsia"/>
                <w:highlight w:val="none"/>
              </w:rPr>
              <w:t>本次评标</w:t>
            </w:r>
            <w:r>
              <w:rPr>
                <w:rFonts w:hint="eastAsia" w:ascii="黑体" w:hAnsi="黑体" w:eastAsia="黑体"/>
                <w:highlight w:val="none"/>
              </w:rPr>
              <w:t>采用综合评估法</w:t>
            </w:r>
            <w:r>
              <w:rPr>
                <w:rFonts w:hint="eastAsia" w:asciiTheme="majorEastAsia" w:hAnsiTheme="majorEastAsia" w:eastAsiaTheme="majorEastAsia"/>
                <w:highlight w:val="none"/>
              </w:rPr>
              <w:t>。评标委员会对满足招标文件实质性要求的投标文件，按照本章第2.2款规定的评分标准进行打分，并按得分由高到低顺序推荐中标候选人，但投标报价低于其成本的除外。</w:t>
            </w:r>
          </w:p>
          <w:p w14:paraId="5E4D3CBC">
            <w:pPr>
              <w:spacing w:line="360" w:lineRule="exact"/>
              <w:ind w:left="21" w:leftChars="10" w:firstLine="420" w:firstLineChars="200"/>
              <w:jc w:val="both"/>
              <w:rPr>
                <w:rFonts w:hint="eastAsia" w:cs="宋体" w:asciiTheme="majorEastAsia" w:hAnsiTheme="majorEastAsia" w:eastAsiaTheme="majorEastAsia"/>
                <w:highlight w:val="none"/>
              </w:rPr>
            </w:pPr>
            <w:r>
              <w:rPr>
                <w:rFonts w:hint="eastAsia" w:ascii="黑体" w:hAnsi="黑体" w:eastAsia="黑体"/>
                <w:highlight w:val="none"/>
              </w:rPr>
              <w:t>综合评分相等时，以投标报价低的优先；投标报价也相等的，以监理大纲得分高的优先；如果监理大纲得分也相等，按照资信业绩、其他评审因素的顺序得分高的优先</w:t>
            </w:r>
            <w:r>
              <w:rPr>
                <w:rFonts w:hint="eastAsia" w:asciiTheme="majorEastAsia" w:hAnsiTheme="majorEastAsia" w:eastAsiaTheme="majorEastAsia"/>
                <w:highlight w:val="none"/>
              </w:rPr>
              <w:t>。</w:t>
            </w:r>
            <w:r>
              <w:rPr>
                <w:rFonts w:ascii="黑体" w:hAnsi="黑体" w:eastAsia="黑体"/>
                <w:bCs/>
                <w:highlight w:val="none"/>
              </w:rPr>
              <w:t>若以上各项评分因素得分都相等，则通过评委会投票表决，推荐票数多的投标人排序在先</w:t>
            </w:r>
            <w:r>
              <w:rPr>
                <w:rFonts w:hint="eastAsia" w:ascii="黑体" w:hAnsi="黑体" w:eastAsia="黑体"/>
                <w:bCs/>
                <w:highlight w:val="none"/>
              </w:rPr>
              <w:t>。</w:t>
            </w:r>
          </w:p>
        </w:tc>
      </w:tr>
    </w:tbl>
    <w:p w14:paraId="634EE013">
      <w:pPr>
        <w:spacing w:before="240" w:beforeLines="100" w:line="360" w:lineRule="auto"/>
        <w:rPr>
          <w:rFonts w:hint="eastAsia" w:ascii="黑体" w:hAnsi="黑体" w:eastAsia="黑体"/>
          <w:sz w:val="24"/>
          <w:szCs w:val="18"/>
          <w:highlight w:val="none"/>
          <w:lang w:val="zh-CN"/>
        </w:rPr>
      </w:pPr>
      <w:r>
        <w:rPr>
          <w:rFonts w:hint="eastAsia" w:ascii="黑体" w:hAnsi="黑体" w:eastAsia="黑体"/>
          <w:sz w:val="24"/>
          <w:szCs w:val="18"/>
          <w:highlight w:val="none"/>
          <w:lang w:val="zh-CN"/>
        </w:rPr>
        <w:t>2.1初步评审标准</w:t>
      </w:r>
    </w:p>
    <w:p w14:paraId="63F72E2A">
      <w:pPr>
        <w:spacing w:line="360" w:lineRule="auto"/>
        <w:rPr>
          <w:rFonts w:hint="eastAsia" w:ascii="黑体" w:hAnsi="黑体" w:eastAsia="黑体"/>
          <w:sz w:val="24"/>
          <w:szCs w:val="18"/>
          <w:highlight w:val="none"/>
          <w:lang w:val="zh-CN"/>
        </w:rPr>
      </w:pPr>
      <w:r>
        <w:rPr>
          <w:rFonts w:ascii="黑体" w:hAnsi="黑体" w:eastAsia="黑体"/>
          <w:sz w:val="24"/>
          <w:szCs w:val="18"/>
          <w:highlight w:val="none"/>
          <w:lang w:val="zh-CN"/>
        </w:rPr>
        <w:t xml:space="preserve">2.1.1 </w:t>
      </w:r>
      <w:r>
        <w:rPr>
          <w:rFonts w:hint="eastAsia" w:ascii="黑体" w:hAnsi="黑体" w:eastAsia="黑体"/>
          <w:sz w:val="24"/>
          <w:szCs w:val="18"/>
          <w:highlight w:val="none"/>
          <w:lang w:val="zh-CN"/>
        </w:rPr>
        <w:t>形式评审标准</w:t>
      </w:r>
    </w:p>
    <w:tbl>
      <w:tblPr>
        <w:tblStyle w:val="22"/>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17"/>
        <w:gridCol w:w="841"/>
        <w:gridCol w:w="1508"/>
        <w:gridCol w:w="6498"/>
      </w:tblGrid>
      <w:tr w14:paraId="2648F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58" w:type="pct"/>
            <w:gridSpan w:val="2"/>
            <w:tcBorders>
              <w:left w:val="single" w:color="000000" w:sz="10" w:space="0"/>
              <w:right w:val="single" w:color="000000" w:sz="4" w:space="0"/>
            </w:tcBorders>
            <w:vAlign w:val="center"/>
          </w:tcPr>
          <w:p w14:paraId="1CB2E55D">
            <w:pPr>
              <w:spacing w:line="360" w:lineRule="exact"/>
              <w:jc w:val="center"/>
              <w:rPr>
                <w:rFonts w:hint="eastAsia" w:ascii="宋体" w:hAnsi="宋体" w:eastAsia="宋体" w:cs="宋体"/>
                <w:sz w:val="20"/>
                <w:szCs w:val="20"/>
                <w:highlight w:val="none"/>
              </w:rPr>
            </w:pPr>
            <w:r>
              <w:rPr>
                <w:rFonts w:ascii="宋体" w:hAnsi="宋体" w:eastAsia="宋体" w:cs="宋体"/>
                <w:sz w:val="20"/>
                <w:szCs w:val="20"/>
                <w:highlight w:val="none"/>
              </w:rPr>
              <w:t>条款号</w:t>
            </w:r>
          </w:p>
        </w:tc>
        <w:tc>
          <w:tcPr>
            <w:tcW w:w="780" w:type="pct"/>
            <w:tcBorders>
              <w:left w:val="single" w:color="000000" w:sz="4" w:space="0"/>
              <w:right w:val="single" w:color="000000" w:sz="4" w:space="0"/>
            </w:tcBorders>
            <w:vAlign w:val="center"/>
          </w:tcPr>
          <w:p w14:paraId="1615EE0A">
            <w:pPr>
              <w:spacing w:line="360" w:lineRule="exact"/>
              <w:jc w:val="center"/>
              <w:rPr>
                <w:rFonts w:hint="eastAsia" w:ascii="宋体" w:hAnsi="宋体" w:eastAsia="宋体" w:cs="宋体"/>
                <w:highlight w:val="none"/>
              </w:rPr>
            </w:pPr>
            <w:r>
              <w:rPr>
                <w:rFonts w:ascii="宋体" w:hAnsi="宋体" w:eastAsia="宋体" w:cs="宋体"/>
                <w:highlight w:val="none"/>
              </w:rPr>
              <w:t>评审因素</w:t>
            </w:r>
          </w:p>
        </w:tc>
        <w:tc>
          <w:tcPr>
            <w:tcW w:w="3362" w:type="pct"/>
            <w:tcBorders>
              <w:left w:val="single" w:color="000000" w:sz="4" w:space="0"/>
              <w:right w:val="single" w:color="000000" w:sz="10" w:space="0"/>
            </w:tcBorders>
            <w:vAlign w:val="center"/>
          </w:tcPr>
          <w:p w14:paraId="6259B386">
            <w:pPr>
              <w:spacing w:line="360" w:lineRule="exact"/>
              <w:jc w:val="center"/>
              <w:rPr>
                <w:rFonts w:hint="eastAsia" w:ascii="宋体" w:hAnsi="宋体" w:eastAsia="宋体" w:cs="宋体"/>
                <w:highlight w:val="none"/>
              </w:rPr>
            </w:pPr>
            <w:r>
              <w:rPr>
                <w:rFonts w:ascii="宋体" w:hAnsi="宋体" w:eastAsia="宋体" w:cs="宋体"/>
                <w:highlight w:val="none"/>
              </w:rPr>
              <w:t>评审标准</w:t>
            </w:r>
          </w:p>
        </w:tc>
      </w:tr>
      <w:tr w14:paraId="584A8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423" w:type="pct"/>
            <w:vMerge w:val="restart"/>
            <w:tcBorders>
              <w:left w:val="single" w:color="000000" w:sz="10" w:space="0"/>
              <w:bottom w:val="nil"/>
              <w:right w:val="single" w:color="000000" w:sz="4" w:space="0"/>
            </w:tcBorders>
            <w:vAlign w:val="center"/>
          </w:tcPr>
          <w:p w14:paraId="58337EA9">
            <w:pPr>
              <w:spacing w:line="360" w:lineRule="exact"/>
              <w:jc w:val="center"/>
              <w:rPr>
                <w:rFonts w:hint="eastAsia" w:ascii="黑体" w:hAnsi="黑体" w:eastAsia="黑体" w:cs="宋体"/>
                <w:highlight w:val="none"/>
              </w:rPr>
            </w:pPr>
            <w:r>
              <w:rPr>
                <w:rFonts w:ascii="黑体" w:hAnsi="黑体" w:eastAsia="黑体" w:cs="宋体"/>
                <w:highlight w:val="none"/>
              </w:rPr>
              <w:t>2.1.1</w:t>
            </w:r>
          </w:p>
        </w:tc>
        <w:tc>
          <w:tcPr>
            <w:tcW w:w="435" w:type="pct"/>
            <w:vMerge w:val="restart"/>
            <w:tcBorders>
              <w:left w:val="single" w:color="000000" w:sz="4" w:space="0"/>
              <w:bottom w:val="nil"/>
              <w:right w:val="single" w:color="000000" w:sz="4" w:space="0"/>
            </w:tcBorders>
            <w:vAlign w:val="center"/>
          </w:tcPr>
          <w:p w14:paraId="4A8EF555">
            <w:pPr>
              <w:spacing w:line="360" w:lineRule="exact"/>
              <w:jc w:val="center"/>
              <w:rPr>
                <w:rFonts w:hint="eastAsia" w:ascii="黑体" w:hAnsi="黑体" w:eastAsia="黑体" w:cs="宋体"/>
                <w:highlight w:val="none"/>
              </w:rPr>
            </w:pPr>
            <w:r>
              <w:rPr>
                <w:rFonts w:ascii="黑体" w:hAnsi="黑体" w:eastAsia="黑体" w:cs="宋体"/>
                <w:highlight w:val="none"/>
              </w:rPr>
              <w:t>形式</w:t>
            </w:r>
          </w:p>
          <w:p w14:paraId="696692D8">
            <w:pPr>
              <w:spacing w:line="360" w:lineRule="exact"/>
              <w:jc w:val="center"/>
              <w:rPr>
                <w:rFonts w:hint="eastAsia" w:ascii="黑体" w:hAnsi="黑体" w:eastAsia="黑体" w:cs="宋体"/>
                <w:highlight w:val="none"/>
              </w:rPr>
            </w:pPr>
            <w:r>
              <w:rPr>
                <w:rFonts w:ascii="黑体" w:hAnsi="黑体" w:eastAsia="黑体" w:cs="宋体"/>
                <w:highlight w:val="none"/>
              </w:rPr>
              <w:t>评审</w:t>
            </w:r>
          </w:p>
          <w:p w14:paraId="1F1C67ED">
            <w:pPr>
              <w:spacing w:line="360" w:lineRule="exact"/>
              <w:jc w:val="center"/>
              <w:rPr>
                <w:rFonts w:hint="eastAsia" w:ascii="黑体" w:hAnsi="黑体" w:eastAsia="黑体" w:cs="宋体"/>
                <w:highlight w:val="none"/>
              </w:rPr>
            </w:pPr>
            <w:r>
              <w:rPr>
                <w:rFonts w:ascii="黑体" w:hAnsi="黑体" w:eastAsia="黑体" w:cs="宋体"/>
                <w:highlight w:val="none"/>
              </w:rPr>
              <w:t>标准</w:t>
            </w:r>
          </w:p>
        </w:tc>
        <w:tc>
          <w:tcPr>
            <w:tcW w:w="780" w:type="pct"/>
            <w:tcBorders>
              <w:left w:val="single" w:color="000000" w:sz="4" w:space="0"/>
              <w:right w:val="single" w:color="000000" w:sz="4" w:space="0"/>
            </w:tcBorders>
            <w:vAlign w:val="center"/>
          </w:tcPr>
          <w:p w14:paraId="1FCBA174">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投标人名称</w:t>
            </w:r>
          </w:p>
        </w:tc>
        <w:tc>
          <w:tcPr>
            <w:tcW w:w="3362" w:type="pct"/>
            <w:tcBorders>
              <w:left w:val="single" w:color="000000" w:sz="4" w:space="0"/>
              <w:right w:val="single" w:color="000000" w:sz="10" w:space="0"/>
            </w:tcBorders>
            <w:vAlign w:val="center"/>
          </w:tcPr>
          <w:p w14:paraId="61FD9503">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与营业执照、资质证书</w:t>
            </w:r>
            <w:r>
              <w:rPr>
                <w:rFonts w:ascii="宋体" w:hAnsi="宋体" w:eastAsia="宋体"/>
                <w:highlight w:val="none"/>
              </w:rPr>
              <w:t>一致。</w:t>
            </w:r>
          </w:p>
        </w:tc>
      </w:tr>
      <w:tr w14:paraId="3B64B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423" w:type="pct"/>
            <w:vMerge w:val="continue"/>
            <w:tcBorders>
              <w:top w:val="nil"/>
              <w:left w:val="single" w:color="000000" w:sz="10" w:space="0"/>
              <w:bottom w:val="nil"/>
              <w:right w:val="single" w:color="000000" w:sz="4" w:space="0"/>
            </w:tcBorders>
            <w:vAlign w:val="center"/>
          </w:tcPr>
          <w:p w14:paraId="3DDA8D6E">
            <w:pPr>
              <w:spacing w:line="360" w:lineRule="exact"/>
              <w:jc w:val="center"/>
              <w:rPr>
                <w:rFonts w:hint="eastAsia" w:ascii="黑体" w:hAnsi="黑体" w:eastAsia="黑体" w:cs="宋体"/>
                <w:highlight w:val="none"/>
              </w:rPr>
            </w:pPr>
          </w:p>
        </w:tc>
        <w:tc>
          <w:tcPr>
            <w:tcW w:w="435" w:type="pct"/>
            <w:vMerge w:val="continue"/>
            <w:tcBorders>
              <w:top w:val="nil"/>
              <w:left w:val="single" w:color="000000" w:sz="4" w:space="0"/>
              <w:bottom w:val="nil"/>
              <w:right w:val="single" w:color="000000" w:sz="4" w:space="0"/>
            </w:tcBorders>
            <w:vAlign w:val="center"/>
          </w:tcPr>
          <w:p w14:paraId="04708F2E">
            <w:pPr>
              <w:spacing w:line="360" w:lineRule="exact"/>
              <w:jc w:val="center"/>
              <w:rPr>
                <w:rFonts w:hint="eastAsia" w:ascii="黑体" w:hAnsi="黑体" w:eastAsia="黑体" w:cs="宋体"/>
                <w:highlight w:val="none"/>
              </w:rPr>
            </w:pPr>
          </w:p>
        </w:tc>
        <w:tc>
          <w:tcPr>
            <w:tcW w:w="780" w:type="pct"/>
            <w:tcBorders>
              <w:left w:val="single" w:color="000000" w:sz="4" w:space="0"/>
              <w:right w:val="single" w:color="000000" w:sz="4" w:space="0"/>
            </w:tcBorders>
            <w:vAlign w:val="center"/>
          </w:tcPr>
          <w:p w14:paraId="6D317F7F">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投标函及投标函附录签字盖章</w:t>
            </w:r>
          </w:p>
        </w:tc>
        <w:tc>
          <w:tcPr>
            <w:tcW w:w="3362" w:type="pct"/>
            <w:tcBorders>
              <w:left w:val="single" w:color="000000" w:sz="4" w:space="0"/>
              <w:right w:val="single" w:color="000000" w:sz="10" w:space="0"/>
            </w:tcBorders>
            <w:vAlign w:val="center"/>
          </w:tcPr>
          <w:p w14:paraId="1EF51649">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有法定代表人或其委托代理人签字</w:t>
            </w:r>
            <w:r>
              <w:rPr>
                <w:rFonts w:hint="eastAsia" w:cs="宋体" w:asciiTheme="majorEastAsia" w:hAnsiTheme="majorEastAsia" w:eastAsiaTheme="majorEastAsia"/>
                <w:highlight w:val="none"/>
              </w:rPr>
              <w:t>或</w:t>
            </w:r>
            <w:r>
              <w:rPr>
                <w:rFonts w:cs="宋体" w:asciiTheme="majorEastAsia" w:hAnsiTheme="majorEastAsia" w:eastAsiaTheme="majorEastAsia"/>
                <w:highlight w:val="none"/>
              </w:rPr>
              <w:t>加盖单位章。由法定代表人签字的，应附法定代表人身份证明，由代理人签字的，应附授权委托书，身份证</w:t>
            </w:r>
            <w:r>
              <w:rPr>
                <w:rFonts w:cs="宋体" w:asciiTheme="minorEastAsia" w:hAnsiTheme="minorEastAsia" w:eastAsiaTheme="minorEastAsia"/>
                <w:highlight w:val="none"/>
              </w:rPr>
              <w:t>明或授权委托书应符合第六章“投标文件格式”的规定。</w:t>
            </w:r>
          </w:p>
        </w:tc>
      </w:tr>
      <w:tr w14:paraId="34338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423" w:type="pct"/>
            <w:vMerge w:val="continue"/>
            <w:tcBorders>
              <w:top w:val="nil"/>
              <w:left w:val="single" w:color="000000" w:sz="10" w:space="0"/>
              <w:bottom w:val="nil"/>
              <w:right w:val="single" w:color="000000" w:sz="4" w:space="0"/>
            </w:tcBorders>
            <w:vAlign w:val="center"/>
          </w:tcPr>
          <w:p w14:paraId="22F753A6">
            <w:pPr>
              <w:spacing w:line="360" w:lineRule="exact"/>
              <w:jc w:val="center"/>
              <w:rPr>
                <w:rFonts w:hint="eastAsia" w:ascii="黑体" w:hAnsi="黑体" w:eastAsia="黑体" w:cs="宋体"/>
                <w:highlight w:val="none"/>
              </w:rPr>
            </w:pPr>
          </w:p>
        </w:tc>
        <w:tc>
          <w:tcPr>
            <w:tcW w:w="435" w:type="pct"/>
            <w:vMerge w:val="continue"/>
            <w:tcBorders>
              <w:top w:val="nil"/>
              <w:left w:val="single" w:color="000000" w:sz="4" w:space="0"/>
              <w:bottom w:val="nil"/>
              <w:right w:val="single" w:color="000000" w:sz="4" w:space="0"/>
            </w:tcBorders>
            <w:vAlign w:val="center"/>
          </w:tcPr>
          <w:p w14:paraId="0550D71B">
            <w:pPr>
              <w:spacing w:line="360" w:lineRule="exact"/>
              <w:jc w:val="center"/>
              <w:rPr>
                <w:rFonts w:hint="eastAsia" w:ascii="黑体" w:hAnsi="黑体" w:eastAsia="黑体" w:cs="宋体"/>
                <w:highlight w:val="none"/>
              </w:rPr>
            </w:pPr>
          </w:p>
        </w:tc>
        <w:tc>
          <w:tcPr>
            <w:tcW w:w="780" w:type="pct"/>
            <w:tcBorders>
              <w:left w:val="single" w:color="000000" w:sz="4" w:space="0"/>
              <w:right w:val="single" w:color="000000" w:sz="4" w:space="0"/>
            </w:tcBorders>
            <w:vAlign w:val="center"/>
          </w:tcPr>
          <w:p w14:paraId="0958EB72">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投标文件格式</w:t>
            </w:r>
          </w:p>
        </w:tc>
        <w:tc>
          <w:tcPr>
            <w:tcW w:w="3362" w:type="pct"/>
            <w:tcBorders>
              <w:left w:val="single" w:color="000000" w:sz="4" w:space="0"/>
              <w:right w:val="single" w:color="000000" w:sz="10" w:space="0"/>
            </w:tcBorders>
            <w:vAlign w:val="center"/>
          </w:tcPr>
          <w:p w14:paraId="334D3694">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符合第六章“投标文件格式”的规定。</w:t>
            </w:r>
          </w:p>
        </w:tc>
      </w:tr>
      <w:tr w14:paraId="041C4B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423" w:type="pct"/>
            <w:vMerge w:val="continue"/>
            <w:tcBorders>
              <w:top w:val="nil"/>
              <w:left w:val="single" w:color="000000" w:sz="10" w:space="0"/>
              <w:right w:val="single" w:color="000000" w:sz="4" w:space="0"/>
            </w:tcBorders>
            <w:vAlign w:val="center"/>
          </w:tcPr>
          <w:p w14:paraId="38E14576">
            <w:pPr>
              <w:spacing w:line="360" w:lineRule="exact"/>
              <w:jc w:val="center"/>
              <w:rPr>
                <w:rFonts w:hint="eastAsia" w:ascii="黑体" w:hAnsi="黑体" w:eastAsia="黑体" w:cs="宋体"/>
                <w:highlight w:val="none"/>
              </w:rPr>
            </w:pPr>
          </w:p>
        </w:tc>
        <w:tc>
          <w:tcPr>
            <w:tcW w:w="435" w:type="pct"/>
            <w:vMerge w:val="continue"/>
            <w:tcBorders>
              <w:top w:val="nil"/>
              <w:left w:val="single" w:color="000000" w:sz="4" w:space="0"/>
              <w:right w:val="single" w:color="000000" w:sz="4" w:space="0"/>
            </w:tcBorders>
            <w:vAlign w:val="center"/>
          </w:tcPr>
          <w:p w14:paraId="35328ACC">
            <w:pPr>
              <w:spacing w:line="360" w:lineRule="exact"/>
              <w:jc w:val="center"/>
              <w:rPr>
                <w:rFonts w:hint="eastAsia" w:ascii="黑体" w:hAnsi="黑体" w:eastAsia="黑体" w:cs="宋体"/>
                <w:highlight w:val="none"/>
              </w:rPr>
            </w:pPr>
          </w:p>
        </w:tc>
        <w:tc>
          <w:tcPr>
            <w:tcW w:w="780" w:type="pct"/>
            <w:tcBorders>
              <w:left w:val="single" w:color="000000" w:sz="4" w:space="0"/>
              <w:right w:val="single" w:color="000000" w:sz="4" w:space="0"/>
            </w:tcBorders>
            <w:vAlign w:val="center"/>
          </w:tcPr>
          <w:p w14:paraId="6F038029">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联合体投标人</w:t>
            </w:r>
          </w:p>
        </w:tc>
        <w:tc>
          <w:tcPr>
            <w:tcW w:w="3362" w:type="pct"/>
            <w:tcBorders>
              <w:left w:val="single" w:color="000000" w:sz="4" w:space="0"/>
              <w:right w:val="single" w:color="000000" w:sz="10" w:space="0"/>
            </w:tcBorders>
            <w:vAlign w:val="center"/>
          </w:tcPr>
          <w:p w14:paraId="74588CBE">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投标人未以联合</w:t>
            </w:r>
            <w:r>
              <w:rPr>
                <w:rFonts w:hint="eastAsia" w:cs="宋体" w:asciiTheme="majorEastAsia" w:hAnsiTheme="majorEastAsia" w:eastAsiaTheme="majorEastAsia"/>
                <w:highlight w:val="none"/>
              </w:rPr>
              <w:t>体形式投标。</w:t>
            </w:r>
          </w:p>
        </w:tc>
      </w:tr>
      <w:tr w14:paraId="16B1E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423" w:type="pct"/>
            <w:vMerge w:val="continue"/>
            <w:tcBorders>
              <w:top w:val="nil"/>
              <w:left w:val="single" w:color="000000" w:sz="10" w:space="0"/>
              <w:right w:val="single" w:color="000000" w:sz="4" w:space="0"/>
            </w:tcBorders>
            <w:vAlign w:val="center"/>
          </w:tcPr>
          <w:p w14:paraId="4C99F3DA">
            <w:pPr>
              <w:spacing w:line="360" w:lineRule="exact"/>
              <w:jc w:val="center"/>
              <w:rPr>
                <w:rFonts w:hint="eastAsia" w:ascii="黑体" w:hAnsi="黑体" w:eastAsia="黑体" w:cs="宋体"/>
                <w:highlight w:val="none"/>
              </w:rPr>
            </w:pPr>
          </w:p>
        </w:tc>
        <w:tc>
          <w:tcPr>
            <w:tcW w:w="435" w:type="pct"/>
            <w:vMerge w:val="continue"/>
            <w:tcBorders>
              <w:top w:val="nil"/>
              <w:left w:val="single" w:color="000000" w:sz="4" w:space="0"/>
              <w:right w:val="single" w:color="000000" w:sz="4" w:space="0"/>
            </w:tcBorders>
            <w:vAlign w:val="center"/>
          </w:tcPr>
          <w:p w14:paraId="492CDED7">
            <w:pPr>
              <w:spacing w:line="360" w:lineRule="exact"/>
              <w:jc w:val="center"/>
              <w:rPr>
                <w:rFonts w:hint="eastAsia" w:ascii="黑体" w:hAnsi="黑体" w:eastAsia="黑体" w:cs="宋体"/>
                <w:highlight w:val="none"/>
              </w:rPr>
            </w:pPr>
          </w:p>
        </w:tc>
        <w:tc>
          <w:tcPr>
            <w:tcW w:w="780" w:type="pct"/>
            <w:tcBorders>
              <w:left w:val="single" w:color="000000" w:sz="4" w:space="0"/>
              <w:right w:val="single" w:color="000000" w:sz="4" w:space="0"/>
            </w:tcBorders>
            <w:vAlign w:val="center"/>
          </w:tcPr>
          <w:p w14:paraId="596DC67B">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报价唯一</w:t>
            </w:r>
          </w:p>
        </w:tc>
        <w:tc>
          <w:tcPr>
            <w:tcW w:w="3362" w:type="pct"/>
            <w:tcBorders>
              <w:left w:val="single" w:color="000000" w:sz="4" w:space="0"/>
              <w:right w:val="single" w:color="000000" w:sz="10" w:space="0"/>
            </w:tcBorders>
            <w:vAlign w:val="center"/>
          </w:tcPr>
          <w:p w14:paraId="6364377F">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只能有一个有效报价。</w:t>
            </w:r>
          </w:p>
        </w:tc>
      </w:tr>
    </w:tbl>
    <w:p w14:paraId="76C7C865">
      <w:pPr>
        <w:spacing w:before="240" w:beforeLines="100" w:line="360" w:lineRule="auto"/>
        <w:rPr>
          <w:rFonts w:hint="eastAsia" w:ascii="黑体" w:hAnsi="黑体" w:eastAsia="黑体"/>
          <w:sz w:val="24"/>
          <w:szCs w:val="18"/>
          <w:highlight w:val="none"/>
          <w:lang w:val="zh-CN"/>
        </w:rPr>
      </w:pPr>
      <w:r>
        <w:rPr>
          <w:rFonts w:hint="eastAsia" w:ascii="黑体" w:hAnsi="黑体" w:eastAsia="黑体"/>
          <w:sz w:val="24"/>
          <w:szCs w:val="18"/>
          <w:highlight w:val="none"/>
          <w:lang w:val="zh-CN"/>
        </w:rPr>
        <w:t>2.1.2</w:t>
      </w:r>
      <w:r>
        <w:rPr>
          <w:rFonts w:ascii="黑体" w:hAnsi="黑体" w:eastAsia="黑体"/>
          <w:sz w:val="24"/>
          <w:szCs w:val="18"/>
          <w:highlight w:val="none"/>
          <w:lang w:val="zh-CN"/>
        </w:rPr>
        <w:t xml:space="preserve"> </w:t>
      </w:r>
      <w:r>
        <w:rPr>
          <w:rFonts w:hint="eastAsia" w:ascii="黑体" w:hAnsi="黑体" w:eastAsia="黑体"/>
          <w:sz w:val="24"/>
          <w:szCs w:val="18"/>
          <w:highlight w:val="none"/>
          <w:lang w:val="zh-CN"/>
        </w:rPr>
        <w:t>资格评审标准</w:t>
      </w:r>
    </w:p>
    <w:tbl>
      <w:tblPr>
        <w:tblStyle w:val="22"/>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84"/>
        <w:gridCol w:w="873"/>
        <w:gridCol w:w="1506"/>
        <w:gridCol w:w="6493"/>
      </w:tblGrid>
      <w:tr w14:paraId="0E06A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858" w:type="pct"/>
            <w:gridSpan w:val="2"/>
            <w:tcBorders>
              <w:top w:val="single" w:color="auto" w:sz="4" w:space="0"/>
              <w:left w:val="single" w:color="auto" w:sz="4" w:space="0"/>
              <w:bottom w:val="single" w:color="auto" w:sz="4" w:space="0"/>
              <w:right w:val="single" w:color="auto" w:sz="4" w:space="0"/>
            </w:tcBorders>
            <w:vAlign w:val="center"/>
          </w:tcPr>
          <w:p w14:paraId="695FCA11">
            <w:pPr>
              <w:spacing w:line="360" w:lineRule="exact"/>
              <w:jc w:val="center"/>
              <w:rPr>
                <w:rFonts w:hint="eastAsia" w:ascii="宋体" w:hAnsi="宋体" w:eastAsia="宋体" w:cs="宋体"/>
                <w:sz w:val="20"/>
                <w:szCs w:val="20"/>
                <w:highlight w:val="none"/>
              </w:rPr>
            </w:pPr>
            <w:r>
              <w:rPr>
                <w:rFonts w:ascii="宋体" w:hAnsi="宋体" w:eastAsia="宋体" w:cs="宋体"/>
                <w:sz w:val="20"/>
                <w:szCs w:val="20"/>
                <w:highlight w:val="none"/>
              </w:rPr>
              <w:t>条款号</w:t>
            </w:r>
          </w:p>
        </w:tc>
        <w:tc>
          <w:tcPr>
            <w:tcW w:w="780" w:type="pct"/>
            <w:tcBorders>
              <w:top w:val="single" w:color="auto" w:sz="4" w:space="0"/>
              <w:left w:val="single" w:color="auto" w:sz="4" w:space="0"/>
              <w:bottom w:val="single" w:color="auto" w:sz="4" w:space="0"/>
              <w:right w:val="single" w:color="auto" w:sz="4" w:space="0"/>
            </w:tcBorders>
            <w:vAlign w:val="center"/>
          </w:tcPr>
          <w:p w14:paraId="1AD7E64A">
            <w:pPr>
              <w:spacing w:line="360" w:lineRule="exact"/>
              <w:jc w:val="center"/>
              <w:rPr>
                <w:rFonts w:hint="eastAsia" w:ascii="宋体" w:hAnsi="宋体" w:eastAsia="宋体" w:cs="宋体"/>
                <w:highlight w:val="none"/>
              </w:rPr>
            </w:pPr>
            <w:r>
              <w:rPr>
                <w:rFonts w:ascii="宋体" w:hAnsi="宋体" w:eastAsia="宋体" w:cs="宋体"/>
                <w:highlight w:val="none"/>
              </w:rPr>
              <w:t>评审因素</w:t>
            </w:r>
          </w:p>
        </w:tc>
        <w:tc>
          <w:tcPr>
            <w:tcW w:w="3362" w:type="pct"/>
            <w:tcBorders>
              <w:left w:val="single" w:color="auto" w:sz="4" w:space="0"/>
              <w:right w:val="single" w:color="000000" w:sz="10" w:space="0"/>
            </w:tcBorders>
            <w:vAlign w:val="center"/>
          </w:tcPr>
          <w:p w14:paraId="67AA5EE0">
            <w:pPr>
              <w:spacing w:line="360" w:lineRule="exact"/>
              <w:jc w:val="center"/>
              <w:rPr>
                <w:rFonts w:hint="eastAsia" w:ascii="宋体" w:hAnsi="宋体" w:eastAsia="宋体" w:cs="宋体"/>
                <w:highlight w:val="none"/>
              </w:rPr>
            </w:pPr>
            <w:r>
              <w:rPr>
                <w:rFonts w:ascii="宋体" w:hAnsi="宋体" w:eastAsia="宋体" w:cs="宋体"/>
                <w:highlight w:val="none"/>
              </w:rPr>
              <w:t>评审标准</w:t>
            </w:r>
          </w:p>
        </w:tc>
      </w:tr>
      <w:tr w14:paraId="20741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9" w:hRule="atLeast"/>
        </w:trPr>
        <w:tc>
          <w:tcPr>
            <w:tcW w:w="406" w:type="pct"/>
            <w:vMerge w:val="restart"/>
            <w:tcBorders>
              <w:top w:val="single" w:color="auto" w:sz="4" w:space="0"/>
              <w:left w:val="single" w:color="auto" w:sz="4" w:space="0"/>
              <w:bottom w:val="single" w:color="auto" w:sz="4" w:space="0"/>
              <w:right w:val="single" w:color="auto" w:sz="4" w:space="0"/>
            </w:tcBorders>
            <w:vAlign w:val="center"/>
          </w:tcPr>
          <w:p w14:paraId="3061D599">
            <w:pPr>
              <w:spacing w:line="360" w:lineRule="exact"/>
              <w:jc w:val="center"/>
              <w:rPr>
                <w:rFonts w:hint="eastAsia" w:ascii="黑体" w:hAnsi="黑体" w:eastAsia="黑体" w:cs="宋体"/>
                <w:highlight w:val="none"/>
              </w:rPr>
            </w:pPr>
            <w:r>
              <w:rPr>
                <w:rFonts w:ascii="黑体" w:hAnsi="黑体" w:eastAsia="黑体" w:cs="宋体"/>
                <w:highlight w:val="none"/>
              </w:rPr>
              <w:t xml:space="preserve">2.1.2 </w:t>
            </w:r>
          </w:p>
        </w:tc>
        <w:tc>
          <w:tcPr>
            <w:tcW w:w="452" w:type="pct"/>
            <w:vMerge w:val="restart"/>
            <w:tcBorders>
              <w:top w:val="single" w:color="auto" w:sz="4" w:space="0"/>
              <w:left w:val="single" w:color="auto" w:sz="4" w:space="0"/>
              <w:bottom w:val="single" w:color="auto" w:sz="4" w:space="0"/>
              <w:right w:val="single" w:color="auto" w:sz="4" w:space="0"/>
            </w:tcBorders>
            <w:vAlign w:val="center"/>
          </w:tcPr>
          <w:p w14:paraId="344C170A">
            <w:pPr>
              <w:spacing w:line="360" w:lineRule="exact"/>
              <w:jc w:val="center"/>
              <w:rPr>
                <w:rFonts w:hint="eastAsia" w:ascii="黑体" w:hAnsi="黑体" w:eastAsia="黑体" w:cs="宋体"/>
                <w:highlight w:val="none"/>
              </w:rPr>
            </w:pPr>
            <w:r>
              <w:rPr>
                <w:rFonts w:ascii="黑体" w:hAnsi="黑体" w:eastAsia="黑体" w:cs="宋体"/>
                <w:highlight w:val="none"/>
              </w:rPr>
              <w:t>资格</w:t>
            </w:r>
          </w:p>
          <w:p w14:paraId="661CA6E8">
            <w:pPr>
              <w:spacing w:line="360" w:lineRule="exact"/>
              <w:jc w:val="center"/>
              <w:rPr>
                <w:rFonts w:hint="eastAsia" w:ascii="黑体" w:hAnsi="黑体" w:eastAsia="黑体" w:cs="宋体"/>
                <w:highlight w:val="none"/>
              </w:rPr>
            </w:pPr>
            <w:r>
              <w:rPr>
                <w:rFonts w:ascii="黑体" w:hAnsi="黑体" w:eastAsia="黑体" w:cs="宋体"/>
                <w:highlight w:val="none"/>
              </w:rPr>
              <w:t>评审</w:t>
            </w:r>
          </w:p>
          <w:p w14:paraId="743C0F09">
            <w:pPr>
              <w:spacing w:line="360" w:lineRule="exact"/>
              <w:jc w:val="center"/>
              <w:rPr>
                <w:rFonts w:hint="eastAsia" w:ascii="黑体" w:hAnsi="黑体" w:eastAsia="黑体" w:cs="宋体"/>
                <w:highlight w:val="none"/>
              </w:rPr>
            </w:pPr>
            <w:r>
              <w:rPr>
                <w:rFonts w:ascii="黑体" w:hAnsi="黑体" w:eastAsia="黑体" w:cs="宋体"/>
                <w:highlight w:val="none"/>
              </w:rPr>
              <w:t>标准</w:t>
            </w:r>
          </w:p>
        </w:tc>
        <w:tc>
          <w:tcPr>
            <w:tcW w:w="780" w:type="pct"/>
            <w:tcBorders>
              <w:top w:val="single" w:color="auto" w:sz="4" w:space="0"/>
              <w:left w:val="single" w:color="auto" w:sz="4" w:space="0"/>
              <w:bottom w:val="single" w:color="auto" w:sz="4" w:space="0"/>
              <w:right w:val="single" w:color="auto" w:sz="4" w:space="0"/>
            </w:tcBorders>
            <w:vAlign w:val="center"/>
          </w:tcPr>
          <w:p w14:paraId="3F19B6AB">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营业执照</w:t>
            </w:r>
          </w:p>
        </w:tc>
        <w:tc>
          <w:tcPr>
            <w:tcW w:w="3362" w:type="pct"/>
            <w:tcBorders>
              <w:left w:val="single" w:color="auto" w:sz="4" w:space="0"/>
              <w:right w:val="single" w:color="000000" w:sz="10" w:space="0"/>
            </w:tcBorders>
            <w:vAlign w:val="center"/>
          </w:tcPr>
          <w:p w14:paraId="7E480EB1">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符合第二章“投标人须知”第 3.5.1项规定</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具备有效的营业执照</w:t>
            </w:r>
            <w:r>
              <w:rPr>
                <w:rFonts w:hint="eastAsia" w:cs="宋体" w:asciiTheme="minorEastAsia" w:hAnsiTheme="minorEastAsia" w:eastAsiaTheme="minorEastAsia"/>
                <w:highlight w:val="none"/>
              </w:rPr>
              <w:t>。</w:t>
            </w:r>
          </w:p>
          <w:p w14:paraId="2D6896F6">
            <w:pPr>
              <w:spacing w:line="360" w:lineRule="exact"/>
              <w:ind w:left="21" w:leftChars="10" w:firstLine="420" w:firstLineChars="200"/>
              <w:jc w:val="both"/>
              <w:rPr>
                <w:rFonts w:hint="eastAsia" w:cs="宋体" w:asciiTheme="majorEastAsia" w:hAnsiTheme="majorEastAsia" w:eastAsiaTheme="majorEastAsia"/>
                <w:highlight w:val="none"/>
              </w:rPr>
            </w:pPr>
            <w:r>
              <w:rPr>
                <w:rFonts w:ascii="黑体" w:hAnsi="黑体" w:eastAsia="黑体" w:cs="宋体"/>
                <w:highlight w:val="none"/>
              </w:rPr>
              <w:t>投标文件内附营业执照 (副本) 扫描件加盖投标单位公章</w:t>
            </w:r>
            <w:r>
              <w:rPr>
                <w:rFonts w:cs="宋体" w:asciiTheme="majorEastAsia" w:hAnsiTheme="majorEastAsia" w:eastAsiaTheme="majorEastAsia"/>
                <w:highlight w:val="none"/>
              </w:rPr>
              <w:t>。</w:t>
            </w:r>
          </w:p>
        </w:tc>
      </w:tr>
      <w:tr w14:paraId="0F8EA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0" w:hRule="atLeast"/>
        </w:trPr>
        <w:tc>
          <w:tcPr>
            <w:tcW w:w="406" w:type="pct"/>
            <w:vMerge w:val="continue"/>
            <w:tcBorders>
              <w:top w:val="single" w:color="auto" w:sz="4" w:space="0"/>
              <w:left w:val="single" w:color="auto" w:sz="4" w:space="0"/>
              <w:bottom w:val="single" w:color="auto" w:sz="4" w:space="0"/>
              <w:right w:val="single" w:color="auto" w:sz="4" w:space="0"/>
            </w:tcBorders>
            <w:vAlign w:val="center"/>
          </w:tcPr>
          <w:p w14:paraId="2169EF1F">
            <w:pPr>
              <w:spacing w:line="360" w:lineRule="exact"/>
              <w:jc w:val="center"/>
              <w:rPr>
                <w:highlight w:val="none"/>
              </w:rPr>
            </w:pPr>
          </w:p>
        </w:tc>
        <w:tc>
          <w:tcPr>
            <w:tcW w:w="452" w:type="pct"/>
            <w:vMerge w:val="continue"/>
            <w:tcBorders>
              <w:top w:val="single" w:color="auto" w:sz="4" w:space="0"/>
              <w:left w:val="single" w:color="auto" w:sz="4" w:space="0"/>
              <w:bottom w:val="single" w:color="auto" w:sz="4" w:space="0"/>
              <w:right w:val="single" w:color="auto" w:sz="4" w:space="0"/>
            </w:tcBorders>
            <w:vAlign w:val="center"/>
          </w:tcPr>
          <w:p w14:paraId="78074D01">
            <w:pPr>
              <w:spacing w:line="360" w:lineRule="exact"/>
              <w:jc w:val="center"/>
              <w:rPr>
                <w:highlight w:val="none"/>
              </w:rPr>
            </w:pPr>
          </w:p>
        </w:tc>
        <w:tc>
          <w:tcPr>
            <w:tcW w:w="780" w:type="pct"/>
            <w:tcBorders>
              <w:top w:val="single" w:color="auto" w:sz="4" w:space="0"/>
              <w:left w:val="single" w:color="auto" w:sz="4" w:space="0"/>
              <w:bottom w:val="single" w:color="auto" w:sz="4" w:space="0"/>
              <w:right w:val="single" w:color="auto" w:sz="4" w:space="0"/>
            </w:tcBorders>
            <w:vAlign w:val="center"/>
          </w:tcPr>
          <w:p w14:paraId="4B2209E9">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资质要求</w:t>
            </w:r>
          </w:p>
        </w:tc>
        <w:tc>
          <w:tcPr>
            <w:tcW w:w="3362" w:type="pct"/>
            <w:tcBorders>
              <w:left w:val="single" w:color="auto" w:sz="4" w:space="0"/>
              <w:right w:val="single" w:color="000000" w:sz="10" w:space="0"/>
            </w:tcBorders>
          </w:tcPr>
          <w:p w14:paraId="69A4980F">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符合第二章“投标人须知”第 1.4.1 项规定</w:t>
            </w:r>
            <w:r>
              <w:rPr>
                <w:rFonts w:hint="eastAsia" w:cs="宋体" w:asciiTheme="majorEastAsia" w:hAnsiTheme="majorEastAsia" w:eastAsiaTheme="majorEastAsia"/>
                <w:highlight w:val="none"/>
              </w:rPr>
              <w:t>：</w:t>
            </w:r>
            <w:r>
              <w:rPr>
                <w:rFonts w:cs="宋体" w:asciiTheme="majorEastAsia" w:hAnsiTheme="majorEastAsia" w:eastAsiaTheme="majorEastAsia"/>
                <w:highlight w:val="none"/>
              </w:rPr>
              <w:t>具备工程监理综合资质或房屋建筑工程监理丙级及以上资质</w:t>
            </w:r>
            <w:r>
              <w:rPr>
                <w:rFonts w:hint="eastAsia" w:cs="宋体" w:asciiTheme="majorEastAsia" w:hAnsiTheme="majorEastAsia" w:eastAsiaTheme="majorEastAsia"/>
                <w:highlight w:val="none"/>
              </w:rPr>
              <w:t>，且</w:t>
            </w:r>
            <w:r>
              <w:rPr>
                <w:rFonts w:cs="宋体" w:asciiTheme="majorEastAsia" w:hAnsiTheme="majorEastAsia" w:eastAsiaTheme="majorEastAsia"/>
                <w:highlight w:val="none"/>
              </w:rPr>
              <w:t>企业资质在吉林省建筑市场监管公共服务平台</w:t>
            </w:r>
            <w:r>
              <w:rPr>
                <w:rFonts w:hint="eastAsia" w:cs="宋体" w:asciiTheme="majorEastAsia" w:hAnsiTheme="majorEastAsia" w:eastAsiaTheme="majorEastAsia"/>
                <w:highlight w:val="none"/>
              </w:rPr>
              <w:t>备案可查</w:t>
            </w:r>
            <w:r>
              <w:rPr>
                <w:rFonts w:cs="宋体" w:asciiTheme="majorEastAsia" w:hAnsiTheme="majorEastAsia" w:eastAsiaTheme="majorEastAsia"/>
                <w:highlight w:val="none"/>
              </w:rPr>
              <w:t>。</w:t>
            </w:r>
          </w:p>
          <w:p w14:paraId="6A6A6AC3">
            <w:pPr>
              <w:spacing w:line="360" w:lineRule="exact"/>
              <w:ind w:left="21" w:leftChars="10" w:firstLine="420" w:firstLineChars="200"/>
              <w:jc w:val="both"/>
              <w:rPr>
                <w:rFonts w:hint="eastAsia" w:cs="宋体" w:asciiTheme="majorEastAsia" w:hAnsiTheme="majorEastAsia" w:eastAsiaTheme="majorEastAsia"/>
                <w:highlight w:val="none"/>
              </w:rPr>
            </w:pPr>
            <w:r>
              <w:rPr>
                <w:rFonts w:ascii="黑体" w:hAnsi="黑体" w:eastAsia="黑体" w:cs="宋体"/>
                <w:highlight w:val="none"/>
              </w:rPr>
              <w:t>投标文件内附资质证书</w:t>
            </w:r>
            <w:r>
              <w:rPr>
                <w:rFonts w:hint="eastAsia" w:ascii="黑体" w:hAnsi="黑体" w:eastAsia="黑体" w:cs="宋体"/>
                <w:highlight w:val="none"/>
              </w:rPr>
              <w:t>副本（或电子证书）</w:t>
            </w:r>
            <w:r>
              <w:rPr>
                <w:rFonts w:ascii="黑体" w:hAnsi="黑体" w:eastAsia="黑体" w:cs="宋体"/>
                <w:highlight w:val="none"/>
              </w:rPr>
              <w:t>、企业资质在吉林省建筑市场监管公共服务平台的有效信息登记查询截图扫描件</w:t>
            </w:r>
            <w:r>
              <w:rPr>
                <w:rFonts w:hint="eastAsia" w:ascii="黑体" w:hAnsi="黑体" w:eastAsia="黑体" w:cs="宋体"/>
                <w:highlight w:val="none"/>
              </w:rPr>
              <w:t>，</w:t>
            </w:r>
            <w:r>
              <w:rPr>
                <w:rFonts w:ascii="黑体" w:hAnsi="黑体" w:eastAsia="黑体" w:cs="宋体"/>
                <w:highlight w:val="none"/>
              </w:rPr>
              <w:t>加盖投标单位公章</w:t>
            </w:r>
            <w:r>
              <w:rPr>
                <w:rFonts w:cs="宋体" w:asciiTheme="majorEastAsia" w:hAnsiTheme="majorEastAsia" w:eastAsiaTheme="majorEastAsia"/>
                <w:highlight w:val="none"/>
              </w:rPr>
              <w:t>。</w:t>
            </w:r>
          </w:p>
        </w:tc>
      </w:tr>
      <w:tr w14:paraId="239987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1" w:hRule="atLeast"/>
        </w:trPr>
        <w:tc>
          <w:tcPr>
            <w:tcW w:w="406" w:type="pct"/>
            <w:vMerge w:val="continue"/>
            <w:tcBorders>
              <w:top w:val="single" w:color="auto" w:sz="4" w:space="0"/>
              <w:left w:val="single" w:color="auto" w:sz="4" w:space="0"/>
              <w:bottom w:val="single" w:color="auto" w:sz="4" w:space="0"/>
              <w:right w:val="single" w:color="auto" w:sz="4" w:space="0"/>
            </w:tcBorders>
            <w:vAlign w:val="center"/>
          </w:tcPr>
          <w:p w14:paraId="6F0CA4CC">
            <w:pPr>
              <w:spacing w:line="360" w:lineRule="exact"/>
              <w:jc w:val="center"/>
              <w:rPr>
                <w:highlight w:val="none"/>
              </w:rPr>
            </w:pPr>
          </w:p>
        </w:tc>
        <w:tc>
          <w:tcPr>
            <w:tcW w:w="452" w:type="pct"/>
            <w:vMerge w:val="continue"/>
            <w:tcBorders>
              <w:top w:val="single" w:color="auto" w:sz="4" w:space="0"/>
              <w:left w:val="single" w:color="auto" w:sz="4" w:space="0"/>
              <w:bottom w:val="single" w:color="auto" w:sz="4" w:space="0"/>
              <w:right w:val="single" w:color="auto" w:sz="4" w:space="0"/>
            </w:tcBorders>
            <w:vAlign w:val="center"/>
          </w:tcPr>
          <w:p w14:paraId="531B26FC">
            <w:pPr>
              <w:spacing w:line="360" w:lineRule="exact"/>
              <w:jc w:val="center"/>
              <w:rPr>
                <w:highlight w:val="none"/>
              </w:rPr>
            </w:pPr>
          </w:p>
        </w:tc>
        <w:tc>
          <w:tcPr>
            <w:tcW w:w="780" w:type="pct"/>
            <w:tcBorders>
              <w:top w:val="single" w:color="auto" w:sz="4" w:space="0"/>
              <w:left w:val="single" w:color="auto" w:sz="4" w:space="0"/>
              <w:bottom w:val="single" w:color="auto" w:sz="4" w:space="0"/>
              <w:right w:val="single" w:color="auto" w:sz="4" w:space="0"/>
            </w:tcBorders>
            <w:vAlign w:val="center"/>
          </w:tcPr>
          <w:p w14:paraId="53B37B92">
            <w:pPr>
              <w:spacing w:line="360" w:lineRule="exact"/>
              <w:jc w:val="center"/>
              <w:rPr>
                <w:rFonts w:hint="eastAsia" w:cs="宋体" w:asciiTheme="majorEastAsia" w:hAnsiTheme="majorEastAsia" w:eastAsiaTheme="majorEastAsia"/>
                <w:highlight w:val="none"/>
              </w:rPr>
            </w:pPr>
            <w:r>
              <w:rPr>
                <w:rFonts w:cs="宋体" w:asciiTheme="majorEastAsia" w:hAnsiTheme="majorEastAsia" w:eastAsiaTheme="majorEastAsia"/>
                <w:highlight w:val="none"/>
              </w:rPr>
              <w:t>财务要求</w:t>
            </w:r>
          </w:p>
        </w:tc>
        <w:tc>
          <w:tcPr>
            <w:tcW w:w="3362" w:type="pct"/>
            <w:tcBorders>
              <w:left w:val="single" w:color="auto" w:sz="4" w:space="0"/>
              <w:right w:val="single" w:color="000000" w:sz="10" w:space="0"/>
            </w:tcBorders>
            <w:vAlign w:val="center"/>
          </w:tcPr>
          <w:p w14:paraId="1D424CFD">
            <w:pPr>
              <w:spacing w:line="360" w:lineRule="exact"/>
              <w:ind w:left="21" w:leftChars="1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符合第二章“投标人须知”第 1.4.1 项规定</w:t>
            </w:r>
            <w:r>
              <w:rPr>
                <w:rFonts w:hint="eastAsia" w:cs="宋体" w:asciiTheme="majorEastAsia" w:hAnsiTheme="majorEastAsia" w:eastAsiaTheme="majorEastAsia"/>
                <w:highlight w:val="none"/>
              </w:rPr>
              <w:t>：</w:t>
            </w:r>
            <w:r>
              <w:rPr>
                <w:rFonts w:cs="宋体" w:asciiTheme="majorEastAsia" w:hAnsiTheme="majorEastAsia" w:eastAsiaTheme="majorEastAsia"/>
                <w:highlight w:val="none"/>
              </w:rPr>
              <w:t>财务状况良好。</w:t>
            </w:r>
          </w:p>
          <w:p w14:paraId="13905856">
            <w:pPr>
              <w:spacing w:line="360" w:lineRule="exact"/>
              <w:ind w:left="21" w:leftChars="10" w:firstLine="420" w:firstLineChars="200"/>
              <w:jc w:val="both"/>
              <w:rPr>
                <w:rFonts w:hint="eastAsia" w:cs="宋体" w:asciiTheme="majorEastAsia" w:hAnsiTheme="majorEastAsia" w:eastAsiaTheme="majorEastAsia"/>
                <w:highlight w:val="none"/>
              </w:rPr>
            </w:pPr>
            <w:r>
              <w:rPr>
                <w:rFonts w:hint="eastAsia" w:ascii="黑体" w:hAnsi="黑体" w:eastAsia="黑体" w:cs="宋体"/>
                <w:highlight w:val="none"/>
              </w:rPr>
              <w:t>投</w:t>
            </w:r>
            <w:r>
              <w:rPr>
                <w:rFonts w:ascii="黑体" w:hAnsi="黑体" w:eastAsia="黑体" w:cs="宋体"/>
                <w:highlight w:val="none"/>
              </w:rPr>
              <w:t>标文件内附</w:t>
            </w:r>
            <w:r>
              <w:rPr>
                <w:rFonts w:hint="eastAsia" w:ascii="宋体" w:hAnsi="宋体" w:eastAsia="宋体"/>
                <w:highlight w:val="none"/>
                <w:lang w:val="zh-CN"/>
              </w:rPr>
              <w:t>投标人近三年（2023年～投标截止时间）具有良好的商业信誉和健全的财务会计制度的财务状况承诺函并加盖投标人单位公章。</w:t>
            </w:r>
            <w:r>
              <w:rPr>
                <w:rFonts w:hint="eastAsia" w:asciiTheme="minorEastAsia" w:hAnsiTheme="minorEastAsia" w:eastAsiaTheme="minorEastAsia"/>
                <w:highlight w:val="none"/>
                <w:lang w:val="zh-CN"/>
              </w:rPr>
              <w:t>除财务状况承诺函外，投标人无须再提供任何财务证明材料。</w:t>
            </w:r>
          </w:p>
        </w:tc>
      </w:tr>
      <w:tr w14:paraId="47035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0" w:hRule="atLeast"/>
        </w:trPr>
        <w:tc>
          <w:tcPr>
            <w:tcW w:w="406" w:type="pct"/>
            <w:vMerge w:val="continue"/>
            <w:tcBorders>
              <w:top w:val="single" w:color="auto" w:sz="4" w:space="0"/>
              <w:left w:val="single" w:color="auto" w:sz="4" w:space="0"/>
              <w:bottom w:val="single" w:color="auto" w:sz="4" w:space="0"/>
              <w:right w:val="single" w:color="auto" w:sz="4" w:space="0"/>
            </w:tcBorders>
            <w:vAlign w:val="center"/>
          </w:tcPr>
          <w:p w14:paraId="53E58773">
            <w:pPr>
              <w:spacing w:line="360" w:lineRule="exact"/>
              <w:jc w:val="center"/>
              <w:rPr>
                <w:highlight w:val="none"/>
              </w:rPr>
            </w:pPr>
          </w:p>
        </w:tc>
        <w:tc>
          <w:tcPr>
            <w:tcW w:w="452" w:type="pct"/>
            <w:vMerge w:val="continue"/>
            <w:tcBorders>
              <w:top w:val="single" w:color="auto" w:sz="4" w:space="0"/>
              <w:left w:val="single" w:color="auto" w:sz="4" w:space="0"/>
              <w:bottom w:val="single" w:color="auto" w:sz="4" w:space="0"/>
              <w:right w:val="single" w:color="auto" w:sz="4" w:space="0"/>
            </w:tcBorders>
            <w:vAlign w:val="center"/>
          </w:tcPr>
          <w:p w14:paraId="278A1647">
            <w:pPr>
              <w:spacing w:line="360" w:lineRule="exact"/>
              <w:jc w:val="center"/>
              <w:rPr>
                <w:highlight w:val="none"/>
              </w:rPr>
            </w:pPr>
          </w:p>
        </w:tc>
        <w:tc>
          <w:tcPr>
            <w:tcW w:w="780" w:type="pct"/>
            <w:tcBorders>
              <w:top w:val="single" w:color="auto" w:sz="4" w:space="0"/>
              <w:left w:val="single" w:color="auto" w:sz="4" w:space="0"/>
              <w:bottom w:val="single" w:color="auto" w:sz="4" w:space="0"/>
              <w:right w:val="single" w:color="auto" w:sz="4" w:space="0"/>
            </w:tcBorders>
            <w:vAlign w:val="center"/>
          </w:tcPr>
          <w:p w14:paraId="778570EA">
            <w:pPr>
              <w:spacing w:line="360" w:lineRule="exact"/>
              <w:jc w:val="center"/>
              <w:rPr>
                <w:rFonts w:hint="eastAsia" w:ascii="宋体" w:hAnsi="宋体" w:eastAsia="宋体" w:cs="宋体"/>
                <w:highlight w:val="none"/>
              </w:rPr>
            </w:pPr>
            <w:r>
              <w:rPr>
                <w:rFonts w:ascii="宋体" w:hAnsi="宋体" w:eastAsia="宋体" w:cs="宋体"/>
                <w:highlight w:val="none"/>
              </w:rPr>
              <w:t>业绩要求</w:t>
            </w:r>
          </w:p>
        </w:tc>
        <w:tc>
          <w:tcPr>
            <w:tcW w:w="3362" w:type="pct"/>
            <w:tcBorders>
              <w:left w:val="single" w:color="auto" w:sz="4" w:space="0"/>
              <w:right w:val="single" w:color="000000" w:sz="10" w:space="0"/>
            </w:tcBorders>
            <w:vAlign w:val="center"/>
          </w:tcPr>
          <w:p w14:paraId="087212C8">
            <w:pPr>
              <w:spacing w:line="360" w:lineRule="exact"/>
              <w:ind w:left="21" w:leftChars="10"/>
              <w:jc w:val="both"/>
              <w:rPr>
                <w:rFonts w:hint="eastAsia" w:cs="宋体" w:asciiTheme="minorEastAsia" w:hAnsiTheme="minorEastAsia" w:eastAsiaTheme="minorEastAsia"/>
                <w:highlight w:val="none"/>
              </w:rPr>
            </w:pPr>
            <w:r>
              <w:rPr>
                <w:rFonts w:cs="宋体" w:asciiTheme="majorEastAsia" w:hAnsiTheme="majorEastAsia" w:eastAsiaTheme="majorEastAsia"/>
                <w:highlight w:val="none"/>
              </w:rPr>
              <w:t>符合第二章“投标人须知”1.4.1 项规定</w:t>
            </w:r>
            <w:r>
              <w:rPr>
                <w:rFonts w:hint="eastAsia" w:cs="宋体" w:asciiTheme="majorEastAsia" w:hAnsiTheme="majorEastAsia" w:eastAsiaTheme="majorEastAsia"/>
                <w:highlight w:val="none"/>
              </w:rPr>
              <w:t>：</w:t>
            </w:r>
            <w:r>
              <w:rPr>
                <w:rFonts w:cs="宋体" w:asciiTheme="majorEastAsia" w:hAnsiTheme="majorEastAsia" w:eastAsiaTheme="majorEastAsia"/>
                <w:highlight w:val="none"/>
              </w:rPr>
              <w:t>近三年（2023年1月1日至投标截止时间，以工程竣工时间为准）至少独立完成过1项（指1个监理委托合同）</w:t>
            </w:r>
            <w:r>
              <w:rPr>
                <w:rFonts w:cs="宋体" w:asciiTheme="minorEastAsia" w:hAnsiTheme="minorEastAsia" w:eastAsiaTheme="minorEastAsia"/>
                <w:highlight w:val="none"/>
              </w:rPr>
              <w:t>建筑面积不少于35000平方米的房建工程施工监理业绩。</w:t>
            </w:r>
          </w:p>
          <w:p w14:paraId="1B4748A4">
            <w:pPr>
              <w:spacing w:line="360" w:lineRule="exact"/>
              <w:ind w:left="21" w:leftChars="10" w:firstLine="420" w:firstLineChars="200"/>
              <w:jc w:val="both"/>
              <w:rPr>
                <w:rFonts w:hint="eastAsia" w:ascii="黑体" w:hAnsi="黑体" w:eastAsia="黑体" w:cs="宋体"/>
                <w:highlight w:val="none"/>
              </w:rPr>
            </w:pPr>
            <w:r>
              <w:rPr>
                <w:rFonts w:ascii="黑体" w:hAnsi="黑体" w:eastAsia="黑体" w:cs="宋体"/>
                <w:highlight w:val="none"/>
              </w:rPr>
              <w:t>投标文件附中标通知书（或监理合同）及有关业绩的查询网址和查询网页截图扫描件</w:t>
            </w:r>
            <w:r>
              <w:rPr>
                <w:rFonts w:hint="eastAsia" w:ascii="黑体" w:hAnsi="黑体" w:eastAsia="黑体" w:cs="宋体"/>
                <w:highlight w:val="none"/>
              </w:rPr>
              <w:t>，</w:t>
            </w:r>
            <w:r>
              <w:rPr>
                <w:rFonts w:ascii="黑体" w:hAnsi="黑体" w:eastAsia="黑体" w:cs="宋体"/>
                <w:highlight w:val="none"/>
              </w:rPr>
              <w:t>加盖投标单位公章。</w:t>
            </w:r>
          </w:p>
          <w:p w14:paraId="5FF4D368">
            <w:pPr>
              <w:spacing w:line="400" w:lineRule="exact"/>
              <w:ind w:right="1" w:firstLine="425"/>
              <w:rPr>
                <w:rFonts w:hint="eastAsia" w:cs="宋体" w:asciiTheme="minorEastAsia" w:hAnsiTheme="minorEastAsia" w:eastAsiaTheme="minorEastAsia"/>
                <w:highlight w:val="none"/>
              </w:rPr>
            </w:pPr>
            <w:r>
              <w:rPr>
                <w:rFonts w:ascii="黑体" w:hAnsi="黑体" w:eastAsia="黑体" w:cs="宋体"/>
                <w:highlight w:val="none"/>
              </w:rPr>
              <w:t>企业业绩认定：</w:t>
            </w:r>
            <w:r>
              <w:rPr>
                <w:rFonts w:hint="eastAsia" w:cs="宋体" w:asciiTheme="minorEastAsia" w:hAnsiTheme="minorEastAsia" w:eastAsiaTheme="minorEastAsia"/>
                <w:highlight w:val="none"/>
              </w:rPr>
              <w:t>必须是通过互联网且不需任何权限即可在工程所在地的省级建筑市场监管一体化工作平台或省级建筑市场监管公共服务平台或全国建筑市场监管公共服务平台查询得到。</w:t>
            </w:r>
            <w:r>
              <w:rPr>
                <w:rFonts w:cs="宋体" w:asciiTheme="minorEastAsia" w:hAnsiTheme="minorEastAsia" w:eastAsiaTheme="minorEastAsia"/>
                <w:highlight w:val="none"/>
              </w:rPr>
              <w:t>查询到的数据应能满足招标项目评审的要求，其他网站查询的业绩不予认定。</w:t>
            </w:r>
          </w:p>
          <w:p w14:paraId="7FA30C7F">
            <w:pPr>
              <w:spacing w:line="400" w:lineRule="exact"/>
              <w:ind w:right="1" w:firstLine="425"/>
              <w:rPr>
                <w:rFonts w:hint="eastAsia" w:cs="宋体" w:asciiTheme="minorEastAsia" w:hAnsiTheme="minorEastAsia" w:eastAsiaTheme="minorEastAsia"/>
                <w:highlight w:val="none"/>
              </w:rPr>
            </w:pPr>
            <w:r>
              <w:rPr>
                <w:rFonts w:hint="eastAsia" w:ascii="黑体" w:hAnsi="黑体" w:eastAsia="黑体"/>
                <w:highlight w:val="none"/>
              </w:rPr>
              <w:t>注：所有业绩均须是新建或改扩建工程，维修、改造、装修装饰等工程不予认可</w:t>
            </w:r>
            <w:r>
              <w:rPr>
                <w:rFonts w:hint="eastAsia" w:ascii="宋体" w:hAnsi="宋体" w:eastAsia="宋体"/>
                <w:highlight w:val="none"/>
              </w:rPr>
              <w:t>。</w:t>
            </w:r>
          </w:p>
          <w:p w14:paraId="18BA8815">
            <w:pPr>
              <w:spacing w:line="360" w:lineRule="exact"/>
              <w:ind w:left="10" w:firstLine="420" w:firstLineChars="20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关于涉密工程招标评标业绩执行吉建招[2017]12 号文件《吉林省住房和城乡建设厅关于涉密工程招标评标业绩认定的补充通知》的规定。</w:t>
            </w:r>
          </w:p>
        </w:tc>
      </w:tr>
      <w:tr w14:paraId="34EAB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406" w:type="pct"/>
            <w:vMerge w:val="continue"/>
            <w:tcBorders>
              <w:top w:val="single" w:color="auto" w:sz="4" w:space="0"/>
              <w:left w:val="single" w:color="auto" w:sz="4" w:space="0"/>
              <w:bottom w:val="single" w:color="auto" w:sz="4" w:space="0"/>
              <w:right w:val="single" w:color="auto" w:sz="4" w:space="0"/>
            </w:tcBorders>
            <w:vAlign w:val="center"/>
          </w:tcPr>
          <w:p w14:paraId="65833C58">
            <w:pPr>
              <w:spacing w:line="360" w:lineRule="exact"/>
              <w:jc w:val="center"/>
              <w:rPr>
                <w:highlight w:val="none"/>
              </w:rPr>
            </w:pPr>
          </w:p>
        </w:tc>
        <w:tc>
          <w:tcPr>
            <w:tcW w:w="452" w:type="pct"/>
            <w:vMerge w:val="continue"/>
            <w:tcBorders>
              <w:top w:val="single" w:color="auto" w:sz="4" w:space="0"/>
              <w:left w:val="single" w:color="auto" w:sz="4" w:space="0"/>
              <w:bottom w:val="single" w:color="auto" w:sz="4" w:space="0"/>
              <w:right w:val="single" w:color="auto" w:sz="4" w:space="0"/>
            </w:tcBorders>
            <w:vAlign w:val="center"/>
          </w:tcPr>
          <w:p w14:paraId="76AEFA98">
            <w:pPr>
              <w:spacing w:line="360" w:lineRule="exact"/>
              <w:jc w:val="center"/>
              <w:rPr>
                <w:highlight w:val="none"/>
              </w:rPr>
            </w:pPr>
          </w:p>
        </w:tc>
        <w:tc>
          <w:tcPr>
            <w:tcW w:w="780" w:type="pct"/>
            <w:tcBorders>
              <w:top w:val="single" w:color="auto" w:sz="4" w:space="0"/>
              <w:left w:val="single" w:color="auto" w:sz="4" w:space="0"/>
              <w:bottom w:val="single" w:color="auto" w:sz="4" w:space="0"/>
              <w:right w:val="single" w:color="auto" w:sz="4" w:space="0"/>
            </w:tcBorders>
            <w:vAlign w:val="center"/>
          </w:tcPr>
          <w:p w14:paraId="31D09860">
            <w:pPr>
              <w:spacing w:line="360" w:lineRule="exact"/>
              <w:jc w:val="center"/>
              <w:rPr>
                <w:rFonts w:hint="eastAsia" w:ascii="宋体" w:hAnsi="宋体" w:eastAsia="宋体" w:cs="宋体"/>
                <w:highlight w:val="none"/>
              </w:rPr>
            </w:pPr>
            <w:r>
              <w:rPr>
                <w:rFonts w:ascii="宋体" w:hAnsi="宋体" w:eastAsia="宋体" w:cs="宋体"/>
                <w:highlight w:val="none"/>
              </w:rPr>
              <w:t>信誉要求</w:t>
            </w:r>
          </w:p>
        </w:tc>
        <w:tc>
          <w:tcPr>
            <w:tcW w:w="3362" w:type="pct"/>
            <w:tcBorders>
              <w:left w:val="single" w:color="auto" w:sz="4" w:space="0"/>
              <w:right w:val="single" w:color="000000" w:sz="10" w:space="0"/>
            </w:tcBorders>
            <w:vAlign w:val="center"/>
          </w:tcPr>
          <w:p w14:paraId="2A7257CB">
            <w:pPr>
              <w:spacing w:line="360" w:lineRule="exact"/>
              <w:ind w:left="10"/>
              <w:rPr>
                <w:rFonts w:hint="eastAsia" w:ascii="宋体" w:hAnsi="宋体" w:eastAsia="宋体"/>
                <w:highlight w:val="none"/>
              </w:rPr>
            </w:pPr>
            <w:r>
              <w:rPr>
                <w:rFonts w:hint="eastAsia" w:ascii="宋体" w:hAnsi="宋体" w:eastAsia="宋体"/>
                <w:highlight w:val="none"/>
              </w:rPr>
              <w:t>（1）拒绝列入政府取消投标资格记录期间的企业或个人投标；</w:t>
            </w:r>
          </w:p>
          <w:p w14:paraId="7F9ED412">
            <w:pPr>
              <w:spacing w:line="360" w:lineRule="exact"/>
              <w:ind w:left="10"/>
              <w:rPr>
                <w:rFonts w:hint="eastAsia" w:ascii="宋体" w:hAnsi="宋体" w:eastAsia="宋体"/>
                <w:color w:val="333333"/>
                <w:highlight w:val="none"/>
                <w:shd w:val="clear" w:color="auto" w:fill="FFFFFF"/>
              </w:rPr>
            </w:pPr>
            <w:r>
              <w:rPr>
                <w:rFonts w:hint="eastAsia" w:ascii="宋体" w:hAnsi="宋体" w:eastAsia="宋体"/>
                <w:color w:val="333333"/>
                <w:highlight w:val="none"/>
                <w:shd w:val="clear" w:color="auto" w:fill="FFFFFF"/>
              </w:rPr>
              <w:t>（2）未被市场监督管理机关在国家企业信用信息公示系统</w:t>
            </w:r>
          </w:p>
          <w:p w14:paraId="0B3AA1C4">
            <w:pPr>
              <w:spacing w:line="360" w:lineRule="exact"/>
              <w:ind w:left="10"/>
              <w:rPr>
                <w:rFonts w:hint="eastAsia" w:ascii="宋体" w:hAnsi="宋体" w:eastAsia="宋体"/>
                <w:color w:val="333333"/>
                <w:highlight w:val="none"/>
                <w:shd w:val="clear" w:color="auto" w:fill="FFFFFF"/>
              </w:rPr>
            </w:pPr>
            <w:r>
              <w:rPr>
                <w:rFonts w:hint="eastAsia" w:ascii="宋体" w:hAnsi="宋体" w:eastAsia="宋体"/>
                <w:color w:val="333333"/>
                <w:highlight w:val="none"/>
                <w:shd w:val="clear" w:color="auto" w:fill="FFFFFF"/>
              </w:rPr>
              <w:t>（</w:t>
            </w:r>
            <w:r>
              <w:rPr>
                <w:rFonts w:hint="eastAsia" w:ascii="宋体" w:hAnsi="宋体" w:eastAsia="宋体"/>
                <w:highlight w:val="none"/>
                <w:shd w:val="clear" w:color="auto" w:fill="FFFFFF"/>
              </w:rPr>
              <w:t>www.gsxt.gov.cn</w:t>
            </w:r>
            <w:r>
              <w:rPr>
                <w:rFonts w:hint="eastAsia" w:ascii="宋体" w:hAnsi="宋体" w:eastAsia="宋体"/>
                <w:color w:val="333333"/>
                <w:highlight w:val="none"/>
                <w:shd w:val="clear" w:color="auto" w:fill="FFFFFF"/>
              </w:rPr>
              <w:t>）中列入严重违法失信企业名单；</w:t>
            </w:r>
          </w:p>
          <w:p w14:paraId="635C8CFB">
            <w:pPr>
              <w:spacing w:line="360" w:lineRule="exact"/>
              <w:ind w:left="10"/>
              <w:rPr>
                <w:rFonts w:hint="eastAsia" w:asciiTheme="minorEastAsia" w:hAnsiTheme="minorEastAsia" w:eastAsiaTheme="minorEastAsia"/>
                <w:color w:val="333333"/>
                <w:highlight w:val="none"/>
                <w:shd w:val="clear" w:color="auto" w:fill="FFFFFF"/>
              </w:rPr>
            </w:pPr>
            <w:r>
              <w:rPr>
                <w:rFonts w:hint="eastAsia" w:ascii="宋体" w:hAnsi="宋体" w:eastAsia="宋体"/>
                <w:color w:val="333333"/>
                <w:highlight w:val="none"/>
                <w:shd w:val="clear" w:color="auto" w:fill="FFFFFF"/>
              </w:rPr>
              <w:t>（3）未被最高人民法院在“信用中国”网站(</w:t>
            </w:r>
            <w:r>
              <w:rPr>
                <w:rFonts w:hint="eastAsia" w:ascii="宋体" w:hAnsi="宋体" w:eastAsia="宋体"/>
                <w:highlight w:val="none"/>
                <w:shd w:val="clear" w:color="auto" w:fill="FFFFFF"/>
              </w:rPr>
              <w:t>www.creditchina.gov.cn</w:t>
            </w:r>
            <w:r>
              <w:rPr>
                <w:rFonts w:hint="eastAsia" w:eastAsiaTheme="minorEastAsia"/>
                <w:color w:val="333333"/>
                <w:highlight w:val="none"/>
              </w:rPr>
              <w:t>)</w:t>
            </w:r>
            <w:r>
              <w:rPr>
                <w:rFonts w:hint="eastAsia" w:asciiTheme="minorEastAsia" w:hAnsiTheme="minorEastAsia" w:eastAsiaTheme="minorEastAsia"/>
                <w:color w:val="333333"/>
                <w:highlight w:val="none"/>
                <w:shd w:val="clear" w:color="auto" w:fill="FFFFFF"/>
              </w:rPr>
              <w:t>列入失信被执行人名单及重大税收违法案件当事人名单；</w:t>
            </w:r>
          </w:p>
          <w:p w14:paraId="70995C89">
            <w:pPr>
              <w:spacing w:line="360" w:lineRule="exact"/>
              <w:ind w:left="10"/>
              <w:rPr>
                <w:rFonts w:hint="eastAsia" w:asciiTheme="minorEastAsia" w:hAnsiTheme="minorEastAsia" w:eastAsiaTheme="minorEastAsia"/>
                <w:highlight w:val="none"/>
              </w:rPr>
            </w:pPr>
            <w:r>
              <w:rPr>
                <w:rFonts w:hint="eastAsia" w:asciiTheme="minorEastAsia" w:hAnsiTheme="minorEastAsia" w:eastAsiaTheme="minorEastAsia"/>
                <w:color w:val="333333"/>
                <w:highlight w:val="none"/>
                <w:shd w:val="clear" w:color="auto" w:fill="FFFFFF"/>
              </w:rPr>
              <w:t>（4）在近三年内（2023 年1月1日至投标截止时间）投标人或其法定代表人、拟委任的总监理工程师未在“中国裁判文书网”(wenshu.court.gov.cn)上有行贿犯罪行为。</w:t>
            </w:r>
          </w:p>
          <w:p w14:paraId="467FEE6D">
            <w:pPr>
              <w:spacing w:line="360" w:lineRule="exact"/>
              <w:ind w:left="21" w:leftChars="10" w:firstLine="420" w:firstLineChars="200"/>
              <w:jc w:val="both"/>
              <w:rPr>
                <w:rFonts w:hint="eastAsia" w:ascii="宋体" w:hAnsi="宋体" w:eastAsia="宋体" w:cs="宋体"/>
                <w:highlight w:val="none"/>
              </w:rPr>
            </w:pPr>
            <w:r>
              <w:rPr>
                <w:rFonts w:hint="eastAsia" w:ascii="黑体" w:hAnsi="黑体" w:eastAsia="黑体"/>
                <w:highlight w:val="none"/>
              </w:rPr>
              <w:t>投标文件内第（1）项附由法定代表人或其委托代理人签字并加盖投标单位公章的承诺书，第（2）～（4）项附网站查询截图复印件加盖投标单位公章。</w:t>
            </w:r>
          </w:p>
        </w:tc>
      </w:tr>
      <w:tr w14:paraId="73238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0" w:hRule="atLeast"/>
        </w:trPr>
        <w:tc>
          <w:tcPr>
            <w:tcW w:w="406" w:type="pct"/>
            <w:vMerge w:val="continue"/>
            <w:tcBorders>
              <w:top w:val="single" w:color="auto" w:sz="4" w:space="0"/>
              <w:left w:val="single" w:color="auto" w:sz="4" w:space="0"/>
              <w:bottom w:val="single" w:color="auto" w:sz="4" w:space="0"/>
              <w:right w:val="single" w:color="auto" w:sz="4" w:space="0"/>
            </w:tcBorders>
            <w:vAlign w:val="center"/>
          </w:tcPr>
          <w:p w14:paraId="2AD93457">
            <w:pPr>
              <w:spacing w:line="360" w:lineRule="exact"/>
              <w:jc w:val="center"/>
              <w:rPr>
                <w:highlight w:val="none"/>
              </w:rPr>
            </w:pPr>
          </w:p>
        </w:tc>
        <w:tc>
          <w:tcPr>
            <w:tcW w:w="452" w:type="pct"/>
            <w:vMerge w:val="continue"/>
            <w:tcBorders>
              <w:top w:val="single" w:color="auto" w:sz="4" w:space="0"/>
              <w:left w:val="single" w:color="auto" w:sz="4" w:space="0"/>
              <w:bottom w:val="single" w:color="auto" w:sz="4" w:space="0"/>
              <w:right w:val="single" w:color="auto" w:sz="4" w:space="0"/>
            </w:tcBorders>
            <w:vAlign w:val="center"/>
          </w:tcPr>
          <w:p w14:paraId="69B9C259">
            <w:pPr>
              <w:spacing w:line="360" w:lineRule="exact"/>
              <w:jc w:val="center"/>
              <w:rPr>
                <w:highlight w:val="none"/>
              </w:rPr>
            </w:pPr>
          </w:p>
        </w:tc>
        <w:tc>
          <w:tcPr>
            <w:tcW w:w="780" w:type="pct"/>
            <w:tcBorders>
              <w:top w:val="single" w:color="auto" w:sz="4" w:space="0"/>
              <w:left w:val="single" w:color="auto" w:sz="4" w:space="0"/>
              <w:bottom w:val="single" w:color="auto" w:sz="4" w:space="0"/>
              <w:right w:val="single" w:color="auto" w:sz="4" w:space="0"/>
            </w:tcBorders>
            <w:vAlign w:val="center"/>
          </w:tcPr>
          <w:p w14:paraId="1661BAE2">
            <w:pPr>
              <w:spacing w:line="360" w:lineRule="exact"/>
              <w:jc w:val="center"/>
              <w:rPr>
                <w:rFonts w:hint="eastAsia" w:ascii="宋体" w:hAnsi="宋体" w:eastAsia="宋体" w:cs="宋体"/>
                <w:highlight w:val="none"/>
              </w:rPr>
            </w:pPr>
            <w:r>
              <w:rPr>
                <w:rFonts w:ascii="宋体" w:hAnsi="宋体" w:eastAsia="宋体" w:cs="宋体"/>
                <w:highlight w:val="none"/>
              </w:rPr>
              <w:t>总监理工程师</w:t>
            </w:r>
          </w:p>
        </w:tc>
        <w:tc>
          <w:tcPr>
            <w:tcW w:w="3362" w:type="pct"/>
            <w:tcBorders>
              <w:left w:val="single" w:color="auto" w:sz="4" w:space="0"/>
              <w:right w:val="single" w:color="000000" w:sz="10" w:space="0"/>
            </w:tcBorders>
            <w:vAlign w:val="center"/>
          </w:tcPr>
          <w:p w14:paraId="654FE309">
            <w:pPr>
              <w:spacing w:line="360" w:lineRule="exact"/>
              <w:ind w:left="57"/>
              <w:jc w:val="both"/>
              <w:rPr>
                <w:rFonts w:hint="eastAsia" w:asciiTheme="minorEastAsia" w:hAnsiTheme="minorEastAsia" w:eastAsiaTheme="minorEastAsia"/>
                <w:color w:val="333333"/>
                <w:highlight w:val="none"/>
                <w:shd w:val="clear" w:color="auto" w:fill="FFFFFF"/>
              </w:rPr>
            </w:pPr>
            <w:r>
              <w:rPr>
                <w:rFonts w:asciiTheme="minorEastAsia" w:hAnsiTheme="minorEastAsia" w:eastAsiaTheme="minorEastAsia"/>
                <w:color w:val="333333"/>
                <w:highlight w:val="none"/>
                <w:shd w:val="clear" w:color="auto" w:fill="FFFFFF"/>
              </w:rPr>
              <w:t>符合第二章“投标人须知”第 1.4.1 项规定</w:t>
            </w:r>
            <w:r>
              <w:rPr>
                <w:rFonts w:hint="eastAsia" w:asciiTheme="minorEastAsia" w:hAnsiTheme="minorEastAsia" w:eastAsiaTheme="minorEastAsia"/>
                <w:color w:val="333333"/>
                <w:highlight w:val="none"/>
                <w:shd w:val="clear" w:color="auto" w:fill="FFFFFF"/>
              </w:rPr>
              <w:t>：</w:t>
            </w:r>
            <w:r>
              <w:rPr>
                <w:rFonts w:cs="宋体" w:asciiTheme="minorEastAsia" w:hAnsiTheme="minorEastAsia" w:eastAsiaTheme="minorEastAsia"/>
                <w:highlight w:val="none"/>
              </w:rPr>
              <w:t>具有</w:t>
            </w:r>
            <w:bookmarkStart w:id="29" w:name="OLE_LINK8"/>
            <w:r>
              <w:rPr>
                <w:rFonts w:cs="宋体" w:asciiTheme="minorEastAsia" w:hAnsiTheme="minorEastAsia" w:eastAsiaTheme="minorEastAsia"/>
                <w:highlight w:val="none"/>
              </w:rPr>
              <w:t>房屋建筑工程专业国家注册监理工程师证书</w:t>
            </w:r>
            <w:bookmarkEnd w:id="29"/>
            <w:r>
              <w:rPr>
                <w:rFonts w:cs="宋体" w:asciiTheme="minorEastAsia" w:hAnsiTheme="minorEastAsia" w:eastAsiaTheme="minorEastAsia"/>
                <w:highlight w:val="none"/>
              </w:rPr>
              <w:t>，建筑相关专业高级技术职称，</w:t>
            </w:r>
            <w:r>
              <w:rPr>
                <w:rFonts w:hint="eastAsia" w:cs="宋体" w:asciiTheme="minorEastAsia" w:hAnsiTheme="minorEastAsia" w:eastAsiaTheme="minorEastAsia"/>
                <w:highlight w:val="none"/>
              </w:rPr>
              <w:t>且</w:t>
            </w:r>
            <w:r>
              <w:rPr>
                <w:rFonts w:cs="宋体" w:asciiTheme="minorEastAsia" w:hAnsiTheme="minorEastAsia" w:eastAsiaTheme="minorEastAsia"/>
                <w:highlight w:val="none"/>
              </w:rPr>
              <w:t>无在建工程。</w:t>
            </w:r>
          </w:p>
          <w:p w14:paraId="44C5CBAD">
            <w:pPr>
              <w:spacing w:line="360" w:lineRule="exact"/>
              <w:ind w:left="57" w:firstLine="420" w:firstLineChars="200"/>
              <w:jc w:val="both"/>
              <w:rPr>
                <w:rFonts w:hint="eastAsia" w:ascii="黑体" w:hAnsi="黑体" w:eastAsia="黑体"/>
                <w:color w:val="333333"/>
                <w:highlight w:val="none"/>
                <w:shd w:val="clear" w:color="auto" w:fill="FFFFFF"/>
              </w:rPr>
            </w:pPr>
            <w:r>
              <w:rPr>
                <w:rFonts w:ascii="黑体" w:hAnsi="黑体" w:eastAsia="黑体"/>
                <w:color w:val="333333"/>
                <w:highlight w:val="none"/>
                <w:shd w:val="clear" w:color="auto" w:fill="FFFFFF"/>
              </w:rPr>
              <w:t>投标文件内附注册证书</w:t>
            </w:r>
            <w:r>
              <w:rPr>
                <w:rFonts w:hint="eastAsia" w:ascii="黑体" w:hAnsi="黑体" w:eastAsia="黑体"/>
                <w:color w:val="333333"/>
                <w:highlight w:val="none"/>
                <w:shd w:val="clear" w:color="auto" w:fill="FFFFFF"/>
              </w:rPr>
              <w:t>、</w:t>
            </w:r>
            <w:r>
              <w:rPr>
                <w:rFonts w:ascii="黑体" w:hAnsi="黑体" w:eastAsia="黑体"/>
                <w:color w:val="333333"/>
                <w:highlight w:val="none"/>
                <w:shd w:val="clear" w:color="auto" w:fill="FFFFFF"/>
              </w:rPr>
              <w:t>职称证书</w:t>
            </w:r>
            <w:r>
              <w:rPr>
                <w:rFonts w:hint="eastAsia" w:ascii="黑体" w:hAnsi="黑体" w:eastAsia="黑体"/>
                <w:color w:val="333333"/>
                <w:highlight w:val="none"/>
                <w:shd w:val="clear" w:color="auto" w:fill="FFFFFF"/>
              </w:rPr>
              <w:t>、</w:t>
            </w:r>
            <w:r>
              <w:rPr>
                <w:rFonts w:ascii="黑体" w:hAnsi="黑体" w:eastAsia="黑体"/>
                <w:color w:val="333333"/>
                <w:highlight w:val="none"/>
                <w:shd w:val="clear" w:color="auto" w:fill="FFFFFF"/>
              </w:rPr>
              <w:t>社保参保证明</w:t>
            </w:r>
            <w:r>
              <w:rPr>
                <w:rFonts w:hint="eastAsia" w:ascii="黑体" w:hAnsi="黑体" w:eastAsia="黑体"/>
                <w:color w:val="333333"/>
                <w:highlight w:val="none"/>
                <w:shd w:val="clear" w:color="auto" w:fill="FFFFFF"/>
              </w:rPr>
              <w:t>、总监理工程师</w:t>
            </w:r>
            <w:r>
              <w:rPr>
                <w:rFonts w:ascii="黑体" w:hAnsi="黑体" w:eastAsia="黑体"/>
                <w:color w:val="333333"/>
                <w:highlight w:val="none"/>
                <w:shd w:val="clear" w:color="auto" w:fill="FFFFFF"/>
              </w:rPr>
              <w:t>在吉林省建筑市场监管公共服务平台信息公示截图扫描件</w:t>
            </w:r>
            <w:r>
              <w:rPr>
                <w:rFonts w:hint="eastAsia" w:ascii="黑体" w:hAnsi="黑体" w:eastAsia="黑体"/>
                <w:color w:val="333333"/>
                <w:highlight w:val="none"/>
                <w:shd w:val="clear" w:color="auto" w:fill="FFFFFF"/>
              </w:rPr>
              <w:t>，</w:t>
            </w:r>
            <w:r>
              <w:rPr>
                <w:rFonts w:ascii="黑体" w:hAnsi="黑体" w:eastAsia="黑体"/>
                <w:color w:val="333333"/>
                <w:highlight w:val="none"/>
                <w:shd w:val="clear" w:color="auto" w:fill="FFFFFF"/>
              </w:rPr>
              <w:t>加盖</w:t>
            </w:r>
            <w:r>
              <w:rPr>
                <w:rFonts w:ascii="黑体" w:hAnsi="黑体" w:eastAsia="黑体" w:cs="宋体"/>
                <w:highlight w:val="none"/>
              </w:rPr>
              <w:t>投标单位</w:t>
            </w:r>
            <w:r>
              <w:rPr>
                <w:rFonts w:ascii="黑体" w:hAnsi="黑体" w:eastAsia="黑体"/>
                <w:color w:val="333333"/>
                <w:highlight w:val="none"/>
                <w:shd w:val="clear" w:color="auto" w:fill="FFFFFF"/>
              </w:rPr>
              <w:t>公章</w:t>
            </w:r>
            <w:r>
              <w:rPr>
                <w:rFonts w:hint="eastAsia" w:ascii="黑体" w:hAnsi="黑体" w:eastAsia="黑体"/>
                <w:color w:val="333333"/>
                <w:highlight w:val="none"/>
                <w:shd w:val="clear" w:color="auto" w:fill="FFFFFF"/>
              </w:rPr>
              <w:t>，以</w:t>
            </w:r>
            <w:r>
              <w:rPr>
                <w:rFonts w:ascii="黑体" w:hAnsi="黑体" w:eastAsia="黑体"/>
                <w:color w:val="333333"/>
                <w:highlight w:val="none"/>
                <w:shd w:val="clear" w:color="auto" w:fill="FFFFFF"/>
              </w:rPr>
              <w:t>及总</w:t>
            </w:r>
            <w:r>
              <w:rPr>
                <w:rFonts w:hint="eastAsia" w:ascii="黑体" w:hAnsi="黑体" w:eastAsia="黑体"/>
                <w:color w:val="333333"/>
                <w:highlight w:val="none"/>
                <w:shd w:val="clear" w:color="auto" w:fill="FFFFFF"/>
              </w:rPr>
              <w:t>监理</w:t>
            </w:r>
            <w:r>
              <w:rPr>
                <w:rFonts w:ascii="黑体" w:hAnsi="黑体" w:eastAsia="黑体"/>
                <w:color w:val="333333"/>
                <w:highlight w:val="none"/>
                <w:shd w:val="clear" w:color="auto" w:fill="FFFFFF"/>
              </w:rPr>
              <w:t>工程师无在建工程承诺书</w:t>
            </w:r>
            <w:r>
              <w:rPr>
                <w:rFonts w:ascii="黑体" w:hAnsi="黑体" w:eastAsia="黑体" w:cs="宋体"/>
                <w:highlight w:val="none"/>
              </w:rPr>
              <w:t>（该承诺书须由</w:t>
            </w:r>
            <w:r>
              <w:rPr>
                <w:rFonts w:hint="eastAsia" w:ascii="黑体" w:hAnsi="黑体" w:eastAsia="黑体" w:cs="宋体"/>
                <w:highlight w:val="none"/>
              </w:rPr>
              <w:t>总</w:t>
            </w:r>
            <w:r>
              <w:rPr>
                <w:rFonts w:ascii="黑体" w:hAnsi="黑体" w:eastAsia="黑体" w:cs="宋体"/>
                <w:highlight w:val="none"/>
              </w:rPr>
              <w:t>监理工程师本人签字并加盖投标单位公章）</w:t>
            </w:r>
            <w:r>
              <w:rPr>
                <w:rFonts w:hint="eastAsia" w:ascii="黑体" w:hAnsi="黑体" w:eastAsia="黑体"/>
                <w:color w:val="333333"/>
                <w:highlight w:val="none"/>
                <w:shd w:val="clear" w:color="auto" w:fill="FFFFFF"/>
              </w:rPr>
              <w:t>。</w:t>
            </w:r>
          </w:p>
        </w:tc>
      </w:tr>
      <w:tr w14:paraId="4C9DF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0" w:hRule="atLeast"/>
        </w:trPr>
        <w:tc>
          <w:tcPr>
            <w:tcW w:w="406" w:type="pct"/>
            <w:vMerge w:val="continue"/>
            <w:tcBorders>
              <w:top w:val="single" w:color="auto" w:sz="4" w:space="0"/>
              <w:left w:val="single" w:color="auto" w:sz="4" w:space="0"/>
              <w:bottom w:val="single" w:color="auto" w:sz="4" w:space="0"/>
              <w:right w:val="single" w:color="auto" w:sz="4" w:space="0"/>
            </w:tcBorders>
            <w:vAlign w:val="center"/>
          </w:tcPr>
          <w:p w14:paraId="35BB17E0">
            <w:pPr>
              <w:spacing w:line="360" w:lineRule="exact"/>
              <w:jc w:val="center"/>
              <w:rPr>
                <w:highlight w:val="none"/>
              </w:rPr>
            </w:pPr>
          </w:p>
        </w:tc>
        <w:tc>
          <w:tcPr>
            <w:tcW w:w="452" w:type="pct"/>
            <w:vMerge w:val="continue"/>
            <w:tcBorders>
              <w:top w:val="single" w:color="auto" w:sz="4" w:space="0"/>
              <w:left w:val="single" w:color="auto" w:sz="4" w:space="0"/>
              <w:bottom w:val="single" w:color="auto" w:sz="4" w:space="0"/>
              <w:right w:val="single" w:color="auto" w:sz="4" w:space="0"/>
            </w:tcBorders>
            <w:vAlign w:val="center"/>
          </w:tcPr>
          <w:p w14:paraId="658FC90F">
            <w:pPr>
              <w:spacing w:line="360" w:lineRule="exact"/>
              <w:jc w:val="center"/>
              <w:rPr>
                <w:highlight w:val="none"/>
              </w:rPr>
            </w:pPr>
          </w:p>
        </w:tc>
        <w:tc>
          <w:tcPr>
            <w:tcW w:w="780" w:type="pct"/>
            <w:tcBorders>
              <w:top w:val="single" w:color="auto" w:sz="4" w:space="0"/>
              <w:left w:val="single" w:color="auto" w:sz="4" w:space="0"/>
              <w:bottom w:val="single" w:color="auto" w:sz="4" w:space="0"/>
              <w:right w:val="single" w:color="auto" w:sz="4" w:space="0"/>
            </w:tcBorders>
            <w:vAlign w:val="center"/>
          </w:tcPr>
          <w:p w14:paraId="582138BD">
            <w:pPr>
              <w:spacing w:line="360" w:lineRule="exact"/>
              <w:jc w:val="center"/>
              <w:rPr>
                <w:rFonts w:hint="eastAsia" w:ascii="宋体" w:hAnsi="宋体" w:eastAsia="宋体" w:cs="宋体"/>
                <w:highlight w:val="none"/>
              </w:rPr>
            </w:pPr>
            <w:r>
              <w:rPr>
                <w:rFonts w:ascii="宋体" w:hAnsi="宋体" w:eastAsia="宋体" w:cs="宋体"/>
                <w:highlight w:val="none"/>
              </w:rPr>
              <w:t>其他主要人员</w:t>
            </w:r>
          </w:p>
        </w:tc>
        <w:tc>
          <w:tcPr>
            <w:tcW w:w="3362" w:type="pct"/>
            <w:tcBorders>
              <w:left w:val="single" w:color="auto" w:sz="4" w:space="0"/>
              <w:right w:val="single" w:color="000000" w:sz="10" w:space="0"/>
            </w:tcBorders>
          </w:tcPr>
          <w:p w14:paraId="157FFA62">
            <w:pPr>
              <w:spacing w:line="360" w:lineRule="exact"/>
              <w:ind w:left="57"/>
              <w:jc w:val="both"/>
              <w:rPr>
                <w:rFonts w:hint="eastAsia" w:ascii="宋体" w:hAnsi="宋体" w:eastAsia="宋体"/>
                <w:color w:val="333333"/>
                <w:highlight w:val="none"/>
                <w:shd w:val="clear" w:color="auto" w:fill="FFFFFF"/>
              </w:rPr>
            </w:pPr>
            <w:r>
              <w:rPr>
                <w:rFonts w:ascii="宋体" w:hAnsi="宋体" w:eastAsia="宋体"/>
                <w:color w:val="333333"/>
                <w:highlight w:val="none"/>
                <w:shd w:val="clear" w:color="auto" w:fill="FFFFFF"/>
              </w:rPr>
              <w:t>符合第二章“投标人须知”第 1.4.1 项规定</w:t>
            </w:r>
            <w:r>
              <w:rPr>
                <w:rFonts w:hint="eastAsia" w:ascii="宋体" w:hAnsi="宋体" w:eastAsia="宋体"/>
                <w:color w:val="333333"/>
                <w:highlight w:val="none"/>
                <w:shd w:val="clear" w:color="auto" w:fill="FFFFFF"/>
              </w:rPr>
              <w:t>：</w:t>
            </w:r>
            <w:r>
              <w:rPr>
                <w:rFonts w:cs="宋体" w:asciiTheme="minorEastAsia" w:hAnsiTheme="minorEastAsia" w:eastAsiaTheme="minorEastAsia"/>
                <w:highlight w:val="none"/>
              </w:rPr>
              <w:t>至少应配备房屋建筑工程专业监理工程师4人，水暖专业监理工程师4人</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电气专业监理工程师4人</w:t>
            </w:r>
            <w:r>
              <w:rPr>
                <w:rFonts w:hint="eastAsia" w:ascii="宋体" w:hAnsi="宋体" w:eastAsia="宋体"/>
                <w:color w:val="333333"/>
                <w:highlight w:val="none"/>
                <w:shd w:val="clear" w:color="auto" w:fill="FFFFFF"/>
              </w:rPr>
              <w:t>；并</w:t>
            </w:r>
            <w:r>
              <w:rPr>
                <w:rFonts w:ascii="宋体" w:hAnsi="宋体" w:eastAsia="宋体"/>
                <w:color w:val="333333"/>
                <w:highlight w:val="none"/>
                <w:shd w:val="clear" w:color="auto" w:fill="FFFFFF"/>
              </w:rPr>
              <w:t>满足【强制性资格标准】要求</w:t>
            </w:r>
            <w:r>
              <w:rPr>
                <w:rFonts w:hint="eastAsia" w:ascii="宋体" w:hAnsi="宋体" w:eastAsia="宋体"/>
                <w:color w:val="333333"/>
                <w:highlight w:val="none"/>
                <w:shd w:val="clear" w:color="auto" w:fill="FFFFFF"/>
              </w:rPr>
              <w:t>；</w:t>
            </w:r>
            <w:r>
              <w:rPr>
                <w:rFonts w:ascii="宋体" w:hAnsi="宋体" w:eastAsia="宋体" w:cs="宋体"/>
                <w:sz w:val="20"/>
                <w:szCs w:val="20"/>
                <w:highlight w:val="none"/>
              </w:rPr>
              <w:t>项目管理机构人员应在“吉林省建筑市场监管公共服务平台”备案可查。</w:t>
            </w:r>
          </w:p>
          <w:p w14:paraId="69B53A9F">
            <w:pPr>
              <w:spacing w:line="360" w:lineRule="exact"/>
              <w:ind w:left="57" w:firstLine="420" w:firstLineChars="200"/>
              <w:jc w:val="both"/>
              <w:rPr>
                <w:rFonts w:hint="eastAsia" w:ascii="黑体" w:hAnsi="黑体" w:eastAsia="黑体"/>
                <w:color w:val="333333"/>
                <w:highlight w:val="none"/>
                <w:shd w:val="clear" w:color="auto" w:fill="FFFFFF"/>
              </w:rPr>
            </w:pPr>
            <w:r>
              <w:rPr>
                <w:rFonts w:ascii="黑体" w:hAnsi="黑体" w:eastAsia="黑体"/>
                <w:color w:val="333333"/>
                <w:highlight w:val="none"/>
                <w:shd w:val="clear" w:color="auto" w:fill="FFFFFF"/>
              </w:rPr>
              <w:t>投标文件内附：</w:t>
            </w:r>
          </w:p>
          <w:p w14:paraId="6896C85D">
            <w:pPr>
              <w:spacing w:line="360" w:lineRule="exact"/>
              <w:ind w:firstLine="420" w:firstLineChars="200"/>
              <w:jc w:val="both"/>
              <w:rPr>
                <w:rFonts w:hint="eastAsia" w:ascii="黑体" w:hAnsi="黑体" w:eastAsia="黑体"/>
                <w:color w:val="333333"/>
                <w:highlight w:val="none"/>
                <w:shd w:val="clear" w:color="auto" w:fill="FFFFFF"/>
              </w:rPr>
            </w:pPr>
            <w:r>
              <w:rPr>
                <w:rFonts w:ascii="黑体" w:hAnsi="黑体" w:eastAsia="黑体"/>
                <w:color w:val="333333"/>
                <w:highlight w:val="none"/>
                <w:shd w:val="clear" w:color="auto" w:fill="FFFFFF"/>
              </w:rPr>
              <w:t>（</w:t>
            </w:r>
            <w:r>
              <w:rPr>
                <w:rFonts w:hint="eastAsia" w:ascii="黑体" w:hAnsi="黑体" w:eastAsia="黑体"/>
                <w:color w:val="333333"/>
                <w:highlight w:val="none"/>
                <w:shd w:val="clear" w:color="auto" w:fill="FFFFFF"/>
              </w:rPr>
              <w:t>1）</w:t>
            </w:r>
            <w:r>
              <w:rPr>
                <w:rFonts w:ascii="黑体" w:hAnsi="黑体" w:eastAsia="黑体"/>
                <w:color w:val="333333"/>
                <w:highlight w:val="none"/>
                <w:shd w:val="clear" w:color="auto" w:fill="FFFFFF"/>
              </w:rPr>
              <w:t>人员</w:t>
            </w:r>
            <w:r>
              <w:rPr>
                <w:rFonts w:hint="eastAsia" w:ascii="黑体" w:hAnsi="黑体" w:eastAsia="黑体"/>
                <w:color w:val="333333"/>
                <w:highlight w:val="none"/>
                <w:shd w:val="clear" w:color="auto" w:fill="FFFFFF"/>
              </w:rPr>
              <w:t>资格证书</w:t>
            </w:r>
            <w:r>
              <w:rPr>
                <w:rFonts w:ascii="黑体" w:hAnsi="黑体" w:eastAsia="黑体"/>
                <w:color w:val="333333"/>
                <w:highlight w:val="none"/>
                <w:shd w:val="clear" w:color="auto" w:fill="FFFFFF"/>
              </w:rPr>
              <w:t>、社保参保证明(含被授权人</w:t>
            </w:r>
            <w:r>
              <w:rPr>
                <w:rFonts w:hint="eastAsia" w:ascii="黑体" w:hAnsi="黑体" w:eastAsia="黑体"/>
                <w:color w:val="333333"/>
                <w:highlight w:val="none"/>
                <w:shd w:val="clear" w:color="auto" w:fill="FFFFFF"/>
              </w:rPr>
              <w:t>)</w:t>
            </w:r>
            <w:r>
              <w:rPr>
                <w:rFonts w:ascii="黑体" w:hAnsi="黑体" w:eastAsia="黑体"/>
                <w:color w:val="333333"/>
                <w:highlight w:val="none"/>
                <w:shd w:val="clear" w:color="auto" w:fill="FFFFFF"/>
              </w:rPr>
              <w:t>及在吉林省建筑市场监管公共服务平台信息公示截图扫描件加盖投标单位公章。启用电子证书的投标人，投标文件内附电子证书的有效查询网址</w:t>
            </w:r>
            <w:r>
              <w:rPr>
                <w:rFonts w:hint="eastAsia" w:ascii="黑体" w:hAnsi="黑体" w:eastAsia="黑体"/>
                <w:color w:val="333333"/>
                <w:highlight w:val="none"/>
                <w:shd w:val="clear" w:color="auto" w:fill="FFFFFF"/>
              </w:rPr>
              <w:t>。</w:t>
            </w:r>
          </w:p>
          <w:p w14:paraId="7B91997C">
            <w:pPr>
              <w:spacing w:line="360" w:lineRule="exact"/>
              <w:ind w:firstLine="420" w:firstLineChars="200"/>
              <w:jc w:val="both"/>
              <w:rPr>
                <w:rFonts w:hint="eastAsia" w:ascii="宋体" w:hAnsi="宋体" w:eastAsia="宋体"/>
                <w:color w:val="333333"/>
                <w:highlight w:val="none"/>
                <w:shd w:val="clear" w:color="auto" w:fill="FFFFFF"/>
              </w:rPr>
            </w:pPr>
            <w:r>
              <w:rPr>
                <w:rFonts w:ascii="宋体" w:hAnsi="宋体" w:eastAsia="宋体"/>
                <w:color w:val="333333"/>
                <w:highlight w:val="none"/>
                <w:shd w:val="clear" w:color="auto" w:fill="FFFFFF"/>
              </w:rPr>
              <w:t xml:space="preserve">监理人员具体要求：应符合吉建消【2020】9 号文件的要求；监理工程师可提供国家注册监理工程师执业资格或提供相关专业职称证书和企业对其实践经验并经监理业务培训的证明或者承诺；监理员提供中专及以上学历证明和企业对其经过监理业务培训的证明或者承诺。                      </w:t>
            </w:r>
          </w:p>
          <w:p w14:paraId="1BBA13FF">
            <w:pPr>
              <w:spacing w:line="360" w:lineRule="exact"/>
              <w:ind w:left="57" w:firstLine="420" w:firstLineChars="200"/>
              <w:jc w:val="both"/>
              <w:rPr>
                <w:rFonts w:hint="eastAsia" w:ascii="黑体" w:hAnsi="黑体" w:eastAsia="黑体"/>
                <w:color w:val="333333"/>
                <w:highlight w:val="none"/>
                <w:shd w:val="clear" w:color="auto" w:fill="FFFFFF"/>
              </w:rPr>
            </w:pPr>
            <w:r>
              <w:rPr>
                <w:rFonts w:hint="eastAsia" w:ascii="黑体" w:hAnsi="黑体" w:eastAsia="黑体"/>
                <w:color w:val="333333"/>
                <w:highlight w:val="none"/>
                <w:shd w:val="clear" w:color="auto" w:fill="FFFFFF"/>
              </w:rPr>
              <w:t>（2）</w:t>
            </w:r>
            <w:r>
              <w:rPr>
                <w:rFonts w:ascii="黑体" w:hAnsi="黑体" w:eastAsia="黑体"/>
                <w:color w:val="333333"/>
                <w:highlight w:val="none"/>
                <w:shd w:val="clear" w:color="auto" w:fill="FFFFFF"/>
              </w:rPr>
              <w:t>提供</w:t>
            </w:r>
            <w:r>
              <w:rPr>
                <w:rFonts w:hint="eastAsia" w:ascii="黑体" w:hAnsi="黑体" w:eastAsia="黑体"/>
                <w:bCs/>
                <w:highlight w:val="none"/>
              </w:rPr>
              <w:t>由法定代表人签字并加盖投标单位公章的</w:t>
            </w:r>
            <w:r>
              <w:rPr>
                <w:rFonts w:ascii="黑体" w:hAnsi="黑体" w:eastAsia="黑体"/>
                <w:color w:val="333333"/>
                <w:highlight w:val="none"/>
                <w:shd w:val="clear" w:color="auto" w:fill="FFFFFF"/>
              </w:rPr>
              <w:t>主要人员无在建承诺书。</w:t>
            </w:r>
          </w:p>
        </w:tc>
      </w:tr>
      <w:tr w14:paraId="65A09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406" w:type="pct"/>
            <w:vMerge w:val="continue"/>
            <w:tcBorders>
              <w:top w:val="single" w:color="auto" w:sz="4" w:space="0"/>
              <w:left w:val="single" w:color="auto" w:sz="4" w:space="0"/>
              <w:bottom w:val="single" w:color="auto" w:sz="4" w:space="0"/>
              <w:right w:val="single" w:color="auto" w:sz="4" w:space="0"/>
            </w:tcBorders>
            <w:vAlign w:val="center"/>
          </w:tcPr>
          <w:p w14:paraId="18948854">
            <w:pPr>
              <w:spacing w:line="360" w:lineRule="exact"/>
              <w:jc w:val="center"/>
              <w:rPr>
                <w:highlight w:val="none"/>
              </w:rPr>
            </w:pPr>
          </w:p>
        </w:tc>
        <w:tc>
          <w:tcPr>
            <w:tcW w:w="452" w:type="pct"/>
            <w:vMerge w:val="continue"/>
            <w:tcBorders>
              <w:top w:val="single" w:color="auto" w:sz="4" w:space="0"/>
              <w:left w:val="single" w:color="auto" w:sz="4" w:space="0"/>
              <w:bottom w:val="single" w:color="auto" w:sz="4" w:space="0"/>
              <w:right w:val="single" w:color="auto" w:sz="4" w:space="0"/>
            </w:tcBorders>
            <w:vAlign w:val="center"/>
          </w:tcPr>
          <w:p w14:paraId="153EB537">
            <w:pPr>
              <w:spacing w:line="360" w:lineRule="exact"/>
              <w:jc w:val="center"/>
              <w:rPr>
                <w:highlight w:val="none"/>
              </w:rPr>
            </w:pPr>
          </w:p>
        </w:tc>
        <w:tc>
          <w:tcPr>
            <w:tcW w:w="780" w:type="pct"/>
            <w:tcBorders>
              <w:top w:val="single" w:color="auto" w:sz="4" w:space="0"/>
              <w:left w:val="single" w:color="auto" w:sz="4" w:space="0"/>
              <w:bottom w:val="single" w:color="auto" w:sz="4" w:space="0"/>
              <w:right w:val="single" w:color="auto" w:sz="4" w:space="0"/>
            </w:tcBorders>
            <w:vAlign w:val="center"/>
          </w:tcPr>
          <w:p w14:paraId="21BAC963">
            <w:pPr>
              <w:spacing w:line="360" w:lineRule="exact"/>
              <w:ind w:left="21" w:leftChars="10"/>
              <w:jc w:val="center"/>
              <w:rPr>
                <w:rFonts w:hint="eastAsia" w:ascii="宋体" w:hAnsi="宋体" w:eastAsia="宋体" w:cs="宋体"/>
                <w:highlight w:val="none"/>
              </w:rPr>
            </w:pPr>
            <w:r>
              <w:rPr>
                <w:rFonts w:ascii="宋体" w:hAnsi="宋体" w:eastAsia="宋体" w:cs="宋体"/>
                <w:highlight w:val="none"/>
              </w:rPr>
              <w:t>其他要求</w:t>
            </w:r>
          </w:p>
        </w:tc>
        <w:tc>
          <w:tcPr>
            <w:tcW w:w="3362" w:type="pct"/>
            <w:tcBorders>
              <w:left w:val="single" w:color="auto" w:sz="4" w:space="0"/>
              <w:right w:val="single" w:color="000000" w:sz="10" w:space="0"/>
            </w:tcBorders>
            <w:vAlign w:val="center"/>
          </w:tcPr>
          <w:p w14:paraId="15CC9C9B">
            <w:pPr>
              <w:spacing w:line="360" w:lineRule="exact"/>
              <w:ind w:left="21" w:leftChars="10"/>
              <w:jc w:val="both"/>
              <w:rPr>
                <w:rFonts w:hint="eastAsia" w:ascii="宋体" w:hAnsi="宋体" w:eastAsia="宋体"/>
                <w:color w:val="333333"/>
                <w:highlight w:val="none"/>
                <w:shd w:val="clear" w:color="auto" w:fill="FFFFFF"/>
              </w:rPr>
            </w:pPr>
            <w:r>
              <w:rPr>
                <w:rFonts w:hint="eastAsia" w:ascii="宋体" w:hAnsi="宋体" w:eastAsia="宋体"/>
                <w:color w:val="333333"/>
                <w:highlight w:val="none"/>
                <w:shd w:val="clear" w:color="auto" w:fill="FFFFFF"/>
              </w:rPr>
              <w:t xml:space="preserve"> </w:t>
            </w:r>
            <w:r>
              <w:rPr>
                <w:rFonts w:ascii="宋体" w:hAnsi="宋体" w:eastAsia="宋体"/>
                <w:color w:val="333333"/>
                <w:highlight w:val="none"/>
                <w:shd w:val="clear" w:color="auto" w:fill="FFFFFF"/>
              </w:rPr>
              <w:t xml:space="preserve">   投标文件的其他要求符合招标文件的规定</w:t>
            </w:r>
          </w:p>
        </w:tc>
      </w:tr>
      <w:tr w14:paraId="7FBF6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2" w:hRule="atLeast"/>
        </w:trPr>
        <w:tc>
          <w:tcPr>
            <w:tcW w:w="406" w:type="pct"/>
            <w:vMerge w:val="continue"/>
            <w:tcBorders>
              <w:top w:val="single" w:color="auto" w:sz="4" w:space="0"/>
              <w:left w:val="single" w:color="auto" w:sz="4" w:space="0"/>
              <w:bottom w:val="single" w:color="auto" w:sz="4" w:space="0"/>
              <w:right w:val="single" w:color="auto" w:sz="4" w:space="0"/>
            </w:tcBorders>
            <w:vAlign w:val="center"/>
          </w:tcPr>
          <w:p w14:paraId="5DE4FDEE">
            <w:pPr>
              <w:spacing w:line="360" w:lineRule="exact"/>
              <w:jc w:val="center"/>
              <w:rPr>
                <w:highlight w:val="none"/>
              </w:rPr>
            </w:pPr>
          </w:p>
        </w:tc>
        <w:tc>
          <w:tcPr>
            <w:tcW w:w="452" w:type="pct"/>
            <w:vMerge w:val="continue"/>
            <w:tcBorders>
              <w:top w:val="single" w:color="auto" w:sz="4" w:space="0"/>
              <w:left w:val="single" w:color="auto" w:sz="4" w:space="0"/>
              <w:bottom w:val="single" w:color="auto" w:sz="4" w:space="0"/>
              <w:right w:val="single" w:color="auto" w:sz="4" w:space="0"/>
            </w:tcBorders>
            <w:vAlign w:val="center"/>
          </w:tcPr>
          <w:p w14:paraId="34EE8222">
            <w:pPr>
              <w:spacing w:line="360" w:lineRule="exact"/>
              <w:jc w:val="center"/>
              <w:rPr>
                <w:highlight w:val="none"/>
              </w:rPr>
            </w:pPr>
          </w:p>
        </w:tc>
        <w:tc>
          <w:tcPr>
            <w:tcW w:w="780" w:type="pct"/>
            <w:tcBorders>
              <w:top w:val="single" w:color="auto" w:sz="4" w:space="0"/>
              <w:left w:val="single" w:color="auto" w:sz="4" w:space="0"/>
              <w:bottom w:val="single" w:color="auto" w:sz="4" w:space="0"/>
              <w:right w:val="single" w:color="auto" w:sz="4" w:space="0"/>
            </w:tcBorders>
            <w:vAlign w:val="center"/>
          </w:tcPr>
          <w:p w14:paraId="3D0310B1">
            <w:pPr>
              <w:spacing w:line="360" w:lineRule="exact"/>
              <w:jc w:val="center"/>
              <w:rPr>
                <w:rFonts w:hint="eastAsia" w:ascii="宋体" w:hAnsi="宋体" w:eastAsia="宋体"/>
                <w:highlight w:val="none"/>
              </w:rPr>
            </w:pPr>
            <w:r>
              <w:rPr>
                <w:rFonts w:hint="eastAsia" w:ascii="宋体" w:hAnsi="宋体" w:eastAsia="宋体"/>
                <w:bCs/>
                <w:kern w:val="15"/>
                <w:highlight w:val="none"/>
              </w:rPr>
              <w:t>外省入吉企业</w:t>
            </w:r>
          </w:p>
        </w:tc>
        <w:tc>
          <w:tcPr>
            <w:tcW w:w="3362" w:type="pct"/>
            <w:tcBorders>
              <w:left w:val="single" w:color="auto" w:sz="4" w:space="0"/>
              <w:right w:val="single" w:color="000000" w:sz="10" w:space="0"/>
            </w:tcBorders>
            <w:vAlign w:val="center"/>
          </w:tcPr>
          <w:p w14:paraId="39A434F0">
            <w:pPr>
              <w:spacing w:line="360" w:lineRule="exact"/>
              <w:rPr>
                <w:rFonts w:hint="eastAsia" w:ascii="宋体" w:hAnsi="宋体" w:eastAsia="宋体"/>
                <w:bCs/>
                <w:kern w:val="15"/>
                <w:highlight w:val="none"/>
                <w:lang w:val="zh-CN"/>
              </w:rPr>
            </w:pPr>
            <w:r>
              <w:rPr>
                <w:rFonts w:hint="eastAsia" w:ascii="宋体" w:hAnsi="宋体" w:eastAsia="宋体"/>
                <w:bCs/>
                <w:kern w:val="15"/>
                <w:highlight w:val="none"/>
                <w:lang w:val="zh-CN"/>
              </w:rPr>
              <w:t>外省入吉企业在我省承揽工程须按照吉林省相关的法律法规文件要求办理企业信息登记，登记后方可参与投标。</w:t>
            </w:r>
          </w:p>
          <w:p w14:paraId="6B8F9E79">
            <w:pPr>
              <w:spacing w:line="360" w:lineRule="exact"/>
              <w:ind w:firstLine="420" w:firstLineChars="200"/>
              <w:rPr>
                <w:rFonts w:hint="eastAsia" w:ascii="宋体" w:hAnsi="宋体" w:eastAsia="宋体"/>
                <w:highlight w:val="none"/>
              </w:rPr>
            </w:pPr>
            <w:r>
              <w:rPr>
                <w:rFonts w:hint="eastAsia" w:ascii="黑体" w:hAnsi="黑体" w:eastAsia="黑体"/>
                <w:kern w:val="15"/>
                <w:highlight w:val="none"/>
                <w:lang w:val="zh-CN"/>
              </w:rPr>
              <w:t>投标文件内附“吉林省建筑市场监管公共服务平台”入吉企业官网截图并加盖投标单位公章。</w:t>
            </w:r>
          </w:p>
        </w:tc>
      </w:tr>
      <w:tr w14:paraId="38FC4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6" w:hRule="atLeast"/>
        </w:trPr>
        <w:tc>
          <w:tcPr>
            <w:tcW w:w="406" w:type="pct"/>
            <w:vMerge w:val="continue"/>
            <w:tcBorders>
              <w:top w:val="single" w:color="auto" w:sz="4" w:space="0"/>
              <w:left w:val="single" w:color="auto" w:sz="4" w:space="0"/>
              <w:bottom w:val="single" w:color="auto" w:sz="4" w:space="0"/>
              <w:right w:val="single" w:color="auto" w:sz="4" w:space="0"/>
            </w:tcBorders>
            <w:vAlign w:val="center"/>
          </w:tcPr>
          <w:p w14:paraId="6CBE595A">
            <w:pPr>
              <w:spacing w:line="360" w:lineRule="exact"/>
              <w:jc w:val="center"/>
              <w:rPr>
                <w:highlight w:val="none"/>
              </w:rPr>
            </w:pPr>
          </w:p>
        </w:tc>
        <w:tc>
          <w:tcPr>
            <w:tcW w:w="452" w:type="pct"/>
            <w:vMerge w:val="continue"/>
            <w:tcBorders>
              <w:top w:val="single" w:color="auto" w:sz="4" w:space="0"/>
              <w:left w:val="single" w:color="auto" w:sz="4" w:space="0"/>
              <w:bottom w:val="single" w:color="auto" w:sz="4" w:space="0"/>
              <w:right w:val="single" w:color="auto" w:sz="4" w:space="0"/>
            </w:tcBorders>
            <w:vAlign w:val="center"/>
          </w:tcPr>
          <w:p w14:paraId="5D76CFA6">
            <w:pPr>
              <w:spacing w:line="360" w:lineRule="exact"/>
              <w:jc w:val="center"/>
              <w:rPr>
                <w:highlight w:val="none"/>
              </w:rPr>
            </w:pPr>
          </w:p>
        </w:tc>
        <w:tc>
          <w:tcPr>
            <w:tcW w:w="780" w:type="pct"/>
            <w:tcBorders>
              <w:top w:val="single" w:color="auto" w:sz="4" w:space="0"/>
              <w:left w:val="single" w:color="auto" w:sz="4" w:space="0"/>
              <w:bottom w:val="single" w:color="auto" w:sz="4" w:space="0"/>
              <w:right w:val="single" w:color="auto" w:sz="4" w:space="0"/>
            </w:tcBorders>
            <w:vAlign w:val="center"/>
          </w:tcPr>
          <w:p w14:paraId="3208FA2F">
            <w:pPr>
              <w:spacing w:line="360" w:lineRule="exact"/>
              <w:ind w:left="21" w:leftChars="10"/>
              <w:jc w:val="center"/>
              <w:rPr>
                <w:rFonts w:hint="eastAsia" w:ascii="宋体" w:hAnsi="宋体" w:eastAsia="宋体" w:cs="宋体"/>
                <w:highlight w:val="none"/>
              </w:rPr>
            </w:pPr>
            <w:r>
              <w:rPr>
                <w:rFonts w:ascii="宋体" w:hAnsi="宋体" w:eastAsia="宋体" w:cs="宋体"/>
                <w:highlight w:val="none"/>
              </w:rPr>
              <w:t>不存在禁止投标的情形</w:t>
            </w:r>
          </w:p>
        </w:tc>
        <w:tc>
          <w:tcPr>
            <w:tcW w:w="3362" w:type="pct"/>
            <w:tcBorders>
              <w:left w:val="single" w:color="auto" w:sz="4" w:space="0"/>
              <w:right w:val="single" w:color="000000" w:sz="10" w:space="0"/>
            </w:tcBorders>
            <w:vAlign w:val="center"/>
          </w:tcPr>
          <w:p w14:paraId="1D729F9D">
            <w:pPr>
              <w:spacing w:line="360" w:lineRule="exact"/>
              <w:ind w:left="21" w:leftChars="10"/>
              <w:jc w:val="both"/>
              <w:rPr>
                <w:rFonts w:hint="eastAsia" w:ascii="宋体" w:hAnsi="宋体" w:eastAsia="宋体"/>
                <w:color w:val="333333"/>
                <w:highlight w:val="none"/>
                <w:shd w:val="clear" w:color="auto" w:fill="FFFFFF"/>
              </w:rPr>
            </w:pPr>
            <w:r>
              <w:rPr>
                <w:rFonts w:ascii="宋体" w:hAnsi="宋体" w:eastAsia="宋体"/>
                <w:color w:val="333333"/>
                <w:highlight w:val="none"/>
                <w:shd w:val="clear" w:color="auto" w:fill="FFFFFF"/>
              </w:rPr>
              <w:t>不存在第二章“投标人须知”第 1.4.3 项规定的任何一 种情形</w:t>
            </w:r>
          </w:p>
          <w:p w14:paraId="516208E6">
            <w:pPr>
              <w:spacing w:line="360" w:lineRule="exact"/>
              <w:ind w:left="21" w:leftChars="10" w:firstLine="420" w:firstLineChars="200"/>
              <w:jc w:val="both"/>
              <w:rPr>
                <w:rFonts w:hint="eastAsia" w:ascii="黑体" w:hAnsi="黑体" w:eastAsia="黑体"/>
                <w:color w:val="333333"/>
                <w:highlight w:val="none"/>
                <w:shd w:val="clear" w:color="auto" w:fill="FFFFFF"/>
              </w:rPr>
            </w:pPr>
            <w:r>
              <w:rPr>
                <w:rFonts w:hint="eastAsia" w:ascii="黑体" w:hAnsi="黑体" w:eastAsia="黑体"/>
                <w:kern w:val="15"/>
                <w:highlight w:val="none"/>
                <w:lang w:val="zh-CN"/>
              </w:rPr>
              <w:t>投标文件内附</w:t>
            </w:r>
            <w:r>
              <w:rPr>
                <w:rFonts w:hint="eastAsia" w:ascii="黑体" w:hAnsi="黑体" w:eastAsia="黑体"/>
                <w:bCs/>
                <w:highlight w:val="none"/>
              </w:rPr>
              <w:t>由法定代表人或其委托代理人签字并加盖投标单位公章的承诺书</w:t>
            </w:r>
            <w:r>
              <w:rPr>
                <w:rFonts w:hint="eastAsia" w:ascii="宋体" w:hAnsi="宋体" w:eastAsia="宋体"/>
                <w:bCs/>
                <w:highlight w:val="none"/>
              </w:rPr>
              <w:t>。</w:t>
            </w:r>
          </w:p>
        </w:tc>
      </w:tr>
    </w:tbl>
    <w:p w14:paraId="417A2F1C">
      <w:pPr>
        <w:spacing w:before="133" w:line="221" w:lineRule="auto"/>
        <w:ind w:left="3863"/>
        <w:rPr>
          <w:rFonts w:hint="eastAsia" w:ascii="黑体" w:hAnsi="黑体" w:eastAsia="黑体" w:cs="宋体"/>
          <w:sz w:val="28"/>
          <w:szCs w:val="28"/>
          <w:highlight w:val="none"/>
        </w:rPr>
      </w:pPr>
      <w:r>
        <w:rPr>
          <w:rFonts w:hint="eastAsia" w:ascii="黑体" w:hAnsi="黑体" w:eastAsia="黑体" w:cs="宋体"/>
          <w:sz w:val="28"/>
          <w:szCs w:val="28"/>
          <w:highlight w:val="none"/>
        </w:rPr>
        <w:t xml:space="preserve"> </w:t>
      </w:r>
      <w:r>
        <w:rPr>
          <w:rFonts w:ascii="黑体" w:hAnsi="黑体" w:eastAsia="黑体" w:cs="宋体"/>
          <w:sz w:val="28"/>
          <w:szCs w:val="28"/>
          <w:highlight w:val="none"/>
        </w:rPr>
        <w:t xml:space="preserve"> </w:t>
      </w:r>
    </w:p>
    <w:p w14:paraId="076E25FC">
      <w:pPr>
        <w:spacing w:line="360" w:lineRule="exact"/>
        <w:ind w:firstLine="420" w:firstLineChars="200"/>
        <w:rPr>
          <w:rFonts w:hint="eastAsia" w:cs="宋体" w:asciiTheme="minorEastAsia" w:hAnsiTheme="minorEastAsia" w:eastAsiaTheme="minorEastAsia"/>
          <w:highlight w:val="none"/>
        </w:rPr>
      </w:pPr>
      <w:r>
        <w:rPr>
          <w:rFonts w:hint="eastAsia" w:ascii="黑体" w:hAnsi="黑体" w:eastAsia="黑体" w:cs="宋体"/>
          <w:highlight w:val="none"/>
        </w:rPr>
        <w:t>注：</w:t>
      </w:r>
      <w:r>
        <w:rPr>
          <w:rFonts w:ascii="黑体" w:hAnsi="黑体" w:eastAsia="黑体"/>
          <w:color w:val="333333"/>
          <w:highlight w:val="none"/>
          <w:shd w:val="clear" w:color="auto" w:fill="FFFFFF"/>
        </w:rPr>
        <w:t>社保参保证明</w:t>
      </w:r>
      <w:r>
        <w:rPr>
          <w:rFonts w:hint="eastAsia" w:ascii="黑体" w:hAnsi="黑体" w:eastAsia="黑体" w:cs="宋体"/>
          <w:highlight w:val="none"/>
        </w:rPr>
        <w:t>须</w:t>
      </w:r>
      <w:r>
        <w:rPr>
          <w:rFonts w:ascii="黑体" w:hAnsi="黑体" w:eastAsia="黑体" w:cs="宋体"/>
          <w:highlight w:val="none"/>
        </w:rPr>
        <w:t>提供 2026年6月1日至投标截止时间前任意一个月的社保证明材料，以社保官网查询为准</w:t>
      </w:r>
      <w:r>
        <w:rPr>
          <w:rFonts w:cs="宋体" w:asciiTheme="minorEastAsia" w:hAnsiTheme="minorEastAsia" w:eastAsiaTheme="minorEastAsia"/>
          <w:highlight w:val="none"/>
        </w:rPr>
        <w:t>。</w:t>
      </w:r>
    </w:p>
    <w:p w14:paraId="6D6ADC84">
      <w:pPr>
        <w:spacing w:line="360" w:lineRule="exact"/>
        <w:ind w:firstLine="420" w:firstLineChars="200"/>
        <w:rPr>
          <w:rFonts w:hint="eastAsia" w:cs="宋体" w:asciiTheme="minorEastAsia" w:hAnsiTheme="minorEastAsia" w:eastAsiaTheme="minorEastAsia"/>
          <w:highlight w:val="none"/>
        </w:rPr>
      </w:pPr>
    </w:p>
    <w:p w14:paraId="288966CA">
      <w:pPr>
        <w:spacing w:before="133" w:line="221" w:lineRule="auto"/>
        <w:jc w:val="center"/>
        <w:rPr>
          <w:rFonts w:hint="eastAsia" w:ascii="黑体" w:hAnsi="黑体" w:eastAsia="黑体" w:cs="宋体"/>
          <w:sz w:val="28"/>
          <w:szCs w:val="28"/>
          <w:highlight w:val="none"/>
        </w:rPr>
      </w:pPr>
      <w:r>
        <w:rPr>
          <w:rFonts w:ascii="黑体" w:hAnsi="黑体" w:eastAsia="黑体" w:cs="宋体"/>
          <w:sz w:val="28"/>
          <w:szCs w:val="28"/>
          <w:highlight w:val="none"/>
        </w:rPr>
        <w:t>强制性人员标准要求</w:t>
      </w:r>
    </w:p>
    <w:tbl>
      <w:tblPr>
        <w:tblStyle w:val="22"/>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91"/>
        <w:gridCol w:w="685"/>
        <w:gridCol w:w="1233"/>
        <w:gridCol w:w="1096"/>
        <w:gridCol w:w="5943"/>
      </w:tblGrid>
      <w:tr w14:paraId="2A44B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358" w:type="pct"/>
            <w:tcBorders>
              <w:top w:val="single" w:color="auto" w:sz="4" w:space="0"/>
              <w:left w:val="single" w:color="auto" w:sz="4" w:space="0"/>
              <w:bottom w:val="single" w:color="auto" w:sz="4" w:space="0"/>
              <w:right w:val="single" w:color="auto" w:sz="4" w:space="0"/>
            </w:tcBorders>
            <w:vAlign w:val="center"/>
          </w:tcPr>
          <w:p w14:paraId="3A390E47">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序号</w:t>
            </w:r>
          </w:p>
        </w:tc>
        <w:tc>
          <w:tcPr>
            <w:tcW w:w="994" w:type="pct"/>
            <w:gridSpan w:val="2"/>
            <w:tcBorders>
              <w:top w:val="single" w:color="auto" w:sz="4" w:space="0"/>
              <w:left w:val="single" w:color="auto" w:sz="4" w:space="0"/>
              <w:bottom w:val="single" w:color="auto" w:sz="4" w:space="0"/>
              <w:right w:val="single" w:color="auto" w:sz="4" w:space="0"/>
            </w:tcBorders>
            <w:vAlign w:val="center"/>
          </w:tcPr>
          <w:p w14:paraId="39E58ACB">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名称</w:t>
            </w:r>
          </w:p>
        </w:tc>
        <w:tc>
          <w:tcPr>
            <w:tcW w:w="568" w:type="pct"/>
            <w:tcBorders>
              <w:top w:val="single" w:color="auto" w:sz="4" w:space="0"/>
              <w:left w:val="single" w:color="auto" w:sz="4" w:space="0"/>
              <w:bottom w:val="single" w:color="auto" w:sz="4" w:space="0"/>
              <w:right w:val="single" w:color="auto" w:sz="4" w:space="0"/>
            </w:tcBorders>
            <w:vAlign w:val="center"/>
          </w:tcPr>
          <w:p w14:paraId="360A4EC9">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最低</w:t>
            </w:r>
          </w:p>
          <w:p w14:paraId="447D41F9">
            <w:pPr>
              <w:spacing w:line="360" w:lineRule="exact"/>
              <w:jc w:val="center"/>
              <w:rPr>
                <w:rFonts w:hint="eastAsia" w:cs="宋体" w:asciiTheme="minorEastAsia" w:hAnsiTheme="minorEastAsia" w:eastAsiaTheme="minorEastAsia"/>
                <w:highlight w:val="none"/>
              </w:rPr>
            </w:pPr>
            <w:r>
              <w:rPr>
                <w:rFonts w:hint="eastAsia" w:cs="宋体" w:asciiTheme="minorEastAsia" w:hAnsiTheme="minorEastAsia" w:eastAsiaTheme="minorEastAsia"/>
                <w:highlight w:val="none"/>
              </w:rPr>
              <w:t>数量</w:t>
            </w:r>
          </w:p>
        </w:tc>
        <w:tc>
          <w:tcPr>
            <w:tcW w:w="3080" w:type="pct"/>
            <w:tcBorders>
              <w:top w:val="single" w:color="auto" w:sz="4" w:space="0"/>
              <w:left w:val="single" w:color="auto" w:sz="4" w:space="0"/>
              <w:bottom w:val="single" w:color="auto" w:sz="4" w:space="0"/>
              <w:right w:val="single" w:color="auto" w:sz="4" w:space="0"/>
            </w:tcBorders>
            <w:vAlign w:val="center"/>
          </w:tcPr>
          <w:p w14:paraId="1458B5D7">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相关要求</w:t>
            </w:r>
          </w:p>
        </w:tc>
      </w:tr>
      <w:tr w14:paraId="5F0B1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358" w:type="pct"/>
            <w:tcBorders>
              <w:top w:val="single" w:color="auto" w:sz="4" w:space="0"/>
              <w:left w:val="single" w:color="auto" w:sz="4" w:space="0"/>
              <w:bottom w:val="single" w:color="auto" w:sz="4" w:space="0"/>
              <w:right w:val="single" w:color="auto" w:sz="4" w:space="0"/>
            </w:tcBorders>
            <w:vAlign w:val="center"/>
          </w:tcPr>
          <w:p w14:paraId="2A49C306">
            <w:pPr>
              <w:spacing w:line="360" w:lineRule="exact"/>
              <w:jc w:val="center"/>
              <w:rPr>
                <w:rFonts w:hint="eastAsia" w:cs="宋体" w:asciiTheme="minorEastAsia" w:hAnsiTheme="minorEastAsia" w:eastAsiaTheme="minorEastAsia"/>
                <w:highlight w:val="none"/>
              </w:rPr>
            </w:pPr>
            <w:r>
              <w:rPr>
                <w:rFonts w:hint="eastAsia" w:cs="宋体" w:asciiTheme="minorEastAsia" w:hAnsiTheme="minorEastAsia" w:eastAsiaTheme="minorEastAsia"/>
                <w:highlight w:val="none"/>
              </w:rPr>
              <w:t>1</w:t>
            </w:r>
          </w:p>
        </w:tc>
        <w:tc>
          <w:tcPr>
            <w:tcW w:w="994" w:type="pct"/>
            <w:gridSpan w:val="2"/>
            <w:tcBorders>
              <w:top w:val="single" w:color="auto" w:sz="4" w:space="0"/>
              <w:left w:val="single" w:color="auto" w:sz="4" w:space="0"/>
              <w:bottom w:val="single" w:color="auto" w:sz="4" w:space="0"/>
              <w:right w:val="single" w:color="auto" w:sz="4" w:space="0"/>
            </w:tcBorders>
            <w:vAlign w:val="center"/>
          </w:tcPr>
          <w:p w14:paraId="6ACB80D6">
            <w:pPr>
              <w:spacing w:line="360" w:lineRule="exact"/>
              <w:jc w:val="center"/>
              <w:rPr>
                <w:rFonts w:hint="eastAsia" w:cs="宋体" w:asciiTheme="minorEastAsia" w:hAnsiTheme="minorEastAsia" w:eastAsiaTheme="minorEastAsia"/>
                <w:highlight w:val="none"/>
              </w:rPr>
            </w:pPr>
            <w:r>
              <w:rPr>
                <w:rFonts w:hint="eastAsia" w:cs="宋体" w:asciiTheme="minorEastAsia" w:hAnsiTheme="minorEastAsia" w:eastAsiaTheme="minorEastAsia"/>
                <w:position w:val="4"/>
                <w:highlight w:val="none"/>
              </w:rPr>
              <w:t>总监理工程师</w:t>
            </w:r>
          </w:p>
        </w:tc>
        <w:tc>
          <w:tcPr>
            <w:tcW w:w="568" w:type="pct"/>
            <w:tcBorders>
              <w:top w:val="single" w:color="auto" w:sz="4" w:space="0"/>
              <w:left w:val="single" w:color="auto" w:sz="4" w:space="0"/>
              <w:bottom w:val="single" w:color="auto" w:sz="4" w:space="0"/>
              <w:right w:val="single" w:color="auto" w:sz="4" w:space="0"/>
            </w:tcBorders>
            <w:vAlign w:val="center"/>
          </w:tcPr>
          <w:p w14:paraId="1C1A92C5">
            <w:pPr>
              <w:spacing w:line="360" w:lineRule="exact"/>
              <w:ind w:left="21" w:leftChars="10"/>
              <w:jc w:val="center"/>
              <w:rPr>
                <w:rFonts w:hint="eastAsia" w:cs="宋体" w:asciiTheme="minorEastAsia" w:hAnsiTheme="minorEastAsia" w:eastAsiaTheme="minorEastAsia"/>
                <w:highlight w:val="none"/>
              </w:rPr>
            </w:pPr>
            <w:r>
              <w:rPr>
                <w:rFonts w:hint="eastAsia" w:cs="宋体" w:asciiTheme="minorEastAsia" w:hAnsiTheme="minorEastAsia" w:eastAsiaTheme="minorEastAsia"/>
                <w:highlight w:val="none"/>
              </w:rPr>
              <w:t>1人</w:t>
            </w:r>
          </w:p>
        </w:tc>
        <w:tc>
          <w:tcPr>
            <w:tcW w:w="3080" w:type="pct"/>
            <w:tcBorders>
              <w:top w:val="single" w:color="auto" w:sz="4" w:space="0"/>
              <w:left w:val="single" w:color="auto" w:sz="4" w:space="0"/>
              <w:bottom w:val="single" w:color="auto" w:sz="4" w:space="0"/>
              <w:right w:val="single" w:color="auto" w:sz="4" w:space="0"/>
            </w:tcBorders>
            <w:vAlign w:val="center"/>
          </w:tcPr>
          <w:p w14:paraId="427D6150">
            <w:pPr>
              <w:spacing w:line="360" w:lineRule="exact"/>
              <w:ind w:left="21" w:leftChars="10"/>
              <w:jc w:val="both"/>
              <w:rPr>
                <w:rFonts w:hint="eastAsia" w:ascii="宋体" w:hAnsi="宋体" w:eastAsia="宋体" w:cs="宋体"/>
                <w:highlight w:val="none"/>
              </w:rPr>
            </w:pPr>
            <w:r>
              <w:rPr>
                <w:rFonts w:ascii="宋体" w:hAnsi="宋体" w:eastAsia="宋体"/>
                <w:bCs/>
                <w:highlight w:val="none"/>
              </w:rPr>
              <w:t>见资格评审标准中“</w:t>
            </w:r>
            <w:r>
              <w:rPr>
                <w:rFonts w:hint="eastAsia" w:ascii="宋体" w:hAnsi="宋体" w:eastAsia="宋体"/>
                <w:bCs/>
                <w:highlight w:val="none"/>
              </w:rPr>
              <w:t>总</w:t>
            </w:r>
            <w:r>
              <w:rPr>
                <w:rFonts w:ascii="宋体" w:hAnsi="宋体" w:eastAsia="宋体"/>
                <w:bCs/>
                <w:highlight w:val="none"/>
              </w:rPr>
              <w:t>监理工程师”要求</w:t>
            </w:r>
          </w:p>
        </w:tc>
      </w:tr>
      <w:tr w14:paraId="184A7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trPr>
        <w:tc>
          <w:tcPr>
            <w:tcW w:w="358" w:type="pct"/>
            <w:tcBorders>
              <w:top w:val="single" w:color="auto" w:sz="4" w:space="0"/>
              <w:left w:val="single" w:color="auto" w:sz="4" w:space="0"/>
              <w:bottom w:val="single" w:color="auto" w:sz="4" w:space="0"/>
              <w:right w:val="single" w:color="auto" w:sz="4" w:space="0"/>
            </w:tcBorders>
            <w:vAlign w:val="center"/>
          </w:tcPr>
          <w:p w14:paraId="48016B57">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2</w:t>
            </w:r>
          </w:p>
        </w:tc>
        <w:tc>
          <w:tcPr>
            <w:tcW w:w="355" w:type="pct"/>
            <w:vMerge w:val="restart"/>
            <w:tcBorders>
              <w:top w:val="single" w:color="auto" w:sz="4" w:space="0"/>
              <w:left w:val="single" w:color="auto" w:sz="4" w:space="0"/>
              <w:right w:val="single" w:color="auto" w:sz="4" w:space="0"/>
            </w:tcBorders>
            <w:vAlign w:val="center"/>
          </w:tcPr>
          <w:p w14:paraId="797FB4BB">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其他</w:t>
            </w:r>
          </w:p>
          <w:p w14:paraId="334558C1">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主要</w:t>
            </w:r>
          </w:p>
          <w:p w14:paraId="066AB078">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人员</w:t>
            </w:r>
          </w:p>
        </w:tc>
        <w:tc>
          <w:tcPr>
            <w:tcW w:w="639" w:type="pct"/>
            <w:tcBorders>
              <w:top w:val="single" w:color="auto" w:sz="4" w:space="0"/>
              <w:left w:val="single" w:color="auto" w:sz="4" w:space="0"/>
              <w:bottom w:val="single" w:color="auto" w:sz="4" w:space="0"/>
              <w:right w:val="single" w:color="auto" w:sz="4" w:space="0"/>
            </w:tcBorders>
            <w:vAlign w:val="center"/>
          </w:tcPr>
          <w:p w14:paraId="4600A297">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房屋建筑</w:t>
            </w:r>
          </w:p>
          <w:p w14:paraId="216A6123">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监理工程师</w:t>
            </w:r>
          </w:p>
        </w:tc>
        <w:tc>
          <w:tcPr>
            <w:tcW w:w="568" w:type="pct"/>
            <w:tcBorders>
              <w:top w:val="single" w:color="auto" w:sz="4" w:space="0"/>
              <w:left w:val="single" w:color="auto" w:sz="4" w:space="0"/>
              <w:bottom w:val="single" w:color="auto" w:sz="4" w:space="0"/>
              <w:right w:val="single" w:color="auto" w:sz="4" w:space="0"/>
            </w:tcBorders>
            <w:vAlign w:val="center"/>
          </w:tcPr>
          <w:p w14:paraId="091D2CDF">
            <w:pPr>
              <w:spacing w:line="360" w:lineRule="exact"/>
              <w:ind w:left="21" w:leftChars="10"/>
              <w:jc w:val="center"/>
              <w:rPr>
                <w:rFonts w:hint="eastAsia" w:cs="宋体" w:asciiTheme="minorEastAsia" w:hAnsiTheme="minorEastAsia" w:eastAsiaTheme="minorEastAsia"/>
                <w:highlight w:val="none"/>
              </w:rPr>
            </w:pPr>
            <w:r>
              <w:rPr>
                <w:rFonts w:hint="eastAsia" w:cs="宋体" w:asciiTheme="minorEastAsia" w:hAnsiTheme="minorEastAsia" w:eastAsiaTheme="minorEastAsia"/>
                <w:highlight w:val="none"/>
              </w:rPr>
              <w:t>4人</w:t>
            </w:r>
          </w:p>
        </w:tc>
        <w:tc>
          <w:tcPr>
            <w:tcW w:w="3080" w:type="pct"/>
            <w:tcBorders>
              <w:top w:val="single" w:color="auto" w:sz="4" w:space="0"/>
              <w:left w:val="single" w:color="auto" w:sz="4" w:space="0"/>
              <w:bottom w:val="single" w:color="auto" w:sz="4" w:space="0"/>
              <w:right w:val="single" w:color="auto" w:sz="4" w:space="0"/>
            </w:tcBorders>
          </w:tcPr>
          <w:p w14:paraId="3F4F207B">
            <w:pPr>
              <w:spacing w:line="360" w:lineRule="exact"/>
              <w:ind w:left="21" w:leftChars="10"/>
              <w:rPr>
                <w:rFonts w:hint="eastAsia" w:ascii="宋体" w:hAnsi="宋体" w:eastAsia="宋体" w:cs="宋体"/>
                <w:highlight w:val="none"/>
              </w:rPr>
            </w:pPr>
            <w:r>
              <w:rPr>
                <w:rFonts w:ascii="宋体" w:hAnsi="宋体" w:eastAsia="宋体" w:cs="宋体"/>
                <w:highlight w:val="none"/>
              </w:rPr>
              <w:t>（</w:t>
            </w:r>
            <w:r>
              <w:rPr>
                <w:rFonts w:hint="eastAsia" w:ascii="宋体" w:hAnsi="宋体" w:eastAsia="宋体" w:cs="宋体"/>
                <w:highlight w:val="none"/>
              </w:rPr>
              <w:t>1）</w:t>
            </w:r>
            <w:r>
              <w:rPr>
                <w:rFonts w:ascii="宋体" w:hAnsi="宋体" w:eastAsia="宋体" w:cs="宋体"/>
                <w:highlight w:val="none"/>
              </w:rPr>
              <w:t>具有房屋建筑工程专业国家注册监理工程师执业资格或提供</w:t>
            </w:r>
            <w:r>
              <w:rPr>
                <w:rFonts w:ascii="黑体" w:hAnsi="黑体" w:eastAsia="黑体" w:cs="宋体"/>
                <w:highlight w:val="none"/>
              </w:rPr>
              <w:t>建筑相关专业</w:t>
            </w:r>
            <w:r>
              <w:rPr>
                <w:rFonts w:ascii="宋体" w:hAnsi="宋体" w:eastAsia="宋体" w:cs="宋体"/>
                <w:highlight w:val="none"/>
              </w:rPr>
              <w:t>职称证书和企业对其实践经验并经监理业务培训的证明（或承诺）</w:t>
            </w:r>
            <w:r>
              <w:rPr>
                <w:rFonts w:hint="eastAsia" w:ascii="宋体" w:hAnsi="宋体" w:eastAsia="宋体" w:cs="宋体"/>
                <w:highlight w:val="none"/>
              </w:rPr>
              <w:t>；</w:t>
            </w:r>
          </w:p>
          <w:p w14:paraId="599DF4BC">
            <w:pPr>
              <w:spacing w:line="360" w:lineRule="exact"/>
              <w:ind w:left="21" w:leftChars="10"/>
              <w:rPr>
                <w:rFonts w:hint="eastAsia" w:ascii="宋体" w:hAnsi="宋体" w:eastAsia="宋体" w:cs="宋体"/>
                <w:highlight w:val="none"/>
              </w:rPr>
            </w:pPr>
            <w:r>
              <w:rPr>
                <w:rFonts w:ascii="宋体" w:hAnsi="宋体" w:eastAsia="宋体" w:cs="宋体"/>
                <w:highlight w:val="none"/>
              </w:rPr>
              <w:t>（</w:t>
            </w:r>
            <w:r>
              <w:rPr>
                <w:rFonts w:hint="eastAsia" w:ascii="宋体" w:hAnsi="宋体" w:eastAsia="宋体" w:cs="宋体"/>
                <w:highlight w:val="none"/>
              </w:rPr>
              <w:t>2）提供</w:t>
            </w:r>
            <w:r>
              <w:rPr>
                <w:rFonts w:ascii="宋体" w:hAnsi="宋体" w:eastAsia="宋体" w:cs="宋体"/>
                <w:highlight w:val="none"/>
              </w:rPr>
              <w:t>社保参保证明资料；</w:t>
            </w:r>
          </w:p>
          <w:p w14:paraId="1BC2B946">
            <w:pPr>
              <w:spacing w:line="360" w:lineRule="exact"/>
              <w:ind w:left="21" w:leftChars="10"/>
              <w:rPr>
                <w:rFonts w:hint="eastAsia" w:ascii="宋体" w:hAnsi="宋体" w:eastAsia="宋体" w:cs="宋体"/>
                <w:highlight w:val="none"/>
              </w:rPr>
            </w:pPr>
            <w:r>
              <w:rPr>
                <w:rFonts w:ascii="宋体" w:hAnsi="宋体" w:eastAsia="宋体" w:cs="宋体"/>
                <w:highlight w:val="none"/>
              </w:rPr>
              <w:t>（</w:t>
            </w:r>
            <w:r>
              <w:rPr>
                <w:rFonts w:hint="eastAsia" w:ascii="宋体" w:hAnsi="宋体" w:eastAsia="宋体" w:cs="宋体"/>
                <w:highlight w:val="none"/>
              </w:rPr>
              <w:t>3）提供在</w:t>
            </w:r>
            <w:r>
              <w:rPr>
                <w:rFonts w:ascii="宋体" w:hAnsi="宋体" w:eastAsia="宋体" w:cs="宋体"/>
                <w:highlight w:val="none"/>
              </w:rPr>
              <w:t>吉林省建筑市场监管公共服务平台人员信息截图。</w:t>
            </w:r>
          </w:p>
        </w:tc>
      </w:tr>
      <w:tr w14:paraId="44772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trPr>
        <w:tc>
          <w:tcPr>
            <w:tcW w:w="358" w:type="pct"/>
            <w:tcBorders>
              <w:top w:val="single" w:color="auto" w:sz="4" w:space="0"/>
              <w:left w:val="single" w:color="auto" w:sz="4" w:space="0"/>
              <w:bottom w:val="single" w:color="auto" w:sz="4" w:space="0"/>
              <w:right w:val="single" w:color="auto" w:sz="4" w:space="0"/>
            </w:tcBorders>
            <w:vAlign w:val="center"/>
          </w:tcPr>
          <w:p w14:paraId="7BF48744">
            <w:pPr>
              <w:spacing w:line="360" w:lineRule="exact"/>
              <w:jc w:val="center"/>
              <w:rPr>
                <w:rFonts w:hint="eastAsia" w:cs="宋体" w:asciiTheme="minorEastAsia" w:hAnsiTheme="minorEastAsia" w:eastAsiaTheme="minorEastAsia"/>
                <w:highlight w:val="none"/>
              </w:rPr>
            </w:pPr>
            <w:r>
              <w:rPr>
                <w:rFonts w:hint="eastAsia" w:cs="宋体" w:asciiTheme="minorEastAsia" w:hAnsiTheme="minorEastAsia" w:eastAsiaTheme="minorEastAsia"/>
                <w:highlight w:val="none"/>
              </w:rPr>
              <w:t>3</w:t>
            </w:r>
          </w:p>
        </w:tc>
        <w:tc>
          <w:tcPr>
            <w:tcW w:w="355" w:type="pct"/>
            <w:vMerge w:val="continue"/>
            <w:tcBorders>
              <w:left w:val="single" w:color="auto" w:sz="4" w:space="0"/>
              <w:right w:val="single" w:color="auto" w:sz="4" w:space="0"/>
            </w:tcBorders>
            <w:vAlign w:val="center"/>
          </w:tcPr>
          <w:p w14:paraId="6EF62F3D">
            <w:pPr>
              <w:spacing w:line="360" w:lineRule="exact"/>
              <w:jc w:val="center"/>
              <w:rPr>
                <w:rFonts w:hint="eastAsia" w:cs="宋体" w:asciiTheme="minorEastAsia" w:hAnsiTheme="minorEastAsia" w:eastAsiaTheme="minorEastAsia"/>
                <w:highlight w:val="none"/>
              </w:rPr>
            </w:pPr>
          </w:p>
        </w:tc>
        <w:tc>
          <w:tcPr>
            <w:tcW w:w="639" w:type="pct"/>
            <w:tcBorders>
              <w:top w:val="single" w:color="auto" w:sz="4" w:space="0"/>
              <w:left w:val="single" w:color="auto" w:sz="4" w:space="0"/>
              <w:bottom w:val="single" w:color="auto" w:sz="4" w:space="0"/>
              <w:right w:val="single" w:color="auto" w:sz="4" w:space="0"/>
            </w:tcBorders>
            <w:vAlign w:val="center"/>
          </w:tcPr>
          <w:p w14:paraId="757F3AF5">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水暖</w:t>
            </w:r>
          </w:p>
          <w:p w14:paraId="2D05B653">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监理工程师</w:t>
            </w:r>
          </w:p>
        </w:tc>
        <w:tc>
          <w:tcPr>
            <w:tcW w:w="568" w:type="pct"/>
            <w:tcBorders>
              <w:top w:val="single" w:color="auto" w:sz="4" w:space="0"/>
              <w:left w:val="single" w:color="auto" w:sz="4" w:space="0"/>
              <w:bottom w:val="single" w:color="auto" w:sz="4" w:space="0"/>
              <w:right w:val="single" w:color="auto" w:sz="4" w:space="0"/>
            </w:tcBorders>
            <w:vAlign w:val="center"/>
          </w:tcPr>
          <w:p w14:paraId="4F306897">
            <w:pPr>
              <w:spacing w:line="360" w:lineRule="exact"/>
              <w:ind w:left="21" w:leftChars="10"/>
              <w:jc w:val="center"/>
              <w:rPr>
                <w:rFonts w:hint="eastAsia" w:cs="宋体" w:asciiTheme="minorEastAsia" w:hAnsiTheme="minorEastAsia" w:eastAsiaTheme="minorEastAsia"/>
                <w:highlight w:val="none"/>
              </w:rPr>
            </w:pPr>
            <w:r>
              <w:rPr>
                <w:rFonts w:hint="eastAsia" w:cs="宋体" w:asciiTheme="minorEastAsia" w:hAnsiTheme="minorEastAsia" w:eastAsiaTheme="minorEastAsia"/>
                <w:highlight w:val="none"/>
              </w:rPr>
              <w:t>4人</w:t>
            </w:r>
          </w:p>
        </w:tc>
        <w:tc>
          <w:tcPr>
            <w:tcW w:w="3080" w:type="pct"/>
            <w:tcBorders>
              <w:top w:val="single" w:color="auto" w:sz="4" w:space="0"/>
              <w:left w:val="single" w:color="auto" w:sz="4" w:space="0"/>
              <w:bottom w:val="single" w:color="auto" w:sz="4" w:space="0"/>
              <w:right w:val="single" w:color="auto" w:sz="4" w:space="0"/>
            </w:tcBorders>
          </w:tcPr>
          <w:p w14:paraId="0F294BEA">
            <w:pPr>
              <w:spacing w:line="360" w:lineRule="exact"/>
              <w:ind w:left="21" w:leftChars="10"/>
              <w:rPr>
                <w:rFonts w:hint="eastAsia" w:ascii="宋体" w:hAnsi="宋体" w:eastAsia="宋体" w:cs="宋体"/>
                <w:highlight w:val="none"/>
              </w:rPr>
            </w:pPr>
            <w:r>
              <w:rPr>
                <w:rFonts w:ascii="宋体" w:hAnsi="宋体" w:eastAsia="宋体" w:cs="宋体"/>
                <w:highlight w:val="none"/>
              </w:rPr>
              <w:t>（</w:t>
            </w:r>
            <w:r>
              <w:rPr>
                <w:rFonts w:hint="eastAsia" w:ascii="宋体" w:hAnsi="宋体" w:eastAsia="宋体" w:cs="宋体"/>
                <w:highlight w:val="none"/>
              </w:rPr>
              <w:t>1）</w:t>
            </w:r>
            <w:r>
              <w:rPr>
                <w:rFonts w:ascii="宋体" w:hAnsi="宋体" w:eastAsia="宋体" w:cs="宋体"/>
                <w:highlight w:val="none"/>
              </w:rPr>
              <w:t>具有房屋建筑工程专业国家注册监理工程师执业资格或提供</w:t>
            </w:r>
            <w:r>
              <w:rPr>
                <w:rFonts w:hint="eastAsia" w:ascii="黑体" w:hAnsi="黑体" w:eastAsia="黑体" w:cs="宋体"/>
                <w:highlight w:val="none"/>
              </w:rPr>
              <w:t>水</w:t>
            </w:r>
            <w:r>
              <w:rPr>
                <w:rFonts w:ascii="黑体" w:hAnsi="黑体" w:eastAsia="黑体" w:cs="宋体"/>
                <w:highlight w:val="none"/>
              </w:rPr>
              <w:t>暖相关专业</w:t>
            </w:r>
            <w:r>
              <w:rPr>
                <w:rFonts w:ascii="宋体" w:hAnsi="宋体" w:eastAsia="宋体" w:cs="宋体"/>
                <w:highlight w:val="none"/>
              </w:rPr>
              <w:t>职称证书和企业对其实践经验并经监理业务培训的证明（或承诺）</w:t>
            </w:r>
            <w:r>
              <w:rPr>
                <w:rFonts w:hint="eastAsia" w:ascii="宋体" w:hAnsi="宋体" w:eastAsia="宋体" w:cs="宋体"/>
                <w:highlight w:val="none"/>
              </w:rPr>
              <w:t>；</w:t>
            </w:r>
          </w:p>
          <w:p w14:paraId="3E52086E">
            <w:pPr>
              <w:spacing w:line="360" w:lineRule="exact"/>
              <w:ind w:left="21" w:leftChars="10"/>
              <w:rPr>
                <w:rFonts w:hint="eastAsia" w:ascii="宋体" w:hAnsi="宋体" w:eastAsia="宋体" w:cs="宋体"/>
                <w:highlight w:val="none"/>
              </w:rPr>
            </w:pPr>
            <w:r>
              <w:rPr>
                <w:rFonts w:ascii="宋体" w:hAnsi="宋体" w:eastAsia="宋体" w:cs="宋体"/>
                <w:highlight w:val="none"/>
              </w:rPr>
              <w:t>（</w:t>
            </w:r>
            <w:r>
              <w:rPr>
                <w:rFonts w:hint="eastAsia" w:ascii="宋体" w:hAnsi="宋体" w:eastAsia="宋体" w:cs="宋体"/>
                <w:highlight w:val="none"/>
              </w:rPr>
              <w:t>2）提供</w:t>
            </w:r>
            <w:r>
              <w:rPr>
                <w:rFonts w:ascii="宋体" w:hAnsi="宋体" w:eastAsia="宋体" w:cs="宋体"/>
                <w:highlight w:val="none"/>
              </w:rPr>
              <w:t>社保参保证明资料；</w:t>
            </w:r>
          </w:p>
          <w:p w14:paraId="6C1A352E">
            <w:pPr>
              <w:spacing w:line="360" w:lineRule="exact"/>
              <w:ind w:left="21" w:leftChars="10"/>
              <w:rPr>
                <w:rFonts w:hint="eastAsia" w:ascii="宋体" w:hAnsi="宋体" w:eastAsia="宋体" w:cs="宋体"/>
                <w:highlight w:val="none"/>
              </w:rPr>
            </w:pPr>
            <w:r>
              <w:rPr>
                <w:rFonts w:ascii="宋体" w:hAnsi="宋体" w:eastAsia="宋体" w:cs="宋体"/>
                <w:highlight w:val="none"/>
              </w:rPr>
              <w:t>（</w:t>
            </w:r>
            <w:r>
              <w:rPr>
                <w:rFonts w:hint="eastAsia" w:ascii="宋体" w:hAnsi="宋体" w:eastAsia="宋体" w:cs="宋体"/>
                <w:highlight w:val="none"/>
              </w:rPr>
              <w:t>3）提供在</w:t>
            </w:r>
            <w:r>
              <w:rPr>
                <w:rFonts w:ascii="宋体" w:hAnsi="宋体" w:eastAsia="宋体" w:cs="宋体"/>
                <w:highlight w:val="none"/>
              </w:rPr>
              <w:t>吉林省建筑市场监管公共服务平台人员信息截图。</w:t>
            </w:r>
          </w:p>
        </w:tc>
      </w:tr>
      <w:tr w14:paraId="55142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trPr>
        <w:tc>
          <w:tcPr>
            <w:tcW w:w="358" w:type="pct"/>
            <w:tcBorders>
              <w:top w:val="single" w:color="auto" w:sz="4" w:space="0"/>
              <w:left w:val="single" w:color="auto" w:sz="4" w:space="0"/>
              <w:bottom w:val="single" w:color="auto" w:sz="4" w:space="0"/>
              <w:right w:val="single" w:color="auto" w:sz="4" w:space="0"/>
            </w:tcBorders>
            <w:vAlign w:val="center"/>
          </w:tcPr>
          <w:p w14:paraId="2960DA7B">
            <w:pPr>
              <w:spacing w:line="360" w:lineRule="exact"/>
              <w:jc w:val="center"/>
              <w:rPr>
                <w:rFonts w:hint="eastAsia" w:cs="宋体" w:asciiTheme="minorEastAsia" w:hAnsiTheme="minorEastAsia" w:eastAsiaTheme="minorEastAsia"/>
                <w:highlight w:val="none"/>
              </w:rPr>
            </w:pPr>
            <w:r>
              <w:rPr>
                <w:rFonts w:hint="eastAsia" w:cs="宋体" w:asciiTheme="minorEastAsia" w:hAnsiTheme="minorEastAsia" w:eastAsiaTheme="minorEastAsia"/>
                <w:highlight w:val="none"/>
              </w:rPr>
              <w:t>4</w:t>
            </w:r>
          </w:p>
        </w:tc>
        <w:tc>
          <w:tcPr>
            <w:tcW w:w="355" w:type="pct"/>
            <w:vMerge w:val="continue"/>
            <w:tcBorders>
              <w:left w:val="single" w:color="auto" w:sz="4" w:space="0"/>
              <w:bottom w:val="single" w:color="auto" w:sz="4" w:space="0"/>
              <w:right w:val="single" w:color="auto" w:sz="4" w:space="0"/>
            </w:tcBorders>
            <w:vAlign w:val="center"/>
          </w:tcPr>
          <w:p w14:paraId="03AA7129">
            <w:pPr>
              <w:spacing w:line="360" w:lineRule="exact"/>
              <w:jc w:val="center"/>
              <w:rPr>
                <w:rFonts w:hint="eastAsia" w:cs="宋体" w:asciiTheme="minorEastAsia" w:hAnsiTheme="minorEastAsia" w:eastAsiaTheme="minorEastAsia"/>
                <w:highlight w:val="none"/>
              </w:rPr>
            </w:pPr>
          </w:p>
        </w:tc>
        <w:tc>
          <w:tcPr>
            <w:tcW w:w="639" w:type="pct"/>
            <w:tcBorders>
              <w:top w:val="single" w:color="auto" w:sz="4" w:space="0"/>
              <w:left w:val="single" w:color="auto" w:sz="4" w:space="0"/>
              <w:bottom w:val="single" w:color="auto" w:sz="4" w:space="0"/>
              <w:right w:val="single" w:color="auto" w:sz="4" w:space="0"/>
            </w:tcBorders>
            <w:vAlign w:val="center"/>
          </w:tcPr>
          <w:p w14:paraId="3CC3E885">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电气</w:t>
            </w:r>
          </w:p>
          <w:p w14:paraId="42BBF9C1">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监理工程师</w:t>
            </w:r>
          </w:p>
        </w:tc>
        <w:tc>
          <w:tcPr>
            <w:tcW w:w="568" w:type="pct"/>
            <w:tcBorders>
              <w:top w:val="single" w:color="auto" w:sz="4" w:space="0"/>
              <w:left w:val="single" w:color="auto" w:sz="4" w:space="0"/>
              <w:bottom w:val="single" w:color="auto" w:sz="4" w:space="0"/>
              <w:right w:val="single" w:color="auto" w:sz="4" w:space="0"/>
            </w:tcBorders>
            <w:vAlign w:val="center"/>
          </w:tcPr>
          <w:p w14:paraId="406926DF">
            <w:pPr>
              <w:spacing w:line="360" w:lineRule="exact"/>
              <w:ind w:left="21" w:leftChars="10"/>
              <w:jc w:val="center"/>
              <w:rPr>
                <w:rFonts w:hint="eastAsia" w:cs="宋体" w:asciiTheme="minorEastAsia" w:hAnsiTheme="minorEastAsia" w:eastAsiaTheme="minorEastAsia"/>
                <w:highlight w:val="none"/>
              </w:rPr>
            </w:pPr>
            <w:r>
              <w:rPr>
                <w:rFonts w:hint="eastAsia" w:cs="宋体" w:asciiTheme="minorEastAsia" w:hAnsiTheme="minorEastAsia" w:eastAsiaTheme="minorEastAsia"/>
                <w:highlight w:val="none"/>
              </w:rPr>
              <w:t>4人</w:t>
            </w:r>
          </w:p>
        </w:tc>
        <w:tc>
          <w:tcPr>
            <w:tcW w:w="3080" w:type="pct"/>
            <w:tcBorders>
              <w:top w:val="single" w:color="auto" w:sz="4" w:space="0"/>
              <w:left w:val="single" w:color="auto" w:sz="4" w:space="0"/>
              <w:bottom w:val="single" w:color="auto" w:sz="4" w:space="0"/>
              <w:right w:val="single" w:color="auto" w:sz="4" w:space="0"/>
            </w:tcBorders>
          </w:tcPr>
          <w:p w14:paraId="1D0516F9">
            <w:pPr>
              <w:spacing w:line="360" w:lineRule="exact"/>
              <w:ind w:left="21" w:leftChars="10"/>
              <w:rPr>
                <w:rFonts w:hint="eastAsia" w:ascii="宋体" w:hAnsi="宋体" w:eastAsia="宋体" w:cs="宋体"/>
                <w:highlight w:val="none"/>
              </w:rPr>
            </w:pPr>
            <w:r>
              <w:rPr>
                <w:rFonts w:ascii="宋体" w:hAnsi="宋体" w:eastAsia="宋体" w:cs="宋体"/>
                <w:highlight w:val="none"/>
              </w:rPr>
              <w:t>（</w:t>
            </w:r>
            <w:r>
              <w:rPr>
                <w:rFonts w:hint="eastAsia" w:ascii="宋体" w:hAnsi="宋体" w:eastAsia="宋体" w:cs="宋体"/>
                <w:highlight w:val="none"/>
              </w:rPr>
              <w:t>1）</w:t>
            </w:r>
            <w:r>
              <w:rPr>
                <w:rFonts w:ascii="宋体" w:hAnsi="宋体" w:eastAsia="宋体" w:cs="宋体"/>
                <w:highlight w:val="none"/>
              </w:rPr>
              <w:t>具有房屋建筑工程专业国家注册监理工程师执业资格或提供</w:t>
            </w:r>
            <w:r>
              <w:rPr>
                <w:rFonts w:hint="eastAsia" w:ascii="黑体" w:hAnsi="黑体" w:eastAsia="黑体" w:cs="宋体"/>
                <w:highlight w:val="none"/>
              </w:rPr>
              <w:t>电气</w:t>
            </w:r>
            <w:r>
              <w:rPr>
                <w:rFonts w:ascii="黑体" w:hAnsi="黑体" w:eastAsia="黑体" w:cs="宋体"/>
                <w:highlight w:val="none"/>
              </w:rPr>
              <w:t>相关专业</w:t>
            </w:r>
            <w:r>
              <w:rPr>
                <w:rFonts w:ascii="宋体" w:hAnsi="宋体" w:eastAsia="宋体" w:cs="宋体"/>
                <w:highlight w:val="none"/>
              </w:rPr>
              <w:t>职称证书和企业对其实践经验并经监理业务培训的证明（或承诺）</w:t>
            </w:r>
            <w:r>
              <w:rPr>
                <w:rFonts w:hint="eastAsia" w:ascii="宋体" w:hAnsi="宋体" w:eastAsia="宋体" w:cs="宋体"/>
                <w:highlight w:val="none"/>
              </w:rPr>
              <w:t>；</w:t>
            </w:r>
          </w:p>
          <w:p w14:paraId="674F1FC1">
            <w:pPr>
              <w:spacing w:line="360" w:lineRule="exact"/>
              <w:ind w:left="21" w:leftChars="10"/>
              <w:rPr>
                <w:rFonts w:hint="eastAsia" w:ascii="宋体" w:hAnsi="宋体" w:eastAsia="宋体" w:cs="宋体"/>
                <w:highlight w:val="none"/>
              </w:rPr>
            </w:pPr>
            <w:r>
              <w:rPr>
                <w:rFonts w:ascii="宋体" w:hAnsi="宋体" w:eastAsia="宋体" w:cs="宋体"/>
                <w:highlight w:val="none"/>
              </w:rPr>
              <w:t>（</w:t>
            </w:r>
            <w:r>
              <w:rPr>
                <w:rFonts w:hint="eastAsia" w:ascii="宋体" w:hAnsi="宋体" w:eastAsia="宋体" w:cs="宋体"/>
                <w:highlight w:val="none"/>
              </w:rPr>
              <w:t>2）提供</w:t>
            </w:r>
            <w:r>
              <w:rPr>
                <w:rFonts w:ascii="宋体" w:hAnsi="宋体" w:eastAsia="宋体" w:cs="宋体"/>
                <w:highlight w:val="none"/>
              </w:rPr>
              <w:t>社保参保证明资料；</w:t>
            </w:r>
          </w:p>
          <w:p w14:paraId="61820C06">
            <w:pPr>
              <w:spacing w:line="360" w:lineRule="exact"/>
              <w:ind w:left="21" w:leftChars="10"/>
              <w:rPr>
                <w:rFonts w:hint="eastAsia" w:ascii="宋体" w:hAnsi="宋体" w:eastAsia="宋体" w:cs="宋体"/>
                <w:highlight w:val="none"/>
              </w:rPr>
            </w:pPr>
            <w:r>
              <w:rPr>
                <w:rFonts w:ascii="宋体" w:hAnsi="宋体" w:eastAsia="宋体" w:cs="宋体"/>
                <w:highlight w:val="none"/>
              </w:rPr>
              <w:t>（</w:t>
            </w:r>
            <w:r>
              <w:rPr>
                <w:rFonts w:hint="eastAsia" w:ascii="宋体" w:hAnsi="宋体" w:eastAsia="宋体" w:cs="宋体"/>
                <w:highlight w:val="none"/>
              </w:rPr>
              <w:t>3）提供在</w:t>
            </w:r>
            <w:r>
              <w:rPr>
                <w:rFonts w:ascii="宋体" w:hAnsi="宋体" w:eastAsia="宋体" w:cs="宋体"/>
                <w:highlight w:val="none"/>
              </w:rPr>
              <w:t>吉林省建筑市场监管公共服务平台人员信息截图。</w:t>
            </w:r>
          </w:p>
        </w:tc>
      </w:tr>
      <w:tr w14:paraId="2D196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5" w:hRule="atLeast"/>
        </w:trPr>
        <w:tc>
          <w:tcPr>
            <w:tcW w:w="5000" w:type="pct"/>
            <w:gridSpan w:val="5"/>
            <w:tcBorders>
              <w:top w:val="single" w:color="auto" w:sz="4" w:space="0"/>
              <w:left w:val="single" w:color="auto" w:sz="4" w:space="0"/>
              <w:bottom w:val="single" w:color="auto" w:sz="4" w:space="0"/>
              <w:right w:val="single" w:color="auto" w:sz="4" w:space="0"/>
            </w:tcBorders>
            <w:vAlign w:val="center"/>
          </w:tcPr>
          <w:p w14:paraId="00DCADF9">
            <w:pPr>
              <w:spacing w:line="360" w:lineRule="exact"/>
              <w:ind w:left="105"/>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其他要求：</w:t>
            </w:r>
          </w:p>
          <w:p w14:paraId="66AEB86E">
            <w:pPr>
              <w:spacing w:line="320" w:lineRule="exact"/>
              <w:ind w:firstLine="420" w:firstLineChars="200"/>
              <w:rPr>
                <w:rFonts w:hint="eastAsia" w:cs="宋体" w:asciiTheme="majorEastAsia" w:hAnsiTheme="majorEastAsia" w:eastAsiaTheme="majorEastAsia"/>
                <w:highlight w:val="none"/>
              </w:rPr>
            </w:pPr>
            <w:r>
              <w:rPr>
                <w:rFonts w:cs="宋体" w:asciiTheme="majorEastAsia" w:hAnsiTheme="majorEastAsia" w:eastAsiaTheme="majorEastAsia"/>
                <w:highlight w:val="none"/>
              </w:rPr>
              <w:t>1.</w:t>
            </w:r>
            <w:r>
              <w:rPr>
                <w:rFonts w:hint="eastAsia" w:ascii="宋体" w:hAnsi="宋体" w:eastAsia="宋体"/>
                <w:highlight w:val="none"/>
              </w:rPr>
              <w:t xml:space="preserve"> </w:t>
            </w:r>
            <w:r>
              <w:rPr>
                <w:rFonts w:ascii="黑体" w:hAnsi="黑体" w:eastAsia="黑体" w:cs="宋体"/>
                <w:highlight w:val="none"/>
              </w:rPr>
              <w:t>投标人拟派项目管理机构人员均应为投标人在职人员（须提供社保参保证明）</w:t>
            </w:r>
            <w:r>
              <w:rPr>
                <w:rFonts w:cs="宋体" w:asciiTheme="minorEastAsia" w:hAnsiTheme="minorEastAsia" w:eastAsiaTheme="minorEastAsia"/>
                <w:highlight w:val="none"/>
              </w:rPr>
              <w:t>，</w:t>
            </w:r>
            <w:r>
              <w:rPr>
                <w:rFonts w:ascii="黑体" w:hAnsi="黑体" w:eastAsia="黑体" w:cs="宋体"/>
                <w:highlight w:val="none"/>
              </w:rPr>
              <w:t>投标填报人数及资格可高于此标准，但不得低于此要求</w:t>
            </w:r>
            <w:r>
              <w:rPr>
                <w:rFonts w:hint="eastAsia" w:cs="宋体" w:asciiTheme="minorEastAsia" w:hAnsiTheme="minorEastAsia" w:eastAsiaTheme="minorEastAsia"/>
                <w:highlight w:val="none"/>
              </w:rPr>
              <w:t>。</w:t>
            </w:r>
            <w:r>
              <w:rPr>
                <w:rFonts w:hint="eastAsia" w:ascii="宋体" w:hAnsi="宋体" w:eastAsia="宋体"/>
                <w:highlight w:val="none"/>
              </w:rPr>
              <w:t>投标文件内须附</w:t>
            </w:r>
            <w:r>
              <w:rPr>
                <w:rFonts w:ascii="黑体" w:hAnsi="黑体" w:eastAsia="黑体" w:cs="宋体"/>
                <w:highlight w:val="none"/>
              </w:rPr>
              <w:t>2026年6月1日至投标截止时间前任意一个月</w:t>
            </w:r>
            <w:r>
              <w:rPr>
                <w:rFonts w:hint="eastAsia" w:ascii="宋体" w:hAnsi="宋体" w:eastAsia="宋体"/>
                <w:highlight w:val="none"/>
              </w:rPr>
              <w:t>的社保证明材料扫描件加盖投标单位公章。分公司缴纳的社会保险可以予以认可，上级公司、子公司、人力资源服务机构等其他单位缴纳或个人缴纳社会保险均不予认可。</w:t>
            </w:r>
          </w:p>
          <w:p w14:paraId="155A4809">
            <w:pPr>
              <w:spacing w:line="360" w:lineRule="exact"/>
              <w:ind w:firstLine="420" w:firstLineChars="200"/>
              <w:jc w:val="both"/>
              <w:outlineLvl w:val="1"/>
              <w:rPr>
                <w:rFonts w:hint="eastAsia" w:cs="宋体" w:asciiTheme="majorEastAsia" w:hAnsiTheme="majorEastAsia" w:eastAsiaTheme="majorEastAsia"/>
                <w:highlight w:val="none"/>
                <w14:textOutline w14:w="3797" w14:cap="sq" w14:cmpd="sng" w14:algn="ctr">
                  <w14:solidFill>
                    <w14:srgbClr w14:val="000000"/>
                  </w14:solidFill>
                  <w14:prstDash w14:val="solid"/>
                  <w14:bevel/>
                </w14:textOutline>
              </w:rPr>
            </w:pPr>
            <w:r>
              <w:rPr>
                <w:rFonts w:cs="宋体" w:asciiTheme="minorEastAsia" w:hAnsiTheme="minorEastAsia" w:eastAsiaTheme="minorEastAsia"/>
                <w:highlight w:val="none"/>
              </w:rPr>
              <w:t>2.</w:t>
            </w:r>
            <w:r>
              <w:rPr>
                <w:rFonts w:cs="宋体" w:asciiTheme="majorEastAsia" w:hAnsiTheme="majorEastAsia" w:eastAsiaTheme="majorEastAsia"/>
                <w:highlight w:val="none"/>
              </w:rPr>
              <w:t>投标人的</w:t>
            </w:r>
            <w:r>
              <w:rPr>
                <w:rFonts w:ascii="黑体" w:hAnsi="黑体" w:eastAsia="黑体" w:cs="宋体"/>
                <w:highlight w:val="none"/>
              </w:rPr>
              <w:t>企业资质</w:t>
            </w:r>
            <w:r>
              <w:rPr>
                <w:rFonts w:hint="eastAsia" w:ascii="黑体" w:hAnsi="黑体" w:eastAsia="黑体" w:cs="宋体"/>
                <w:highlight w:val="none"/>
              </w:rPr>
              <w:t>及</w:t>
            </w:r>
            <w:r>
              <w:rPr>
                <w:rFonts w:ascii="黑体" w:hAnsi="黑体" w:eastAsia="黑体" w:cs="宋体"/>
                <w:highlight w:val="none"/>
              </w:rPr>
              <w:t>项目管理机构所有人员</w:t>
            </w:r>
            <w:r>
              <w:rPr>
                <w:rFonts w:cs="宋体" w:asciiTheme="minorEastAsia" w:hAnsiTheme="minorEastAsia" w:eastAsiaTheme="minorEastAsia"/>
                <w:highlight w:val="none"/>
              </w:rPr>
              <w:t>资格信息须在吉林省</w:t>
            </w:r>
            <w:r>
              <w:rPr>
                <w:rFonts w:cs="宋体" w:asciiTheme="majorEastAsia" w:hAnsiTheme="majorEastAsia" w:eastAsiaTheme="majorEastAsia"/>
                <w:highlight w:val="none"/>
              </w:rPr>
              <w:t>建筑市场监管公共服务平台查询得到</w:t>
            </w:r>
            <w:r>
              <w:rPr>
                <w:rFonts w:hint="eastAsia" w:cs="宋体" w:asciiTheme="majorEastAsia" w:hAnsiTheme="majorEastAsia" w:eastAsiaTheme="majorEastAsia"/>
                <w:highlight w:val="none"/>
              </w:rPr>
              <w:t>，</w:t>
            </w:r>
            <w:r>
              <w:rPr>
                <w:rFonts w:cs="宋体" w:asciiTheme="minorEastAsia" w:hAnsiTheme="minorEastAsia" w:eastAsiaTheme="minorEastAsia"/>
                <w:highlight w:val="none"/>
              </w:rPr>
              <w:t>所有信息应满足招标文件评审要求，并在有效期内</w:t>
            </w:r>
            <w:r>
              <w:rPr>
                <w:rFonts w:hint="eastAsia" w:cs="宋体" w:asciiTheme="minorEastAsia" w:hAnsiTheme="minorEastAsia" w:eastAsiaTheme="minorEastAsia"/>
                <w:highlight w:val="none"/>
              </w:rPr>
              <w:t>，</w:t>
            </w:r>
            <w:r>
              <w:rPr>
                <w:rFonts w:ascii="黑体" w:hAnsi="黑体" w:eastAsia="黑体" w:cs="宋体"/>
                <w:highlight w:val="none"/>
              </w:rPr>
              <w:t>以吉林省建筑市场监管公共服务平台查询结果为准</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未查询到信息或查询到的信息与投标文件不一致，评标时均不予认定</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若“吉林省建筑市场监管公共服务平台”不设相应人员证件有效期栏目，则证件有效期以标书中所附证件扫描件有效期为准。</w:t>
            </w:r>
          </w:p>
          <w:p w14:paraId="7ACE993F">
            <w:pPr>
              <w:spacing w:line="360" w:lineRule="exact"/>
              <w:ind w:firstLine="420" w:firstLineChars="200"/>
              <w:jc w:val="both"/>
              <w:rPr>
                <w:rFonts w:hint="eastAsia" w:cs="宋体" w:asciiTheme="majorEastAsia" w:hAnsiTheme="majorEastAsia" w:eastAsiaTheme="majorEastAsia"/>
                <w:highlight w:val="none"/>
              </w:rPr>
            </w:pPr>
            <w:r>
              <w:rPr>
                <w:rFonts w:cs="宋体" w:asciiTheme="majorEastAsia" w:hAnsiTheme="majorEastAsia" w:eastAsiaTheme="majorEastAsia"/>
                <w:highlight w:val="none"/>
              </w:rPr>
              <w:t>3.执行吉林省住房和城乡建设厅关于印发《吉林省建设工程监理企业检测机构信用评价管理规定》的通知</w:t>
            </w:r>
            <w:r>
              <w:rPr>
                <w:rFonts w:hint="eastAsia" w:cs="宋体" w:asciiTheme="majorEastAsia" w:hAnsiTheme="majorEastAsia" w:eastAsiaTheme="majorEastAsia"/>
                <w:highlight w:val="none"/>
              </w:rPr>
              <w:t>【</w:t>
            </w:r>
            <w:r>
              <w:rPr>
                <w:rFonts w:cs="宋体" w:asciiTheme="majorEastAsia" w:hAnsiTheme="majorEastAsia" w:eastAsiaTheme="majorEastAsia"/>
                <w:highlight w:val="none"/>
              </w:rPr>
              <w:t>吉建规〔2025〕2号</w:t>
            </w:r>
            <w:r>
              <w:rPr>
                <w:rFonts w:hint="eastAsia" w:cs="宋体" w:asciiTheme="majorEastAsia" w:hAnsiTheme="majorEastAsia" w:eastAsiaTheme="majorEastAsia"/>
                <w:highlight w:val="none"/>
              </w:rPr>
              <w:t>】</w:t>
            </w:r>
            <w:r>
              <w:rPr>
                <w:rFonts w:cs="宋体" w:asciiTheme="majorEastAsia" w:hAnsiTheme="majorEastAsia" w:eastAsiaTheme="majorEastAsia"/>
                <w:highlight w:val="none"/>
              </w:rPr>
              <w:t>文件要求，信用评价为D级</w:t>
            </w:r>
            <w:r>
              <w:rPr>
                <w:rFonts w:hint="eastAsia" w:cs="宋体" w:asciiTheme="majorEastAsia" w:hAnsiTheme="majorEastAsia" w:eastAsiaTheme="majorEastAsia"/>
                <w:highlight w:val="none"/>
              </w:rPr>
              <w:t>的</w:t>
            </w:r>
            <w:r>
              <w:rPr>
                <w:rFonts w:cs="宋体" w:asciiTheme="majorEastAsia" w:hAnsiTheme="majorEastAsia" w:eastAsiaTheme="majorEastAsia"/>
                <w:highlight w:val="none"/>
              </w:rPr>
              <w:t>监理企业</w:t>
            </w:r>
            <w:r>
              <w:rPr>
                <w:rFonts w:hint="eastAsia" w:cs="宋体" w:asciiTheme="majorEastAsia" w:hAnsiTheme="majorEastAsia" w:eastAsiaTheme="majorEastAsia"/>
                <w:highlight w:val="none"/>
              </w:rPr>
              <w:t>，</w:t>
            </w:r>
            <w:r>
              <w:rPr>
                <w:rFonts w:cs="宋体" w:asciiTheme="majorEastAsia" w:hAnsiTheme="majorEastAsia" w:eastAsiaTheme="majorEastAsia"/>
                <w:highlight w:val="none"/>
              </w:rPr>
              <w:t>在信用修复前，依法依规限制参与政府投资项目投标</w:t>
            </w:r>
            <w:r>
              <w:rPr>
                <w:rFonts w:hint="eastAsia" w:cs="宋体" w:asciiTheme="majorEastAsia" w:hAnsiTheme="majorEastAsia" w:eastAsiaTheme="majorEastAsia"/>
                <w:highlight w:val="none"/>
              </w:rPr>
              <w:t>。</w:t>
            </w:r>
          </w:p>
          <w:p w14:paraId="279C2A8F">
            <w:pPr>
              <w:spacing w:line="360" w:lineRule="exact"/>
              <w:ind w:firstLine="420" w:firstLineChars="200"/>
              <w:jc w:val="both"/>
              <w:rPr>
                <w:rFonts w:hint="eastAsia" w:cs="宋体" w:asciiTheme="minorEastAsia" w:hAnsiTheme="minorEastAsia" w:eastAsiaTheme="minorEastAsia"/>
                <w:highlight w:val="none"/>
              </w:rPr>
            </w:pPr>
            <w:r>
              <w:rPr>
                <w:rFonts w:cs="宋体" w:asciiTheme="majorEastAsia" w:hAnsiTheme="majorEastAsia" w:eastAsiaTheme="majorEastAsia"/>
                <w:highlight w:val="none"/>
              </w:rPr>
              <w:t>4.与招标人存在利害关系可能影响招标公正性的法人、其他组织或者个人，不得参加投标。单位负责人为同一人或者存在控股、管理关系 的不同单位，不得参加同一标段投标或者未划分标段的同一招标项目投标。违反这两款规定的，相关投标均无效。</w:t>
            </w:r>
          </w:p>
        </w:tc>
      </w:tr>
    </w:tbl>
    <w:p w14:paraId="405745AD">
      <w:pPr>
        <w:pStyle w:val="3"/>
        <w:spacing w:line="380" w:lineRule="exact"/>
        <w:ind w:firstLine="480" w:firstLineChars="200"/>
        <w:rPr>
          <w:rFonts w:hint="eastAsia" w:ascii="黑体" w:hAnsi="黑体" w:eastAsia="黑体"/>
          <w:sz w:val="24"/>
          <w:szCs w:val="18"/>
          <w:highlight w:val="none"/>
          <w:lang w:val="zh-CN"/>
        </w:rPr>
      </w:pPr>
    </w:p>
    <w:p w14:paraId="27174C9C">
      <w:pPr>
        <w:pStyle w:val="3"/>
        <w:spacing w:line="380" w:lineRule="exact"/>
        <w:ind w:firstLine="480" w:firstLineChars="200"/>
        <w:rPr>
          <w:rFonts w:hint="eastAsia" w:ascii="黑体" w:hAnsi="黑体" w:eastAsia="黑体"/>
          <w:sz w:val="24"/>
          <w:szCs w:val="18"/>
          <w:highlight w:val="none"/>
          <w:lang w:val="zh-CN"/>
        </w:rPr>
      </w:pPr>
    </w:p>
    <w:p w14:paraId="6DEB4180">
      <w:pPr>
        <w:pStyle w:val="3"/>
        <w:spacing w:line="380" w:lineRule="exact"/>
        <w:ind w:firstLine="480" w:firstLineChars="200"/>
        <w:rPr>
          <w:rFonts w:hint="eastAsia" w:ascii="黑体" w:hAnsi="黑体" w:eastAsia="黑体"/>
          <w:sz w:val="24"/>
          <w:szCs w:val="18"/>
          <w:highlight w:val="none"/>
          <w:lang w:val="zh-CN"/>
        </w:rPr>
      </w:pPr>
      <w:r>
        <w:rPr>
          <w:rFonts w:hint="eastAsia" w:ascii="黑体" w:hAnsi="黑体" w:eastAsia="黑体"/>
          <w:sz w:val="24"/>
          <w:szCs w:val="18"/>
          <w:highlight w:val="none"/>
          <w:lang w:val="zh-CN"/>
        </w:rPr>
        <w:t>2.1.3</w:t>
      </w:r>
      <w:r>
        <w:rPr>
          <w:rFonts w:ascii="黑体" w:hAnsi="黑体" w:eastAsia="黑体"/>
          <w:sz w:val="24"/>
          <w:szCs w:val="18"/>
          <w:highlight w:val="none"/>
          <w:lang w:val="zh-CN"/>
        </w:rPr>
        <w:t xml:space="preserve"> </w:t>
      </w:r>
      <w:r>
        <w:rPr>
          <w:rFonts w:hint="eastAsia" w:ascii="黑体" w:hAnsi="黑体" w:eastAsia="黑体"/>
          <w:sz w:val="24"/>
          <w:szCs w:val="18"/>
          <w:highlight w:val="none"/>
          <w:lang w:val="zh-CN"/>
        </w:rPr>
        <w:t>响应性评审标准</w:t>
      </w:r>
    </w:p>
    <w:p w14:paraId="753CCA33">
      <w:pPr>
        <w:spacing w:line="93" w:lineRule="exact"/>
        <w:rPr>
          <w:highlight w:val="none"/>
        </w:rPr>
      </w:pPr>
    </w:p>
    <w:tbl>
      <w:tblPr>
        <w:tblStyle w:val="22"/>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86"/>
        <w:gridCol w:w="866"/>
        <w:gridCol w:w="1477"/>
        <w:gridCol w:w="6535"/>
      </w:tblGrid>
      <w:tr w14:paraId="7A314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07" w:type="pct"/>
            <w:vMerge w:val="restart"/>
            <w:tcBorders>
              <w:left w:val="single" w:color="000000" w:sz="10" w:space="0"/>
              <w:bottom w:val="nil"/>
              <w:right w:val="single" w:color="000000" w:sz="4" w:space="0"/>
            </w:tcBorders>
            <w:vAlign w:val="center"/>
          </w:tcPr>
          <w:p w14:paraId="38260CBA">
            <w:pPr>
              <w:spacing w:line="360" w:lineRule="exact"/>
              <w:jc w:val="center"/>
              <w:rPr>
                <w:rFonts w:hint="eastAsia" w:ascii="黑体" w:hAnsi="黑体" w:eastAsia="黑体" w:cs="宋体"/>
                <w:sz w:val="20"/>
                <w:szCs w:val="20"/>
                <w:highlight w:val="none"/>
              </w:rPr>
            </w:pPr>
            <w:r>
              <w:rPr>
                <w:rFonts w:ascii="黑体" w:hAnsi="黑体" w:eastAsia="黑体" w:cs="宋体"/>
                <w:sz w:val="20"/>
                <w:szCs w:val="20"/>
                <w:highlight w:val="none"/>
              </w:rPr>
              <w:t>2.1.3</w:t>
            </w:r>
          </w:p>
        </w:tc>
        <w:tc>
          <w:tcPr>
            <w:tcW w:w="448" w:type="pct"/>
            <w:vMerge w:val="restart"/>
            <w:tcBorders>
              <w:left w:val="single" w:color="000000" w:sz="4" w:space="0"/>
              <w:bottom w:val="nil"/>
              <w:right w:val="single" w:color="000000" w:sz="4" w:space="0"/>
            </w:tcBorders>
            <w:vAlign w:val="center"/>
          </w:tcPr>
          <w:p w14:paraId="26C2FB56">
            <w:pPr>
              <w:spacing w:line="360" w:lineRule="exact"/>
              <w:jc w:val="center"/>
              <w:rPr>
                <w:rFonts w:hint="eastAsia" w:ascii="黑体" w:hAnsi="黑体" w:eastAsia="黑体" w:cs="宋体"/>
                <w:highlight w:val="none"/>
              </w:rPr>
            </w:pPr>
            <w:r>
              <w:rPr>
                <w:rFonts w:ascii="黑体" w:hAnsi="黑体" w:eastAsia="黑体" w:cs="宋体"/>
                <w:highlight w:val="none"/>
              </w:rPr>
              <w:t>响应性评</w:t>
            </w:r>
          </w:p>
          <w:p w14:paraId="2130DBD3">
            <w:pPr>
              <w:spacing w:line="360" w:lineRule="exact"/>
              <w:jc w:val="center"/>
              <w:rPr>
                <w:rFonts w:hint="eastAsia" w:ascii="黑体" w:hAnsi="黑体" w:eastAsia="黑体" w:cs="宋体"/>
                <w:sz w:val="20"/>
                <w:szCs w:val="20"/>
                <w:highlight w:val="none"/>
              </w:rPr>
            </w:pPr>
            <w:r>
              <w:rPr>
                <w:rFonts w:ascii="黑体" w:hAnsi="黑体" w:eastAsia="黑体" w:cs="宋体"/>
                <w:highlight w:val="none"/>
              </w:rPr>
              <w:t>审标准</w:t>
            </w:r>
          </w:p>
        </w:tc>
        <w:tc>
          <w:tcPr>
            <w:tcW w:w="764" w:type="pct"/>
            <w:tcBorders>
              <w:left w:val="single" w:color="000000" w:sz="4" w:space="0"/>
              <w:right w:val="single" w:color="000000" w:sz="4" w:space="0"/>
            </w:tcBorders>
            <w:vAlign w:val="center"/>
          </w:tcPr>
          <w:p w14:paraId="6A6DEF5D">
            <w:pPr>
              <w:spacing w:line="360" w:lineRule="exact"/>
              <w:jc w:val="center"/>
              <w:rPr>
                <w:rFonts w:hint="eastAsia" w:ascii="宋体" w:hAnsi="宋体" w:eastAsia="宋体" w:cs="宋体"/>
                <w:sz w:val="20"/>
                <w:szCs w:val="20"/>
                <w:highlight w:val="none"/>
              </w:rPr>
            </w:pPr>
            <w:r>
              <w:rPr>
                <w:rFonts w:ascii="宋体" w:hAnsi="宋体" w:eastAsia="宋体" w:cs="宋体"/>
                <w:sz w:val="20"/>
                <w:szCs w:val="20"/>
                <w:highlight w:val="none"/>
              </w:rPr>
              <w:t>投标报价</w:t>
            </w:r>
          </w:p>
        </w:tc>
        <w:tc>
          <w:tcPr>
            <w:tcW w:w="3381" w:type="pct"/>
            <w:tcBorders>
              <w:left w:val="single" w:color="000000" w:sz="4" w:space="0"/>
              <w:right w:val="single" w:color="000000" w:sz="10" w:space="0"/>
            </w:tcBorders>
            <w:vAlign w:val="center"/>
          </w:tcPr>
          <w:p w14:paraId="1684A817">
            <w:pPr>
              <w:spacing w:line="360" w:lineRule="exact"/>
              <w:ind w:left="21" w:leftChars="10"/>
              <w:jc w:val="both"/>
              <w:rPr>
                <w:rFonts w:hint="eastAsia" w:ascii="宋体" w:hAnsi="宋体" w:eastAsia="宋体" w:cs="宋体"/>
                <w:sz w:val="20"/>
                <w:szCs w:val="20"/>
                <w:highlight w:val="none"/>
              </w:rPr>
            </w:pPr>
            <w:r>
              <w:rPr>
                <w:rFonts w:ascii="宋体" w:hAnsi="宋体" w:eastAsia="宋体" w:cs="宋体"/>
                <w:sz w:val="20"/>
                <w:szCs w:val="20"/>
                <w:highlight w:val="none"/>
              </w:rPr>
              <w:t>符合第二章“投标人须知”第 3.2 项规定</w:t>
            </w:r>
          </w:p>
        </w:tc>
      </w:tr>
      <w:tr w14:paraId="132D8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07" w:type="pct"/>
            <w:vMerge w:val="continue"/>
            <w:tcBorders>
              <w:top w:val="nil"/>
              <w:left w:val="single" w:color="000000" w:sz="10" w:space="0"/>
              <w:bottom w:val="nil"/>
              <w:right w:val="single" w:color="000000" w:sz="4" w:space="0"/>
            </w:tcBorders>
            <w:vAlign w:val="center"/>
          </w:tcPr>
          <w:p w14:paraId="4F0AEFC5">
            <w:pPr>
              <w:spacing w:line="360" w:lineRule="exact"/>
              <w:jc w:val="center"/>
              <w:rPr>
                <w:highlight w:val="none"/>
              </w:rPr>
            </w:pPr>
          </w:p>
        </w:tc>
        <w:tc>
          <w:tcPr>
            <w:tcW w:w="448" w:type="pct"/>
            <w:vMerge w:val="continue"/>
            <w:tcBorders>
              <w:top w:val="nil"/>
              <w:left w:val="single" w:color="000000" w:sz="4" w:space="0"/>
              <w:bottom w:val="nil"/>
              <w:right w:val="single" w:color="000000" w:sz="4" w:space="0"/>
            </w:tcBorders>
            <w:vAlign w:val="center"/>
          </w:tcPr>
          <w:p w14:paraId="719D39E5">
            <w:pPr>
              <w:spacing w:line="360" w:lineRule="exact"/>
              <w:jc w:val="center"/>
              <w:rPr>
                <w:highlight w:val="none"/>
              </w:rPr>
            </w:pPr>
          </w:p>
        </w:tc>
        <w:tc>
          <w:tcPr>
            <w:tcW w:w="764" w:type="pct"/>
            <w:tcBorders>
              <w:left w:val="single" w:color="000000" w:sz="4" w:space="0"/>
              <w:right w:val="single" w:color="000000" w:sz="4" w:space="0"/>
            </w:tcBorders>
            <w:vAlign w:val="center"/>
          </w:tcPr>
          <w:p w14:paraId="37C30485">
            <w:pPr>
              <w:spacing w:line="360" w:lineRule="exact"/>
              <w:jc w:val="center"/>
              <w:rPr>
                <w:rFonts w:hint="eastAsia" w:ascii="宋体" w:hAnsi="宋体" w:eastAsia="宋体" w:cs="宋体"/>
                <w:sz w:val="20"/>
                <w:szCs w:val="20"/>
                <w:highlight w:val="none"/>
              </w:rPr>
            </w:pPr>
            <w:r>
              <w:rPr>
                <w:rFonts w:ascii="宋体" w:hAnsi="宋体" w:eastAsia="宋体" w:cs="宋体"/>
                <w:sz w:val="20"/>
                <w:szCs w:val="20"/>
                <w:highlight w:val="none"/>
              </w:rPr>
              <w:t>投标内容</w:t>
            </w:r>
          </w:p>
        </w:tc>
        <w:tc>
          <w:tcPr>
            <w:tcW w:w="3381" w:type="pct"/>
            <w:tcBorders>
              <w:left w:val="single" w:color="000000" w:sz="4" w:space="0"/>
              <w:right w:val="single" w:color="000000" w:sz="10" w:space="0"/>
            </w:tcBorders>
            <w:vAlign w:val="center"/>
          </w:tcPr>
          <w:p w14:paraId="4F9145BF">
            <w:pPr>
              <w:spacing w:line="360" w:lineRule="exact"/>
              <w:ind w:left="21" w:leftChars="10"/>
              <w:jc w:val="both"/>
              <w:rPr>
                <w:rFonts w:hint="eastAsia" w:ascii="宋体" w:hAnsi="宋体" w:eastAsia="宋体" w:cs="宋体"/>
                <w:sz w:val="20"/>
                <w:szCs w:val="20"/>
                <w:highlight w:val="none"/>
              </w:rPr>
            </w:pPr>
            <w:r>
              <w:rPr>
                <w:rFonts w:ascii="宋体" w:hAnsi="宋体" w:eastAsia="宋体" w:cs="宋体"/>
                <w:sz w:val="20"/>
                <w:szCs w:val="20"/>
                <w:highlight w:val="none"/>
              </w:rPr>
              <w:t>符合第二章“投标人须知”第 1.3.1 项规定</w:t>
            </w:r>
          </w:p>
        </w:tc>
      </w:tr>
      <w:tr w14:paraId="1D0D5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07" w:type="pct"/>
            <w:vMerge w:val="continue"/>
            <w:tcBorders>
              <w:top w:val="nil"/>
              <w:left w:val="single" w:color="000000" w:sz="10" w:space="0"/>
              <w:bottom w:val="nil"/>
              <w:right w:val="single" w:color="000000" w:sz="4" w:space="0"/>
            </w:tcBorders>
            <w:vAlign w:val="center"/>
          </w:tcPr>
          <w:p w14:paraId="55534249">
            <w:pPr>
              <w:spacing w:line="360" w:lineRule="exact"/>
              <w:jc w:val="center"/>
              <w:rPr>
                <w:highlight w:val="none"/>
              </w:rPr>
            </w:pPr>
          </w:p>
        </w:tc>
        <w:tc>
          <w:tcPr>
            <w:tcW w:w="448" w:type="pct"/>
            <w:vMerge w:val="continue"/>
            <w:tcBorders>
              <w:top w:val="nil"/>
              <w:left w:val="single" w:color="000000" w:sz="4" w:space="0"/>
              <w:bottom w:val="nil"/>
              <w:right w:val="single" w:color="000000" w:sz="4" w:space="0"/>
            </w:tcBorders>
            <w:vAlign w:val="center"/>
          </w:tcPr>
          <w:p w14:paraId="7622C255">
            <w:pPr>
              <w:spacing w:line="360" w:lineRule="exact"/>
              <w:jc w:val="center"/>
              <w:rPr>
                <w:highlight w:val="none"/>
              </w:rPr>
            </w:pPr>
          </w:p>
        </w:tc>
        <w:tc>
          <w:tcPr>
            <w:tcW w:w="764" w:type="pct"/>
            <w:tcBorders>
              <w:left w:val="single" w:color="000000" w:sz="4" w:space="0"/>
              <w:right w:val="single" w:color="000000" w:sz="4" w:space="0"/>
            </w:tcBorders>
            <w:vAlign w:val="center"/>
          </w:tcPr>
          <w:p w14:paraId="2E863296">
            <w:pPr>
              <w:spacing w:line="360" w:lineRule="exact"/>
              <w:jc w:val="center"/>
              <w:rPr>
                <w:rFonts w:hint="eastAsia" w:ascii="宋体" w:hAnsi="宋体" w:eastAsia="宋体" w:cs="宋体"/>
                <w:sz w:val="20"/>
                <w:szCs w:val="20"/>
                <w:highlight w:val="none"/>
              </w:rPr>
            </w:pPr>
            <w:r>
              <w:rPr>
                <w:rFonts w:ascii="宋体" w:hAnsi="宋体" w:eastAsia="宋体" w:cs="宋体"/>
                <w:sz w:val="20"/>
                <w:szCs w:val="20"/>
                <w:highlight w:val="none"/>
              </w:rPr>
              <w:t>监理服务期限</w:t>
            </w:r>
          </w:p>
        </w:tc>
        <w:tc>
          <w:tcPr>
            <w:tcW w:w="3381" w:type="pct"/>
            <w:tcBorders>
              <w:left w:val="single" w:color="000000" w:sz="4" w:space="0"/>
              <w:right w:val="single" w:color="000000" w:sz="10" w:space="0"/>
            </w:tcBorders>
            <w:vAlign w:val="center"/>
          </w:tcPr>
          <w:p w14:paraId="6D4F7A22">
            <w:pPr>
              <w:spacing w:line="360" w:lineRule="exact"/>
              <w:ind w:left="21" w:leftChars="10"/>
              <w:jc w:val="both"/>
              <w:rPr>
                <w:rFonts w:hint="eastAsia" w:ascii="宋体" w:hAnsi="宋体" w:eastAsia="宋体" w:cs="宋体"/>
                <w:sz w:val="20"/>
                <w:szCs w:val="20"/>
                <w:highlight w:val="none"/>
              </w:rPr>
            </w:pPr>
            <w:r>
              <w:rPr>
                <w:rFonts w:ascii="宋体" w:hAnsi="宋体" w:eastAsia="宋体" w:cs="宋体"/>
                <w:sz w:val="20"/>
                <w:szCs w:val="20"/>
                <w:highlight w:val="none"/>
              </w:rPr>
              <w:t>符合第二章“投标人须知”第 1.3.2 项规定</w:t>
            </w:r>
          </w:p>
        </w:tc>
      </w:tr>
      <w:tr w14:paraId="6E1EF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07" w:type="pct"/>
            <w:vMerge w:val="continue"/>
            <w:tcBorders>
              <w:top w:val="nil"/>
              <w:left w:val="single" w:color="000000" w:sz="10" w:space="0"/>
              <w:bottom w:val="nil"/>
              <w:right w:val="single" w:color="000000" w:sz="4" w:space="0"/>
            </w:tcBorders>
            <w:vAlign w:val="center"/>
          </w:tcPr>
          <w:p w14:paraId="248754E3">
            <w:pPr>
              <w:spacing w:line="360" w:lineRule="exact"/>
              <w:jc w:val="center"/>
              <w:rPr>
                <w:highlight w:val="none"/>
              </w:rPr>
            </w:pPr>
          </w:p>
        </w:tc>
        <w:tc>
          <w:tcPr>
            <w:tcW w:w="448" w:type="pct"/>
            <w:vMerge w:val="continue"/>
            <w:tcBorders>
              <w:top w:val="nil"/>
              <w:left w:val="single" w:color="000000" w:sz="4" w:space="0"/>
              <w:bottom w:val="nil"/>
              <w:right w:val="single" w:color="000000" w:sz="4" w:space="0"/>
            </w:tcBorders>
            <w:vAlign w:val="center"/>
          </w:tcPr>
          <w:p w14:paraId="76D04FA5">
            <w:pPr>
              <w:spacing w:line="360" w:lineRule="exact"/>
              <w:jc w:val="center"/>
              <w:rPr>
                <w:highlight w:val="none"/>
              </w:rPr>
            </w:pPr>
          </w:p>
        </w:tc>
        <w:tc>
          <w:tcPr>
            <w:tcW w:w="764" w:type="pct"/>
            <w:tcBorders>
              <w:left w:val="single" w:color="000000" w:sz="4" w:space="0"/>
              <w:right w:val="single" w:color="000000" w:sz="4" w:space="0"/>
            </w:tcBorders>
            <w:vAlign w:val="center"/>
          </w:tcPr>
          <w:p w14:paraId="308C5C36">
            <w:pPr>
              <w:spacing w:line="360" w:lineRule="exact"/>
              <w:jc w:val="center"/>
              <w:rPr>
                <w:rFonts w:hint="eastAsia" w:ascii="宋体" w:hAnsi="宋体" w:eastAsia="宋体" w:cs="宋体"/>
                <w:sz w:val="20"/>
                <w:szCs w:val="20"/>
                <w:highlight w:val="none"/>
              </w:rPr>
            </w:pPr>
            <w:r>
              <w:rPr>
                <w:rFonts w:ascii="宋体" w:hAnsi="宋体" w:eastAsia="宋体" w:cs="宋体"/>
                <w:sz w:val="20"/>
                <w:szCs w:val="20"/>
                <w:highlight w:val="none"/>
              </w:rPr>
              <w:t>质量标准</w:t>
            </w:r>
          </w:p>
        </w:tc>
        <w:tc>
          <w:tcPr>
            <w:tcW w:w="3381" w:type="pct"/>
            <w:tcBorders>
              <w:left w:val="single" w:color="000000" w:sz="4" w:space="0"/>
              <w:right w:val="single" w:color="000000" w:sz="10" w:space="0"/>
            </w:tcBorders>
            <w:vAlign w:val="center"/>
          </w:tcPr>
          <w:p w14:paraId="13BA536B">
            <w:pPr>
              <w:spacing w:line="360" w:lineRule="exact"/>
              <w:ind w:left="21" w:leftChars="10"/>
              <w:jc w:val="both"/>
              <w:rPr>
                <w:rFonts w:hint="eastAsia" w:ascii="宋体" w:hAnsi="宋体" w:eastAsia="宋体" w:cs="宋体"/>
                <w:sz w:val="20"/>
                <w:szCs w:val="20"/>
                <w:highlight w:val="none"/>
              </w:rPr>
            </w:pPr>
            <w:r>
              <w:rPr>
                <w:rFonts w:ascii="宋体" w:hAnsi="宋体" w:eastAsia="宋体" w:cs="宋体"/>
                <w:sz w:val="20"/>
                <w:szCs w:val="20"/>
                <w:highlight w:val="none"/>
              </w:rPr>
              <w:t>符合第二章“投标人须知”第 1.3.3 项规定</w:t>
            </w:r>
          </w:p>
        </w:tc>
      </w:tr>
      <w:tr w14:paraId="652DF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07" w:type="pct"/>
            <w:vMerge w:val="continue"/>
            <w:tcBorders>
              <w:top w:val="nil"/>
              <w:left w:val="single" w:color="000000" w:sz="10" w:space="0"/>
              <w:bottom w:val="nil"/>
              <w:right w:val="single" w:color="000000" w:sz="4" w:space="0"/>
            </w:tcBorders>
            <w:vAlign w:val="center"/>
          </w:tcPr>
          <w:p w14:paraId="3496E164">
            <w:pPr>
              <w:jc w:val="center"/>
              <w:rPr>
                <w:highlight w:val="none"/>
              </w:rPr>
            </w:pPr>
          </w:p>
        </w:tc>
        <w:tc>
          <w:tcPr>
            <w:tcW w:w="448" w:type="pct"/>
            <w:vMerge w:val="continue"/>
            <w:tcBorders>
              <w:top w:val="nil"/>
              <w:left w:val="single" w:color="000000" w:sz="4" w:space="0"/>
              <w:bottom w:val="nil"/>
              <w:right w:val="single" w:color="000000" w:sz="4" w:space="0"/>
            </w:tcBorders>
            <w:vAlign w:val="center"/>
          </w:tcPr>
          <w:p w14:paraId="1B517BCB">
            <w:pPr>
              <w:jc w:val="center"/>
              <w:rPr>
                <w:highlight w:val="none"/>
              </w:rPr>
            </w:pPr>
          </w:p>
        </w:tc>
        <w:tc>
          <w:tcPr>
            <w:tcW w:w="764" w:type="pct"/>
            <w:tcBorders>
              <w:left w:val="single" w:color="000000" w:sz="4" w:space="0"/>
              <w:right w:val="single" w:color="000000" w:sz="4" w:space="0"/>
            </w:tcBorders>
            <w:vAlign w:val="center"/>
          </w:tcPr>
          <w:p w14:paraId="2006D2A5">
            <w:pPr>
              <w:spacing w:line="360" w:lineRule="exact"/>
              <w:jc w:val="center"/>
              <w:rPr>
                <w:rFonts w:hint="eastAsia" w:ascii="宋体" w:hAnsi="宋体" w:eastAsia="宋体" w:cs="宋体"/>
                <w:sz w:val="20"/>
                <w:szCs w:val="20"/>
                <w:highlight w:val="none"/>
              </w:rPr>
            </w:pPr>
            <w:r>
              <w:rPr>
                <w:rFonts w:ascii="宋体" w:hAnsi="宋体" w:eastAsia="宋体" w:cs="宋体"/>
                <w:sz w:val="20"/>
                <w:szCs w:val="20"/>
                <w:highlight w:val="none"/>
              </w:rPr>
              <w:t>投标有效期</w:t>
            </w:r>
          </w:p>
        </w:tc>
        <w:tc>
          <w:tcPr>
            <w:tcW w:w="3381" w:type="pct"/>
            <w:tcBorders>
              <w:left w:val="single" w:color="000000" w:sz="4" w:space="0"/>
              <w:right w:val="single" w:color="000000" w:sz="10" w:space="0"/>
            </w:tcBorders>
            <w:vAlign w:val="center"/>
          </w:tcPr>
          <w:p w14:paraId="40CBCAC0">
            <w:pPr>
              <w:spacing w:before="178" w:line="227" w:lineRule="auto"/>
              <w:ind w:left="21" w:leftChars="10"/>
              <w:jc w:val="both"/>
              <w:rPr>
                <w:rFonts w:hint="eastAsia" w:ascii="宋体" w:hAnsi="宋体" w:eastAsia="宋体" w:cs="宋体"/>
                <w:sz w:val="20"/>
                <w:szCs w:val="20"/>
                <w:highlight w:val="none"/>
              </w:rPr>
            </w:pPr>
            <w:r>
              <w:rPr>
                <w:rFonts w:ascii="宋体" w:hAnsi="宋体" w:eastAsia="宋体" w:cs="宋体"/>
                <w:sz w:val="20"/>
                <w:szCs w:val="20"/>
                <w:highlight w:val="none"/>
              </w:rPr>
              <w:t>符合第二章“投标人须知”第 3.3.1 项规定</w:t>
            </w:r>
          </w:p>
        </w:tc>
      </w:tr>
      <w:tr w14:paraId="1E3F8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407" w:type="pct"/>
            <w:vMerge w:val="continue"/>
            <w:tcBorders>
              <w:top w:val="nil"/>
              <w:left w:val="single" w:color="000000" w:sz="10" w:space="0"/>
              <w:bottom w:val="nil"/>
              <w:right w:val="single" w:color="000000" w:sz="4" w:space="0"/>
            </w:tcBorders>
            <w:vAlign w:val="center"/>
          </w:tcPr>
          <w:p w14:paraId="2EFD46AE">
            <w:pPr>
              <w:jc w:val="center"/>
              <w:rPr>
                <w:highlight w:val="none"/>
              </w:rPr>
            </w:pPr>
          </w:p>
        </w:tc>
        <w:tc>
          <w:tcPr>
            <w:tcW w:w="448" w:type="pct"/>
            <w:vMerge w:val="continue"/>
            <w:tcBorders>
              <w:top w:val="nil"/>
              <w:left w:val="single" w:color="000000" w:sz="4" w:space="0"/>
              <w:bottom w:val="nil"/>
              <w:right w:val="single" w:color="000000" w:sz="4" w:space="0"/>
            </w:tcBorders>
            <w:vAlign w:val="center"/>
          </w:tcPr>
          <w:p w14:paraId="458D3D01">
            <w:pPr>
              <w:jc w:val="center"/>
              <w:rPr>
                <w:highlight w:val="none"/>
              </w:rPr>
            </w:pPr>
          </w:p>
        </w:tc>
        <w:tc>
          <w:tcPr>
            <w:tcW w:w="764" w:type="pct"/>
            <w:tcBorders>
              <w:left w:val="single" w:color="000000" w:sz="4" w:space="0"/>
              <w:right w:val="single" w:color="000000" w:sz="4" w:space="0"/>
            </w:tcBorders>
            <w:vAlign w:val="center"/>
          </w:tcPr>
          <w:p w14:paraId="566A2741">
            <w:pPr>
              <w:spacing w:line="360" w:lineRule="exact"/>
              <w:jc w:val="center"/>
              <w:rPr>
                <w:rFonts w:hint="eastAsia" w:ascii="宋体" w:hAnsi="宋体" w:eastAsia="宋体" w:cs="宋体"/>
                <w:sz w:val="20"/>
                <w:szCs w:val="20"/>
                <w:highlight w:val="none"/>
              </w:rPr>
            </w:pPr>
            <w:r>
              <w:rPr>
                <w:rFonts w:ascii="宋体" w:hAnsi="宋体" w:eastAsia="宋体" w:cs="宋体"/>
                <w:sz w:val="20"/>
                <w:szCs w:val="20"/>
                <w:highlight w:val="none"/>
              </w:rPr>
              <w:t>投标保证金</w:t>
            </w:r>
          </w:p>
        </w:tc>
        <w:tc>
          <w:tcPr>
            <w:tcW w:w="3381" w:type="pct"/>
            <w:tcBorders>
              <w:left w:val="single" w:color="000000" w:sz="4" w:space="0"/>
              <w:right w:val="single" w:color="000000" w:sz="10" w:space="0"/>
            </w:tcBorders>
            <w:vAlign w:val="center"/>
          </w:tcPr>
          <w:p w14:paraId="4170C4ED">
            <w:pPr>
              <w:spacing w:before="179" w:line="227" w:lineRule="auto"/>
              <w:ind w:left="21" w:leftChars="10"/>
              <w:jc w:val="both"/>
              <w:rPr>
                <w:rFonts w:hint="eastAsia" w:ascii="宋体" w:hAnsi="宋体" w:eastAsia="宋体" w:cs="宋体"/>
                <w:sz w:val="20"/>
                <w:szCs w:val="20"/>
                <w:highlight w:val="none"/>
              </w:rPr>
            </w:pPr>
            <w:r>
              <w:rPr>
                <w:rFonts w:ascii="宋体" w:hAnsi="宋体" w:eastAsia="宋体" w:cs="宋体"/>
                <w:sz w:val="20"/>
                <w:szCs w:val="20"/>
                <w:highlight w:val="none"/>
              </w:rPr>
              <w:t>符合第二章“投标人须知”第 3.4.1 项规定</w:t>
            </w:r>
          </w:p>
        </w:tc>
      </w:tr>
      <w:tr w14:paraId="01C50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8" w:hRule="atLeast"/>
        </w:trPr>
        <w:tc>
          <w:tcPr>
            <w:tcW w:w="407" w:type="pct"/>
            <w:vMerge w:val="continue"/>
            <w:tcBorders>
              <w:top w:val="nil"/>
              <w:left w:val="single" w:color="000000" w:sz="10" w:space="0"/>
              <w:bottom w:val="nil"/>
              <w:right w:val="single" w:color="000000" w:sz="4" w:space="0"/>
            </w:tcBorders>
          </w:tcPr>
          <w:p w14:paraId="068C8459">
            <w:pPr>
              <w:rPr>
                <w:highlight w:val="none"/>
              </w:rPr>
            </w:pPr>
          </w:p>
        </w:tc>
        <w:tc>
          <w:tcPr>
            <w:tcW w:w="448" w:type="pct"/>
            <w:vMerge w:val="continue"/>
            <w:tcBorders>
              <w:top w:val="nil"/>
              <w:left w:val="single" w:color="000000" w:sz="4" w:space="0"/>
              <w:bottom w:val="nil"/>
              <w:right w:val="single" w:color="000000" w:sz="4" w:space="0"/>
            </w:tcBorders>
          </w:tcPr>
          <w:p w14:paraId="57BDFE8E">
            <w:pPr>
              <w:rPr>
                <w:highlight w:val="none"/>
              </w:rPr>
            </w:pPr>
          </w:p>
        </w:tc>
        <w:tc>
          <w:tcPr>
            <w:tcW w:w="764" w:type="pct"/>
            <w:tcBorders>
              <w:left w:val="single" w:color="000000" w:sz="4" w:space="0"/>
              <w:right w:val="single" w:color="000000" w:sz="4" w:space="0"/>
            </w:tcBorders>
            <w:vAlign w:val="center"/>
          </w:tcPr>
          <w:p w14:paraId="2EDB7E94">
            <w:pPr>
              <w:spacing w:line="360" w:lineRule="exact"/>
              <w:jc w:val="center"/>
              <w:rPr>
                <w:rFonts w:hint="eastAsia" w:ascii="宋体" w:hAnsi="宋体" w:eastAsia="宋体" w:cs="宋体"/>
                <w:sz w:val="20"/>
                <w:szCs w:val="20"/>
                <w:highlight w:val="none"/>
              </w:rPr>
            </w:pPr>
            <w:r>
              <w:rPr>
                <w:rFonts w:ascii="宋体" w:hAnsi="宋体" w:eastAsia="宋体" w:cs="宋体"/>
                <w:sz w:val="20"/>
                <w:szCs w:val="20"/>
                <w:highlight w:val="none"/>
              </w:rPr>
              <w:t>权利义务</w:t>
            </w:r>
          </w:p>
        </w:tc>
        <w:tc>
          <w:tcPr>
            <w:tcW w:w="3381" w:type="pct"/>
            <w:tcBorders>
              <w:left w:val="single" w:color="000000" w:sz="4" w:space="0"/>
              <w:right w:val="single" w:color="000000" w:sz="10" w:space="0"/>
            </w:tcBorders>
            <w:vAlign w:val="center"/>
          </w:tcPr>
          <w:p w14:paraId="3593CA4F">
            <w:pPr>
              <w:spacing w:line="360" w:lineRule="exact"/>
              <w:ind w:left="21" w:leftChars="10"/>
              <w:jc w:val="both"/>
              <w:rPr>
                <w:rFonts w:hint="eastAsia" w:ascii="宋体" w:hAnsi="宋体" w:eastAsia="宋体" w:cs="宋体"/>
                <w:sz w:val="20"/>
                <w:szCs w:val="20"/>
                <w:highlight w:val="none"/>
              </w:rPr>
            </w:pPr>
            <w:r>
              <w:rPr>
                <w:rFonts w:ascii="宋体" w:hAnsi="宋体" w:eastAsia="宋体" w:cs="宋体"/>
                <w:sz w:val="20"/>
                <w:szCs w:val="20"/>
                <w:highlight w:val="none"/>
              </w:rPr>
              <w:t>符合第二章“投标人须知”第 1.11.1 项规定和第四章“合同条款及格式”中的实质性要求和条件。</w:t>
            </w:r>
          </w:p>
        </w:tc>
      </w:tr>
      <w:tr w14:paraId="09CD6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407" w:type="pct"/>
            <w:vMerge w:val="continue"/>
            <w:tcBorders>
              <w:top w:val="nil"/>
              <w:left w:val="single" w:color="000000" w:sz="10" w:space="0"/>
              <w:right w:val="single" w:color="000000" w:sz="4" w:space="0"/>
            </w:tcBorders>
          </w:tcPr>
          <w:p w14:paraId="0D21A5F6">
            <w:pPr>
              <w:rPr>
                <w:highlight w:val="none"/>
              </w:rPr>
            </w:pPr>
          </w:p>
        </w:tc>
        <w:tc>
          <w:tcPr>
            <w:tcW w:w="448" w:type="pct"/>
            <w:vMerge w:val="continue"/>
            <w:tcBorders>
              <w:top w:val="nil"/>
              <w:left w:val="single" w:color="000000" w:sz="4" w:space="0"/>
              <w:right w:val="single" w:color="000000" w:sz="4" w:space="0"/>
            </w:tcBorders>
          </w:tcPr>
          <w:p w14:paraId="5EE87973">
            <w:pPr>
              <w:rPr>
                <w:highlight w:val="none"/>
              </w:rPr>
            </w:pPr>
          </w:p>
        </w:tc>
        <w:tc>
          <w:tcPr>
            <w:tcW w:w="764" w:type="pct"/>
            <w:tcBorders>
              <w:left w:val="single" w:color="000000" w:sz="4" w:space="0"/>
              <w:right w:val="single" w:color="000000" w:sz="4" w:space="0"/>
            </w:tcBorders>
            <w:vAlign w:val="center"/>
          </w:tcPr>
          <w:p w14:paraId="17881BA1">
            <w:pPr>
              <w:spacing w:line="360" w:lineRule="exact"/>
              <w:jc w:val="center"/>
              <w:rPr>
                <w:rFonts w:hint="eastAsia" w:ascii="宋体" w:hAnsi="宋体" w:eastAsia="宋体" w:cs="宋体"/>
                <w:sz w:val="20"/>
                <w:szCs w:val="20"/>
                <w:highlight w:val="none"/>
              </w:rPr>
            </w:pPr>
            <w:r>
              <w:rPr>
                <w:rFonts w:ascii="宋体" w:hAnsi="宋体" w:eastAsia="宋体" w:cs="宋体"/>
                <w:sz w:val="20"/>
                <w:szCs w:val="20"/>
                <w:highlight w:val="none"/>
              </w:rPr>
              <w:t>其他要求</w:t>
            </w:r>
          </w:p>
        </w:tc>
        <w:tc>
          <w:tcPr>
            <w:tcW w:w="3381" w:type="pct"/>
            <w:tcBorders>
              <w:left w:val="single" w:color="000000" w:sz="4" w:space="0"/>
              <w:right w:val="single" w:color="000000" w:sz="10" w:space="0"/>
            </w:tcBorders>
            <w:vAlign w:val="center"/>
          </w:tcPr>
          <w:p w14:paraId="5B98A3B6">
            <w:pPr>
              <w:spacing w:line="360" w:lineRule="exact"/>
              <w:ind w:left="21" w:leftChars="10"/>
              <w:jc w:val="both"/>
              <w:rPr>
                <w:rFonts w:hint="eastAsia" w:ascii="宋体" w:hAnsi="宋体" w:eastAsia="宋体" w:cs="宋体"/>
                <w:sz w:val="20"/>
                <w:szCs w:val="20"/>
                <w:highlight w:val="none"/>
              </w:rPr>
            </w:pPr>
            <w:r>
              <w:rPr>
                <w:rFonts w:ascii="宋体" w:hAnsi="宋体" w:eastAsia="宋体" w:cs="宋体"/>
                <w:sz w:val="20"/>
                <w:szCs w:val="20"/>
                <w:highlight w:val="none"/>
              </w:rPr>
              <w:t>投标文件满足国家法律、法规规定以及招标文件其他实质性要求或没有招标人不能接受的条件。</w:t>
            </w:r>
          </w:p>
        </w:tc>
      </w:tr>
    </w:tbl>
    <w:p w14:paraId="2905FEB7">
      <w:pPr>
        <w:rPr>
          <w:rFonts w:eastAsiaTheme="minorEastAsia"/>
          <w:highlight w:val="none"/>
        </w:rPr>
      </w:pPr>
    </w:p>
    <w:p w14:paraId="162B250B">
      <w:pPr>
        <w:spacing w:before="240" w:beforeLines="100" w:line="360" w:lineRule="auto"/>
        <w:rPr>
          <w:rFonts w:hint="eastAsia" w:ascii="宋体" w:hAnsi="宋体" w:eastAsia="宋体" w:cs="宋体"/>
          <w:sz w:val="23"/>
          <w:szCs w:val="23"/>
          <w:highlight w:val="none"/>
        </w:rPr>
      </w:pPr>
      <w:r>
        <w:rPr>
          <w:rFonts w:ascii="黑体" w:hAnsi="黑体" w:eastAsia="黑体"/>
          <w:sz w:val="24"/>
          <w:szCs w:val="18"/>
          <w:highlight w:val="none"/>
          <w:lang w:val="zh-CN"/>
        </w:rPr>
        <w:t>2.2</w:t>
      </w:r>
      <w:r>
        <w:rPr>
          <w:rFonts w:hint="eastAsia" w:ascii="黑体" w:hAnsi="黑体" w:eastAsia="黑体"/>
          <w:sz w:val="24"/>
          <w:szCs w:val="18"/>
          <w:highlight w:val="none"/>
          <w:lang w:val="zh-CN"/>
        </w:rPr>
        <w:t>分值构成与评分标准</w:t>
      </w:r>
      <w:bookmarkStart w:id="30" w:name="OLE_LINK5"/>
      <w:bookmarkStart w:id="31" w:name="OLE_LINK7"/>
    </w:p>
    <w:tbl>
      <w:tblPr>
        <w:tblStyle w:val="22"/>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24"/>
        <w:gridCol w:w="1138"/>
        <w:gridCol w:w="1734"/>
        <w:gridCol w:w="5948"/>
      </w:tblGrid>
      <w:tr w14:paraId="5709A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1017" w:type="pct"/>
            <w:gridSpan w:val="2"/>
            <w:vAlign w:val="center"/>
          </w:tcPr>
          <w:p w14:paraId="1038D4BE">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条款号</w:t>
            </w:r>
          </w:p>
        </w:tc>
        <w:tc>
          <w:tcPr>
            <w:tcW w:w="899" w:type="pct"/>
            <w:vAlign w:val="center"/>
          </w:tcPr>
          <w:p w14:paraId="6F4623E9">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条款内容</w:t>
            </w:r>
          </w:p>
        </w:tc>
        <w:tc>
          <w:tcPr>
            <w:tcW w:w="3084" w:type="pct"/>
            <w:vAlign w:val="center"/>
          </w:tcPr>
          <w:p w14:paraId="70DC85E5">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编列内容</w:t>
            </w:r>
          </w:p>
        </w:tc>
      </w:tr>
      <w:tr w14:paraId="2E8DB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5" w:hRule="atLeast"/>
        </w:trPr>
        <w:tc>
          <w:tcPr>
            <w:tcW w:w="1017" w:type="pct"/>
            <w:gridSpan w:val="2"/>
            <w:vAlign w:val="center"/>
          </w:tcPr>
          <w:p w14:paraId="27E14BDA">
            <w:pPr>
              <w:spacing w:line="360" w:lineRule="exact"/>
              <w:jc w:val="center"/>
              <w:rPr>
                <w:rFonts w:hint="eastAsia" w:cs="宋体" w:asciiTheme="minorEastAsia" w:hAnsiTheme="minorEastAsia" w:eastAsiaTheme="minorEastAsia"/>
                <w:highlight w:val="none"/>
              </w:rPr>
            </w:pPr>
            <w:bookmarkStart w:id="32" w:name="_Hlk232165372"/>
            <w:r>
              <w:rPr>
                <w:rFonts w:cs="宋体" w:asciiTheme="minorEastAsia" w:hAnsiTheme="minorEastAsia" w:eastAsiaTheme="minorEastAsia"/>
                <w:highlight w:val="none"/>
              </w:rPr>
              <w:t>2.2.1</w:t>
            </w:r>
          </w:p>
        </w:tc>
        <w:tc>
          <w:tcPr>
            <w:tcW w:w="899" w:type="pct"/>
            <w:vAlign w:val="center"/>
          </w:tcPr>
          <w:p w14:paraId="0927C4DD">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分值构成</w:t>
            </w:r>
          </w:p>
          <w:p w14:paraId="55B7FD85">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(总分100分)</w:t>
            </w:r>
          </w:p>
        </w:tc>
        <w:tc>
          <w:tcPr>
            <w:tcW w:w="3084" w:type="pct"/>
            <w:vAlign w:val="center"/>
          </w:tcPr>
          <w:p w14:paraId="0E85A9BE">
            <w:pPr>
              <w:spacing w:line="360" w:lineRule="exact"/>
              <w:ind w:left="21" w:leftChars="10"/>
              <w:jc w:val="both"/>
              <w:rPr>
                <w:rFonts w:hint="eastAsia" w:ascii="黑体" w:hAnsi="黑体" w:eastAsia="黑体" w:cs="宋体"/>
                <w:highlight w:val="none"/>
              </w:rPr>
            </w:pPr>
            <w:r>
              <w:rPr>
                <w:rFonts w:ascii="黑体" w:hAnsi="黑体" w:eastAsia="黑体" w:cs="宋体"/>
                <w:highlight w:val="none"/>
              </w:rPr>
              <w:t>资信业绩部分：35分</w:t>
            </w:r>
          </w:p>
          <w:p w14:paraId="38CD8A02">
            <w:pPr>
              <w:spacing w:line="360" w:lineRule="exact"/>
              <w:ind w:left="21" w:leftChars="10"/>
              <w:jc w:val="both"/>
              <w:rPr>
                <w:rFonts w:hint="eastAsia" w:ascii="黑体" w:hAnsi="黑体" w:eastAsia="黑体" w:cs="宋体"/>
                <w:highlight w:val="none"/>
              </w:rPr>
            </w:pPr>
            <w:r>
              <w:rPr>
                <w:rFonts w:ascii="黑体" w:hAnsi="黑体" w:eastAsia="黑体" w:cs="宋体"/>
                <w:highlight w:val="none"/>
              </w:rPr>
              <w:t>监理大纲部分：50 分</w:t>
            </w:r>
          </w:p>
          <w:p w14:paraId="40343A1B">
            <w:pPr>
              <w:spacing w:line="360" w:lineRule="exact"/>
              <w:ind w:left="21" w:leftChars="10"/>
              <w:jc w:val="both"/>
              <w:rPr>
                <w:rFonts w:hint="eastAsia" w:ascii="黑体" w:hAnsi="黑体" w:eastAsia="黑体" w:cs="宋体"/>
                <w:highlight w:val="none"/>
              </w:rPr>
            </w:pPr>
            <w:r>
              <w:rPr>
                <w:rFonts w:ascii="黑体" w:hAnsi="黑体" w:eastAsia="黑体" w:cs="宋体"/>
                <w:highlight w:val="none"/>
              </w:rPr>
              <w:t>投标报价：10 分</w:t>
            </w:r>
          </w:p>
          <w:p w14:paraId="2EA5ED4F">
            <w:pPr>
              <w:spacing w:line="360" w:lineRule="exact"/>
              <w:ind w:left="21" w:leftChars="10"/>
              <w:jc w:val="both"/>
              <w:rPr>
                <w:rFonts w:hint="eastAsia" w:cs="宋体" w:asciiTheme="minorEastAsia" w:hAnsiTheme="minorEastAsia" w:eastAsiaTheme="minorEastAsia"/>
                <w:highlight w:val="none"/>
              </w:rPr>
            </w:pPr>
            <w:r>
              <w:rPr>
                <w:rFonts w:ascii="黑体" w:hAnsi="黑体" w:eastAsia="黑体" w:cs="宋体"/>
                <w:highlight w:val="none"/>
              </w:rPr>
              <w:t>其他评分因素：5分</w:t>
            </w:r>
          </w:p>
        </w:tc>
      </w:tr>
      <w:bookmarkEnd w:id="32"/>
      <w:tr w14:paraId="2B4D8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8" w:hRule="atLeast"/>
        </w:trPr>
        <w:tc>
          <w:tcPr>
            <w:tcW w:w="1017" w:type="pct"/>
            <w:gridSpan w:val="2"/>
            <w:vAlign w:val="center"/>
          </w:tcPr>
          <w:p w14:paraId="0EDE774D">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2.2.2</w:t>
            </w:r>
          </w:p>
        </w:tc>
        <w:tc>
          <w:tcPr>
            <w:tcW w:w="899" w:type="pct"/>
            <w:vAlign w:val="center"/>
          </w:tcPr>
          <w:p w14:paraId="079385DD">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评标基准价计算</w:t>
            </w:r>
          </w:p>
          <w:p w14:paraId="41832E4D">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方法</w:t>
            </w:r>
          </w:p>
        </w:tc>
        <w:tc>
          <w:tcPr>
            <w:tcW w:w="3084" w:type="pct"/>
            <w:vAlign w:val="center"/>
          </w:tcPr>
          <w:p w14:paraId="60941098">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通过初步评审合格的有效投标报价大于5 个时，去掉一个最高和一个最低投标报价，其余投标报价的算术平均值作为评标基准价；通过初步评审合格的有效投标报价小于</w:t>
            </w:r>
            <w:r>
              <w:rPr>
                <w:rFonts w:hint="eastAsia" w:cs="宋体" w:asciiTheme="minorEastAsia" w:hAnsiTheme="minorEastAsia" w:eastAsiaTheme="minorEastAsia"/>
                <w:highlight w:val="none"/>
              </w:rPr>
              <w:t>等于</w:t>
            </w:r>
            <w:r>
              <w:rPr>
                <w:rFonts w:cs="宋体" w:asciiTheme="minorEastAsia" w:hAnsiTheme="minorEastAsia" w:eastAsiaTheme="minorEastAsia"/>
                <w:highlight w:val="none"/>
              </w:rPr>
              <w:t>5 个时，取投标报价的算术平均值作为评标基准价。</w:t>
            </w:r>
          </w:p>
        </w:tc>
      </w:tr>
      <w:tr w14:paraId="21857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1017" w:type="pct"/>
            <w:gridSpan w:val="2"/>
            <w:vAlign w:val="center"/>
          </w:tcPr>
          <w:p w14:paraId="578680A2">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2.2.3</w:t>
            </w:r>
          </w:p>
        </w:tc>
        <w:tc>
          <w:tcPr>
            <w:tcW w:w="899" w:type="pct"/>
            <w:vAlign w:val="center"/>
          </w:tcPr>
          <w:p w14:paraId="5E01B3B9">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投标报价的偏差</w:t>
            </w:r>
          </w:p>
          <w:p w14:paraId="02589721">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率计算公式</w:t>
            </w:r>
          </w:p>
        </w:tc>
        <w:tc>
          <w:tcPr>
            <w:tcW w:w="3084" w:type="pct"/>
            <w:vAlign w:val="center"/>
          </w:tcPr>
          <w:p w14:paraId="1BAA7514">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position w:val="1"/>
                <w:highlight w:val="none"/>
              </w:rPr>
              <w:t>偏差率=100%×</w:t>
            </w:r>
            <w:r>
              <w:rPr>
                <w:rFonts w:hint="eastAsia" w:cs="宋体" w:asciiTheme="minorEastAsia" w:hAnsiTheme="minorEastAsia" w:eastAsiaTheme="minorEastAsia"/>
                <w:position w:val="1"/>
                <w:highlight w:val="none"/>
              </w:rPr>
              <w:t>（</w:t>
            </w:r>
            <w:r>
              <w:rPr>
                <w:rFonts w:cs="宋体" w:asciiTheme="minorEastAsia" w:hAnsiTheme="minorEastAsia" w:eastAsiaTheme="minorEastAsia"/>
                <w:position w:val="1"/>
                <w:highlight w:val="none"/>
              </w:rPr>
              <w:t>投标人报价</w:t>
            </w:r>
            <w:r>
              <w:rPr>
                <w:rFonts w:hint="eastAsia" w:ascii="MS Gothic" w:hAnsi="MS Gothic" w:eastAsia="MS Gothic" w:cs="MS Gothic"/>
                <w:position w:val="1"/>
                <w:highlight w:val="none"/>
              </w:rPr>
              <w:t>−</w:t>
            </w:r>
            <w:r>
              <w:rPr>
                <w:rFonts w:cs="宋体" w:asciiTheme="minorEastAsia" w:hAnsiTheme="minorEastAsia" w:eastAsiaTheme="minorEastAsia"/>
                <w:position w:val="1"/>
                <w:highlight w:val="none"/>
              </w:rPr>
              <w:t>评标基准价</w:t>
            </w:r>
            <w:r>
              <w:rPr>
                <w:rFonts w:hint="eastAsia" w:cs="宋体" w:asciiTheme="minorEastAsia" w:hAnsiTheme="minorEastAsia" w:eastAsiaTheme="minorEastAsia"/>
                <w:position w:val="1"/>
                <w:highlight w:val="none"/>
              </w:rPr>
              <w:t>）</w:t>
            </w:r>
            <w:r>
              <w:rPr>
                <w:rFonts w:cs="宋体" w:asciiTheme="minorEastAsia" w:hAnsiTheme="minorEastAsia" w:eastAsiaTheme="minorEastAsia"/>
                <w:position w:val="1"/>
                <w:highlight w:val="none"/>
              </w:rPr>
              <w:t>/评标基准价</w:t>
            </w:r>
          </w:p>
          <w:p w14:paraId="755A3A8F">
            <w:pPr>
              <w:spacing w:line="360" w:lineRule="exact"/>
              <w:ind w:left="21" w:leftChars="10"/>
              <w:jc w:val="both"/>
              <w:outlineLvl w:val="1"/>
              <w:rPr>
                <w:rFonts w:hint="eastAsia" w:cs="宋体" w:asciiTheme="minorEastAsia" w:hAnsiTheme="minorEastAsia" w:eastAsiaTheme="minorEastAsia"/>
                <w:highlight w:val="none"/>
              </w:rPr>
            </w:pPr>
            <w:r>
              <w:rPr>
                <w:rFonts w:cs="宋体" w:asciiTheme="minorEastAsia" w:hAnsiTheme="minorEastAsia" w:eastAsiaTheme="minorEastAsia"/>
                <w:highlight w:val="none"/>
              </w:rPr>
              <w:t>偏差率保留 2 位小数</w:t>
            </w:r>
          </w:p>
        </w:tc>
      </w:tr>
      <w:tr w14:paraId="583D7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017" w:type="pct"/>
            <w:gridSpan w:val="2"/>
            <w:vAlign w:val="center"/>
          </w:tcPr>
          <w:p w14:paraId="19168F67">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条款号</w:t>
            </w:r>
          </w:p>
        </w:tc>
        <w:tc>
          <w:tcPr>
            <w:tcW w:w="899" w:type="pct"/>
            <w:vAlign w:val="center"/>
          </w:tcPr>
          <w:p w14:paraId="11882D33">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评审因素</w:t>
            </w:r>
          </w:p>
        </w:tc>
        <w:tc>
          <w:tcPr>
            <w:tcW w:w="3084" w:type="pct"/>
            <w:vAlign w:val="center"/>
          </w:tcPr>
          <w:p w14:paraId="303ABBA5">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评审标准</w:t>
            </w:r>
          </w:p>
        </w:tc>
      </w:tr>
      <w:tr w14:paraId="03852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427" w:type="pct"/>
            <w:vMerge w:val="restart"/>
            <w:tcBorders>
              <w:top w:val="single" w:color="auto" w:sz="4" w:space="0"/>
            </w:tcBorders>
            <w:vAlign w:val="center"/>
          </w:tcPr>
          <w:p w14:paraId="59949761">
            <w:pPr>
              <w:spacing w:line="360" w:lineRule="exact"/>
              <w:jc w:val="center"/>
              <w:rPr>
                <w:rFonts w:hint="eastAsia" w:ascii="黑体" w:hAnsi="黑体" w:eastAsia="黑体" w:cs="宋体"/>
                <w:highlight w:val="none"/>
              </w:rPr>
            </w:pPr>
            <w:r>
              <w:rPr>
                <w:rFonts w:hint="eastAsia" w:ascii="黑体" w:hAnsi="黑体" w:eastAsia="黑体" w:cs="宋体"/>
                <w:highlight w:val="none"/>
              </w:rPr>
              <w:t>2.2.4</w:t>
            </w:r>
          </w:p>
          <w:p w14:paraId="084338DB">
            <w:pPr>
              <w:spacing w:line="360" w:lineRule="exact"/>
              <w:jc w:val="center"/>
              <w:rPr>
                <w:rFonts w:hint="eastAsia" w:ascii="黑体" w:hAnsi="黑体" w:eastAsia="黑体" w:cs="宋体"/>
                <w:highlight w:val="none"/>
              </w:rPr>
            </w:pPr>
            <w:r>
              <w:rPr>
                <w:rFonts w:hint="eastAsia" w:ascii="黑体" w:hAnsi="黑体" w:eastAsia="黑体" w:cs="宋体"/>
                <w:highlight w:val="none"/>
              </w:rPr>
              <w:t>（1）</w:t>
            </w:r>
          </w:p>
        </w:tc>
        <w:tc>
          <w:tcPr>
            <w:tcW w:w="590" w:type="pct"/>
            <w:vMerge w:val="restart"/>
            <w:tcBorders>
              <w:top w:val="single" w:color="auto" w:sz="4" w:space="0"/>
            </w:tcBorders>
            <w:vAlign w:val="center"/>
          </w:tcPr>
          <w:p w14:paraId="56E0280E">
            <w:pPr>
              <w:spacing w:line="360" w:lineRule="exact"/>
              <w:jc w:val="center"/>
              <w:rPr>
                <w:rFonts w:hint="eastAsia" w:ascii="黑体" w:hAnsi="黑体" w:eastAsia="黑体" w:cs="宋体"/>
                <w:highlight w:val="none"/>
              </w:rPr>
            </w:pPr>
            <w:r>
              <w:rPr>
                <w:rFonts w:ascii="黑体" w:hAnsi="黑体" w:eastAsia="黑体" w:cs="宋体"/>
                <w:highlight w:val="none"/>
              </w:rPr>
              <w:t xml:space="preserve">资信业绩 </w:t>
            </w:r>
          </w:p>
          <w:p w14:paraId="706D783A">
            <w:pPr>
              <w:spacing w:line="360" w:lineRule="exact"/>
              <w:jc w:val="center"/>
              <w:rPr>
                <w:rFonts w:hint="eastAsia" w:ascii="黑体" w:hAnsi="黑体" w:eastAsia="黑体" w:cs="宋体"/>
                <w:highlight w:val="none"/>
              </w:rPr>
            </w:pPr>
            <w:r>
              <w:rPr>
                <w:rFonts w:hint="eastAsia" w:ascii="黑体" w:hAnsi="黑体" w:eastAsia="黑体" w:cs="宋体"/>
                <w:highlight w:val="none"/>
              </w:rPr>
              <w:t>评</w:t>
            </w:r>
            <w:r>
              <w:rPr>
                <w:rFonts w:ascii="黑体" w:hAnsi="黑体" w:eastAsia="黑体" w:cs="宋体"/>
                <w:highlight w:val="none"/>
              </w:rPr>
              <w:t>分标准</w:t>
            </w:r>
          </w:p>
          <w:p w14:paraId="15E8E13C">
            <w:pPr>
              <w:spacing w:line="360" w:lineRule="exact"/>
              <w:jc w:val="center"/>
              <w:rPr>
                <w:rFonts w:ascii="黑体" w:hAnsi="黑体" w:eastAsia="黑体" w:cs="宋体"/>
                <w:highlight w:val="none"/>
              </w:rPr>
            </w:pPr>
            <w:r>
              <w:rPr>
                <w:rFonts w:hint="eastAsia" w:ascii="黑体" w:hAnsi="黑体" w:eastAsia="黑体" w:cs="宋体"/>
                <w:highlight w:val="none"/>
              </w:rPr>
              <w:t>（3</w:t>
            </w:r>
            <w:r>
              <w:rPr>
                <w:rFonts w:ascii="黑体" w:hAnsi="黑体" w:eastAsia="黑体" w:cs="宋体"/>
                <w:highlight w:val="none"/>
              </w:rPr>
              <w:t>5分）</w:t>
            </w:r>
          </w:p>
        </w:tc>
        <w:tc>
          <w:tcPr>
            <w:tcW w:w="899" w:type="pct"/>
            <w:tcBorders>
              <w:top w:val="single" w:color="auto" w:sz="4" w:space="0"/>
            </w:tcBorders>
            <w:vAlign w:val="center"/>
          </w:tcPr>
          <w:p w14:paraId="2E483E50">
            <w:pPr>
              <w:spacing w:line="360" w:lineRule="exact"/>
              <w:ind w:firstLine="211"/>
              <w:jc w:val="center"/>
              <w:rPr>
                <w:rFonts w:hint="eastAsia" w:cs="宋体" w:asciiTheme="minorEastAsia" w:hAnsiTheme="minorEastAsia"/>
                <w:highlight w:val="none"/>
              </w:rPr>
            </w:pPr>
            <w:r>
              <w:rPr>
                <w:rFonts w:cs="宋体" w:asciiTheme="minorEastAsia" w:hAnsiTheme="minorEastAsia"/>
                <w:highlight w:val="none"/>
              </w:rPr>
              <w:t>企业信誉</w:t>
            </w:r>
          </w:p>
          <w:p w14:paraId="22156CB4">
            <w:pPr>
              <w:spacing w:line="360" w:lineRule="exact"/>
              <w:jc w:val="center"/>
              <w:rPr>
                <w:rFonts w:cs="宋体" w:asciiTheme="minorEastAsia" w:hAnsiTheme="minorEastAsia" w:eastAsiaTheme="minorEastAsia"/>
                <w:highlight w:val="none"/>
              </w:rPr>
            </w:pPr>
            <w:r>
              <w:rPr>
                <w:rFonts w:cs="宋体" w:asciiTheme="minorEastAsia" w:hAnsiTheme="minorEastAsia"/>
                <w:highlight w:val="none"/>
              </w:rPr>
              <w:t xml:space="preserve"> (</w:t>
            </w:r>
            <w:r>
              <w:rPr>
                <w:rFonts w:hint="eastAsia" w:cs="宋体" w:asciiTheme="minorEastAsia" w:hAnsiTheme="minorEastAsia"/>
                <w:highlight w:val="none"/>
              </w:rPr>
              <w:t>3</w:t>
            </w:r>
            <w:r>
              <w:rPr>
                <w:rFonts w:cs="宋体" w:asciiTheme="minorEastAsia" w:hAnsiTheme="minorEastAsia"/>
                <w:highlight w:val="none"/>
              </w:rPr>
              <w:t>分)</w:t>
            </w:r>
          </w:p>
        </w:tc>
        <w:tc>
          <w:tcPr>
            <w:tcW w:w="3084" w:type="pct"/>
            <w:vAlign w:val="center"/>
          </w:tcPr>
          <w:p w14:paraId="0CA992F2">
            <w:pPr>
              <w:spacing w:line="360" w:lineRule="exact"/>
              <w:ind w:left="21" w:leftChars="10"/>
              <w:rPr>
                <w:rFonts w:hint="eastAsia" w:cs="宋体" w:asciiTheme="minorEastAsia" w:hAnsiTheme="minorEastAsia"/>
                <w:highlight w:val="none"/>
              </w:rPr>
            </w:pPr>
            <w:r>
              <w:rPr>
                <w:rFonts w:cs="宋体" w:asciiTheme="minorEastAsia" w:hAnsiTheme="minorEastAsia"/>
                <w:highlight w:val="none"/>
              </w:rPr>
              <w:t>根据省级建设行政主管部门</w:t>
            </w:r>
            <w:r>
              <w:rPr>
                <w:rFonts w:hint="eastAsia" w:cs="宋体" w:asciiTheme="minorEastAsia" w:hAnsiTheme="minorEastAsia"/>
                <w:highlight w:val="none"/>
              </w:rPr>
              <w:t>2025</w:t>
            </w:r>
            <w:r>
              <w:rPr>
                <w:rFonts w:cs="宋体" w:asciiTheme="minorEastAsia" w:hAnsiTheme="minorEastAsia"/>
                <w:highlight w:val="none"/>
              </w:rPr>
              <w:t>年度行业信用评价结果</w:t>
            </w:r>
            <w:r>
              <w:rPr>
                <w:rFonts w:hint="eastAsia" w:cs="宋体" w:asciiTheme="minorEastAsia" w:hAnsiTheme="minorEastAsia"/>
                <w:highlight w:val="none"/>
              </w:rPr>
              <w:t>或中国建设监理协会2022-2023年度</w:t>
            </w:r>
            <w:bookmarkStart w:id="33" w:name="OLE_LINK6"/>
            <w:r>
              <w:rPr>
                <w:rFonts w:hint="eastAsia" w:cs="宋体" w:asciiTheme="minorEastAsia" w:hAnsiTheme="minorEastAsia"/>
                <w:highlight w:val="none"/>
              </w:rPr>
              <w:t>信用评价结果</w:t>
            </w:r>
            <w:bookmarkEnd w:id="33"/>
            <w:r>
              <w:rPr>
                <w:rFonts w:hint="eastAsia" w:cs="宋体" w:asciiTheme="minorEastAsia" w:hAnsiTheme="minorEastAsia"/>
                <w:highlight w:val="none"/>
              </w:rPr>
              <w:t>（如果投标截止前发布了2024-2025年度信用评价，则以新的为准）</w:t>
            </w:r>
            <w:r>
              <w:rPr>
                <w:rFonts w:cs="宋体" w:asciiTheme="minorEastAsia" w:hAnsiTheme="minorEastAsia"/>
                <w:highlight w:val="none"/>
              </w:rPr>
              <w:t>，实行差别化评分，优得</w:t>
            </w:r>
            <w:r>
              <w:rPr>
                <w:rFonts w:hint="eastAsia" w:cs="宋体" w:asciiTheme="minorEastAsia" w:hAnsiTheme="minorEastAsia"/>
                <w:highlight w:val="none"/>
              </w:rPr>
              <w:t>3</w:t>
            </w:r>
            <w:r>
              <w:rPr>
                <w:rFonts w:cs="宋体" w:asciiTheme="minorEastAsia" w:hAnsiTheme="minorEastAsia"/>
                <w:highlight w:val="none"/>
              </w:rPr>
              <w:t>分，良</w:t>
            </w:r>
            <w:r>
              <w:rPr>
                <w:rFonts w:hint="eastAsia" w:cs="宋体" w:asciiTheme="minorEastAsia" w:hAnsiTheme="minorEastAsia"/>
                <w:highlight w:val="none"/>
              </w:rPr>
              <w:t>得2.4</w:t>
            </w:r>
            <w:r>
              <w:rPr>
                <w:rFonts w:cs="宋体" w:asciiTheme="minorEastAsia" w:hAnsiTheme="minorEastAsia"/>
                <w:highlight w:val="none"/>
              </w:rPr>
              <w:t>分，一般</w:t>
            </w:r>
            <w:r>
              <w:rPr>
                <w:rFonts w:hint="eastAsia" w:cs="宋体" w:asciiTheme="minorEastAsia" w:hAnsiTheme="minorEastAsia"/>
                <w:highlight w:val="none"/>
              </w:rPr>
              <w:t>得1.8</w:t>
            </w:r>
            <w:r>
              <w:rPr>
                <w:rFonts w:cs="宋体" w:asciiTheme="minorEastAsia" w:hAnsiTheme="minorEastAsia"/>
                <w:highlight w:val="none"/>
              </w:rPr>
              <w:t>分</w:t>
            </w:r>
            <w:r>
              <w:rPr>
                <w:rFonts w:hint="eastAsia" w:cs="宋体" w:asciiTheme="minorEastAsia" w:hAnsiTheme="minorEastAsia"/>
                <w:highlight w:val="none"/>
              </w:rPr>
              <w:t>，</w:t>
            </w:r>
            <w:r>
              <w:rPr>
                <w:rFonts w:cs="宋体" w:asciiTheme="minorEastAsia" w:hAnsiTheme="minorEastAsia"/>
                <w:highlight w:val="none"/>
              </w:rPr>
              <w:t>没有不得分。</w:t>
            </w:r>
          </w:p>
          <w:p w14:paraId="2AF7E7D2">
            <w:pPr>
              <w:pStyle w:val="4"/>
              <w:spacing w:after="0" w:line="360" w:lineRule="exact"/>
              <w:ind w:left="63" w:right="63"/>
              <w:jc w:val="left"/>
              <w:rPr>
                <w:rFonts w:hint="eastAsia" w:ascii="黑体" w:hAnsi="黑体" w:eastAsia="黑体"/>
                <w:szCs w:val="21"/>
                <w:highlight w:val="none"/>
              </w:rPr>
            </w:pPr>
            <w:r>
              <w:rPr>
                <w:rFonts w:ascii="黑体" w:hAnsi="黑体" w:eastAsia="黑体" w:cs="宋体"/>
                <w:highlight w:val="none"/>
              </w:rPr>
              <w:t>投标文件中附省级建设行政主管部门</w:t>
            </w:r>
            <w:r>
              <w:rPr>
                <w:rFonts w:hint="eastAsia" w:ascii="黑体" w:hAnsi="黑体" w:eastAsia="黑体" w:cs="宋体"/>
                <w:highlight w:val="none"/>
              </w:rPr>
              <w:t>或中国建设监理协会发布的</w:t>
            </w:r>
            <w:r>
              <w:rPr>
                <w:rFonts w:ascii="黑体" w:hAnsi="黑体" w:eastAsia="黑体" w:cs="宋体"/>
                <w:highlight w:val="none"/>
              </w:rPr>
              <w:t>行业信用评价结果官网截图加盖投标单位公章。</w:t>
            </w:r>
          </w:p>
        </w:tc>
      </w:tr>
      <w:tr w14:paraId="22345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427" w:type="pct"/>
            <w:vMerge w:val="continue"/>
            <w:vAlign w:val="center"/>
          </w:tcPr>
          <w:p w14:paraId="16872CB4">
            <w:pPr>
              <w:spacing w:line="360" w:lineRule="exact"/>
              <w:jc w:val="center"/>
              <w:rPr>
                <w:rFonts w:hint="eastAsia" w:cs="宋体" w:asciiTheme="minorEastAsia" w:hAnsiTheme="minorEastAsia" w:eastAsiaTheme="minorEastAsia"/>
                <w:highlight w:val="none"/>
              </w:rPr>
            </w:pPr>
          </w:p>
        </w:tc>
        <w:tc>
          <w:tcPr>
            <w:tcW w:w="590" w:type="pct"/>
            <w:vMerge w:val="continue"/>
            <w:vAlign w:val="center"/>
          </w:tcPr>
          <w:p w14:paraId="5ACAAD36">
            <w:pPr>
              <w:spacing w:line="360" w:lineRule="exact"/>
              <w:jc w:val="center"/>
              <w:rPr>
                <w:rFonts w:hint="eastAsia" w:cs="宋体" w:asciiTheme="minorEastAsia" w:hAnsiTheme="minorEastAsia" w:eastAsiaTheme="minorEastAsia"/>
                <w:highlight w:val="none"/>
              </w:rPr>
            </w:pPr>
          </w:p>
        </w:tc>
        <w:tc>
          <w:tcPr>
            <w:tcW w:w="899" w:type="pct"/>
            <w:tcBorders>
              <w:top w:val="single" w:color="auto" w:sz="4" w:space="0"/>
            </w:tcBorders>
            <w:vAlign w:val="center"/>
          </w:tcPr>
          <w:p w14:paraId="2C63D6D2">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企业类似项目</w:t>
            </w:r>
          </w:p>
          <w:p w14:paraId="0D3506D7">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业绩 (</w:t>
            </w:r>
            <w:r>
              <w:rPr>
                <w:rFonts w:hint="eastAsia" w:cs="宋体" w:asciiTheme="minorEastAsia" w:hAnsiTheme="minorEastAsia" w:eastAsiaTheme="minorEastAsia"/>
                <w:highlight w:val="none"/>
              </w:rPr>
              <w:t>15</w:t>
            </w:r>
            <w:r>
              <w:rPr>
                <w:rFonts w:cs="宋体" w:asciiTheme="minorEastAsia" w:hAnsiTheme="minorEastAsia" w:eastAsiaTheme="minorEastAsia"/>
                <w:highlight w:val="none"/>
              </w:rPr>
              <w:t>分)</w:t>
            </w:r>
          </w:p>
        </w:tc>
        <w:tc>
          <w:tcPr>
            <w:tcW w:w="3084" w:type="pct"/>
            <w:vAlign w:val="center"/>
          </w:tcPr>
          <w:p w14:paraId="2659A95B">
            <w:pPr>
              <w:pStyle w:val="4"/>
              <w:spacing w:after="0" w:line="360" w:lineRule="exact"/>
              <w:ind w:left="63" w:right="63"/>
              <w:jc w:val="left"/>
              <w:rPr>
                <w:rFonts w:hint="eastAsia" w:ascii="宋体" w:hAnsi="宋体" w:eastAsia="宋体"/>
                <w:szCs w:val="21"/>
                <w:highlight w:val="none"/>
              </w:rPr>
            </w:pPr>
            <w:r>
              <w:rPr>
                <w:rFonts w:hint="eastAsia" w:ascii="黑体" w:hAnsi="黑体" w:eastAsia="黑体"/>
                <w:szCs w:val="21"/>
                <w:highlight w:val="none"/>
              </w:rPr>
              <w:t>（</w:t>
            </w:r>
            <w:r>
              <w:rPr>
                <w:rFonts w:hint="eastAsia" w:ascii="宋体" w:hAnsi="宋体" w:eastAsia="宋体"/>
                <w:szCs w:val="21"/>
                <w:highlight w:val="none"/>
              </w:rPr>
              <w:t>1）满足资格审查业绩最低要求得9分；</w:t>
            </w:r>
          </w:p>
          <w:p w14:paraId="58C2BE4E">
            <w:pPr>
              <w:pStyle w:val="4"/>
              <w:spacing w:after="0" w:line="360" w:lineRule="exact"/>
              <w:ind w:left="63" w:right="63"/>
              <w:jc w:val="left"/>
              <w:rPr>
                <w:rFonts w:hint="eastAsia" w:ascii="宋体" w:hAnsi="宋体" w:eastAsia="宋体"/>
                <w:szCs w:val="21"/>
                <w:highlight w:val="none"/>
              </w:rPr>
            </w:pPr>
            <w:r>
              <w:rPr>
                <w:rFonts w:hint="eastAsia" w:ascii="宋体" w:hAnsi="宋体" w:eastAsia="宋体"/>
                <w:szCs w:val="21"/>
                <w:highlight w:val="none"/>
              </w:rPr>
              <w:t>（2）在满足资格审查业绩要求的基础上，</w:t>
            </w:r>
            <w:r>
              <w:rPr>
                <w:rFonts w:hint="eastAsia" w:ascii="黑体" w:hAnsi="黑体" w:eastAsia="黑体"/>
                <w:szCs w:val="21"/>
                <w:highlight w:val="none"/>
              </w:rPr>
              <w:t>每增加1项</w:t>
            </w:r>
            <w:r>
              <w:rPr>
                <w:rFonts w:hint="eastAsia" w:cs="宋体" w:asciiTheme="minorEastAsia" w:hAnsiTheme="minorEastAsia" w:eastAsiaTheme="minorEastAsia"/>
                <w:highlight w:val="none"/>
              </w:rPr>
              <w:t>有效房建工程监理</w:t>
            </w:r>
            <w:r>
              <w:rPr>
                <w:rFonts w:cs="宋体" w:asciiTheme="minorEastAsia" w:hAnsiTheme="minorEastAsia" w:eastAsiaTheme="minorEastAsia"/>
                <w:highlight w:val="none"/>
              </w:rPr>
              <w:t>业绩</w:t>
            </w:r>
            <w:r>
              <w:rPr>
                <w:rFonts w:hint="eastAsia" w:ascii="黑体" w:hAnsi="黑体" w:eastAsia="黑体"/>
                <w:szCs w:val="21"/>
                <w:highlight w:val="none"/>
              </w:rPr>
              <w:t>加3分，最多加6分。</w:t>
            </w:r>
          </w:p>
          <w:p w14:paraId="24EA4958">
            <w:pPr>
              <w:spacing w:line="360" w:lineRule="exact"/>
              <w:ind w:left="21" w:leftChars="10" w:firstLine="420" w:firstLineChars="200"/>
              <w:jc w:val="both"/>
              <w:rPr>
                <w:rFonts w:hint="eastAsia" w:ascii="黑体" w:hAnsi="黑体" w:eastAsia="黑体" w:cs="宋体"/>
                <w:highlight w:val="none"/>
              </w:rPr>
            </w:pPr>
            <w:r>
              <w:rPr>
                <w:rFonts w:ascii="黑体" w:hAnsi="黑体" w:eastAsia="黑体" w:cs="宋体"/>
                <w:highlight w:val="none"/>
              </w:rPr>
              <w:t>投标文件附中标通知书（或监理合同）</w:t>
            </w:r>
            <w:r>
              <w:rPr>
                <w:rFonts w:hint="eastAsia" w:ascii="黑体" w:hAnsi="黑体" w:eastAsia="黑体" w:cs="宋体"/>
                <w:highlight w:val="none"/>
              </w:rPr>
              <w:t>和</w:t>
            </w:r>
            <w:r>
              <w:rPr>
                <w:rFonts w:ascii="黑体" w:hAnsi="黑体" w:eastAsia="黑体" w:cs="宋体"/>
                <w:highlight w:val="none"/>
              </w:rPr>
              <w:t>有关业绩的查询网址及查询网页截图扫描件加盖投标单位公章。</w:t>
            </w:r>
          </w:p>
          <w:p w14:paraId="4B0C7B1A">
            <w:pPr>
              <w:spacing w:line="360" w:lineRule="exact"/>
              <w:ind w:left="21" w:leftChars="10" w:firstLine="420" w:firstLineChars="200"/>
              <w:jc w:val="both"/>
              <w:rPr>
                <w:rFonts w:hint="eastAsia" w:ascii="宋体" w:hAnsi="宋体" w:eastAsia="宋体" w:cs="宋体"/>
                <w:highlight w:val="none"/>
              </w:rPr>
            </w:pPr>
            <w:r>
              <w:rPr>
                <w:rFonts w:ascii="宋体" w:hAnsi="宋体" w:eastAsia="宋体" w:cs="宋体"/>
                <w:highlight w:val="none"/>
              </w:rPr>
              <w:t>有效业绩：指近年</w:t>
            </w:r>
            <w:r>
              <w:rPr>
                <w:rFonts w:hint="eastAsia" w:ascii="宋体" w:hAnsi="宋体" w:eastAsia="宋体" w:cs="宋体"/>
                <w:highlight w:val="none"/>
              </w:rPr>
              <w:t>（2023年1月1日至投标截止时间，以工程竣工时间为准）</w:t>
            </w:r>
            <w:r>
              <w:rPr>
                <w:rFonts w:ascii="宋体" w:hAnsi="宋体" w:eastAsia="宋体" w:cs="宋体"/>
                <w:highlight w:val="none"/>
              </w:rPr>
              <w:t>独立完成</w:t>
            </w:r>
            <w:r>
              <w:rPr>
                <w:rFonts w:hint="eastAsia" w:ascii="宋体" w:hAnsi="宋体" w:eastAsia="宋体" w:cs="宋体"/>
                <w:highlight w:val="none"/>
              </w:rPr>
              <w:t>的</w:t>
            </w:r>
            <w:r>
              <w:rPr>
                <w:rFonts w:ascii="宋体" w:hAnsi="宋体" w:eastAsia="宋体" w:cs="宋体"/>
                <w:highlight w:val="none"/>
              </w:rPr>
              <w:t>建筑面积不少于35000平方米的房建工程施工监理业绩。1项</w:t>
            </w:r>
            <w:r>
              <w:rPr>
                <w:rFonts w:hint="eastAsia" w:ascii="宋体" w:hAnsi="宋体" w:eastAsia="宋体" w:cs="宋体"/>
                <w:highlight w:val="none"/>
              </w:rPr>
              <w:t>系</w:t>
            </w:r>
            <w:r>
              <w:rPr>
                <w:rFonts w:ascii="宋体" w:hAnsi="宋体" w:eastAsia="宋体" w:cs="宋体"/>
                <w:highlight w:val="none"/>
              </w:rPr>
              <w:t>指1个监理委托合同</w:t>
            </w:r>
            <w:r>
              <w:rPr>
                <w:rFonts w:hint="eastAsia" w:ascii="宋体" w:hAnsi="宋体" w:eastAsia="宋体" w:cs="宋体"/>
                <w:highlight w:val="none"/>
              </w:rPr>
              <w:t>。</w:t>
            </w:r>
          </w:p>
          <w:p w14:paraId="38DB6EE2">
            <w:pPr>
              <w:spacing w:line="360" w:lineRule="exact"/>
              <w:ind w:firstLine="420" w:firstLineChars="200"/>
              <w:rPr>
                <w:rFonts w:hint="eastAsia" w:ascii="黑体" w:hAnsi="黑体" w:eastAsia="黑体"/>
                <w:highlight w:val="none"/>
              </w:rPr>
            </w:pPr>
            <w:r>
              <w:rPr>
                <w:rFonts w:hint="eastAsia" w:ascii="宋体" w:hAnsi="宋体" w:eastAsia="宋体"/>
                <w:highlight w:val="none"/>
              </w:rPr>
              <w:t>业绩认定：</w:t>
            </w:r>
            <w:r>
              <w:rPr>
                <w:rFonts w:hint="eastAsia" w:ascii="宋体" w:hAnsi="宋体" w:eastAsia="宋体" w:cs="宋体"/>
                <w:highlight w:val="none"/>
              </w:rPr>
              <w:t>必须是通过互联网且不需任何权限即可在工程所在地的省级建筑市场监管一体化工作平台或</w:t>
            </w:r>
            <w:r>
              <w:rPr>
                <w:rFonts w:hint="eastAsia" w:cs="宋体" w:asciiTheme="majorEastAsia" w:hAnsiTheme="majorEastAsia" w:eastAsiaTheme="majorEastAsia"/>
                <w:highlight w:val="none"/>
              </w:rPr>
              <w:t>省级建筑市场监管公共服务平台或全国建筑市场监管公共服务平台查询得到</w:t>
            </w:r>
            <w:r>
              <w:rPr>
                <w:rFonts w:hint="eastAsia" w:ascii="宋体" w:hAnsi="宋体" w:eastAsia="宋体"/>
                <w:highlight w:val="none"/>
              </w:rPr>
              <w:t>。</w:t>
            </w:r>
            <w:r>
              <w:rPr>
                <w:rFonts w:hint="eastAsia" w:ascii="黑体" w:hAnsi="黑体" w:eastAsia="黑体"/>
                <w:highlight w:val="none"/>
              </w:rPr>
              <w:t>查询到的数据应能满足招标文件评审的要求，其它网站查询的业绩不予认定。</w:t>
            </w:r>
          </w:p>
          <w:p w14:paraId="7D636F21">
            <w:pPr>
              <w:spacing w:line="400" w:lineRule="exact"/>
              <w:ind w:right="1" w:firstLine="425"/>
              <w:rPr>
                <w:rFonts w:hint="eastAsia" w:ascii="黑体" w:hAnsi="黑体" w:eastAsia="黑体" w:cs="宋体"/>
                <w:highlight w:val="none"/>
              </w:rPr>
            </w:pPr>
            <w:r>
              <w:rPr>
                <w:rFonts w:hint="eastAsia" w:ascii="黑体" w:hAnsi="黑体" w:eastAsia="黑体"/>
                <w:highlight w:val="none"/>
              </w:rPr>
              <w:t>注：所有业绩均须是新建或改扩建工程，维修、改造、装修装饰等工程不予认可。</w:t>
            </w:r>
          </w:p>
          <w:p w14:paraId="5539B728">
            <w:pPr>
              <w:spacing w:line="360" w:lineRule="exact"/>
              <w:ind w:firstLine="420" w:firstLineChars="200"/>
              <w:rPr>
                <w:rFonts w:hint="eastAsia" w:cs="宋体" w:asciiTheme="minorEastAsia" w:hAnsiTheme="minorEastAsia" w:eastAsiaTheme="minorEastAsia"/>
                <w:highlight w:val="none"/>
              </w:rPr>
            </w:pPr>
            <w:r>
              <w:rPr>
                <w:rFonts w:hint="eastAsia" w:ascii="宋体" w:hAnsi="宋体" w:eastAsia="宋体"/>
                <w:highlight w:val="none"/>
              </w:rPr>
              <w:t>关于涉密工程招标评标业绩执行吉建招[2017]12号文件《吉林省住房和城乡建设厅关于涉密工程招标评标业绩认定的补充通知》的规定。</w:t>
            </w:r>
          </w:p>
        </w:tc>
      </w:tr>
      <w:tr w14:paraId="13E19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7" w:hRule="atLeast"/>
        </w:trPr>
        <w:tc>
          <w:tcPr>
            <w:tcW w:w="427" w:type="pct"/>
            <w:vMerge w:val="continue"/>
            <w:vAlign w:val="center"/>
          </w:tcPr>
          <w:p w14:paraId="4D2CECA6">
            <w:pPr>
              <w:spacing w:line="360" w:lineRule="exact"/>
              <w:jc w:val="center"/>
              <w:rPr>
                <w:rFonts w:hint="eastAsia" w:cs="宋体" w:asciiTheme="minorEastAsia" w:hAnsiTheme="minorEastAsia" w:eastAsiaTheme="minorEastAsia"/>
                <w:highlight w:val="none"/>
              </w:rPr>
            </w:pPr>
          </w:p>
        </w:tc>
        <w:tc>
          <w:tcPr>
            <w:tcW w:w="590" w:type="pct"/>
            <w:vMerge w:val="continue"/>
            <w:vAlign w:val="center"/>
          </w:tcPr>
          <w:p w14:paraId="4F7F723F">
            <w:pPr>
              <w:spacing w:line="360" w:lineRule="exact"/>
              <w:jc w:val="center"/>
              <w:rPr>
                <w:rFonts w:hint="eastAsia" w:cs="宋体" w:asciiTheme="minorEastAsia" w:hAnsiTheme="minorEastAsia" w:eastAsiaTheme="minorEastAsia"/>
                <w:highlight w:val="none"/>
              </w:rPr>
            </w:pPr>
          </w:p>
        </w:tc>
        <w:tc>
          <w:tcPr>
            <w:tcW w:w="899" w:type="pct"/>
            <w:vAlign w:val="center"/>
          </w:tcPr>
          <w:p w14:paraId="674EC1D6">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总监理工程师</w:t>
            </w:r>
          </w:p>
          <w:p w14:paraId="536F1E9C">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业绩 (</w:t>
            </w:r>
            <w:r>
              <w:rPr>
                <w:rFonts w:hint="eastAsia" w:cs="宋体" w:asciiTheme="minorEastAsia" w:hAnsiTheme="minorEastAsia" w:eastAsiaTheme="minorEastAsia"/>
                <w:highlight w:val="none"/>
              </w:rPr>
              <w:t>10</w:t>
            </w:r>
            <w:r>
              <w:rPr>
                <w:rFonts w:cs="宋体" w:asciiTheme="minorEastAsia" w:hAnsiTheme="minorEastAsia" w:eastAsiaTheme="minorEastAsia"/>
                <w:highlight w:val="none"/>
              </w:rPr>
              <w:t>分)</w:t>
            </w:r>
          </w:p>
        </w:tc>
        <w:tc>
          <w:tcPr>
            <w:tcW w:w="3084" w:type="pct"/>
            <w:vAlign w:val="center"/>
          </w:tcPr>
          <w:p w14:paraId="1B178678">
            <w:pPr>
              <w:spacing w:line="360" w:lineRule="exact"/>
              <w:ind w:left="21" w:leftChars="10"/>
              <w:jc w:val="both"/>
              <w:rPr>
                <w:rFonts w:hint="eastAsia" w:cs="宋体" w:asciiTheme="minorEastAsia" w:hAnsiTheme="minorEastAsia" w:eastAsiaTheme="minorEastAsia"/>
                <w:highlight w:val="none"/>
              </w:rPr>
            </w:pPr>
            <w:r>
              <w:rPr>
                <w:rFonts w:hint="eastAsia" w:cs="宋体" w:asciiTheme="minorEastAsia" w:hAnsiTheme="minorEastAsia" w:eastAsiaTheme="minorEastAsia"/>
                <w:highlight w:val="none"/>
              </w:rPr>
              <w:t>（1）</w:t>
            </w:r>
            <w:r>
              <w:rPr>
                <w:rFonts w:hint="eastAsia" w:ascii="宋体" w:hAnsi="宋体" w:eastAsia="宋体"/>
                <w:highlight w:val="none"/>
              </w:rPr>
              <w:t>满足资格审查总监理工程师最低要求得6分；</w:t>
            </w:r>
          </w:p>
          <w:p w14:paraId="68F627C7">
            <w:pPr>
              <w:spacing w:line="360" w:lineRule="exact"/>
              <w:ind w:left="21" w:leftChars="10"/>
              <w:jc w:val="both"/>
              <w:rPr>
                <w:rFonts w:hint="eastAsia" w:cs="宋体" w:asciiTheme="minorEastAsia" w:hAnsiTheme="minorEastAsia" w:eastAsiaTheme="minorEastAsia"/>
                <w:highlight w:val="none"/>
              </w:rPr>
            </w:pPr>
            <w:r>
              <w:rPr>
                <w:rFonts w:hint="eastAsia" w:cs="宋体" w:asciiTheme="minorEastAsia" w:hAnsiTheme="minorEastAsia" w:eastAsiaTheme="minorEastAsia"/>
                <w:highlight w:val="none"/>
              </w:rPr>
              <w:t>（2）</w:t>
            </w:r>
            <w:r>
              <w:rPr>
                <w:rFonts w:cs="宋体" w:asciiTheme="minorEastAsia" w:hAnsiTheme="minorEastAsia" w:eastAsiaTheme="minorEastAsia"/>
                <w:highlight w:val="none"/>
              </w:rPr>
              <w:t>总监理工程师近</w:t>
            </w:r>
            <w:r>
              <w:rPr>
                <w:rFonts w:hint="eastAsia" w:cs="宋体" w:asciiTheme="minorEastAsia" w:hAnsiTheme="minorEastAsia" w:eastAsiaTheme="minorEastAsia"/>
                <w:highlight w:val="none"/>
              </w:rPr>
              <w:t>三</w:t>
            </w:r>
            <w:r>
              <w:rPr>
                <w:rFonts w:cs="宋体" w:asciiTheme="minorEastAsia" w:hAnsiTheme="minorEastAsia" w:eastAsiaTheme="minorEastAsia"/>
                <w:highlight w:val="none"/>
              </w:rPr>
              <w:t>年</w:t>
            </w:r>
            <w:r>
              <w:rPr>
                <w:rFonts w:hint="eastAsia" w:cs="宋体" w:asciiTheme="minorEastAsia" w:hAnsiTheme="minorEastAsia" w:eastAsiaTheme="minorEastAsia"/>
                <w:highlight w:val="none"/>
              </w:rPr>
              <w:t>（</w:t>
            </w:r>
            <w:r>
              <w:rPr>
                <w:rFonts w:hint="eastAsia" w:asciiTheme="minorEastAsia" w:hAnsiTheme="minorEastAsia" w:eastAsiaTheme="minorEastAsia"/>
                <w:highlight w:val="none"/>
              </w:rPr>
              <w:t>2023年1月1日至投标截止时间，以工程竣工时间为准</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具有以总监理工程师身份主持的建筑面积不少于35000平方米的房建工程监理业绩，有一项</w:t>
            </w:r>
            <w:r>
              <w:rPr>
                <w:rFonts w:hint="eastAsia" w:cs="宋体" w:asciiTheme="minorEastAsia" w:hAnsiTheme="minorEastAsia" w:eastAsiaTheme="minorEastAsia"/>
                <w:highlight w:val="none"/>
              </w:rPr>
              <w:t>加4分，最多加4分。</w:t>
            </w:r>
          </w:p>
          <w:p w14:paraId="4660E6B8">
            <w:pPr>
              <w:spacing w:line="360" w:lineRule="exact"/>
              <w:ind w:left="21" w:leftChars="10" w:firstLine="420" w:firstLineChars="200"/>
              <w:jc w:val="both"/>
              <w:rPr>
                <w:rFonts w:hint="eastAsia" w:ascii="黑体" w:hAnsi="黑体" w:eastAsia="黑体" w:cs="宋体"/>
                <w:highlight w:val="none"/>
              </w:rPr>
            </w:pPr>
            <w:r>
              <w:rPr>
                <w:rFonts w:ascii="黑体" w:hAnsi="黑体" w:eastAsia="黑体" w:cs="宋体"/>
                <w:highlight w:val="none"/>
              </w:rPr>
              <w:t>投标文件附中标通知书（或监理合同）</w:t>
            </w:r>
            <w:r>
              <w:rPr>
                <w:rFonts w:hint="eastAsia" w:ascii="黑体" w:hAnsi="黑体" w:eastAsia="黑体" w:cs="宋体"/>
                <w:highlight w:val="none"/>
              </w:rPr>
              <w:t>和</w:t>
            </w:r>
            <w:r>
              <w:rPr>
                <w:rFonts w:ascii="黑体" w:hAnsi="黑体" w:eastAsia="黑体" w:cs="宋体"/>
                <w:highlight w:val="none"/>
              </w:rPr>
              <w:t>有关业绩的查询网址及查询网页截图扫描件加盖投标单位公章。业绩证明须体现总监理工程师姓名。</w:t>
            </w:r>
          </w:p>
          <w:p w14:paraId="7825C47F">
            <w:pPr>
              <w:spacing w:line="400" w:lineRule="exact"/>
              <w:ind w:right="1" w:firstLine="425"/>
              <w:rPr>
                <w:rFonts w:hint="eastAsia" w:ascii="黑体" w:hAnsi="黑体" w:eastAsia="黑体"/>
                <w:highlight w:val="none"/>
              </w:rPr>
            </w:pPr>
            <w:r>
              <w:rPr>
                <w:rFonts w:cs="宋体" w:asciiTheme="minorEastAsia" w:hAnsiTheme="minorEastAsia" w:eastAsiaTheme="minorEastAsia"/>
                <w:highlight w:val="none"/>
              </w:rPr>
              <w:t>总监理工程师业绩认定：</w:t>
            </w:r>
            <w:r>
              <w:rPr>
                <w:rFonts w:hint="eastAsia" w:cs="宋体" w:asciiTheme="majorEastAsia" w:hAnsiTheme="majorEastAsia" w:eastAsiaTheme="majorEastAsia"/>
                <w:highlight w:val="none"/>
              </w:rPr>
              <w:t>必须是通过互联网且不需任何权限即可在工程所在地的省级建筑市场监管一体化工作平台或省级建筑市场监管公共服务平台或全国建筑市场监管公共服务平台查询得到</w:t>
            </w:r>
            <w:r>
              <w:rPr>
                <w:rFonts w:hint="eastAsia" w:ascii="宋体" w:hAnsi="宋体" w:eastAsia="宋体"/>
                <w:highlight w:val="none"/>
              </w:rPr>
              <w:t>。</w:t>
            </w:r>
            <w:r>
              <w:rPr>
                <w:rFonts w:hint="eastAsia" w:ascii="黑体" w:hAnsi="黑体" w:eastAsia="黑体"/>
                <w:highlight w:val="none"/>
              </w:rPr>
              <w:t>查询到的数据应能满足招标文件评审的要求，其它网站查询的业绩不予认定。</w:t>
            </w:r>
          </w:p>
          <w:p w14:paraId="450802B8">
            <w:pPr>
              <w:spacing w:line="400" w:lineRule="exact"/>
              <w:ind w:right="1" w:firstLine="425"/>
              <w:rPr>
                <w:rFonts w:hint="eastAsia" w:ascii="黑体" w:hAnsi="黑体" w:eastAsia="黑体" w:cs="宋体"/>
                <w:highlight w:val="none"/>
              </w:rPr>
            </w:pPr>
            <w:r>
              <w:rPr>
                <w:rFonts w:hint="eastAsia" w:ascii="黑体" w:hAnsi="黑体" w:eastAsia="黑体"/>
                <w:highlight w:val="none"/>
              </w:rPr>
              <w:t>注：所有业绩均须是新建或改扩建工程，维修、改造、装修装饰等工程不予认可。</w:t>
            </w:r>
          </w:p>
          <w:p w14:paraId="752B2970">
            <w:pPr>
              <w:spacing w:line="360" w:lineRule="exact"/>
              <w:ind w:left="21" w:leftChars="10" w:firstLine="420" w:firstLineChars="200"/>
              <w:jc w:val="both"/>
              <w:rPr>
                <w:rFonts w:hint="eastAsia" w:cs="宋体" w:asciiTheme="minorEastAsia" w:hAnsiTheme="minorEastAsia" w:eastAsiaTheme="minorEastAsia"/>
                <w:highlight w:val="none"/>
              </w:rPr>
            </w:pPr>
            <w:r>
              <w:rPr>
                <w:rFonts w:hint="eastAsia" w:ascii="宋体" w:hAnsi="宋体" w:eastAsia="宋体"/>
                <w:highlight w:val="none"/>
              </w:rPr>
              <w:t>关于涉密工程招标评标业绩执行吉建招[2017]12号文件《吉林省住房和城乡建设厅关于涉密工程招标评标业绩认定的补充通知》的规定。</w:t>
            </w:r>
          </w:p>
        </w:tc>
      </w:tr>
      <w:tr w14:paraId="5E0FF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427" w:type="pct"/>
            <w:vMerge w:val="continue"/>
            <w:vAlign w:val="center"/>
          </w:tcPr>
          <w:p w14:paraId="3071FF35">
            <w:pPr>
              <w:spacing w:line="360" w:lineRule="exact"/>
              <w:jc w:val="center"/>
              <w:rPr>
                <w:rFonts w:hint="eastAsia" w:cs="宋体" w:asciiTheme="minorEastAsia" w:hAnsiTheme="minorEastAsia" w:eastAsiaTheme="minorEastAsia"/>
                <w:highlight w:val="none"/>
              </w:rPr>
            </w:pPr>
          </w:p>
        </w:tc>
        <w:tc>
          <w:tcPr>
            <w:tcW w:w="590" w:type="pct"/>
            <w:vMerge w:val="continue"/>
            <w:vAlign w:val="center"/>
          </w:tcPr>
          <w:p w14:paraId="20586A80">
            <w:pPr>
              <w:spacing w:line="360" w:lineRule="exact"/>
              <w:jc w:val="center"/>
              <w:rPr>
                <w:rFonts w:hint="eastAsia" w:cs="宋体" w:asciiTheme="minorEastAsia" w:hAnsiTheme="minorEastAsia" w:eastAsiaTheme="minorEastAsia"/>
                <w:highlight w:val="none"/>
              </w:rPr>
            </w:pPr>
          </w:p>
        </w:tc>
        <w:tc>
          <w:tcPr>
            <w:tcW w:w="899" w:type="pct"/>
            <w:vAlign w:val="center"/>
          </w:tcPr>
          <w:p w14:paraId="7AFA6698">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其他主要</w:t>
            </w:r>
          </w:p>
          <w:p w14:paraId="733EDAF7">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人员资历</w:t>
            </w:r>
          </w:p>
          <w:p w14:paraId="4D631869">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 xml:space="preserve"> (</w:t>
            </w:r>
            <w:r>
              <w:rPr>
                <w:rFonts w:hint="eastAsia" w:cs="宋体" w:asciiTheme="minorEastAsia" w:hAnsiTheme="minorEastAsia" w:eastAsiaTheme="minorEastAsia"/>
                <w:highlight w:val="none"/>
              </w:rPr>
              <w:t>5</w:t>
            </w:r>
            <w:r>
              <w:rPr>
                <w:rFonts w:cs="宋体" w:asciiTheme="minorEastAsia" w:hAnsiTheme="minorEastAsia" w:eastAsiaTheme="minorEastAsia"/>
                <w:highlight w:val="none"/>
              </w:rPr>
              <w:t>分)</w:t>
            </w:r>
          </w:p>
        </w:tc>
        <w:tc>
          <w:tcPr>
            <w:tcW w:w="3084" w:type="pct"/>
            <w:vAlign w:val="center"/>
          </w:tcPr>
          <w:p w14:paraId="6DAC5686">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其他主要人员配备齐全，满足【强制性资格标准】要求</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对监理人员配备情况进行比较，优得</w:t>
            </w:r>
            <w:r>
              <w:rPr>
                <w:rFonts w:hint="eastAsia" w:cs="宋体" w:asciiTheme="minorEastAsia" w:hAnsiTheme="minorEastAsia" w:eastAsiaTheme="minorEastAsia"/>
                <w:highlight w:val="none"/>
              </w:rPr>
              <w:t>5</w:t>
            </w:r>
            <w:r>
              <w:rPr>
                <w:rFonts w:cs="宋体" w:asciiTheme="minorEastAsia" w:hAnsiTheme="minorEastAsia" w:eastAsiaTheme="minorEastAsia"/>
                <w:highlight w:val="none"/>
              </w:rPr>
              <w:t>分，良得</w:t>
            </w:r>
            <w:r>
              <w:rPr>
                <w:rFonts w:hint="eastAsia" w:cs="宋体" w:asciiTheme="minorEastAsia" w:hAnsiTheme="minorEastAsia" w:eastAsiaTheme="minorEastAsia"/>
                <w:highlight w:val="none"/>
              </w:rPr>
              <w:t>4</w:t>
            </w:r>
            <w:r>
              <w:rPr>
                <w:rFonts w:cs="宋体" w:asciiTheme="minorEastAsia" w:hAnsiTheme="minorEastAsia" w:eastAsiaTheme="minorEastAsia"/>
                <w:highlight w:val="none"/>
              </w:rPr>
              <w:t>分，一般得</w:t>
            </w:r>
            <w:r>
              <w:rPr>
                <w:rFonts w:hint="eastAsia" w:cs="宋体" w:asciiTheme="minorEastAsia" w:hAnsiTheme="minorEastAsia" w:eastAsiaTheme="minorEastAsia"/>
                <w:highlight w:val="none"/>
              </w:rPr>
              <w:t>3</w:t>
            </w:r>
            <w:r>
              <w:rPr>
                <w:rFonts w:cs="宋体" w:asciiTheme="minorEastAsia" w:hAnsiTheme="minorEastAsia" w:eastAsiaTheme="minorEastAsia"/>
                <w:highlight w:val="none"/>
              </w:rPr>
              <w:t>分。</w:t>
            </w:r>
          </w:p>
          <w:p w14:paraId="07803F7B">
            <w:pPr>
              <w:spacing w:line="360" w:lineRule="exact"/>
              <w:ind w:left="21" w:leftChars="10" w:firstLine="420" w:firstLineChars="200"/>
              <w:jc w:val="both"/>
              <w:rPr>
                <w:rFonts w:hint="eastAsia" w:ascii="黑体" w:hAnsi="黑体" w:eastAsia="黑体" w:cs="宋体"/>
                <w:highlight w:val="none"/>
              </w:rPr>
            </w:pPr>
            <w:r>
              <w:rPr>
                <w:rFonts w:ascii="黑体" w:hAnsi="黑体" w:eastAsia="黑体" w:cs="宋体"/>
                <w:highlight w:val="none"/>
              </w:rPr>
              <w:t>相关要求</w:t>
            </w:r>
            <w:r>
              <w:rPr>
                <w:rFonts w:hint="eastAsia" w:ascii="黑体" w:hAnsi="黑体" w:eastAsia="黑体" w:cs="宋体"/>
                <w:highlight w:val="none"/>
              </w:rPr>
              <w:t>见</w:t>
            </w:r>
            <w:r>
              <w:rPr>
                <w:rFonts w:ascii="黑体" w:hAnsi="黑体" w:eastAsia="黑体" w:cs="宋体"/>
                <w:highlight w:val="none"/>
              </w:rPr>
              <w:t xml:space="preserve">资格评审标准中“其他主要人员”。 </w:t>
            </w:r>
          </w:p>
        </w:tc>
      </w:tr>
      <w:tr w14:paraId="4CD31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7" w:hRule="atLeast"/>
        </w:trPr>
        <w:tc>
          <w:tcPr>
            <w:tcW w:w="427" w:type="pct"/>
            <w:vMerge w:val="continue"/>
            <w:vAlign w:val="center"/>
          </w:tcPr>
          <w:p w14:paraId="262758A4">
            <w:pPr>
              <w:spacing w:line="360" w:lineRule="exact"/>
              <w:jc w:val="center"/>
              <w:rPr>
                <w:rFonts w:hint="eastAsia" w:cs="宋体" w:asciiTheme="minorEastAsia" w:hAnsiTheme="minorEastAsia" w:eastAsiaTheme="minorEastAsia"/>
                <w:highlight w:val="none"/>
              </w:rPr>
            </w:pPr>
          </w:p>
        </w:tc>
        <w:tc>
          <w:tcPr>
            <w:tcW w:w="590" w:type="pct"/>
            <w:vMerge w:val="continue"/>
            <w:vAlign w:val="center"/>
          </w:tcPr>
          <w:p w14:paraId="4E80457F">
            <w:pPr>
              <w:spacing w:line="360" w:lineRule="exact"/>
              <w:jc w:val="center"/>
              <w:rPr>
                <w:rFonts w:hint="eastAsia" w:cs="宋体" w:asciiTheme="minorEastAsia" w:hAnsiTheme="minorEastAsia" w:eastAsiaTheme="minorEastAsia"/>
                <w:highlight w:val="none"/>
              </w:rPr>
            </w:pPr>
          </w:p>
        </w:tc>
        <w:tc>
          <w:tcPr>
            <w:tcW w:w="899" w:type="pct"/>
            <w:vAlign w:val="center"/>
          </w:tcPr>
          <w:p w14:paraId="29F702A3">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拟投入的试验</w:t>
            </w:r>
          </w:p>
          <w:p w14:paraId="042CF778">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检测仪器设备</w:t>
            </w:r>
          </w:p>
          <w:p w14:paraId="4C1E5850">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(2分)</w:t>
            </w:r>
          </w:p>
        </w:tc>
        <w:tc>
          <w:tcPr>
            <w:tcW w:w="3084" w:type="pct"/>
            <w:vAlign w:val="center"/>
          </w:tcPr>
          <w:p w14:paraId="432EC4DC">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拟投入的试验检测仪器设备配备齐全，满足</w:t>
            </w:r>
            <w:r>
              <w:rPr>
                <w:rFonts w:hint="eastAsia" w:cs="宋体" w:asciiTheme="minorEastAsia" w:hAnsiTheme="minorEastAsia" w:eastAsiaTheme="minorEastAsia"/>
                <w:highlight w:val="none"/>
              </w:rPr>
              <w:t>工程监理</w:t>
            </w:r>
            <w:r>
              <w:rPr>
                <w:rFonts w:cs="宋体" w:asciiTheme="minorEastAsia" w:hAnsiTheme="minorEastAsia" w:eastAsiaTheme="minorEastAsia"/>
                <w:highlight w:val="none"/>
              </w:rPr>
              <w:t>要求，提供相关证明，对试验检测仪器设备配备进行比较</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优得2分，良得</w:t>
            </w:r>
            <w:r>
              <w:rPr>
                <w:rFonts w:hint="eastAsia" w:cs="宋体" w:asciiTheme="minorEastAsia" w:hAnsiTheme="minorEastAsia" w:eastAsiaTheme="minorEastAsia"/>
                <w:highlight w:val="none"/>
              </w:rPr>
              <w:t>1.6</w:t>
            </w:r>
            <w:r>
              <w:rPr>
                <w:rFonts w:cs="宋体" w:asciiTheme="minorEastAsia" w:hAnsiTheme="minorEastAsia" w:eastAsiaTheme="minorEastAsia"/>
                <w:highlight w:val="none"/>
              </w:rPr>
              <w:t>分，一般</w:t>
            </w:r>
            <w:r>
              <w:rPr>
                <w:rFonts w:hint="eastAsia" w:cs="宋体" w:asciiTheme="minorEastAsia" w:hAnsiTheme="minorEastAsia" w:eastAsiaTheme="minorEastAsia"/>
                <w:highlight w:val="none"/>
              </w:rPr>
              <w:t>1.2</w:t>
            </w:r>
            <w:r>
              <w:rPr>
                <w:rFonts w:cs="宋体" w:asciiTheme="minorEastAsia" w:hAnsiTheme="minorEastAsia" w:eastAsiaTheme="minorEastAsia"/>
                <w:highlight w:val="none"/>
              </w:rPr>
              <w:t>分</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没有不得分。</w:t>
            </w:r>
          </w:p>
          <w:p w14:paraId="744316EB">
            <w:pPr>
              <w:spacing w:line="360" w:lineRule="exact"/>
              <w:ind w:firstLine="420" w:firstLineChars="200"/>
              <w:jc w:val="both"/>
              <w:rPr>
                <w:rFonts w:hint="eastAsia" w:ascii="黑体" w:hAnsi="黑体" w:eastAsia="黑体" w:cs="宋体"/>
                <w:highlight w:val="none"/>
              </w:rPr>
            </w:pPr>
            <w:r>
              <w:rPr>
                <w:rFonts w:ascii="黑体" w:hAnsi="黑体" w:eastAsia="黑体" w:cs="宋体"/>
                <w:highlight w:val="none"/>
              </w:rPr>
              <w:t>投标文件内附试验检测仪器设备相关证明材料(购买凭证或使用照片等) 扫描件加盖投标单位公章。</w:t>
            </w:r>
          </w:p>
        </w:tc>
      </w:tr>
      <w:tr w14:paraId="09D3A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0" w:hRule="atLeast"/>
        </w:trPr>
        <w:tc>
          <w:tcPr>
            <w:tcW w:w="427" w:type="pct"/>
            <w:vMerge w:val="restart"/>
            <w:vAlign w:val="center"/>
          </w:tcPr>
          <w:p w14:paraId="5A2EC304">
            <w:pPr>
              <w:spacing w:line="360" w:lineRule="exact"/>
              <w:jc w:val="center"/>
              <w:rPr>
                <w:rFonts w:hint="eastAsia" w:ascii="黑体" w:hAnsi="黑体" w:eastAsia="黑体" w:cs="宋体"/>
                <w:highlight w:val="none"/>
              </w:rPr>
            </w:pPr>
            <w:bookmarkStart w:id="34" w:name="_Hlk242522238"/>
            <w:r>
              <w:rPr>
                <w:rFonts w:ascii="黑体" w:hAnsi="黑体" w:eastAsia="黑体" w:cs="宋体"/>
                <w:highlight w:val="none"/>
              </w:rPr>
              <w:t>2.2.4</w:t>
            </w:r>
          </w:p>
          <w:p w14:paraId="4EFC4EB6">
            <w:pPr>
              <w:spacing w:line="360" w:lineRule="exact"/>
              <w:jc w:val="center"/>
              <w:rPr>
                <w:rFonts w:hint="eastAsia" w:ascii="黑体" w:hAnsi="黑体" w:eastAsia="黑体" w:cs="宋体"/>
                <w:highlight w:val="none"/>
              </w:rPr>
            </w:pPr>
            <w:r>
              <w:rPr>
                <w:rFonts w:ascii="黑体" w:hAnsi="黑体" w:eastAsia="黑体" w:cs="宋体"/>
                <w:highlight w:val="none"/>
              </w:rPr>
              <w:t>(2)</w:t>
            </w:r>
          </w:p>
        </w:tc>
        <w:tc>
          <w:tcPr>
            <w:tcW w:w="590" w:type="pct"/>
            <w:vMerge w:val="restart"/>
            <w:vAlign w:val="center"/>
          </w:tcPr>
          <w:p w14:paraId="6753C0EE">
            <w:pPr>
              <w:tabs>
                <w:tab w:val="left" w:pos="222"/>
              </w:tabs>
              <w:spacing w:line="360" w:lineRule="exact"/>
              <w:jc w:val="center"/>
              <w:rPr>
                <w:rFonts w:hint="eastAsia" w:ascii="黑体" w:hAnsi="黑体" w:eastAsia="黑体" w:cs="宋体"/>
                <w:highlight w:val="none"/>
              </w:rPr>
            </w:pPr>
            <w:r>
              <w:rPr>
                <w:rFonts w:ascii="黑体" w:hAnsi="黑体" w:eastAsia="黑体" w:cs="宋体"/>
                <w:highlight w:val="none"/>
              </w:rPr>
              <w:t>监理大纲</w:t>
            </w:r>
          </w:p>
          <w:p w14:paraId="4064894A">
            <w:pPr>
              <w:tabs>
                <w:tab w:val="left" w:pos="222"/>
              </w:tabs>
              <w:spacing w:line="360" w:lineRule="exact"/>
              <w:jc w:val="center"/>
              <w:rPr>
                <w:rFonts w:hint="eastAsia" w:ascii="黑体" w:hAnsi="黑体" w:eastAsia="黑体" w:cs="宋体"/>
                <w:highlight w:val="none"/>
              </w:rPr>
            </w:pPr>
            <w:r>
              <w:rPr>
                <w:rFonts w:ascii="黑体" w:hAnsi="黑体" w:eastAsia="黑体" w:cs="宋体"/>
                <w:highlight w:val="none"/>
              </w:rPr>
              <w:t>评分标准</w:t>
            </w:r>
          </w:p>
          <w:p w14:paraId="6BF3A84F">
            <w:pPr>
              <w:tabs>
                <w:tab w:val="left" w:pos="222"/>
              </w:tabs>
              <w:spacing w:line="360" w:lineRule="exact"/>
              <w:jc w:val="center"/>
              <w:rPr>
                <w:rFonts w:hint="eastAsia" w:ascii="黑体" w:hAnsi="黑体" w:eastAsia="黑体" w:cs="宋体"/>
                <w:highlight w:val="none"/>
              </w:rPr>
            </w:pPr>
            <w:r>
              <w:rPr>
                <w:rFonts w:hint="eastAsia" w:ascii="黑体" w:hAnsi="黑体" w:eastAsia="黑体" w:cs="宋体"/>
                <w:highlight w:val="none"/>
              </w:rPr>
              <w:t>（</w:t>
            </w:r>
            <w:r>
              <w:rPr>
                <w:rFonts w:ascii="黑体" w:hAnsi="黑体" w:eastAsia="黑体" w:cs="宋体"/>
                <w:highlight w:val="none"/>
              </w:rPr>
              <w:t>50分）</w:t>
            </w:r>
          </w:p>
        </w:tc>
        <w:tc>
          <w:tcPr>
            <w:tcW w:w="899" w:type="pct"/>
            <w:vAlign w:val="center"/>
          </w:tcPr>
          <w:p w14:paraId="7D8CC306">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监理范围</w:t>
            </w:r>
            <w:r>
              <w:rPr>
                <w:rFonts w:hint="eastAsia" w:cs="宋体" w:asciiTheme="minorEastAsia" w:hAnsiTheme="minorEastAsia" w:eastAsiaTheme="minorEastAsia"/>
                <w:highlight w:val="none"/>
              </w:rPr>
              <w:t>及</w:t>
            </w:r>
          </w:p>
          <w:p w14:paraId="1C22C5C7">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 xml:space="preserve">监理内容 </w:t>
            </w:r>
          </w:p>
          <w:p w14:paraId="7D0A1BDC">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(5分)</w:t>
            </w:r>
          </w:p>
        </w:tc>
        <w:tc>
          <w:tcPr>
            <w:tcW w:w="3084" w:type="pct"/>
            <w:vAlign w:val="center"/>
          </w:tcPr>
          <w:p w14:paraId="07DBCC73">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监理范围、监理内容进行比较，内容完整、合理、可行：</w:t>
            </w:r>
          </w:p>
          <w:p w14:paraId="163EFF44">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优得</w:t>
            </w:r>
            <w:r>
              <w:rPr>
                <w:rFonts w:hint="eastAsia" w:cs="宋体" w:asciiTheme="minorEastAsia" w:hAnsiTheme="minorEastAsia" w:eastAsiaTheme="minorEastAsia"/>
                <w:highlight w:val="none"/>
              </w:rPr>
              <w:t>4.1-5.0</w:t>
            </w:r>
            <w:r>
              <w:rPr>
                <w:rFonts w:cs="宋体" w:asciiTheme="minorEastAsia" w:hAnsiTheme="minorEastAsia" w:eastAsiaTheme="minorEastAsia"/>
                <w:highlight w:val="none"/>
              </w:rPr>
              <w:t>分， 良得</w:t>
            </w:r>
            <w:r>
              <w:rPr>
                <w:rFonts w:hint="eastAsia" w:cs="宋体" w:asciiTheme="minorEastAsia" w:hAnsiTheme="minorEastAsia" w:eastAsiaTheme="minorEastAsia"/>
                <w:highlight w:val="none"/>
              </w:rPr>
              <w:t>3.1-4.0</w:t>
            </w:r>
            <w:r>
              <w:rPr>
                <w:rFonts w:cs="宋体" w:asciiTheme="minorEastAsia" w:hAnsiTheme="minorEastAsia" w:eastAsiaTheme="minorEastAsia"/>
                <w:highlight w:val="none"/>
              </w:rPr>
              <w:t>分，一般得</w:t>
            </w:r>
            <w:r>
              <w:rPr>
                <w:rFonts w:hint="eastAsia" w:cs="宋体" w:asciiTheme="minorEastAsia" w:hAnsiTheme="minorEastAsia" w:eastAsiaTheme="minorEastAsia"/>
                <w:highlight w:val="none"/>
              </w:rPr>
              <w:t>3.0</w:t>
            </w:r>
            <w:r>
              <w:rPr>
                <w:rFonts w:cs="宋体" w:asciiTheme="minorEastAsia" w:hAnsiTheme="minorEastAsia" w:eastAsiaTheme="minorEastAsia"/>
                <w:highlight w:val="none"/>
              </w:rPr>
              <w:t>分，无不得分。</w:t>
            </w:r>
          </w:p>
        </w:tc>
      </w:tr>
      <w:tr w14:paraId="75C09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0" w:hRule="atLeast"/>
        </w:trPr>
        <w:tc>
          <w:tcPr>
            <w:tcW w:w="427" w:type="pct"/>
            <w:vMerge w:val="continue"/>
          </w:tcPr>
          <w:p w14:paraId="17203168">
            <w:pPr>
              <w:spacing w:line="360" w:lineRule="exact"/>
              <w:jc w:val="center"/>
              <w:rPr>
                <w:rFonts w:hint="eastAsia" w:cs="宋体" w:asciiTheme="minorEastAsia" w:hAnsiTheme="minorEastAsia" w:eastAsiaTheme="minorEastAsia"/>
                <w:highlight w:val="none"/>
              </w:rPr>
            </w:pPr>
          </w:p>
        </w:tc>
        <w:tc>
          <w:tcPr>
            <w:tcW w:w="590" w:type="pct"/>
            <w:vMerge w:val="continue"/>
          </w:tcPr>
          <w:p w14:paraId="49141B6D">
            <w:pPr>
              <w:tabs>
                <w:tab w:val="left" w:pos="222"/>
              </w:tabs>
              <w:spacing w:line="360" w:lineRule="exact"/>
              <w:jc w:val="center"/>
              <w:rPr>
                <w:rFonts w:hint="eastAsia" w:cs="宋体" w:asciiTheme="minorEastAsia" w:hAnsiTheme="minorEastAsia" w:eastAsiaTheme="minorEastAsia"/>
                <w:highlight w:val="none"/>
              </w:rPr>
            </w:pPr>
          </w:p>
        </w:tc>
        <w:tc>
          <w:tcPr>
            <w:tcW w:w="899" w:type="pct"/>
            <w:vAlign w:val="center"/>
          </w:tcPr>
          <w:p w14:paraId="236D0ABA">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监理依据</w:t>
            </w:r>
            <w:r>
              <w:rPr>
                <w:rFonts w:hint="eastAsia" w:cs="宋体" w:asciiTheme="minorEastAsia" w:hAnsiTheme="minorEastAsia" w:eastAsiaTheme="minorEastAsia"/>
                <w:highlight w:val="none"/>
              </w:rPr>
              <w:t>及</w:t>
            </w:r>
          </w:p>
          <w:p w14:paraId="29414B27">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监理工作目标</w:t>
            </w:r>
          </w:p>
          <w:p w14:paraId="48ECD8E1">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 xml:space="preserve"> (5分)</w:t>
            </w:r>
          </w:p>
        </w:tc>
        <w:tc>
          <w:tcPr>
            <w:tcW w:w="3084" w:type="pct"/>
            <w:vAlign w:val="center"/>
          </w:tcPr>
          <w:p w14:paraId="4149150B">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监理依据、监理工作目标进行比较， 内容完整、合理、可行：</w:t>
            </w:r>
          </w:p>
          <w:p w14:paraId="2BB910A7">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优得</w:t>
            </w:r>
            <w:r>
              <w:rPr>
                <w:rFonts w:hint="eastAsia" w:cs="宋体" w:asciiTheme="minorEastAsia" w:hAnsiTheme="minorEastAsia" w:eastAsiaTheme="minorEastAsia"/>
                <w:highlight w:val="none"/>
              </w:rPr>
              <w:t>4.1-5.0</w:t>
            </w:r>
            <w:r>
              <w:rPr>
                <w:rFonts w:cs="宋体" w:asciiTheme="minorEastAsia" w:hAnsiTheme="minorEastAsia" w:eastAsiaTheme="minorEastAsia"/>
                <w:highlight w:val="none"/>
              </w:rPr>
              <w:t>分， 良得</w:t>
            </w:r>
            <w:r>
              <w:rPr>
                <w:rFonts w:hint="eastAsia" w:cs="宋体" w:asciiTheme="minorEastAsia" w:hAnsiTheme="minorEastAsia" w:eastAsiaTheme="minorEastAsia"/>
                <w:highlight w:val="none"/>
              </w:rPr>
              <w:t>3.1-4.0</w:t>
            </w:r>
            <w:r>
              <w:rPr>
                <w:rFonts w:cs="宋体" w:asciiTheme="minorEastAsia" w:hAnsiTheme="minorEastAsia" w:eastAsiaTheme="minorEastAsia"/>
                <w:highlight w:val="none"/>
              </w:rPr>
              <w:t>分，一般得</w:t>
            </w:r>
            <w:r>
              <w:rPr>
                <w:rFonts w:hint="eastAsia" w:cs="宋体" w:asciiTheme="minorEastAsia" w:hAnsiTheme="minorEastAsia" w:eastAsiaTheme="minorEastAsia"/>
                <w:highlight w:val="none"/>
              </w:rPr>
              <w:t>3.0</w:t>
            </w:r>
            <w:r>
              <w:rPr>
                <w:rFonts w:cs="宋体" w:asciiTheme="minorEastAsia" w:hAnsiTheme="minorEastAsia" w:eastAsiaTheme="minorEastAsia"/>
                <w:highlight w:val="none"/>
              </w:rPr>
              <w:t>分，无不得分。</w:t>
            </w:r>
          </w:p>
        </w:tc>
      </w:tr>
      <w:tr w14:paraId="24BAE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0" w:hRule="atLeast"/>
        </w:trPr>
        <w:tc>
          <w:tcPr>
            <w:tcW w:w="427" w:type="pct"/>
            <w:vMerge w:val="continue"/>
          </w:tcPr>
          <w:p w14:paraId="79ADFA83">
            <w:pPr>
              <w:spacing w:line="360" w:lineRule="exact"/>
              <w:jc w:val="center"/>
              <w:rPr>
                <w:rFonts w:hint="eastAsia" w:cs="宋体" w:asciiTheme="minorEastAsia" w:hAnsiTheme="minorEastAsia" w:eastAsiaTheme="minorEastAsia"/>
                <w:highlight w:val="none"/>
              </w:rPr>
            </w:pPr>
          </w:p>
        </w:tc>
        <w:tc>
          <w:tcPr>
            <w:tcW w:w="590" w:type="pct"/>
            <w:vMerge w:val="continue"/>
          </w:tcPr>
          <w:p w14:paraId="2270640F">
            <w:pPr>
              <w:tabs>
                <w:tab w:val="left" w:pos="222"/>
              </w:tabs>
              <w:spacing w:line="360" w:lineRule="exact"/>
              <w:jc w:val="center"/>
              <w:rPr>
                <w:rFonts w:hint="eastAsia" w:cs="宋体" w:asciiTheme="minorEastAsia" w:hAnsiTheme="minorEastAsia" w:eastAsiaTheme="minorEastAsia"/>
                <w:highlight w:val="none"/>
              </w:rPr>
            </w:pPr>
          </w:p>
        </w:tc>
        <w:tc>
          <w:tcPr>
            <w:tcW w:w="899" w:type="pct"/>
            <w:vAlign w:val="center"/>
          </w:tcPr>
          <w:p w14:paraId="4CBB5FA7">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监理机构设置</w:t>
            </w:r>
          </w:p>
          <w:p w14:paraId="4B515917">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和岗位职责</w:t>
            </w:r>
          </w:p>
          <w:p w14:paraId="0AD3B5E1">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 xml:space="preserve"> (5分)</w:t>
            </w:r>
          </w:p>
        </w:tc>
        <w:tc>
          <w:tcPr>
            <w:tcW w:w="3084" w:type="pct"/>
            <w:vAlign w:val="center"/>
          </w:tcPr>
          <w:p w14:paraId="76F52924">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监理机构设置和岗位职责进行比较， 内容完整、合理、可行：</w:t>
            </w:r>
          </w:p>
          <w:p w14:paraId="363830F5">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优得</w:t>
            </w:r>
            <w:r>
              <w:rPr>
                <w:rFonts w:hint="eastAsia" w:cs="宋体" w:asciiTheme="minorEastAsia" w:hAnsiTheme="minorEastAsia" w:eastAsiaTheme="minorEastAsia"/>
                <w:highlight w:val="none"/>
              </w:rPr>
              <w:t>4.1-5.0</w:t>
            </w:r>
            <w:r>
              <w:rPr>
                <w:rFonts w:cs="宋体" w:asciiTheme="minorEastAsia" w:hAnsiTheme="minorEastAsia" w:eastAsiaTheme="minorEastAsia"/>
                <w:highlight w:val="none"/>
              </w:rPr>
              <w:t>分， 良得</w:t>
            </w:r>
            <w:r>
              <w:rPr>
                <w:rFonts w:hint="eastAsia" w:cs="宋体" w:asciiTheme="minorEastAsia" w:hAnsiTheme="minorEastAsia" w:eastAsiaTheme="minorEastAsia"/>
                <w:highlight w:val="none"/>
              </w:rPr>
              <w:t>3.1-4.0</w:t>
            </w:r>
            <w:r>
              <w:rPr>
                <w:rFonts w:cs="宋体" w:asciiTheme="minorEastAsia" w:hAnsiTheme="minorEastAsia" w:eastAsiaTheme="minorEastAsia"/>
                <w:highlight w:val="none"/>
              </w:rPr>
              <w:t>分，一般得</w:t>
            </w:r>
            <w:r>
              <w:rPr>
                <w:rFonts w:hint="eastAsia" w:cs="宋体" w:asciiTheme="minorEastAsia" w:hAnsiTheme="minorEastAsia" w:eastAsiaTheme="minorEastAsia"/>
                <w:highlight w:val="none"/>
              </w:rPr>
              <w:t>3.0</w:t>
            </w:r>
            <w:r>
              <w:rPr>
                <w:rFonts w:cs="宋体" w:asciiTheme="minorEastAsia" w:hAnsiTheme="minorEastAsia" w:eastAsiaTheme="minorEastAsia"/>
                <w:highlight w:val="none"/>
              </w:rPr>
              <w:t>分，无不得分。</w:t>
            </w:r>
          </w:p>
        </w:tc>
      </w:tr>
      <w:tr w14:paraId="46429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0" w:hRule="atLeast"/>
        </w:trPr>
        <w:tc>
          <w:tcPr>
            <w:tcW w:w="427" w:type="pct"/>
            <w:vMerge w:val="continue"/>
          </w:tcPr>
          <w:p w14:paraId="31A1183C">
            <w:pPr>
              <w:spacing w:line="360" w:lineRule="exact"/>
              <w:jc w:val="center"/>
              <w:rPr>
                <w:rFonts w:hint="eastAsia" w:cs="宋体" w:asciiTheme="minorEastAsia" w:hAnsiTheme="minorEastAsia" w:eastAsiaTheme="minorEastAsia"/>
                <w:highlight w:val="none"/>
              </w:rPr>
            </w:pPr>
          </w:p>
        </w:tc>
        <w:tc>
          <w:tcPr>
            <w:tcW w:w="590" w:type="pct"/>
            <w:vMerge w:val="continue"/>
          </w:tcPr>
          <w:p w14:paraId="0C2B745E">
            <w:pPr>
              <w:tabs>
                <w:tab w:val="left" w:pos="222"/>
              </w:tabs>
              <w:spacing w:line="360" w:lineRule="exact"/>
              <w:jc w:val="center"/>
              <w:rPr>
                <w:rFonts w:hint="eastAsia" w:cs="宋体" w:asciiTheme="minorEastAsia" w:hAnsiTheme="minorEastAsia" w:eastAsiaTheme="minorEastAsia"/>
                <w:highlight w:val="none"/>
              </w:rPr>
            </w:pPr>
          </w:p>
        </w:tc>
        <w:tc>
          <w:tcPr>
            <w:tcW w:w="899" w:type="pct"/>
            <w:vAlign w:val="center"/>
          </w:tcPr>
          <w:p w14:paraId="7A1BE0F5">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监理工作程序</w:t>
            </w:r>
            <w:r>
              <w:rPr>
                <w:rFonts w:hint="eastAsia" w:cs="宋体" w:asciiTheme="minorEastAsia" w:hAnsiTheme="minorEastAsia" w:eastAsiaTheme="minorEastAsia"/>
                <w:highlight w:val="none"/>
              </w:rPr>
              <w:t>及</w:t>
            </w:r>
          </w:p>
          <w:p w14:paraId="1A921AA8">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 xml:space="preserve">方法和制度 </w:t>
            </w:r>
          </w:p>
          <w:p w14:paraId="7215580D">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(6分)</w:t>
            </w:r>
          </w:p>
        </w:tc>
        <w:tc>
          <w:tcPr>
            <w:tcW w:w="3084" w:type="pct"/>
            <w:vAlign w:val="center"/>
          </w:tcPr>
          <w:p w14:paraId="37DFCD54">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监理工程程序、方法和制度进行比较，内容完整、合理、可行：</w:t>
            </w:r>
          </w:p>
          <w:p w14:paraId="1FD4EADB">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优得</w:t>
            </w:r>
            <w:r>
              <w:rPr>
                <w:rFonts w:hint="eastAsia" w:cs="宋体" w:asciiTheme="minorEastAsia" w:hAnsiTheme="minorEastAsia" w:eastAsiaTheme="minorEastAsia"/>
                <w:highlight w:val="none"/>
              </w:rPr>
              <w:t>4.9-6.0</w:t>
            </w:r>
            <w:r>
              <w:rPr>
                <w:rFonts w:cs="宋体" w:asciiTheme="minorEastAsia" w:hAnsiTheme="minorEastAsia" w:eastAsiaTheme="minorEastAsia"/>
                <w:highlight w:val="none"/>
              </w:rPr>
              <w:t>分， 良得</w:t>
            </w:r>
            <w:r>
              <w:rPr>
                <w:rFonts w:hint="eastAsia" w:cs="宋体" w:asciiTheme="minorEastAsia" w:hAnsiTheme="minorEastAsia" w:eastAsiaTheme="minorEastAsia"/>
                <w:highlight w:val="none"/>
              </w:rPr>
              <w:t>3.7-4.8</w:t>
            </w:r>
            <w:r>
              <w:rPr>
                <w:rFonts w:cs="宋体" w:asciiTheme="minorEastAsia" w:hAnsiTheme="minorEastAsia" w:eastAsiaTheme="minorEastAsia"/>
                <w:highlight w:val="none"/>
              </w:rPr>
              <w:t>分，一般得</w:t>
            </w:r>
            <w:r>
              <w:rPr>
                <w:rFonts w:hint="eastAsia" w:cs="宋体" w:asciiTheme="minorEastAsia" w:hAnsiTheme="minorEastAsia" w:eastAsiaTheme="minorEastAsia"/>
                <w:highlight w:val="none"/>
              </w:rPr>
              <w:t>3.6</w:t>
            </w:r>
            <w:r>
              <w:rPr>
                <w:rFonts w:cs="宋体" w:asciiTheme="minorEastAsia" w:hAnsiTheme="minorEastAsia" w:eastAsiaTheme="minorEastAsia"/>
                <w:highlight w:val="none"/>
              </w:rPr>
              <w:t>分，无不得分。</w:t>
            </w:r>
          </w:p>
        </w:tc>
      </w:tr>
      <w:tr w14:paraId="4823E9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0" w:hRule="atLeast"/>
        </w:trPr>
        <w:tc>
          <w:tcPr>
            <w:tcW w:w="427" w:type="pct"/>
            <w:vMerge w:val="continue"/>
          </w:tcPr>
          <w:p w14:paraId="03AD3A24">
            <w:pPr>
              <w:spacing w:line="360" w:lineRule="exact"/>
              <w:jc w:val="center"/>
              <w:rPr>
                <w:rFonts w:hint="eastAsia" w:cs="宋体" w:asciiTheme="minorEastAsia" w:hAnsiTheme="minorEastAsia" w:eastAsiaTheme="minorEastAsia"/>
                <w:highlight w:val="none"/>
              </w:rPr>
            </w:pPr>
          </w:p>
        </w:tc>
        <w:tc>
          <w:tcPr>
            <w:tcW w:w="590" w:type="pct"/>
            <w:vMerge w:val="continue"/>
          </w:tcPr>
          <w:p w14:paraId="279C266F">
            <w:pPr>
              <w:tabs>
                <w:tab w:val="left" w:pos="222"/>
              </w:tabs>
              <w:spacing w:line="360" w:lineRule="exact"/>
              <w:jc w:val="center"/>
              <w:rPr>
                <w:rFonts w:hint="eastAsia" w:cs="宋体" w:asciiTheme="minorEastAsia" w:hAnsiTheme="minorEastAsia" w:eastAsiaTheme="minorEastAsia"/>
                <w:highlight w:val="none"/>
              </w:rPr>
            </w:pPr>
          </w:p>
        </w:tc>
        <w:tc>
          <w:tcPr>
            <w:tcW w:w="899" w:type="pct"/>
            <w:vAlign w:val="center"/>
          </w:tcPr>
          <w:p w14:paraId="2C7B425F">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质量、进度、造价、安全、环保监理措施 (6分)</w:t>
            </w:r>
          </w:p>
        </w:tc>
        <w:tc>
          <w:tcPr>
            <w:tcW w:w="3084" w:type="pct"/>
            <w:vAlign w:val="center"/>
          </w:tcPr>
          <w:p w14:paraId="0FAE0C62">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质量、进度、造价、安全、环保监理措施进行比较，内容完整、 合理、可行：</w:t>
            </w:r>
          </w:p>
          <w:p w14:paraId="231DC539">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优得</w:t>
            </w:r>
            <w:r>
              <w:rPr>
                <w:rFonts w:hint="eastAsia" w:cs="宋体" w:asciiTheme="minorEastAsia" w:hAnsiTheme="minorEastAsia" w:eastAsiaTheme="minorEastAsia"/>
                <w:highlight w:val="none"/>
              </w:rPr>
              <w:t>4.9-6.0</w:t>
            </w:r>
            <w:r>
              <w:rPr>
                <w:rFonts w:cs="宋体" w:asciiTheme="minorEastAsia" w:hAnsiTheme="minorEastAsia" w:eastAsiaTheme="minorEastAsia"/>
                <w:highlight w:val="none"/>
              </w:rPr>
              <w:t>分， 良得</w:t>
            </w:r>
            <w:r>
              <w:rPr>
                <w:rFonts w:hint="eastAsia" w:cs="宋体" w:asciiTheme="minorEastAsia" w:hAnsiTheme="minorEastAsia" w:eastAsiaTheme="minorEastAsia"/>
                <w:highlight w:val="none"/>
              </w:rPr>
              <w:t>3.7-4.8</w:t>
            </w:r>
            <w:r>
              <w:rPr>
                <w:rFonts w:cs="宋体" w:asciiTheme="minorEastAsia" w:hAnsiTheme="minorEastAsia" w:eastAsiaTheme="minorEastAsia"/>
                <w:highlight w:val="none"/>
              </w:rPr>
              <w:t>分，一般得</w:t>
            </w:r>
            <w:r>
              <w:rPr>
                <w:rFonts w:hint="eastAsia" w:cs="宋体" w:asciiTheme="minorEastAsia" w:hAnsiTheme="minorEastAsia" w:eastAsiaTheme="minorEastAsia"/>
                <w:highlight w:val="none"/>
              </w:rPr>
              <w:t>3.6</w:t>
            </w:r>
            <w:r>
              <w:rPr>
                <w:rFonts w:cs="宋体" w:asciiTheme="minorEastAsia" w:hAnsiTheme="minorEastAsia" w:eastAsiaTheme="minorEastAsia"/>
                <w:highlight w:val="none"/>
              </w:rPr>
              <w:t>分，无不得分。</w:t>
            </w:r>
          </w:p>
        </w:tc>
      </w:tr>
      <w:tr w14:paraId="44AE6B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427" w:type="pct"/>
            <w:vMerge w:val="continue"/>
          </w:tcPr>
          <w:p w14:paraId="24BB429D">
            <w:pPr>
              <w:spacing w:line="360" w:lineRule="exact"/>
              <w:jc w:val="center"/>
              <w:rPr>
                <w:rFonts w:hint="eastAsia" w:cs="宋体" w:asciiTheme="minorEastAsia" w:hAnsiTheme="minorEastAsia" w:eastAsiaTheme="minorEastAsia"/>
                <w:highlight w:val="none"/>
              </w:rPr>
            </w:pPr>
          </w:p>
        </w:tc>
        <w:tc>
          <w:tcPr>
            <w:tcW w:w="590" w:type="pct"/>
            <w:vMerge w:val="continue"/>
          </w:tcPr>
          <w:p w14:paraId="3EF7479E">
            <w:pPr>
              <w:tabs>
                <w:tab w:val="left" w:pos="222"/>
              </w:tabs>
              <w:spacing w:line="360" w:lineRule="exact"/>
              <w:jc w:val="center"/>
              <w:rPr>
                <w:rFonts w:hint="eastAsia" w:cs="宋体" w:asciiTheme="minorEastAsia" w:hAnsiTheme="minorEastAsia" w:eastAsiaTheme="minorEastAsia"/>
                <w:highlight w:val="none"/>
              </w:rPr>
            </w:pPr>
          </w:p>
        </w:tc>
        <w:tc>
          <w:tcPr>
            <w:tcW w:w="899" w:type="pct"/>
            <w:vAlign w:val="center"/>
          </w:tcPr>
          <w:p w14:paraId="2F835649">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合同、信息管理</w:t>
            </w:r>
          </w:p>
          <w:p w14:paraId="5C91F8D9">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方案 (6分)</w:t>
            </w:r>
          </w:p>
        </w:tc>
        <w:tc>
          <w:tcPr>
            <w:tcW w:w="3084" w:type="pct"/>
            <w:vAlign w:val="center"/>
          </w:tcPr>
          <w:p w14:paraId="67047DDD">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合同、信息管理方案进行比较，内容完整、合理、可行：</w:t>
            </w:r>
          </w:p>
          <w:p w14:paraId="325D69BE">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优得</w:t>
            </w:r>
            <w:r>
              <w:rPr>
                <w:rFonts w:hint="eastAsia" w:cs="宋体" w:asciiTheme="minorEastAsia" w:hAnsiTheme="minorEastAsia" w:eastAsiaTheme="minorEastAsia"/>
                <w:highlight w:val="none"/>
              </w:rPr>
              <w:t>4.9-6.0</w:t>
            </w:r>
            <w:r>
              <w:rPr>
                <w:rFonts w:cs="宋体" w:asciiTheme="minorEastAsia" w:hAnsiTheme="minorEastAsia" w:eastAsiaTheme="minorEastAsia"/>
                <w:highlight w:val="none"/>
              </w:rPr>
              <w:t>分， 良得</w:t>
            </w:r>
            <w:r>
              <w:rPr>
                <w:rFonts w:hint="eastAsia" w:cs="宋体" w:asciiTheme="minorEastAsia" w:hAnsiTheme="minorEastAsia" w:eastAsiaTheme="minorEastAsia"/>
                <w:highlight w:val="none"/>
              </w:rPr>
              <w:t>3.7-4.8</w:t>
            </w:r>
            <w:r>
              <w:rPr>
                <w:rFonts w:cs="宋体" w:asciiTheme="minorEastAsia" w:hAnsiTheme="minorEastAsia" w:eastAsiaTheme="minorEastAsia"/>
                <w:highlight w:val="none"/>
              </w:rPr>
              <w:t>分，一般得</w:t>
            </w:r>
            <w:r>
              <w:rPr>
                <w:rFonts w:hint="eastAsia" w:cs="宋体" w:asciiTheme="minorEastAsia" w:hAnsiTheme="minorEastAsia" w:eastAsiaTheme="minorEastAsia"/>
                <w:highlight w:val="none"/>
              </w:rPr>
              <w:t>3.6</w:t>
            </w:r>
            <w:r>
              <w:rPr>
                <w:rFonts w:cs="宋体" w:asciiTheme="minorEastAsia" w:hAnsiTheme="minorEastAsia" w:eastAsiaTheme="minorEastAsia"/>
                <w:highlight w:val="none"/>
              </w:rPr>
              <w:t>分，无不得分。</w:t>
            </w:r>
          </w:p>
        </w:tc>
      </w:tr>
      <w:tr w14:paraId="467D7F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427" w:type="pct"/>
            <w:vMerge w:val="continue"/>
          </w:tcPr>
          <w:p w14:paraId="725C006C">
            <w:pPr>
              <w:spacing w:line="360" w:lineRule="exact"/>
              <w:jc w:val="center"/>
              <w:rPr>
                <w:rFonts w:hint="eastAsia" w:cs="宋体" w:asciiTheme="minorEastAsia" w:hAnsiTheme="minorEastAsia" w:eastAsiaTheme="minorEastAsia"/>
                <w:highlight w:val="none"/>
              </w:rPr>
            </w:pPr>
          </w:p>
        </w:tc>
        <w:tc>
          <w:tcPr>
            <w:tcW w:w="590" w:type="pct"/>
            <w:vMerge w:val="continue"/>
          </w:tcPr>
          <w:p w14:paraId="4E89288B">
            <w:pPr>
              <w:tabs>
                <w:tab w:val="left" w:pos="222"/>
              </w:tabs>
              <w:spacing w:line="360" w:lineRule="exact"/>
              <w:jc w:val="center"/>
              <w:rPr>
                <w:rFonts w:hint="eastAsia" w:cs="宋体" w:asciiTheme="minorEastAsia" w:hAnsiTheme="minorEastAsia" w:eastAsiaTheme="minorEastAsia"/>
                <w:highlight w:val="none"/>
              </w:rPr>
            </w:pPr>
          </w:p>
        </w:tc>
        <w:tc>
          <w:tcPr>
            <w:tcW w:w="899" w:type="pct"/>
            <w:vAlign w:val="center"/>
          </w:tcPr>
          <w:p w14:paraId="7EE53954">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监理组 织协调</w:t>
            </w:r>
          </w:p>
          <w:p w14:paraId="3AD54DBE">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内容及措施</w:t>
            </w:r>
          </w:p>
          <w:p w14:paraId="2414402D">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 xml:space="preserve"> (6分)</w:t>
            </w:r>
          </w:p>
        </w:tc>
        <w:tc>
          <w:tcPr>
            <w:tcW w:w="3084" w:type="pct"/>
            <w:vAlign w:val="center"/>
          </w:tcPr>
          <w:p w14:paraId="37EEC322">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监理组织协调内容及措施进行比较， 内容完整、合理、可行：</w:t>
            </w:r>
          </w:p>
          <w:p w14:paraId="5DC0BF73">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优得</w:t>
            </w:r>
            <w:r>
              <w:rPr>
                <w:rFonts w:hint="eastAsia" w:cs="宋体" w:asciiTheme="minorEastAsia" w:hAnsiTheme="minorEastAsia" w:eastAsiaTheme="minorEastAsia"/>
                <w:highlight w:val="none"/>
              </w:rPr>
              <w:t>4.9-6.0</w:t>
            </w:r>
            <w:r>
              <w:rPr>
                <w:rFonts w:cs="宋体" w:asciiTheme="minorEastAsia" w:hAnsiTheme="minorEastAsia" w:eastAsiaTheme="minorEastAsia"/>
                <w:highlight w:val="none"/>
              </w:rPr>
              <w:t>分， 良得</w:t>
            </w:r>
            <w:r>
              <w:rPr>
                <w:rFonts w:hint="eastAsia" w:cs="宋体" w:asciiTheme="minorEastAsia" w:hAnsiTheme="minorEastAsia" w:eastAsiaTheme="minorEastAsia"/>
                <w:highlight w:val="none"/>
              </w:rPr>
              <w:t>3.7-4.8</w:t>
            </w:r>
            <w:r>
              <w:rPr>
                <w:rFonts w:cs="宋体" w:asciiTheme="minorEastAsia" w:hAnsiTheme="minorEastAsia" w:eastAsiaTheme="minorEastAsia"/>
                <w:highlight w:val="none"/>
              </w:rPr>
              <w:t>分，一般得</w:t>
            </w:r>
            <w:r>
              <w:rPr>
                <w:rFonts w:hint="eastAsia" w:cs="宋体" w:asciiTheme="minorEastAsia" w:hAnsiTheme="minorEastAsia" w:eastAsiaTheme="minorEastAsia"/>
                <w:highlight w:val="none"/>
              </w:rPr>
              <w:t>3.6</w:t>
            </w:r>
            <w:r>
              <w:rPr>
                <w:rFonts w:cs="宋体" w:asciiTheme="minorEastAsia" w:hAnsiTheme="minorEastAsia" w:eastAsiaTheme="minorEastAsia"/>
                <w:highlight w:val="none"/>
              </w:rPr>
              <w:t>分，无不得分。</w:t>
            </w:r>
          </w:p>
        </w:tc>
      </w:tr>
      <w:tr w14:paraId="0FE6F2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427" w:type="pct"/>
            <w:vMerge w:val="continue"/>
          </w:tcPr>
          <w:p w14:paraId="5788EB8F">
            <w:pPr>
              <w:spacing w:line="360" w:lineRule="exact"/>
              <w:jc w:val="center"/>
              <w:rPr>
                <w:rFonts w:hint="eastAsia" w:cs="宋体" w:asciiTheme="minorEastAsia" w:hAnsiTheme="minorEastAsia" w:eastAsiaTheme="minorEastAsia"/>
                <w:highlight w:val="none"/>
              </w:rPr>
            </w:pPr>
          </w:p>
        </w:tc>
        <w:tc>
          <w:tcPr>
            <w:tcW w:w="590" w:type="pct"/>
            <w:vMerge w:val="continue"/>
          </w:tcPr>
          <w:p w14:paraId="3AC1B733">
            <w:pPr>
              <w:tabs>
                <w:tab w:val="left" w:pos="222"/>
              </w:tabs>
              <w:spacing w:line="360" w:lineRule="exact"/>
              <w:jc w:val="center"/>
              <w:rPr>
                <w:rFonts w:hint="eastAsia" w:cs="宋体" w:asciiTheme="minorEastAsia" w:hAnsiTheme="minorEastAsia" w:eastAsiaTheme="minorEastAsia"/>
                <w:highlight w:val="none"/>
              </w:rPr>
            </w:pPr>
          </w:p>
        </w:tc>
        <w:tc>
          <w:tcPr>
            <w:tcW w:w="899" w:type="pct"/>
            <w:vAlign w:val="center"/>
          </w:tcPr>
          <w:p w14:paraId="349DE8BC">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监理工作重点、难</w:t>
            </w:r>
          </w:p>
          <w:p w14:paraId="28F63988">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点分析 (6分)</w:t>
            </w:r>
          </w:p>
        </w:tc>
        <w:tc>
          <w:tcPr>
            <w:tcW w:w="3084" w:type="pct"/>
            <w:vAlign w:val="center"/>
          </w:tcPr>
          <w:p w14:paraId="0909E9F4">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监理工作重点、难点分析进行比较， 内容完整、合理、可行：</w:t>
            </w:r>
          </w:p>
          <w:p w14:paraId="5C60FD6C">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优得</w:t>
            </w:r>
            <w:r>
              <w:rPr>
                <w:rFonts w:hint="eastAsia" w:cs="宋体" w:asciiTheme="minorEastAsia" w:hAnsiTheme="minorEastAsia" w:eastAsiaTheme="minorEastAsia"/>
                <w:highlight w:val="none"/>
              </w:rPr>
              <w:t>4.9-6.0</w:t>
            </w:r>
            <w:r>
              <w:rPr>
                <w:rFonts w:cs="宋体" w:asciiTheme="minorEastAsia" w:hAnsiTheme="minorEastAsia" w:eastAsiaTheme="minorEastAsia"/>
                <w:highlight w:val="none"/>
              </w:rPr>
              <w:t>分， 良得</w:t>
            </w:r>
            <w:r>
              <w:rPr>
                <w:rFonts w:hint="eastAsia" w:cs="宋体" w:asciiTheme="minorEastAsia" w:hAnsiTheme="minorEastAsia" w:eastAsiaTheme="minorEastAsia"/>
                <w:highlight w:val="none"/>
              </w:rPr>
              <w:t>3.7-4.8</w:t>
            </w:r>
            <w:r>
              <w:rPr>
                <w:rFonts w:cs="宋体" w:asciiTheme="minorEastAsia" w:hAnsiTheme="minorEastAsia" w:eastAsiaTheme="minorEastAsia"/>
                <w:highlight w:val="none"/>
              </w:rPr>
              <w:t>分，一般得</w:t>
            </w:r>
            <w:r>
              <w:rPr>
                <w:rFonts w:hint="eastAsia" w:cs="宋体" w:asciiTheme="minorEastAsia" w:hAnsiTheme="minorEastAsia" w:eastAsiaTheme="minorEastAsia"/>
                <w:highlight w:val="none"/>
              </w:rPr>
              <w:t>3.6</w:t>
            </w:r>
            <w:r>
              <w:rPr>
                <w:rFonts w:cs="宋体" w:asciiTheme="minorEastAsia" w:hAnsiTheme="minorEastAsia" w:eastAsiaTheme="minorEastAsia"/>
                <w:highlight w:val="none"/>
              </w:rPr>
              <w:t>分，无不得分。</w:t>
            </w:r>
          </w:p>
        </w:tc>
      </w:tr>
      <w:tr w14:paraId="4373F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427" w:type="pct"/>
            <w:vMerge w:val="continue"/>
            <w:tcBorders>
              <w:bottom w:val="single" w:color="auto" w:sz="4" w:space="0"/>
            </w:tcBorders>
          </w:tcPr>
          <w:p w14:paraId="29F2D3CD">
            <w:pPr>
              <w:spacing w:line="360" w:lineRule="exact"/>
              <w:jc w:val="center"/>
              <w:rPr>
                <w:rFonts w:hint="eastAsia" w:cs="宋体" w:asciiTheme="minorEastAsia" w:hAnsiTheme="minorEastAsia" w:eastAsiaTheme="minorEastAsia"/>
                <w:highlight w:val="none"/>
              </w:rPr>
            </w:pPr>
          </w:p>
        </w:tc>
        <w:tc>
          <w:tcPr>
            <w:tcW w:w="590" w:type="pct"/>
            <w:vMerge w:val="continue"/>
            <w:tcBorders>
              <w:bottom w:val="single" w:color="auto" w:sz="4" w:space="0"/>
            </w:tcBorders>
          </w:tcPr>
          <w:p w14:paraId="63B42022">
            <w:pPr>
              <w:tabs>
                <w:tab w:val="left" w:pos="222"/>
              </w:tabs>
              <w:spacing w:line="360" w:lineRule="exact"/>
              <w:jc w:val="center"/>
              <w:rPr>
                <w:rFonts w:hint="eastAsia" w:cs="宋体" w:asciiTheme="minorEastAsia" w:hAnsiTheme="minorEastAsia" w:eastAsiaTheme="minorEastAsia"/>
                <w:highlight w:val="none"/>
              </w:rPr>
            </w:pPr>
          </w:p>
        </w:tc>
        <w:tc>
          <w:tcPr>
            <w:tcW w:w="899" w:type="pct"/>
            <w:tcBorders>
              <w:bottom w:val="single" w:color="auto" w:sz="4" w:space="0"/>
            </w:tcBorders>
            <w:vAlign w:val="center"/>
          </w:tcPr>
          <w:p w14:paraId="1041AF31">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合理化建议</w:t>
            </w:r>
          </w:p>
          <w:p w14:paraId="42EAA16C">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 xml:space="preserve"> (5分)</w:t>
            </w:r>
          </w:p>
        </w:tc>
        <w:tc>
          <w:tcPr>
            <w:tcW w:w="3084" w:type="pct"/>
            <w:vAlign w:val="center"/>
          </w:tcPr>
          <w:p w14:paraId="3E3F9609">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合理化建议进行比较， 内容完整、合理、可行：</w:t>
            </w:r>
          </w:p>
          <w:p w14:paraId="286B9D08">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优得</w:t>
            </w:r>
            <w:r>
              <w:rPr>
                <w:rFonts w:hint="eastAsia" w:cs="宋体" w:asciiTheme="minorEastAsia" w:hAnsiTheme="minorEastAsia" w:eastAsiaTheme="minorEastAsia"/>
                <w:highlight w:val="none"/>
              </w:rPr>
              <w:t>4.1-5.0</w:t>
            </w:r>
            <w:r>
              <w:rPr>
                <w:rFonts w:cs="宋体" w:asciiTheme="minorEastAsia" w:hAnsiTheme="minorEastAsia" w:eastAsiaTheme="minorEastAsia"/>
                <w:highlight w:val="none"/>
              </w:rPr>
              <w:t>分， 良得</w:t>
            </w:r>
            <w:r>
              <w:rPr>
                <w:rFonts w:hint="eastAsia" w:cs="宋体" w:asciiTheme="minorEastAsia" w:hAnsiTheme="minorEastAsia" w:eastAsiaTheme="minorEastAsia"/>
                <w:highlight w:val="none"/>
              </w:rPr>
              <w:t>3.1-4.0</w:t>
            </w:r>
            <w:r>
              <w:rPr>
                <w:rFonts w:cs="宋体" w:asciiTheme="minorEastAsia" w:hAnsiTheme="minorEastAsia" w:eastAsiaTheme="minorEastAsia"/>
                <w:highlight w:val="none"/>
              </w:rPr>
              <w:t>分，一般得</w:t>
            </w:r>
            <w:r>
              <w:rPr>
                <w:rFonts w:hint="eastAsia" w:cs="宋体" w:asciiTheme="minorEastAsia" w:hAnsiTheme="minorEastAsia" w:eastAsiaTheme="minorEastAsia"/>
                <w:highlight w:val="none"/>
              </w:rPr>
              <w:t>3.0</w:t>
            </w:r>
            <w:r>
              <w:rPr>
                <w:rFonts w:cs="宋体" w:asciiTheme="minorEastAsia" w:hAnsiTheme="minorEastAsia" w:eastAsiaTheme="minorEastAsia"/>
                <w:highlight w:val="none"/>
              </w:rPr>
              <w:t>分，无不得分。</w:t>
            </w:r>
          </w:p>
        </w:tc>
      </w:tr>
      <w:bookmarkEnd w:id="34"/>
      <w:tr w14:paraId="77CB7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4" w:hRule="atLeast"/>
        </w:trPr>
        <w:tc>
          <w:tcPr>
            <w:tcW w:w="427" w:type="pct"/>
            <w:tcBorders>
              <w:top w:val="single" w:color="auto" w:sz="4" w:space="0"/>
              <w:left w:val="single" w:color="auto" w:sz="4" w:space="0"/>
              <w:bottom w:val="single" w:color="auto" w:sz="4" w:space="0"/>
              <w:right w:val="single" w:color="auto" w:sz="4" w:space="0"/>
            </w:tcBorders>
            <w:vAlign w:val="center"/>
          </w:tcPr>
          <w:p w14:paraId="52516D29">
            <w:pPr>
              <w:spacing w:line="360" w:lineRule="exact"/>
              <w:jc w:val="center"/>
              <w:rPr>
                <w:rFonts w:hint="eastAsia" w:ascii="黑体" w:hAnsi="黑体" w:eastAsia="黑体" w:cs="宋体"/>
                <w:highlight w:val="none"/>
              </w:rPr>
            </w:pPr>
            <w:r>
              <w:rPr>
                <w:rFonts w:ascii="黑体" w:hAnsi="黑体" w:eastAsia="黑体" w:cs="宋体"/>
                <w:highlight w:val="none"/>
              </w:rPr>
              <w:t>2.2.4</w:t>
            </w:r>
          </w:p>
          <w:p w14:paraId="18D59ACF">
            <w:pPr>
              <w:spacing w:line="360" w:lineRule="exact"/>
              <w:jc w:val="center"/>
              <w:rPr>
                <w:rFonts w:hint="eastAsia" w:ascii="黑体" w:hAnsi="黑体" w:eastAsia="黑体" w:cs="宋体"/>
                <w:highlight w:val="none"/>
              </w:rPr>
            </w:pPr>
            <w:r>
              <w:rPr>
                <w:rFonts w:ascii="黑体" w:hAnsi="黑体" w:eastAsia="黑体" w:cs="宋体"/>
                <w:highlight w:val="none"/>
              </w:rPr>
              <w:t>(3)</w:t>
            </w:r>
          </w:p>
        </w:tc>
        <w:tc>
          <w:tcPr>
            <w:tcW w:w="590" w:type="pct"/>
            <w:tcBorders>
              <w:top w:val="single" w:color="auto" w:sz="4" w:space="0"/>
              <w:left w:val="single" w:color="auto" w:sz="4" w:space="0"/>
              <w:bottom w:val="single" w:color="auto" w:sz="4" w:space="0"/>
              <w:right w:val="single" w:color="auto" w:sz="4" w:space="0"/>
            </w:tcBorders>
            <w:vAlign w:val="center"/>
          </w:tcPr>
          <w:p w14:paraId="55A0B3AA">
            <w:pPr>
              <w:tabs>
                <w:tab w:val="left" w:pos="222"/>
              </w:tabs>
              <w:spacing w:line="360" w:lineRule="exact"/>
              <w:jc w:val="center"/>
              <w:rPr>
                <w:rFonts w:hint="eastAsia" w:ascii="黑体" w:hAnsi="黑体" w:eastAsia="黑体" w:cs="宋体"/>
                <w:highlight w:val="none"/>
              </w:rPr>
            </w:pPr>
            <w:r>
              <w:rPr>
                <w:rFonts w:ascii="黑体" w:hAnsi="黑体" w:eastAsia="黑体" w:cs="宋体"/>
                <w:highlight w:val="none"/>
              </w:rPr>
              <w:t>投标报价</w:t>
            </w:r>
          </w:p>
          <w:p w14:paraId="11197101">
            <w:pPr>
              <w:tabs>
                <w:tab w:val="left" w:pos="222"/>
              </w:tabs>
              <w:spacing w:line="360" w:lineRule="exact"/>
              <w:jc w:val="center"/>
              <w:rPr>
                <w:rFonts w:hint="eastAsia" w:ascii="黑体" w:hAnsi="黑体" w:eastAsia="黑体" w:cs="宋体"/>
                <w:highlight w:val="none"/>
              </w:rPr>
            </w:pPr>
            <w:r>
              <w:rPr>
                <w:rFonts w:ascii="黑体" w:hAnsi="黑体" w:eastAsia="黑体" w:cs="宋体"/>
                <w:highlight w:val="none"/>
              </w:rPr>
              <w:t xml:space="preserve"> 评分标准 </w:t>
            </w:r>
            <w:r>
              <w:rPr>
                <w:rFonts w:ascii="黑体" w:hAnsi="黑体" w:eastAsia="黑体" w:cs="宋体"/>
                <w:highlight w:val="none"/>
              </w:rPr>
              <w:tab/>
            </w:r>
            <w:r>
              <w:rPr>
                <w:rFonts w:ascii="黑体" w:hAnsi="黑体" w:eastAsia="黑体" w:cs="宋体"/>
                <w:highlight w:val="none"/>
              </w:rPr>
              <w:t>(10分)</w:t>
            </w:r>
          </w:p>
        </w:tc>
        <w:tc>
          <w:tcPr>
            <w:tcW w:w="899" w:type="pct"/>
            <w:tcBorders>
              <w:top w:val="single" w:color="auto" w:sz="4" w:space="0"/>
              <w:left w:val="single" w:color="auto" w:sz="4" w:space="0"/>
              <w:bottom w:val="single" w:color="auto" w:sz="4" w:space="0"/>
              <w:right w:val="single" w:color="auto" w:sz="4" w:space="0"/>
            </w:tcBorders>
            <w:vAlign w:val="center"/>
          </w:tcPr>
          <w:p w14:paraId="1810EA97">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投标报价</w:t>
            </w:r>
          </w:p>
          <w:p w14:paraId="5C04514F">
            <w:pPr>
              <w:spacing w:line="360" w:lineRule="exact"/>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 xml:space="preserve"> (10分)</w:t>
            </w:r>
          </w:p>
        </w:tc>
        <w:tc>
          <w:tcPr>
            <w:tcW w:w="3084" w:type="pct"/>
            <w:tcBorders>
              <w:left w:val="single" w:color="auto" w:sz="4" w:space="0"/>
            </w:tcBorders>
          </w:tcPr>
          <w:p w14:paraId="2CB03538">
            <w:pPr>
              <w:spacing w:line="360" w:lineRule="exact"/>
              <w:ind w:left="21" w:leftChars="10"/>
              <w:rPr>
                <w:rFonts w:hint="eastAsia" w:cs="宋体" w:asciiTheme="minorEastAsia" w:hAnsiTheme="minorEastAsia" w:eastAsiaTheme="minorEastAsia"/>
                <w:highlight w:val="none"/>
              </w:rPr>
            </w:pPr>
            <w:r>
              <w:rPr>
                <w:rFonts w:cs="宋体" w:asciiTheme="minorEastAsia" w:hAnsiTheme="minorEastAsia" w:eastAsiaTheme="minorEastAsia"/>
                <w:highlight w:val="none"/>
              </w:rPr>
              <w:t>投标报价计算公式：</w:t>
            </w:r>
          </w:p>
          <w:p w14:paraId="7EF65FEF">
            <w:pPr>
              <w:spacing w:line="360" w:lineRule="exact"/>
              <w:ind w:left="21" w:leftChars="10"/>
              <w:rPr>
                <w:rFonts w:hint="eastAsia" w:cs="宋体" w:asciiTheme="minorEastAsia" w:hAnsiTheme="minorEastAsia" w:eastAsiaTheme="minorEastAsia"/>
                <w:highlight w:val="none"/>
              </w:rPr>
            </w:pPr>
            <w:r>
              <w:rPr>
                <w:rFonts w:cs="宋体" w:asciiTheme="minorEastAsia" w:hAnsiTheme="minorEastAsia" w:eastAsiaTheme="minorEastAsia"/>
                <w:highlight w:val="none"/>
              </w:rPr>
              <w:t>(1)如果投标人的投标报价=评标基准价，则</w:t>
            </w:r>
          </w:p>
          <w:p w14:paraId="4CCB55AD">
            <w:pPr>
              <w:spacing w:line="360" w:lineRule="exact"/>
              <w:ind w:left="21" w:leftChars="10"/>
              <w:rPr>
                <w:rFonts w:hint="eastAsia" w:cs="宋体" w:asciiTheme="minorEastAsia" w:hAnsiTheme="minorEastAsia" w:eastAsiaTheme="minorEastAsia"/>
                <w:highlight w:val="none"/>
              </w:rPr>
            </w:pPr>
            <w:r>
              <w:rPr>
                <w:rFonts w:cs="宋体" w:asciiTheme="minorEastAsia" w:hAnsiTheme="minorEastAsia" w:eastAsiaTheme="minorEastAsia"/>
                <w:highlight w:val="none"/>
              </w:rPr>
              <w:t>投标报价得分=10 分。</w:t>
            </w:r>
          </w:p>
          <w:p w14:paraId="2FA29F72">
            <w:pPr>
              <w:spacing w:line="360" w:lineRule="exact"/>
              <w:ind w:left="21" w:leftChars="10"/>
              <w:rPr>
                <w:rFonts w:hint="eastAsia" w:cs="宋体" w:asciiTheme="minorEastAsia" w:hAnsiTheme="minorEastAsia" w:eastAsiaTheme="minorEastAsia"/>
                <w:highlight w:val="none"/>
              </w:rPr>
            </w:pPr>
            <w:r>
              <w:rPr>
                <w:rFonts w:cs="宋体" w:asciiTheme="minorEastAsia" w:hAnsiTheme="minorEastAsia" w:eastAsiaTheme="minorEastAsia"/>
                <w:highlight w:val="none"/>
              </w:rPr>
              <w:t>(2) 如果投标人的投标报价＞评标基准价，则</w:t>
            </w:r>
          </w:p>
          <w:p w14:paraId="0CCBAAD7">
            <w:pPr>
              <w:spacing w:line="360" w:lineRule="exact"/>
              <w:ind w:left="21" w:leftChars="10"/>
              <w:rPr>
                <w:rFonts w:hint="eastAsia" w:cs="宋体" w:asciiTheme="minorEastAsia" w:hAnsiTheme="minorEastAsia" w:eastAsiaTheme="minorEastAsia"/>
                <w:highlight w:val="none"/>
              </w:rPr>
            </w:pPr>
            <w:r>
              <w:rPr>
                <w:rFonts w:cs="宋体" w:asciiTheme="minorEastAsia" w:hAnsiTheme="minorEastAsia" w:eastAsiaTheme="minorEastAsia"/>
                <w:highlight w:val="none"/>
              </w:rPr>
              <w:t>投标报价得分=10-偏差率×100×0.2</w:t>
            </w:r>
          </w:p>
          <w:p w14:paraId="7C65A616">
            <w:pPr>
              <w:spacing w:line="360" w:lineRule="exact"/>
              <w:ind w:left="21" w:leftChars="10"/>
              <w:rPr>
                <w:rFonts w:hint="eastAsia" w:cs="宋体" w:asciiTheme="minorEastAsia" w:hAnsiTheme="minorEastAsia" w:eastAsiaTheme="minorEastAsia"/>
                <w:highlight w:val="none"/>
              </w:rPr>
            </w:pPr>
            <w:r>
              <w:rPr>
                <w:rFonts w:cs="宋体" w:asciiTheme="minorEastAsia" w:hAnsiTheme="minorEastAsia" w:eastAsiaTheme="minorEastAsia"/>
                <w:highlight w:val="none"/>
              </w:rPr>
              <w:t>(3) 如果投标人的投标报价＜评标基准价，则</w:t>
            </w:r>
          </w:p>
          <w:p w14:paraId="62A18BBB">
            <w:pPr>
              <w:spacing w:line="360" w:lineRule="exact"/>
              <w:ind w:left="21" w:leftChars="10"/>
              <w:rPr>
                <w:rFonts w:hint="eastAsia" w:cs="宋体" w:asciiTheme="minorEastAsia" w:hAnsiTheme="minorEastAsia" w:eastAsiaTheme="minorEastAsia"/>
                <w:highlight w:val="none"/>
              </w:rPr>
            </w:pPr>
            <w:r>
              <w:rPr>
                <w:rFonts w:cs="宋体" w:asciiTheme="minorEastAsia" w:hAnsiTheme="minorEastAsia" w:eastAsiaTheme="minorEastAsia"/>
                <w:highlight w:val="none"/>
              </w:rPr>
              <w:t>投标报价得分=10+偏差率×100×0.1</w:t>
            </w:r>
          </w:p>
          <w:p w14:paraId="6A7A7AF2">
            <w:pPr>
              <w:spacing w:line="360" w:lineRule="exact"/>
              <w:rPr>
                <w:rFonts w:hint="eastAsia" w:cs="宋体" w:asciiTheme="minorEastAsia" w:hAnsiTheme="minorEastAsia" w:eastAsiaTheme="minorEastAsia"/>
                <w:highlight w:val="none"/>
              </w:rPr>
            </w:pPr>
            <w:r>
              <w:rPr>
                <w:rFonts w:cs="宋体" w:asciiTheme="minorEastAsia" w:hAnsiTheme="minorEastAsia" w:eastAsiaTheme="minorEastAsia"/>
                <w:highlight w:val="none"/>
              </w:rPr>
              <w:t xml:space="preserve">(4) </w:t>
            </w:r>
            <w:r>
              <w:rPr>
                <w:rFonts w:hint="eastAsia" w:cs="宋体" w:asciiTheme="minorEastAsia" w:hAnsiTheme="minorEastAsia" w:eastAsiaTheme="minorEastAsia"/>
                <w:highlight w:val="none"/>
              </w:rPr>
              <w:t>投</w:t>
            </w:r>
            <w:r>
              <w:rPr>
                <w:rFonts w:cs="宋体" w:asciiTheme="minorEastAsia" w:hAnsiTheme="minorEastAsia" w:eastAsiaTheme="minorEastAsia"/>
                <w:highlight w:val="none"/>
              </w:rPr>
              <w:t>标报价最低得分为</w:t>
            </w:r>
            <w:r>
              <w:rPr>
                <w:rFonts w:hint="eastAsia" w:cs="宋体" w:asciiTheme="minorEastAsia" w:hAnsiTheme="minorEastAsia" w:eastAsiaTheme="minorEastAsia"/>
                <w:highlight w:val="none"/>
              </w:rPr>
              <w:t>0分。</w:t>
            </w:r>
          </w:p>
        </w:tc>
      </w:tr>
      <w:tr w14:paraId="370F3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427" w:type="pct"/>
            <w:vMerge w:val="restart"/>
            <w:tcBorders>
              <w:top w:val="single" w:color="auto" w:sz="4" w:space="0"/>
              <w:bottom w:val="nil"/>
            </w:tcBorders>
            <w:vAlign w:val="center"/>
          </w:tcPr>
          <w:p w14:paraId="5306AB39">
            <w:pPr>
              <w:spacing w:before="65" w:line="360" w:lineRule="exact"/>
              <w:ind w:left="117"/>
              <w:jc w:val="center"/>
              <w:rPr>
                <w:rFonts w:hint="eastAsia" w:ascii="黑体" w:hAnsi="黑体" w:eastAsia="黑体" w:cs="宋体"/>
                <w:highlight w:val="none"/>
              </w:rPr>
            </w:pPr>
            <w:r>
              <w:rPr>
                <w:rFonts w:ascii="黑体" w:hAnsi="黑体" w:eastAsia="黑体" w:cs="宋体"/>
                <w:highlight w:val="none"/>
              </w:rPr>
              <w:t>2.2.4</w:t>
            </w:r>
          </w:p>
          <w:p w14:paraId="41E391C8">
            <w:pPr>
              <w:spacing w:line="360" w:lineRule="exact"/>
              <w:ind w:left="125"/>
              <w:jc w:val="center"/>
              <w:rPr>
                <w:rFonts w:hint="eastAsia" w:ascii="黑体" w:hAnsi="黑体" w:eastAsia="黑体" w:cs="宋体"/>
                <w:highlight w:val="none"/>
              </w:rPr>
            </w:pPr>
            <w:r>
              <w:rPr>
                <w:rFonts w:ascii="黑体" w:hAnsi="黑体" w:eastAsia="黑体" w:cs="宋体"/>
                <w:highlight w:val="none"/>
              </w:rPr>
              <w:t>(4)</w:t>
            </w:r>
          </w:p>
        </w:tc>
        <w:tc>
          <w:tcPr>
            <w:tcW w:w="590" w:type="pct"/>
            <w:vMerge w:val="restart"/>
            <w:tcBorders>
              <w:top w:val="single" w:color="auto" w:sz="4" w:space="0"/>
              <w:bottom w:val="nil"/>
            </w:tcBorders>
            <w:vAlign w:val="center"/>
          </w:tcPr>
          <w:p w14:paraId="525C8AF5">
            <w:pPr>
              <w:spacing w:before="180" w:line="360" w:lineRule="exact"/>
              <w:ind w:left="128" w:right="106" w:hanging="15"/>
              <w:jc w:val="center"/>
              <w:rPr>
                <w:rFonts w:hint="eastAsia" w:ascii="黑体" w:hAnsi="黑体" w:eastAsia="黑体" w:cs="宋体"/>
                <w:highlight w:val="none"/>
              </w:rPr>
            </w:pPr>
            <w:r>
              <w:rPr>
                <w:rFonts w:ascii="黑体" w:hAnsi="黑体" w:eastAsia="黑体" w:cs="宋体"/>
                <w:highlight w:val="none"/>
              </w:rPr>
              <w:t>其他评分 因素</w:t>
            </w:r>
          </w:p>
          <w:p w14:paraId="434BC906">
            <w:pPr>
              <w:spacing w:line="360" w:lineRule="exact"/>
              <w:ind w:left="122"/>
              <w:jc w:val="center"/>
              <w:rPr>
                <w:rFonts w:hint="eastAsia" w:ascii="黑体" w:hAnsi="黑体" w:eastAsia="黑体" w:cs="宋体"/>
                <w:highlight w:val="none"/>
              </w:rPr>
            </w:pPr>
            <w:r>
              <w:rPr>
                <w:rFonts w:ascii="黑体" w:hAnsi="黑体" w:eastAsia="黑体" w:cs="宋体"/>
                <w:highlight w:val="none"/>
              </w:rPr>
              <w:t>(5分)</w:t>
            </w:r>
          </w:p>
        </w:tc>
        <w:tc>
          <w:tcPr>
            <w:tcW w:w="899" w:type="pct"/>
            <w:tcBorders>
              <w:top w:val="single" w:color="auto" w:sz="4" w:space="0"/>
            </w:tcBorders>
            <w:vAlign w:val="center"/>
          </w:tcPr>
          <w:p w14:paraId="4D6BB3DC">
            <w:pPr>
              <w:spacing w:line="360" w:lineRule="exact"/>
              <w:ind w:left="111"/>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优惠条件</w:t>
            </w:r>
          </w:p>
          <w:p w14:paraId="37DFE01B">
            <w:pPr>
              <w:spacing w:line="360" w:lineRule="exact"/>
              <w:ind w:left="122"/>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(3分)</w:t>
            </w:r>
          </w:p>
        </w:tc>
        <w:tc>
          <w:tcPr>
            <w:tcW w:w="3084" w:type="pct"/>
            <w:vAlign w:val="center"/>
          </w:tcPr>
          <w:p w14:paraId="22A535D7">
            <w:pPr>
              <w:spacing w:line="360" w:lineRule="exact"/>
              <w:ind w:left="21" w:leftChars="10"/>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对投标人</w:t>
            </w:r>
            <w:r>
              <w:rPr>
                <w:rFonts w:hint="eastAsia" w:cs="宋体" w:asciiTheme="minorEastAsia" w:hAnsiTheme="minorEastAsia" w:eastAsiaTheme="minorEastAsia"/>
                <w:highlight w:val="none"/>
              </w:rPr>
              <w:t>承诺</w:t>
            </w:r>
            <w:r>
              <w:rPr>
                <w:rFonts w:cs="宋体" w:asciiTheme="minorEastAsia" w:hAnsiTheme="minorEastAsia" w:eastAsiaTheme="minorEastAsia"/>
                <w:highlight w:val="none"/>
              </w:rPr>
              <w:t>的招标人可以接受的合理的优惠条件进行综合评价</w:t>
            </w:r>
            <w:r>
              <w:rPr>
                <w:rFonts w:hint="eastAsia" w:cs="宋体" w:asciiTheme="minorEastAsia" w:hAnsiTheme="minorEastAsia" w:eastAsiaTheme="minorEastAsia"/>
                <w:highlight w:val="none"/>
              </w:rPr>
              <w:t>：</w:t>
            </w:r>
            <w:r>
              <w:rPr>
                <w:rFonts w:cs="宋体" w:asciiTheme="minorEastAsia" w:hAnsiTheme="minorEastAsia" w:eastAsiaTheme="minorEastAsia"/>
                <w:highlight w:val="none"/>
              </w:rPr>
              <w:t>优得3分，良得</w:t>
            </w:r>
            <w:r>
              <w:rPr>
                <w:rFonts w:hint="eastAsia" w:cs="宋体" w:asciiTheme="minorEastAsia" w:hAnsiTheme="minorEastAsia" w:eastAsiaTheme="minorEastAsia"/>
                <w:highlight w:val="none"/>
              </w:rPr>
              <w:t>2.4</w:t>
            </w:r>
            <w:r>
              <w:rPr>
                <w:rFonts w:cs="宋体" w:asciiTheme="minorEastAsia" w:hAnsiTheme="minorEastAsia" w:eastAsiaTheme="minorEastAsia"/>
                <w:highlight w:val="none"/>
              </w:rPr>
              <w:t>分，一般得</w:t>
            </w:r>
            <w:r>
              <w:rPr>
                <w:rFonts w:hint="eastAsia" w:cs="宋体" w:asciiTheme="minorEastAsia" w:hAnsiTheme="minorEastAsia" w:eastAsiaTheme="minorEastAsia"/>
                <w:highlight w:val="none"/>
              </w:rPr>
              <w:t>1.8</w:t>
            </w:r>
            <w:r>
              <w:rPr>
                <w:rFonts w:cs="宋体" w:asciiTheme="minorEastAsia" w:hAnsiTheme="minorEastAsia" w:eastAsiaTheme="minorEastAsia"/>
                <w:highlight w:val="none"/>
              </w:rPr>
              <w:t>分，无不得分。</w:t>
            </w:r>
          </w:p>
        </w:tc>
      </w:tr>
      <w:tr w14:paraId="3D119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trPr>
        <w:tc>
          <w:tcPr>
            <w:tcW w:w="427" w:type="pct"/>
            <w:vMerge w:val="continue"/>
            <w:tcBorders>
              <w:top w:val="nil"/>
              <w:bottom w:val="single" w:color="auto" w:sz="4" w:space="0"/>
            </w:tcBorders>
          </w:tcPr>
          <w:p w14:paraId="5ED48347">
            <w:pPr>
              <w:spacing w:line="360" w:lineRule="exact"/>
              <w:jc w:val="center"/>
              <w:rPr>
                <w:rFonts w:hint="eastAsia" w:cs="宋体" w:asciiTheme="minorEastAsia" w:hAnsiTheme="minorEastAsia" w:eastAsiaTheme="minorEastAsia"/>
                <w:highlight w:val="none"/>
              </w:rPr>
            </w:pPr>
          </w:p>
        </w:tc>
        <w:tc>
          <w:tcPr>
            <w:tcW w:w="590" w:type="pct"/>
            <w:vMerge w:val="continue"/>
            <w:tcBorders>
              <w:top w:val="nil"/>
              <w:bottom w:val="single" w:color="auto" w:sz="4" w:space="0"/>
            </w:tcBorders>
          </w:tcPr>
          <w:p w14:paraId="19BD2D10">
            <w:pPr>
              <w:spacing w:line="360" w:lineRule="exact"/>
              <w:jc w:val="center"/>
              <w:rPr>
                <w:rFonts w:hint="eastAsia" w:cs="宋体" w:asciiTheme="minorEastAsia" w:hAnsiTheme="minorEastAsia" w:eastAsiaTheme="minorEastAsia"/>
                <w:highlight w:val="none"/>
              </w:rPr>
            </w:pPr>
          </w:p>
        </w:tc>
        <w:tc>
          <w:tcPr>
            <w:tcW w:w="899" w:type="pct"/>
            <w:tcBorders>
              <w:bottom w:val="single" w:color="auto" w:sz="4" w:space="0"/>
            </w:tcBorders>
            <w:vAlign w:val="center"/>
          </w:tcPr>
          <w:p w14:paraId="0976725E">
            <w:pPr>
              <w:spacing w:line="360" w:lineRule="exact"/>
              <w:ind w:left="112"/>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 xml:space="preserve">服务承诺 </w:t>
            </w:r>
          </w:p>
          <w:p w14:paraId="200E326D">
            <w:pPr>
              <w:spacing w:line="360" w:lineRule="exact"/>
              <w:ind w:left="112"/>
              <w:jc w:val="center"/>
              <w:rPr>
                <w:rFonts w:hint="eastAsia" w:cs="宋体" w:asciiTheme="minorEastAsia" w:hAnsiTheme="minorEastAsia" w:eastAsiaTheme="minorEastAsia"/>
                <w:highlight w:val="none"/>
              </w:rPr>
            </w:pPr>
            <w:r>
              <w:rPr>
                <w:rFonts w:cs="宋体" w:asciiTheme="minorEastAsia" w:hAnsiTheme="minorEastAsia" w:eastAsiaTheme="minorEastAsia"/>
                <w:highlight w:val="none"/>
              </w:rPr>
              <w:t>(</w:t>
            </w:r>
            <w:r>
              <w:rPr>
                <w:rFonts w:hint="eastAsia" w:cs="宋体" w:asciiTheme="minorEastAsia" w:hAnsiTheme="minorEastAsia" w:eastAsiaTheme="minorEastAsia"/>
                <w:highlight w:val="none"/>
              </w:rPr>
              <w:t>2分</w:t>
            </w:r>
            <w:r>
              <w:rPr>
                <w:rFonts w:cs="宋体" w:asciiTheme="minorEastAsia" w:hAnsiTheme="minorEastAsia" w:eastAsiaTheme="minorEastAsia"/>
                <w:highlight w:val="none"/>
              </w:rPr>
              <w:t>)</w:t>
            </w:r>
          </w:p>
        </w:tc>
        <w:tc>
          <w:tcPr>
            <w:tcW w:w="3084" w:type="pct"/>
            <w:tcBorders>
              <w:bottom w:val="single" w:color="auto" w:sz="4" w:space="0"/>
            </w:tcBorders>
            <w:vAlign w:val="center"/>
          </w:tcPr>
          <w:p w14:paraId="5BB154DD">
            <w:pPr>
              <w:spacing w:line="360" w:lineRule="exact"/>
              <w:ind w:left="114"/>
              <w:jc w:val="both"/>
              <w:rPr>
                <w:rFonts w:hint="eastAsia" w:cs="宋体" w:asciiTheme="minorEastAsia" w:hAnsiTheme="minorEastAsia" w:eastAsiaTheme="minorEastAsia"/>
                <w:highlight w:val="none"/>
              </w:rPr>
            </w:pPr>
            <w:r>
              <w:rPr>
                <w:rFonts w:cs="宋体" w:asciiTheme="minorEastAsia" w:hAnsiTheme="minorEastAsia" w:eastAsiaTheme="minorEastAsia"/>
                <w:highlight w:val="none"/>
              </w:rPr>
              <w:t>对投标人承诺的招标人可以接受的合理的服务承诺进行综合评价优得2分， 良得</w:t>
            </w:r>
            <w:r>
              <w:rPr>
                <w:rFonts w:hint="eastAsia" w:cs="宋体" w:asciiTheme="minorEastAsia" w:hAnsiTheme="minorEastAsia" w:eastAsiaTheme="minorEastAsia"/>
                <w:highlight w:val="none"/>
              </w:rPr>
              <w:t>1.6</w:t>
            </w:r>
            <w:r>
              <w:rPr>
                <w:rFonts w:cs="宋体" w:asciiTheme="minorEastAsia" w:hAnsiTheme="minorEastAsia" w:eastAsiaTheme="minorEastAsia"/>
                <w:highlight w:val="none"/>
              </w:rPr>
              <w:t>分，一般得</w:t>
            </w:r>
            <w:r>
              <w:rPr>
                <w:rFonts w:hint="eastAsia" w:cs="宋体" w:asciiTheme="minorEastAsia" w:hAnsiTheme="minorEastAsia" w:eastAsiaTheme="minorEastAsia"/>
                <w:highlight w:val="none"/>
              </w:rPr>
              <w:t>1.2</w:t>
            </w:r>
            <w:r>
              <w:rPr>
                <w:rFonts w:cs="宋体" w:asciiTheme="minorEastAsia" w:hAnsiTheme="minorEastAsia" w:eastAsiaTheme="minorEastAsia"/>
                <w:highlight w:val="none"/>
              </w:rPr>
              <w:t>分，无不得分。</w:t>
            </w:r>
          </w:p>
        </w:tc>
      </w:tr>
      <w:tr w14:paraId="1F2A3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trPr>
        <w:tc>
          <w:tcPr>
            <w:tcW w:w="5000" w:type="pct"/>
            <w:gridSpan w:val="4"/>
            <w:tcBorders>
              <w:top w:val="single" w:color="auto" w:sz="4" w:space="0"/>
            </w:tcBorders>
          </w:tcPr>
          <w:p w14:paraId="0A5D1AC2">
            <w:pPr>
              <w:spacing w:line="360" w:lineRule="exact"/>
              <w:rPr>
                <w:rFonts w:hint="eastAsia" w:ascii="宋体" w:hAnsi="宋体" w:eastAsia="宋体"/>
                <w:highlight w:val="none"/>
              </w:rPr>
            </w:pPr>
            <w:r>
              <w:rPr>
                <w:rFonts w:hint="eastAsia" w:ascii="宋体" w:hAnsi="宋体" w:eastAsia="宋体"/>
                <w:highlight w:val="none"/>
              </w:rPr>
              <w:t>补充说明：</w:t>
            </w:r>
          </w:p>
          <w:p w14:paraId="30D827EB">
            <w:pPr>
              <w:spacing w:line="360" w:lineRule="exact"/>
              <w:ind w:firstLine="420" w:firstLineChars="200"/>
              <w:rPr>
                <w:rFonts w:hint="eastAsia" w:ascii="宋体" w:hAnsi="宋体" w:eastAsia="宋体"/>
                <w:highlight w:val="none"/>
              </w:rPr>
            </w:pPr>
            <w:r>
              <w:rPr>
                <w:rFonts w:hint="eastAsia" w:ascii="宋体" w:hAnsi="宋体" w:eastAsia="宋体"/>
                <w:highlight w:val="none"/>
              </w:rPr>
              <w:t>1</w:t>
            </w:r>
            <w:r>
              <w:rPr>
                <w:rFonts w:ascii="宋体" w:hAnsi="宋体" w:eastAsia="宋体"/>
                <w:highlight w:val="none"/>
              </w:rPr>
              <w:t>.</w:t>
            </w:r>
            <w:r>
              <w:rPr>
                <w:rFonts w:hint="eastAsia" w:ascii="宋体" w:hAnsi="宋体" w:eastAsia="宋体"/>
                <w:highlight w:val="none"/>
              </w:rPr>
              <w:t>评标委员会只对通过初步评审的投标文件进行详细评审，并按规定的评审因素和评分值进行评分，计算结果保留至小数点后两位，小数点后第三位“四舍五入”。</w:t>
            </w:r>
          </w:p>
          <w:p w14:paraId="6F8038FC">
            <w:pPr>
              <w:spacing w:line="360" w:lineRule="exact"/>
              <w:ind w:firstLine="420" w:firstLineChars="200"/>
              <w:rPr>
                <w:rFonts w:hint="eastAsia" w:ascii="宋体" w:hAnsi="宋体" w:eastAsia="宋体"/>
                <w:highlight w:val="none"/>
              </w:rPr>
            </w:pPr>
            <w:r>
              <w:rPr>
                <w:rFonts w:hint="eastAsia" w:ascii="宋体" w:hAnsi="宋体" w:eastAsia="宋体"/>
                <w:highlight w:val="none"/>
              </w:rPr>
              <w:t>2</w:t>
            </w:r>
            <w:r>
              <w:rPr>
                <w:rFonts w:ascii="宋体" w:hAnsi="宋体" w:eastAsia="宋体"/>
                <w:highlight w:val="none"/>
              </w:rPr>
              <w:t>.修正后的最终投标报价仅作为签订合同的一个依据，不参与评标价得分的计算。</w:t>
            </w:r>
          </w:p>
          <w:p w14:paraId="25171ADA">
            <w:pPr>
              <w:spacing w:line="360" w:lineRule="exact"/>
              <w:ind w:firstLine="420" w:firstLineChars="200"/>
              <w:rPr>
                <w:rFonts w:hint="eastAsia" w:ascii="宋体" w:hAnsi="宋体" w:eastAsia="宋体"/>
                <w:highlight w:val="none"/>
              </w:rPr>
            </w:pPr>
            <w:r>
              <w:rPr>
                <w:rFonts w:hint="eastAsia" w:ascii="宋体" w:hAnsi="宋体" w:eastAsia="宋体" w:cs="宋体"/>
                <w:highlight w:val="none"/>
              </w:rPr>
              <w:t>3</w:t>
            </w:r>
            <w:r>
              <w:rPr>
                <w:rFonts w:ascii="宋体" w:hAnsi="宋体" w:eastAsia="宋体" w:cs="宋体"/>
                <w:highlight w:val="none"/>
              </w:rPr>
              <w:t>.</w:t>
            </w:r>
            <w:r>
              <w:rPr>
                <w:rFonts w:hint="eastAsia" w:ascii="宋体" w:hAnsi="宋体" w:eastAsia="宋体" w:cs="宋体"/>
                <w:highlight w:val="none"/>
              </w:rPr>
              <w:t>当通过初步评审的有效投标人不足3家时，由评标委员会确定现有投标人是否具有竞争性，决定是否继续评标。</w:t>
            </w:r>
          </w:p>
          <w:p w14:paraId="026DE80E">
            <w:pPr>
              <w:spacing w:line="360" w:lineRule="exact"/>
              <w:ind w:firstLine="420" w:firstLineChars="200"/>
              <w:rPr>
                <w:rFonts w:hint="eastAsia" w:ascii="黑体" w:hAnsi="黑体" w:eastAsia="黑体"/>
                <w:highlight w:val="none"/>
              </w:rPr>
            </w:pPr>
            <w:r>
              <w:rPr>
                <w:rFonts w:hint="eastAsia" w:ascii="黑体" w:hAnsi="黑体" w:eastAsia="黑体"/>
                <w:highlight w:val="none"/>
              </w:rPr>
              <w:t>4. 监理大纲</w:t>
            </w:r>
            <w:r>
              <w:rPr>
                <w:rFonts w:ascii="黑体" w:hAnsi="黑体" w:eastAsia="黑体"/>
                <w:highlight w:val="none"/>
              </w:rPr>
              <w:t>采用“暗标”评审，如果某投标人的</w:t>
            </w:r>
            <w:r>
              <w:rPr>
                <w:rFonts w:hint="eastAsia" w:ascii="黑体" w:hAnsi="黑体" w:eastAsia="黑体"/>
                <w:highlight w:val="none"/>
              </w:rPr>
              <w:t>监理大纲</w:t>
            </w:r>
            <w:r>
              <w:rPr>
                <w:rFonts w:ascii="黑体" w:hAnsi="黑体" w:eastAsia="黑体"/>
                <w:highlight w:val="none"/>
              </w:rPr>
              <w:t>没有按照招标文件规定的格式、内容编制，且经评标委员会认定会暴露投标人身份的，评标委员会应一致将其</w:t>
            </w:r>
            <w:r>
              <w:rPr>
                <w:rFonts w:hint="eastAsia" w:ascii="黑体" w:hAnsi="黑体" w:eastAsia="黑体"/>
                <w:highlight w:val="none"/>
              </w:rPr>
              <w:t>监理大纲</w:t>
            </w:r>
            <w:r>
              <w:rPr>
                <w:rFonts w:ascii="黑体" w:hAnsi="黑体" w:eastAsia="黑体"/>
                <w:highlight w:val="none"/>
              </w:rPr>
              <w:t>评为 0 分</w:t>
            </w:r>
            <w:r>
              <w:rPr>
                <w:rFonts w:hint="eastAsia" w:ascii="黑体" w:hAnsi="黑体" w:eastAsia="黑体"/>
                <w:highlight w:val="none"/>
              </w:rPr>
              <w:t>。</w:t>
            </w:r>
          </w:p>
          <w:p w14:paraId="47F50E16">
            <w:pPr>
              <w:spacing w:line="360" w:lineRule="exact"/>
              <w:ind w:left="114" w:firstLine="210" w:firstLineChars="100"/>
              <w:jc w:val="both"/>
              <w:rPr>
                <w:rFonts w:hint="eastAsia" w:cs="宋体" w:asciiTheme="minorEastAsia" w:hAnsiTheme="minorEastAsia" w:eastAsiaTheme="minorEastAsia"/>
                <w:highlight w:val="none"/>
              </w:rPr>
            </w:pPr>
            <w:r>
              <w:rPr>
                <w:rFonts w:hint="eastAsia" w:ascii="宋体" w:hAnsi="宋体" w:eastAsia="宋体"/>
                <w:highlight w:val="none"/>
              </w:rPr>
              <w:t>5．</w:t>
            </w:r>
            <w:r>
              <w:rPr>
                <w:rFonts w:ascii="宋体" w:hAnsi="宋体" w:eastAsia="宋体"/>
                <w:highlight w:val="none"/>
              </w:rPr>
              <w:t>“</w:t>
            </w:r>
            <w:r>
              <w:rPr>
                <w:rFonts w:hint="eastAsia" w:ascii="宋体" w:hAnsi="宋体" w:eastAsia="宋体"/>
                <w:highlight w:val="none"/>
              </w:rPr>
              <w:t>评标办法前附表”用于进一步明确正文中的未尽事宜，若</w:t>
            </w:r>
            <w:r>
              <w:rPr>
                <w:rFonts w:ascii="宋体" w:hAnsi="宋体" w:eastAsia="宋体"/>
                <w:highlight w:val="none"/>
              </w:rPr>
              <w:t>与</w:t>
            </w:r>
            <w:r>
              <w:rPr>
                <w:rFonts w:hint="eastAsia" w:ascii="宋体" w:hAnsi="宋体" w:eastAsia="宋体"/>
                <w:highlight w:val="none"/>
              </w:rPr>
              <w:t>评标办法</w:t>
            </w:r>
            <w:r>
              <w:rPr>
                <w:rFonts w:ascii="宋体" w:hAnsi="宋体" w:eastAsia="宋体"/>
                <w:highlight w:val="none"/>
              </w:rPr>
              <w:t>正文不一致，以“</w:t>
            </w:r>
            <w:r>
              <w:rPr>
                <w:rFonts w:hint="eastAsia" w:ascii="宋体" w:hAnsi="宋体" w:eastAsia="宋体"/>
                <w:highlight w:val="none"/>
              </w:rPr>
              <w:t>评标办法前附表”内容为准。</w:t>
            </w:r>
          </w:p>
        </w:tc>
      </w:tr>
      <w:bookmarkEnd w:id="30"/>
    </w:tbl>
    <w:p w14:paraId="66E43A7B">
      <w:pPr>
        <w:rPr>
          <w:highlight w:val="none"/>
        </w:rPr>
      </w:pPr>
    </w:p>
    <w:bookmarkEnd w:id="31"/>
    <w:p w14:paraId="5DE63734">
      <w:pPr>
        <w:pStyle w:val="40"/>
        <w:keepNext/>
        <w:keepLines/>
        <w:pageBreakBefore w:val="0"/>
        <w:widowControl w:val="0"/>
        <w:shd w:val="clear" w:color="auto" w:fill="auto"/>
        <w:kinsoku/>
        <w:wordWrap/>
        <w:overflowPunct/>
        <w:topLinePunct w:val="0"/>
        <w:bidi w:val="0"/>
        <w:snapToGrid w:val="0"/>
        <w:spacing w:before="0" w:after="0" w:line="360" w:lineRule="auto"/>
        <w:jc w:val="left"/>
        <w:textAlignment w:val="auto"/>
        <w:rPr>
          <w:rFonts w:hint="eastAsia" w:ascii="黑体" w:hAnsi="黑体" w:eastAsia="黑体"/>
          <w:color w:val="auto"/>
          <w:sz w:val="24"/>
          <w:szCs w:val="24"/>
          <w:highlight w:val="none"/>
        </w:rPr>
      </w:pPr>
      <w:bookmarkStart w:id="35" w:name="_GoBack"/>
      <w:bookmarkEnd w:id="35"/>
      <w:r>
        <w:rPr>
          <w:rFonts w:hint="eastAsia" w:ascii="黑体" w:hAnsi="黑体" w:eastAsia="黑体"/>
          <w:color w:val="auto"/>
          <w:sz w:val="24"/>
          <w:szCs w:val="24"/>
          <w:highlight w:val="none"/>
        </w:rPr>
        <w:t>1</w:t>
      </w:r>
      <w:r>
        <w:rPr>
          <w:rFonts w:hint="eastAsia" w:ascii="黑体" w:hAnsi="黑体" w:eastAsia="黑体"/>
          <w:color w:val="auto"/>
          <w:sz w:val="24"/>
          <w:szCs w:val="24"/>
          <w:highlight w:val="none"/>
          <w:lang w:val="en-US" w:eastAsia="zh-CN"/>
        </w:rPr>
        <w:t>1</w:t>
      </w:r>
      <w:r>
        <w:rPr>
          <w:rFonts w:hint="eastAsia" w:ascii="黑体" w:hAnsi="黑体" w:eastAsia="黑体"/>
          <w:color w:val="auto"/>
          <w:sz w:val="24"/>
          <w:szCs w:val="24"/>
          <w:highlight w:val="none"/>
        </w:rPr>
        <w:t>.公开时间</w:t>
      </w:r>
    </w:p>
    <w:p w14:paraId="4094C3F5">
      <w:pPr>
        <w:pageBreakBefore w:val="0"/>
        <w:widowControl w:val="0"/>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招标文件关键内容信息公开时间至</w:t>
      </w:r>
      <w:r>
        <w:rPr>
          <w:rFonts w:hint="eastAsia" w:ascii="宋体" w:hAnsi="宋体" w:eastAsia="宋体" w:cs="宋体"/>
          <w:color w:val="auto"/>
          <w:szCs w:val="21"/>
          <w:highlight w:val="none"/>
          <w:lang w:val="en-US" w:eastAsia="zh-CN"/>
        </w:rPr>
        <w:t>投标截止前10天</w:t>
      </w:r>
      <w:r>
        <w:rPr>
          <w:rFonts w:hint="eastAsia" w:ascii="宋体" w:hAnsi="宋体" w:eastAsia="宋体" w:cs="宋体"/>
          <w:color w:val="auto"/>
          <w:szCs w:val="21"/>
          <w:highlight w:val="none"/>
        </w:rPr>
        <w:t>。</w:t>
      </w:r>
    </w:p>
    <w:p w14:paraId="3F17A5CC">
      <w:pPr>
        <w:pageBreakBefore w:val="0"/>
        <w:widowControl w:val="0"/>
        <w:kinsoku/>
        <w:wordWrap/>
        <w:overflowPunct/>
        <w:topLinePunct w:val="0"/>
        <w:bidi w:val="0"/>
        <w:snapToGrid w:val="0"/>
        <w:spacing w:line="360" w:lineRule="auto"/>
        <w:textAlignment w:val="auto"/>
        <w:rPr>
          <w:rFonts w:ascii="黑体" w:eastAsia="黑体"/>
          <w:sz w:val="24"/>
          <w:highlight w:val="none"/>
        </w:rPr>
      </w:pPr>
      <w:r>
        <w:rPr>
          <w:rFonts w:hint="eastAsia" w:ascii="黑体" w:eastAsia="黑体"/>
          <w:sz w:val="24"/>
          <w:highlight w:val="none"/>
          <w:lang w:val="en-US" w:eastAsia="zh-CN"/>
        </w:rPr>
        <w:t>12</w:t>
      </w:r>
      <w:r>
        <w:rPr>
          <w:rFonts w:hint="eastAsia" w:ascii="黑体" w:eastAsia="黑体"/>
          <w:sz w:val="24"/>
          <w:highlight w:val="none"/>
        </w:rPr>
        <w:t>．联系方式</w:t>
      </w:r>
    </w:p>
    <w:p w14:paraId="437E8329">
      <w:pPr>
        <w:pageBreakBefore w:val="0"/>
        <w:widowControl w:val="0"/>
        <w:kinsoku/>
        <w:wordWrap/>
        <w:overflowPunct/>
        <w:topLinePunct w:val="0"/>
        <w:bidi w:val="0"/>
        <w:adjustRightInd w:val="0"/>
        <w:snapToGrid w:val="0"/>
        <w:spacing w:line="360" w:lineRule="auto"/>
        <w:ind w:firstLine="420"/>
        <w:textAlignment w:val="auto"/>
        <w:rPr>
          <w:rFonts w:hint="eastAsia" w:ascii="黑体" w:hAnsi="黑体" w:eastAsia="黑体"/>
          <w:szCs w:val="21"/>
          <w:highlight w:val="none"/>
        </w:rPr>
      </w:pPr>
      <w:r>
        <w:rPr>
          <w:rFonts w:hint="eastAsia" w:ascii="黑体" w:hAnsi="黑体" w:eastAsia="黑体"/>
          <w:szCs w:val="21"/>
          <w:highlight w:val="none"/>
        </w:rPr>
        <w:t>招标人</w:t>
      </w:r>
      <w:r>
        <w:rPr>
          <w:rFonts w:hint="eastAsia" w:ascii="宋体" w:hAnsi="宋体"/>
          <w:szCs w:val="21"/>
          <w:highlight w:val="none"/>
        </w:rPr>
        <w:t>：</w:t>
      </w:r>
      <w:r>
        <w:rPr>
          <w:rFonts w:hint="eastAsia" w:ascii="黑体" w:hAnsi="黑体" w:eastAsia="黑体"/>
          <w:szCs w:val="21"/>
          <w:highlight w:val="none"/>
        </w:rPr>
        <w:t xml:space="preserve"> 长春市高等级公路建设管理中心</w:t>
      </w:r>
    </w:p>
    <w:p w14:paraId="451553B5">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 xml:space="preserve">地 </w:t>
      </w:r>
      <w:r>
        <w:rPr>
          <w:rFonts w:ascii="宋体" w:hAnsi="宋体"/>
          <w:szCs w:val="21"/>
          <w:highlight w:val="none"/>
        </w:rPr>
        <w:t xml:space="preserve"> </w:t>
      </w:r>
      <w:r>
        <w:rPr>
          <w:rFonts w:hint="eastAsia" w:ascii="宋体" w:hAnsi="宋体"/>
          <w:szCs w:val="21"/>
          <w:highlight w:val="none"/>
        </w:rPr>
        <w:t>址： 长春市二道区洋浦大街安龙泉立交桥交汇</w:t>
      </w:r>
    </w:p>
    <w:p w14:paraId="55A1252B">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联系人： 杨帆</w:t>
      </w:r>
    </w:p>
    <w:p w14:paraId="0C591EE4">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 xml:space="preserve">电 </w:t>
      </w:r>
      <w:r>
        <w:rPr>
          <w:rFonts w:ascii="宋体" w:hAnsi="宋体"/>
          <w:szCs w:val="21"/>
          <w:highlight w:val="none"/>
        </w:rPr>
        <w:t xml:space="preserve"> </w:t>
      </w:r>
      <w:r>
        <w:rPr>
          <w:rFonts w:hint="eastAsia" w:ascii="宋体" w:hAnsi="宋体"/>
          <w:szCs w:val="21"/>
          <w:highlight w:val="none"/>
        </w:rPr>
        <w:t>话： 0431-85504370</w:t>
      </w:r>
    </w:p>
    <w:p w14:paraId="08ACDF6E">
      <w:pPr>
        <w:pageBreakBefore w:val="0"/>
        <w:widowControl w:val="0"/>
        <w:kinsoku/>
        <w:wordWrap/>
        <w:overflowPunct/>
        <w:topLinePunct w:val="0"/>
        <w:bidi w:val="0"/>
        <w:adjustRightInd w:val="0"/>
        <w:snapToGrid w:val="0"/>
        <w:spacing w:line="360" w:lineRule="auto"/>
        <w:ind w:firstLine="420"/>
        <w:textAlignment w:val="auto"/>
        <w:rPr>
          <w:rFonts w:hint="eastAsia" w:ascii="黑体" w:hAnsi="黑体" w:eastAsia="黑体"/>
          <w:szCs w:val="21"/>
          <w:highlight w:val="none"/>
        </w:rPr>
      </w:pPr>
      <w:r>
        <w:rPr>
          <w:rFonts w:hint="eastAsia" w:ascii="黑体" w:hAnsi="黑体" w:eastAsia="黑体"/>
          <w:szCs w:val="21"/>
          <w:highlight w:val="none"/>
        </w:rPr>
        <w:t>招标代理机构：吉林省伟邦公路技术有限公司</w:t>
      </w:r>
    </w:p>
    <w:p w14:paraId="761ED999">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地  址：长春净月高新技术产业开发区擎天树街855号</w:t>
      </w:r>
    </w:p>
    <w:p w14:paraId="0D4C6EE6">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邮政编码：130117</w:t>
      </w:r>
    </w:p>
    <w:p w14:paraId="42045AA7">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联系人：赵鑫、刘世远</w:t>
      </w:r>
    </w:p>
    <w:p w14:paraId="29A33D22">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项目负责人：李金波</w:t>
      </w:r>
    </w:p>
    <w:p w14:paraId="07B72FD6">
      <w:pPr>
        <w:pageBreakBefore w:val="0"/>
        <w:widowControl w:val="0"/>
        <w:kinsoku/>
        <w:wordWrap/>
        <w:overflowPunct/>
        <w:topLinePunct w:val="0"/>
        <w:bidi w:val="0"/>
        <w:adjustRightInd w:val="0"/>
        <w:snapToGrid w:val="0"/>
        <w:spacing w:line="360" w:lineRule="auto"/>
        <w:ind w:firstLine="420"/>
        <w:textAlignment w:val="auto"/>
        <w:rPr>
          <w:rFonts w:hint="eastAsia" w:ascii="宋体" w:hAnsi="宋体"/>
          <w:szCs w:val="21"/>
          <w:highlight w:val="none"/>
        </w:rPr>
      </w:pPr>
      <w:r>
        <w:rPr>
          <w:rFonts w:hint="eastAsia" w:ascii="宋体" w:hAnsi="宋体"/>
          <w:szCs w:val="21"/>
          <w:highlight w:val="none"/>
        </w:rPr>
        <w:t>电  话：</w:t>
      </w:r>
      <w:r>
        <w:rPr>
          <w:rFonts w:ascii="宋体" w:hAnsi="宋体"/>
          <w:szCs w:val="21"/>
          <w:highlight w:val="none"/>
        </w:rPr>
        <w:t>0431</w:t>
      </w:r>
      <w:r>
        <w:rPr>
          <w:rFonts w:hint="eastAsia" w:ascii="宋体" w:hAnsi="宋体"/>
          <w:szCs w:val="21"/>
          <w:highlight w:val="none"/>
        </w:rPr>
        <w:t>-</w:t>
      </w:r>
      <w:r>
        <w:rPr>
          <w:rFonts w:ascii="宋体" w:hAnsi="宋体"/>
          <w:szCs w:val="21"/>
          <w:highlight w:val="none"/>
        </w:rPr>
        <w:t>88655555</w:t>
      </w:r>
    </w:p>
    <w:p w14:paraId="501E7522">
      <w:pPr>
        <w:pageBreakBefore w:val="0"/>
        <w:widowControl w:val="0"/>
        <w:kinsoku/>
        <w:wordWrap/>
        <w:overflowPunct/>
        <w:topLinePunct w:val="0"/>
        <w:bidi w:val="0"/>
        <w:adjustRightInd w:val="0"/>
        <w:snapToGrid w:val="0"/>
        <w:spacing w:line="360" w:lineRule="auto"/>
        <w:ind w:firstLine="420"/>
        <w:textAlignment w:val="auto"/>
        <w:rPr>
          <w:rFonts w:hint="eastAsia" w:ascii="黑体" w:hAnsi="黑体" w:eastAsia="黑体"/>
          <w:szCs w:val="21"/>
          <w:highlight w:val="none"/>
        </w:rPr>
      </w:pPr>
      <w:r>
        <w:rPr>
          <w:rFonts w:hint="eastAsia" w:ascii="黑体" w:hAnsi="黑体" w:eastAsia="黑体"/>
          <w:szCs w:val="21"/>
          <w:highlight w:val="none"/>
        </w:rPr>
        <w:t>监督部门：长春市交通运输局</w:t>
      </w:r>
    </w:p>
    <w:p w14:paraId="71A6E062">
      <w:pPr>
        <w:pageBreakBefore w:val="0"/>
        <w:widowControl w:val="0"/>
        <w:kinsoku/>
        <w:wordWrap/>
        <w:overflowPunct/>
        <w:topLinePunct w:val="0"/>
        <w:autoSpaceDE w:val="0"/>
        <w:autoSpaceDN w:val="0"/>
        <w:bidi w:val="0"/>
        <w:adjustRightInd w:val="0"/>
        <w:snapToGrid w:val="0"/>
        <w:spacing w:line="360" w:lineRule="auto"/>
        <w:ind w:left="210" w:leftChars="100" w:firstLine="210" w:firstLineChars="100"/>
        <w:textAlignment w:val="auto"/>
        <w:rPr>
          <w:rFonts w:hint="eastAsia" w:ascii="宋体" w:hAnsi="宋体"/>
          <w:szCs w:val="21"/>
          <w:highlight w:val="none"/>
        </w:rPr>
      </w:pPr>
      <w:r>
        <w:rPr>
          <w:rFonts w:hint="eastAsia" w:ascii="宋体" w:hAnsi="宋体"/>
          <w:szCs w:val="21"/>
          <w:highlight w:val="none"/>
        </w:rPr>
        <w:t>地　址：长春市民康路555号</w:t>
      </w:r>
    </w:p>
    <w:p w14:paraId="6964EB27">
      <w:pPr>
        <w:pageBreakBefore w:val="0"/>
        <w:widowControl w:val="0"/>
        <w:kinsoku/>
        <w:wordWrap/>
        <w:overflowPunct/>
        <w:topLinePunct w:val="0"/>
        <w:autoSpaceDE w:val="0"/>
        <w:autoSpaceDN w:val="0"/>
        <w:bidi w:val="0"/>
        <w:adjustRightInd w:val="0"/>
        <w:snapToGrid w:val="0"/>
        <w:spacing w:line="360" w:lineRule="auto"/>
        <w:ind w:left="210" w:leftChars="100" w:firstLine="210" w:firstLineChars="100"/>
        <w:textAlignment w:val="auto"/>
        <w:rPr>
          <w:rFonts w:hint="eastAsia" w:ascii="宋体" w:hAnsi="宋体"/>
          <w:szCs w:val="21"/>
          <w:highlight w:val="none"/>
        </w:rPr>
      </w:pPr>
      <w:r>
        <w:rPr>
          <w:rFonts w:hint="eastAsia" w:ascii="宋体" w:hAnsi="宋体"/>
          <w:szCs w:val="21"/>
          <w:highlight w:val="none"/>
        </w:rPr>
        <w:t>电  话：0431-88973671</w:t>
      </w:r>
    </w:p>
    <w:p w14:paraId="23C44D51">
      <w:pPr>
        <w:spacing w:line="272" w:lineRule="auto"/>
        <w:rPr>
          <w:highlight w:val="none"/>
        </w:rPr>
      </w:pPr>
    </w:p>
    <w:sectPr>
      <w:headerReference r:id="rId5" w:type="default"/>
      <w:footerReference r:id="rId6" w:type="default"/>
      <w:pgSz w:w="11906" w:h="16839"/>
      <w:pgMar w:top="1134" w:right="1134" w:bottom="1134" w:left="1134" w:header="0"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大标宋简体">
    <w:altName w:val="微软雅黑"/>
    <w:panose1 w:val="00000000000000000000"/>
    <w:charset w:val="86"/>
    <w:family w:val="script"/>
    <w:pitch w:val="default"/>
    <w:sig w:usb0="00000000" w:usb1="00000000" w:usb2="00000010"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default"/>
    <w:sig w:usb0="E00006FF" w:usb1="420024FF" w:usb2="02000000" w:usb3="00000000" w:csb0="2000019F" w:csb1="00000000"/>
  </w:font>
  <w:font w:name="Lucida Sans Unicode">
    <w:panose1 w:val="020B0602030504020204"/>
    <w:charset w:val="00"/>
    <w:family w:val="swiss"/>
    <w:pitch w:val="default"/>
    <w:sig w:usb0="80001AFF" w:usb1="0000396B" w:usb2="00000000" w:usb3="00000000" w:csb0="200000BF" w:csb1="D7F70000"/>
  </w:font>
  <w:font w:name="楷体">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4770506"/>
      <w:docPartObj>
        <w:docPartGallery w:val="autotext"/>
      </w:docPartObj>
    </w:sdtPr>
    <w:sdtContent>
      <w:p w14:paraId="0DD7DB0A">
        <w:pPr>
          <w:pStyle w:val="9"/>
          <w:jc w:val="center"/>
        </w:pPr>
        <w:r>
          <w:fldChar w:fldCharType="begin"/>
        </w:r>
        <w:r>
          <w:instrText xml:space="preserve">PAGE   \* MERGEFORMAT</w:instrText>
        </w:r>
        <w:r>
          <w:fldChar w:fldCharType="separate"/>
        </w:r>
        <w:r>
          <w:rPr>
            <w:lang w:val="zh-CN"/>
          </w:rPr>
          <w:t>11</w:t>
        </w:r>
        <w:r>
          <w:fldChar w:fldCharType="end"/>
        </w:r>
      </w:p>
    </w:sdtContent>
  </w:sdt>
  <w:p w14:paraId="2CFAD4FE">
    <w:pPr>
      <w:spacing w:line="186" w:lineRule="auto"/>
      <w:ind w:left="4739"/>
      <w:rPr>
        <w:rFonts w:ascii="Calibri" w:hAnsi="Calibri" w:eastAsia="Calibri" w:cs="Calibri"/>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87339943"/>
      <w:docPartObj>
        <w:docPartGallery w:val="autotext"/>
      </w:docPartObj>
    </w:sdtPr>
    <w:sdtContent>
      <w:p w14:paraId="2ACE71C5">
        <w:pPr>
          <w:pStyle w:val="9"/>
          <w:jc w:val="center"/>
        </w:pPr>
        <w:r>
          <w:fldChar w:fldCharType="begin"/>
        </w:r>
        <w:r>
          <w:instrText xml:space="preserve">PAGE   \* MERGEFORMAT</w:instrText>
        </w:r>
        <w:r>
          <w:fldChar w:fldCharType="separate"/>
        </w:r>
        <w:r>
          <w:rPr>
            <w:lang w:val="zh-CN"/>
          </w:rPr>
          <w:t>87</w:t>
        </w:r>
        <w:r>
          <w:fldChar w:fldCharType="end"/>
        </w:r>
      </w:p>
    </w:sdtContent>
  </w:sdt>
  <w:p w14:paraId="4CEF52B4">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DA45C">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318B9">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isplayBackgroundShape w:val="1"/>
  <w:bordersDoNotSurroundHeader w:val="1"/>
  <w:bordersDoNotSurroundFooter w:val="1"/>
  <w:hideSpellingErrors/>
  <w:documentProtection w:enforcement="0"/>
  <w:defaultTabStop w:val="420"/>
  <w:characterSpacingControl w:val="doNotCompress"/>
  <w:compat>
    <w:spaceForUL/>
    <w:ulTrailSpace/>
    <w:useFELayout/>
    <w:compatSetting w:name="compatibilityMode" w:uri="http://schemas.microsoft.com/office/word" w:val="14"/>
  </w:compat>
  <w:docVars>
    <w:docVar w:name="commondata" w:val="eyJoZGlkIjoiZWU0ZDIyN2VkNTk5MGU3MDllYTcyZjQwMmE1ZGRiMTAifQ=="/>
  </w:docVars>
  <w:rsids>
    <w:rsidRoot w:val="005155BF"/>
    <w:rsid w:val="00000A96"/>
    <w:rsid w:val="00002D12"/>
    <w:rsid w:val="000030E7"/>
    <w:rsid w:val="000062F2"/>
    <w:rsid w:val="0000639F"/>
    <w:rsid w:val="00007ED8"/>
    <w:rsid w:val="00011054"/>
    <w:rsid w:val="00011E3F"/>
    <w:rsid w:val="00013483"/>
    <w:rsid w:val="00013890"/>
    <w:rsid w:val="00015330"/>
    <w:rsid w:val="00015657"/>
    <w:rsid w:val="00021656"/>
    <w:rsid w:val="0002484C"/>
    <w:rsid w:val="00024A82"/>
    <w:rsid w:val="00026E34"/>
    <w:rsid w:val="00027ED0"/>
    <w:rsid w:val="00030211"/>
    <w:rsid w:val="00031982"/>
    <w:rsid w:val="000325A4"/>
    <w:rsid w:val="00033C32"/>
    <w:rsid w:val="00033E27"/>
    <w:rsid w:val="00034EF4"/>
    <w:rsid w:val="00035361"/>
    <w:rsid w:val="00036073"/>
    <w:rsid w:val="00036B21"/>
    <w:rsid w:val="00041FD2"/>
    <w:rsid w:val="0004205E"/>
    <w:rsid w:val="00042B27"/>
    <w:rsid w:val="00045A2A"/>
    <w:rsid w:val="00045EE4"/>
    <w:rsid w:val="00046BAA"/>
    <w:rsid w:val="00047C3F"/>
    <w:rsid w:val="000531E4"/>
    <w:rsid w:val="00055037"/>
    <w:rsid w:val="00055BC1"/>
    <w:rsid w:val="00056E53"/>
    <w:rsid w:val="00057251"/>
    <w:rsid w:val="000579E1"/>
    <w:rsid w:val="00057B48"/>
    <w:rsid w:val="00060DAE"/>
    <w:rsid w:val="00066A6B"/>
    <w:rsid w:val="000722CB"/>
    <w:rsid w:val="000722F2"/>
    <w:rsid w:val="000741B3"/>
    <w:rsid w:val="000755F6"/>
    <w:rsid w:val="00076EF9"/>
    <w:rsid w:val="00080469"/>
    <w:rsid w:val="00080B56"/>
    <w:rsid w:val="00080F98"/>
    <w:rsid w:val="00081AEF"/>
    <w:rsid w:val="000829BE"/>
    <w:rsid w:val="00083F35"/>
    <w:rsid w:val="00085EFE"/>
    <w:rsid w:val="00086164"/>
    <w:rsid w:val="000864EA"/>
    <w:rsid w:val="000867F2"/>
    <w:rsid w:val="00087D62"/>
    <w:rsid w:val="000900B8"/>
    <w:rsid w:val="00093506"/>
    <w:rsid w:val="000960B5"/>
    <w:rsid w:val="00096968"/>
    <w:rsid w:val="000973BE"/>
    <w:rsid w:val="000A0AA2"/>
    <w:rsid w:val="000A1AB3"/>
    <w:rsid w:val="000A3DE8"/>
    <w:rsid w:val="000A47BE"/>
    <w:rsid w:val="000A6195"/>
    <w:rsid w:val="000A6671"/>
    <w:rsid w:val="000B2603"/>
    <w:rsid w:val="000B2CAC"/>
    <w:rsid w:val="000B4ABD"/>
    <w:rsid w:val="000B4E22"/>
    <w:rsid w:val="000B5518"/>
    <w:rsid w:val="000B5A36"/>
    <w:rsid w:val="000C015B"/>
    <w:rsid w:val="000C030D"/>
    <w:rsid w:val="000C07CE"/>
    <w:rsid w:val="000C0B51"/>
    <w:rsid w:val="000C2155"/>
    <w:rsid w:val="000C3629"/>
    <w:rsid w:val="000C55C9"/>
    <w:rsid w:val="000D02BF"/>
    <w:rsid w:val="000D4982"/>
    <w:rsid w:val="000D4D91"/>
    <w:rsid w:val="000D5165"/>
    <w:rsid w:val="000D7F25"/>
    <w:rsid w:val="000E2027"/>
    <w:rsid w:val="000E28D9"/>
    <w:rsid w:val="000E336F"/>
    <w:rsid w:val="000E4E11"/>
    <w:rsid w:val="000E5161"/>
    <w:rsid w:val="001018AE"/>
    <w:rsid w:val="001046F6"/>
    <w:rsid w:val="0010730B"/>
    <w:rsid w:val="00110BB8"/>
    <w:rsid w:val="00111A8C"/>
    <w:rsid w:val="00114053"/>
    <w:rsid w:val="001155A3"/>
    <w:rsid w:val="00115D25"/>
    <w:rsid w:val="00116112"/>
    <w:rsid w:val="001172C3"/>
    <w:rsid w:val="00120AD4"/>
    <w:rsid w:val="00121091"/>
    <w:rsid w:val="001222DE"/>
    <w:rsid w:val="00122544"/>
    <w:rsid w:val="0012606D"/>
    <w:rsid w:val="001262A8"/>
    <w:rsid w:val="00133499"/>
    <w:rsid w:val="00135FAD"/>
    <w:rsid w:val="001361D4"/>
    <w:rsid w:val="001404DD"/>
    <w:rsid w:val="0014159D"/>
    <w:rsid w:val="00142E60"/>
    <w:rsid w:val="0014553F"/>
    <w:rsid w:val="001459F9"/>
    <w:rsid w:val="001461F5"/>
    <w:rsid w:val="00150688"/>
    <w:rsid w:val="00150984"/>
    <w:rsid w:val="00151C19"/>
    <w:rsid w:val="00151C50"/>
    <w:rsid w:val="00153C6D"/>
    <w:rsid w:val="00157953"/>
    <w:rsid w:val="00157BDE"/>
    <w:rsid w:val="00160964"/>
    <w:rsid w:val="00163E5C"/>
    <w:rsid w:val="00170B7B"/>
    <w:rsid w:val="001737C4"/>
    <w:rsid w:val="0017695F"/>
    <w:rsid w:val="001801F0"/>
    <w:rsid w:val="001835FB"/>
    <w:rsid w:val="00186A9A"/>
    <w:rsid w:val="00192C26"/>
    <w:rsid w:val="00195A2A"/>
    <w:rsid w:val="00196928"/>
    <w:rsid w:val="001A0DBC"/>
    <w:rsid w:val="001A2C6D"/>
    <w:rsid w:val="001A408E"/>
    <w:rsid w:val="001B0A0F"/>
    <w:rsid w:val="001B0A24"/>
    <w:rsid w:val="001B1303"/>
    <w:rsid w:val="001B5D4A"/>
    <w:rsid w:val="001B6077"/>
    <w:rsid w:val="001B7AB1"/>
    <w:rsid w:val="001C42D0"/>
    <w:rsid w:val="001C5AF1"/>
    <w:rsid w:val="001C6A9D"/>
    <w:rsid w:val="001C7108"/>
    <w:rsid w:val="001D1F9C"/>
    <w:rsid w:val="001D5D7A"/>
    <w:rsid w:val="001E0C4E"/>
    <w:rsid w:val="001E1330"/>
    <w:rsid w:val="001E1706"/>
    <w:rsid w:val="001E59AB"/>
    <w:rsid w:val="001E69F6"/>
    <w:rsid w:val="001F2027"/>
    <w:rsid w:val="001F452E"/>
    <w:rsid w:val="001F4877"/>
    <w:rsid w:val="001F58E1"/>
    <w:rsid w:val="001F69E0"/>
    <w:rsid w:val="0020179A"/>
    <w:rsid w:val="002017BE"/>
    <w:rsid w:val="00201AAC"/>
    <w:rsid w:val="002056E2"/>
    <w:rsid w:val="002068AC"/>
    <w:rsid w:val="00210356"/>
    <w:rsid w:val="0021139F"/>
    <w:rsid w:val="00211752"/>
    <w:rsid w:val="00212D83"/>
    <w:rsid w:val="0021315C"/>
    <w:rsid w:val="00213899"/>
    <w:rsid w:val="00215118"/>
    <w:rsid w:val="00220A78"/>
    <w:rsid w:val="00220B86"/>
    <w:rsid w:val="0022230E"/>
    <w:rsid w:val="00222F29"/>
    <w:rsid w:val="00223BD4"/>
    <w:rsid w:val="00226045"/>
    <w:rsid w:val="00226A8C"/>
    <w:rsid w:val="00226F95"/>
    <w:rsid w:val="00227E27"/>
    <w:rsid w:val="002312CF"/>
    <w:rsid w:val="0023134C"/>
    <w:rsid w:val="002326C2"/>
    <w:rsid w:val="00232D11"/>
    <w:rsid w:val="002338E4"/>
    <w:rsid w:val="0023704E"/>
    <w:rsid w:val="00241513"/>
    <w:rsid w:val="00241936"/>
    <w:rsid w:val="002428E4"/>
    <w:rsid w:val="002437CA"/>
    <w:rsid w:val="00244117"/>
    <w:rsid w:val="0025031E"/>
    <w:rsid w:val="00254590"/>
    <w:rsid w:val="00255D1A"/>
    <w:rsid w:val="00256623"/>
    <w:rsid w:val="00256EA5"/>
    <w:rsid w:val="00261142"/>
    <w:rsid w:val="0026180F"/>
    <w:rsid w:val="00262DEF"/>
    <w:rsid w:val="002632D5"/>
    <w:rsid w:val="00264A0F"/>
    <w:rsid w:val="00266F68"/>
    <w:rsid w:val="002677EA"/>
    <w:rsid w:val="00272BF6"/>
    <w:rsid w:val="00272CA8"/>
    <w:rsid w:val="00273A36"/>
    <w:rsid w:val="00273B11"/>
    <w:rsid w:val="00274837"/>
    <w:rsid w:val="002806B6"/>
    <w:rsid w:val="002838E0"/>
    <w:rsid w:val="00284205"/>
    <w:rsid w:val="002850AB"/>
    <w:rsid w:val="00285BF5"/>
    <w:rsid w:val="00293932"/>
    <w:rsid w:val="002942B0"/>
    <w:rsid w:val="002957F8"/>
    <w:rsid w:val="002A1A31"/>
    <w:rsid w:val="002A3A66"/>
    <w:rsid w:val="002A452B"/>
    <w:rsid w:val="002A498C"/>
    <w:rsid w:val="002A62D3"/>
    <w:rsid w:val="002B6216"/>
    <w:rsid w:val="002B6931"/>
    <w:rsid w:val="002B6EF2"/>
    <w:rsid w:val="002B7DE1"/>
    <w:rsid w:val="002C202E"/>
    <w:rsid w:val="002C263C"/>
    <w:rsid w:val="002C3BEB"/>
    <w:rsid w:val="002C65EA"/>
    <w:rsid w:val="002C78CC"/>
    <w:rsid w:val="002D51CE"/>
    <w:rsid w:val="002D7B94"/>
    <w:rsid w:val="002E1A1D"/>
    <w:rsid w:val="002E5529"/>
    <w:rsid w:val="002F1DF0"/>
    <w:rsid w:val="002F58C4"/>
    <w:rsid w:val="002F6779"/>
    <w:rsid w:val="002F79B2"/>
    <w:rsid w:val="00300F57"/>
    <w:rsid w:val="00301881"/>
    <w:rsid w:val="00301E11"/>
    <w:rsid w:val="00302B8A"/>
    <w:rsid w:val="00303928"/>
    <w:rsid w:val="00304117"/>
    <w:rsid w:val="003043F6"/>
    <w:rsid w:val="0030561E"/>
    <w:rsid w:val="003178B8"/>
    <w:rsid w:val="0032016C"/>
    <w:rsid w:val="003202F1"/>
    <w:rsid w:val="00324140"/>
    <w:rsid w:val="003310BD"/>
    <w:rsid w:val="00333B5A"/>
    <w:rsid w:val="00336CDF"/>
    <w:rsid w:val="00337EA5"/>
    <w:rsid w:val="00344D44"/>
    <w:rsid w:val="0034604F"/>
    <w:rsid w:val="00353ECD"/>
    <w:rsid w:val="00354C00"/>
    <w:rsid w:val="00354FAA"/>
    <w:rsid w:val="0035514B"/>
    <w:rsid w:val="003577FC"/>
    <w:rsid w:val="00357BD5"/>
    <w:rsid w:val="00357F93"/>
    <w:rsid w:val="0036028F"/>
    <w:rsid w:val="00361672"/>
    <w:rsid w:val="0036186C"/>
    <w:rsid w:val="00364322"/>
    <w:rsid w:val="00370599"/>
    <w:rsid w:val="003709C4"/>
    <w:rsid w:val="0037211A"/>
    <w:rsid w:val="003819E2"/>
    <w:rsid w:val="00381AF2"/>
    <w:rsid w:val="0038248E"/>
    <w:rsid w:val="003828BF"/>
    <w:rsid w:val="00384FC7"/>
    <w:rsid w:val="00387D16"/>
    <w:rsid w:val="00390229"/>
    <w:rsid w:val="00390CB9"/>
    <w:rsid w:val="00394151"/>
    <w:rsid w:val="00397E0C"/>
    <w:rsid w:val="003A3CE8"/>
    <w:rsid w:val="003A6EA2"/>
    <w:rsid w:val="003A7C55"/>
    <w:rsid w:val="003B1BEE"/>
    <w:rsid w:val="003B2EA0"/>
    <w:rsid w:val="003B6419"/>
    <w:rsid w:val="003B7CBB"/>
    <w:rsid w:val="003C025D"/>
    <w:rsid w:val="003C07AA"/>
    <w:rsid w:val="003C0C18"/>
    <w:rsid w:val="003C1B68"/>
    <w:rsid w:val="003C437A"/>
    <w:rsid w:val="003C4DDA"/>
    <w:rsid w:val="003C5234"/>
    <w:rsid w:val="003C633E"/>
    <w:rsid w:val="003D1839"/>
    <w:rsid w:val="003D7364"/>
    <w:rsid w:val="003E0267"/>
    <w:rsid w:val="003E042A"/>
    <w:rsid w:val="003E2ED9"/>
    <w:rsid w:val="003E2F95"/>
    <w:rsid w:val="003E4FF6"/>
    <w:rsid w:val="003E560E"/>
    <w:rsid w:val="003E6116"/>
    <w:rsid w:val="003E6BAC"/>
    <w:rsid w:val="003F2E7C"/>
    <w:rsid w:val="003F36F5"/>
    <w:rsid w:val="003F5309"/>
    <w:rsid w:val="003F5F3B"/>
    <w:rsid w:val="003F75B1"/>
    <w:rsid w:val="0040166A"/>
    <w:rsid w:val="00403025"/>
    <w:rsid w:val="00403EA8"/>
    <w:rsid w:val="00404459"/>
    <w:rsid w:val="00406DB6"/>
    <w:rsid w:val="00407E2B"/>
    <w:rsid w:val="004116CA"/>
    <w:rsid w:val="0041343D"/>
    <w:rsid w:val="0041416D"/>
    <w:rsid w:val="00415400"/>
    <w:rsid w:val="00415591"/>
    <w:rsid w:val="0042453B"/>
    <w:rsid w:val="0042557C"/>
    <w:rsid w:val="004261E9"/>
    <w:rsid w:val="00432D8C"/>
    <w:rsid w:val="004373E4"/>
    <w:rsid w:val="00440B5F"/>
    <w:rsid w:val="00441A80"/>
    <w:rsid w:val="00444C04"/>
    <w:rsid w:val="0045082C"/>
    <w:rsid w:val="004534D0"/>
    <w:rsid w:val="00453984"/>
    <w:rsid w:val="00453F04"/>
    <w:rsid w:val="004558BF"/>
    <w:rsid w:val="004562CB"/>
    <w:rsid w:val="0046094E"/>
    <w:rsid w:val="00464378"/>
    <w:rsid w:val="0046485A"/>
    <w:rsid w:val="00465A43"/>
    <w:rsid w:val="004664DF"/>
    <w:rsid w:val="00466F5B"/>
    <w:rsid w:val="004703FF"/>
    <w:rsid w:val="00471285"/>
    <w:rsid w:val="00473C5C"/>
    <w:rsid w:val="00474537"/>
    <w:rsid w:val="004773B1"/>
    <w:rsid w:val="00477FDA"/>
    <w:rsid w:val="00481F2C"/>
    <w:rsid w:val="004842B4"/>
    <w:rsid w:val="00484A34"/>
    <w:rsid w:val="0048578A"/>
    <w:rsid w:val="00486758"/>
    <w:rsid w:val="00487462"/>
    <w:rsid w:val="00490167"/>
    <w:rsid w:val="00490206"/>
    <w:rsid w:val="00496117"/>
    <w:rsid w:val="004A340B"/>
    <w:rsid w:val="004A38D9"/>
    <w:rsid w:val="004A575E"/>
    <w:rsid w:val="004A69D0"/>
    <w:rsid w:val="004B04C8"/>
    <w:rsid w:val="004B2A32"/>
    <w:rsid w:val="004B2CBC"/>
    <w:rsid w:val="004B6E8B"/>
    <w:rsid w:val="004C0129"/>
    <w:rsid w:val="004C2FD8"/>
    <w:rsid w:val="004C342B"/>
    <w:rsid w:val="004C3ACA"/>
    <w:rsid w:val="004C413B"/>
    <w:rsid w:val="004C4711"/>
    <w:rsid w:val="004C63E9"/>
    <w:rsid w:val="004C6FD2"/>
    <w:rsid w:val="004C7A67"/>
    <w:rsid w:val="004D4953"/>
    <w:rsid w:val="004D63B7"/>
    <w:rsid w:val="004D7941"/>
    <w:rsid w:val="004E0A9F"/>
    <w:rsid w:val="004E1264"/>
    <w:rsid w:val="004E2EFA"/>
    <w:rsid w:val="004E35C0"/>
    <w:rsid w:val="004E388B"/>
    <w:rsid w:val="004E535F"/>
    <w:rsid w:val="004E5D06"/>
    <w:rsid w:val="004E5DFB"/>
    <w:rsid w:val="004E6894"/>
    <w:rsid w:val="004E77BB"/>
    <w:rsid w:val="004E7893"/>
    <w:rsid w:val="004F054B"/>
    <w:rsid w:val="004F07A2"/>
    <w:rsid w:val="004F0A26"/>
    <w:rsid w:val="004F1298"/>
    <w:rsid w:val="004F190C"/>
    <w:rsid w:val="004F3647"/>
    <w:rsid w:val="004F6AF4"/>
    <w:rsid w:val="004F72DC"/>
    <w:rsid w:val="004F7A7B"/>
    <w:rsid w:val="0050359A"/>
    <w:rsid w:val="00503625"/>
    <w:rsid w:val="005038CC"/>
    <w:rsid w:val="00507232"/>
    <w:rsid w:val="0050794B"/>
    <w:rsid w:val="00510949"/>
    <w:rsid w:val="00510EC3"/>
    <w:rsid w:val="00512993"/>
    <w:rsid w:val="00513199"/>
    <w:rsid w:val="005155BF"/>
    <w:rsid w:val="00515641"/>
    <w:rsid w:val="00524293"/>
    <w:rsid w:val="00525886"/>
    <w:rsid w:val="00525C38"/>
    <w:rsid w:val="0052780B"/>
    <w:rsid w:val="005300CC"/>
    <w:rsid w:val="005328C2"/>
    <w:rsid w:val="00534579"/>
    <w:rsid w:val="00534ADC"/>
    <w:rsid w:val="00537352"/>
    <w:rsid w:val="005408D0"/>
    <w:rsid w:val="005433CA"/>
    <w:rsid w:val="00544992"/>
    <w:rsid w:val="00547AA2"/>
    <w:rsid w:val="0055503C"/>
    <w:rsid w:val="00556642"/>
    <w:rsid w:val="0055676F"/>
    <w:rsid w:val="00556901"/>
    <w:rsid w:val="00562208"/>
    <w:rsid w:val="00562BB7"/>
    <w:rsid w:val="005638E2"/>
    <w:rsid w:val="00564894"/>
    <w:rsid w:val="00566545"/>
    <w:rsid w:val="0056679E"/>
    <w:rsid w:val="00567685"/>
    <w:rsid w:val="005677CC"/>
    <w:rsid w:val="00570AD2"/>
    <w:rsid w:val="00570CA0"/>
    <w:rsid w:val="00571914"/>
    <w:rsid w:val="0057292C"/>
    <w:rsid w:val="005734D3"/>
    <w:rsid w:val="00573B4B"/>
    <w:rsid w:val="00574173"/>
    <w:rsid w:val="00577112"/>
    <w:rsid w:val="00577B54"/>
    <w:rsid w:val="00580257"/>
    <w:rsid w:val="005826A3"/>
    <w:rsid w:val="00584B90"/>
    <w:rsid w:val="00585F81"/>
    <w:rsid w:val="00590D02"/>
    <w:rsid w:val="0059325C"/>
    <w:rsid w:val="00595A4F"/>
    <w:rsid w:val="00596C9A"/>
    <w:rsid w:val="005A0AB7"/>
    <w:rsid w:val="005A1066"/>
    <w:rsid w:val="005A4F9C"/>
    <w:rsid w:val="005A625F"/>
    <w:rsid w:val="005B13C6"/>
    <w:rsid w:val="005B1FFC"/>
    <w:rsid w:val="005B25C8"/>
    <w:rsid w:val="005B4745"/>
    <w:rsid w:val="005C01B4"/>
    <w:rsid w:val="005C2E26"/>
    <w:rsid w:val="005C2F8D"/>
    <w:rsid w:val="005C3C66"/>
    <w:rsid w:val="005C5746"/>
    <w:rsid w:val="005C5F22"/>
    <w:rsid w:val="005C610D"/>
    <w:rsid w:val="005C7FE9"/>
    <w:rsid w:val="005D295E"/>
    <w:rsid w:val="005D4FC0"/>
    <w:rsid w:val="005D5056"/>
    <w:rsid w:val="005D600C"/>
    <w:rsid w:val="005D6F42"/>
    <w:rsid w:val="005E5433"/>
    <w:rsid w:val="005E6C73"/>
    <w:rsid w:val="005E75D6"/>
    <w:rsid w:val="005F1774"/>
    <w:rsid w:val="005F4DF0"/>
    <w:rsid w:val="005F5302"/>
    <w:rsid w:val="005F61A5"/>
    <w:rsid w:val="005F647F"/>
    <w:rsid w:val="0060034F"/>
    <w:rsid w:val="0060094D"/>
    <w:rsid w:val="006013F6"/>
    <w:rsid w:val="00605FFD"/>
    <w:rsid w:val="006109D0"/>
    <w:rsid w:val="00611D49"/>
    <w:rsid w:val="006161C8"/>
    <w:rsid w:val="00621AB2"/>
    <w:rsid w:val="00624A4D"/>
    <w:rsid w:val="006262F5"/>
    <w:rsid w:val="0062641F"/>
    <w:rsid w:val="0062716F"/>
    <w:rsid w:val="00627C38"/>
    <w:rsid w:val="00630EFB"/>
    <w:rsid w:val="006320D4"/>
    <w:rsid w:val="0063229F"/>
    <w:rsid w:val="00634162"/>
    <w:rsid w:val="006366D8"/>
    <w:rsid w:val="00651884"/>
    <w:rsid w:val="00652B69"/>
    <w:rsid w:val="006553F6"/>
    <w:rsid w:val="00656717"/>
    <w:rsid w:val="006617AA"/>
    <w:rsid w:val="0066336B"/>
    <w:rsid w:val="00664955"/>
    <w:rsid w:val="00664A62"/>
    <w:rsid w:val="006651C8"/>
    <w:rsid w:val="006654C9"/>
    <w:rsid w:val="00671E84"/>
    <w:rsid w:val="0067201C"/>
    <w:rsid w:val="00675CB8"/>
    <w:rsid w:val="0067682A"/>
    <w:rsid w:val="00683ED9"/>
    <w:rsid w:val="0068447C"/>
    <w:rsid w:val="006852B5"/>
    <w:rsid w:val="006869C9"/>
    <w:rsid w:val="0068780F"/>
    <w:rsid w:val="006900CF"/>
    <w:rsid w:val="00691372"/>
    <w:rsid w:val="00692649"/>
    <w:rsid w:val="0069546A"/>
    <w:rsid w:val="00695F6A"/>
    <w:rsid w:val="00696AC1"/>
    <w:rsid w:val="006A0FB2"/>
    <w:rsid w:val="006A17B0"/>
    <w:rsid w:val="006A25B3"/>
    <w:rsid w:val="006A5284"/>
    <w:rsid w:val="006A6B5D"/>
    <w:rsid w:val="006A6D3C"/>
    <w:rsid w:val="006B3478"/>
    <w:rsid w:val="006B59A4"/>
    <w:rsid w:val="006B6CB7"/>
    <w:rsid w:val="006B7392"/>
    <w:rsid w:val="006C3105"/>
    <w:rsid w:val="006C3C5C"/>
    <w:rsid w:val="006C5651"/>
    <w:rsid w:val="006D1C86"/>
    <w:rsid w:val="006D1D08"/>
    <w:rsid w:val="006D22DF"/>
    <w:rsid w:val="006D2813"/>
    <w:rsid w:val="006D3F44"/>
    <w:rsid w:val="006D4837"/>
    <w:rsid w:val="006D6B5A"/>
    <w:rsid w:val="006D78C2"/>
    <w:rsid w:val="006E0479"/>
    <w:rsid w:val="006E0D5F"/>
    <w:rsid w:val="006E27AE"/>
    <w:rsid w:val="006E2963"/>
    <w:rsid w:val="006E3C00"/>
    <w:rsid w:val="006E52AA"/>
    <w:rsid w:val="006E59E6"/>
    <w:rsid w:val="006E5EFE"/>
    <w:rsid w:val="006E6768"/>
    <w:rsid w:val="006E7714"/>
    <w:rsid w:val="006F456E"/>
    <w:rsid w:val="006F5C89"/>
    <w:rsid w:val="006F684C"/>
    <w:rsid w:val="00700D73"/>
    <w:rsid w:val="00706B6E"/>
    <w:rsid w:val="0071034F"/>
    <w:rsid w:val="0071294C"/>
    <w:rsid w:val="00713412"/>
    <w:rsid w:val="007138DB"/>
    <w:rsid w:val="00715571"/>
    <w:rsid w:val="00715C7E"/>
    <w:rsid w:val="007171C9"/>
    <w:rsid w:val="007221C3"/>
    <w:rsid w:val="00723D61"/>
    <w:rsid w:val="00724597"/>
    <w:rsid w:val="0072719B"/>
    <w:rsid w:val="00727CD2"/>
    <w:rsid w:val="00727D91"/>
    <w:rsid w:val="00730671"/>
    <w:rsid w:val="00730F99"/>
    <w:rsid w:val="00731306"/>
    <w:rsid w:val="00733860"/>
    <w:rsid w:val="0073663C"/>
    <w:rsid w:val="007424A5"/>
    <w:rsid w:val="00742A51"/>
    <w:rsid w:val="00742FC7"/>
    <w:rsid w:val="00743253"/>
    <w:rsid w:val="0074466A"/>
    <w:rsid w:val="00751D52"/>
    <w:rsid w:val="00753215"/>
    <w:rsid w:val="00753440"/>
    <w:rsid w:val="00755539"/>
    <w:rsid w:val="00755B43"/>
    <w:rsid w:val="00756119"/>
    <w:rsid w:val="0075725B"/>
    <w:rsid w:val="00761821"/>
    <w:rsid w:val="00764021"/>
    <w:rsid w:val="007652BD"/>
    <w:rsid w:val="007662C2"/>
    <w:rsid w:val="0076723D"/>
    <w:rsid w:val="007707F9"/>
    <w:rsid w:val="00771861"/>
    <w:rsid w:val="007737A2"/>
    <w:rsid w:val="00774686"/>
    <w:rsid w:val="00776EEA"/>
    <w:rsid w:val="007808EB"/>
    <w:rsid w:val="007828E8"/>
    <w:rsid w:val="00782ED1"/>
    <w:rsid w:val="00786701"/>
    <w:rsid w:val="0078723B"/>
    <w:rsid w:val="00787AA4"/>
    <w:rsid w:val="007941BB"/>
    <w:rsid w:val="00794585"/>
    <w:rsid w:val="007A076B"/>
    <w:rsid w:val="007A11DF"/>
    <w:rsid w:val="007A3237"/>
    <w:rsid w:val="007A402E"/>
    <w:rsid w:val="007A44DF"/>
    <w:rsid w:val="007A5431"/>
    <w:rsid w:val="007B2A7F"/>
    <w:rsid w:val="007B2EAE"/>
    <w:rsid w:val="007B4397"/>
    <w:rsid w:val="007B5BB3"/>
    <w:rsid w:val="007B60AF"/>
    <w:rsid w:val="007B67F2"/>
    <w:rsid w:val="007C0B7D"/>
    <w:rsid w:val="007C10AF"/>
    <w:rsid w:val="007C2A31"/>
    <w:rsid w:val="007C3E18"/>
    <w:rsid w:val="007C7C19"/>
    <w:rsid w:val="007C7F09"/>
    <w:rsid w:val="007D05CF"/>
    <w:rsid w:val="007D0A18"/>
    <w:rsid w:val="007D136F"/>
    <w:rsid w:val="007D1F5C"/>
    <w:rsid w:val="007D4110"/>
    <w:rsid w:val="007D5B20"/>
    <w:rsid w:val="007E1649"/>
    <w:rsid w:val="007E176E"/>
    <w:rsid w:val="007E1EA3"/>
    <w:rsid w:val="007E32F7"/>
    <w:rsid w:val="007E3AA8"/>
    <w:rsid w:val="007F07A1"/>
    <w:rsid w:val="007F0DEE"/>
    <w:rsid w:val="007F1B8A"/>
    <w:rsid w:val="007F1F01"/>
    <w:rsid w:val="007F2F32"/>
    <w:rsid w:val="007F38EE"/>
    <w:rsid w:val="007F7D6C"/>
    <w:rsid w:val="008007FF"/>
    <w:rsid w:val="00801516"/>
    <w:rsid w:val="00802A74"/>
    <w:rsid w:val="00805B79"/>
    <w:rsid w:val="00806380"/>
    <w:rsid w:val="00810478"/>
    <w:rsid w:val="00814268"/>
    <w:rsid w:val="008155CE"/>
    <w:rsid w:val="00823412"/>
    <w:rsid w:val="00823B98"/>
    <w:rsid w:val="0082416B"/>
    <w:rsid w:val="00827439"/>
    <w:rsid w:val="00827585"/>
    <w:rsid w:val="00827D31"/>
    <w:rsid w:val="00827EBE"/>
    <w:rsid w:val="00832B71"/>
    <w:rsid w:val="008354A3"/>
    <w:rsid w:val="0083564D"/>
    <w:rsid w:val="008376BB"/>
    <w:rsid w:val="008437F9"/>
    <w:rsid w:val="008445DA"/>
    <w:rsid w:val="00844AB8"/>
    <w:rsid w:val="0084577D"/>
    <w:rsid w:val="0084783A"/>
    <w:rsid w:val="00847CCF"/>
    <w:rsid w:val="0085171B"/>
    <w:rsid w:val="00852111"/>
    <w:rsid w:val="008609F3"/>
    <w:rsid w:val="008613D1"/>
    <w:rsid w:val="008627E1"/>
    <w:rsid w:val="008648E7"/>
    <w:rsid w:val="008649DD"/>
    <w:rsid w:val="00864C69"/>
    <w:rsid w:val="00865A48"/>
    <w:rsid w:val="008701C9"/>
    <w:rsid w:val="0087075B"/>
    <w:rsid w:val="008752E3"/>
    <w:rsid w:val="00875D68"/>
    <w:rsid w:val="00875F5D"/>
    <w:rsid w:val="0088087A"/>
    <w:rsid w:val="0088172A"/>
    <w:rsid w:val="00882443"/>
    <w:rsid w:val="00882ABC"/>
    <w:rsid w:val="00885899"/>
    <w:rsid w:val="0089137B"/>
    <w:rsid w:val="008940D4"/>
    <w:rsid w:val="00894472"/>
    <w:rsid w:val="008959EE"/>
    <w:rsid w:val="00895D08"/>
    <w:rsid w:val="00896178"/>
    <w:rsid w:val="008963E8"/>
    <w:rsid w:val="00897972"/>
    <w:rsid w:val="008A24EE"/>
    <w:rsid w:val="008A3A58"/>
    <w:rsid w:val="008B0CAE"/>
    <w:rsid w:val="008B0FD0"/>
    <w:rsid w:val="008B0FE6"/>
    <w:rsid w:val="008B1A94"/>
    <w:rsid w:val="008B2812"/>
    <w:rsid w:val="008B2CBD"/>
    <w:rsid w:val="008B38C0"/>
    <w:rsid w:val="008B49B6"/>
    <w:rsid w:val="008B5460"/>
    <w:rsid w:val="008B784C"/>
    <w:rsid w:val="008C1600"/>
    <w:rsid w:val="008C4E01"/>
    <w:rsid w:val="008C5641"/>
    <w:rsid w:val="008C64B3"/>
    <w:rsid w:val="008D00BE"/>
    <w:rsid w:val="008D0CDC"/>
    <w:rsid w:val="008D15E5"/>
    <w:rsid w:val="008D2DC9"/>
    <w:rsid w:val="008D4492"/>
    <w:rsid w:val="008D44C5"/>
    <w:rsid w:val="008D4B4D"/>
    <w:rsid w:val="008D5257"/>
    <w:rsid w:val="008D5BC8"/>
    <w:rsid w:val="008D79E0"/>
    <w:rsid w:val="008E1138"/>
    <w:rsid w:val="008E1D71"/>
    <w:rsid w:val="008E4378"/>
    <w:rsid w:val="008F0E22"/>
    <w:rsid w:val="008F2909"/>
    <w:rsid w:val="008F4198"/>
    <w:rsid w:val="008F50ED"/>
    <w:rsid w:val="008F5679"/>
    <w:rsid w:val="009010AD"/>
    <w:rsid w:val="00901555"/>
    <w:rsid w:val="009030B7"/>
    <w:rsid w:val="0090384D"/>
    <w:rsid w:val="00904FB0"/>
    <w:rsid w:val="00907E5E"/>
    <w:rsid w:val="00911A33"/>
    <w:rsid w:val="00912FDA"/>
    <w:rsid w:val="009200A2"/>
    <w:rsid w:val="00923D2C"/>
    <w:rsid w:val="00924AFD"/>
    <w:rsid w:val="009252B3"/>
    <w:rsid w:val="00934002"/>
    <w:rsid w:val="0093615C"/>
    <w:rsid w:val="00937066"/>
    <w:rsid w:val="00937E5F"/>
    <w:rsid w:val="009428D9"/>
    <w:rsid w:val="00942ACA"/>
    <w:rsid w:val="00943A1D"/>
    <w:rsid w:val="00944D9B"/>
    <w:rsid w:val="00945C7C"/>
    <w:rsid w:val="009467FF"/>
    <w:rsid w:val="009479DC"/>
    <w:rsid w:val="0095071F"/>
    <w:rsid w:val="009518C0"/>
    <w:rsid w:val="0095216C"/>
    <w:rsid w:val="009527F2"/>
    <w:rsid w:val="00952C7C"/>
    <w:rsid w:val="00953F64"/>
    <w:rsid w:val="00956267"/>
    <w:rsid w:val="00957289"/>
    <w:rsid w:val="00961445"/>
    <w:rsid w:val="00961AAE"/>
    <w:rsid w:val="00963087"/>
    <w:rsid w:val="0096315A"/>
    <w:rsid w:val="009638CF"/>
    <w:rsid w:val="00964D74"/>
    <w:rsid w:val="00965943"/>
    <w:rsid w:val="009720BB"/>
    <w:rsid w:val="00972745"/>
    <w:rsid w:val="00975AB5"/>
    <w:rsid w:val="009779B6"/>
    <w:rsid w:val="00982489"/>
    <w:rsid w:val="00985A58"/>
    <w:rsid w:val="0098628E"/>
    <w:rsid w:val="0098750F"/>
    <w:rsid w:val="00991B77"/>
    <w:rsid w:val="0099206D"/>
    <w:rsid w:val="00994DED"/>
    <w:rsid w:val="00996E03"/>
    <w:rsid w:val="009A4FB8"/>
    <w:rsid w:val="009A551D"/>
    <w:rsid w:val="009A6C92"/>
    <w:rsid w:val="009B3221"/>
    <w:rsid w:val="009B5D50"/>
    <w:rsid w:val="009B6012"/>
    <w:rsid w:val="009C05B5"/>
    <w:rsid w:val="009C2464"/>
    <w:rsid w:val="009C29A6"/>
    <w:rsid w:val="009C3DAF"/>
    <w:rsid w:val="009C7443"/>
    <w:rsid w:val="009D1D91"/>
    <w:rsid w:val="009D31C5"/>
    <w:rsid w:val="009D7A4D"/>
    <w:rsid w:val="009D7CD1"/>
    <w:rsid w:val="009E12B8"/>
    <w:rsid w:val="009E7510"/>
    <w:rsid w:val="009F0312"/>
    <w:rsid w:val="009F1E67"/>
    <w:rsid w:val="009F26AC"/>
    <w:rsid w:val="009F3C16"/>
    <w:rsid w:val="009F4760"/>
    <w:rsid w:val="009F6315"/>
    <w:rsid w:val="009F6936"/>
    <w:rsid w:val="00A02044"/>
    <w:rsid w:val="00A02415"/>
    <w:rsid w:val="00A03AFB"/>
    <w:rsid w:val="00A042BD"/>
    <w:rsid w:val="00A06236"/>
    <w:rsid w:val="00A06784"/>
    <w:rsid w:val="00A1149D"/>
    <w:rsid w:val="00A11671"/>
    <w:rsid w:val="00A11BD0"/>
    <w:rsid w:val="00A13ED5"/>
    <w:rsid w:val="00A14359"/>
    <w:rsid w:val="00A20B83"/>
    <w:rsid w:val="00A229DA"/>
    <w:rsid w:val="00A2330D"/>
    <w:rsid w:val="00A24552"/>
    <w:rsid w:val="00A30919"/>
    <w:rsid w:val="00A30B52"/>
    <w:rsid w:val="00A3175F"/>
    <w:rsid w:val="00A32117"/>
    <w:rsid w:val="00A3682D"/>
    <w:rsid w:val="00A36B0F"/>
    <w:rsid w:val="00A373D1"/>
    <w:rsid w:val="00A43143"/>
    <w:rsid w:val="00A43907"/>
    <w:rsid w:val="00A443A9"/>
    <w:rsid w:val="00A44E86"/>
    <w:rsid w:val="00A45180"/>
    <w:rsid w:val="00A468CB"/>
    <w:rsid w:val="00A47D30"/>
    <w:rsid w:val="00A50BD4"/>
    <w:rsid w:val="00A53181"/>
    <w:rsid w:val="00A547C1"/>
    <w:rsid w:val="00A551F8"/>
    <w:rsid w:val="00A55A8F"/>
    <w:rsid w:val="00A560BD"/>
    <w:rsid w:val="00A60B3A"/>
    <w:rsid w:val="00A61D1C"/>
    <w:rsid w:val="00A632ED"/>
    <w:rsid w:val="00A63438"/>
    <w:rsid w:val="00A642A6"/>
    <w:rsid w:val="00A7018A"/>
    <w:rsid w:val="00A7128F"/>
    <w:rsid w:val="00A7253C"/>
    <w:rsid w:val="00A72543"/>
    <w:rsid w:val="00A739AB"/>
    <w:rsid w:val="00A745CB"/>
    <w:rsid w:val="00A74F62"/>
    <w:rsid w:val="00A75A71"/>
    <w:rsid w:val="00A83ADC"/>
    <w:rsid w:val="00A84A74"/>
    <w:rsid w:val="00A859E3"/>
    <w:rsid w:val="00A86676"/>
    <w:rsid w:val="00A86A22"/>
    <w:rsid w:val="00A87306"/>
    <w:rsid w:val="00A90B1A"/>
    <w:rsid w:val="00A94C8D"/>
    <w:rsid w:val="00AA34D4"/>
    <w:rsid w:val="00AA3A62"/>
    <w:rsid w:val="00AA4B87"/>
    <w:rsid w:val="00AA563F"/>
    <w:rsid w:val="00AA6254"/>
    <w:rsid w:val="00AB02DA"/>
    <w:rsid w:val="00AB18F6"/>
    <w:rsid w:val="00AB5229"/>
    <w:rsid w:val="00AB5A63"/>
    <w:rsid w:val="00AB703D"/>
    <w:rsid w:val="00AB7533"/>
    <w:rsid w:val="00AC105E"/>
    <w:rsid w:val="00AC2506"/>
    <w:rsid w:val="00AC53CA"/>
    <w:rsid w:val="00AD4EBB"/>
    <w:rsid w:val="00AD6D53"/>
    <w:rsid w:val="00AD74DB"/>
    <w:rsid w:val="00AE0FD4"/>
    <w:rsid w:val="00AE10CD"/>
    <w:rsid w:val="00AE1A7F"/>
    <w:rsid w:val="00AE2182"/>
    <w:rsid w:val="00AE43AC"/>
    <w:rsid w:val="00AE6C60"/>
    <w:rsid w:val="00AE6F6C"/>
    <w:rsid w:val="00AF0B8F"/>
    <w:rsid w:val="00AF53E9"/>
    <w:rsid w:val="00AF7430"/>
    <w:rsid w:val="00B01133"/>
    <w:rsid w:val="00B021A8"/>
    <w:rsid w:val="00B0240E"/>
    <w:rsid w:val="00B04A9D"/>
    <w:rsid w:val="00B05007"/>
    <w:rsid w:val="00B065ED"/>
    <w:rsid w:val="00B06F02"/>
    <w:rsid w:val="00B06FD0"/>
    <w:rsid w:val="00B10861"/>
    <w:rsid w:val="00B13D2B"/>
    <w:rsid w:val="00B16E4E"/>
    <w:rsid w:val="00B26AF4"/>
    <w:rsid w:val="00B26B57"/>
    <w:rsid w:val="00B27511"/>
    <w:rsid w:val="00B31472"/>
    <w:rsid w:val="00B32370"/>
    <w:rsid w:val="00B324DF"/>
    <w:rsid w:val="00B3319A"/>
    <w:rsid w:val="00B33487"/>
    <w:rsid w:val="00B35B94"/>
    <w:rsid w:val="00B43ED0"/>
    <w:rsid w:val="00B443DD"/>
    <w:rsid w:val="00B44864"/>
    <w:rsid w:val="00B4517B"/>
    <w:rsid w:val="00B46330"/>
    <w:rsid w:val="00B505C9"/>
    <w:rsid w:val="00B50D53"/>
    <w:rsid w:val="00B53A0C"/>
    <w:rsid w:val="00B53C33"/>
    <w:rsid w:val="00B55797"/>
    <w:rsid w:val="00B64CB8"/>
    <w:rsid w:val="00B67A6F"/>
    <w:rsid w:val="00B67BD4"/>
    <w:rsid w:val="00B7010A"/>
    <w:rsid w:val="00B701D7"/>
    <w:rsid w:val="00B706D5"/>
    <w:rsid w:val="00B70FF8"/>
    <w:rsid w:val="00B736A0"/>
    <w:rsid w:val="00B73CC3"/>
    <w:rsid w:val="00B73F7D"/>
    <w:rsid w:val="00B83F47"/>
    <w:rsid w:val="00B85B14"/>
    <w:rsid w:val="00B85B43"/>
    <w:rsid w:val="00B87CC1"/>
    <w:rsid w:val="00B9213E"/>
    <w:rsid w:val="00B92629"/>
    <w:rsid w:val="00B9331C"/>
    <w:rsid w:val="00B939A5"/>
    <w:rsid w:val="00B94F27"/>
    <w:rsid w:val="00B96DC1"/>
    <w:rsid w:val="00BA34E3"/>
    <w:rsid w:val="00BA70A3"/>
    <w:rsid w:val="00BA7244"/>
    <w:rsid w:val="00BA7266"/>
    <w:rsid w:val="00BA7997"/>
    <w:rsid w:val="00BB066B"/>
    <w:rsid w:val="00BB1F82"/>
    <w:rsid w:val="00BB3334"/>
    <w:rsid w:val="00BB4CEE"/>
    <w:rsid w:val="00BC0E18"/>
    <w:rsid w:val="00BC293C"/>
    <w:rsid w:val="00BC3080"/>
    <w:rsid w:val="00BC3ECB"/>
    <w:rsid w:val="00BC5625"/>
    <w:rsid w:val="00BD08B4"/>
    <w:rsid w:val="00BD098A"/>
    <w:rsid w:val="00BD13BD"/>
    <w:rsid w:val="00BD2C30"/>
    <w:rsid w:val="00BD39A4"/>
    <w:rsid w:val="00BD6AA3"/>
    <w:rsid w:val="00BD7B8A"/>
    <w:rsid w:val="00BE08FB"/>
    <w:rsid w:val="00BE0BDC"/>
    <w:rsid w:val="00BE2101"/>
    <w:rsid w:val="00BE5A0A"/>
    <w:rsid w:val="00BF4252"/>
    <w:rsid w:val="00BF5B29"/>
    <w:rsid w:val="00C024E9"/>
    <w:rsid w:val="00C03109"/>
    <w:rsid w:val="00C03E98"/>
    <w:rsid w:val="00C07391"/>
    <w:rsid w:val="00C10691"/>
    <w:rsid w:val="00C12E70"/>
    <w:rsid w:val="00C13CF6"/>
    <w:rsid w:val="00C20799"/>
    <w:rsid w:val="00C225A9"/>
    <w:rsid w:val="00C22FB0"/>
    <w:rsid w:val="00C24901"/>
    <w:rsid w:val="00C27D92"/>
    <w:rsid w:val="00C30140"/>
    <w:rsid w:val="00C30625"/>
    <w:rsid w:val="00C3193D"/>
    <w:rsid w:val="00C32268"/>
    <w:rsid w:val="00C333D8"/>
    <w:rsid w:val="00C34A7B"/>
    <w:rsid w:val="00C34E52"/>
    <w:rsid w:val="00C35EBB"/>
    <w:rsid w:val="00C36D3C"/>
    <w:rsid w:val="00C40618"/>
    <w:rsid w:val="00C410BD"/>
    <w:rsid w:val="00C41B15"/>
    <w:rsid w:val="00C4256A"/>
    <w:rsid w:val="00C460EF"/>
    <w:rsid w:val="00C463A6"/>
    <w:rsid w:val="00C46A47"/>
    <w:rsid w:val="00C505AF"/>
    <w:rsid w:val="00C51172"/>
    <w:rsid w:val="00C57244"/>
    <w:rsid w:val="00C608B3"/>
    <w:rsid w:val="00C61B32"/>
    <w:rsid w:val="00C6281C"/>
    <w:rsid w:val="00C631BA"/>
    <w:rsid w:val="00C63FC5"/>
    <w:rsid w:val="00C7414F"/>
    <w:rsid w:val="00C765F3"/>
    <w:rsid w:val="00C7745D"/>
    <w:rsid w:val="00C81EF6"/>
    <w:rsid w:val="00C8364B"/>
    <w:rsid w:val="00C84F30"/>
    <w:rsid w:val="00C85058"/>
    <w:rsid w:val="00C85E37"/>
    <w:rsid w:val="00C928C7"/>
    <w:rsid w:val="00C9372E"/>
    <w:rsid w:val="00C95A0F"/>
    <w:rsid w:val="00C96E4D"/>
    <w:rsid w:val="00C97E84"/>
    <w:rsid w:val="00CA5E39"/>
    <w:rsid w:val="00CB09C6"/>
    <w:rsid w:val="00CB334A"/>
    <w:rsid w:val="00CB3445"/>
    <w:rsid w:val="00CB6951"/>
    <w:rsid w:val="00CC1FC9"/>
    <w:rsid w:val="00CC2ADE"/>
    <w:rsid w:val="00CC452E"/>
    <w:rsid w:val="00CC7F2C"/>
    <w:rsid w:val="00CD4DD3"/>
    <w:rsid w:val="00CD51B9"/>
    <w:rsid w:val="00CD70F5"/>
    <w:rsid w:val="00CE10B4"/>
    <w:rsid w:val="00CE4A22"/>
    <w:rsid w:val="00CE5E39"/>
    <w:rsid w:val="00CF1429"/>
    <w:rsid w:val="00CF1A27"/>
    <w:rsid w:val="00CF1DB0"/>
    <w:rsid w:val="00CF2469"/>
    <w:rsid w:val="00CF2D54"/>
    <w:rsid w:val="00CF2FDD"/>
    <w:rsid w:val="00CF3A4B"/>
    <w:rsid w:val="00CF4665"/>
    <w:rsid w:val="00CF506A"/>
    <w:rsid w:val="00CF5E88"/>
    <w:rsid w:val="00CF6CF0"/>
    <w:rsid w:val="00D03116"/>
    <w:rsid w:val="00D068C6"/>
    <w:rsid w:val="00D06EBD"/>
    <w:rsid w:val="00D0786F"/>
    <w:rsid w:val="00D104D7"/>
    <w:rsid w:val="00D11EB8"/>
    <w:rsid w:val="00D12F71"/>
    <w:rsid w:val="00D13FBB"/>
    <w:rsid w:val="00D15183"/>
    <w:rsid w:val="00D202DD"/>
    <w:rsid w:val="00D2153B"/>
    <w:rsid w:val="00D21786"/>
    <w:rsid w:val="00D22B97"/>
    <w:rsid w:val="00D30655"/>
    <w:rsid w:val="00D31245"/>
    <w:rsid w:val="00D33C31"/>
    <w:rsid w:val="00D33D92"/>
    <w:rsid w:val="00D34BA6"/>
    <w:rsid w:val="00D37C00"/>
    <w:rsid w:val="00D37D9E"/>
    <w:rsid w:val="00D4161A"/>
    <w:rsid w:val="00D41AC2"/>
    <w:rsid w:val="00D437A8"/>
    <w:rsid w:val="00D43CB2"/>
    <w:rsid w:val="00D445E7"/>
    <w:rsid w:val="00D44AB7"/>
    <w:rsid w:val="00D44C96"/>
    <w:rsid w:val="00D452DA"/>
    <w:rsid w:val="00D45302"/>
    <w:rsid w:val="00D4777F"/>
    <w:rsid w:val="00D47BD5"/>
    <w:rsid w:val="00D50426"/>
    <w:rsid w:val="00D527D1"/>
    <w:rsid w:val="00D52FDE"/>
    <w:rsid w:val="00D54521"/>
    <w:rsid w:val="00D5472F"/>
    <w:rsid w:val="00D56467"/>
    <w:rsid w:val="00D606D1"/>
    <w:rsid w:val="00D6347F"/>
    <w:rsid w:val="00D67211"/>
    <w:rsid w:val="00D70BFF"/>
    <w:rsid w:val="00D72A23"/>
    <w:rsid w:val="00D7650F"/>
    <w:rsid w:val="00D77271"/>
    <w:rsid w:val="00D861C1"/>
    <w:rsid w:val="00D90A17"/>
    <w:rsid w:val="00D90D26"/>
    <w:rsid w:val="00D92FE3"/>
    <w:rsid w:val="00D93658"/>
    <w:rsid w:val="00D93A53"/>
    <w:rsid w:val="00D946AA"/>
    <w:rsid w:val="00D954CB"/>
    <w:rsid w:val="00D957FF"/>
    <w:rsid w:val="00D97E98"/>
    <w:rsid w:val="00DA036D"/>
    <w:rsid w:val="00DA0D93"/>
    <w:rsid w:val="00DA1048"/>
    <w:rsid w:val="00DA155C"/>
    <w:rsid w:val="00DA1919"/>
    <w:rsid w:val="00DA19CB"/>
    <w:rsid w:val="00DA3F6B"/>
    <w:rsid w:val="00DA533B"/>
    <w:rsid w:val="00DA69F9"/>
    <w:rsid w:val="00DB0AE2"/>
    <w:rsid w:val="00DB34E3"/>
    <w:rsid w:val="00DB4B94"/>
    <w:rsid w:val="00DB5B94"/>
    <w:rsid w:val="00DB7445"/>
    <w:rsid w:val="00DB779D"/>
    <w:rsid w:val="00DC0A62"/>
    <w:rsid w:val="00DC2731"/>
    <w:rsid w:val="00DD069F"/>
    <w:rsid w:val="00DD09D7"/>
    <w:rsid w:val="00DD105F"/>
    <w:rsid w:val="00DD1E7F"/>
    <w:rsid w:val="00DD30E3"/>
    <w:rsid w:val="00DD55DE"/>
    <w:rsid w:val="00DD628B"/>
    <w:rsid w:val="00DD6C22"/>
    <w:rsid w:val="00DD73ED"/>
    <w:rsid w:val="00DD73FD"/>
    <w:rsid w:val="00DD7C43"/>
    <w:rsid w:val="00DE1E9C"/>
    <w:rsid w:val="00DE34E0"/>
    <w:rsid w:val="00DE3EE3"/>
    <w:rsid w:val="00DE59E1"/>
    <w:rsid w:val="00DE684C"/>
    <w:rsid w:val="00DE7534"/>
    <w:rsid w:val="00DF4DCE"/>
    <w:rsid w:val="00DF7E82"/>
    <w:rsid w:val="00E029DD"/>
    <w:rsid w:val="00E03F80"/>
    <w:rsid w:val="00E05B23"/>
    <w:rsid w:val="00E05E4B"/>
    <w:rsid w:val="00E0761D"/>
    <w:rsid w:val="00E11B3A"/>
    <w:rsid w:val="00E12EDE"/>
    <w:rsid w:val="00E141BB"/>
    <w:rsid w:val="00E14355"/>
    <w:rsid w:val="00E14522"/>
    <w:rsid w:val="00E14A04"/>
    <w:rsid w:val="00E14B63"/>
    <w:rsid w:val="00E17AB7"/>
    <w:rsid w:val="00E17D64"/>
    <w:rsid w:val="00E205CD"/>
    <w:rsid w:val="00E20E36"/>
    <w:rsid w:val="00E23584"/>
    <w:rsid w:val="00E26F86"/>
    <w:rsid w:val="00E31A3B"/>
    <w:rsid w:val="00E32B1A"/>
    <w:rsid w:val="00E335D5"/>
    <w:rsid w:val="00E36930"/>
    <w:rsid w:val="00E37959"/>
    <w:rsid w:val="00E42B82"/>
    <w:rsid w:val="00E442FE"/>
    <w:rsid w:val="00E532D1"/>
    <w:rsid w:val="00E56548"/>
    <w:rsid w:val="00E56C82"/>
    <w:rsid w:val="00E572C7"/>
    <w:rsid w:val="00E62C58"/>
    <w:rsid w:val="00E62F2B"/>
    <w:rsid w:val="00E63234"/>
    <w:rsid w:val="00E63A49"/>
    <w:rsid w:val="00E64213"/>
    <w:rsid w:val="00E670E3"/>
    <w:rsid w:val="00E742BA"/>
    <w:rsid w:val="00E74D0D"/>
    <w:rsid w:val="00E766CC"/>
    <w:rsid w:val="00E77427"/>
    <w:rsid w:val="00E77B4A"/>
    <w:rsid w:val="00E80200"/>
    <w:rsid w:val="00E813A6"/>
    <w:rsid w:val="00E8202C"/>
    <w:rsid w:val="00E84A04"/>
    <w:rsid w:val="00E86CA0"/>
    <w:rsid w:val="00E871C7"/>
    <w:rsid w:val="00E94904"/>
    <w:rsid w:val="00E951AC"/>
    <w:rsid w:val="00E956F9"/>
    <w:rsid w:val="00E9639B"/>
    <w:rsid w:val="00EA0547"/>
    <w:rsid w:val="00EA20CE"/>
    <w:rsid w:val="00EA2678"/>
    <w:rsid w:val="00EA4113"/>
    <w:rsid w:val="00EA494E"/>
    <w:rsid w:val="00EA600F"/>
    <w:rsid w:val="00EB083F"/>
    <w:rsid w:val="00EB13F0"/>
    <w:rsid w:val="00EB14DF"/>
    <w:rsid w:val="00EB2223"/>
    <w:rsid w:val="00EB33B6"/>
    <w:rsid w:val="00EB4482"/>
    <w:rsid w:val="00EB47DE"/>
    <w:rsid w:val="00EB4D55"/>
    <w:rsid w:val="00EB5B58"/>
    <w:rsid w:val="00EB5F06"/>
    <w:rsid w:val="00EB6D36"/>
    <w:rsid w:val="00EC0845"/>
    <w:rsid w:val="00EC2492"/>
    <w:rsid w:val="00EC2A60"/>
    <w:rsid w:val="00EC2A81"/>
    <w:rsid w:val="00EC7D61"/>
    <w:rsid w:val="00ED0464"/>
    <w:rsid w:val="00ED12B8"/>
    <w:rsid w:val="00ED20CD"/>
    <w:rsid w:val="00ED49C3"/>
    <w:rsid w:val="00ED7039"/>
    <w:rsid w:val="00ED7556"/>
    <w:rsid w:val="00EE5691"/>
    <w:rsid w:val="00EE57AF"/>
    <w:rsid w:val="00EE6006"/>
    <w:rsid w:val="00EE6E6E"/>
    <w:rsid w:val="00EE7677"/>
    <w:rsid w:val="00EF0CF5"/>
    <w:rsid w:val="00EF357C"/>
    <w:rsid w:val="00EF4236"/>
    <w:rsid w:val="00EF69C4"/>
    <w:rsid w:val="00EF7502"/>
    <w:rsid w:val="00F03840"/>
    <w:rsid w:val="00F05FCF"/>
    <w:rsid w:val="00F06502"/>
    <w:rsid w:val="00F11B3A"/>
    <w:rsid w:val="00F1340E"/>
    <w:rsid w:val="00F15A16"/>
    <w:rsid w:val="00F15BDF"/>
    <w:rsid w:val="00F15E1C"/>
    <w:rsid w:val="00F175F7"/>
    <w:rsid w:val="00F1783D"/>
    <w:rsid w:val="00F2263C"/>
    <w:rsid w:val="00F227B5"/>
    <w:rsid w:val="00F22EC4"/>
    <w:rsid w:val="00F23A38"/>
    <w:rsid w:val="00F2400D"/>
    <w:rsid w:val="00F27E60"/>
    <w:rsid w:val="00F32FE1"/>
    <w:rsid w:val="00F34752"/>
    <w:rsid w:val="00F35716"/>
    <w:rsid w:val="00F3656A"/>
    <w:rsid w:val="00F4139E"/>
    <w:rsid w:val="00F44DC5"/>
    <w:rsid w:val="00F44F67"/>
    <w:rsid w:val="00F46188"/>
    <w:rsid w:val="00F476DE"/>
    <w:rsid w:val="00F47F3E"/>
    <w:rsid w:val="00F50800"/>
    <w:rsid w:val="00F50C93"/>
    <w:rsid w:val="00F50F92"/>
    <w:rsid w:val="00F51479"/>
    <w:rsid w:val="00F51BC5"/>
    <w:rsid w:val="00F528D6"/>
    <w:rsid w:val="00F5413B"/>
    <w:rsid w:val="00F5432A"/>
    <w:rsid w:val="00F54CC2"/>
    <w:rsid w:val="00F62905"/>
    <w:rsid w:val="00F67DBB"/>
    <w:rsid w:val="00F75C93"/>
    <w:rsid w:val="00F77252"/>
    <w:rsid w:val="00F77A68"/>
    <w:rsid w:val="00F81C26"/>
    <w:rsid w:val="00F822F2"/>
    <w:rsid w:val="00F82495"/>
    <w:rsid w:val="00F8289C"/>
    <w:rsid w:val="00F84A8B"/>
    <w:rsid w:val="00F86AEF"/>
    <w:rsid w:val="00F8705C"/>
    <w:rsid w:val="00F905EA"/>
    <w:rsid w:val="00F90DF1"/>
    <w:rsid w:val="00F9285A"/>
    <w:rsid w:val="00F96E59"/>
    <w:rsid w:val="00FA1859"/>
    <w:rsid w:val="00FB2246"/>
    <w:rsid w:val="00FB324A"/>
    <w:rsid w:val="00FB66F1"/>
    <w:rsid w:val="00FB7139"/>
    <w:rsid w:val="00FC1944"/>
    <w:rsid w:val="00FC7E0F"/>
    <w:rsid w:val="00FD030E"/>
    <w:rsid w:val="00FD2A7F"/>
    <w:rsid w:val="00FD48B5"/>
    <w:rsid w:val="00FD4A66"/>
    <w:rsid w:val="00FD7F70"/>
    <w:rsid w:val="00FE07D3"/>
    <w:rsid w:val="00FE1E55"/>
    <w:rsid w:val="00FE28B5"/>
    <w:rsid w:val="00FE44AC"/>
    <w:rsid w:val="00FE479E"/>
    <w:rsid w:val="00FE4B04"/>
    <w:rsid w:val="00FF247A"/>
    <w:rsid w:val="00FF39C8"/>
    <w:rsid w:val="00FF3FFA"/>
    <w:rsid w:val="00FF6675"/>
    <w:rsid w:val="162C08A7"/>
    <w:rsid w:val="19230A39"/>
    <w:rsid w:val="4E573A0C"/>
    <w:rsid w:val="63B23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character" w:default="1" w:styleId="17">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8"/>
    <w:qFormat/>
    <w:uiPriority w:val="0"/>
  </w:style>
  <w:style w:type="paragraph" w:styleId="4">
    <w:name w:val="Body Text"/>
    <w:basedOn w:val="1"/>
    <w:link w:val="25"/>
    <w:unhideWhenUsed/>
    <w:qFormat/>
    <w:uiPriority w:val="0"/>
    <w:pPr>
      <w:widowControl w:val="0"/>
      <w:kinsoku/>
      <w:autoSpaceDE/>
      <w:autoSpaceDN/>
      <w:adjustRightInd/>
      <w:snapToGrid/>
      <w:spacing w:after="120"/>
      <w:jc w:val="both"/>
      <w:textAlignment w:val="auto"/>
    </w:pPr>
    <w:rPr>
      <w:rFonts w:ascii="方正大标宋简体" w:hAnsi="方正大标宋简体" w:eastAsia="方正大标宋简体" w:cs="方正大标宋简体"/>
      <w:snapToGrid/>
      <w:color w:val="auto"/>
      <w:kern w:val="2"/>
      <w:szCs w:val="24"/>
    </w:rPr>
  </w:style>
  <w:style w:type="paragraph" w:styleId="5">
    <w:name w:val="toc 3"/>
    <w:basedOn w:val="1"/>
    <w:next w:val="1"/>
    <w:autoRedefine/>
    <w:unhideWhenUsed/>
    <w:qFormat/>
    <w:uiPriority w:val="39"/>
    <w:pPr>
      <w:kinsoku/>
      <w:autoSpaceDE/>
      <w:autoSpaceDN/>
      <w:adjustRightInd/>
      <w:snapToGrid/>
      <w:spacing w:after="100" w:line="259" w:lineRule="auto"/>
      <w:ind w:left="440"/>
      <w:textAlignment w:val="auto"/>
    </w:pPr>
    <w:rPr>
      <w:rFonts w:cs="Times New Roman" w:asciiTheme="minorHAnsi" w:hAnsiTheme="minorHAnsi" w:eastAsiaTheme="minorEastAsia"/>
      <w:snapToGrid/>
      <w:color w:val="auto"/>
      <w:sz w:val="22"/>
      <w:szCs w:val="22"/>
    </w:rPr>
  </w:style>
  <w:style w:type="paragraph" w:styleId="6">
    <w:name w:val="Plain Text"/>
    <w:basedOn w:val="1"/>
    <w:link w:val="33"/>
    <w:qFormat/>
    <w:uiPriority w:val="0"/>
    <w:pPr>
      <w:widowControl w:val="0"/>
      <w:kinsoku/>
      <w:autoSpaceDE/>
      <w:autoSpaceDN/>
      <w:adjustRightInd/>
      <w:snapToGrid/>
      <w:jc w:val="both"/>
      <w:textAlignment w:val="auto"/>
    </w:pPr>
    <w:rPr>
      <w:rFonts w:ascii="宋体" w:hAnsi="Courier New" w:eastAsia="宋体" w:cs="Times New Roman"/>
      <w:b/>
      <w:snapToGrid/>
      <w:color w:val="auto"/>
      <w:kern w:val="2"/>
      <w:szCs w:val="20"/>
    </w:rPr>
  </w:style>
  <w:style w:type="paragraph" w:styleId="7">
    <w:name w:val="Date"/>
    <w:basedOn w:val="1"/>
    <w:next w:val="1"/>
    <w:link w:val="32"/>
    <w:qFormat/>
    <w:uiPriority w:val="0"/>
    <w:pPr>
      <w:ind w:left="100" w:leftChars="2500"/>
    </w:pPr>
  </w:style>
  <w:style w:type="paragraph" w:styleId="8">
    <w:name w:val="Balloon Text"/>
    <w:basedOn w:val="1"/>
    <w:link w:val="27"/>
    <w:qFormat/>
    <w:uiPriority w:val="0"/>
    <w:rPr>
      <w:sz w:val="18"/>
      <w:szCs w:val="18"/>
    </w:rPr>
  </w:style>
  <w:style w:type="paragraph" w:styleId="9">
    <w:name w:val="footer"/>
    <w:basedOn w:val="1"/>
    <w:link w:val="24"/>
    <w:qFormat/>
    <w:uiPriority w:val="99"/>
    <w:pPr>
      <w:tabs>
        <w:tab w:val="center" w:pos="4153"/>
        <w:tab w:val="right" w:pos="8306"/>
      </w:tabs>
    </w:pPr>
    <w:rPr>
      <w:sz w:val="18"/>
      <w:szCs w:val="18"/>
    </w:rPr>
  </w:style>
  <w:style w:type="paragraph" w:styleId="10">
    <w:name w:val="header"/>
    <w:basedOn w:val="1"/>
    <w:link w:val="23"/>
    <w:qFormat/>
    <w:uiPriority w:val="99"/>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pPr>
      <w:widowControl w:val="0"/>
      <w:kinsoku/>
      <w:autoSpaceDE/>
      <w:autoSpaceDN/>
      <w:adjustRightInd/>
      <w:snapToGrid/>
      <w:spacing w:before="360"/>
      <w:textAlignment w:val="auto"/>
    </w:pPr>
    <w:rPr>
      <w:rFonts w:ascii="方正大标宋简体" w:hAnsi="方正大标宋简体" w:eastAsia="方正大标宋简体" w:cs="方正大标宋简体"/>
      <w:b/>
      <w:bCs/>
      <w:caps/>
      <w:snapToGrid/>
      <w:color w:val="auto"/>
      <w:kern w:val="2"/>
      <w:sz w:val="24"/>
      <w:szCs w:val="24"/>
    </w:rPr>
  </w:style>
  <w:style w:type="paragraph" w:styleId="12">
    <w:name w:val="footnote text"/>
    <w:basedOn w:val="1"/>
    <w:link w:val="35"/>
    <w:qFormat/>
    <w:uiPriority w:val="0"/>
    <w:pPr>
      <w:widowControl w:val="0"/>
      <w:kinsoku/>
      <w:autoSpaceDE/>
      <w:autoSpaceDN/>
      <w:adjustRightInd/>
      <w:textAlignment w:val="auto"/>
    </w:pPr>
    <w:rPr>
      <w:rFonts w:ascii="Arial Unicode MS" w:hAnsi="Arial Unicode MS" w:eastAsia="宋体" w:cs="Arial Unicode MS"/>
      <w:snapToGrid/>
      <w:color w:val="auto"/>
      <w:kern w:val="2"/>
      <w:sz w:val="18"/>
      <w:szCs w:val="18"/>
    </w:rPr>
  </w:style>
  <w:style w:type="paragraph" w:styleId="13">
    <w:name w:val="toc 2"/>
    <w:basedOn w:val="1"/>
    <w:next w:val="1"/>
    <w:autoRedefine/>
    <w:unhideWhenUsed/>
    <w:qFormat/>
    <w:uiPriority w:val="39"/>
    <w:pPr>
      <w:kinsoku/>
      <w:autoSpaceDE/>
      <w:autoSpaceDN/>
      <w:adjustRightInd/>
      <w:snapToGrid/>
      <w:spacing w:after="100" w:line="259" w:lineRule="auto"/>
      <w:ind w:left="220"/>
      <w:textAlignment w:val="auto"/>
    </w:pPr>
    <w:rPr>
      <w:rFonts w:cs="Times New Roman" w:asciiTheme="minorHAnsi" w:hAnsiTheme="minorHAnsi" w:eastAsiaTheme="minorEastAsia"/>
      <w:snapToGrid/>
      <w:color w:val="auto"/>
      <w:sz w:val="22"/>
      <w:szCs w:val="22"/>
    </w:rPr>
  </w:style>
  <w:style w:type="paragraph" w:styleId="14">
    <w:name w:val="annotation subject"/>
    <w:basedOn w:val="3"/>
    <w:next w:val="3"/>
    <w:link w:val="29"/>
    <w:qFormat/>
    <w:uiPriority w:val="0"/>
    <w:rPr>
      <w:b/>
      <w:bCs/>
    </w:rPr>
  </w:style>
  <w:style w:type="paragraph" w:styleId="15">
    <w:name w:val="Body Text First Indent"/>
    <w:basedOn w:val="4"/>
    <w:link w:val="34"/>
    <w:unhideWhenUsed/>
    <w:qFormat/>
    <w:uiPriority w:val="0"/>
    <w:pPr>
      <w:widowControl/>
      <w:ind w:firstLine="420" w:firstLineChars="100"/>
      <w:jc w:val="center"/>
    </w:pPr>
    <w:rPr>
      <w:rFonts w:ascii="Times New Roman" w:hAnsi="Times New Roman" w:eastAsia="宋体" w:cs="Times New Roman"/>
      <w:b/>
      <w:kern w:val="0"/>
      <w:sz w:val="44"/>
      <w:szCs w:val="20"/>
    </w:rPr>
  </w:style>
  <w:style w:type="character" w:styleId="18">
    <w:name w:val="page number"/>
    <w:qFormat/>
    <w:uiPriority w:val="0"/>
  </w:style>
  <w:style w:type="character" w:styleId="19">
    <w:name w:val="FollowedHyperlink"/>
    <w:basedOn w:val="17"/>
    <w:unhideWhenUsed/>
    <w:qFormat/>
    <w:uiPriority w:val="99"/>
    <w:rPr>
      <w:color w:val="333333"/>
      <w:u w:val="none"/>
    </w:rPr>
  </w:style>
  <w:style w:type="character" w:styleId="20">
    <w:name w:val="Hyperlink"/>
    <w:qFormat/>
    <w:uiPriority w:val="99"/>
    <w:rPr>
      <w:color w:val="0000FF"/>
      <w:u w:val="none"/>
    </w:rPr>
  </w:style>
  <w:style w:type="character" w:styleId="21">
    <w:name w:val="annotation reference"/>
    <w:basedOn w:val="17"/>
    <w:qFormat/>
    <w:uiPriority w:val="0"/>
    <w:rPr>
      <w:sz w:val="21"/>
      <w:szCs w:val="21"/>
    </w:rPr>
  </w:style>
  <w:style w:type="table" w:customStyle="1" w:styleId="22">
    <w:name w:val="Table Normal"/>
    <w:unhideWhenUsed/>
    <w:qFormat/>
    <w:uiPriority w:val="2"/>
    <w:tblPr>
      <w:tblCellMar>
        <w:top w:w="0" w:type="dxa"/>
        <w:left w:w="0" w:type="dxa"/>
        <w:bottom w:w="0" w:type="dxa"/>
        <w:right w:w="0" w:type="dxa"/>
      </w:tblCellMar>
    </w:tblPr>
  </w:style>
  <w:style w:type="character" w:customStyle="1" w:styleId="23">
    <w:name w:val="页眉 字符"/>
    <w:basedOn w:val="17"/>
    <w:link w:val="10"/>
    <w:qFormat/>
    <w:uiPriority w:val="99"/>
    <w:rPr>
      <w:rFonts w:eastAsia="Arial"/>
      <w:snapToGrid w:val="0"/>
      <w:color w:val="000000"/>
      <w:sz w:val="18"/>
      <w:szCs w:val="18"/>
    </w:rPr>
  </w:style>
  <w:style w:type="character" w:customStyle="1" w:styleId="24">
    <w:name w:val="页脚 字符"/>
    <w:basedOn w:val="17"/>
    <w:link w:val="9"/>
    <w:qFormat/>
    <w:uiPriority w:val="99"/>
    <w:rPr>
      <w:rFonts w:eastAsia="Arial"/>
      <w:snapToGrid w:val="0"/>
      <w:color w:val="000000"/>
      <w:sz w:val="18"/>
      <w:szCs w:val="18"/>
    </w:rPr>
  </w:style>
  <w:style w:type="character" w:customStyle="1" w:styleId="25">
    <w:name w:val="正文文本 字符"/>
    <w:basedOn w:val="17"/>
    <w:link w:val="4"/>
    <w:qFormat/>
    <w:uiPriority w:val="0"/>
    <w:rPr>
      <w:rFonts w:ascii="方正大标宋简体" w:hAnsi="方正大标宋简体" w:eastAsia="方正大标宋简体" w:cs="方正大标宋简体"/>
      <w:kern w:val="2"/>
      <w:sz w:val="21"/>
      <w:szCs w:val="24"/>
    </w:rPr>
  </w:style>
  <w:style w:type="paragraph" w:customStyle="1" w:styleId="26">
    <w:name w:val="列出段落11"/>
    <w:basedOn w:val="1"/>
    <w:qFormat/>
    <w:uiPriority w:val="34"/>
    <w:pPr>
      <w:widowControl w:val="0"/>
      <w:kinsoku/>
      <w:autoSpaceDE/>
      <w:autoSpaceDN/>
      <w:adjustRightInd/>
      <w:snapToGrid/>
      <w:ind w:firstLine="420" w:firstLineChars="200"/>
      <w:jc w:val="both"/>
      <w:textAlignment w:val="auto"/>
    </w:pPr>
    <w:rPr>
      <w:rFonts w:ascii="方正大标宋简体" w:hAnsi="方正大标宋简体" w:eastAsia="方正大标宋简体" w:cs="方正大标宋简体"/>
      <w:snapToGrid/>
      <w:color w:val="auto"/>
      <w:kern w:val="2"/>
      <w:szCs w:val="24"/>
    </w:rPr>
  </w:style>
  <w:style w:type="character" w:customStyle="1" w:styleId="27">
    <w:name w:val="批注框文本 字符"/>
    <w:basedOn w:val="17"/>
    <w:link w:val="8"/>
    <w:qFormat/>
    <w:uiPriority w:val="0"/>
    <w:rPr>
      <w:rFonts w:eastAsia="Arial"/>
      <w:snapToGrid w:val="0"/>
      <w:color w:val="000000"/>
      <w:sz w:val="18"/>
      <w:szCs w:val="18"/>
    </w:rPr>
  </w:style>
  <w:style w:type="character" w:customStyle="1" w:styleId="28">
    <w:name w:val="批注文字 字符"/>
    <w:basedOn w:val="17"/>
    <w:link w:val="3"/>
    <w:qFormat/>
    <w:uiPriority w:val="0"/>
    <w:rPr>
      <w:rFonts w:eastAsia="Arial"/>
      <w:snapToGrid w:val="0"/>
      <w:color w:val="000000"/>
      <w:sz w:val="21"/>
      <w:szCs w:val="21"/>
    </w:rPr>
  </w:style>
  <w:style w:type="character" w:customStyle="1" w:styleId="29">
    <w:name w:val="批注主题 字符"/>
    <w:basedOn w:val="28"/>
    <w:link w:val="14"/>
    <w:qFormat/>
    <w:uiPriority w:val="0"/>
    <w:rPr>
      <w:rFonts w:eastAsia="Arial"/>
      <w:b/>
      <w:bCs/>
      <w:snapToGrid w:val="0"/>
      <w:color w:val="000000"/>
      <w:sz w:val="21"/>
      <w:szCs w:val="21"/>
    </w:rPr>
  </w:style>
  <w:style w:type="paragraph" w:customStyle="1" w:styleId="30">
    <w:name w:val="目录"/>
    <w:basedOn w:val="1"/>
    <w:qFormat/>
    <w:uiPriority w:val="0"/>
    <w:pPr>
      <w:kinsoku/>
      <w:autoSpaceDE/>
      <w:autoSpaceDN/>
      <w:adjustRightInd/>
      <w:snapToGrid/>
      <w:jc w:val="center"/>
      <w:textAlignment w:val="auto"/>
    </w:pPr>
    <w:rPr>
      <w:rFonts w:ascii="方正大标宋简体" w:hAnsi="方正大标宋简体" w:eastAsia="方正大标宋简体" w:cs="方正大标宋简体"/>
      <w:snapToGrid/>
      <w:color w:val="auto"/>
      <w:sz w:val="36"/>
      <w:szCs w:val="20"/>
    </w:rPr>
  </w:style>
  <w:style w:type="paragraph" w:customStyle="1" w:styleId="31">
    <w:name w:val="Default"/>
    <w:next w:val="7"/>
    <w:qFormat/>
    <w:uiPriority w:val="0"/>
    <w:pPr>
      <w:widowControl w:val="0"/>
      <w:autoSpaceDE w:val="0"/>
      <w:autoSpaceDN w:val="0"/>
      <w:adjustRightInd w:val="0"/>
    </w:pPr>
    <w:rPr>
      <w:rFonts w:ascii="方正大标宋简体" w:hAnsi="方正大标宋简体" w:eastAsia="方正大标宋简体" w:cs="方正大标宋简体"/>
      <w:color w:val="000000"/>
      <w:sz w:val="24"/>
      <w:szCs w:val="24"/>
      <w:lang w:val="en-US" w:eastAsia="zh-CN" w:bidi="ar-SA"/>
    </w:rPr>
  </w:style>
  <w:style w:type="character" w:customStyle="1" w:styleId="32">
    <w:name w:val="日期 字符"/>
    <w:basedOn w:val="17"/>
    <w:link w:val="7"/>
    <w:qFormat/>
    <w:uiPriority w:val="0"/>
    <w:rPr>
      <w:rFonts w:eastAsia="Arial"/>
      <w:snapToGrid w:val="0"/>
      <w:color w:val="000000"/>
      <w:sz w:val="21"/>
      <w:szCs w:val="21"/>
    </w:rPr>
  </w:style>
  <w:style w:type="character" w:customStyle="1" w:styleId="33">
    <w:name w:val="纯文本 字符"/>
    <w:basedOn w:val="17"/>
    <w:link w:val="6"/>
    <w:qFormat/>
    <w:uiPriority w:val="0"/>
    <w:rPr>
      <w:rFonts w:ascii="宋体" w:hAnsi="Courier New" w:eastAsia="宋体" w:cs="Times New Roman"/>
      <w:b/>
      <w:kern w:val="2"/>
      <w:sz w:val="21"/>
    </w:rPr>
  </w:style>
  <w:style w:type="character" w:customStyle="1" w:styleId="34">
    <w:name w:val="正文文本首行缩进 字符"/>
    <w:basedOn w:val="25"/>
    <w:link w:val="15"/>
    <w:qFormat/>
    <w:uiPriority w:val="0"/>
    <w:rPr>
      <w:rFonts w:ascii="Times New Roman" w:hAnsi="Times New Roman" w:eastAsia="宋体" w:cs="Times New Roman"/>
      <w:b/>
      <w:kern w:val="2"/>
      <w:sz w:val="44"/>
      <w:szCs w:val="24"/>
    </w:rPr>
  </w:style>
  <w:style w:type="character" w:customStyle="1" w:styleId="35">
    <w:name w:val="脚注文本 字符"/>
    <w:basedOn w:val="17"/>
    <w:link w:val="12"/>
    <w:qFormat/>
    <w:uiPriority w:val="0"/>
    <w:rPr>
      <w:rFonts w:ascii="Arial Unicode MS" w:hAnsi="Arial Unicode MS" w:eastAsia="宋体" w:cs="Arial Unicode MS"/>
      <w:kern w:val="2"/>
      <w:sz w:val="18"/>
      <w:szCs w:val="18"/>
    </w:rPr>
  </w:style>
  <w:style w:type="character" w:customStyle="1" w:styleId="36">
    <w:name w:val="标题 1 字符"/>
    <w:basedOn w:val="17"/>
    <w:link w:val="2"/>
    <w:qFormat/>
    <w:uiPriority w:val="0"/>
    <w:rPr>
      <w:rFonts w:eastAsia="Arial"/>
      <w:b/>
      <w:bCs/>
      <w:snapToGrid w:val="0"/>
      <w:color w:val="000000"/>
      <w:kern w:val="44"/>
      <w:sz w:val="44"/>
      <w:szCs w:val="44"/>
    </w:rPr>
  </w:style>
  <w:style w:type="paragraph" w:customStyle="1" w:styleId="37">
    <w:name w:val="TOC Heading"/>
    <w:basedOn w:val="2"/>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376092" w:themeColor="accent1" w:themeShade="BF"/>
      <w:kern w:val="0"/>
      <w:sz w:val="32"/>
      <w:szCs w:val="32"/>
    </w:rPr>
  </w:style>
  <w:style w:type="paragraph" w:customStyle="1" w:styleId="38">
    <w:name w:val="Table Text"/>
    <w:basedOn w:val="1"/>
    <w:semiHidden/>
    <w:qFormat/>
    <w:uiPriority w:val="0"/>
    <w:pPr>
      <w:widowControl w:val="0"/>
      <w:kinsoku/>
      <w:autoSpaceDE/>
      <w:autoSpaceDN/>
      <w:adjustRightInd/>
      <w:snapToGrid/>
      <w:jc w:val="both"/>
      <w:textAlignment w:val="auto"/>
    </w:pPr>
    <w:rPr>
      <w:rFonts w:ascii="宋体" w:hAnsi="宋体" w:eastAsia="宋体" w:cs="宋体"/>
      <w:snapToGrid/>
      <w:color w:val="auto"/>
      <w:kern w:val="2"/>
      <w:sz w:val="20"/>
      <w:szCs w:val="20"/>
    </w:rPr>
  </w:style>
  <w:style w:type="paragraph" w:styleId="39">
    <w:name w:val="List Paragraph"/>
    <w:basedOn w:val="1"/>
    <w:qFormat/>
    <w:uiPriority w:val="99"/>
    <w:pPr>
      <w:ind w:firstLine="420" w:firstLineChars="200"/>
    </w:pPr>
  </w:style>
  <w:style w:type="paragraph" w:customStyle="1" w:styleId="40">
    <w:name w:val="MSG_EN_FONT_STYLE_NAME_TEMPLATE_ROLE_LEVEL MSG_EN_FONT_STYLE_NAME_BY_ROLE_HEADING 6"/>
    <w:basedOn w:val="1"/>
    <w:qFormat/>
    <w:uiPriority w:val="0"/>
    <w:pPr>
      <w:shd w:val="clear" w:color="auto" w:fill="FFFFFF"/>
      <w:spacing w:before="460" w:after="760" w:line="300" w:lineRule="exact"/>
      <w:jc w:val="distribute"/>
      <w:outlineLvl w:val="5"/>
    </w:pPr>
    <w:rPr>
      <w:rFonts w:ascii="Lucida Sans Unicode" w:hAnsi="Lucida Sans Unicode" w:eastAsia="Lucida Sans Unicode" w:cs="Lucida Sans Unicode"/>
      <w:sz w:val="30"/>
      <w:szCs w:val="3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3CDC7-044A-4831-A0C5-7F44F7011DDC}">
  <ds:schemaRefs/>
</ds:datastoreItem>
</file>

<file path=docProps/app.xml><?xml version="1.0" encoding="utf-8"?>
<Properties xmlns="http://schemas.openxmlformats.org/officeDocument/2006/extended-properties" xmlns:vt="http://schemas.openxmlformats.org/officeDocument/2006/docPropsVTypes">
  <Template>Normal</Template>
  <Pages>18</Pages>
  <Words>2883</Words>
  <Characters>3243</Characters>
  <Lines>2585</Lines>
  <Paragraphs>2978</Paragraphs>
  <TotalTime>1</TotalTime>
  <ScaleCrop>false</ScaleCrop>
  <LinksUpToDate>false</LinksUpToDate>
  <CharactersWithSpaces>3282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2023-07-03T16:58:00Z</dcterms:created>
  <dc:creator>Administrator</dc:creator>
  <cp:lastModifiedBy>lenovo</cp:lastModifiedBy>
  <cp:lastPrinted>2025-09-18T02:23:00Z</cp:lastPrinted>
  <dcterms:modified xsi:type="dcterms:W3CDTF">2026-10-18T08:32:54Z</dcterms:modified>
  <cp:revision>1125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2023-07-06T10:58:50Z</vt:filetime>
  </property>
  <property fmtid="{D5CDD505-2E9C-101B-9397-08002B2CF9AE}" pid="4" name="KSOProductBuildVer">
    <vt:lpwstr>2052-12.1.0.29161</vt:lpwstr>
  </property>
  <property fmtid="{D5CDD505-2E9C-101B-9397-08002B2CF9AE}" pid="5" name="ICV">
    <vt:lpwstr>5C96709AC7494B75880FD818A5FEB214_13</vt:lpwstr>
  </property>
  <property fmtid="{D5CDD505-2E9C-101B-9397-08002B2CF9AE}" pid="6" name="KSOTemplateDocerSaveRecord">
    <vt:lpwstr>eyJoZGlkIjoiYzE4NTYxOGVkOTViODQxMjFmMWIxMzE5ZTRlOGE3NmUiLCJ1c2VySWQiOiI0MzA2NDQ1NzAifQ==</vt:lpwstr>
  </property>
</Properties>
</file>