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 w:eastAsia="仿宋_GB2312" w:cs="Times New Roman"/>
          <w:b/>
          <w:bCs/>
          <w:sz w:val="22"/>
        </w:rPr>
      </w:pPr>
      <w:r>
        <w:rPr>
          <w:rFonts w:hint="eastAsia" w:ascii="仿宋_GB2312" w:hAnsi="仿宋" w:eastAsia="仿宋_GB2312" w:cs="Times New Roman"/>
          <w:sz w:val="22"/>
        </w:rPr>
        <w:t xml:space="preserve">附件1                            </w:t>
      </w:r>
      <w:r>
        <w:rPr>
          <w:rFonts w:hint="eastAsia" w:ascii="仿宋_GB2312" w:hAnsi="仿宋" w:eastAsia="仿宋_GB2312" w:cs="Times New Roman"/>
          <w:b/>
          <w:bCs/>
          <w:sz w:val="22"/>
        </w:rPr>
        <w:t xml:space="preserve">  吉林省农村公路设计企业信用行为评定标准</w:t>
      </w:r>
    </w:p>
    <w:tbl>
      <w:tblPr>
        <w:tblStyle w:val="8"/>
        <w:tblW w:w="1431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6"/>
        <w:gridCol w:w="1275"/>
        <w:gridCol w:w="6237"/>
        <w:gridCol w:w="21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986" w:type="dxa"/>
            <w:gridSpan w:val="2"/>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评定内容</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行为代码</w:t>
            </w:r>
          </w:p>
        </w:tc>
        <w:tc>
          <w:tcPr>
            <w:tcW w:w="623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不良行为</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行为等级和</w:t>
            </w:r>
          </w:p>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扣分标准</w:t>
            </w:r>
          </w:p>
        </w:tc>
        <w:tc>
          <w:tcPr>
            <w:tcW w:w="2693"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restart"/>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投标行为（满分100，扣完为止。行为代码GLSJ1）</w:t>
            </w:r>
          </w:p>
        </w:tc>
        <w:tc>
          <w:tcPr>
            <w:tcW w:w="1276" w:type="dxa"/>
            <w:vMerge w:val="restart"/>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严重失信行为（行为代码GLSJ1-1）</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GLSJ1-1-1</w:t>
            </w:r>
          </w:p>
        </w:tc>
        <w:tc>
          <w:tcPr>
            <w:tcW w:w="6237" w:type="dxa"/>
            <w:vAlign w:val="center"/>
          </w:tcPr>
          <w:p>
            <w:pPr>
              <w:widowControl/>
              <w:spacing w:line="200" w:lineRule="exact"/>
              <w:jc w:val="left"/>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超越资质等级许可范围承揽工程</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GLSJ1-1-2</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出借资质，允许其他单位或个人以本单位名义投标或承接工程</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GLSJ1-1-3</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受让或租借资质，以他人名义投标</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GLSJ1-1-4</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与招标人或其他投标人串通投标，存在围标、串标等行为</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GLSJ1-1-5</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资审申请文件或投标文件虚假或以其他违法形式骗取中标资格的</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GLSJ1-1-6</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因违反法律、法规、规章被禁止投标后，在禁止期内仍参与投标</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color w:val="000000"/>
                <w:kern w:val="0"/>
                <w:sz w:val="18"/>
                <w:szCs w:val="18"/>
              </w:rPr>
              <w:t>直接定为D级；已为D级的，D级延期半年</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GLSJ1-1-7</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涂改、伪造、转让资质证书</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kern w:val="0"/>
                <w:sz w:val="18"/>
                <w:szCs w:val="18"/>
              </w:rPr>
              <w:t>直接定为D级</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restart"/>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一般失信行为（行为代码GLSJ1-2）</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GLSJ1-2-1</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中标人拒不按照招标文件要求提交履约保证金</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20分/次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GLSJ1-2-2</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中标后无正当理由放弃中标</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20分/次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kern w:val="0"/>
                <w:sz w:val="18"/>
                <w:szCs w:val="18"/>
              </w:rPr>
              <w:t>GLSJ1-2-3</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未按时确认补遗书等招标人发出的通知</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10分/次</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GLSJ1-2-4</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无正当理由未在规定时间内签订合同</w:t>
            </w:r>
          </w:p>
        </w:tc>
        <w:tc>
          <w:tcPr>
            <w:tcW w:w="2127"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10分/次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非投标企业原因除外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GLSJ1-2-5</w:t>
            </w:r>
          </w:p>
        </w:tc>
        <w:tc>
          <w:tcPr>
            <w:tcW w:w="6237" w:type="dxa"/>
            <w:vAlign w:val="center"/>
          </w:tcPr>
          <w:p>
            <w:pPr>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对同一合同段递交2份及以上资格预审申请文件或投标文件</w:t>
            </w:r>
          </w:p>
        </w:tc>
        <w:tc>
          <w:tcPr>
            <w:tcW w:w="2127" w:type="dxa"/>
            <w:vAlign w:val="center"/>
          </w:tcPr>
          <w:p>
            <w:pPr>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kern w:val="0"/>
                <w:sz w:val="18"/>
                <w:szCs w:val="18"/>
              </w:rPr>
              <w:t>6分/次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GLSJ1-2-6</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非招标人或招标文件原因放弃投标，未提前书面告知招标人</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kern w:val="0"/>
                <w:sz w:val="18"/>
                <w:szCs w:val="18"/>
              </w:rPr>
              <w:t>6分/次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履约行为（满分100，扣完为止。行为代码GLSJ2）</w:t>
            </w: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宋体"/>
                <w:kern w:val="0"/>
                <w:sz w:val="18"/>
                <w:szCs w:val="18"/>
              </w:rPr>
            </w:pPr>
          </w:p>
          <w:p>
            <w:pPr>
              <w:jc w:val="center"/>
              <w:rPr>
                <w:rFonts w:ascii="华文宋体" w:hAnsi="华文宋体" w:eastAsia="华文宋体" w:cs="Times New Roman"/>
                <w:sz w:val="18"/>
                <w:szCs w:val="18"/>
              </w:rPr>
            </w:pPr>
          </w:p>
        </w:tc>
        <w:tc>
          <w:tcPr>
            <w:tcW w:w="1276" w:type="dxa"/>
            <w:vMerge w:val="restart"/>
            <w:vAlign w:val="center"/>
          </w:tcPr>
          <w:p>
            <w:pPr>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严重失信行为（行为代码GLSJ2-1）</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GLSJ2-1-1</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因勘察设计原因造成重大质量或重大及以上等级安全事故</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直接定为D级</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GLSJ2-1-2</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将中标合同转包或违法分包</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直接定为D级</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restart"/>
            <w:vAlign w:val="center"/>
          </w:tcPr>
          <w:p>
            <w:pPr>
              <w:widowControl/>
              <w:spacing w:line="200" w:lineRule="exact"/>
              <w:rPr>
                <w:rFonts w:hint="eastAsia" w:ascii="华文宋体" w:hAnsi="华文宋体" w:eastAsia="华文宋体" w:cs="宋体"/>
                <w:kern w:val="0"/>
                <w:sz w:val="18"/>
                <w:szCs w:val="18"/>
              </w:rPr>
            </w:pPr>
          </w:p>
          <w:p>
            <w:pPr>
              <w:widowControl/>
              <w:spacing w:line="200" w:lineRule="exact"/>
              <w:rPr>
                <w:rFonts w:hint="eastAsia" w:ascii="华文宋体" w:hAnsi="华文宋体" w:eastAsia="华文宋体" w:cs="宋体"/>
                <w:kern w:val="0"/>
                <w:sz w:val="18"/>
                <w:szCs w:val="18"/>
              </w:rPr>
            </w:pPr>
          </w:p>
          <w:p>
            <w:pPr>
              <w:widowControl/>
              <w:spacing w:line="200" w:lineRule="exact"/>
              <w:rPr>
                <w:rFonts w:hint="eastAsia" w:ascii="华文宋体" w:hAnsi="华文宋体" w:eastAsia="华文宋体" w:cs="宋体"/>
                <w:kern w:val="0"/>
                <w:sz w:val="18"/>
                <w:szCs w:val="18"/>
              </w:rPr>
            </w:pPr>
          </w:p>
          <w:p>
            <w:pPr>
              <w:widowControl/>
              <w:spacing w:line="200" w:lineRule="exact"/>
              <w:rPr>
                <w:rFonts w:ascii="华文宋体" w:hAnsi="华文宋体" w:eastAsia="华文宋体" w:cs="宋体"/>
                <w:kern w:val="0"/>
                <w:sz w:val="18"/>
                <w:szCs w:val="18"/>
              </w:rPr>
            </w:pPr>
            <w:r>
              <w:rPr>
                <w:rFonts w:hint="eastAsia" w:ascii="华文宋体" w:hAnsi="华文宋体" w:eastAsia="华文宋体" w:cs="宋体"/>
                <w:kern w:val="0"/>
                <w:sz w:val="18"/>
                <w:szCs w:val="18"/>
              </w:rPr>
              <w:t>人员到位（满分25，扣完为止。行为代码GLSJ2-2）</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GLSJ2-2-1</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更换投标书承诺的项目负责人未经项目法人同意</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12分/人次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GLSJ2-2-2</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更换投标书承诺的其它专业负责人未经项目法人同意更换</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6分/人次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GLSJ2-2-3</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设计人员不具备相应执业资格条件</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5分/人次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GLSJ2-2-4</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更换投标书承诺的施工期设计代表未经项目法人同意</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6分/人次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GLSJ2-2-5</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施工期设计代表因自身过失原因被更换</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12分/人次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restart"/>
            <w:vAlign w:val="center"/>
          </w:tcPr>
          <w:p>
            <w:pPr>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进度管理（满分15，扣完为止。行为代码GLSJ2-3）</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GLSJ2-3-1</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因勘察设计原因未按合同约定时间提交设计文件成果</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12分/次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GLSJ2-3-2</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因自身原因未按合同约定开展外业工作或因自身原因提交外业成果的时间不满足合同规定或设计要求</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GLSJ2-3-3</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因勘察设计进度原因，引起项目推迟开工</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GLSJ2-3-4</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因后期服务原因，引起工期延误</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GLSJ2-3-5</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因自身原因未按时参加交（竣）工验收或工程质量事故分析</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6分/次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restart"/>
            <w:vAlign w:val="center"/>
          </w:tcPr>
          <w:p>
            <w:pPr>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成果质量（满分30，扣完为止。行为代码GLSJ2-4）</w:t>
            </w:r>
          </w:p>
        </w:tc>
        <w:tc>
          <w:tcPr>
            <w:tcW w:w="1275" w:type="dxa"/>
            <w:vAlign w:val="center"/>
          </w:tcPr>
          <w:p>
            <w:pPr>
              <w:widowControl/>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GLSJ2-4-1</w:t>
            </w:r>
          </w:p>
        </w:tc>
        <w:tc>
          <w:tcPr>
            <w:tcW w:w="6237" w:type="dxa"/>
            <w:vAlign w:val="center"/>
          </w:tcPr>
          <w:p>
            <w:pPr>
              <w:widowControl/>
              <w:spacing w:line="200" w:lineRule="exact"/>
              <w:jc w:val="left"/>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因勘察设计原因引起一般质量事故或较大安全事故</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20分/次</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GLSJ2-4-2</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因勘察设计原因引起一般质量问题或一般安全事故</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13分/次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GLSJ2-4-3</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因设计原因，项目设计投资的编制存在重大错误</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GLSJ2-4-4</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成果文件不满足有关主管部门批复意见和强制性标准要求</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10分/项次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GLSJ2-4-5</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成果文件不满足勘察设计深度要求</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5分/项次</w:t>
            </w:r>
          </w:p>
        </w:tc>
        <w:tc>
          <w:tcPr>
            <w:tcW w:w="2693"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单次审查、验收或检查为一次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GLSJ2-4-6</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签章不全、未授权代签或借用他人资格签章</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5分/项次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GLSJ2-4-7</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对批复意见或审查意见的技术方案未落实</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5分/项次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GLSJ2-4-8</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因勘察设计原因，引起重大设计变更</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20分/项次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GLSJ2-4-9</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因勘察设计原因，引起较大设计变更</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13分/次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Times New Roman"/>
                <w:sz w:val="18"/>
                <w:szCs w:val="18"/>
              </w:rPr>
              <w:t>GLSJ2-4-10</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因勘察设计原因，引起</w:t>
            </w:r>
            <w:r>
              <w:rPr>
                <w:rFonts w:ascii="华文宋体" w:hAnsi="华文宋体" w:eastAsia="华文宋体" w:cs="宋体"/>
                <w:kern w:val="0"/>
                <w:sz w:val="18"/>
                <w:szCs w:val="18"/>
              </w:rPr>
              <w:t>一般</w:t>
            </w:r>
            <w:r>
              <w:rPr>
                <w:rFonts w:hint="eastAsia" w:ascii="华文宋体" w:hAnsi="华文宋体" w:eastAsia="华文宋体" w:cs="宋体"/>
                <w:kern w:val="0"/>
                <w:sz w:val="18"/>
                <w:szCs w:val="18"/>
              </w:rPr>
              <w:t>设计变更</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Times New Roman"/>
                <w:sz w:val="18"/>
                <w:szCs w:val="18"/>
              </w:rPr>
              <w:t>5分</w:t>
            </w:r>
            <w:r>
              <w:rPr>
                <w:rFonts w:hint="eastAsia" w:ascii="华文宋体" w:hAnsi="华文宋体" w:eastAsia="华文宋体" w:cs="宋体"/>
                <w:color w:val="000000"/>
                <w:kern w:val="0"/>
                <w:sz w:val="18"/>
                <w:szCs w:val="18"/>
              </w:rPr>
              <w:t>/次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restart"/>
            <w:vAlign w:val="center"/>
          </w:tcPr>
          <w:p>
            <w:pPr>
              <w:spacing w:line="200" w:lineRule="exact"/>
              <w:jc w:val="center"/>
              <w:rPr>
                <w:rFonts w:ascii="华文宋体" w:hAnsi="华文宋体" w:eastAsia="华文宋体" w:cs="宋体"/>
                <w:kern w:val="0"/>
                <w:sz w:val="18"/>
                <w:szCs w:val="18"/>
              </w:rPr>
            </w:pPr>
          </w:p>
          <w:p>
            <w:pPr>
              <w:spacing w:line="200" w:lineRule="exact"/>
              <w:jc w:val="center"/>
              <w:rPr>
                <w:rFonts w:ascii="华文宋体" w:hAnsi="华文宋体" w:eastAsia="华文宋体" w:cs="宋体"/>
                <w:kern w:val="0"/>
                <w:sz w:val="18"/>
                <w:szCs w:val="18"/>
              </w:rPr>
            </w:pPr>
          </w:p>
          <w:p>
            <w:pPr>
              <w:spacing w:line="200" w:lineRule="exact"/>
              <w:jc w:val="center"/>
              <w:rPr>
                <w:rFonts w:ascii="华文宋体" w:hAnsi="华文宋体" w:eastAsia="华文宋体" w:cs="宋体"/>
                <w:kern w:val="0"/>
                <w:sz w:val="18"/>
                <w:szCs w:val="18"/>
              </w:rPr>
            </w:pPr>
          </w:p>
          <w:p>
            <w:pPr>
              <w:spacing w:line="200" w:lineRule="exact"/>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其他失信行为（满分30，扣完为止。行为代码GLSJ2-5）</w:t>
            </w:r>
          </w:p>
          <w:p>
            <w:pPr>
              <w:spacing w:line="200" w:lineRule="exact"/>
              <w:jc w:val="center"/>
              <w:rPr>
                <w:rFonts w:ascii="华文宋体" w:hAnsi="华文宋体" w:eastAsia="华文宋体" w:cs="宋体"/>
                <w:kern w:val="0"/>
                <w:sz w:val="18"/>
                <w:szCs w:val="18"/>
              </w:rPr>
            </w:pPr>
          </w:p>
          <w:p>
            <w:pPr>
              <w:spacing w:line="200" w:lineRule="exact"/>
              <w:jc w:val="center"/>
              <w:rPr>
                <w:rFonts w:ascii="华文宋体" w:hAnsi="华文宋体" w:eastAsia="华文宋体" w:cs="宋体"/>
                <w:kern w:val="0"/>
                <w:sz w:val="18"/>
                <w:szCs w:val="18"/>
              </w:rPr>
            </w:pPr>
          </w:p>
          <w:p>
            <w:pPr>
              <w:spacing w:line="200" w:lineRule="exact"/>
              <w:rPr>
                <w:rFonts w:ascii="华文宋体" w:hAnsi="华文宋体" w:eastAsia="华文宋体" w:cs="宋体"/>
                <w:kern w:val="0"/>
                <w:sz w:val="18"/>
                <w:szCs w:val="18"/>
              </w:rPr>
            </w:pPr>
          </w:p>
          <w:p>
            <w:pPr>
              <w:spacing w:line="200" w:lineRule="exact"/>
              <w:jc w:val="center"/>
              <w:rPr>
                <w:rFonts w:ascii="华文宋体" w:hAnsi="华文宋体" w:eastAsia="华文宋体" w:cs="宋体"/>
                <w:kern w:val="0"/>
                <w:sz w:val="18"/>
                <w:szCs w:val="18"/>
              </w:rPr>
            </w:pPr>
          </w:p>
        </w:tc>
        <w:tc>
          <w:tcPr>
            <w:tcW w:w="1275" w:type="dxa"/>
            <w:vAlign w:val="center"/>
          </w:tcPr>
          <w:p>
            <w:pPr>
              <w:jc w:val="center"/>
              <w:rPr>
                <w:rFonts w:ascii="华文宋体" w:hAnsi="华文宋体" w:eastAsia="华文宋体" w:cs="宋体"/>
                <w:kern w:val="0"/>
                <w:sz w:val="18"/>
                <w:szCs w:val="18"/>
              </w:rPr>
            </w:pPr>
            <w:r>
              <w:rPr>
                <w:rFonts w:hint="eastAsia" w:ascii="华文宋体" w:hAnsi="华文宋体" w:eastAsia="华文宋体" w:cs="宋体"/>
                <w:kern w:val="0"/>
                <w:sz w:val="18"/>
                <w:szCs w:val="18"/>
              </w:rPr>
              <w:t>GLSJ2-5-1</w:t>
            </w:r>
          </w:p>
        </w:tc>
        <w:tc>
          <w:tcPr>
            <w:tcW w:w="6237" w:type="dxa"/>
            <w:vAlign w:val="center"/>
          </w:tcPr>
          <w:p>
            <w:pPr>
              <w:widowControl/>
              <w:spacing w:line="200" w:lineRule="exact"/>
              <w:jc w:val="left"/>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在设计或设计变更中，违规谋取非法利益</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30分/次</w:t>
            </w:r>
          </w:p>
        </w:tc>
        <w:tc>
          <w:tcPr>
            <w:tcW w:w="2693" w:type="dxa"/>
            <w:vAlign w:val="center"/>
          </w:tcPr>
          <w:p>
            <w:pPr>
              <w:widowControl/>
              <w:spacing w:line="200" w:lineRule="exact"/>
              <w:jc w:val="center"/>
              <w:rPr>
                <w:rFonts w:ascii="华文宋体" w:hAnsi="华文宋体" w:eastAsia="华文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GLSJ2-5-2</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未按合同规定进行地质勘察</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30分/次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GLSJ2-5-3</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地质勘察时间滞后，地质勘察成果未利用</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20分/次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GLSJ2-5-4</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地质勘察深度不足</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20分/次</w:t>
            </w:r>
          </w:p>
        </w:tc>
        <w:tc>
          <w:tcPr>
            <w:tcW w:w="2693"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kern w:val="0"/>
                <w:sz w:val="18"/>
                <w:szCs w:val="18"/>
              </w:rPr>
              <w:t>单次审查、验收或检查为一次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GLSJ2-5-5</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Times New Roman"/>
                <w:sz w:val="18"/>
                <w:szCs w:val="18"/>
              </w:rPr>
              <w:t>除特殊要求的建筑材料和专用设备外</w:t>
            </w:r>
            <w:r>
              <w:rPr>
                <w:rFonts w:hint="eastAsia" w:ascii="华文宋体" w:hAnsi="华文宋体" w:eastAsia="华文宋体" w:cs="宋体"/>
                <w:kern w:val="0"/>
                <w:sz w:val="18"/>
                <w:szCs w:val="18"/>
              </w:rPr>
              <w:t>设计单位指定建筑材料、建筑构配件、设备等生产厂家、供应商</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GLSJ2-5-6</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提供虚假地质勘察资料的</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10分/项次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GLSJ2-5-7</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发生廉政事件但未触犯刑事法律</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8分/次</w:t>
            </w:r>
          </w:p>
        </w:tc>
        <w:tc>
          <w:tcPr>
            <w:tcW w:w="2693" w:type="dxa"/>
            <w:vAlign w:val="center"/>
          </w:tcPr>
          <w:p>
            <w:pPr>
              <w:jc w:val="center"/>
              <w:rPr>
                <w:rFonts w:ascii="华文宋体" w:hAnsi="华文宋体" w:eastAsia="华文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GLSJ2-5-8</w:t>
            </w:r>
          </w:p>
        </w:tc>
        <w:tc>
          <w:tcPr>
            <w:tcW w:w="6237" w:type="dxa"/>
            <w:vAlign w:val="center"/>
          </w:tcPr>
          <w:p>
            <w:pPr>
              <w:jc w:val="left"/>
              <w:rPr>
                <w:rFonts w:ascii="华文宋体" w:hAnsi="华文宋体" w:eastAsia="华文宋体" w:cs="Times New Roman"/>
                <w:sz w:val="18"/>
                <w:szCs w:val="18"/>
              </w:rPr>
            </w:pPr>
            <w:r>
              <w:rPr>
                <w:rFonts w:hint="eastAsia" w:ascii="华文宋体" w:hAnsi="华文宋体" w:eastAsia="华文宋体" w:cs="宋体"/>
                <w:kern w:val="0"/>
                <w:sz w:val="18"/>
                <w:szCs w:val="18"/>
              </w:rPr>
              <w:t>勘察设计工作大纲及实施细则未落实</w:t>
            </w:r>
          </w:p>
        </w:tc>
        <w:tc>
          <w:tcPr>
            <w:tcW w:w="2127" w:type="dxa"/>
            <w:vAlign w:val="center"/>
          </w:tcPr>
          <w:p>
            <w:pPr>
              <w:jc w:val="center"/>
              <w:rPr>
                <w:rFonts w:ascii="华文宋体" w:hAnsi="华文宋体" w:eastAsia="华文宋体" w:cs="Times New Roman"/>
                <w:sz w:val="18"/>
                <w:szCs w:val="18"/>
              </w:rPr>
            </w:pPr>
            <w:r>
              <w:rPr>
                <w:rFonts w:hint="eastAsia" w:ascii="华文宋体" w:hAnsi="华文宋体" w:eastAsia="华文宋体" w:cs="宋体"/>
                <w:color w:val="000000"/>
                <w:kern w:val="0"/>
                <w:sz w:val="18"/>
                <w:szCs w:val="18"/>
              </w:rPr>
              <w:t>6分/项次</w:t>
            </w:r>
          </w:p>
        </w:tc>
        <w:tc>
          <w:tcPr>
            <w:tcW w:w="2693" w:type="dxa"/>
            <w:vAlign w:val="center"/>
          </w:tcPr>
          <w:p>
            <w:pPr>
              <w:jc w:val="center"/>
              <w:rPr>
                <w:rFonts w:ascii="华文宋体" w:hAnsi="华文宋体" w:eastAsia="华文宋体" w:cs="Times New Roman"/>
                <w:sz w:val="18"/>
                <w:szCs w:val="18"/>
              </w:rPr>
            </w:pPr>
            <w:r>
              <w:rPr>
                <w:rFonts w:hint="eastAsia" w:ascii="华文宋体" w:hAnsi="华文宋体" w:eastAsia="华文宋体" w:cs="Times New Roman"/>
                <w:sz w:val="18"/>
                <w:szCs w:val="18"/>
              </w:rPr>
              <w:t>经业主同意的合理调整除外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Times New Roman"/>
                <w:sz w:val="18"/>
                <w:szCs w:val="18"/>
              </w:rPr>
            </w:pPr>
          </w:p>
        </w:tc>
        <w:tc>
          <w:tcPr>
            <w:tcW w:w="1276" w:type="dxa"/>
            <w:vMerge w:val="continue"/>
            <w:vAlign w:val="center"/>
          </w:tcPr>
          <w:p>
            <w:pPr>
              <w:jc w:val="center"/>
              <w:rPr>
                <w:rFonts w:ascii="华文宋体" w:hAnsi="华文宋体" w:eastAsia="华文宋体" w:cs="Times New Roman"/>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GLSJ2-5-9</w:t>
            </w:r>
          </w:p>
        </w:tc>
        <w:tc>
          <w:tcPr>
            <w:tcW w:w="6237" w:type="dxa"/>
            <w:vAlign w:val="center"/>
          </w:tcPr>
          <w:p>
            <w:pPr>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发生其他不良或违规行为，包括被项目业主、地市级以上</w:t>
            </w:r>
            <w:r>
              <w:rPr>
                <w:rFonts w:hint="eastAsia" w:ascii="华文宋体" w:hAnsi="华文宋体" w:eastAsia="华文宋体" w:cs="宋体"/>
                <w:kern w:val="0"/>
                <w:sz w:val="18"/>
                <w:szCs w:val="18"/>
                <w:lang w:eastAsia="zh-CN"/>
              </w:rPr>
              <w:t>交通运输综合执法部门</w:t>
            </w:r>
            <w:r>
              <w:rPr>
                <w:rFonts w:hint="eastAsia" w:ascii="华文宋体" w:hAnsi="华文宋体" w:eastAsia="华文宋体" w:cs="宋体"/>
                <w:kern w:val="0"/>
                <w:sz w:val="18"/>
                <w:szCs w:val="18"/>
              </w:rPr>
              <w:t>通报</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3分/次</w:t>
            </w:r>
          </w:p>
        </w:tc>
        <w:tc>
          <w:tcPr>
            <w:tcW w:w="2693" w:type="dxa"/>
            <w:vAlign w:val="center"/>
          </w:tcPr>
          <w:p>
            <w:pPr>
              <w:jc w:val="center"/>
              <w:rPr>
                <w:rFonts w:ascii="华文宋体" w:hAnsi="华文宋体" w:eastAsia="华文宋体" w:cs="Times New Roman"/>
                <w:sz w:val="18"/>
                <w:szCs w:val="18"/>
              </w:rPr>
            </w:pPr>
            <w:r>
              <w:rPr>
                <w:rFonts w:hint="eastAsia" w:ascii="华文宋体" w:hAnsi="华文宋体" w:eastAsia="华文宋体" w:cs="Times New Roman"/>
                <w:sz w:val="18"/>
                <w:szCs w:val="18"/>
              </w:rPr>
              <w:t>针对同一事件的通报批评内容不累加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其他行为（行为代码GLSJ3）</w:t>
            </w:r>
          </w:p>
        </w:tc>
        <w:tc>
          <w:tcPr>
            <w:tcW w:w="1276"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严重失信行为（代码GLSJ3-1）</w:t>
            </w: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GLSJ3-1-1</w:t>
            </w:r>
          </w:p>
        </w:tc>
        <w:tc>
          <w:tcPr>
            <w:tcW w:w="6237" w:type="dxa"/>
            <w:vAlign w:val="center"/>
          </w:tcPr>
          <w:p>
            <w:pPr>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被司法机关认定有单位行贿、受贿行为，或为他人谋取不正当利益并构成犯罪</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直接定为D级</w:t>
            </w:r>
          </w:p>
        </w:tc>
        <w:tc>
          <w:tcPr>
            <w:tcW w:w="2693" w:type="dxa"/>
            <w:vAlign w:val="center"/>
          </w:tcPr>
          <w:p>
            <w:pPr>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restart"/>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lang w:eastAsia="zh-CN"/>
              </w:rPr>
              <w:t>一般</w:t>
            </w:r>
            <w:r>
              <w:rPr>
                <w:rFonts w:hint="eastAsia" w:ascii="华文宋体" w:hAnsi="华文宋体" w:eastAsia="华文宋体" w:cs="宋体"/>
                <w:color w:val="000000"/>
                <w:kern w:val="0"/>
                <w:sz w:val="18"/>
                <w:szCs w:val="18"/>
              </w:rPr>
              <w:t>失信行为（代码GLSJ3-2）</w:t>
            </w: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GLSJ3-2-1</w:t>
            </w:r>
          </w:p>
        </w:tc>
        <w:tc>
          <w:tcPr>
            <w:tcW w:w="6237" w:type="dxa"/>
            <w:vAlign w:val="center"/>
          </w:tcPr>
          <w:p>
            <w:pPr>
              <w:widowControl/>
              <w:spacing w:line="200" w:lineRule="exact"/>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进行虚假投诉</w:t>
            </w:r>
          </w:p>
        </w:tc>
        <w:tc>
          <w:tcPr>
            <w:tcW w:w="2127" w:type="dxa"/>
            <w:vAlign w:val="center"/>
          </w:tcPr>
          <w:p>
            <w:pPr>
              <w:widowControl/>
              <w:spacing w:line="200" w:lineRule="exact"/>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20分/次</w:t>
            </w:r>
          </w:p>
        </w:tc>
        <w:tc>
          <w:tcPr>
            <w:tcW w:w="2693" w:type="dxa"/>
            <w:vAlign w:val="center"/>
          </w:tcPr>
          <w:p>
            <w:pPr>
              <w:widowControl/>
              <w:spacing w:line="200" w:lineRule="exact"/>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GLSJ3-2-2</w:t>
            </w:r>
          </w:p>
        </w:tc>
        <w:tc>
          <w:tcPr>
            <w:tcW w:w="6237" w:type="dxa"/>
            <w:vAlign w:val="center"/>
          </w:tcPr>
          <w:p>
            <w:pPr>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信用考核弄虚作假或以不正当手段骗取较高信用等级</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15分/次</w:t>
            </w:r>
          </w:p>
        </w:tc>
        <w:tc>
          <w:tcPr>
            <w:tcW w:w="2693" w:type="dxa"/>
            <w:vAlign w:val="center"/>
          </w:tcPr>
          <w:p>
            <w:pPr>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GLSJ3-2-3</w:t>
            </w:r>
          </w:p>
        </w:tc>
        <w:tc>
          <w:tcPr>
            <w:tcW w:w="6237" w:type="dxa"/>
            <w:vAlign w:val="center"/>
          </w:tcPr>
          <w:p>
            <w:pPr>
              <w:jc w:val="left"/>
              <w:rPr>
                <w:rFonts w:ascii="华文宋体" w:hAnsi="华文宋体" w:eastAsia="华文宋体" w:cs="宋体"/>
                <w:kern w:val="0"/>
                <w:sz w:val="18"/>
                <w:szCs w:val="18"/>
              </w:rPr>
            </w:pPr>
            <w:r>
              <w:rPr>
                <w:rFonts w:hint="eastAsia" w:ascii="华文宋体" w:hAnsi="华文宋体" w:eastAsia="华文宋体" w:cs="宋体"/>
                <w:kern w:val="0"/>
                <w:sz w:val="18"/>
                <w:szCs w:val="18"/>
              </w:rPr>
              <w:t>在资质申报、延续、变更等过程中弄虚作假</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10分/项次</w:t>
            </w:r>
          </w:p>
        </w:tc>
        <w:tc>
          <w:tcPr>
            <w:tcW w:w="2693" w:type="dxa"/>
            <w:vAlign w:val="center"/>
          </w:tcPr>
          <w:p>
            <w:pPr>
              <w:jc w:val="center"/>
              <w:rPr>
                <w:rFonts w:ascii="华文宋体" w:hAnsi="华文宋体" w:eastAsia="华文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GLSJ3-2-4</w:t>
            </w:r>
          </w:p>
        </w:tc>
        <w:tc>
          <w:tcPr>
            <w:tcW w:w="6237" w:type="dxa"/>
            <w:vAlign w:val="center"/>
          </w:tcPr>
          <w:p>
            <w:pPr>
              <w:jc w:val="left"/>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省级及以上交通运输主管部门要求企业填报向社会公布的信息，存在虚假的</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10分/项次</w:t>
            </w:r>
          </w:p>
        </w:tc>
        <w:tc>
          <w:tcPr>
            <w:tcW w:w="2693"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在省级综合考核中扣除，单个人员、设备、业绩等信息为1项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GLSJ3-2-5</w:t>
            </w:r>
          </w:p>
        </w:tc>
        <w:tc>
          <w:tcPr>
            <w:tcW w:w="6237" w:type="dxa"/>
            <w:vAlign w:val="center"/>
          </w:tcPr>
          <w:p>
            <w:pPr>
              <w:jc w:val="left"/>
              <w:rPr>
                <w:rFonts w:hint="default" w:ascii="华文宋体" w:hAnsi="华文宋体" w:eastAsia="华文宋体" w:cs="宋体"/>
                <w:color w:val="000000"/>
                <w:kern w:val="0"/>
                <w:sz w:val="18"/>
                <w:szCs w:val="18"/>
                <w:lang w:val="en-US" w:eastAsia="zh-CN"/>
              </w:rPr>
            </w:pPr>
            <w:r>
              <w:rPr>
                <w:rFonts w:hint="eastAsia" w:ascii="华文宋体" w:hAnsi="华文宋体" w:eastAsia="华文宋体" w:cs="宋体"/>
                <w:color w:val="000000"/>
                <w:kern w:val="0"/>
                <w:sz w:val="18"/>
                <w:szCs w:val="18"/>
                <w:lang w:eastAsia="zh-CN"/>
              </w:rPr>
              <w:t>因不良行为</w:t>
            </w:r>
            <w:r>
              <w:rPr>
                <w:rFonts w:hint="eastAsia" w:ascii="华文宋体" w:hAnsi="华文宋体" w:eastAsia="华文宋体" w:cs="宋体"/>
                <w:color w:val="000000"/>
                <w:kern w:val="0"/>
                <w:sz w:val="18"/>
                <w:szCs w:val="18"/>
              </w:rPr>
              <w:t>被省级及以上交通运输主管部门或省级公路管理机构通</w:t>
            </w:r>
            <w:r>
              <w:rPr>
                <w:rFonts w:hint="eastAsia" w:ascii="华文宋体" w:hAnsi="华文宋体" w:eastAsia="华文宋体" w:cs="宋体"/>
                <w:color w:val="000000"/>
                <w:kern w:val="0"/>
                <w:sz w:val="18"/>
                <w:szCs w:val="18"/>
                <w:lang w:eastAsia="zh-CN"/>
              </w:rPr>
              <w:t>报</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lang w:val="en-US" w:eastAsia="zh-CN"/>
              </w:rPr>
              <w:t>10</w:t>
            </w:r>
            <w:r>
              <w:rPr>
                <w:rFonts w:hint="eastAsia" w:ascii="华文宋体" w:hAnsi="华文宋体" w:eastAsia="华文宋体" w:cs="宋体"/>
                <w:color w:val="000000"/>
                <w:kern w:val="0"/>
                <w:sz w:val="18"/>
                <w:szCs w:val="18"/>
              </w:rPr>
              <w:t>分/次</w:t>
            </w:r>
          </w:p>
        </w:tc>
        <w:tc>
          <w:tcPr>
            <w:tcW w:w="2693" w:type="dxa"/>
            <w:vAlign w:val="center"/>
          </w:tcPr>
          <w:p>
            <w:pPr>
              <w:jc w:val="center"/>
              <w:rPr>
                <w:rFonts w:ascii="华文宋体" w:hAnsi="华文宋体" w:eastAsia="华文宋体" w:cs="宋体"/>
                <w:color w:val="000000"/>
                <w:kern w:val="0"/>
                <w:sz w:val="18"/>
                <w:szCs w:val="18"/>
              </w:rPr>
            </w:pPr>
            <w:r>
              <w:rPr>
                <w:rFonts w:ascii="华文宋体" w:hAnsi="华文宋体" w:eastAsia="华文宋体" w:cs="宋体"/>
                <w:color w:val="000000"/>
                <w:kern w:val="0"/>
                <w:sz w:val="18"/>
                <w:szCs w:val="18"/>
              </w:rPr>
              <w:t>省级</w:t>
            </w:r>
            <w:r>
              <w:rPr>
                <w:rFonts w:hint="eastAsia" w:ascii="华文宋体" w:hAnsi="华文宋体" w:eastAsia="华文宋体" w:cs="宋体"/>
                <w:color w:val="000000"/>
                <w:kern w:val="0"/>
                <w:sz w:val="18"/>
                <w:szCs w:val="18"/>
              </w:rPr>
              <w:t>综合考核中扣除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GLSJ3-2-6</w:t>
            </w:r>
          </w:p>
        </w:tc>
        <w:tc>
          <w:tcPr>
            <w:tcW w:w="6237" w:type="dxa"/>
            <w:vAlign w:val="center"/>
          </w:tcPr>
          <w:p>
            <w:pPr>
              <w:jc w:val="left"/>
              <w:rPr>
                <w:rFonts w:hint="eastAsia" w:ascii="华文宋体" w:hAnsi="华文宋体" w:eastAsia="华文宋体" w:cs="宋体"/>
                <w:color w:val="000000"/>
                <w:kern w:val="0"/>
                <w:sz w:val="18"/>
                <w:szCs w:val="18"/>
                <w:lang w:eastAsia="zh-CN"/>
              </w:rPr>
            </w:pPr>
            <w:r>
              <w:rPr>
                <w:rFonts w:hint="eastAsia" w:ascii="华文宋体" w:hAnsi="华文宋体" w:eastAsia="华文宋体" w:cs="宋体"/>
                <w:color w:val="000000"/>
                <w:kern w:val="0"/>
                <w:sz w:val="18"/>
                <w:szCs w:val="18"/>
                <w:lang w:eastAsia="zh-CN"/>
              </w:rPr>
              <w:t>因不良行为</w:t>
            </w:r>
            <w:r>
              <w:rPr>
                <w:rFonts w:hint="eastAsia" w:ascii="华文宋体" w:hAnsi="华文宋体" w:eastAsia="华文宋体" w:cs="宋体"/>
                <w:color w:val="000000"/>
                <w:kern w:val="0"/>
                <w:sz w:val="18"/>
                <w:szCs w:val="18"/>
              </w:rPr>
              <w:t>被市（州）级交通运输主管部门通</w:t>
            </w:r>
            <w:r>
              <w:rPr>
                <w:rFonts w:hint="eastAsia" w:ascii="华文宋体" w:hAnsi="华文宋体" w:eastAsia="华文宋体" w:cs="宋体"/>
                <w:color w:val="000000"/>
                <w:kern w:val="0"/>
                <w:sz w:val="18"/>
                <w:szCs w:val="18"/>
                <w:lang w:eastAsia="zh-CN"/>
              </w:rPr>
              <w:t>报</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lang w:val="en-US" w:eastAsia="zh-CN"/>
              </w:rPr>
              <w:t>5</w:t>
            </w:r>
            <w:r>
              <w:rPr>
                <w:rFonts w:hint="eastAsia" w:ascii="华文宋体" w:hAnsi="华文宋体" w:eastAsia="华文宋体" w:cs="宋体"/>
                <w:color w:val="000000"/>
                <w:kern w:val="0"/>
                <w:sz w:val="18"/>
                <w:szCs w:val="18"/>
              </w:rPr>
              <w:t>分/次</w:t>
            </w:r>
          </w:p>
        </w:tc>
        <w:tc>
          <w:tcPr>
            <w:tcW w:w="2693"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市（州）</w:t>
            </w:r>
            <w:r>
              <w:rPr>
                <w:rFonts w:ascii="华文宋体" w:hAnsi="华文宋体" w:eastAsia="华文宋体" w:cs="宋体"/>
                <w:color w:val="000000"/>
                <w:kern w:val="0"/>
                <w:sz w:val="18"/>
                <w:szCs w:val="18"/>
              </w:rPr>
              <w:t>级</w:t>
            </w:r>
            <w:r>
              <w:rPr>
                <w:rFonts w:hint="eastAsia" w:ascii="华文宋体" w:hAnsi="华文宋体" w:eastAsia="华文宋体" w:cs="宋体"/>
                <w:color w:val="000000"/>
                <w:kern w:val="0"/>
                <w:sz w:val="18"/>
                <w:szCs w:val="18"/>
              </w:rPr>
              <w:t>综合考核中扣除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GLSJ3-2-7</w:t>
            </w:r>
          </w:p>
        </w:tc>
        <w:tc>
          <w:tcPr>
            <w:tcW w:w="6237" w:type="dxa"/>
            <w:vAlign w:val="center"/>
          </w:tcPr>
          <w:p>
            <w:pPr>
              <w:jc w:val="left"/>
              <w:rPr>
                <w:rFonts w:hint="eastAsia" w:ascii="华文宋体" w:hAnsi="华文宋体" w:eastAsia="华文宋体" w:cs="宋体"/>
                <w:color w:val="000000"/>
                <w:kern w:val="0"/>
                <w:sz w:val="18"/>
                <w:szCs w:val="18"/>
                <w:lang w:eastAsia="zh-CN"/>
              </w:rPr>
            </w:pPr>
            <w:r>
              <w:rPr>
                <w:rFonts w:hint="eastAsia" w:ascii="华文宋体" w:hAnsi="华文宋体" w:eastAsia="华文宋体" w:cs="宋体"/>
                <w:color w:val="000000"/>
                <w:kern w:val="0"/>
                <w:sz w:val="18"/>
                <w:szCs w:val="18"/>
                <w:lang w:eastAsia="zh-CN"/>
              </w:rPr>
              <w:t>因不良行为</w:t>
            </w:r>
            <w:bookmarkStart w:id="0" w:name="_GoBack"/>
            <w:bookmarkEnd w:id="0"/>
            <w:r>
              <w:rPr>
                <w:rFonts w:hint="eastAsia" w:ascii="华文宋体" w:hAnsi="华文宋体" w:eastAsia="华文宋体" w:cs="宋体"/>
                <w:color w:val="000000"/>
                <w:kern w:val="0"/>
                <w:sz w:val="18"/>
                <w:szCs w:val="18"/>
              </w:rPr>
              <w:t>被县（市、区）交通运输主管部门通</w:t>
            </w:r>
            <w:r>
              <w:rPr>
                <w:rFonts w:hint="eastAsia" w:ascii="华文宋体" w:hAnsi="华文宋体" w:eastAsia="华文宋体" w:cs="宋体"/>
                <w:color w:val="000000"/>
                <w:kern w:val="0"/>
                <w:sz w:val="18"/>
                <w:szCs w:val="18"/>
                <w:lang w:eastAsia="zh-CN"/>
              </w:rPr>
              <w:t>报</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lang w:val="en-US" w:eastAsia="zh-CN"/>
              </w:rPr>
              <w:t>3</w:t>
            </w:r>
            <w:r>
              <w:rPr>
                <w:rFonts w:hint="eastAsia" w:ascii="华文宋体" w:hAnsi="华文宋体" w:eastAsia="华文宋体" w:cs="宋体"/>
                <w:color w:val="000000"/>
                <w:kern w:val="0"/>
                <w:sz w:val="18"/>
                <w:szCs w:val="18"/>
              </w:rPr>
              <w:t>分/次</w:t>
            </w:r>
          </w:p>
        </w:tc>
        <w:tc>
          <w:tcPr>
            <w:tcW w:w="2693"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在县（市、区）初步考核中扣除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pPr>
              <w:jc w:val="center"/>
              <w:rPr>
                <w:rFonts w:ascii="华文宋体" w:hAnsi="华文宋体" w:eastAsia="华文宋体" w:cs="宋体"/>
                <w:color w:val="000000"/>
                <w:kern w:val="0"/>
                <w:sz w:val="18"/>
                <w:szCs w:val="18"/>
              </w:rPr>
            </w:pPr>
          </w:p>
        </w:tc>
        <w:tc>
          <w:tcPr>
            <w:tcW w:w="1276" w:type="dxa"/>
            <w:vMerge w:val="continue"/>
            <w:vAlign w:val="center"/>
          </w:tcPr>
          <w:p>
            <w:pPr>
              <w:jc w:val="center"/>
              <w:rPr>
                <w:rFonts w:ascii="华文宋体" w:hAnsi="华文宋体" w:eastAsia="华文宋体" w:cs="宋体"/>
                <w:color w:val="000000"/>
                <w:kern w:val="0"/>
                <w:sz w:val="18"/>
                <w:szCs w:val="18"/>
              </w:rPr>
            </w:pPr>
          </w:p>
        </w:tc>
        <w:tc>
          <w:tcPr>
            <w:tcW w:w="1275"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GLSJ3-2-8</w:t>
            </w:r>
          </w:p>
        </w:tc>
        <w:tc>
          <w:tcPr>
            <w:tcW w:w="6237" w:type="dxa"/>
            <w:vAlign w:val="center"/>
          </w:tcPr>
          <w:p>
            <w:pPr>
              <w:jc w:val="left"/>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评价期内经劳动争议仲裁机构裁决败诉2次及以上</w:t>
            </w:r>
          </w:p>
        </w:tc>
        <w:tc>
          <w:tcPr>
            <w:tcW w:w="2127" w:type="dxa"/>
            <w:vAlign w:val="center"/>
          </w:tcPr>
          <w:p>
            <w:pPr>
              <w:jc w:val="center"/>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扣5分</w:t>
            </w:r>
          </w:p>
        </w:tc>
        <w:tc>
          <w:tcPr>
            <w:tcW w:w="2693" w:type="dxa"/>
            <w:vAlign w:val="center"/>
          </w:tcPr>
          <w:p>
            <w:pPr>
              <w:rPr>
                <w:color w:val="000000"/>
                <w:sz w:val="18"/>
                <w:szCs w:val="18"/>
              </w:rPr>
            </w:pPr>
            <w:r>
              <w:rPr>
                <w:rFonts w:hint="eastAsia"/>
                <w:color w:val="000000"/>
                <w:sz w:val="18"/>
                <w:szCs w:val="18"/>
              </w:rPr>
              <w:t>由仲裁机构所在地考核中扣除</w:t>
            </w:r>
          </w:p>
        </w:tc>
      </w:tr>
    </w:tbl>
    <w:p>
      <w:pPr>
        <w:pStyle w:val="3"/>
        <w:spacing w:line="360" w:lineRule="auto"/>
        <w:ind w:right="0" w:firstLine="0"/>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备注1：履约行为检查一般每年开展一次，检查结果以正式书面文件为准。2:除以人次、项次扣分的行为外，其他单次扣分行为在同一合同段中原则上扣分不超过两次。</w:t>
      </w:r>
    </w:p>
    <w:p>
      <w:pPr>
        <w:pStyle w:val="3"/>
        <w:spacing w:line="360" w:lineRule="auto"/>
        <w:ind w:right="0" w:firstLine="0"/>
        <w:rPr>
          <w:rFonts w:ascii="华文宋体" w:hAnsi="华文宋体" w:eastAsia="华文宋体" w:cs="宋体"/>
          <w:color w:val="000000"/>
          <w:kern w:val="0"/>
          <w:sz w:val="18"/>
          <w:szCs w:val="18"/>
        </w:rPr>
      </w:pPr>
      <w:r>
        <w:rPr>
          <w:rFonts w:hint="eastAsia" w:ascii="华文宋体" w:hAnsi="华文宋体" w:eastAsia="华文宋体" w:cs="宋体"/>
          <w:color w:val="000000"/>
          <w:kern w:val="0"/>
          <w:sz w:val="18"/>
          <w:szCs w:val="18"/>
        </w:rPr>
        <w:t>3:因同一事件而被不同的交通运输主管部门</w:t>
      </w:r>
      <w:r>
        <w:rPr>
          <w:rFonts w:hint="eastAsia" w:ascii="华文宋体" w:hAnsi="华文宋体" w:eastAsia="华文宋体" w:cs="宋体"/>
          <w:color w:val="000000"/>
          <w:kern w:val="0"/>
          <w:sz w:val="18"/>
          <w:szCs w:val="18"/>
          <w:lang w:eastAsia="zh-CN"/>
        </w:rPr>
        <w:t>通报</w:t>
      </w:r>
      <w:r>
        <w:rPr>
          <w:rFonts w:hint="eastAsia" w:ascii="华文宋体" w:hAnsi="华文宋体" w:eastAsia="华文宋体" w:cs="宋体"/>
          <w:color w:val="000000"/>
          <w:kern w:val="0"/>
          <w:sz w:val="18"/>
          <w:szCs w:val="18"/>
        </w:rPr>
        <w:t>，扣分不累计。4：重大、较大、一般变更的分类参照《吉林省普通国省干线公路养护工程设计变更暂行规定（试行）》吉公路办〔2022〕45号的规定。</w:t>
      </w:r>
    </w:p>
    <w:sectPr>
      <w:pgSz w:w="16838" w:h="11906" w:orient="landscape"/>
      <w:pgMar w:top="1588" w:right="1440" w:bottom="158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altName w:val="方正书宋_GBK"/>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2590"/>
    <w:rsid w:val="00002DAF"/>
    <w:rsid w:val="00011D04"/>
    <w:rsid w:val="0001443D"/>
    <w:rsid w:val="000301EF"/>
    <w:rsid w:val="000366F2"/>
    <w:rsid w:val="0004147B"/>
    <w:rsid w:val="00044A4C"/>
    <w:rsid w:val="0004681F"/>
    <w:rsid w:val="000473F9"/>
    <w:rsid w:val="00050080"/>
    <w:rsid w:val="00054223"/>
    <w:rsid w:val="00056B12"/>
    <w:rsid w:val="00062B4C"/>
    <w:rsid w:val="00063FA9"/>
    <w:rsid w:val="0006478E"/>
    <w:rsid w:val="00067587"/>
    <w:rsid w:val="00070202"/>
    <w:rsid w:val="00070BAA"/>
    <w:rsid w:val="000724E6"/>
    <w:rsid w:val="000756B2"/>
    <w:rsid w:val="000761F6"/>
    <w:rsid w:val="000831BC"/>
    <w:rsid w:val="000845E6"/>
    <w:rsid w:val="000A68F1"/>
    <w:rsid w:val="000C7193"/>
    <w:rsid w:val="000D7426"/>
    <w:rsid w:val="000E61A9"/>
    <w:rsid w:val="000F1328"/>
    <w:rsid w:val="000F170E"/>
    <w:rsid w:val="000F20EE"/>
    <w:rsid w:val="001019BF"/>
    <w:rsid w:val="00115E6E"/>
    <w:rsid w:val="00117219"/>
    <w:rsid w:val="00132CF5"/>
    <w:rsid w:val="00144486"/>
    <w:rsid w:val="001508C8"/>
    <w:rsid w:val="0016175F"/>
    <w:rsid w:val="0016297A"/>
    <w:rsid w:val="00175E91"/>
    <w:rsid w:val="00176B76"/>
    <w:rsid w:val="00180D03"/>
    <w:rsid w:val="001810C8"/>
    <w:rsid w:val="001955CF"/>
    <w:rsid w:val="0019738C"/>
    <w:rsid w:val="00197EB5"/>
    <w:rsid w:val="001A659C"/>
    <w:rsid w:val="001B1FAC"/>
    <w:rsid w:val="001B5266"/>
    <w:rsid w:val="001B578E"/>
    <w:rsid w:val="001B7B62"/>
    <w:rsid w:val="001C1B69"/>
    <w:rsid w:val="001D106A"/>
    <w:rsid w:val="001E056F"/>
    <w:rsid w:val="001E26FE"/>
    <w:rsid w:val="001E30AD"/>
    <w:rsid w:val="001E6F63"/>
    <w:rsid w:val="001F12E8"/>
    <w:rsid w:val="00225E4A"/>
    <w:rsid w:val="00226814"/>
    <w:rsid w:val="002276E9"/>
    <w:rsid w:val="0023231E"/>
    <w:rsid w:val="00233731"/>
    <w:rsid w:val="00234AAF"/>
    <w:rsid w:val="00241CEE"/>
    <w:rsid w:val="002461E4"/>
    <w:rsid w:val="00256559"/>
    <w:rsid w:val="00256DFC"/>
    <w:rsid w:val="0026250E"/>
    <w:rsid w:val="0028308E"/>
    <w:rsid w:val="00297A33"/>
    <w:rsid w:val="002B39E3"/>
    <w:rsid w:val="002B5361"/>
    <w:rsid w:val="002C02B1"/>
    <w:rsid w:val="002C1C54"/>
    <w:rsid w:val="002C68D6"/>
    <w:rsid w:val="002D1948"/>
    <w:rsid w:val="002F28E9"/>
    <w:rsid w:val="002F3DD6"/>
    <w:rsid w:val="0030098E"/>
    <w:rsid w:val="00310B6E"/>
    <w:rsid w:val="0031220D"/>
    <w:rsid w:val="0031310E"/>
    <w:rsid w:val="00340710"/>
    <w:rsid w:val="00345C82"/>
    <w:rsid w:val="00345ED5"/>
    <w:rsid w:val="00363732"/>
    <w:rsid w:val="00364947"/>
    <w:rsid w:val="00370CE5"/>
    <w:rsid w:val="00372554"/>
    <w:rsid w:val="00381E84"/>
    <w:rsid w:val="00383340"/>
    <w:rsid w:val="00390026"/>
    <w:rsid w:val="00395776"/>
    <w:rsid w:val="003A7D41"/>
    <w:rsid w:val="003A7E53"/>
    <w:rsid w:val="003B1123"/>
    <w:rsid w:val="003B5A83"/>
    <w:rsid w:val="003C0009"/>
    <w:rsid w:val="003C2715"/>
    <w:rsid w:val="003C2F49"/>
    <w:rsid w:val="003C3213"/>
    <w:rsid w:val="003C44EE"/>
    <w:rsid w:val="003D3CE8"/>
    <w:rsid w:val="003E485E"/>
    <w:rsid w:val="003E5290"/>
    <w:rsid w:val="003E6D81"/>
    <w:rsid w:val="003F47EE"/>
    <w:rsid w:val="004008E4"/>
    <w:rsid w:val="00401746"/>
    <w:rsid w:val="00403139"/>
    <w:rsid w:val="0040761F"/>
    <w:rsid w:val="00407837"/>
    <w:rsid w:val="00407BD9"/>
    <w:rsid w:val="0041010F"/>
    <w:rsid w:val="004114BD"/>
    <w:rsid w:val="004157E5"/>
    <w:rsid w:val="0042158D"/>
    <w:rsid w:val="00426052"/>
    <w:rsid w:val="00431418"/>
    <w:rsid w:val="00433734"/>
    <w:rsid w:val="00461D2E"/>
    <w:rsid w:val="00463E61"/>
    <w:rsid w:val="00471066"/>
    <w:rsid w:val="00473701"/>
    <w:rsid w:val="00484D7B"/>
    <w:rsid w:val="00484E2F"/>
    <w:rsid w:val="0048603D"/>
    <w:rsid w:val="004C058E"/>
    <w:rsid w:val="004C638D"/>
    <w:rsid w:val="004D37A6"/>
    <w:rsid w:val="004D51B9"/>
    <w:rsid w:val="004E0ADE"/>
    <w:rsid w:val="004E709E"/>
    <w:rsid w:val="004F21D9"/>
    <w:rsid w:val="00500D9C"/>
    <w:rsid w:val="00501757"/>
    <w:rsid w:val="005105D8"/>
    <w:rsid w:val="0051112F"/>
    <w:rsid w:val="00520B1E"/>
    <w:rsid w:val="00532326"/>
    <w:rsid w:val="00543320"/>
    <w:rsid w:val="0054575D"/>
    <w:rsid w:val="0054628B"/>
    <w:rsid w:val="00547492"/>
    <w:rsid w:val="005518C9"/>
    <w:rsid w:val="005543FF"/>
    <w:rsid w:val="00554400"/>
    <w:rsid w:val="00560857"/>
    <w:rsid w:val="0056259B"/>
    <w:rsid w:val="00563B23"/>
    <w:rsid w:val="00567781"/>
    <w:rsid w:val="005702EC"/>
    <w:rsid w:val="0057159B"/>
    <w:rsid w:val="005718D4"/>
    <w:rsid w:val="005837D6"/>
    <w:rsid w:val="00585A0F"/>
    <w:rsid w:val="00595C07"/>
    <w:rsid w:val="005A16C4"/>
    <w:rsid w:val="005A4713"/>
    <w:rsid w:val="005A6F2B"/>
    <w:rsid w:val="005B17F0"/>
    <w:rsid w:val="005B3260"/>
    <w:rsid w:val="005B381C"/>
    <w:rsid w:val="005B7D40"/>
    <w:rsid w:val="005C08EE"/>
    <w:rsid w:val="005C099A"/>
    <w:rsid w:val="005C35DB"/>
    <w:rsid w:val="005C57C0"/>
    <w:rsid w:val="005D058B"/>
    <w:rsid w:val="005D386D"/>
    <w:rsid w:val="005E518F"/>
    <w:rsid w:val="005E557B"/>
    <w:rsid w:val="005F7114"/>
    <w:rsid w:val="00611772"/>
    <w:rsid w:val="006119EC"/>
    <w:rsid w:val="006200B9"/>
    <w:rsid w:val="0062387C"/>
    <w:rsid w:val="00624521"/>
    <w:rsid w:val="00624765"/>
    <w:rsid w:val="00625B39"/>
    <w:rsid w:val="0063710C"/>
    <w:rsid w:val="006378CF"/>
    <w:rsid w:val="00651F3A"/>
    <w:rsid w:val="00653988"/>
    <w:rsid w:val="00663424"/>
    <w:rsid w:val="00664070"/>
    <w:rsid w:val="00671EEA"/>
    <w:rsid w:val="00676735"/>
    <w:rsid w:val="00681005"/>
    <w:rsid w:val="00686C05"/>
    <w:rsid w:val="00691EE7"/>
    <w:rsid w:val="006B0A33"/>
    <w:rsid w:val="006B2320"/>
    <w:rsid w:val="006B2FEA"/>
    <w:rsid w:val="006C5C78"/>
    <w:rsid w:val="006C68AE"/>
    <w:rsid w:val="006D2E58"/>
    <w:rsid w:val="006D469B"/>
    <w:rsid w:val="006E19B9"/>
    <w:rsid w:val="006E28C9"/>
    <w:rsid w:val="006E3371"/>
    <w:rsid w:val="006E4049"/>
    <w:rsid w:val="006E7654"/>
    <w:rsid w:val="006E7BF9"/>
    <w:rsid w:val="006F0F3A"/>
    <w:rsid w:val="006F6486"/>
    <w:rsid w:val="006F64D7"/>
    <w:rsid w:val="00702300"/>
    <w:rsid w:val="00703682"/>
    <w:rsid w:val="007140C8"/>
    <w:rsid w:val="007336B1"/>
    <w:rsid w:val="00736811"/>
    <w:rsid w:val="00741857"/>
    <w:rsid w:val="00741F84"/>
    <w:rsid w:val="007457F8"/>
    <w:rsid w:val="0075049C"/>
    <w:rsid w:val="00752558"/>
    <w:rsid w:val="00754DD8"/>
    <w:rsid w:val="00754FBD"/>
    <w:rsid w:val="007569E6"/>
    <w:rsid w:val="00762410"/>
    <w:rsid w:val="0078773D"/>
    <w:rsid w:val="00794D50"/>
    <w:rsid w:val="007A4AA3"/>
    <w:rsid w:val="007A51BC"/>
    <w:rsid w:val="007B01A2"/>
    <w:rsid w:val="007B509A"/>
    <w:rsid w:val="007B6C4B"/>
    <w:rsid w:val="007B77A9"/>
    <w:rsid w:val="007C17C9"/>
    <w:rsid w:val="007D0072"/>
    <w:rsid w:val="007D09F0"/>
    <w:rsid w:val="007D3C33"/>
    <w:rsid w:val="007D75C1"/>
    <w:rsid w:val="007F2460"/>
    <w:rsid w:val="007F5A88"/>
    <w:rsid w:val="00804083"/>
    <w:rsid w:val="00805343"/>
    <w:rsid w:val="008149F2"/>
    <w:rsid w:val="0081552F"/>
    <w:rsid w:val="008174A2"/>
    <w:rsid w:val="00817BEA"/>
    <w:rsid w:val="00822212"/>
    <w:rsid w:val="008259DE"/>
    <w:rsid w:val="0083507A"/>
    <w:rsid w:val="0083625D"/>
    <w:rsid w:val="00836290"/>
    <w:rsid w:val="00836495"/>
    <w:rsid w:val="0083729A"/>
    <w:rsid w:val="00845B8F"/>
    <w:rsid w:val="008562A9"/>
    <w:rsid w:val="0086289B"/>
    <w:rsid w:val="008655FE"/>
    <w:rsid w:val="00882DC8"/>
    <w:rsid w:val="008841BC"/>
    <w:rsid w:val="00891135"/>
    <w:rsid w:val="00895987"/>
    <w:rsid w:val="008B38BA"/>
    <w:rsid w:val="008B4C6F"/>
    <w:rsid w:val="008D6F68"/>
    <w:rsid w:val="008E0410"/>
    <w:rsid w:val="008E3B4B"/>
    <w:rsid w:val="008E7BE1"/>
    <w:rsid w:val="008F1153"/>
    <w:rsid w:val="008F1A5D"/>
    <w:rsid w:val="008F5A08"/>
    <w:rsid w:val="0090206F"/>
    <w:rsid w:val="00927DFD"/>
    <w:rsid w:val="00934997"/>
    <w:rsid w:val="009359B9"/>
    <w:rsid w:val="00941A42"/>
    <w:rsid w:val="00942C50"/>
    <w:rsid w:val="00950769"/>
    <w:rsid w:val="00953964"/>
    <w:rsid w:val="009576A7"/>
    <w:rsid w:val="009609D2"/>
    <w:rsid w:val="00964885"/>
    <w:rsid w:val="009669C2"/>
    <w:rsid w:val="0097046C"/>
    <w:rsid w:val="009738BA"/>
    <w:rsid w:val="00976B97"/>
    <w:rsid w:val="00985DE1"/>
    <w:rsid w:val="009863C0"/>
    <w:rsid w:val="00997A34"/>
    <w:rsid w:val="009A0DFC"/>
    <w:rsid w:val="009B4327"/>
    <w:rsid w:val="009C01DA"/>
    <w:rsid w:val="009E5906"/>
    <w:rsid w:val="009E7E8B"/>
    <w:rsid w:val="009F178F"/>
    <w:rsid w:val="009F26A9"/>
    <w:rsid w:val="009F446D"/>
    <w:rsid w:val="009F4908"/>
    <w:rsid w:val="009F4A4E"/>
    <w:rsid w:val="00A02600"/>
    <w:rsid w:val="00A05D51"/>
    <w:rsid w:val="00A11C89"/>
    <w:rsid w:val="00A13DA8"/>
    <w:rsid w:val="00A21B61"/>
    <w:rsid w:val="00A22D68"/>
    <w:rsid w:val="00A22DBF"/>
    <w:rsid w:val="00A27CBD"/>
    <w:rsid w:val="00A32A84"/>
    <w:rsid w:val="00A37EF5"/>
    <w:rsid w:val="00A409A2"/>
    <w:rsid w:val="00A410B6"/>
    <w:rsid w:val="00A41378"/>
    <w:rsid w:val="00A43DBD"/>
    <w:rsid w:val="00A555FC"/>
    <w:rsid w:val="00A5676F"/>
    <w:rsid w:val="00A626FA"/>
    <w:rsid w:val="00A6325E"/>
    <w:rsid w:val="00A65F4C"/>
    <w:rsid w:val="00A6703F"/>
    <w:rsid w:val="00A84279"/>
    <w:rsid w:val="00A866D5"/>
    <w:rsid w:val="00A910FD"/>
    <w:rsid w:val="00A91794"/>
    <w:rsid w:val="00A91F44"/>
    <w:rsid w:val="00A92857"/>
    <w:rsid w:val="00A92A73"/>
    <w:rsid w:val="00AA583E"/>
    <w:rsid w:val="00AA629C"/>
    <w:rsid w:val="00AB65BF"/>
    <w:rsid w:val="00AC0D9D"/>
    <w:rsid w:val="00AC15D1"/>
    <w:rsid w:val="00AC2092"/>
    <w:rsid w:val="00AD0187"/>
    <w:rsid w:val="00AD3162"/>
    <w:rsid w:val="00AE0CE1"/>
    <w:rsid w:val="00AE3FFD"/>
    <w:rsid w:val="00AE431D"/>
    <w:rsid w:val="00AE551A"/>
    <w:rsid w:val="00AE55CD"/>
    <w:rsid w:val="00AF764E"/>
    <w:rsid w:val="00B00067"/>
    <w:rsid w:val="00B00A66"/>
    <w:rsid w:val="00B01C8D"/>
    <w:rsid w:val="00B02B55"/>
    <w:rsid w:val="00B14786"/>
    <w:rsid w:val="00B21C02"/>
    <w:rsid w:val="00B30AB9"/>
    <w:rsid w:val="00B3501C"/>
    <w:rsid w:val="00B44463"/>
    <w:rsid w:val="00B51D32"/>
    <w:rsid w:val="00B51FE0"/>
    <w:rsid w:val="00B5797D"/>
    <w:rsid w:val="00B57AEB"/>
    <w:rsid w:val="00B65DBE"/>
    <w:rsid w:val="00B7404F"/>
    <w:rsid w:val="00B76E70"/>
    <w:rsid w:val="00B92FEA"/>
    <w:rsid w:val="00BA559C"/>
    <w:rsid w:val="00BA64D6"/>
    <w:rsid w:val="00BB315F"/>
    <w:rsid w:val="00BB6030"/>
    <w:rsid w:val="00BC4CAA"/>
    <w:rsid w:val="00BC6F54"/>
    <w:rsid w:val="00BC742A"/>
    <w:rsid w:val="00BD35F4"/>
    <w:rsid w:val="00BE405E"/>
    <w:rsid w:val="00BF4501"/>
    <w:rsid w:val="00C06CE9"/>
    <w:rsid w:val="00C07117"/>
    <w:rsid w:val="00C116AB"/>
    <w:rsid w:val="00C14FDC"/>
    <w:rsid w:val="00C24D87"/>
    <w:rsid w:val="00C4461E"/>
    <w:rsid w:val="00C47151"/>
    <w:rsid w:val="00C47858"/>
    <w:rsid w:val="00C54789"/>
    <w:rsid w:val="00C54E4C"/>
    <w:rsid w:val="00C54FA2"/>
    <w:rsid w:val="00C75C41"/>
    <w:rsid w:val="00C77C3B"/>
    <w:rsid w:val="00C80C0B"/>
    <w:rsid w:val="00C90418"/>
    <w:rsid w:val="00C91567"/>
    <w:rsid w:val="00C93D16"/>
    <w:rsid w:val="00C95EFF"/>
    <w:rsid w:val="00C961DD"/>
    <w:rsid w:val="00C96266"/>
    <w:rsid w:val="00CA2A10"/>
    <w:rsid w:val="00CA7B89"/>
    <w:rsid w:val="00CC0EB8"/>
    <w:rsid w:val="00CD4634"/>
    <w:rsid w:val="00CE5E16"/>
    <w:rsid w:val="00CE68AE"/>
    <w:rsid w:val="00D00871"/>
    <w:rsid w:val="00D0207C"/>
    <w:rsid w:val="00D0595D"/>
    <w:rsid w:val="00D075D2"/>
    <w:rsid w:val="00D13430"/>
    <w:rsid w:val="00D140AE"/>
    <w:rsid w:val="00D16BD2"/>
    <w:rsid w:val="00D23DEF"/>
    <w:rsid w:val="00D243CB"/>
    <w:rsid w:val="00D243FC"/>
    <w:rsid w:val="00D2509B"/>
    <w:rsid w:val="00D2647F"/>
    <w:rsid w:val="00D36836"/>
    <w:rsid w:val="00D36AAB"/>
    <w:rsid w:val="00D5111B"/>
    <w:rsid w:val="00D53BC7"/>
    <w:rsid w:val="00D541DF"/>
    <w:rsid w:val="00D715BC"/>
    <w:rsid w:val="00D7567E"/>
    <w:rsid w:val="00D75940"/>
    <w:rsid w:val="00D766B5"/>
    <w:rsid w:val="00D95183"/>
    <w:rsid w:val="00DA1686"/>
    <w:rsid w:val="00DA1D74"/>
    <w:rsid w:val="00DA5A8C"/>
    <w:rsid w:val="00DA7B0F"/>
    <w:rsid w:val="00DC0E1C"/>
    <w:rsid w:val="00DC5487"/>
    <w:rsid w:val="00DC6479"/>
    <w:rsid w:val="00DD232F"/>
    <w:rsid w:val="00DD3FD5"/>
    <w:rsid w:val="00DD52D2"/>
    <w:rsid w:val="00DD767E"/>
    <w:rsid w:val="00DE1CA0"/>
    <w:rsid w:val="00DE2E90"/>
    <w:rsid w:val="00DE7000"/>
    <w:rsid w:val="00DE774A"/>
    <w:rsid w:val="00DF3FC8"/>
    <w:rsid w:val="00DF5964"/>
    <w:rsid w:val="00E00E02"/>
    <w:rsid w:val="00E07C92"/>
    <w:rsid w:val="00E1319F"/>
    <w:rsid w:val="00E140F5"/>
    <w:rsid w:val="00E23C00"/>
    <w:rsid w:val="00E24A63"/>
    <w:rsid w:val="00E41653"/>
    <w:rsid w:val="00E63D54"/>
    <w:rsid w:val="00E646A6"/>
    <w:rsid w:val="00E7057A"/>
    <w:rsid w:val="00E7480A"/>
    <w:rsid w:val="00E74ACE"/>
    <w:rsid w:val="00E85B1A"/>
    <w:rsid w:val="00E861A5"/>
    <w:rsid w:val="00E964E2"/>
    <w:rsid w:val="00EA15BF"/>
    <w:rsid w:val="00EB0401"/>
    <w:rsid w:val="00EB1434"/>
    <w:rsid w:val="00EB2104"/>
    <w:rsid w:val="00EB60BD"/>
    <w:rsid w:val="00EB6B78"/>
    <w:rsid w:val="00EC4E37"/>
    <w:rsid w:val="00EC76C4"/>
    <w:rsid w:val="00ED5158"/>
    <w:rsid w:val="00ED796B"/>
    <w:rsid w:val="00EE023C"/>
    <w:rsid w:val="00EE1CAB"/>
    <w:rsid w:val="00EE240F"/>
    <w:rsid w:val="00EE354B"/>
    <w:rsid w:val="00EF0772"/>
    <w:rsid w:val="00EF0C66"/>
    <w:rsid w:val="00EF484E"/>
    <w:rsid w:val="00EF5339"/>
    <w:rsid w:val="00EF6525"/>
    <w:rsid w:val="00F01139"/>
    <w:rsid w:val="00F0418B"/>
    <w:rsid w:val="00F06A1B"/>
    <w:rsid w:val="00F13C50"/>
    <w:rsid w:val="00F173D5"/>
    <w:rsid w:val="00F17598"/>
    <w:rsid w:val="00F2684C"/>
    <w:rsid w:val="00F458B6"/>
    <w:rsid w:val="00F466F4"/>
    <w:rsid w:val="00F522BB"/>
    <w:rsid w:val="00F52590"/>
    <w:rsid w:val="00F67251"/>
    <w:rsid w:val="00F72985"/>
    <w:rsid w:val="00F72CB7"/>
    <w:rsid w:val="00F85096"/>
    <w:rsid w:val="00F96011"/>
    <w:rsid w:val="00F96C5E"/>
    <w:rsid w:val="00F977D4"/>
    <w:rsid w:val="00FA7F2E"/>
    <w:rsid w:val="00FB3465"/>
    <w:rsid w:val="00FC0687"/>
    <w:rsid w:val="00FC07DD"/>
    <w:rsid w:val="00FC379A"/>
    <w:rsid w:val="00FD184A"/>
    <w:rsid w:val="00FD1D4E"/>
    <w:rsid w:val="00FD702B"/>
    <w:rsid w:val="00FE1568"/>
    <w:rsid w:val="00FE33AF"/>
    <w:rsid w:val="00FE5564"/>
    <w:rsid w:val="00FF2064"/>
    <w:rsid w:val="00FF4DF0"/>
    <w:rsid w:val="13DF9429"/>
    <w:rsid w:val="2E7A0F97"/>
    <w:rsid w:val="36DF33B0"/>
    <w:rsid w:val="39FF4139"/>
    <w:rsid w:val="3E9B4B03"/>
    <w:rsid w:val="57FF7632"/>
    <w:rsid w:val="73EF81F2"/>
    <w:rsid w:val="795F9CAE"/>
    <w:rsid w:val="7B5D4ACC"/>
    <w:rsid w:val="7DFF3F9C"/>
    <w:rsid w:val="7F758B59"/>
    <w:rsid w:val="7F7CFDE6"/>
    <w:rsid w:val="7FFDAB5D"/>
    <w:rsid w:val="93BF8022"/>
    <w:rsid w:val="BF9E80FC"/>
    <w:rsid w:val="CB57C0C2"/>
    <w:rsid w:val="CFFF7264"/>
    <w:rsid w:val="DBCFC79A"/>
    <w:rsid w:val="EDDC43E1"/>
    <w:rsid w:val="EFDF4544"/>
    <w:rsid w:val="F7BFD909"/>
    <w:rsid w:val="FD9F1F3A"/>
    <w:rsid w:val="FDFF7F58"/>
    <w:rsid w:val="FEFDD693"/>
    <w:rsid w:val="FFA781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qFormat/>
    <w:uiPriority w:val="0"/>
    <w:pPr>
      <w:adjustRightInd w:val="0"/>
      <w:ind w:right="-694" w:firstLine="525"/>
      <w:textAlignment w:val="baseline"/>
    </w:pPr>
    <w:rPr>
      <w:rFonts w:ascii="Times New Roman" w:hAnsi="Times New Roman" w:eastAsia="宋体" w:cs="Times New Roman"/>
      <w:szCs w:val="20"/>
    </w:rPr>
  </w:style>
  <w:style w:type="paragraph" w:styleId="4">
    <w:name w:val="Balloon Text"/>
    <w:basedOn w:val="1"/>
    <w:link w:val="12"/>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1 Char"/>
    <w:basedOn w:val="9"/>
    <w:link w:val="2"/>
    <w:qFormat/>
    <w:uiPriority w:val="9"/>
    <w:rPr>
      <w:rFonts w:ascii="宋体" w:hAnsi="宋体" w:eastAsia="宋体" w:cs="宋体"/>
      <w:b/>
      <w:bCs/>
      <w:kern w:val="36"/>
      <w:sz w:val="48"/>
      <w:szCs w:val="48"/>
    </w:rPr>
  </w:style>
  <w:style w:type="character" w:customStyle="1" w:styleId="11">
    <w:name w:val="正文文本缩进 Char"/>
    <w:basedOn w:val="9"/>
    <w:link w:val="3"/>
    <w:qFormat/>
    <w:uiPriority w:val="0"/>
    <w:rPr>
      <w:rFonts w:ascii="Times New Roman" w:hAnsi="Times New Roman" w:eastAsia="宋体" w:cs="Times New Roman"/>
      <w:szCs w:val="20"/>
    </w:rPr>
  </w:style>
  <w:style w:type="character" w:customStyle="1" w:styleId="12">
    <w:name w:val="批注框文本 Char"/>
    <w:basedOn w:val="9"/>
    <w:link w:val="4"/>
    <w:semiHidden/>
    <w:qFormat/>
    <w:uiPriority w:val="99"/>
    <w:rPr>
      <w:sz w:val="18"/>
      <w:szCs w:val="18"/>
    </w:rPr>
  </w:style>
  <w:style w:type="character" w:customStyle="1" w:styleId="13">
    <w:name w:val="页眉 Char"/>
    <w:basedOn w:val="9"/>
    <w:link w:val="6"/>
    <w:semiHidden/>
    <w:qFormat/>
    <w:uiPriority w:val="99"/>
    <w:rPr>
      <w:sz w:val="18"/>
      <w:szCs w:val="18"/>
    </w:rPr>
  </w:style>
  <w:style w:type="character" w:customStyle="1" w:styleId="14">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465</Words>
  <Characters>2657</Characters>
  <Lines>22</Lines>
  <Paragraphs>6</Paragraphs>
  <TotalTime>0</TotalTime>
  <ScaleCrop>false</ScaleCrop>
  <LinksUpToDate>false</LinksUpToDate>
  <CharactersWithSpaces>3116</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2016-07-22T11:18:00Z</dcterms:created>
  <dc:creator>zbt</dc:creator>
  <cp:lastModifiedBy>guest</cp:lastModifiedBy>
  <cp:lastPrinted>2016-11-04T09:31:00Z</cp:lastPrinted>
  <dcterms:modified xsi:type="dcterms:W3CDTF">2023-05-23T08:31:46Z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