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right="0" w:firstLine="0"/>
        <w:rPr>
          <w:rFonts w:asciiTheme="minorEastAsia" w:hAnsiTheme="minorEastAsia" w:eastAsiaTheme="minorEastAsia"/>
          <w:b/>
          <w:bCs/>
          <w:color w:val="000000"/>
          <w:sz w:val="32"/>
          <w:szCs w:val="28"/>
        </w:rPr>
      </w:pPr>
      <w:r>
        <w:rPr>
          <w:rFonts w:hint="eastAsia" w:asciiTheme="minorEastAsia" w:hAnsiTheme="minorEastAsia" w:eastAsiaTheme="minorEastAsia"/>
          <w:b/>
          <w:bCs/>
          <w:color w:val="000000"/>
          <w:sz w:val="32"/>
          <w:szCs w:val="28"/>
        </w:rPr>
        <w:t>附件3-1</w:t>
      </w:r>
    </w:p>
    <w:p>
      <w:pPr>
        <w:pStyle w:val="2"/>
        <w:spacing w:line="360" w:lineRule="auto"/>
        <w:ind w:right="0" w:firstLine="0"/>
        <w:jc w:val="center"/>
        <w:rPr>
          <w:rFonts w:ascii="华文仿宋" w:hAnsi="华文仿宋" w:eastAsia="华文仿宋"/>
          <w:b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吉林省农村公路设计企业</w:t>
      </w:r>
    </w:p>
    <w:p>
      <w:pPr>
        <w:pStyle w:val="2"/>
        <w:spacing w:line="360" w:lineRule="auto"/>
        <w:ind w:right="0" w:firstLine="0"/>
        <w:jc w:val="center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华文仿宋" w:hAnsi="华文仿宋" w:eastAsia="华文仿宋"/>
          <w:b/>
          <w:color w:val="000000"/>
          <w:sz w:val="32"/>
          <w:szCs w:val="32"/>
        </w:rPr>
        <w:t>信用评分计算方法</w:t>
      </w:r>
    </w:p>
    <w:p>
      <w:pPr>
        <w:pStyle w:val="2"/>
        <w:spacing w:line="360" w:lineRule="auto"/>
        <w:ind w:left="554" w:right="0" w:firstLine="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一、分值设置</w:t>
      </w:r>
    </w:p>
    <w:p>
      <w:pPr>
        <w:pStyle w:val="2"/>
        <w:spacing w:line="360" w:lineRule="auto"/>
        <w:ind w:left="554" w:right="0" w:firstLine="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总分100分，包含投标行为、履约行为、其他行为</w:t>
      </w:r>
      <w:r>
        <w:rPr>
          <w:rFonts w:ascii="仿宋" w:hAnsi="仿宋" w:eastAsia="仿宋"/>
          <w:bCs/>
          <w:sz w:val="28"/>
          <w:szCs w:val="28"/>
        </w:rPr>
        <w:t>。</w:t>
      </w:r>
    </w:p>
    <w:p>
      <w:pPr>
        <w:pStyle w:val="2"/>
        <w:spacing w:line="360" w:lineRule="auto"/>
        <w:ind w:right="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二、单项评价</w:t>
      </w:r>
    </w:p>
    <w:p>
      <w:pPr>
        <w:pStyle w:val="2"/>
        <w:spacing w:line="360" w:lineRule="auto"/>
        <w:ind w:right="0"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1、投标行为按单个项目单次投标作为基础评价单元，考核得分：</w:t>
      </w:r>
      <w:r>
        <w:rPr>
          <w:rFonts w:ascii="仿宋" w:hAnsi="仿宋" w:eastAsia="仿宋"/>
          <w:bCs/>
          <w:position w:val="-28"/>
          <w:sz w:val="28"/>
          <w:szCs w:val="28"/>
        </w:rPr>
        <w:drawing>
          <wp:inline distT="0" distB="0" distL="114300" distR="114300">
            <wp:extent cx="977900" cy="436245"/>
            <wp:effectExtent l="0" t="0" r="12700" b="190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Cs/>
          <w:sz w:val="28"/>
          <w:szCs w:val="28"/>
        </w:rPr>
        <w:t>，其中，n为不良投标行为数量，A</w:t>
      </w:r>
      <w:r>
        <w:rPr>
          <w:rFonts w:hint="eastAsia" w:ascii="仿宋" w:hAnsi="仿宋" w:eastAsia="仿宋"/>
          <w:bCs/>
          <w:sz w:val="28"/>
          <w:szCs w:val="28"/>
          <w:vertAlign w:val="subscript"/>
        </w:rPr>
        <w:t>i</w:t>
      </w:r>
      <w:r>
        <w:rPr>
          <w:rFonts w:hint="eastAsia" w:ascii="仿宋" w:hAnsi="仿宋" w:eastAsia="仿宋"/>
          <w:bCs/>
          <w:sz w:val="28"/>
          <w:szCs w:val="28"/>
        </w:rPr>
        <w:t>为第i次不良投标行为对应的扣分标准。</w:t>
      </w:r>
    </w:p>
    <w:p>
      <w:pPr>
        <w:pStyle w:val="2"/>
        <w:spacing w:line="360" w:lineRule="auto"/>
        <w:ind w:right="0" w:firstLine="280" w:firstLineChars="1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 xml:space="preserve">  2、履约行为按单个项目单个合同段作为基础评价单元，考核得分：</w:t>
      </w:r>
      <w:r>
        <w:rPr>
          <w:rFonts w:ascii="仿宋" w:hAnsi="仿宋" w:eastAsia="仿宋"/>
          <w:bCs/>
          <w:position w:val="-28"/>
          <w:sz w:val="28"/>
          <w:szCs w:val="28"/>
        </w:rPr>
        <w:drawing>
          <wp:inline distT="0" distB="0" distL="114300" distR="114300">
            <wp:extent cx="968375" cy="436245"/>
            <wp:effectExtent l="0" t="0" r="3175" b="190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837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Cs/>
          <w:sz w:val="28"/>
          <w:szCs w:val="28"/>
        </w:rPr>
        <w:t>，其中，n为不良履约行为数量，B</w:t>
      </w:r>
      <w:r>
        <w:rPr>
          <w:rFonts w:hint="eastAsia" w:ascii="仿宋" w:hAnsi="仿宋" w:eastAsia="仿宋"/>
          <w:bCs/>
          <w:sz w:val="28"/>
          <w:szCs w:val="28"/>
          <w:vertAlign w:val="subscript"/>
        </w:rPr>
        <w:t>i</w:t>
      </w:r>
      <w:r>
        <w:rPr>
          <w:rFonts w:hint="eastAsia" w:ascii="仿宋" w:hAnsi="仿宋" w:eastAsia="仿宋"/>
          <w:bCs/>
          <w:sz w:val="28"/>
          <w:szCs w:val="28"/>
        </w:rPr>
        <w:t>为第i次不良履约行为对应的扣分标准。</w:t>
      </w:r>
    </w:p>
    <w:p>
      <w:pPr>
        <w:pStyle w:val="2"/>
        <w:spacing w:line="360" w:lineRule="auto"/>
        <w:ind w:right="0" w:firstLine="281" w:firstLineChars="1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三、县（市、区）初步评价</w:t>
      </w:r>
    </w:p>
    <w:p>
      <w:pPr>
        <w:pStyle w:val="2"/>
        <w:spacing w:line="360" w:lineRule="auto"/>
        <w:ind w:right="0" w:firstLine="554" w:firstLineChars="198"/>
        <w:rPr>
          <w:rFonts w:ascii="仿宋_GB2312" w:eastAsia="仿宋_GB2312"/>
          <w:bCs/>
          <w:color w:val="000000"/>
          <w:sz w:val="28"/>
          <w:szCs w:val="28"/>
        </w:rPr>
      </w:pP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80975" cy="1714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=a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42875" cy="171450"/>
            <wp:effectExtent l="0" t="0" r="82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+b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42875" cy="1714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-</w:t>
      </w:r>
      <w:r>
        <w:rPr>
          <w:rFonts w:ascii="仿宋_GB2312" w:eastAsia="仿宋_GB2312"/>
          <w:position w:val="-28"/>
          <w:sz w:val="28"/>
          <w:szCs w:val="28"/>
        </w:rPr>
        <w:drawing>
          <wp:inline distT="0" distB="0" distL="0" distR="0">
            <wp:extent cx="295275" cy="419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Q</w:t>
      </w:r>
      <w:r>
        <w:rPr>
          <w:rFonts w:ascii="仿宋_GB2312" w:eastAsia="仿宋_GB2312"/>
          <w:position w:val="-6"/>
          <w:sz w:val="28"/>
          <w:szCs w:val="28"/>
        </w:rPr>
        <w:drawing>
          <wp:inline distT="0" distB="0" distL="0" distR="0">
            <wp:extent cx="85725" cy="1714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right="0" w:firstLine="560" w:firstLineChars="200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Cs/>
          <w:color w:val="000000"/>
          <w:sz w:val="28"/>
          <w:szCs w:val="28"/>
        </w:rPr>
        <w:t>其中</w:t>
      </w:r>
      <w:r>
        <w:rPr>
          <w:rFonts w:ascii="仿宋" w:hAnsi="仿宋" w:eastAsia="仿宋"/>
          <w:bCs/>
          <w:color w:val="000000"/>
          <w:sz w:val="28"/>
          <w:szCs w:val="28"/>
        </w:rPr>
        <w:drawing>
          <wp:inline distT="0" distB="0" distL="0" distR="0">
            <wp:extent cx="142875" cy="171450"/>
            <wp:effectExtent l="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为</w:t>
      </w:r>
      <w:r>
        <w:rPr>
          <w:rFonts w:hint="eastAsia" w:ascii="仿宋" w:hAnsi="仿宋" w:eastAsia="仿宋"/>
          <w:bCs/>
          <w:sz w:val="28"/>
          <w:szCs w:val="28"/>
        </w:rPr>
        <w:t>被评价企业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投标行为考核得分，采用各单项评价的算数平均数；</w:t>
      </w:r>
      <w:r>
        <w:rPr>
          <w:rFonts w:ascii="仿宋" w:hAnsi="仿宋" w:eastAsia="仿宋"/>
          <w:bCs/>
          <w:color w:val="000000"/>
          <w:sz w:val="28"/>
          <w:szCs w:val="28"/>
        </w:rPr>
        <w:drawing>
          <wp:inline distT="0" distB="0" distL="0" distR="0">
            <wp:extent cx="142875" cy="1714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为履约行为考核得分,采用各单项评价的加权平均数，权重采用各合同段评价年度内完成的合同金额；</w:t>
      </w:r>
      <w:r>
        <w:rPr>
          <w:rFonts w:hint="eastAsia" w:ascii="仿宋" w:hAnsi="仿宋" w:eastAsia="仿宋"/>
          <w:bCs/>
          <w:sz w:val="28"/>
          <w:szCs w:val="28"/>
        </w:rPr>
        <w:t>n为县（市、区）其他行为数量，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Qi为</w:t>
      </w:r>
      <w:r>
        <w:rPr>
          <w:rFonts w:hint="eastAsia" w:ascii="仿宋" w:hAnsi="仿宋" w:eastAsia="仿宋"/>
          <w:bCs/>
          <w:sz w:val="28"/>
          <w:szCs w:val="28"/>
        </w:rPr>
        <w:t>第i次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其他行为扣分。a、b为评分系数，当考核周期内</w:t>
      </w:r>
      <w:r>
        <w:rPr>
          <w:rFonts w:hint="eastAsia" w:ascii="仿宋" w:hAnsi="仿宋" w:eastAsia="仿宋"/>
          <w:bCs/>
          <w:sz w:val="28"/>
          <w:szCs w:val="28"/>
        </w:rPr>
        <w:t>被评价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企业在</w:t>
      </w:r>
      <w:r>
        <w:rPr>
          <w:rFonts w:hint="eastAsia" w:ascii="仿宋" w:hAnsi="仿宋" w:eastAsia="仿宋"/>
          <w:bCs/>
          <w:sz w:val="28"/>
          <w:szCs w:val="28"/>
        </w:rPr>
        <w:t>辖区内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只存在投标行为考核时，a=1，b=0；当考核周期内</w:t>
      </w:r>
      <w:r>
        <w:rPr>
          <w:rFonts w:hint="eastAsia" w:ascii="仿宋" w:hAnsi="仿宋" w:eastAsia="仿宋"/>
          <w:bCs/>
          <w:sz w:val="28"/>
          <w:szCs w:val="28"/>
        </w:rPr>
        <w:t>被评价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企业在</w:t>
      </w:r>
      <w:r>
        <w:rPr>
          <w:rFonts w:hint="eastAsia" w:ascii="仿宋" w:hAnsi="仿宋" w:eastAsia="仿宋"/>
          <w:bCs/>
          <w:sz w:val="28"/>
          <w:szCs w:val="28"/>
        </w:rPr>
        <w:t>辖区内</w:t>
      </w:r>
      <w:r>
        <w:rPr>
          <w:rFonts w:hint="eastAsia" w:ascii="仿宋" w:hAnsi="仿宋" w:eastAsia="仿宋"/>
          <w:bCs/>
          <w:color w:val="000000"/>
          <w:sz w:val="28"/>
          <w:szCs w:val="28"/>
        </w:rPr>
        <w:t>只存在履约行为考核时，a=0,b=1；同时存在投标行为考核和履约行为考核时，a=0.2,b=0.8。</w:t>
      </w:r>
    </w:p>
    <w:p>
      <w:pPr>
        <w:pStyle w:val="2"/>
        <w:spacing w:line="360" w:lineRule="auto"/>
        <w:ind w:left="554" w:right="0" w:firstLine="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四、市（州）综合评价</w:t>
      </w:r>
    </w:p>
    <w:p>
      <w:pPr>
        <w:pStyle w:val="2"/>
        <w:spacing w:line="360" w:lineRule="auto"/>
        <w:ind w:right="0"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（一）对于仅在单一县（市、区）内有初步评价的企业，市（州）交通运输主管部门应对其打分情况进行核实，并计入市（州）其他行为分H。</w:t>
      </w:r>
    </w:p>
    <w:p>
      <w:pPr>
        <w:ind w:firstLine="560" w:firstLineChars="200"/>
        <w:rPr>
          <w:rFonts w:ascii="仿宋_GB2312" w:eastAsia="仿宋_GB2312"/>
          <w:position w:val="-6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二）对于在多个县（市、区）内有初步评价的企业，市（州）交通运输主管部门应进行市（州）综合评价：投标行为分T与县(市、区)其他行为分Q采用各县（市、区）的算术平均数；履约行为分L以评价年完成的合同金额为权重采用加权平均方法确定；计入市（州）其他行为分H,然后采用公式: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80975" cy="1714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=a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42875" cy="171450"/>
            <wp:effectExtent l="0" t="0" r="825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+b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42875" cy="171450"/>
            <wp:effectExtent l="0" t="0" r="952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position w:val="-4"/>
          <w:sz w:val="28"/>
          <w:szCs w:val="28"/>
        </w:rPr>
        <w:t>-</w:t>
      </w:r>
      <m:oMath>
        <m:nary>
          <m:naryPr>
            <m:chr m:val="∑"/>
            <m:limLoc m:val="undOvr"/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naryPr>
          <m:sub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i=1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b>
          <m:sup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n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p>
          <m:e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Qi/n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e>
        </m:nary>
        <m:r>
          <m:rPr/>
          <w:rPr>
            <w:rFonts w:hint="eastAsia" w:hAnsi="DejaVu Math TeX Gyre" w:cs="仿宋"/>
            <w:sz w:val="28"/>
            <w:szCs w:val="28"/>
          </w:rPr>
          <m:t>−</m:t>
        </m:r>
        <m:nary>
          <m:naryPr>
            <m:chr m:val="∑"/>
            <m:limLoc m:val="undOvr"/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naryPr>
          <m:sub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i=1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b>
          <m:sup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m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p>
          <m:e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Hi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e>
        </m:nary>
      </m:oMath>
      <w:r>
        <w:rPr>
          <w:rFonts w:hint="eastAsia" w:ascii="仿宋_GB2312" w:eastAsia="仿宋_GB2312"/>
          <w:position w:val="-6"/>
          <w:sz w:val="28"/>
          <w:szCs w:val="28"/>
        </w:rPr>
        <w:t>确定得分。</w:t>
      </w:r>
    </w:p>
    <w:p>
      <w:pPr>
        <w:ind w:firstLine="560" w:firstLineChars="200"/>
        <w:rPr>
          <w:rFonts w:ascii="仿宋_GB2312" w:eastAsia="仿宋"/>
          <w:position w:val="-6"/>
          <w:sz w:val="28"/>
          <w:szCs w:val="28"/>
        </w:rPr>
      </w:pPr>
      <w:r>
        <w:rPr>
          <w:rFonts w:hint="eastAsia" w:ascii="仿宋_GB2312" w:eastAsia="仿宋_GB2312"/>
          <w:position w:val="-6"/>
          <w:sz w:val="28"/>
          <w:szCs w:val="28"/>
        </w:rPr>
        <w:t>其中n为对企业进行评价的全部县（市、区）数量；m为“被评价企业”在市（州）其他行为的数量。</w:t>
      </w:r>
    </w:p>
    <w:p>
      <w:pPr>
        <w:pStyle w:val="2"/>
        <w:spacing w:line="360" w:lineRule="auto"/>
        <w:ind w:left="554" w:right="0" w:firstLine="0"/>
        <w:rPr>
          <w:rFonts w:ascii="仿宋" w:hAnsi="仿宋" w:eastAsia="仿宋"/>
          <w:bCs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五、省级综合评价</w:t>
      </w:r>
    </w:p>
    <w:p>
      <w:pPr>
        <w:pStyle w:val="2"/>
        <w:spacing w:line="360" w:lineRule="auto"/>
        <w:ind w:right="0" w:firstLine="560" w:firstLineChars="200"/>
        <w:rPr>
          <w:rFonts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（一）对于仅在单一市（州）内有评价的企业，省级公路管理机构将对其打分情况进行核实，并计入省级其他行为分H。</w:t>
      </w:r>
    </w:p>
    <w:p>
      <w:pPr>
        <w:ind w:firstLine="560" w:firstLineChars="200"/>
        <w:rPr>
          <w:rFonts w:ascii="仿宋_GB2312" w:eastAsia="仿宋_GB2312"/>
          <w:position w:val="-6"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（二）对于在多个市（州）内有评价的企业，省级公路管理机构将进行省级综合评价，省级综合评价计算方法与市（州）综合评价计算方法一致</w:t>
      </w:r>
      <w:r>
        <w:rPr>
          <w:rFonts w:hint="eastAsia" w:ascii="仿宋_GB2312" w:eastAsia="仿宋_GB2312"/>
          <w:position w:val="-6"/>
          <w:sz w:val="28"/>
          <w:szCs w:val="28"/>
        </w:rPr>
        <w:t>。</w:t>
      </w:r>
      <w:r>
        <w:rPr>
          <w:rFonts w:hint="eastAsia" w:ascii="仿宋" w:hAnsi="仿宋" w:eastAsia="仿宋"/>
          <w:bCs/>
          <w:sz w:val="28"/>
          <w:szCs w:val="28"/>
        </w:rPr>
        <w:t>采用公式: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80975" cy="1714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=a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42875" cy="17145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+b</w:t>
      </w:r>
      <w:r>
        <w:rPr>
          <w:rFonts w:ascii="仿宋_GB2312" w:eastAsia="仿宋_GB2312"/>
          <w:position w:val="-4"/>
          <w:sz w:val="28"/>
          <w:szCs w:val="28"/>
        </w:rPr>
        <w:drawing>
          <wp:inline distT="0" distB="0" distL="0" distR="0">
            <wp:extent cx="142875" cy="17145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position w:val="-4"/>
          <w:sz w:val="28"/>
          <w:szCs w:val="28"/>
        </w:rPr>
        <w:t>-</w:t>
      </w:r>
      <m:oMath>
        <m:nary>
          <m:naryPr>
            <m:chr m:val="∑"/>
            <m:limLoc m:val="undOvr"/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naryPr>
          <m:sub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i=1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b>
          <m:sup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n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p>
          <m:e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Qi/n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e>
        </m:nary>
        <m:r>
          <m:rPr/>
          <w:rPr>
            <w:rFonts w:hint="eastAsia" w:hAnsi="DejaVu Math TeX Gyre" w:cs="仿宋"/>
            <w:sz w:val="28"/>
            <w:szCs w:val="28"/>
          </w:rPr>
          <m:t>−</m:t>
        </m:r>
        <m:nary>
          <m:naryPr>
            <m:chr m:val="∑"/>
            <m:limLoc m:val="undOvr"/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naryPr>
          <m:sub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i=1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b>
          <m:sup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m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sup>
          <m:e>
            <m:r>
              <m:rPr/>
              <w:rPr>
                <w:rFonts w:hint="eastAsia" w:ascii="DejaVu Math TeX Gyre" w:hAnsi="DejaVu Math TeX Gyre" w:cs="仿宋"/>
                <w:sz w:val="28"/>
                <w:szCs w:val="28"/>
              </w:rPr>
              <m:t>Hi</m:t>
            </m:r>
            <m:ctrlPr>
              <w:rPr>
                <w:rFonts w:ascii="DejaVu Math TeX Gyre" w:hAnsi="DejaVu Math TeX Gyre" w:cs="仿宋"/>
                <w:i/>
                <w:sz w:val="28"/>
                <w:szCs w:val="28"/>
              </w:rPr>
            </m:ctrlPr>
          </m:e>
        </m:nary>
      </m:oMath>
      <w:r>
        <w:rPr>
          <w:rFonts w:hint="eastAsia" w:ascii="仿宋_GB2312" w:eastAsia="仿宋_GB2312"/>
          <w:position w:val="-6"/>
          <w:sz w:val="28"/>
          <w:szCs w:val="28"/>
        </w:rPr>
        <w:t>确定得分。</w:t>
      </w:r>
    </w:p>
    <w:p>
      <w:pPr>
        <w:ind w:firstLine="560" w:firstLineChars="200"/>
        <w:rPr>
          <w:rFonts w:ascii="仿宋" w:hAnsi="仿宋" w:eastAsia="仿宋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position w:val="-6"/>
          <w:sz w:val="28"/>
          <w:szCs w:val="28"/>
        </w:rPr>
        <w:t>其中n为对企业进行评价的全部市（州）数量；m为“被评价企业”在省级其他行为的数量。</w:t>
      </w:r>
      <w:bookmarkStart w:id="0" w:name="_GoBack"/>
      <w:bookmarkEnd w:id="0"/>
    </w:p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1Y2IwMGUwOTFkODdiMzk0YjlkMmEyYTgwYWJjNzEifQ=="/>
  </w:docVars>
  <w:rsids>
    <w:rsidRoot w:val="006A777E"/>
    <w:rsid w:val="00002010"/>
    <w:rsid w:val="00053D6F"/>
    <w:rsid w:val="00086384"/>
    <w:rsid w:val="00095145"/>
    <w:rsid w:val="000C10E9"/>
    <w:rsid w:val="00110E9F"/>
    <w:rsid w:val="001256CD"/>
    <w:rsid w:val="00143407"/>
    <w:rsid w:val="00284F2E"/>
    <w:rsid w:val="00300D8D"/>
    <w:rsid w:val="00383053"/>
    <w:rsid w:val="003A03FC"/>
    <w:rsid w:val="003A0F52"/>
    <w:rsid w:val="0041154E"/>
    <w:rsid w:val="004257E6"/>
    <w:rsid w:val="004649A7"/>
    <w:rsid w:val="004862EB"/>
    <w:rsid w:val="004B28D2"/>
    <w:rsid w:val="004C7B1F"/>
    <w:rsid w:val="00510946"/>
    <w:rsid w:val="0052265E"/>
    <w:rsid w:val="00542C25"/>
    <w:rsid w:val="00607B3F"/>
    <w:rsid w:val="0062571B"/>
    <w:rsid w:val="006A092E"/>
    <w:rsid w:val="006A777E"/>
    <w:rsid w:val="006F3538"/>
    <w:rsid w:val="007425B6"/>
    <w:rsid w:val="007C5BF4"/>
    <w:rsid w:val="00831D2E"/>
    <w:rsid w:val="00882F01"/>
    <w:rsid w:val="008A601D"/>
    <w:rsid w:val="008B6C1F"/>
    <w:rsid w:val="008E24B0"/>
    <w:rsid w:val="00943B33"/>
    <w:rsid w:val="00963612"/>
    <w:rsid w:val="00A36F0C"/>
    <w:rsid w:val="00AE58F5"/>
    <w:rsid w:val="00AE5B00"/>
    <w:rsid w:val="00B00F98"/>
    <w:rsid w:val="00B16928"/>
    <w:rsid w:val="00B20D74"/>
    <w:rsid w:val="00B23B09"/>
    <w:rsid w:val="00C943F1"/>
    <w:rsid w:val="00CB7F20"/>
    <w:rsid w:val="00CC347C"/>
    <w:rsid w:val="00D5352E"/>
    <w:rsid w:val="00D73CCC"/>
    <w:rsid w:val="00E0604A"/>
    <w:rsid w:val="00E139FF"/>
    <w:rsid w:val="00E54065"/>
    <w:rsid w:val="00EB1875"/>
    <w:rsid w:val="00F77738"/>
    <w:rsid w:val="00F83648"/>
    <w:rsid w:val="00FD1FC4"/>
    <w:rsid w:val="09182219"/>
    <w:rsid w:val="17DF65C5"/>
    <w:rsid w:val="1CB25FAA"/>
    <w:rsid w:val="1EF379D1"/>
    <w:rsid w:val="2767B1E7"/>
    <w:rsid w:val="2ABC0F4A"/>
    <w:rsid w:val="2BDE16C4"/>
    <w:rsid w:val="2CCF5514"/>
    <w:rsid w:val="2F7E9B16"/>
    <w:rsid w:val="2FAF826A"/>
    <w:rsid w:val="2FBD9D04"/>
    <w:rsid w:val="2FFD2D41"/>
    <w:rsid w:val="32DEFF68"/>
    <w:rsid w:val="33D57327"/>
    <w:rsid w:val="376FA1CF"/>
    <w:rsid w:val="37FB5C74"/>
    <w:rsid w:val="39EBE95D"/>
    <w:rsid w:val="3BBE6340"/>
    <w:rsid w:val="3C7F13D1"/>
    <w:rsid w:val="3FDD460B"/>
    <w:rsid w:val="3FF9A37B"/>
    <w:rsid w:val="3FFBEC16"/>
    <w:rsid w:val="47E7E651"/>
    <w:rsid w:val="4DFFCA2E"/>
    <w:rsid w:val="560FFF85"/>
    <w:rsid w:val="57EF0B0D"/>
    <w:rsid w:val="5C5EFD79"/>
    <w:rsid w:val="5CF53067"/>
    <w:rsid w:val="5EEE673F"/>
    <w:rsid w:val="5FD7D2FC"/>
    <w:rsid w:val="5FFF6D31"/>
    <w:rsid w:val="5FFFC731"/>
    <w:rsid w:val="61AF59CC"/>
    <w:rsid w:val="63F2803B"/>
    <w:rsid w:val="63F9075F"/>
    <w:rsid w:val="6BCC0445"/>
    <w:rsid w:val="6C3BF22A"/>
    <w:rsid w:val="6EC3C594"/>
    <w:rsid w:val="6EFF19CB"/>
    <w:rsid w:val="6F7FDC07"/>
    <w:rsid w:val="6FFF01CB"/>
    <w:rsid w:val="738D06FC"/>
    <w:rsid w:val="747CB091"/>
    <w:rsid w:val="74FD0D31"/>
    <w:rsid w:val="75693AA8"/>
    <w:rsid w:val="76EB833F"/>
    <w:rsid w:val="77EDEDAD"/>
    <w:rsid w:val="77F96FBD"/>
    <w:rsid w:val="79D3135D"/>
    <w:rsid w:val="79E5D1CF"/>
    <w:rsid w:val="7BFC4DC2"/>
    <w:rsid w:val="7C7F461B"/>
    <w:rsid w:val="7CBD7AD9"/>
    <w:rsid w:val="7CF7B7E3"/>
    <w:rsid w:val="7D354230"/>
    <w:rsid w:val="7D7F6F99"/>
    <w:rsid w:val="7DBC2652"/>
    <w:rsid w:val="7DD969CA"/>
    <w:rsid w:val="7ECD1987"/>
    <w:rsid w:val="7EEFD180"/>
    <w:rsid w:val="7EFF7333"/>
    <w:rsid w:val="7F5F59FC"/>
    <w:rsid w:val="7FABDD21"/>
    <w:rsid w:val="7FE637A7"/>
    <w:rsid w:val="7FEC0E38"/>
    <w:rsid w:val="7FEF0D15"/>
    <w:rsid w:val="7FEF866E"/>
    <w:rsid w:val="7FF31FC7"/>
    <w:rsid w:val="9AC5D08A"/>
    <w:rsid w:val="9B35E6AD"/>
    <w:rsid w:val="9CB3892F"/>
    <w:rsid w:val="9F875CE0"/>
    <w:rsid w:val="B45C97CD"/>
    <w:rsid w:val="B7F7201E"/>
    <w:rsid w:val="B7FF22F8"/>
    <w:rsid w:val="BBEA0B70"/>
    <w:rsid w:val="BBF70E76"/>
    <w:rsid w:val="BCFFAAAE"/>
    <w:rsid w:val="BEC7AC28"/>
    <w:rsid w:val="CEDC9A20"/>
    <w:rsid w:val="CF37C4D3"/>
    <w:rsid w:val="CF6D249E"/>
    <w:rsid w:val="CF8717D8"/>
    <w:rsid w:val="D57F3741"/>
    <w:rsid w:val="D5FFC5AC"/>
    <w:rsid w:val="D7BC6A55"/>
    <w:rsid w:val="DAEE900F"/>
    <w:rsid w:val="DBFF9F33"/>
    <w:rsid w:val="DF5FF76F"/>
    <w:rsid w:val="E7EFBA8F"/>
    <w:rsid w:val="EA9D109E"/>
    <w:rsid w:val="EB7F76F8"/>
    <w:rsid w:val="EBFB5A23"/>
    <w:rsid w:val="EBFE8CF5"/>
    <w:rsid w:val="ECBD832B"/>
    <w:rsid w:val="ED5D8C89"/>
    <w:rsid w:val="ED61C2E0"/>
    <w:rsid w:val="EDEF3604"/>
    <w:rsid w:val="EDF4BECF"/>
    <w:rsid w:val="EDFF6BE5"/>
    <w:rsid w:val="EFDF590B"/>
    <w:rsid w:val="EFE560CB"/>
    <w:rsid w:val="EFFEA961"/>
    <w:rsid w:val="F4DD1E45"/>
    <w:rsid w:val="F5DE50CA"/>
    <w:rsid w:val="F5FF292F"/>
    <w:rsid w:val="F6DFD0BD"/>
    <w:rsid w:val="F9DFF92A"/>
    <w:rsid w:val="F9EF7A49"/>
    <w:rsid w:val="FA3398DB"/>
    <w:rsid w:val="FB2AD9A5"/>
    <w:rsid w:val="FB5E6C15"/>
    <w:rsid w:val="FB798BFC"/>
    <w:rsid w:val="FB7EA992"/>
    <w:rsid w:val="FBBDE680"/>
    <w:rsid w:val="FBE72AF5"/>
    <w:rsid w:val="FBEDB2F7"/>
    <w:rsid w:val="FBEED532"/>
    <w:rsid w:val="FBF69E1A"/>
    <w:rsid w:val="FBFC2546"/>
    <w:rsid w:val="FBFDB93C"/>
    <w:rsid w:val="FCB7B21B"/>
    <w:rsid w:val="FCBE1634"/>
    <w:rsid w:val="FCF598D4"/>
    <w:rsid w:val="FD6B23F0"/>
    <w:rsid w:val="FDBE8B41"/>
    <w:rsid w:val="FE34C57B"/>
    <w:rsid w:val="FEDF29D1"/>
    <w:rsid w:val="FEE64521"/>
    <w:rsid w:val="FF6FE586"/>
    <w:rsid w:val="FFD6052E"/>
    <w:rsid w:val="FFF3D22B"/>
    <w:rsid w:val="FFFF3F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adjustRightInd w:val="0"/>
      <w:ind w:right="-694" w:firstLine="525"/>
      <w:textAlignment w:val="baseline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sun's</Company>
  <Pages>5</Pages>
  <Words>416</Words>
  <Characters>2372</Characters>
  <Lines>19</Lines>
  <Paragraphs>5</Paragraphs>
  <TotalTime>28</TotalTime>
  <ScaleCrop>false</ScaleCrop>
  <LinksUpToDate>false</LinksUpToDate>
  <CharactersWithSpaces>2783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2014-08-07T19:40:00Z</dcterms:created>
  <dc:creator>Administrator</dc:creator>
  <cp:lastModifiedBy>丁聪</cp:lastModifiedBy>
  <cp:lastPrinted>2016-11-04T17:31:00Z</cp:lastPrinted>
  <dcterms:modified xsi:type="dcterms:W3CDTF">2023-10-25T05:22:20Z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2052-12.1.0.15712</vt:lpwstr>
  </property>
  <property fmtid="{D5CDD505-2E9C-101B-9397-08002B2CF9AE}" pid="4" name="ICV">
    <vt:lpwstr>1CEED18F926D4F9D82C1D10D86B16B35_13</vt:lpwstr>
  </property>
</Properties>
</file>